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6EF372" w14:textId="77777777" w:rsidR="00FC426F" w:rsidRPr="00192ECB" w:rsidRDefault="00FC426F">
      <w:pPr>
        <w:widowControl w:val="0"/>
        <w:jc w:val="center"/>
        <w:rPr>
          <w:rFonts w:ascii="Arial" w:eastAsia="Arial" w:hAnsi="Arial" w:cs="Arial"/>
          <w:b/>
          <w:sz w:val="22"/>
          <w:szCs w:val="22"/>
          <w:lang w:val="pt-BR"/>
        </w:rPr>
      </w:pPr>
    </w:p>
    <w:p w14:paraId="3F7E3488" w14:textId="77777777" w:rsidR="00FC426F" w:rsidRPr="00192ECB" w:rsidRDefault="00FC426F">
      <w:pPr>
        <w:widowControl w:val="0"/>
        <w:jc w:val="center"/>
        <w:rPr>
          <w:rFonts w:ascii="Arial" w:eastAsia="Arial" w:hAnsi="Arial" w:cs="Arial"/>
          <w:b/>
          <w:sz w:val="22"/>
          <w:szCs w:val="22"/>
          <w:lang w:val="pt-BR"/>
        </w:rPr>
      </w:pPr>
    </w:p>
    <w:p w14:paraId="67B21042" w14:textId="573A42AB" w:rsidR="00FC426F" w:rsidRPr="00192ECB" w:rsidRDefault="00AD2A1E">
      <w:pPr>
        <w:widowControl w:val="0"/>
        <w:jc w:val="center"/>
        <w:rPr>
          <w:rFonts w:ascii="Arial" w:eastAsia="Arial" w:hAnsi="Arial" w:cs="Arial"/>
          <w:b/>
          <w:sz w:val="22"/>
          <w:szCs w:val="22"/>
          <w:lang w:val="pt-BR"/>
        </w:rPr>
      </w:pPr>
      <w:r w:rsidRPr="00192ECB">
        <w:rPr>
          <w:rFonts w:ascii="Arial" w:eastAsia="Arial" w:hAnsi="Arial" w:cs="Arial"/>
          <w:b/>
          <w:sz w:val="22"/>
          <w:szCs w:val="22"/>
          <w:lang w:val="pt-BR"/>
        </w:rPr>
        <w:t>FATORES QUE INFLUENCIAM O DECLÍNIO DA RECARGA DE ÁGUA EM ZONAS ÚMIDAS: UMA ANÁLISE BIBLIOMÉTRICA</w:t>
      </w:r>
    </w:p>
    <w:p w14:paraId="35269F6D" w14:textId="77777777" w:rsidR="00FC426F" w:rsidRPr="00192ECB" w:rsidRDefault="00FC426F">
      <w:pPr>
        <w:tabs>
          <w:tab w:val="left" w:pos="0"/>
        </w:tabs>
        <w:jc w:val="both"/>
        <w:rPr>
          <w:rFonts w:ascii="Arial" w:eastAsia="Arial" w:hAnsi="Arial" w:cs="Arial"/>
          <w:b/>
          <w:sz w:val="22"/>
          <w:szCs w:val="22"/>
          <w:lang w:val="pt-BR"/>
        </w:rPr>
      </w:pPr>
    </w:p>
    <w:p w14:paraId="7EB95407" w14:textId="77777777" w:rsidR="00192ECB" w:rsidRPr="00192ECB" w:rsidRDefault="00192ECB" w:rsidP="00192ECB">
      <w:pPr>
        <w:tabs>
          <w:tab w:val="left" w:pos="0"/>
        </w:tabs>
        <w:jc w:val="center"/>
        <w:rPr>
          <w:rFonts w:ascii="Arial" w:eastAsia="Arial" w:hAnsi="Arial" w:cs="Arial"/>
          <w:sz w:val="22"/>
          <w:szCs w:val="22"/>
        </w:rPr>
      </w:pPr>
      <w:r w:rsidRPr="00192ECB">
        <w:rPr>
          <w:rFonts w:ascii="Arial" w:eastAsia="Arial" w:hAnsi="Arial" w:cs="Arial"/>
          <w:sz w:val="22"/>
          <w:szCs w:val="22"/>
        </w:rPr>
        <w:t>Rossember Saldaña Escorcia</w:t>
      </w:r>
      <w:r w:rsidRPr="00192ECB">
        <w:rPr>
          <w:rFonts w:ascii="Arial" w:eastAsia="Arial" w:hAnsi="Arial" w:cs="Arial"/>
          <w:sz w:val="22"/>
          <w:szCs w:val="22"/>
          <w:vertAlign w:val="superscript"/>
        </w:rPr>
        <w:t>1,2, 3</w:t>
      </w:r>
      <w:r w:rsidRPr="00192ECB">
        <w:rPr>
          <w:rFonts w:ascii="Arial" w:eastAsia="Arial" w:hAnsi="Arial" w:cs="Arial"/>
          <w:sz w:val="22"/>
          <w:szCs w:val="22"/>
        </w:rPr>
        <w:t xml:space="preserve"> </w:t>
      </w:r>
      <w:r w:rsidRPr="00192ECB">
        <w:rPr>
          <w:rFonts w:ascii="Arial" w:eastAsia="Arial" w:hAnsi="Arial" w:cs="Arial"/>
          <w:sz w:val="22"/>
          <w:szCs w:val="22"/>
        </w:rPr>
        <w:drawing>
          <wp:inline distT="114300" distB="114300" distL="114300" distR="114300" wp14:anchorId="6AAA0EC1" wp14:editId="1904E279">
            <wp:extent cx="108000" cy="108000"/>
            <wp:effectExtent l="0" t="0" r="6350" b="6350"/>
            <wp:docPr id="12" name="image2.png">
              <a:hlinkClick xmlns:a="http://schemas.openxmlformats.org/drawingml/2006/main" r:id="rId8"/>
            </wp:docPr>
            <wp:cNvGraphicFramePr/>
            <a:graphic xmlns:a="http://schemas.openxmlformats.org/drawingml/2006/main">
              <a:graphicData uri="http://schemas.openxmlformats.org/drawingml/2006/picture">
                <pic:pic xmlns:pic="http://schemas.openxmlformats.org/drawingml/2006/picture">
                  <pic:nvPicPr>
                    <pic:cNvPr id="12" name="image2.png">
                      <a:hlinkClick r:id="rId8"/>
                    </pic:cNvPr>
                    <pic:cNvPicPr preferRelativeResize="0"/>
                  </pic:nvPicPr>
                  <pic:blipFill>
                    <a:blip r:embed="rId9"/>
                    <a:srcRect/>
                    <a:stretch>
                      <a:fillRect/>
                    </a:stretch>
                  </pic:blipFill>
                  <pic:spPr>
                    <a:xfrm>
                      <a:off x="0" y="0"/>
                      <a:ext cx="108000" cy="108000"/>
                    </a:xfrm>
                    <a:prstGeom prst="rect">
                      <a:avLst/>
                    </a:prstGeom>
                    <a:ln/>
                  </pic:spPr>
                </pic:pic>
              </a:graphicData>
            </a:graphic>
          </wp:inline>
        </w:drawing>
      </w:r>
    </w:p>
    <w:p w14:paraId="26D97CE4" w14:textId="77777777" w:rsidR="00192ECB" w:rsidRPr="00192ECB" w:rsidRDefault="00192ECB" w:rsidP="00192ECB">
      <w:pPr>
        <w:tabs>
          <w:tab w:val="left" w:pos="0"/>
        </w:tabs>
        <w:jc w:val="center"/>
        <w:rPr>
          <w:rFonts w:ascii="Arial" w:eastAsia="Arial" w:hAnsi="Arial" w:cs="Arial"/>
          <w:sz w:val="22"/>
          <w:szCs w:val="22"/>
        </w:rPr>
      </w:pPr>
    </w:p>
    <w:p w14:paraId="0099037C" w14:textId="77777777" w:rsidR="00192ECB" w:rsidRPr="00192ECB" w:rsidRDefault="00192ECB" w:rsidP="00192ECB">
      <w:pPr>
        <w:tabs>
          <w:tab w:val="left" w:pos="0"/>
        </w:tabs>
        <w:jc w:val="center"/>
        <w:rPr>
          <w:rFonts w:ascii="Arial" w:eastAsia="Arial" w:hAnsi="Arial" w:cs="Arial"/>
          <w:i/>
          <w:sz w:val="22"/>
          <w:szCs w:val="22"/>
        </w:rPr>
      </w:pPr>
      <w:r w:rsidRPr="00192ECB">
        <w:rPr>
          <w:rFonts w:ascii="Arial" w:eastAsia="Arial" w:hAnsi="Arial" w:cs="Arial"/>
          <w:sz w:val="22"/>
          <w:szCs w:val="22"/>
          <w:vertAlign w:val="superscript"/>
        </w:rPr>
        <w:t>1</w:t>
      </w:r>
      <w:r w:rsidRPr="00192ECB">
        <w:rPr>
          <w:rFonts w:ascii="Arial" w:eastAsia="Arial" w:hAnsi="Arial" w:cs="Arial"/>
          <w:i/>
          <w:sz w:val="22"/>
          <w:szCs w:val="22"/>
        </w:rPr>
        <w:t>Grupo de Investigación en Gestión Ambiental y Territorios Sostenibles</w:t>
      </w:r>
    </w:p>
    <w:p w14:paraId="0927588F" w14:textId="77777777" w:rsidR="00192ECB" w:rsidRPr="00192ECB" w:rsidRDefault="00192ECB" w:rsidP="00192ECB">
      <w:pPr>
        <w:tabs>
          <w:tab w:val="left" w:pos="0"/>
        </w:tabs>
        <w:jc w:val="center"/>
        <w:rPr>
          <w:rFonts w:ascii="Arial" w:eastAsia="Arial" w:hAnsi="Arial" w:cs="Arial"/>
          <w:i/>
          <w:sz w:val="22"/>
          <w:szCs w:val="22"/>
        </w:rPr>
      </w:pPr>
      <w:r w:rsidRPr="00192ECB">
        <w:rPr>
          <w:rFonts w:ascii="Arial" w:eastAsia="Arial" w:hAnsi="Arial" w:cs="Arial"/>
          <w:sz w:val="22"/>
          <w:szCs w:val="22"/>
          <w:vertAlign w:val="superscript"/>
        </w:rPr>
        <w:t>2</w:t>
      </w:r>
      <w:r w:rsidRPr="00192ECB">
        <w:rPr>
          <w:rFonts w:ascii="Arial" w:eastAsia="Arial" w:hAnsi="Arial" w:cs="Arial"/>
          <w:i/>
          <w:sz w:val="22"/>
          <w:szCs w:val="22"/>
        </w:rPr>
        <w:t xml:space="preserve"> Grupo de Investigación en Estudios Sanitarios y Ambientales</w:t>
      </w:r>
    </w:p>
    <w:p w14:paraId="457D1561" w14:textId="77777777" w:rsidR="00192ECB" w:rsidRPr="00192ECB" w:rsidRDefault="00192ECB" w:rsidP="00192ECB">
      <w:pPr>
        <w:tabs>
          <w:tab w:val="left" w:pos="0"/>
        </w:tabs>
        <w:jc w:val="center"/>
        <w:rPr>
          <w:rFonts w:ascii="Arial" w:eastAsia="Arial" w:hAnsi="Arial" w:cs="Arial"/>
          <w:i/>
          <w:sz w:val="22"/>
          <w:szCs w:val="22"/>
        </w:rPr>
      </w:pPr>
      <w:r w:rsidRPr="00192ECB">
        <w:rPr>
          <w:rFonts w:ascii="Arial" w:eastAsia="Arial" w:hAnsi="Arial" w:cs="Arial"/>
          <w:sz w:val="22"/>
          <w:szCs w:val="22"/>
          <w:vertAlign w:val="superscript"/>
        </w:rPr>
        <w:t xml:space="preserve">3 </w:t>
      </w:r>
      <w:r w:rsidRPr="00192ECB">
        <w:rPr>
          <w:rFonts w:ascii="Arial" w:eastAsia="Arial" w:hAnsi="Arial" w:cs="Arial"/>
          <w:sz w:val="22"/>
          <w:szCs w:val="22"/>
        </w:rPr>
        <w:t>Departamento de Ciencias Ambientales y Sanitarias, Universidad Popular del Cesar seccional Aguachica, Carrera 40 # 1Norte-58, Aguachica 25010, Colombia</w:t>
      </w:r>
    </w:p>
    <w:p w14:paraId="64C10B7A" w14:textId="77777777" w:rsidR="00FC426F" w:rsidRPr="00192ECB" w:rsidRDefault="00FC426F">
      <w:pPr>
        <w:pBdr>
          <w:bottom w:val="single" w:sz="12" w:space="1" w:color="000000"/>
        </w:pBdr>
        <w:tabs>
          <w:tab w:val="left" w:pos="0"/>
        </w:tabs>
        <w:jc w:val="both"/>
        <w:rPr>
          <w:rFonts w:ascii="Arial" w:eastAsia="Arial" w:hAnsi="Arial" w:cs="Arial"/>
          <w:b/>
          <w:sz w:val="8"/>
          <w:szCs w:val="8"/>
        </w:rPr>
      </w:pPr>
    </w:p>
    <w:p w14:paraId="5CE23F5B" w14:textId="77777777" w:rsidR="00FC426F" w:rsidRPr="00192ECB" w:rsidRDefault="00FC426F">
      <w:pPr>
        <w:pBdr>
          <w:bottom w:val="single" w:sz="12" w:space="1" w:color="000000"/>
        </w:pBdr>
        <w:tabs>
          <w:tab w:val="left" w:pos="0"/>
        </w:tabs>
        <w:jc w:val="both"/>
        <w:rPr>
          <w:rFonts w:ascii="Arial" w:eastAsia="Arial" w:hAnsi="Arial" w:cs="Arial"/>
          <w:b/>
          <w:sz w:val="8"/>
          <w:szCs w:val="8"/>
        </w:rPr>
      </w:pPr>
    </w:p>
    <w:p w14:paraId="6EA55F72" w14:textId="77777777" w:rsidR="00FC426F" w:rsidRPr="00192ECB" w:rsidRDefault="00FC426F">
      <w:pPr>
        <w:pBdr>
          <w:bottom w:val="single" w:sz="12" w:space="1" w:color="000000"/>
        </w:pBdr>
        <w:tabs>
          <w:tab w:val="left" w:pos="0"/>
        </w:tabs>
        <w:jc w:val="both"/>
        <w:rPr>
          <w:rFonts w:ascii="Arial" w:eastAsia="Arial" w:hAnsi="Arial" w:cs="Arial"/>
          <w:b/>
          <w:sz w:val="8"/>
          <w:szCs w:val="8"/>
        </w:rPr>
      </w:pPr>
    </w:p>
    <w:p w14:paraId="594B8D00" w14:textId="77777777" w:rsidR="00FC426F" w:rsidRPr="00192ECB" w:rsidRDefault="00FC426F">
      <w:pPr>
        <w:tabs>
          <w:tab w:val="left" w:pos="0"/>
        </w:tabs>
        <w:jc w:val="both"/>
        <w:rPr>
          <w:rFonts w:ascii="Arial" w:eastAsia="Arial" w:hAnsi="Arial" w:cs="Arial"/>
          <w:b/>
          <w:sz w:val="8"/>
          <w:szCs w:val="8"/>
        </w:rPr>
      </w:pPr>
    </w:p>
    <w:p w14:paraId="426D2B1E" w14:textId="77777777" w:rsidR="00FC426F" w:rsidRPr="00192ECB" w:rsidRDefault="00FC426F">
      <w:pPr>
        <w:tabs>
          <w:tab w:val="left" w:pos="0"/>
        </w:tabs>
        <w:jc w:val="both"/>
        <w:rPr>
          <w:rFonts w:ascii="Arial" w:eastAsia="Arial" w:hAnsi="Arial" w:cs="Arial"/>
          <w:b/>
          <w:sz w:val="22"/>
          <w:szCs w:val="22"/>
        </w:rPr>
      </w:pPr>
    </w:p>
    <w:p w14:paraId="711BE9E0" w14:textId="6A56EFAC" w:rsidR="00FC426F" w:rsidRPr="00192ECB" w:rsidRDefault="00000000">
      <w:pPr>
        <w:jc w:val="both"/>
        <w:rPr>
          <w:rFonts w:ascii="Arial" w:eastAsia="Arial" w:hAnsi="Arial" w:cs="Arial"/>
          <w:color w:val="A95350"/>
          <w:sz w:val="22"/>
          <w:szCs w:val="22"/>
          <w:lang w:val="pt-BR"/>
        </w:rPr>
      </w:pPr>
      <w:r w:rsidRPr="00192ECB">
        <w:rPr>
          <w:rFonts w:ascii="Arial" w:eastAsia="Arial" w:hAnsi="Arial" w:cs="Arial"/>
          <w:b/>
          <w:sz w:val="22"/>
          <w:szCs w:val="22"/>
          <w:lang w:val="pt-BR"/>
        </w:rPr>
        <w:t>Resum</w:t>
      </w:r>
      <w:r w:rsidR="00AD2A1E" w:rsidRPr="00192ECB">
        <w:rPr>
          <w:rFonts w:ascii="Arial" w:eastAsia="Arial" w:hAnsi="Arial" w:cs="Arial"/>
          <w:b/>
          <w:sz w:val="22"/>
          <w:szCs w:val="22"/>
          <w:lang w:val="pt-BR"/>
        </w:rPr>
        <w:t>o</w:t>
      </w:r>
      <w:r w:rsidRPr="00192ECB">
        <w:rPr>
          <w:rFonts w:ascii="Arial" w:eastAsia="Arial" w:hAnsi="Arial" w:cs="Arial"/>
          <w:sz w:val="22"/>
          <w:szCs w:val="22"/>
          <w:lang w:val="pt-BR"/>
        </w:rPr>
        <w:t xml:space="preserve">— </w:t>
      </w:r>
      <w:r w:rsidR="00AD2A1E" w:rsidRPr="00192ECB">
        <w:rPr>
          <w:rFonts w:ascii="Arial" w:eastAsia="Arial" w:hAnsi="Arial" w:cs="Arial"/>
          <w:sz w:val="22"/>
          <w:szCs w:val="22"/>
          <w:lang w:val="pt-BR"/>
        </w:rPr>
        <w:t>As zonas úmidas são ecossistemas que fornecem múltiplos serviços ambientais à sociedade; entretanto, vários fatores como as variações climáticas, a expansão da fronteira agrícola e o crescimento populacional alteram o status ecológico e diminuem os serviços, incluindo a recarga de água, que desempenha um papel importante no ciclo hidrológico, pois mantém o equilíbrio do ecossistema. Este artigo apresenta uma análise bibliométrica para analisar as tendências dos fatores que afetam a recarga de água em áreas úmidas, com base em 150 artigos citados no banco de dados Scopus® entre 2000 e 2021. Para a análise, o software SciMAT foi utilizado para analisar a evolução dos conceitos através de diagramas estratégicos relacionados aos autores, instituições, periódicos, países e principais publicações; e o software VOSviewer foi utilizado para identificar e visualizar a relação entre os principais conceitos de pesquisa. Os resultados mostram um aumento nos estudos relacionados às zonas úmidas e aos fatores que alteram os serviços dos ecossistemas, como a recarga de água, no interesse da gestão sustentável dos ecossistemas e da governança dos recursos naturais. É também evidente que os países com maior produção são os EUA e a China.</w:t>
      </w:r>
    </w:p>
    <w:p w14:paraId="56E81742" w14:textId="77777777" w:rsidR="00FC426F" w:rsidRPr="00192ECB" w:rsidRDefault="00FC426F">
      <w:pPr>
        <w:jc w:val="both"/>
        <w:rPr>
          <w:rFonts w:ascii="Arial" w:eastAsia="Arial" w:hAnsi="Arial" w:cs="Arial"/>
          <w:color w:val="A95350"/>
          <w:sz w:val="22"/>
          <w:szCs w:val="22"/>
          <w:lang w:val="pt-BR"/>
        </w:rPr>
      </w:pPr>
    </w:p>
    <w:p w14:paraId="20D11393" w14:textId="36C32D35" w:rsidR="00FC426F" w:rsidRPr="00192ECB" w:rsidRDefault="00AD2A1E">
      <w:pPr>
        <w:jc w:val="both"/>
        <w:rPr>
          <w:rFonts w:ascii="Arial" w:eastAsia="Arial" w:hAnsi="Arial" w:cs="Arial"/>
          <w:b/>
          <w:sz w:val="22"/>
          <w:szCs w:val="22"/>
          <w:lang w:val="pt-BR"/>
        </w:rPr>
      </w:pPr>
      <w:r w:rsidRPr="00192ECB">
        <w:rPr>
          <w:rFonts w:ascii="Arial" w:eastAsia="Arial" w:hAnsi="Arial" w:cs="Arial"/>
          <w:b/>
          <w:sz w:val="22"/>
          <w:szCs w:val="22"/>
          <w:lang w:val="pt-BR"/>
        </w:rPr>
        <w:t>Palavras-chave</w:t>
      </w:r>
      <w:r w:rsidR="00000000" w:rsidRPr="00192ECB">
        <w:rPr>
          <w:rFonts w:ascii="Arial" w:eastAsia="Arial" w:hAnsi="Arial" w:cs="Arial"/>
          <w:sz w:val="22"/>
          <w:szCs w:val="22"/>
          <w:lang w:val="pt-BR"/>
        </w:rPr>
        <w:t>—</w:t>
      </w:r>
      <w:r w:rsidRPr="00192ECB">
        <w:rPr>
          <w:rFonts w:ascii="Arial" w:eastAsia="Arial" w:hAnsi="Arial" w:cs="Arial"/>
          <w:sz w:val="22"/>
          <w:szCs w:val="22"/>
          <w:lang w:val="pt-BR"/>
        </w:rPr>
        <w:t>Atividades antropogênicas, análise bibliométrica, zonas úmidas, mapeamento, recursos hídricos</w:t>
      </w:r>
    </w:p>
    <w:p w14:paraId="6B01619F" w14:textId="77777777" w:rsidR="00FC426F" w:rsidRPr="00192ECB" w:rsidRDefault="00FC426F">
      <w:pPr>
        <w:pBdr>
          <w:bottom w:val="single" w:sz="12" w:space="1" w:color="000000"/>
        </w:pBdr>
        <w:tabs>
          <w:tab w:val="left" w:pos="0"/>
        </w:tabs>
        <w:jc w:val="both"/>
        <w:rPr>
          <w:rFonts w:ascii="Arial" w:eastAsia="Arial" w:hAnsi="Arial" w:cs="Arial"/>
          <w:b/>
          <w:sz w:val="8"/>
          <w:szCs w:val="8"/>
          <w:lang w:val="pt-BR"/>
        </w:rPr>
      </w:pPr>
    </w:p>
    <w:p w14:paraId="2F0B117D" w14:textId="77777777" w:rsidR="00FC426F" w:rsidRPr="00192ECB" w:rsidRDefault="00FC426F">
      <w:pPr>
        <w:jc w:val="both"/>
        <w:rPr>
          <w:rFonts w:ascii="Arial" w:eastAsia="Arial" w:hAnsi="Arial" w:cs="Arial"/>
          <w:b/>
          <w:sz w:val="22"/>
          <w:szCs w:val="22"/>
          <w:lang w:val="pt-BR"/>
        </w:rPr>
      </w:pPr>
    </w:p>
    <w:p w14:paraId="56AAC4A5" w14:textId="5B4B51CE" w:rsidR="00FC426F" w:rsidRPr="00DA41A5" w:rsidRDefault="00000000">
      <w:pPr>
        <w:jc w:val="both"/>
        <w:rPr>
          <w:rFonts w:ascii="Arial" w:eastAsia="Arial" w:hAnsi="Arial" w:cs="Arial"/>
          <w:color w:val="A95350"/>
          <w:sz w:val="22"/>
          <w:szCs w:val="22"/>
          <w:lang w:val="en-US"/>
        </w:rPr>
      </w:pPr>
      <w:r w:rsidRPr="00DA41A5">
        <w:rPr>
          <w:rFonts w:ascii="Arial" w:eastAsia="Arial" w:hAnsi="Arial" w:cs="Arial"/>
          <w:b/>
          <w:sz w:val="22"/>
          <w:szCs w:val="22"/>
          <w:lang w:val="en-US"/>
        </w:rPr>
        <w:t>Abstract</w:t>
      </w:r>
      <w:r w:rsidRPr="00DA41A5">
        <w:rPr>
          <w:rFonts w:ascii="Arial" w:eastAsia="Arial" w:hAnsi="Arial" w:cs="Arial"/>
          <w:sz w:val="22"/>
          <w:szCs w:val="22"/>
          <w:lang w:val="en-US"/>
        </w:rPr>
        <w:t>—</w:t>
      </w:r>
      <w:r w:rsidR="00AD2A1E" w:rsidRPr="00DA41A5">
        <w:rPr>
          <w:rFonts w:ascii="Arial" w:eastAsia="Arial" w:hAnsi="Arial" w:cs="Arial"/>
          <w:sz w:val="22"/>
          <w:szCs w:val="22"/>
          <w:lang w:val="en-US"/>
        </w:rPr>
        <w:t xml:space="preserve">Wetlands are ecosystems that provide multiple environmental services to humanity; however, various factors including climate variations, the expansion of the agricultural frontier and population growth alter the ecological status and diminish services, including water recharge, which plays an important role in the hydrological cycle because it maintains the balance of the ecosystem. This article presents a bibliometric analysis to analyses trends in factors affecting water recharge in wetlands, based on 150 papers cited in the Scopus® database between 2000 and 2021. For the analysis, SciMAT software was used to analyses the evolution of concepts through strategic diagrams related to authors, institutions, journals, </w:t>
      </w:r>
      <w:r w:rsidR="00DA41A5" w:rsidRPr="00DA41A5">
        <w:rPr>
          <w:rFonts w:ascii="Arial" w:eastAsia="Arial" w:hAnsi="Arial" w:cs="Arial"/>
          <w:sz w:val="22"/>
          <w:szCs w:val="22"/>
          <w:lang w:val="en-US"/>
        </w:rPr>
        <w:t>countries,</w:t>
      </w:r>
      <w:r w:rsidR="00AD2A1E" w:rsidRPr="00DA41A5">
        <w:rPr>
          <w:rFonts w:ascii="Arial" w:eastAsia="Arial" w:hAnsi="Arial" w:cs="Arial"/>
          <w:sz w:val="22"/>
          <w:szCs w:val="22"/>
          <w:lang w:val="en-US"/>
        </w:rPr>
        <w:t xml:space="preserve"> and relevant publications; and VOSviewer software was used to identify and visualize the relationship between key research concepts. The results show an increase in studies related to wetlands and the factors that alter ecosystem services such as water recharge, in the interest of sustainable ecosystem management and natural resource governance. It is also evident that the countries with the highest production are the USA and China.</w:t>
      </w:r>
    </w:p>
    <w:p w14:paraId="7046DEC8" w14:textId="77777777" w:rsidR="00FC426F" w:rsidRPr="00DA41A5" w:rsidRDefault="00FC426F">
      <w:pPr>
        <w:jc w:val="both"/>
        <w:rPr>
          <w:rFonts w:ascii="Arial" w:eastAsia="Arial" w:hAnsi="Arial" w:cs="Arial"/>
          <w:color w:val="A95350"/>
          <w:sz w:val="22"/>
          <w:szCs w:val="22"/>
          <w:lang w:val="en-US"/>
        </w:rPr>
      </w:pPr>
    </w:p>
    <w:p w14:paraId="69DD8D9F" w14:textId="6C57DA7D" w:rsidR="00FC426F" w:rsidRPr="00DA41A5" w:rsidRDefault="00000000">
      <w:pPr>
        <w:jc w:val="both"/>
        <w:rPr>
          <w:rFonts w:ascii="Arial" w:eastAsia="Arial" w:hAnsi="Arial" w:cs="Arial"/>
          <w:color w:val="A95350"/>
          <w:sz w:val="22"/>
          <w:szCs w:val="22"/>
          <w:lang w:val="en-US"/>
        </w:rPr>
      </w:pPr>
      <w:r w:rsidRPr="00DA41A5">
        <w:rPr>
          <w:rFonts w:ascii="Arial" w:eastAsia="Arial" w:hAnsi="Arial" w:cs="Arial"/>
          <w:b/>
          <w:sz w:val="22"/>
          <w:szCs w:val="22"/>
          <w:lang w:val="en-US"/>
        </w:rPr>
        <w:t>Keywords</w:t>
      </w:r>
      <w:r w:rsidRPr="00DA41A5">
        <w:rPr>
          <w:rFonts w:ascii="Arial" w:eastAsia="Arial" w:hAnsi="Arial" w:cs="Arial"/>
          <w:sz w:val="22"/>
          <w:szCs w:val="22"/>
          <w:lang w:val="en-US"/>
        </w:rPr>
        <w:t xml:space="preserve">— </w:t>
      </w:r>
      <w:r w:rsidR="00AD2A1E" w:rsidRPr="00DA41A5">
        <w:rPr>
          <w:rFonts w:ascii="Arial" w:eastAsia="Arial" w:hAnsi="Arial" w:cs="Arial"/>
          <w:sz w:val="22"/>
          <w:szCs w:val="22"/>
          <w:lang w:val="en-US"/>
        </w:rPr>
        <w:t>Anthropic activities, bibliometric analysis, wetlands, mapping, water resources.</w:t>
      </w:r>
    </w:p>
    <w:p w14:paraId="738F0D69" w14:textId="77777777" w:rsidR="00FC426F" w:rsidRPr="00192ECB" w:rsidRDefault="00FC426F">
      <w:pPr>
        <w:jc w:val="both"/>
        <w:rPr>
          <w:rFonts w:ascii="Arial" w:eastAsia="Arial" w:hAnsi="Arial" w:cs="Arial"/>
          <w:b/>
          <w:sz w:val="22"/>
          <w:szCs w:val="22"/>
          <w:lang w:val="pt-BR"/>
        </w:rPr>
      </w:pPr>
    </w:p>
    <w:p w14:paraId="520270A0" w14:textId="77777777" w:rsidR="00FC426F" w:rsidRPr="00192ECB" w:rsidRDefault="00FC426F">
      <w:pPr>
        <w:pBdr>
          <w:bottom w:val="single" w:sz="12" w:space="1" w:color="000000"/>
        </w:pBdr>
        <w:tabs>
          <w:tab w:val="left" w:pos="0"/>
        </w:tabs>
        <w:jc w:val="both"/>
        <w:rPr>
          <w:rFonts w:ascii="Arial" w:eastAsia="Arial" w:hAnsi="Arial" w:cs="Arial"/>
          <w:b/>
          <w:sz w:val="8"/>
          <w:szCs w:val="8"/>
          <w:lang w:val="pt-BR"/>
        </w:rPr>
      </w:pPr>
    </w:p>
    <w:p w14:paraId="707A5190" w14:textId="77777777" w:rsidR="00FC426F" w:rsidRPr="00192ECB" w:rsidRDefault="00FC426F">
      <w:pPr>
        <w:jc w:val="both"/>
        <w:rPr>
          <w:rFonts w:ascii="Arial" w:eastAsia="Arial" w:hAnsi="Arial" w:cs="Arial"/>
          <w:b/>
          <w:sz w:val="22"/>
          <w:szCs w:val="22"/>
          <w:lang w:val="pt-BR"/>
        </w:rPr>
      </w:pPr>
    </w:p>
    <w:p w14:paraId="1F97EB1D" w14:textId="5B759779" w:rsidR="00FC426F" w:rsidRPr="00192ECB" w:rsidRDefault="00000000">
      <w:pPr>
        <w:tabs>
          <w:tab w:val="left" w:pos="0"/>
        </w:tabs>
        <w:jc w:val="both"/>
        <w:rPr>
          <w:rFonts w:ascii="Arial" w:eastAsia="Arial" w:hAnsi="Arial" w:cs="Arial"/>
          <w:b/>
          <w:sz w:val="22"/>
          <w:szCs w:val="22"/>
          <w:lang w:val="pt-BR"/>
        </w:rPr>
      </w:pPr>
      <w:r w:rsidRPr="00192ECB">
        <w:rPr>
          <w:rFonts w:ascii="Arial" w:eastAsia="Arial" w:hAnsi="Arial" w:cs="Arial"/>
          <w:b/>
          <w:sz w:val="22"/>
          <w:szCs w:val="22"/>
          <w:lang w:val="pt-BR"/>
        </w:rPr>
        <w:t>Intr</w:t>
      </w:r>
      <w:r w:rsidR="00AD2A1E" w:rsidRPr="00192ECB">
        <w:rPr>
          <w:rFonts w:ascii="Arial" w:eastAsia="Arial" w:hAnsi="Arial" w:cs="Arial"/>
          <w:b/>
          <w:sz w:val="22"/>
          <w:szCs w:val="22"/>
          <w:lang w:val="pt-BR"/>
        </w:rPr>
        <w:t>odução</w:t>
      </w:r>
    </w:p>
    <w:p w14:paraId="22237D4C" w14:textId="77777777" w:rsidR="00FC426F" w:rsidRPr="00192ECB" w:rsidRDefault="00FC426F">
      <w:pPr>
        <w:tabs>
          <w:tab w:val="left" w:pos="0"/>
        </w:tabs>
        <w:jc w:val="both"/>
        <w:rPr>
          <w:rFonts w:ascii="Arial" w:eastAsia="Arial" w:hAnsi="Arial" w:cs="Arial"/>
          <w:b/>
          <w:sz w:val="22"/>
          <w:szCs w:val="22"/>
          <w:lang w:val="pt-BR"/>
        </w:rPr>
      </w:pPr>
    </w:p>
    <w:p w14:paraId="4ED5CE4D" w14:textId="77777777" w:rsidR="00AD2A1E" w:rsidRPr="00192ECB" w:rsidRDefault="00000000" w:rsidP="00AD2A1E">
      <w:pPr>
        <w:tabs>
          <w:tab w:val="left" w:pos="426"/>
        </w:tabs>
        <w:jc w:val="both"/>
        <w:rPr>
          <w:rFonts w:ascii="Arial" w:eastAsia="Arial" w:hAnsi="Arial" w:cs="Arial"/>
          <w:sz w:val="22"/>
          <w:szCs w:val="22"/>
          <w:lang w:val="pt-BR"/>
        </w:rPr>
      </w:pPr>
      <w:r w:rsidRPr="00192ECB">
        <w:rPr>
          <w:rFonts w:ascii="Arial" w:eastAsia="Arial" w:hAnsi="Arial" w:cs="Arial"/>
          <w:sz w:val="22"/>
          <w:szCs w:val="22"/>
          <w:lang w:val="pt-BR"/>
        </w:rPr>
        <w:tab/>
      </w:r>
      <w:r w:rsidR="00AD2A1E" w:rsidRPr="00192ECB">
        <w:rPr>
          <w:rFonts w:ascii="Arial" w:eastAsia="Arial" w:hAnsi="Arial" w:cs="Arial"/>
          <w:sz w:val="22"/>
          <w:szCs w:val="22"/>
          <w:lang w:val="pt-BR"/>
        </w:rPr>
        <w:t xml:space="preserve">Na atualidade, há uma crescente consciência da existência de uma crise em relação aos recursos naturais, escassez de água para consumo humano e irrigação, entre outros, devido a mudanças nos regimes de precipitação e escoamento, degradação do solo e perda de florestas, que são alguns dos problemas que têm gerado uma crise de proporções globais </w:t>
      </w:r>
      <w:r w:rsidR="00AD2A1E" w:rsidRPr="00192ECB">
        <w:rPr>
          <w:rFonts w:ascii="Arial" w:eastAsia="Arial" w:hAnsi="Arial" w:cs="Arial"/>
          <w:sz w:val="22"/>
          <w:szCs w:val="22"/>
          <w:lang w:val="pt-BR"/>
        </w:rPr>
        <w:fldChar w:fldCharType="begin" w:fldLock="1"/>
      </w:r>
      <w:r w:rsidR="00AD2A1E" w:rsidRPr="00192ECB">
        <w:rPr>
          <w:rFonts w:ascii="Arial" w:eastAsia="Arial" w:hAnsi="Arial" w:cs="Arial"/>
          <w:sz w:val="22"/>
          <w:szCs w:val="22"/>
          <w:lang w:val="pt-BR"/>
        </w:rPr>
        <w:instrText>ADDIN CSL_CITATION {"citationItems":[{"id":"ITEM-1","itemData":{"ISSN":"1688-2873","abstract":"En ocasiones el uso inadecuado de la tierra en zonas que constituyen áreas de aporte a las aguas subterráneas, es incompatible con su conservación. Sucede también que el incremento de la boscosidad en una cuenca hidrográfica, no se potencia en estos lugares, los que poseen una prioridad intrínseca por naturaleza. A partir de la de la metodología de balance hídrico de Schosinsky y con el auxilio de un Sistema Información Geográfica se identifican las áreas de recarga hídrica al acuífero de la cuenca hidrográfica Guara. Se establece un procedimiento para la identificación de las principales zonas de recarga hídrica, se proponen acciones de protección y manejo de carácter forestal, hídrico, de conservación de suelos y de educación ambiental para la población comunitaria que reside en dichas áreas lo que contribuye al orde- namiento del territorio de este ecosistema. Para determinar cuáles son los sitios con mayor potencial de recarga de agua subterránea, se realizó un balance hídrico de suelos. Con el uso de la cartografía en forma digital, por medio de un Sistema de Información Geográfica (SIG), se generaron mapas digitales que representan el tipo de suelo, la pendiente, la cobertura vegetal y la precipitación en el área de estudio y con la base de datos se determinaron los coeficientes de las variables: textura del suelo (kfc), pendiente (Kp) y tipo de cobertura vegetal (Kv). La superposición de estos mapas permitió identificar 29 Polígonos Biofísicos (PB), que son áreas con valores iguales de: evapotranspiración poten- cial (ETP), humedad inicial (Hsi), retención de humedad del suelo (capacidad de campo y punto de marchitez perman- ente), densidad aparente ( DA ), infiltración básica del suelo (fc), intercepción de la lluvia y profundidad de las raíces extractoras de agua. En general, en la cuenca se recargan aproximadamente 79 millones de m3 de agua anualmente, información congruente con los resultados obtenidos por el Gráfico de Control de Balance de las Aguas Subterráneas por el Instituto Nacional de Recursos Hidráulicos de Cuba. Los valores de recarga potencial (Rp) se han obtenido en un período dado y realmente dependen del cambio en las propiedades físicas y uso del suelo, que junto al escurrimiento, pueden provocar una disminución de la Rp, especialmente en aquellos PB con insuficiente boscosidad. Según la Rp, los polígonos se categorizaron con baja, media y alta recarga proponiéndose acciones de manejo que consideran los subpro- gramas de trabaj…","author":[{"dropping-particle":"","family":"Rodríguez Lugo","given":"Dulce María","non-dropping-particle":"","parse-names":false,"suffix":""},{"dropping-particle":"","family":"Pérez Álvarez","given":"Pedro","non-dropping-particle":"","parse-names":false,"suffix":""}],"container-title":"Aqua-LAC","id":"ITEM-1","issue":"2","issued":{"date-parts":[["2014"]]},"page":"58-70","title":"Determinación de la recarga hídrica potencial en la cuenca hidrográfica Guara, de Cuba","type":"article-journal","volume":"6"},"uris":["http://www.mendeley.com/documents/?uuid=21e3eb16-02df-4c6b-9b59-fa3725d00d2a"]}],"mendeley":{"formattedCitation":"[1]","plainTextFormattedCitation":"[1]","previouslyFormattedCitation":"[1]"},"properties":{"noteIndex":0},"schema":"https://github.com/citation-style-language/schema/raw/master/csl-citation.json"}</w:instrText>
      </w:r>
      <w:r w:rsidR="00AD2A1E" w:rsidRPr="00192ECB">
        <w:rPr>
          <w:rFonts w:ascii="Arial" w:eastAsia="Arial" w:hAnsi="Arial" w:cs="Arial"/>
          <w:sz w:val="22"/>
          <w:szCs w:val="22"/>
          <w:lang w:val="pt-BR"/>
        </w:rPr>
        <w:fldChar w:fldCharType="separate"/>
      </w:r>
      <w:r w:rsidR="00AD2A1E" w:rsidRPr="00192ECB">
        <w:rPr>
          <w:rFonts w:ascii="Arial" w:eastAsia="Arial" w:hAnsi="Arial" w:cs="Arial"/>
          <w:sz w:val="22"/>
          <w:szCs w:val="22"/>
          <w:lang w:val="pt-BR"/>
        </w:rPr>
        <w:t>[1]</w:t>
      </w:r>
      <w:r w:rsidR="00AD2A1E" w:rsidRPr="00192ECB">
        <w:rPr>
          <w:rFonts w:ascii="Arial" w:eastAsia="Arial" w:hAnsi="Arial" w:cs="Arial"/>
          <w:sz w:val="22"/>
          <w:szCs w:val="22"/>
          <w:lang w:val="pt-BR"/>
        </w:rPr>
        <w:fldChar w:fldCharType="end"/>
      </w:r>
      <w:r w:rsidR="00AD2A1E" w:rsidRPr="00192ECB">
        <w:rPr>
          <w:rFonts w:ascii="Arial" w:eastAsia="Arial" w:hAnsi="Arial" w:cs="Arial"/>
          <w:sz w:val="22"/>
          <w:szCs w:val="22"/>
          <w:lang w:val="pt-BR"/>
        </w:rPr>
        <w:t>; a crise tem sido causada por mudanças nos regimes de precipitação e escoamento superficial, degradação do solo e perda de florestas, que são alguns dos problemas que têm gerado uma crise de proporções globais.</w:t>
      </w:r>
    </w:p>
    <w:p w14:paraId="7ECE0AA5" w14:textId="7B584366" w:rsidR="00AD2A1E" w:rsidRPr="00AD2A1E" w:rsidRDefault="00AD2A1E" w:rsidP="00AD2A1E">
      <w:pPr>
        <w:tabs>
          <w:tab w:val="left" w:pos="426"/>
        </w:tabs>
        <w:jc w:val="both"/>
        <w:rPr>
          <w:rFonts w:ascii="Arial" w:eastAsia="Arial" w:hAnsi="Arial" w:cs="Arial"/>
          <w:sz w:val="22"/>
          <w:szCs w:val="22"/>
          <w:lang w:val="pt-BR"/>
        </w:rPr>
      </w:pPr>
      <w:r w:rsidRPr="00192ECB">
        <w:rPr>
          <w:rFonts w:ascii="Arial" w:eastAsia="Arial" w:hAnsi="Arial" w:cs="Arial"/>
          <w:sz w:val="22"/>
          <w:szCs w:val="22"/>
          <w:lang w:val="pt-BR"/>
        </w:rPr>
        <w:tab/>
      </w:r>
      <w:r w:rsidRPr="00AD2A1E">
        <w:rPr>
          <w:rFonts w:ascii="Arial" w:eastAsia="Arial" w:hAnsi="Arial" w:cs="Arial"/>
          <w:sz w:val="22"/>
          <w:szCs w:val="22"/>
          <w:lang w:val="pt-BR"/>
        </w:rPr>
        <w:t xml:space="preserve">As zonas úmidas se destacam como ecossistemas complexos de alto valor e importância ecológica, pois possuem grande diversidade biológica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{"citationItems":[{"id":"ITEM-1","itemData":{"DOI":"10.21068/c2016s01a06","ISBN":"8792020364","ISSN":"01245376","abstract":"Los humedales se han reconocido como hábitats para sostener los procesos ecológicos de los ecosistemas. Son proveedores de bienes y servicios ecosistémicos para el bienestar humano. Muchos humedales están relacionados con las aguas subterráneas y dependen parcial o totalmente de ellas. Así, algunas acciones que se realizan sobre el suelo, el territorio o los acuíferos pueden producir impactos significativos sobre los humedales, sus funciones y sus servicios, poniendo en riesgo su existencia. El proyecto UNESCO-IGCP 604: “Wetlands related to groundwater in Iberoamérica”, realizado entre 2011 y 2014, tuvo como propósito generar conocimiento acerca de la interacción entre aguas subterráneas, humedales y seres humanos en Iberoamérica y España, mediante la evaluación de las características hidrológicas, los servicios que prestan estos ecosistemas y los factores que inducen cambios en dichos servicios. En el marco de este proyecto, se recopiló información en 13 países para evaluar 64 casos de estudio. Por ser uno de los ecosistemas más vulnerables ante la presión por factores de cambio inducidos por el hombre (especialmente en relación con la extracción de materiales, la contaminación y el uso del territorio), dada la relevancia de los servicios de aprovisionamiento, en este artículo se hace referencia especial a los resultados obtenidos en relación con ellos","author":[{"dropping-particle":"","family":"Betancur","given":"Teresita","non-dropping-particle":"","parse-names":false,"suffix":""},{"dropping-particle":"","family":"Bocanegraq","given":"Emilia","non-dropping-particle":"","parse-names":false,"suffix":""},{"dropping-particle":"","family":"Custodio","given":"Emilio","non-dropping-particle":"","parse-names":false,"suffix":""},{"dropping-particle":"","family":"Manzano","given":"Marisol","non-dropping-particle":"","parse-names":false,"suffix":""},{"dropping-particle":"","family":"Cardoso da Silva","given":"Gerson","non-dropping-particle":"","parse-names":false,"suffix":""}],"container-title":"Biota Colombiana","id":"ITEM-1","issue":"3","issued":{"date-parts":[["2016","6"]]},"page":"106-119","publisher":"Instituto de Investigación de Recursos Biológicos Alexander von Humboldt","title":"Estado y factores de cambio de los servicios ecosistémicos de aprovisionamiento en humedales relacionados con aguas sunterráneas en Iberoamérica y España","type":"article-journal","volume":"16"},"uris":["http://www.mendeley.com/documents/?uuid=fe1be381-fbfb-3387-803e-2f6601c1c3ea"]}],"mendeley":{"formattedCitation":"[2]","plainTextFormattedCitation":"[2]","previouslyFormattedCitation":"[2]"},"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[2]</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xml:space="preserve">, porque eles estão localizados em zonas de transição, ou seja, entre áreas aquáticas e terrestres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{"citationItems":[{"id":"ITEM-1","itemData":{"DOI":"10.1016/j.ecoleng.2020.105876","ISSN":"09258574","abstract":"HydroGeoMorphic (HGM) approach could examine relatively more details for wetland functions. However, HGM cannot be utilized in assessing the functional improvement of wetlands because it is limited to evaluating the similarity between the reference and the target wetlands. Therefore, this study proposes the Modified HydroGeoMorphic (MHGM) approach for considering better functions of target wetlands. The values of Index of Function (FCI) and variables in HGM are in the range of 0.0 to 1.0 and so, in MHGM, we redefine the values of variables in 0.0 to 2.0 to find a better function for the target wetland. Based on the monitored variables, FCIs for the wetland functions were estimated and the functions of dynamic surface and subsurface water storage, spatial structure of habitat, and maintaining the distribution and abundance of vertebrates in Imjin riverine wetland as a target wetland showed better FCIs than those of Hwapo which is a reference. This means that MHGM reflects an actual change in FCI, leading to a more favorable evaluation of the target compared to the reference wetland. This indicates that MHGM considers actual functional progress of wetlands by improving HGM's limitations in assessing change.","author":[{"dropping-particle":"","family":"Kim","given":"Jungwook","non-dropping-particle":"","parse-names":false,"suffix":""},{"dropping-particle":"","family":"Kim","given":"Jae Geun","non-dropping-particle":"","parse-names":false,"suffix":""},{"dropping-particle":"","family":"Jung","given":"Jaewon","non-dropping-particle":"","parse-names":false,"suffix":""},{"dropping-particle":"","family":"Han","given":"Daegun","non-dropping-particle":"","parse-names":false,"suffix":""},{"dropping-particle":"","family":"Choi","given":"Changhyun","non-dropping-particle":"","parse-names":false,"suffix":""},{"dropping-particle":"","family":"Kim","given":"Hung Soo","non-dropping-particle":"","parse-names":false,"suffix":""}],"container-title":"Ecological Engineering","id":"ITEM-1","issued":{"date-parts":[["2020","6","1"]]},"page":"105876","publisher":"Elsevier B.V.","title":"Modified hydrogeomorphic approach for estimating quantitative change of riverine wetland functions","type":"article-journal","volume":"152"},"uris":["http://www.mendeley.com/documents/?uuid=252c0f00-d867-34e6-bed5-0ee5b528bfc8"]}],"mendeley":{"formattedCitation":"[3]","plainTextFormattedCitation":"[3]","previouslyFormattedCitation":"[3]"},"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[3]</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xml:space="preserve">. Estes incluem uma ampla gama de ecossistemas, incluindo pântanos, pântanos e turfeiras que são definidos por sua umidade, vegetação e solos adaptados à influência da hidrologia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{"citationItems":[{"id":"ITEM-1","itemData":{"ISSN":"1316-6832","abstract":"The connections between the state of the wetlands, the services they provide and the benefits for the population, have ecological, socio-cultural and economic values, which are decisive for decision-making in the management of the conservation of wetlands. The Convention on Biological Diversity (CBD) and the Ramsar Convention have done a fundamental job in the assessment of wetlands, in the context of programs on incentive measures. The valuation of the Urama wetland is based on the guidelines offered by the Ramsar Convention in its technical reports. It is classified in five (05) stages with the description of the methods for the evaluation and evaluation of the services of the wetlands. The methodology is with the method of Impact Evaluation, obtaining an integrated value of its components, whose result reaches a value equal to 2.029 US dollars ha/year at market prices of 2014, in an area of 2.131 hectares, a value that it is below the referential world rank equal to 3.300 US dollars ha year, which is a function of the identification of the components and services that allow the contribution of the wetland in terms of net benefits to the local, national and global economy.","author":[{"dropping-particle":"","family":"López","given":"Nereida","non-dropping-particle":"","parse-names":false,"suffix":""},{"dropping-particle":"","family":"Guevara Pérez","given":"Edilberto","non-dropping-particle":"","parse-names":false,"suffix":""}],"container-title":"Revista Ingeniería UC","id":"ITEM-1","issue":"3","issued":{"date-parts":[["2017"]]},"number-of-pages":"279-289","publisher":"Universidad de Carabobo","title":"Environmental assessment of the Urama Wetland, Venezuela","type":"report","volume":"24"},"uris":["http://www.mendeley.com/documents/?uuid=b8b10762-ed33-36ab-a93e-3ae98d63cfcc"]},{"id":"ITEM-2","itemData":{"DOI":"10.1016/j.jenvman.2020.110956","ISSN":"10958630","PMID":"32778270","abstract":"Present study has attempted to measure Water Richness (WR) and Wetland Habitat Suitability (WHS) in deltaic environment and assessed their spatial linkages. Water richness exhibits availability of water in wetland and its dynamicity, whereas wetland habitat suitability depicts physical habitat ambiance of a wetland toward vibrant ecosystem. Both the components are very essential and should be measured to explore ecosystem service and environmental heath of a region. For investigating water richness of the wetland six water availability indicating parameters have been chosen and for assessing wetland habitat suitability four additional parameters have been taken into consideration. Four widely used and recognised machine learning algorithms like Reduced Error Pruning (REP) tree, Random forest, Artificial Neural Network (ANN) and Support Vector Machine (SVM) have been employed here in order to develop suitable model at two phases. Results reveal that very high water rich zone is found over 200–215 km2 wetland area followed by high water rich zone over 125–140 km2 wetland area in both the phases. Wetland habitat suitability assessment shows only 100–150 km2 of the wetland having very high suitability and 110–120 km2 of wetland having high suitability. Field investigation and accuracy assessment support the validity and acceptability of the results. Spatial linkage between water richness and habitat suitability demonstrates that 30–40% very high water rich zone represents very high habitat suitability figuring out importance of both the models. Therefore, results recommend that only water richness of the wetlands of the wetlands is not enough to represent the habitat suitability in the densely populated riparian flood plain region.","author":[{"dropping-particle":"","family":"Debanshi","given":"Sandipta","non-dropping-particle":"","parse-names":false,"suffix":""},{"dropping-particle":"","family":"Pal","given":"Swades","non-dropping-particle":"","parse-names":false,"suffix":""}],"container-title":"Journal of Environmental Management","id":"ITEM-2","issued":{"date-parts":[["2020","10","1"]]},"page":"110956","publisher":"Academic Press","title":"Modelling water richness and habitat suitability of the wetlands and measuring their spatial linkages in mature Ganges delta of India","type":"article-journal","volume":"271"},"uris":["http://www.mendeley.com/documents/?uuid=09d0d57f-639d-33d8-9ec7-acefa9e96cb3"]}],"mendeley":{"formattedCitation":"[4], [5]","plainTextFormattedCitation":"[4], [5]","previouslyFormattedCitation":"[4], [5]"},"properties":{"noteIndex":0},"schema":"https://github.com/citation-style-language/schema/raw/master/csl-citation.json"}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[4], [5]</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xml:space="preserve">. Tais ecossistemas cumprem funções ecológicas vitais tais como regulação climática, abastecimento de água, controle de inundações, proteção da biodiversidade, manutenção do equilíbrio de carbono e nutrientes,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{"citationItems":[{"id":"ITEM-1","itemData":{"DOI":"10.1016/j.jhydrol.2020.125038","ISSN":"00221694","abstract":"Hydrology is a critical environmental condition for the evolution of wetland ecosystems. The effects of hydrological changes on wetland cover are of great importance for preserving its ecological functions. In this study, the hydrological influences on wetland cover distribution and transition in a large complex lake–floodplain system, Poyang Lake (China), were investigated. Utilizing time-series satellite remote sensing observations, wetland cover types in Poyang Lake during 2000–2009, including water, mudflat, and the major vegetation communities, were extracted and related to the wetland hydrological characteristics calculated by the hydrodynamic simulations. The statistical results of annual inundation conditions for different wetland cover types indicated that vegetation communities were preferential to hydrological environments with shorter annual inundation than water and mudflats, and different vegetation communities were distributed in areas with considerable variations in annual inundation, which suggested a substantial hydrological influence on the distribution of wetland cover in Poyang Lake. Furthermore, this study investigated the impact of hydrological changes on the wetland cover transitions between typical dry and wet years. The results showed that hydrological fluctuations had various degrees of influences on different types of wetland cover transformation. The spatial analysis indicated that hydrological changes were probably the dominant factor for the wetland cover evolution in the floodplain areas of the northern and central parts of Poyang Lake, but not the unique determined factor for wetland cover transitions in the shallow floodplains near the sink of the inflows in the eastern and southwestern parts of Poyang Lake. This study provides a practical reference for the effects of hydrological regulation in the protection and restoration of Poyang Lake wetland.","author":[{"dropping-particle":"","family":"Liang","given":"Dong","non-dropping-particle":"","parse-names":false,"suffix":""},{"dropping-particle":"","family":"Lu","given":"Jianzhong","non-dropping-particle":"","parse-names":false,"suffix":""},{"dropping-particle":"","family":"Chen","given":"Xiaoling","non-dropping-particle":"","parse-names":false,"suffix":""},{"dropping-particle":"","family":"Liu","given":"Chun","non-dropping-particle":"","parse-names":false,"suffix":""},{"dropping-particle":"","family":"Lin","given":"Jingjing","non-dropping-particle":"","parse-names":false,"suffix":""}],"container-title":"Journal of Hydrology","id":"ITEM-1","issued":{"date-parts":[["2020","8","1"]]},"page":"125038","publisher":"Elsevier BV","title":"An investigation of the hydrological influence on the distribution and transition of wetland cover in a complex lake–floodplain system using time-series remote sensing and hydrodynamic simulation","type":"article-journal","volume":"587"},"uris":["http://www.mendeley.com/documents/?uuid=70be36c3-71bd-316a-b960-4ce373c61e84"]},{"id":"ITEM-2","itemData":{"DOI":"10.1016/j.sajb.2019.04.028","ISSN":"02546299","abstract":"Classification and description of wetland vegetation provides an understanding of the wetland vegetation–environment relationships, as well as their spatial variation and information for water resource management and biodiversity conservation. In this study, the montane palustrine wetland vegetation types of the Maloti-Drakensberg region and surrounding areas are discussed based on a phytosociological approach. The montane subset of the National Wetland Vegetation Database of South Africa was selected and supplemented with the new data collected from the Lesotho component of the Maloti-Drakensberg region. This montane subset was collected using the Braun-Blanquet method for vegetation and recommended methods for wetland environmental data. The new vegetation data from Lesotho were collected using the same methods used for the historical data. The combined data were then analysed mainly by means of clustering and ordination techniques. Forty-two wetland plant communities were obtained from the cluster analysis and these were summarised into sixteen community groups. These community groups are diverse in terms of species richness and also exhibit significant variation along the altitudinal gradient, mainly due to variations in environmental conditions that include temperature, parent material and the amount of precipitation, among other factors. The ordination revealed that the variation in the wetland vegetation is mainly explained by altitude, longitude, latitude, nitrogen content, soil depth, inundation depth and electrical conductivity, but slope, pH, sodium content, total organic carbon, soil texture and degree of wetness are also important. In terms of species composition, high altitude plant communities were distinctively different from those at low altitudes. Regarding distribution, montane wetland vegetation was found to be more concentrated in the Maloti-Drakensberg region than the rest of the region, although some community groups also occurred in the lowlands of Lesotho and all the provinces of South Africa. The diversity exhibited by these wetlands, coupled with their restricted distribution at high altitudes, capacity to support endemic species, their role in water resources and provision of other ecosystem services, point to the high conservation value associated with these ecosystems.","author":[{"dropping-particle":"","family":"Chatanga","given":"P.","non-dropping-particle":"","parse-names":false,"suffix":""},{"dropping-particle":"","family":"Kotze","given":"D. C.","non-dropping-particle":"","parse-names":false,"suffix":""},{"dropping-particle":"","family":"Janks","given":"M.","non-dropping-particle":"","parse-names":false,"suffix":""},{"dropping-particle":"","family":"Sieben","given":"E. J.J.","non-dropping-particle":"","parse-names":false,"suffix":""}],"container-title":"South African Journal of Botany","id":"ITEM-2","issued":{"date-parts":[["2019","9","1"]]},"page":"221-233","publisher":"Elsevier B.V.","title":"Classification, description and environmental factors of montane wetland vegetation of the Maloti-Drakensberg region and the surrounding areas","type":"article-journal","volume":"125"},"uris":["http://www.mendeley.com/documents/?uuid=bb1a1993-d919-3791-bba2-83a1464ed659"]}],"mendeley":{"formattedCitation":"[6], [7]","plainTextFormattedCitation":"[6], [7]","previouslyFormattedCitation":"[6], [7]"},"properties":{"noteIndex":0},"schema":"https://github.com/citation-style-language/schema/raw/master/csl-citation.json"}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[6], [7]</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xml:space="preserve"> bem como o desenvolvimento socioeconômico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{"citationItems":[{"id":"ITEM-1","itemData":{"DOI":"10.1016/j.jenvman.2020.110956","ISSN":"10958630","PMID":"32778270","abstract":"Present study has attempted to measure Water Richness (WR) and Wetland Habitat Suitability (WHS) in deltaic environment and assessed their spatial linkages. Water richness exhibits availability of water in wetland and its dynamicity, whereas wetland habitat suitability depicts physical habitat ambiance of a wetland toward vibrant ecosystem. Both the components are very essential and should be measured to explore ecosystem service and environmental heath of a region. For investigating water richness of the wetland six water availability indicating parameters have been chosen and for assessing wetland habitat suitability four additional parameters have been taken into consideration. Four widely used and recognised machine learning algorithms like Reduced Error Pruning (REP) tree, Random forest, Artificial Neural Network (ANN) and Support Vector Machine (SVM) have been employed here in order to develop suitable model at two phases. Results reveal that very high water rich zone is found over 200–215 km2 wetland area followed by high water rich zone over 125–140 km2 wetland area in both the phases. Wetland habitat suitability assessment shows only 100–150 km2 of the wetland having very high suitability and 110–120 km2 of wetland having high suitability. Field investigation and accuracy assessment support the validity and acceptability of the results. Spatial linkage between water richness and habitat suitability demonstrates that 30–40% very high water rich zone represents very high habitat suitability figuring out importance of both the models. Therefore, results recommend that only water richness of the wetlands of the wetlands is not enough to represent the habitat suitability in the densely populated riparian flood plain region.","author":[{"dropping-particle":"","family":"Debanshi","given":"Sandipta","non-dropping-particle":"","parse-names":false,"suffix":""},{"dropping-particle":"","family":"Pal","given":"Swades","non-dropping-particle":"","parse-names":false,"suffix":""}],"container-title":"Journal of Environmental Management","id":"ITEM-1","issued":{"date-parts":[["2020","10","1"]]},"page":"110956","publisher":"Academic Press","title":"Modelling water richness and habitat suitability of the wetlands and measuring their spatial linkages in mature Ganges delta of India","type":"article-journal","volume":"271"},"uris":["http://www.mendeley.com/documents/?uuid=09d0d57f-639d-33d8-9ec7-acefa9e96cb3"]}],"mendeley":{"formattedCitation":"[5]","plainTextFormattedCitation":"[5]","previouslyFormattedCitation":"[5]"},"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[5]</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xml:space="preserve">. </w:t>
      </w:r>
    </w:p>
    <w:p w14:paraId="417B56E6" w14:textId="77777777" w:rsidR="00AD2A1E" w:rsidRPr="00AD2A1E" w:rsidRDefault="00AD2A1E" w:rsidP="00AD2A1E">
      <w:pPr>
        <w:tabs>
          <w:tab w:val="left" w:pos="426"/>
        </w:tabs>
        <w:jc w:val="both"/>
        <w:rPr>
          <w:rFonts w:ascii="Arial" w:eastAsia="Arial" w:hAnsi="Arial" w:cs="Arial"/>
          <w:sz w:val="22"/>
          <w:szCs w:val="22"/>
          <w:lang w:val="pt-BR"/>
        </w:rPr>
      </w:pPr>
      <w:bookmarkStart w:id="0" w:name="_Hlk57994861"/>
      <w:r w:rsidRPr="00AD2A1E">
        <w:rPr>
          <w:rFonts w:ascii="Arial" w:eastAsia="Arial" w:hAnsi="Arial" w:cs="Arial"/>
          <w:sz w:val="22"/>
          <w:szCs w:val="22"/>
          <w:lang w:val="pt-BR"/>
        </w:rPr>
        <w:t xml:space="preserve">As terras úmidas foram reconhecidas em 1971 pela Convenção Ramsar como subconjuntos de reservas transitórias de importância universa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{"citationItems":[{"id":"ITEM-1","itemData":{"DOI":"10.1016/j.ecolind.2020.106542","ISSN":"1470160X","abstract":"Numerous studies have discovered damming effect on downstream river eco-hydrological state but little is thought about its consequences on eco-hydrology of riparian wetlands. Hydrological data scarcity at a spatial scale is one of the major constraints. The present study intends to explore the damming effect on eco-hydrological components like wetland depth, consistency in water appearance, hydrological stability, eco-hydrological failure and eco-deficit using spectral indices from remote sensing data taking Atreyee river basin as a case. Time series Normalized differences water index and Modified normalized differences water index are taken as the database. Range of variability approach and flow duration curve methods are adopted for the computing failure rate of ecological water appearance and eco-deficit in the wetland. The result shows a statistically acceptable positive relation (0.76 to 0.89) between normalized differences water index and modified normalized differences water index value and depth of water in wetland inferring the substitutability of spectral values to depth data. In the post-dam phase (2012 onward) about 82% and 96% wetland area in pre-monsoon and post-monsoon season has turned into a hydrologically unstable state leading to a growing failure rate for attaining ecologically essential water volume and eco-hydro deficit state of wetland. Damming has converted only 100% wetland area into the eco-deficit zone which is ecologically not viable. Based on the findings study recommends that for the survival of the river and wetland ecological flow is required to release from the dam.","author":[{"dropping-particle":"","family":"Pal","given":"Swades","non-dropping-particle":"","parse-names":false,"suffix":""},{"dropping-particle":"","family":"Sarda","given":"Rajesh","non-dropping-particle":"","parse-names":false,"suffix":""}],"container-title":"Ecological Indicators","id":"ITEM-1","issued":{"date-parts":[["2020","9","1"]]},"page":"106542","publisher":"Elsevier B.V.","title":"Damming effects on the degree of hydrological alteration and stability of wetland in lower Atreyee River basin","type":"article-journal","volume":"116"},"uris":["http://www.mendeley.com/documents/?uuid=e82795d5-d9a8-331d-be3f-67d4ba6ad068"]}],"mendeley":{"formattedCitation":"[8]","plainTextFormattedCitation":"[8]","previouslyFormattedCitation":"[8]"},"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[8]</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xml:space="preserve">. Ser objeto de estudo para a determinação dos serviços ecossistêmicos prestados pelos ecossistemas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{"citationItems":[{"id":"ITEM-1","itemData":{"DOI":"10.1016/j.scitotenv.2020.142339","ISSN":"18791026","abstract":"Estuarine wetlands have experienced a variety of ecological and environmental problems caused by natural and anthropogenic factors. China has proposed a series of measures and made great efforts to control coastal degradation; however, decision makers still urgently need to know which measures to implement and how they will influence the estuarine environment and functions. This study used field observations, a hydrodynamic model, and statistical methods to investigate the effects of potential restoration scenarios on hydrodynamic conditions in the tidal-influenced estuarine wetland system, Liaodong Bay (China). Results reveal that the average total phosphorus, organic carbon, available phosphorus, pH, total nitrogen content, and moisture content in the soil and sediment environment were 0.04 ± 0.003%, 0.84 ± 0.25%, 16.3 ± 4.7 mg/kg, 8.3 ± 0.1, 0.07 ± 0.02%, and 44 ± 2%, respectively, exhibiting an overall trend of degradation. A series of restoration scenarios in regards to hydrodynamic regulation and tidal inputs were used to preserve the ecological value of the estuarine wetland. Model simulations indicate that the significant improvement of hydrodynamic fields (inundation depth and flow velocity) is more likely to occur when the tidal amplitudes reach around 2 m, while relatively weak responses can be observed when the tidal levels are lower than 1 m. Additionally, the construction of floodgates may play a key role in determining the tidal inputs and flowpaths across the wetland. The modifications in micro-topography of the wetland may play a complementary role in enhancing the connectivity condition via increased creek depth of 0.5 m and width up to around 20 m. This work represents a first attempt in exploring hydrodynamic effects of restoration scenarios for a tidal-dominated wetland. An improved understanding of the estuarine system also highlights that the design and implementation of wetland restoration projects should use more comprehensive measures to achieve long-term landscape management, connectivity planning, and ecological sustainability.","author":[{"dropping-particle":"","family":"Li","given":"Xiuzhong","non-dropping-particle":"","parse-names":false,"suffix":""},{"dropping-particle":"","family":"Lei","given":"Guangchun","non-dropping-particle":"","parse-names":false,"suffix":""},{"dropping-particle":"","family":"Li","given":"Yunliang","non-dropping-particle":"","parse-names":false,"suffix":""},{"dropping-particle":"","family":"Wang","given":"Yuyu","non-dropping-particle":"","parse-names":false,"suffix":""},{"dropping-particle":"","family":"Tan","given":"Zhiqiang","non-dropping-particle":"","parse-names":false,"suffix":""}],"container-title":"Science of the Total Environment","id":"ITEM-1","issued":{"date-parts":[["2021","1","15"]]},"page":"142339","publisher":"Elsevier B.V.","title":"Assessing hydrodynamic effects of ecological restoration scenarios for a tidal-dominated wetland in Liaodong Bay (China)","type":"article-journal","volume":"752"},"uris":["http://www.mendeley.com/documents/?uuid=ca771d2b-6f1f-3374-99c3-9eca0da8784d"]}],"mendeley":{"formattedCitation":"[9]","plainTextFormattedCitation":"[9]","previouslyFormattedCitation":"[9]"},"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[9]</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xml:space="preserve">, diversidade biológica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{"citationItems":[{"id":"ITEM-1","itemData":{"DOI":"10.1016/j.physleta.2020.126542","ISSN":"03759601","abstract":"We study how the mode of dynamic habitat loss and fragmentation can impact the levels of biodiversity in an ecosystem. The problem is formulated into the framework of resource-based modelling and, opposed to previous studies relying on neutral models, here elements of niche theory are incorporated into the modeling by considering that the species are not ecologically equivalent. In our model the habitat loss is carried out by using a fractal landscape that is constructed through the use of fractional Brownian motion. Thus we can tune the roughness of the landscape by changing the Hurst exponent. We show that both the mode of habitat loss and the level of environmental heterogeneity influence the patterns of species distribution. We notice a larger impact of fragmentation on the number of species when the fragments are more compact. We observe that the relationship between biodiversity and heterogeneity is described by a one-humped function.","author":[{"dropping-particle":"","family":"Souza","given":"Carlos A.M.","non-dropping-particle":"De","parse-names":false,"suffix":""},{"dropping-particle":"","family":"Daza","given":"Sara L.C.","non-dropping-particle":"","parse-names":false,"suffix":""},{"dropping-particle":"","family":"Lima Filho","given":"José A.","non-dropping-particle":"de","parse-names":false,"suffix":""},{"dropping-particle":"","family":"Campos","given":"Paulo R.A.","non-dropping-particle":"","parse-names":false,"suffix":""},{"dropping-particle":"","family":"Oliveira","given":"Viviane M.","non-dropping-particle":"de","parse-names":false,"suffix":""}],"container-title":"Physics Letters, Section A: General, Atomic and Solid State Physics","id":"ITEM-1","issue":"22","issued":{"date-parts":[["2020","8","6"]]},"page":"126542","publisher":"Elsevier B.V.","title":"Effect of dynamic fragmentation on biodiversity in a heterogeneous environment","type":"article-journal","volume":"384"},"uris":["http://www.mendeley.com/documents/?uuid=72f8d598-cb02-33dd-9330-bd25cfe23639"]}],"mendeley":{"formattedCitation":"[10]","plainTextFormattedCitation":"[10]","previouslyFormattedCitation":"[10]"},"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[10]</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xml:space="preserve">, recursos hídricos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{"citationItems":[{"id":"ITEM-1","itemData":{"DOI":"10.3390/W12041071","ISSN":"20734441","abstract":"High-altitude peatlands in the Andes, i.e., bofedales, play an essential role in alpine ecosystems, regulating the local water balance and supporting biodiversity. This is particularly true in semiarid Chile, where bofedales develop near the altitudinal and hydrological limits of plant life. The subterranean geometry and stratigraphy of one peatland was characterized in north-central Chile using Electrical Resistivity Tomography (ERT), Ground Penetrating Radar (GPR) and core extraction. Two sounding locations, two transversal and one longitudinal profile allowed a 3D interpretation of the bofedal's internal structure. A conceptual model of the current bofedal system is proposed. Geophysical results combined with porosity measurements were used to estimate the bofedal water storage capacity. Using hydrological data at the watershed scale, implications regarding the hydrological role of bofedales in the semiarid Andes were then briefly assessed. At the catchment scale, bofedal water storage capacity, evapotranspiration losses and annual streamflow are on the same order of magnitude. High-altitude peatlands are therefore storing a significant amount of water and their impact on basin hydrology should be investigated further.","author":[{"dropping-particle":"","family":"Valois","given":"Remi","non-dropping-particle":"","parse-names":false,"suffix":""},{"dropping-particle":"","family":"Schaffer","given":"Nicole","non-dropping-particle":"","parse-names":false,"suffix":""},{"dropping-particle":"","family":"Figueroa","given":"Ronny","non-dropping-particle":"","parse-names":false,"suffix":""},{"dropping-particle":"","family":"Maldonado","given":"Antonio","non-dropping-particle":"","parse-names":false,"suffix":""},{"dropping-particle":"","family":"Yáñez","given":"Eduardo","non-dropping-particle":"","parse-names":false,"suffix":""},{"dropping-particle":"","family":"Hevia","given":"Andrés","non-dropping-particle":"","parse-names":false,"suffix":""},{"dropping-particle":"","family":"Carrizo","given":"Gonzalo Yánez","non-dropping-particle":"","parse-names":false,"suffix":""},{"dropping-particle":"","family":"MacDonell","given":"Shelley","non-dropping-particle":"","parse-names":false,"suffix":""}],"container-title":"Water","id":"ITEM-1","issue":"4","issued":{"date-parts":[["2020","4","1"]]},"page":"1071","publisher":"MDPI AG","title":"Characterizing the water storage capacity and hydrological role of mountain peatlands in the arid andes of North-Central Chile","type":"article-journal","volume":"12"},"uris":["http://www.mendeley.com/documents/?uuid=b969ac18-b64f-3cad-a5f9-9d466b214d10"]}],"mendeley":{"formattedCitation":"[11]","plainTextFormattedCitation":"[11]","previouslyFormattedCitation":"[11]"},"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[11]</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xml:space="preserve">, sequestro e neutralização de carbono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{"citationItems":[{"id":"ITEM-1","itemData":{"DOI":"10.15446/caldasia.v38n1.57833","ISSN":"0366-5232","abstract":"© 2016, Universidad Nacional de Colombia. All rights reserved. This paper presents a characterization of the carbon accumulation process in small Andean wetlands located in the Upper Rio Barbas, in the town of Finlandia, Quindio, Colombia. Decomposition bags were used to estimate organic matter decomposition rates and values for the decomposition constant in the short term; loss on ignition and carbon-14 dating were used to calculate rates of carbon accumulation in the long term. The 52 wetlands occupy an area of 7.2 ha and are located at elevations between 2,000 and 2,200 masl. The decomposition constant, k is 0.524 for wetland soils in contrast with 0.962 for well drained soils. The carbon concentration in the three wetlands varies between 91 and 319 g C kg -1 . Carbon stocks per unit area in the three studied wetlands range between 80 and 117 kg C m -2 . The long term rate of carbon accumulation - LARCA - is between 30 and 50 g C m -2  yr -1 , comparable to those found for peat areas of Andean paramos.","author":[{"dropping-particle":"","family":"Roa-García","given":"María Cecilia","non-dropping-particle":"","parse-names":false,"suffix":""},{"dropping-particle":"","family":"Brown","given":"Sandra","non-dropping-particle":"","parse-names":false,"suffix":""}],"container-title":"Caldasia","id":"ITEM-1","issue":"1","issued":{"date-parts":[["2016"]]},"page":"117-136","title":"Characterization of carbon storage in small Andean Wetlands of the upper Río Barbas Watershed (Quindío, Colombia)","type":"article-journal","volume":"38"},"uris":["http://www.mendeley.com/documents/?uuid=1be31d4e-ce99-4d3d-a919-a999ee02b045"]}],"mendeley":{"formattedCitation":"[12]","plainTextFormattedCitation":"[12]","previouslyFormattedCitation":"[12]"},"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[12]</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entre outros, que buscam contribuir para o conhecimento na gestão estratégica, favorecendo a preservação dessas áreas e o bem-estar da humanidade.</w:t>
      </w:r>
      <w:bookmarkEnd w:id="0"/>
    </w:p>
    <w:p w14:paraId="33C1923E" w14:textId="041EA1AF" w:rsidR="00AD2A1E" w:rsidRPr="00AD2A1E" w:rsidRDefault="00AD2A1E" w:rsidP="00AD2A1E">
      <w:pPr>
        <w:tabs>
          <w:tab w:val="left" w:pos="426"/>
        </w:tabs>
        <w:jc w:val="both"/>
        <w:rPr>
          <w:rFonts w:ascii="Arial" w:eastAsia="Arial" w:hAnsi="Arial" w:cs="Arial"/>
          <w:sz w:val="22"/>
          <w:szCs w:val="22"/>
          <w:lang w:val="pt-BR"/>
        </w:rPr>
      </w:pPr>
      <w:r w:rsidRPr="00192ECB">
        <w:rPr>
          <w:rFonts w:ascii="Arial" w:eastAsia="Arial" w:hAnsi="Arial" w:cs="Arial"/>
          <w:sz w:val="22"/>
          <w:szCs w:val="22"/>
          <w:lang w:val="pt-BR"/>
        </w:rPr>
        <w:tab/>
      </w:r>
      <w:r w:rsidRPr="00AD2A1E">
        <w:rPr>
          <w:rFonts w:ascii="Arial" w:eastAsia="Arial" w:hAnsi="Arial" w:cs="Arial"/>
          <w:sz w:val="22"/>
          <w:szCs w:val="22"/>
          <w:lang w:val="pt-BR"/>
        </w:rPr>
        <w:t xml:space="preserve">Apesar da importância ecológica das áreas úmidas, seus serviços ambientais têm sido afetados pela pressão exercida por atividades antropogênicas como desmatamento, atividades agrícolas e pecuárias, despejo de resíduos sólidos e líquidos, processos de desenvolvimento urbano; sendo este último um dos mais complexos, já que é um motor de mudança socioambiental que transforma o ecossistema levando à perda de habitat e diminuição da biodiversidade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{"citationItems":[{"id":"ITEM-1","itemData":{"DOI":"10.14198/ingeo2017.68.09","ISSN":"0213-4691","abstract":"La periurbanización se ha considerado como motor del cambio de uso del suelo y de la pérdida de ecosistemas y de biodiversidad. A partir de esta premisa, la investigación plantea el seguimiento, desde una doble perspectiva, histórica y predictiva, de los cambios en la superficie de los humedales y en la deforestación progresiva entorno a Villahermosa, la urbe más importante de la cuenca del río Grijalva, en el Estado de Tabasco (México). Se han utilizado diferentes métodos: el análisis bibliográfico para el periodo desde la fundación de la ciudad hasta el último tercio del siglo XX, la verificación de fotografías aéreas entre 1984 y 2008 y la modelización de escenarios futuros, entre 2020 y 2040. Desde el periodo colonial hasta mediados del siglo veinte, las inundaciones y la insalubridad dificultaron el crecimiento de la ciudad pese a la transformación de la red hídrica superficial en la cuenca, iniciada mediante la construcción de diques en el siglo XVII. Posteriormente, las elevadas tasas de pérdida de humedales y deforestación (-0.50 y -4.63 %) se incrementaron por la urbanización y el impacto de los programas de producción agropecuaria y petrolización. En los últimos 40 años, el desarrollo periurbano ocasionó la pérdida de 4.008 ha de vegetación arbórea y 289 ha de humedales, con una tendencia a desaparecer 1.449 y 356 ha adicionales respectivamente en el futuro 2040. Estos resultados resaltan la necesidad de rediseñar un programa metropolitano, transdisciplinario y sustentable que respete y actualice las reservas territoriales para regular la periurbanización.","author":[{"dropping-particle":"","family":"Palomeque de la Cruz","given":"Miguel Ángel","non-dropping-particle":"","parse-names":false,"suffix":""},{"dropping-particle":"","family":"Galindo Alcántara","given":"Adalberto","non-dropping-particle":"","parse-names":false,"suffix":""},{"dropping-particle":"","family":"Sánchez","given":"Alberto J","non-dropping-particle":"","parse-names":false,"suffix":""},{"dropping-particle":"","family":"Escalona Maurice","given":"Miguel Jorge","non-dropping-particle":"","parse-names":false,"suffix":""}],"container-title":"Investigaciones Geográficas","id":"ITEM-1","issue":"68","issued":{"date-parts":[["2017"]]},"page":"151-172","title":"Pérdida de humedales y vegetación por urbanización en la cuenca del río Grijalva, México","type":"article-journal"},"uris":["http://www.mendeley.com/documents/?uuid=f25d0739-bb20-39b5-b21c-2717a8652908"]},{"id":"ITEM-2","itemData":{"DOI":"10.14483/udistrital.jour.colomb.for.2017.2.a07","ISSN":"0120-0739","abstract":"Los humedales desempeñan un papel fundamental desde una perspectiva ecológica y socioeconómica. Contrario a la idea ya obsoleta de lugares insalubres y de poca productividad, hoy son considerados ecosistemas estratégicos, amortiguadores de crecientes, sitios especiales de conservación de biota y cruciales por los servicios ecosistémicos que prestan. Partiendo de una revisión bibliográfica referente al estado ecológico de los humedales en Colombia en los últimos 15 años, se analizó cuáles son los factores, problemáticas e impactos más frecuentes y comunes que se presentan en 29 humedales colombianos. Se aplicó una metodología prospectiva, mediante el software MICMAC®, con el fin de conocer y priorizar los factores que son más sensibles a la transformación del ecosistema y sobre los cuales habría que tomar acciones de mitigación, preservación y/o conservación. Se encontró que los procesos urbanísticos son un factor de alto impacto en el deterioro del humedal. Se pudo comprobar la potencialidad y robustez del software MICMAC® como herramienta de análisis prospectivo, lo cual podría ser usado por las autoridades ambientales para mejorar la toma de decisiones respecto a qué hacer, cómo actuar y qué esperar de los factores y problemáticas que se presentan en los humedales.","author":[{"dropping-particle":"","family":"Rodríguez","given":"Juan Pablo","non-dropping-particle":"","parse-names":false,"suffix":""},{"dropping-particle":"","family":"Senhadji-Navarro","given":"Karim Karim","non-dropping-particle":"","parse-names":false,"suffix":""},{"dropping-particle":"","family":"Ruiz Ochoa","given":"Mauricio Andres","non-dropping-particle":"","parse-names":false,"suffix":""}],"container-title":"Colombia Forestal","id":"ITEM-2","issue":"2","issued":{"date-parts":[["2017","6","21"]]},"page":"181","title":"Estado ecológico de algunos humedales colombianos en los últimos 15 años: Una evaluación prospectiva","type":"article-journal","volume":"20"},"uris":["http://www.mendeley.com/documents/?uuid=e1479b26-1d60-3868-b716-a32e2b5b8e5f"]}],"mendeley":{"formattedCitation":"[13], [14]","plainTextFormattedCitation":"[13], [14]","previouslyFormattedCitation":"[13], [14]"},"properties":{"noteIndex":0},"schema":"https://github.com/citation-style-language/schema/raw/master/csl-citation.json"}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[13], [14]</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xml:space="preserve">. </w:t>
      </w:r>
    </w:p>
    <w:p w14:paraId="24142273" w14:textId="262D7358" w:rsidR="00AD2A1E" w:rsidRPr="00AD2A1E" w:rsidRDefault="00AD2A1E" w:rsidP="00AD2A1E">
      <w:pPr>
        <w:tabs>
          <w:tab w:val="left" w:pos="426"/>
        </w:tabs>
        <w:jc w:val="both"/>
        <w:rPr>
          <w:rFonts w:ascii="Arial" w:eastAsia="Arial" w:hAnsi="Arial" w:cs="Arial"/>
          <w:sz w:val="22"/>
          <w:szCs w:val="22"/>
          <w:lang w:val="pt-BR"/>
        </w:rPr>
      </w:pPr>
      <w:r w:rsidRPr="00192ECB">
        <w:rPr>
          <w:rFonts w:ascii="Arial" w:eastAsia="Arial" w:hAnsi="Arial" w:cs="Arial"/>
          <w:sz w:val="22"/>
          <w:szCs w:val="22"/>
          <w:lang w:val="pt-BR"/>
        </w:rPr>
        <w:tab/>
      </w:r>
      <w:r w:rsidRPr="00AD2A1E">
        <w:rPr>
          <w:rFonts w:ascii="Arial" w:eastAsia="Arial" w:hAnsi="Arial" w:cs="Arial"/>
          <w:sz w:val="22"/>
          <w:szCs w:val="22"/>
          <w:lang w:val="pt-BR"/>
        </w:rPr>
        <w:t>Este artigo apresenta uma revisão sistemática dos fatores socioambientais que afetam a recarga de água em zonas úmidas, com o objetivo de contribuir para o tema e realizar uma análise da vulnerabilidade dos sistemas de zonas úmidas em nível internacional, levando em conta os elementos que influenciam um maior risco na diminuição da recarga de água, a fragmentação dos habitats, o aumento do número de manchas e a diminuição da biodiversidade.</w:t>
      </w:r>
    </w:p>
    <w:p w14:paraId="12347FDB" w14:textId="77777777" w:rsidR="00FC426F" w:rsidRPr="00192ECB" w:rsidRDefault="00FC426F">
      <w:pPr>
        <w:tabs>
          <w:tab w:val="left" w:pos="0"/>
        </w:tabs>
        <w:jc w:val="both"/>
        <w:rPr>
          <w:rFonts w:ascii="Arial" w:eastAsia="Arial" w:hAnsi="Arial" w:cs="Arial"/>
          <w:b/>
          <w:sz w:val="22"/>
          <w:szCs w:val="22"/>
          <w:lang w:val="pt-BR"/>
        </w:rPr>
      </w:pPr>
    </w:p>
    <w:p w14:paraId="4B47137F" w14:textId="17B66FC2" w:rsidR="00192ECB" w:rsidRPr="00192ECB" w:rsidRDefault="00192ECB" w:rsidP="00192ECB">
      <w:pPr>
        <w:tabs>
          <w:tab w:val="left" w:pos="0"/>
        </w:tabs>
        <w:rPr>
          <w:rFonts w:ascii="Arial" w:eastAsia="Arial" w:hAnsi="Arial" w:cs="Arial"/>
          <w:b/>
          <w:sz w:val="22"/>
          <w:szCs w:val="22"/>
          <w:lang w:val="pt-BR"/>
        </w:rPr>
      </w:pPr>
      <w:r w:rsidRPr="00192ECB">
        <w:rPr>
          <w:rFonts w:ascii="Arial" w:eastAsia="Arial" w:hAnsi="Arial" w:cs="Arial"/>
          <w:b/>
          <w:sz w:val="22"/>
          <w:szCs w:val="22"/>
          <w:lang w:val="pt-BR"/>
        </w:rPr>
        <w:t>Materiais e métodos</w:t>
      </w:r>
    </w:p>
    <w:p w14:paraId="214EAFA1" w14:textId="77777777" w:rsidR="00FC426F" w:rsidRPr="00192ECB" w:rsidRDefault="00FC426F">
      <w:pPr>
        <w:tabs>
          <w:tab w:val="left" w:pos="0"/>
        </w:tabs>
        <w:jc w:val="both"/>
        <w:rPr>
          <w:rFonts w:ascii="Arial" w:eastAsia="Arial" w:hAnsi="Arial" w:cs="Arial"/>
          <w:sz w:val="22"/>
          <w:szCs w:val="22"/>
          <w:lang w:val="pt-BR"/>
        </w:rPr>
      </w:pPr>
    </w:p>
    <w:p w14:paraId="77C394DF" w14:textId="4DB5F8FF" w:rsidR="00AD2A1E" w:rsidRPr="00AD2A1E" w:rsidRDefault="00AD2A1E" w:rsidP="00AD2A1E">
      <w:pPr>
        <w:tabs>
          <w:tab w:val="left" w:pos="0"/>
        </w:tabs>
        <w:jc w:val="both"/>
        <w:rPr>
          <w:rFonts w:ascii="Arial" w:eastAsia="Arial" w:hAnsi="Arial" w:cs="Arial"/>
          <w:sz w:val="22"/>
          <w:szCs w:val="22"/>
          <w:lang w:val="pt-BR"/>
        </w:rPr>
      </w:pPr>
      <w:r w:rsidRPr="00192ECB">
        <w:rPr>
          <w:rFonts w:ascii="Arial" w:eastAsia="Arial" w:hAnsi="Arial" w:cs="Arial"/>
          <w:sz w:val="22"/>
          <w:szCs w:val="22"/>
          <w:lang w:val="pt-BR"/>
        </w:rPr>
        <w:tab/>
      </w:r>
      <w:r w:rsidRPr="00AD2A1E">
        <w:rPr>
          <w:rFonts w:ascii="Arial" w:eastAsia="Arial" w:hAnsi="Arial" w:cs="Arial"/>
          <w:sz w:val="22"/>
          <w:szCs w:val="22"/>
          <w:lang w:val="pt-BR"/>
        </w:rPr>
        <w:t xml:space="preserve">Para a revisão das informações, foi realizada uma busca e identificação de documentos utilizando o banco de dados científico Scopus®, de propriedade da Elsevier BV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{"citationItems":[{"id":"ITEM-1","itemData":{"abstract":"Представлено руководство по использованию базы данных Scopus на платформе SciVerse издательства Elsevier на русском языке.","author":[{"dropping-particle":"","family":"Scopus","given":"","non-dropping-particle":"","parse-names":false,"suffix":""}],"container-title":"SciVerse® Scopus.","id":"ITEM-1","issued":{"date-parts":[["2020"]]},"publisher":"Elsevier B.V.","publisher-place":"Amsterdam, Netherlands","title":"SciVerse Scopus","type":"patent"},"uris":["http://www.mendeley.com/documents/?uuid=3579dd6b-d152-330c-a2a2-c6dfd6e2f46a"]}],"mendeley":{"formattedCitation":"[36]","plainTextFormattedCitation":"[36]","previouslyFormattedCitation":"[37]"},"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[36]</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xml:space="preserve">. Este processo de busca foi realizado em dezembro de 2020 utilizando o seguinte algoritmo de busca: </w:t>
      </w:r>
      <w:r w:rsidRPr="00AD2A1E">
        <w:rPr>
          <w:rFonts w:ascii="Arial" w:eastAsia="Arial" w:hAnsi="Arial" w:cs="Arial"/>
          <w:i/>
          <w:iCs/>
          <w:sz w:val="22"/>
          <w:szCs w:val="22"/>
          <w:lang w:val="en-US"/>
        </w:rPr>
        <w:t>“wetlands” AND “ecosystem services” OR “environmental services”,</w:t>
      </w:r>
      <w:r w:rsidRPr="00AD2A1E">
        <w:rPr>
          <w:rFonts w:ascii="Arial" w:eastAsia="Arial" w:hAnsi="Arial" w:cs="Arial"/>
          <w:sz w:val="22"/>
          <w:szCs w:val="22"/>
          <w:lang w:val="en-US"/>
        </w:rPr>
        <w:t xml:space="preserve"> </w:t>
      </w:r>
      <w:r w:rsidRPr="00AD2A1E">
        <w:rPr>
          <w:rFonts w:ascii="Arial" w:eastAsia="Arial" w:hAnsi="Arial" w:cs="Arial"/>
          <w:sz w:val="22"/>
          <w:szCs w:val="22"/>
          <w:lang w:val="pt-BR"/>
        </w:rPr>
        <w:t>filtrados novamente com palavras-chave tais como:</w:t>
      </w:r>
      <w:r w:rsidRPr="00AD2A1E">
        <w:rPr>
          <w:rFonts w:ascii="Arial" w:eastAsia="Arial" w:hAnsi="Arial" w:cs="Arial"/>
          <w:sz w:val="22"/>
          <w:szCs w:val="22"/>
          <w:lang w:val="en-US"/>
        </w:rPr>
        <w:t xml:space="preserve"> “</w:t>
      </w:r>
      <w:r w:rsidRPr="00AD2A1E">
        <w:rPr>
          <w:rFonts w:ascii="Arial" w:eastAsia="Arial" w:hAnsi="Arial" w:cs="Arial"/>
          <w:i/>
          <w:iCs/>
          <w:sz w:val="22"/>
          <w:szCs w:val="22"/>
          <w:lang w:val="en-US"/>
        </w:rPr>
        <w:t>water recharge</w:t>
      </w:r>
      <w:r w:rsidRPr="00AD2A1E">
        <w:rPr>
          <w:rFonts w:ascii="Arial" w:eastAsia="Arial" w:hAnsi="Arial" w:cs="Arial"/>
          <w:sz w:val="22"/>
          <w:szCs w:val="22"/>
          <w:lang w:val="en-US"/>
        </w:rPr>
        <w:t>”, “</w:t>
      </w:r>
      <w:r w:rsidRPr="00AD2A1E">
        <w:rPr>
          <w:rFonts w:ascii="Arial" w:eastAsia="Arial" w:hAnsi="Arial" w:cs="Arial"/>
          <w:i/>
          <w:iCs/>
          <w:sz w:val="22"/>
          <w:szCs w:val="22"/>
          <w:lang w:val="en-US"/>
        </w:rPr>
        <w:t>anthropic disturbances</w:t>
      </w:r>
      <w:r w:rsidRPr="00AD2A1E">
        <w:rPr>
          <w:rFonts w:ascii="Arial" w:eastAsia="Arial" w:hAnsi="Arial" w:cs="Arial"/>
          <w:sz w:val="22"/>
          <w:szCs w:val="22"/>
          <w:lang w:val="en-US"/>
        </w:rPr>
        <w:t>”, “</w:t>
      </w:r>
      <w:r w:rsidRPr="00AD2A1E">
        <w:rPr>
          <w:rFonts w:ascii="Arial" w:eastAsia="Arial" w:hAnsi="Arial" w:cs="Arial"/>
          <w:i/>
          <w:iCs/>
          <w:sz w:val="22"/>
          <w:szCs w:val="22"/>
          <w:lang w:val="en-US"/>
        </w:rPr>
        <w:t>anthropic factors</w:t>
      </w:r>
      <w:r w:rsidRPr="00AD2A1E">
        <w:rPr>
          <w:rFonts w:ascii="Arial" w:eastAsia="Arial" w:hAnsi="Arial" w:cs="Arial"/>
          <w:sz w:val="22"/>
          <w:szCs w:val="22"/>
          <w:lang w:val="en-US"/>
        </w:rPr>
        <w:t>”, “</w:t>
      </w:r>
      <w:r w:rsidRPr="00AD2A1E">
        <w:rPr>
          <w:rFonts w:ascii="Arial" w:eastAsia="Arial" w:hAnsi="Arial" w:cs="Arial"/>
          <w:i/>
          <w:iCs/>
          <w:sz w:val="22"/>
          <w:szCs w:val="22"/>
          <w:lang w:val="en-US"/>
        </w:rPr>
        <w:t>hydric resource</w:t>
      </w:r>
      <w:r w:rsidRPr="00AD2A1E">
        <w:rPr>
          <w:rFonts w:ascii="Arial" w:eastAsia="Arial" w:hAnsi="Arial" w:cs="Arial"/>
          <w:sz w:val="22"/>
          <w:szCs w:val="22"/>
          <w:lang w:val="en-US"/>
        </w:rPr>
        <w:t>” y “</w:t>
      </w:r>
      <w:r w:rsidRPr="00AD2A1E">
        <w:rPr>
          <w:rFonts w:ascii="Arial" w:eastAsia="Arial" w:hAnsi="Arial" w:cs="Arial"/>
          <w:i/>
          <w:iCs/>
          <w:sz w:val="22"/>
          <w:szCs w:val="22"/>
          <w:lang w:val="en-US"/>
        </w:rPr>
        <w:t>Climate change</w:t>
      </w:r>
      <w:r w:rsidRPr="00AD2A1E">
        <w:rPr>
          <w:rFonts w:ascii="Arial" w:eastAsia="Arial" w:hAnsi="Arial" w:cs="Arial"/>
          <w:sz w:val="22"/>
          <w:szCs w:val="22"/>
          <w:lang w:val="en-US"/>
        </w:rPr>
        <w:t>”.</w:t>
      </w:r>
      <w:r w:rsidRPr="00AD2A1E">
        <w:rPr>
          <w:rFonts w:ascii="Arial" w:eastAsia="Arial" w:hAnsi="Arial" w:cs="Arial"/>
          <w:sz w:val="22"/>
          <w:szCs w:val="22"/>
          <w:lang w:val="pt-BR"/>
        </w:rPr>
        <w:t xml:space="preserve"> É importante observar que os critérios para pesquisar as informações foram os seguintes: a) utilizando algoritmos de pesquisa e palavras-chave somente em inglês, b) publicações dentro de uma faixa de não mais de 21 anos (2000 a 2021), e c) diferentes fontes como artigos científicos, resenhas, livros, capítulos de livros, artigos de conferência, artigos curtos, entre outros.</w:t>
      </w:r>
    </w:p>
    <w:p w14:paraId="253338F5" w14:textId="591E3CDB" w:rsidR="00AD2A1E" w:rsidRPr="00AD2A1E" w:rsidRDefault="00AD2A1E" w:rsidP="00AD2A1E">
      <w:pPr>
        <w:tabs>
          <w:tab w:val="left" w:pos="0"/>
        </w:tabs>
        <w:jc w:val="both"/>
        <w:rPr>
          <w:rFonts w:ascii="Arial" w:eastAsia="Arial" w:hAnsi="Arial" w:cs="Arial"/>
          <w:sz w:val="22"/>
          <w:szCs w:val="22"/>
          <w:lang w:val="pt-BR"/>
        </w:rPr>
      </w:pPr>
      <w:r w:rsidRPr="00192ECB">
        <w:rPr>
          <w:rFonts w:ascii="Arial" w:eastAsia="Arial" w:hAnsi="Arial" w:cs="Arial"/>
          <w:sz w:val="22"/>
          <w:szCs w:val="22"/>
          <w:lang w:val="pt-BR"/>
        </w:rPr>
        <w:lastRenderedPageBreak/>
        <w:tab/>
      </w:r>
      <w:r w:rsidRPr="00AD2A1E">
        <w:rPr>
          <w:rFonts w:ascii="Arial" w:eastAsia="Arial" w:hAnsi="Arial" w:cs="Arial"/>
          <w:sz w:val="22"/>
          <w:szCs w:val="22"/>
          <w:lang w:val="pt-BR"/>
        </w:rPr>
        <w:t xml:space="preserve">Com os documentos finais extraídos utilizando a metodologia descrita, foi organizado um banco de dados utilizando o programa de software de escritório Microsoft Excel, que incluiu vários fatores como: nomes dos autores, título do documento publicado, ano de publicação, tipo de documento, classe de acesso, afiliação dos autores, revista de publicação, país de publicação e número de citações recebidas. Estas informações foram utilizadas para realizar uma análise descritiva, identificar as instituições e países que estão trabalhando e/ou publicando sobre o assunto, bem como para identificar as publicações mais citadas e os autores com o maior número de publicações. </w:t>
      </w:r>
    </w:p>
    <w:p w14:paraId="391CD1EA" w14:textId="140914B2" w:rsidR="00AD2A1E" w:rsidRPr="00AD2A1E" w:rsidRDefault="00AD2A1E" w:rsidP="00AD2A1E">
      <w:pPr>
        <w:tabs>
          <w:tab w:val="left" w:pos="0"/>
        </w:tabs>
        <w:jc w:val="both"/>
        <w:rPr>
          <w:rFonts w:ascii="Arial" w:eastAsia="Arial" w:hAnsi="Arial" w:cs="Arial"/>
          <w:sz w:val="22"/>
          <w:szCs w:val="22"/>
          <w:lang w:val="pt-BR"/>
        </w:rPr>
      </w:pPr>
      <w:r w:rsidRPr="00192ECB">
        <w:rPr>
          <w:rFonts w:ascii="Arial" w:eastAsia="Arial" w:hAnsi="Arial" w:cs="Arial"/>
          <w:sz w:val="22"/>
          <w:szCs w:val="22"/>
          <w:lang w:val="pt-BR"/>
        </w:rPr>
        <w:tab/>
      </w:r>
      <w:r w:rsidRPr="00AD2A1E">
        <w:rPr>
          <w:rFonts w:ascii="Arial" w:eastAsia="Arial" w:hAnsi="Arial" w:cs="Arial"/>
          <w:sz w:val="22"/>
          <w:szCs w:val="22"/>
          <w:lang w:val="pt-BR"/>
        </w:rPr>
        <w:t xml:space="preserve">Na construção dos diagramas estratégicos, que foram divididos em 7 períodos (2000-2002; 2003-2005; 2006-2008; 2009-2011; 2012-2014; 2015-2017 e 2018-2021), foi utilizado o software SciMAT, que permitiu a visualização cronológica da evolução do tema sob uma estrutura longitudinal associada às palavras-chave das publicações através da metodologia proposta por Cobo </w:t>
      </w:r>
      <w:r w:rsidRPr="00AD2A1E">
        <w:rPr>
          <w:rFonts w:ascii="Arial" w:eastAsia="Arial" w:hAnsi="Arial" w:cs="Arial"/>
          <w:i/>
          <w:iCs/>
          <w:sz w:val="22"/>
          <w:szCs w:val="22"/>
          <w:lang w:val="pt-BR"/>
        </w:rPr>
        <w:t>et al</w:t>
      </w:r>
      <w:r w:rsidRPr="00AD2A1E">
        <w:rPr>
          <w:rFonts w:ascii="Arial" w:eastAsia="Arial" w:hAnsi="Arial" w:cs="Arial"/>
          <w:sz w:val="22"/>
          <w:szCs w:val="22"/>
          <w:lang w:val="pt-BR"/>
        </w:rPr>
        <w:t xml:space="preserve">.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{"citationItems":[{"id":"ITEM-1","itemData":{"DOI":"10.1002/asi.22688","ISSN":"15322882","abstract":"This article presents a new open-source software tool, SciMAT, which performs science mapping analysis within a longitudinal framework. It provides different modules that help the analyst to carry out all the steps of the science mapping workflow. In addition, SciMAT presents three key features that are remarkable in respect to other science mapping software tools: (a) a powerful preprocessing module to clean the raw bibliographical data, (b) the use of bibliometric measures to study the impact of each studied element, and (c) a wizard to configure the analysis. © 2012 ASIS&amp;T.","author":[{"dropping-particle":"","family":"Cobo","given":"M. J.","non-dropping-particle":"","parse-names":false,"suffix":""},{"dropping-particle":"","family":"Lõpez-Herrera","given":"A. G.","non-dropping-particle":"","parse-names":false,"suffix":""},{"dropping-particle":"","family":"Herrera-Viedma","given":"E.","non-dropping-particle":"","parse-names":false,"suffix":""},{"dropping-particle":"","family":"Herrera","given":"F.","non-dropping-particle":"","parse-names":false,"suffix":""}],"container-title":"Journal of the American Society for Information Science and Technology","id":"ITEM-1","issue":"8","issued":{"date-parts":[["2012","8","1"]]},"page":"1609-1630","publisher":"John Wiley &amp; Sons, Ltd","title":"SciMAT: A new science mapping analysis software tool","type":"article-journal","volume":"63"},"suppress-author":1,"uris":["http://www.mendeley.com/documents/?uuid=c37aca2b-b608-3080-b80c-c57ce72729ab"]}],"mendeley":{"formattedCitation":"[37]","plainTextFormattedCitation":"[37]","previouslyFormattedCitation":"[38]"},"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[37]</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nas quais as palavras-chave são utilizadas como unidades de pesquisa, a co-ocorrência para obter os diagramas, o índice de equivalência como medida de normalização, os algoritmos centrais simples são escolhidos para o agrupamento dos eixos temáticos, o h-Index como medida de qualidade, o índice de inclusão como medida de evolução e o índice de equivalência como medida de sobreposição.</w:t>
      </w:r>
    </w:p>
    <w:p w14:paraId="21ADDFB7" w14:textId="3B6BA2DE" w:rsidR="00AD2A1E" w:rsidRPr="00AD2A1E" w:rsidRDefault="00AD2A1E" w:rsidP="00AD2A1E">
      <w:pPr>
        <w:tabs>
          <w:tab w:val="left" w:pos="0"/>
        </w:tabs>
        <w:jc w:val="both"/>
        <w:rPr>
          <w:rFonts w:ascii="Arial" w:eastAsia="Arial" w:hAnsi="Arial" w:cs="Arial"/>
          <w:sz w:val="22"/>
          <w:szCs w:val="22"/>
          <w:lang w:val="pt-BR"/>
        </w:rPr>
      </w:pPr>
      <w:r w:rsidRPr="00192ECB">
        <w:rPr>
          <w:rFonts w:ascii="Arial" w:eastAsia="Arial" w:hAnsi="Arial" w:cs="Arial"/>
          <w:sz w:val="22"/>
          <w:szCs w:val="22"/>
          <w:lang w:val="pt-BR"/>
        </w:rPr>
        <w:tab/>
      </w:r>
      <w:r w:rsidRPr="00AD2A1E">
        <w:rPr>
          <w:rFonts w:ascii="Arial" w:eastAsia="Arial" w:hAnsi="Arial" w:cs="Arial"/>
          <w:sz w:val="22"/>
          <w:szCs w:val="22"/>
          <w:lang w:val="pt-BR"/>
        </w:rPr>
        <w:t xml:space="preserve">Este diagrama tem dois eixos que estão divididos em quatro quadrantes diferentes: no quadrante superior direito são desenvolvidos e temas fundamentais para o campo científico; no quadrante superior esquerdo, os temas são periféricos, caracterizados por serem internamente especializados, mas isolados dos outros temas relevantes. O quadrante inferior esquerdo mostra tópicos emergentes e subdesenvolvidos no campo e, finalmente, o quadrante inferior direito tem os tópicos de importância no campo mas ainda são básicos e transversais com desenvolvimentos precários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{"citationItems":[{"id":"ITEM-1","itemData":{"DOI":"10.3916/C55-2018-08","ISSN":"19883293","abstract":"Communication research field has an extraordinary growth pattern, indeed bigger than other research fields. In order to extract knowledge from such amount, intelligent techniques are need. In such a way, using bibliometric techniques, the evolution of the conceptual, social and intellectual aspects of this research field could be analysed, and hence, understood. Although the communication research field has been widely analysed using bibliometric techniques and science mapping tools, a conceptual analysis of the whole communication research field is still needed. Therefore, this article introduces the first science mapping analysis in the communication research field based on the Web of Science Subject Category \"Communication\", showing its conceptual structure and scientific evolution. SciMAT, a bibliometric science mapping software tool based on co-word analysis and h-index, is applied using a sample of 33.627 research documents from 1980 to 2013 published in 74 main communication journals indexed in the Journal Citation Reports of the Web of Science. The results show that research conducted in the communication research is concentrated on the following sixteen disconnected thematic areas: \"children\", \"psychological aspects\", \"news\", \"audience\", \"surveys\", \"advertising\", \"health\", \"relationship\", \"gender\", \"discourse\", \"telephone communication\", \"public relation\", \"telecommunications\", \"public opinion\", \"activism\" and \"Internet\". These areas have progressively disconnected among them, which drives to a Communication field relatively fragmented.","author":[{"dropping-particle":"","family":"Montero-Díaz","given":"Julio","non-dropping-particle":"","parse-names":false,"suffix":""},{"dropping-particle":"","family":"Cobo","given":"Manuel Jesús","non-dropping-particle":"","parse-names":false,"suffix":""},{"dropping-particle":"","family":"Gutiérrez-Salcedo","given":"María","non-dropping-particle":"","parse-names":false,"suffix":""},{"dropping-particle":"","family":"Segado-Boj","given":"Francisco","non-dropping-particle":"","parse-names":false,"suffix":""},{"dropping-particle":"","family":"Herrera-Viedma","given":"Enrique","non-dropping-particle":"","parse-names":false,"suffix":""}],"container-title":"Comunicar","id":"ITEM-1","issue":"55","issued":{"date-parts":[["2018"]]},"page":"81-91","publisher":"Grupo Comunicar Ediciones","title":"A science mapping analysis of 'Communication' WoS subject category (1980-2013)","type":"article-journal","volume":"26"},"uris":["http://www.mendeley.com/documents/?uuid=afc4a8a9-232c-3c06-b546-992b22cdc742"]},{"id":"ITEM-2","itemData":{"DOI":"10.4067/S0718-07642017000400008","ISSN":"07180764","abstract":"Using the Web of Science Core Collection of Thomson and Reuters, publications whose title included the concept of augmented reality were analyzed, considering that in recent years this technology has had an explosive growth in different areas and disciplines. This study analyzes the relationship of augmented reality with business administration. The methodology used is a bibliometric analysis. Strategic maps were obtained for two periods studied. It is concluded that research done during the first period has an essentially technical focus, whereas, for the second period, they are more focused on the relation between this technology and people. Subjects such as environment, technological acceptance and ubiquitous computing present an opportunity for its development in the business field, which has not yet been strongly explored.","author":[{"dropping-particle":"","family":"Álvarez-Marin","given":"Alejandro","non-dropping-particle":"","parse-names":false,"suffix":""},{"dropping-particle":"","family":"Castillo-Vergara","given":"Mauricio","non-dropping-particle":"","parse-names":false,"suffix":""},{"dropping-particle":"","family":"Geldes-González","given":"Cristian","non-dropping-particle":"","parse-names":false,"suffix":""}],"container-title":"Informacion Tecnologica","id":"ITEM-2","issue":"4","issued":{"date-parts":[["2017"]]},"page":"57-66","publisher":"Centro de Informacion Tecnologica","title":"Análisis Bibliométrico de la Realidad Aumentada y su Relación con la Administración de Negocios","type":"article-journal","volume":"28"},"uris":["http://www.mendeley.com/documents/?uuid=067a8e59-2cca-3bc3-bdd1-6317218b7abc"]}],"mendeley":{"formattedCitation":"[38], [39]","plainTextFormattedCitation":"[38], [39]","previouslyFormattedCitation":"[39], [40]"},"properties":{"noteIndex":0},"schema":"https://github.com/citation-style-language/schema/raw/master/csl-citation.json"}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[38], [39]</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w:t>
      </w:r>
    </w:p>
    <w:p w14:paraId="266C43ED" w14:textId="2B53ECF3" w:rsidR="00AD2A1E" w:rsidRPr="00AD2A1E" w:rsidRDefault="00AD2A1E" w:rsidP="00AD2A1E">
      <w:pPr>
        <w:tabs>
          <w:tab w:val="left" w:pos="0"/>
        </w:tabs>
        <w:jc w:val="both"/>
        <w:rPr>
          <w:rFonts w:ascii="Arial" w:eastAsia="Arial" w:hAnsi="Arial" w:cs="Arial"/>
          <w:sz w:val="22"/>
          <w:szCs w:val="22"/>
          <w:lang w:val="pt-BR"/>
        </w:rPr>
      </w:pPr>
      <w:r w:rsidRPr="00192ECB">
        <w:rPr>
          <w:rFonts w:ascii="Arial" w:eastAsia="Arial" w:hAnsi="Arial" w:cs="Arial"/>
          <w:sz w:val="22"/>
          <w:szCs w:val="22"/>
          <w:lang w:val="pt-BR"/>
        </w:rPr>
        <w:tab/>
      </w:r>
      <w:r w:rsidRPr="00AD2A1E">
        <w:rPr>
          <w:rFonts w:ascii="Arial" w:eastAsia="Arial" w:hAnsi="Arial" w:cs="Arial"/>
          <w:sz w:val="22"/>
          <w:szCs w:val="22"/>
          <w:lang w:val="pt-BR"/>
        </w:rPr>
        <w:t xml:space="preserve">Por outro lado, o software VOSviewer desenvolvido por Ludo Waltman e Nees Jan van Eck do Centro de Estudos de Ciência e Tecnologia da Universidade de Leiden (CWTS) foi usado para construir a rede bibliométrica usando a técnica VOS que emprega o índice de proximidade como medida de similaridade </w:t>
      </w:r>
      <w:r w:rsidRPr="00AD2A1E">
        <w:rPr>
          <w:rFonts w:ascii="Arial" w:eastAsia="Arial" w:hAnsi="Arial" w:cs="Arial"/>
          <w:sz w:val="22"/>
          <w:szCs w:val="22"/>
          <w:lang w:val="pt-BR"/>
        </w:rPr>
        <w:fldChar w:fldCharType="begin" w:fldLock="1"/>
      </w:r>
      <w:r w:rsidRPr="00AD2A1E">
        <w:rPr>
          <w:rFonts w:ascii="Arial" w:eastAsia="Arial" w:hAnsi="Arial" w:cs="Arial"/>
          <w:sz w:val="22"/>
          <w:szCs w:val="22"/>
          <w:lang w:val="pt-BR"/>
        </w:rPr>
        <w:instrText>ADDIN CSL_CITATION {"citationItems":[{"id":"ITEM-1","itemData":{"DOI":"10.1007/s11192-009-0146-3","ISSN":"01389130","PMID":"20585380","abstract":"We present VOSviewer, a freely available computer program that we have developed for constructing and viewing bibliometric maps. Unlike most computer programs that are used for bibliometric mapping, VOSviewer pays special attention to the graphical representation of bibliometric maps. The functionality of VOSviewer is especially useful for displaying large bibliometric maps in an easy-to-interpret way. The paper consists of three parts. In the first part, an overview of VOSviewer's functionality for displaying bibliometric maps is provided. In the second part, the technical implementation of specific parts of the program is discussed. Finally, in the third part, VOSviewer's ability to handle large maps is demonstrated by using the program to construct and display a co-citation map of 5,000 major scientific journals. © 2009 The Author(s).","author":[{"dropping-particle":"","family":"Eck","given":"Nees Jan","non-dropping-particle":"Van","parse-names":false,"suffix":""},{"dropping-particle":"","family":"Waltman","given":"Ludo","non-dropping-particle":"","parse-names":false,"suffix":""}],"container-title":"Scientometrics","id":"ITEM-1","issue":"2","issued":{"date-parts":[["2010"]]},"page":"523-538","publisher":"Springer Netherlands","title":"Software survey: VOSviewer, a computer program for bibliometric mapping","type":"article-journal","volume":"84"},"uris":["http://www.mendeley.com/documents/?uuid=defc5d7f-4df9-3640-a19a-b42952d24a52"]},{"id":"ITEM-2","itemData":{"DOI":"10.1109/mci.2006.329702","ISSN":"1556-603X","abstract":"In this paper, we visualize the structure and the evolution of the computational intelligence (CI) field. Based on our visualizations, we analyze the way in which the CI field is divided into several subfields. The visualizations provide insight into the characteristics of each subfield and into the relations between the subfields. By comparing two visualizations, one based on data from 2002 and one based on data from 2006, we examine how the CI field has evolved over the last years. A quantitative analysis of the data further identifies a number of emerging areas within the CI field. The data that we use consist of the abstracts of the papers presented at the IEEE World Congress on Computational Intelligence (WCCI) in 2002 and 2006. Using a fully automatic procedure, so-called concept maps are constructed from the data. These maps visualize the associations between the main concepts in the CI field. Our analysis of the structure and the evolution of the CI field are largely based on the constructed concept maps","author":[{"dropping-particle":"","family":"Eck","given":"Nees Jan","non-dropping-particle":"Van","parse-names":false,"suffix":""},{"dropping-particle":"","family":"Waltman","given":"Ludo","non-dropping-particle":"","parse-names":false,"suffix":""},{"dropping-particle":"","family":"Berg","given":"Jan","non-dropping-particle":"van den","parse-names":false,"suffix":""},{"dropping-particle":"","family":"Kaymak","given":"Uzay","non-dropping-particle":"","parse-names":false,"suffix":""}],"container-title":"IEEE Computational Intelligence Magazine","id":"ITEM-2","issue":"4","issued":{"date-parts":[["2006","3","29"]]},"page":"6-10","publisher":"Institute of Electrical and Electronics Engineers (IEEE)","title":"Visualizing the computational intelligence field","type":"article-journal","volume":"1"},"uris":["http://www.mendeley.com/documents/?uuid=0ac7e93a-8eb4-3420-9a4d-38f9340c822c"]}],"mendeley":{"formattedCitation":"[40], [41]","plainTextFormattedCitation":"[40], [41]","previouslyFormattedCitation":"[41], [42]"},"properties":{"noteIndex":0},"schema":"https://github.com/citation-style-language/schema/raw/master/csl-citation.json"}</w:instrText>
      </w:r>
      <w:r w:rsidRPr="00AD2A1E">
        <w:rPr>
          <w:rFonts w:ascii="Arial" w:eastAsia="Arial" w:hAnsi="Arial" w:cs="Arial"/>
          <w:sz w:val="22"/>
          <w:szCs w:val="22"/>
          <w:lang w:val="pt-BR"/>
        </w:rPr>
        <w:fldChar w:fldCharType="separate"/>
      </w:r>
      <w:r w:rsidRPr="00AD2A1E">
        <w:rPr>
          <w:rFonts w:ascii="Arial" w:eastAsia="Arial" w:hAnsi="Arial" w:cs="Arial"/>
          <w:sz w:val="22"/>
          <w:szCs w:val="22"/>
          <w:lang w:val="pt-BR"/>
        </w:rPr>
        <w:t>[40], [41]</w:t>
      </w:r>
      <w:r w:rsidRPr="00AD2A1E">
        <w:rPr>
          <w:rFonts w:ascii="Arial" w:eastAsia="Arial" w:hAnsi="Arial" w:cs="Arial"/>
          <w:sz w:val="22"/>
          <w:szCs w:val="22"/>
          <w:lang w:val="pt-BR"/>
        </w:rPr>
        <w:fldChar w:fldCharType="end"/>
      </w:r>
      <w:r w:rsidRPr="00AD2A1E">
        <w:rPr>
          <w:rFonts w:ascii="Arial" w:eastAsia="Arial" w:hAnsi="Arial" w:cs="Arial"/>
          <w:sz w:val="22"/>
          <w:szCs w:val="22"/>
          <w:lang w:val="pt-BR"/>
        </w:rPr>
        <w:t>; isto mostra clusters com diferentes cores entrelaçando eixos temáticos com linhas indicando quais estão relacionados.</w:t>
      </w:r>
    </w:p>
    <w:p w14:paraId="62B48289" w14:textId="77777777" w:rsidR="00FC426F" w:rsidRPr="00192ECB" w:rsidRDefault="00FC426F">
      <w:pPr>
        <w:tabs>
          <w:tab w:val="left" w:pos="0"/>
        </w:tabs>
        <w:jc w:val="both"/>
        <w:rPr>
          <w:rFonts w:ascii="Arial" w:eastAsia="Arial" w:hAnsi="Arial" w:cs="Arial"/>
          <w:sz w:val="22"/>
          <w:szCs w:val="22"/>
          <w:lang w:val="pt-BR"/>
        </w:rPr>
      </w:pPr>
    </w:p>
    <w:p w14:paraId="2FFEF793" w14:textId="028E52D3" w:rsidR="00FC426F" w:rsidRPr="00192ECB" w:rsidRDefault="00000000">
      <w:pPr>
        <w:jc w:val="both"/>
        <w:rPr>
          <w:rFonts w:ascii="Arial" w:eastAsia="Arial" w:hAnsi="Arial" w:cs="Arial"/>
          <w:b/>
          <w:sz w:val="22"/>
          <w:szCs w:val="22"/>
          <w:lang w:val="pt-BR"/>
        </w:rPr>
      </w:pPr>
      <w:r w:rsidRPr="00192ECB">
        <w:rPr>
          <w:rFonts w:ascii="Arial" w:eastAsia="Arial" w:hAnsi="Arial" w:cs="Arial"/>
          <w:b/>
          <w:sz w:val="22"/>
          <w:szCs w:val="22"/>
          <w:lang w:val="pt-BR"/>
        </w:rPr>
        <w:t>Resultados</w:t>
      </w:r>
      <w:r w:rsidR="00192ECB" w:rsidRPr="00192ECB">
        <w:rPr>
          <w:rFonts w:ascii="Times New Roman" w:eastAsiaTheme="minorHAnsi" w:hAnsi="Times New Roman" w:cs="Times New Roman"/>
          <w:sz w:val="22"/>
          <w:szCs w:val="22"/>
          <w:lang w:val="pt-BR" w:eastAsia="en-US"/>
        </w:rPr>
        <w:t xml:space="preserve"> </w:t>
      </w:r>
      <w:r w:rsidR="00192ECB" w:rsidRPr="00192ECB">
        <w:rPr>
          <w:rFonts w:ascii="Arial" w:eastAsia="Arial" w:hAnsi="Arial" w:cs="Arial"/>
          <w:b/>
          <w:sz w:val="22"/>
          <w:szCs w:val="22"/>
          <w:lang w:val="pt-BR"/>
        </w:rPr>
        <w:t>e discussões</w:t>
      </w:r>
    </w:p>
    <w:p w14:paraId="636C810A" w14:textId="77777777" w:rsidR="00FC426F" w:rsidRPr="00192ECB" w:rsidRDefault="00FC426F">
      <w:pPr>
        <w:jc w:val="both"/>
        <w:rPr>
          <w:rFonts w:ascii="Arial" w:eastAsia="Arial" w:hAnsi="Arial" w:cs="Arial"/>
          <w:b/>
          <w:sz w:val="22"/>
          <w:szCs w:val="22"/>
          <w:lang w:val="pt-BR"/>
        </w:rPr>
      </w:pPr>
    </w:p>
    <w:p w14:paraId="14B85AAE" w14:textId="36A31659" w:rsidR="0066103D" w:rsidRPr="0066103D" w:rsidRDefault="0066103D" w:rsidP="00853F65">
      <w:pPr>
        <w:ind w:firstLine="720"/>
        <w:jc w:val="both"/>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Com o resultado obtido da pesquisa no banco de dados Scopus</w:t>
      </w:r>
      <w:r w:rsidR="00853F65" w:rsidRPr="0066103D">
        <w:rPr>
          <w:rFonts w:ascii="Arial" w:eastAsiaTheme="minorHAnsi" w:hAnsi="Arial" w:cs="Arial"/>
          <w:sz w:val="22"/>
          <w:szCs w:val="22"/>
          <w:lang w:val="pt-BR" w:eastAsia="en-US"/>
        </w:rPr>
        <w:t>®,</w:t>
      </w:r>
      <w:r w:rsidRPr="0066103D">
        <w:rPr>
          <w:rFonts w:ascii="Arial" w:eastAsiaTheme="minorHAnsi" w:hAnsi="Arial" w:cs="Arial"/>
          <w:sz w:val="22"/>
          <w:szCs w:val="22"/>
          <w:lang w:val="pt-BR" w:eastAsia="en-US"/>
        </w:rPr>
        <w:t xml:space="preserve"> que consistiu em 2.813 publicações divididas em diferentes tipos de documentos, e uma vez realizado o segundo filtro, aqueles que não estavam relacionados com o objeto de estudo proposto foram excluídos. O </w:t>
      </w:r>
      <w:r w:rsidR="00853F65" w:rsidRPr="0066103D">
        <w:rPr>
          <w:rFonts w:ascii="Arial" w:eastAsiaTheme="minorHAnsi" w:hAnsi="Arial" w:cs="Arial"/>
          <w:sz w:val="22"/>
          <w:szCs w:val="22"/>
          <w:lang w:val="pt-BR" w:eastAsia="en-US"/>
        </w:rPr>
        <w:t>resultado</w:t>
      </w:r>
      <w:r w:rsidRPr="0066103D">
        <w:rPr>
          <w:rFonts w:ascii="Arial" w:eastAsiaTheme="minorHAnsi" w:hAnsi="Arial" w:cs="Arial"/>
          <w:sz w:val="22"/>
          <w:szCs w:val="22"/>
          <w:lang w:val="pt-BR" w:eastAsia="en-US"/>
        </w:rPr>
        <w:t xml:space="preserve"> incluiu 150 publicações, que foram divididas em 115 (76,67%) artigos originais, 24 (16%) comunicações breves, 4 (2,67%) resenhas, 6 (4%) capítulos de livros e 1 (0,66%) artigo de conferência. </w:t>
      </w:r>
    </w:p>
    <w:p w14:paraId="7F7B8233" w14:textId="77777777" w:rsidR="0066103D" w:rsidRPr="0066103D" w:rsidRDefault="0066103D" w:rsidP="00853F65">
      <w:pPr>
        <w:spacing w:after="160"/>
        <w:ind w:firstLine="720"/>
        <w:jc w:val="both"/>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 xml:space="preserve">Os autores dos documentos publicados obtidos para a análise provêm de 36 países, onde as publicações foram feitas principalmente em revistas de acesso privado, correspondendo a um total de 127 (84,67%), enquanto o acesso aberto foi de 23 (15,33%); nas últimas décadas os pântanos tomaram um maior apogeu no campo da pesquisa por autores como Li, Y., que foi o autor com a maior publicação no assunto seguido por Price, J.S. e Chen, Y. Os países com as maiores publicações estão listados na Tabela 1, que mostra que os Estados Unidos ficaram em primeiro lugar na lista dos três primeiros países com o maior número de publicações no campo. Os países com mais publicações estão listados na Tabela 1, que mostra que os Estados Unidos ficaram em primeiro lugar com 44 publicações e 29,33% da produção científica mundial sobre o assunto, seguidos pela China com 29, Austrália com 17, Canadá com 12 e o Reino Unido com 8 </w:t>
      </w:r>
      <w:r w:rsidRPr="0066103D">
        <w:rPr>
          <w:rFonts w:ascii="Arial" w:eastAsiaTheme="minorHAnsi" w:hAnsi="Arial" w:cs="Arial"/>
          <w:sz w:val="22"/>
          <w:szCs w:val="22"/>
          <w:lang w:val="pt-BR" w:eastAsia="en-US"/>
        </w:rPr>
        <w:lastRenderedPageBreak/>
        <w:t>publicações. Finalmente, a Índia, Holanda, Espanha, Bélgica e Brasil respondem por 16,67% das publicações analisadas.</w:t>
      </w:r>
    </w:p>
    <w:p w14:paraId="403ED92F" w14:textId="77777777" w:rsidR="0066103D" w:rsidRPr="0066103D" w:rsidRDefault="0066103D" w:rsidP="0066103D">
      <w:pPr>
        <w:jc w:val="center"/>
        <w:rPr>
          <w:rFonts w:ascii="Arial" w:eastAsiaTheme="minorHAnsi" w:hAnsi="Arial" w:cs="Arial"/>
          <w:sz w:val="22"/>
          <w:szCs w:val="22"/>
          <w:lang w:val="pt-BR" w:eastAsia="en-US"/>
        </w:rPr>
      </w:pPr>
      <w:r w:rsidRPr="0066103D">
        <w:rPr>
          <w:rFonts w:ascii="Arial" w:eastAsiaTheme="minorHAnsi" w:hAnsi="Arial" w:cs="Arial"/>
          <w:b/>
          <w:bCs/>
          <w:sz w:val="22"/>
          <w:szCs w:val="22"/>
          <w:lang w:val="pt-BR" w:eastAsia="en-US"/>
        </w:rPr>
        <w:t xml:space="preserve">Tabela 1. </w:t>
      </w:r>
      <w:r w:rsidRPr="0066103D">
        <w:rPr>
          <w:rFonts w:ascii="Arial" w:eastAsiaTheme="minorHAnsi" w:hAnsi="Arial" w:cs="Arial"/>
          <w:sz w:val="22"/>
          <w:szCs w:val="22"/>
          <w:lang w:val="pt-BR" w:eastAsia="en-US"/>
        </w:rPr>
        <w:t>Os dez países mais produtivos na área do assunto</w:t>
      </w:r>
    </w:p>
    <w:tbl>
      <w:tblPr>
        <w:tblStyle w:val="Tablanormal21"/>
        <w:tblW w:w="7177" w:type="dxa"/>
        <w:jc w:val="center"/>
        <w:tblLook w:val="04A0" w:firstRow="1" w:lastRow="0" w:firstColumn="1" w:lastColumn="0" w:noHBand="0" w:noVBand="1"/>
      </w:tblPr>
      <w:tblGrid>
        <w:gridCol w:w="1727"/>
        <w:gridCol w:w="3272"/>
        <w:gridCol w:w="2178"/>
      </w:tblGrid>
      <w:tr w:rsidR="0066103D" w:rsidRPr="0066103D" w14:paraId="34F37144" w14:textId="77777777" w:rsidTr="00D73213">
        <w:trPr>
          <w:cnfStyle w:val="100000000000" w:firstRow="1" w:lastRow="0" w:firstColumn="0" w:lastColumn="0" w:oddVBand="0" w:evenVBand="0" w:oddHBand="0" w:evenHBand="0" w:firstRowFirstColumn="0" w:firstRowLastColumn="0" w:lastRowFirstColumn="0" w:lastRowLastColumn="0"/>
          <w:trHeight w:val="162"/>
          <w:jc w:val="center"/>
        </w:trPr>
        <w:tc>
          <w:tcPr>
            <w:cnfStyle w:val="001000000000" w:firstRow="0" w:lastRow="0" w:firstColumn="1" w:lastColumn="0" w:oddVBand="0" w:evenVBand="0" w:oddHBand="0" w:evenHBand="0" w:firstRowFirstColumn="0" w:firstRowLastColumn="0" w:lastRowFirstColumn="0" w:lastRowLastColumn="0"/>
            <w:tcW w:w="1727" w:type="dxa"/>
            <w:noWrap/>
            <w:vAlign w:val="center"/>
            <w:hideMark/>
          </w:tcPr>
          <w:p w14:paraId="461EC740" w14:textId="77777777" w:rsidR="0066103D" w:rsidRPr="0066103D" w:rsidRDefault="0066103D" w:rsidP="0066103D">
            <w:pPr>
              <w:jc w:val="center"/>
              <w:rPr>
                <w:rFonts w:ascii="Arial" w:eastAsiaTheme="minorHAnsi" w:hAnsi="Arial" w:cs="Arial"/>
                <w:sz w:val="22"/>
                <w:szCs w:val="22"/>
                <w:lang w:eastAsia="en-US"/>
              </w:rPr>
            </w:pPr>
            <w:bookmarkStart w:id="1" w:name="_Hlk59105173"/>
            <w:r w:rsidRPr="0066103D">
              <w:rPr>
                <w:rFonts w:ascii="Arial" w:eastAsiaTheme="minorHAnsi" w:hAnsi="Arial" w:cs="Arial"/>
                <w:sz w:val="22"/>
                <w:szCs w:val="22"/>
                <w:lang w:eastAsia="en-US"/>
              </w:rPr>
              <w:t>SCR</w:t>
            </w:r>
          </w:p>
        </w:tc>
        <w:tc>
          <w:tcPr>
            <w:tcW w:w="3272" w:type="dxa"/>
            <w:noWrap/>
            <w:vAlign w:val="center"/>
            <w:hideMark/>
          </w:tcPr>
          <w:p w14:paraId="25CEC0A9"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País</w:t>
            </w:r>
          </w:p>
        </w:tc>
        <w:tc>
          <w:tcPr>
            <w:tcW w:w="2178" w:type="dxa"/>
            <w:noWrap/>
            <w:vAlign w:val="center"/>
            <w:hideMark/>
          </w:tcPr>
          <w:p w14:paraId="07C1E824"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TP</w:t>
            </w:r>
          </w:p>
        </w:tc>
      </w:tr>
      <w:tr w:rsidR="0066103D" w:rsidRPr="0066103D" w14:paraId="35BADFFD" w14:textId="77777777" w:rsidTr="00D73213">
        <w:trPr>
          <w:cnfStyle w:val="000000100000" w:firstRow="0" w:lastRow="0" w:firstColumn="0" w:lastColumn="0" w:oddVBand="0" w:evenVBand="0" w:oddHBand="1" w:evenHBand="0" w:firstRowFirstColumn="0" w:firstRowLastColumn="0" w:lastRowFirstColumn="0" w:lastRowLastColumn="0"/>
          <w:trHeight w:val="154"/>
          <w:jc w:val="center"/>
        </w:trPr>
        <w:tc>
          <w:tcPr>
            <w:cnfStyle w:val="001000000000" w:firstRow="0" w:lastRow="0" w:firstColumn="1" w:lastColumn="0" w:oddVBand="0" w:evenVBand="0" w:oddHBand="0" w:evenHBand="0" w:firstRowFirstColumn="0" w:firstRowLastColumn="0" w:lastRowFirstColumn="0" w:lastRowLastColumn="0"/>
            <w:tcW w:w="1727" w:type="dxa"/>
            <w:noWrap/>
            <w:vAlign w:val="center"/>
            <w:hideMark/>
          </w:tcPr>
          <w:p w14:paraId="7A4CFC6A"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1st</w:t>
            </w:r>
          </w:p>
        </w:tc>
        <w:tc>
          <w:tcPr>
            <w:tcW w:w="3272" w:type="dxa"/>
            <w:noWrap/>
            <w:hideMark/>
          </w:tcPr>
          <w:p w14:paraId="767C6FFB"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Estados Unidos</w:t>
            </w:r>
          </w:p>
        </w:tc>
        <w:tc>
          <w:tcPr>
            <w:tcW w:w="2178" w:type="dxa"/>
            <w:noWrap/>
            <w:vAlign w:val="center"/>
            <w:hideMark/>
          </w:tcPr>
          <w:p w14:paraId="1EE0EB98"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44</w:t>
            </w:r>
          </w:p>
        </w:tc>
      </w:tr>
      <w:tr w:rsidR="0066103D" w:rsidRPr="0066103D" w14:paraId="177D5204" w14:textId="77777777" w:rsidTr="00D73213">
        <w:trPr>
          <w:trHeight w:val="127"/>
          <w:jc w:val="center"/>
        </w:trPr>
        <w:tc>
          <w:tcPr>
            <w:cnfStyle w:val="001000000000" w:firstRow="0" w:lastRow="0" w:firstColumn="1" w:lastColumn="0" w:oddVBand="0" w:evenVBand="0" w:oddHBand="0" w:evenHBand="0" w:firstRowFirstColumn="0" w:firstRowLastColumn="0" w:lastRowFirstColumn="0" w:lastRowLastColumn="0"/>
            <w:tcW w:w="1727" w:type="dxa"/>
            <w:noWrap/>
            <w:vAlign w:val="center"/>
            <w:hideMark/>
          </w:tcPr>
          <w:p w14:paraId="5D2FC879"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2nd</w:t>
            </w:r>
          </w:p>
        </w:tc>
        <w:tc>
          <w:tcPr>
            <w:tcW w:w="3272" w:type="dxa"/>
            <w:noWrap/>
            <w:hideMark/>
          </w:tcPr>
          <w:p w14:paraId="0D2AA273"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China</w:t>
            </w:r>
          </w:p>
        </w:tc>
        <w:tc>
          <w:tcPr>
            <w:tcW w:w="2178" w:type="dxa"/>
            <w:noWrap/>
            <w:vAlign w:val="center"/>
            <w:hideMark/>
          </w:tcPr>
          <w:p w14:paraId="37A6DD1C"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29</w:t>
            </w:r>
          </w:p>
        </w:tc>
      </w:tr>
      <w:tr w:rsidR="0066103D" w:rsidRPr="0066103D" w14:paraId="1B994464" w14:textId="77777777" w:rsidTr="00D73213">
        <w:trPr>
          <w:cnfStyle w:val="000000100000" w:firstRow="0" w:lastRow="0" w:firstColumn="0" w:lastColumn="0" w:oddVBand="0" w:evenVBand="0" w:oddHBand="1" w:evenHBand="0" w:firstRowFirstColumn="0" w:firstRowLastColumn="0" w:lastRowFirstColumn="0" w:lastRowLastColumn="0"/>
          <w:trHeight w:val="127"/>
          <w:jc w:val="center"/>
        </w:trPr>
        <w:tc>
          <w:tcPr>
            <w:cnfStyle w:val="001000000000" w:firstRow="0" w:lastRow="0" w:firstColumn="1" w:lastColumn="0" w:oddVBand="0" w:evenVBand="0" w:oddHBand="0" w:evenHBand="0" w:firstRowFirstColumn="0" w:firstRowLastColumn="0" w:lastRowFirstColumn="0" w:lastRowLastColumn="0"/>
            <w:tcW w:w="1727" w:type="dxa"/>
            <w:noWrap/>
            <w:vAlign w:val="center"/>
            <w:hideMark/>
          </w:tcPr>
          <w:p w14:paraId="3DC02AEF"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3rd</w:t>
            </w:r>
          </w:p>
        </w:tc>
        <w:tc>
          <w:tcPr>
            <w:tcW w:w="3272" w:type="dxa"/>
            <w:noWrap/>
            <w:hideMark/>
          </w:tcPr>
          <w:p w14:paraId="103BF79B"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Austrália</w:t>
            </w:r>
          </w:p>
        </w:tc>
        <w:tc>
          <w:tcPr>
            <w:tcW w:w="2178" w:type="dxa"/>
            <w:noWrap/>
            <w:vAlign w:val="center"/>
            <w:hideMark/>
          </w:tcPr>
          <w:p w14:paraId="6796B48C"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17</w:t>
            </w:r>
          </w:p>
        </w:tc>
      </w:tr>
      <w:tr w:rsidR="0066103D" w:rsidRPr="0066103D" w14:paraId="101EDB67" w14:textId="77777777" w:rsidTr="00D73213">
        <w:trPr>
          <w:trHeight w:val="127"/>
          <w:jc w:val="center"/>
        </w:trPr>
        <w:tc>
          <w:tcPr>
            <w:cnfStyle w:val="001000000000" w:firstRow="0" w:lastRow="0" w:firstColumn="1" w:lastColumn="0" w:oddVBand="0" w:evenVBand="0" w:oddHBand="0" w:evenHBand="0" w:firstRowFirstColumn="0" w:firstRowLastColumn="0" w:lastRowFirstColumn="0" w:lastRowLastColumn="0"/>
            <w:tcW w:w="1727" w:type="dxa"/>
            <w:noWrap/>
            <w:vAlign w:val="center"/>
            <w:hideMark/>
          </w:tcPr>
          <w:p w14:paraId="61E16886"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4th</w:t>
            </w:r>
          </w:p>
        </w:tc>
        <w:tc>
          <w:tcPr>
            <w:tcW w:w="3272" w:type="dxa"/>
            <w:noWrap/>
            <w:hideMark/>
          </w:tcPr>
          <w:p w14:paraId="1F73BF5D"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Canadá</w:t>
            </w:r>
          </w:p>
        </w:tc>
        <w:tc>
          <w:tcPr>
            <w:tcW w:w="2178" w:type="dxa"/>
            <w:noWrap/>
            <w:vAlign w:val="center"/>
            <w:hideMark/>
          </w:tcPr>
          <w:p w14:paraId="36810EBB"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12</w:t>
            </w:r>
          </w:p>
        </w:tc>
      </w:tr>
      <w:tr w:rsidR="0066103D" w:rsidRPr="0066103D" w14:paraId="4D157D76" w14:textId="77777777" w:rsidTr="00D73213">
        <w:trPr>
          <w:cnfStyle w:val="000000100000" w:firstRow="0" w:lastRow="0" w:firstColumn="0" w:lastColumn="0" w:oddVBand="0" w:evenVBand="0" w:oddHBand="1" w:evenHBand="0" w:firstRowFirstColumn="0" w:firstRowLastColumn="0" w:lastRowFirstColumn="0" w:lastRowLastColumn="0"/>
          <w:trHeight w:val="127"/>
          <w:jc w:val="center"/>
        </w:trPr>
        <w:tc>
          <w:tcPr>
            <w:cnfStyle w:val="001000000000" w:firstRow="0" w:lastRow="0" w:firstColumn="1" w:lastColumn="0" w:oddVBand="0" w:evenVBand="0" w:oddHBand="0" w:evenHBand="0" w:firstRowFirstColumn="0" w:firstRowLastColumn="0" w:lastRowFirstColumn="0" w:lastRowLastColumn="0"/>
            <w:tcW w:w="1727" w:type="dxa"/>
            <w:noWrap/>
            <w:vAlign w:val="center"/>
            <w:hideMark/>
          </w:tcPr>
          <w:p w14:paraId="0AD3AC21"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5th</w:t>
            </w:r>
          </w:p>
        </w:tc>
        <w:tc>
          <w:tcPr>
            <w:tcW w:w="3272" w:type="dxa"/>
            <w:noWrap/>
            <w:hideMark/>
          </w:tcPr>
          <w:p w14:paraId="757F19D2"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Reino Unido</w:t>
            </w:r>
          </w:p>
        </w:tc>
        <w:tc>
          <w:tcPr>
            <w:tcW w:w="2178" w:type="dxa"/>
            <w:noWrap/>
            <w:vAlign w:val="center"/>
            <w:hideMark/>
          </w:tcPr>
          <w:p w14:paraId="280E7118"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8</w:t>
            </w:r>
          </w:p>
        </w:tc>
      </w:tr>
      <w:tr w:rsidR="0066103D" w:rsidRPr="0066103D" w14:paraId="1CFC6D1D" w14:textId="77777777" w:rsidTr="00D73213">
        <w:trPr>
          <w:trHeight w:val="127"/>
          <w:jc w:val="center"/>
        </w:trPr>
        <w:tc>
          <w:tcPr>
            <w:cnfStyle w:val="001000000000" w:firstRow="0" w:lastRow="0" w:firstColumn="1" w:lastColumn="0" w:oddVBand="0" w:evenVBand="0" w:oddHBand="0" w:evenHBand="0" w:firstRowFirstColumn="0" w:firstRowLastColumn="0" w:lastRowFirstColumn="0" w:lastRowLastColumn="0"/>
            <w:tcW w:w="1727" w:type="dxa"/>
            <w:noWrap/>
            <w:vAlign w:val="center"/>
            <w:hideMark/>
          </w:tcPr>
          <w:p w14:paraId="4C7AE63E" w14:textId="77777777" w:rsidR="0066103D" w:rsidRPr="0066103D" w:rsidRDefault="0066103D" w:rsidP="0066103D">
            <w:pPr>
              <w:jc w:val="center"/>
              <w:rPr>
                <w:rFonts w:ascii="Arial" w:eastAsiaTheme="minorHAnsi" w:hAnsi="Arial" w:cs="Arial"/>
                <w:sz w:val="22"/>
                <w:szCs w:val="22"/>
                <w:lang w:eastAsia="en-US"/>
              </w:rPr>
            </w:pPr>
            <w:bookmarkStart w:id="2" w:name="_Hlk58180246"/>
            <w:r w:rsidRPr="0066103D">
              <w:rPr>
                <w:rFonts w:ascii="Arial" w:eastAsiaTheme="minorHAnsi" w:hAnsi="Arial" w:cs="Arial"/>
                <w:sz w:val="22"/>
                <w:szCs w:val="22"/>
                <w:lang w:eastAsia="en-US"/>
              </w:rPr>
              <w:t>6th</w:t>
            </w:r>
          </w:p>
        </w:tc>
        <w:tc>
          <w:tcPr>
            <w:tcW w:w="3272" w:type="dxa"/>
            <w:noWrap/>
            <w:hideMark/>
          </w:tcPr>
          <w:p w14:paraId="21DFB237"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Índia</w:t>
            </w:r>
          </w:p>
        </w:tc>
        <w:tc>
          <w:tcPr>
            <w:tcW w:w="2178" w:type="dxa"/>
            <w:noWrap/>
            <w:vAlign w:val="center"/>
            <w:hideMark/>
          </w:tcPr>
          <w:p w14:paraId="1DC4ABB8"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7</w:t>
            </w:r>
          </w:p>
        </w:tc>
      </w:tr>
      <w:tr w:rsidR="0066103D" w:rsidRPr="0066103D" w14:paraId="0BBE8306" w14:textId="77777777" w:rsidTr="00D73213">
        <w:trPr>
          <w:cnfStyle w:val="000000100000" w:firstRow="0" w:lastRow="0" w:firstColumn="0" w:lastColumn="0" w:oddVBand="0" w:evenVBand="0" w:oddHBand="1" w:evenHBand="0" w:firstRowFirstColumn="0" w:firstRowLastColumn="0" w:lastRowFirstColumn="0" w:lastRowLastColumn="0"/>
          <w:trHeight w:val="127"/>
          <w:jc w:val="center"/>
        </w:trPr>
        <w:tc>
          <w:tcPr>
            <w:cnfStyle w:val="001000000000" w:firstRow="0" w:lastRow="0" w:firstColumn="1" w:lastColumn="0" w:oddVBand="0" w:evenVBand="0" w:oddHBand="0" w:evenHBand="0" w:firstRowFirstColumn="0" w:firstRowLastColumn="0" w:lastRowFirstColumn="0" w:lastRowLastColumn="0"/>
            <w:tcW w:w="1727" w:type="dxa"/>
            <w:noWrap/>
            <w:vAlign w:val="center"/>
            <w:hideMark/>
          </w:tcPr>
          <w:p w14:paraId="1AF2BF03"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7th</w:t>
            </w:r>
          </w:p>
        </w:tc>
        <w:tc>
          <w:tcPr>
            <w:tcW w:w="3272" w:type="dxa"/>
            <w:noWrap/>
            <w:hideMark/>
          </w:tcPr>
          <w:p w14:paraId="6D96A8E2"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Países Baixos</w:t>
            </w:r>
          </w:p>
        </w:tc>
        <w:tc>
          <w:tcPr>
            <w:tcW w:w="2178" w:type="dxa"/>
            <w:noWrap/>
            <w:vAlign w:val="center"/>
            <w:hideMark/>
          </w:tcPr>
          <w:p w14:paraId="47D9DB4A"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5</w:t>
            </w:r>
          </w:p>
        </w:tc>
      </w:tr>
      <w:tr w:rsidR="0066103D" w:rsidRPr="0066103D" w14:paraId="2B8307F8" w14:textId="77777777" w:rsidTr="00D73213">
        <w:trPr>
          <w:trHeight w:val="127"/>
          <w:jc w:val="center"/>
        </w:trPr>
        <w:tc>
          <w:tcPr>
            <w:cnfStyle w:val="001000000000" w:firstRow="0" w:lastRow="0" w:firstColumn="1" w:lastColumn="0" w:oddVBand="0" w:evenVBand="0" w:oddHBand="0" w:evenHBand="0" w:firstRowFirstColumn="0" w:firstRowLastColumn="0" w:lastRowFirstColumn="0" w:lastRowLastColumn="0"/>
            <w:tcW w:w="1727" w:type="dxa"/>
            <w:noWrap/>
            <w:vAlign w:val="center"/>
            <w:hideMark/>
          </w:tcPr>
          <w:p w14:paraId="26B52831"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8th</w:t>
            </w:r>
          </w:p>
        </w:tc>
        <w:tc>
          <w:tcPr>
            <w:tcW w:w="3272" w:type="dxa"/>
            <w:noWrap/>
            <w:hideMark/>
          </w:tcPr>
          <w:p w14:paraId="0ED39D52"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Espanha</w:t>
            </w:r>
          </w:p>
        </w:tc>
        <w:tc>
          <w:tcPr>
            <w:tcW w:w="2178" w:type="dxa"/>
            <w:noWrap/>
            <w:vAlign w:val="center"/>
            <w:hideMark/>
          </w:tcPr>
          <w:p w14:paraId="67470B22"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5</w:t>
            </w:r>
          </w:p>
        </w:tc>
      </w:tr>
      <w:tr w:rsidR="0066103D" w:rsidRPr="0066103D" w14:paraId="0AE5AEE1" w14:textId="77777777" w:rsidTr="00D73213">
        <w:trPr>
          <w:cnfStyle w:val="000000100000" w:firstRow="0" w:lastRow="0" w:firstColumn="0" w:lastColumn="0" w:oddVBand="0" w:evenVBand="0" w:oddHBand="1" w:evenHBand="0" w:firstRowFirstColumn="0" w:firstRowLastColumn="0" w:lastRowFirstColumn="0" w:lastRowLastColumn="0"/>
          <w:trHeight w:val="127"/>
          <w:jc w:val="center"/>
        </w:trPr>
        <w:tc>
          <w:tcPr>
            <w:cnfStyle w:val="001000000000" w:firstRow="0" w:lastRow="0" w:firstColumn="1" w:lastColumn="0" w:oddVBand="0" w:evenVBand="0" w:oddHBand="0" w:evenHBand="0" w:firstRowFirstColumn="0" w:firstRowLastColumn="0" w:lastRowFirstColumn="0" w:lastRowLastColumn="0"/>
            <w:tcW w:w="1727" w:type="dxa"/>
            <w:noWrap/>
            <w:vAlign w:val="center"/>
            <w:hideMark/>
          </w:tcPr>
          <w:p w14:paraId="5CD58F28"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9th</w:t>
            </w:r>
          </w:p>
        </w:tc>
        <w:tc>
          <w:tcPr>
            <w:tcW w:w="3272" w:type="dxa"/>
            <w:noWrap/>
            <w:hideMark/>
          </w:tcPr>
          <w:p w14:paraId="07E1D81D"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Bélgica</w:t>
            </w:r>
          </w:p>
        </w:tc>
        <w:tc>
          <w:tcPr>
            <w:tcW w:w="2178" w:type="dxa"/>
            <w:noWrap/>
            <w:vAlign w:val="center"/>
            <w:hideMark/>
          </w:tcPr>
          <w:p w14:paraId="7E2C7732"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4</w:t>
            </w:r>
          </w:p>
        </w:tc>
      </w:tr>
      <w:tr w:rsidR="0066103D" w:rsidRPr="0066103D" w14:paraId="018BFEFD" w14:textId="77777777" w:rsidTr="00D73213">
        <w:trPr>
          <w:trHeight w:val="127"/>
          <w:jc w:val="center"/>
        </w:trPr>
        <w:tc>
          <w:tcPr>
            <w:cnfStyle w:val="001000000000" w:firstRow="0" w:lastRow="0" w:firstColumn="1" w:lastColumn="0" w:oddVBand="0" w:evenVBand="0" w:oddHBand="0" w:evenHBand="0" w:firstRowFirstColumn="0" w:firstRowLastColumn="0" w:lastRowFirstColumn="0" w:lastRowLastColumn="0"/>
            <w:tcW w:w="1727" w:type="dxa"/>
            <w:noWrap/>
            <w:vAlign w:val="center"/>
            <w:hideMark/>
          </w:tcPr>
          <w:p w14:paraId="2872AF01"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10th</w:t>
            </w:r>
          </w:p>
        </w:tc>
        <w:tc>
          <w:tcPr>
            <w:tcW w:w="3272" w:type="dxa"/>
            <w:noWrap/>
            <w:hideMark/>
          </w:tcPr>
          <w:p w14:paraId="52B074DB"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Brasil</w:t>
            </w:r>
          </w:p>
        </w:tc>
        <w:tc>
          <w:tcPr>
            <w:tcW w:w="2178" w:type="dxa"/>
            <w:noWrap/>
            <w:vAlign w:val="center"/>
            <w:hideMark/>
          </w:tcPr>
          <w:p w14:paraId="567FD7F0"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4</w:t>
            </w:r>
          </w:p>
        </w:tc>
      </w:tr>
      <w:bookmarkEnd w:id="2"/>
      <w:tr w:rsidR="0066103D" w:rsidRPr="0066103D" w14:paraId="11C1AFB6" w14:textId="77777777" w:rsidTr="00D73213">
        <w:trPr>
          <w:cnfStyle w:val="000000100000" w:firstRow="0" w:lastRow="0" w:firstColumn="0" w:lastColumn="0" w:oddVBand="0" w:evenVBand="0" w:oddHBand="1" w:evenHBand="0" w:firstRowFirstColumn="0" w:firstRowLastColumn="0" w:lastRowFirstColumn="0" w:lastRowLastColumn="0"/>
          <w:trHeight w:val="237"/>
          <w:jc w:val="center"/>
        </w:trPr>
        <w:tc>
          <w:tcPr>
            <w:cnfStyle w:val="001000000000" w:firstRow="0" w:lastRow="0" w:firstColumn="1" w:lastColumn="0" w:oddVBand="0" w:evenVBand="0" w:oddHBand="0" w:evenHBand="0" w:firstRowFirstColumn="0" w:firstRowLastColumn="0" w:lastRowFirstColumn="0" w:lastRowLastColumn="0"/>
            <w:tcW w:w="7177" w:type="dxa"/>
            <w:gridSpan w:val="3"/>
            <w:vAlign w:val="center"/>
            <w:hideMark/>
          </w:tcPr>
          <w:p w14:paraId="72C1D97E" w14:textId="77777777" w:rsidR="0066103D" w:rsidRPr="0066103D" w:rsidRDefault="0066103D" w:rsidP="0066103D">
            <w:pPr>
              <w:jc w:val="center"/>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 xml:space="preserve">SCR: </w:t>
            </w:r>
            <w:r w:rsidRPr="0066103D">
              <w:rPr>
                <w:rFonts w:ascii="Arial" w:eastAsiaTheme="minorHAnsi" w:hAnsi="Arial" w:cs="Arial"/>
                <w:sz w:val="22"/>
                <w:szCs w:val="22"/>
                <w:lang w:val="en-US" w:eastAsia="en-US"/>
              </w:rPr>
              <w:t>Standard Competition Ranking</w:t>
            </w:r>
            <w:r w:rsidRPr="0066103D">
              <w:rPr>
                <w:rFonts w:ascii="Arial" w:eastAsiaTheme="minorHAnsi" w:hAnsi="Arial" w:cs="Arial"/>
                <w:sz w:val="22"/>
                <w:szCs w:val="22"/>
                <w:lang w:val="pt-BR" w:eastAsia="en-US"/>
              </w:rPr>
              <w:t>; TP: número total de documentos.</w:t>
            </w:r>
          </w:p>
        </w:tc>
      </w:tr>
    </w:tbl>
    <w:p w14:paraId="4E7E9E93" w14:textId="77777777" w:rsidR="0066103D" w:rsidRPr="0066103D" w:rsidRDefault="0066103D" w:rsidP="0066103D">
      <w:pPr>
        <w:spacing w:after="160"/>
        <w:jc w:val="center"/>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Fonte: Elaboração própria baseada em dados coletados no Scopus® (2020).</w:t>
      </w:r>
    </w:p>
    <w:bookmarkEnd w:id="1"/>
    <w:p w14:paraId="6A9655DA" w14:textId="77777777" w:rsidR="0066103D" w:rsidRPr="0066103D" w:rsidRDefault="0066103D" w:rsidP="00853F65">
      <w:pPr>
        <w:spacing w:after="160"/>
        <w:ind w:firstLine="720"/>
        <w:jc w:val="both"/>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 xml:space="preserve">A tabela 2 mostra as dez principais revistas científicas que dominam as publicações relacionadas a fatores que alteram a recarga de água em áreas úmidas. A principal revista com 15 (10 %) artigos publicados foi no </w:t>
      </w:r>
      <w:r w:rsidRPr="0066103D">
        <w:rPr>
          <w:rFonts w:ascii="Arial" w:eastAsiaTheme="minorHAnsi" w:hAnsi="Arial" w:cs="Arial"/>
          <w:i/>
          <w:iCs/>
          <w:sz w:val="22"/>
          <w:szCs w:val="22"/>
          <w:lang w:val="pt-BR" w:eastAsia="en-US"/>
        </w:rPr>
        <w:t xml:space="preserve">Journal </w:t>
      </w:r>
      <w:proofErr w:type="spellStart"/>
      <w:r w:rsidRPr="0066103D">
        <w:rPr>
          <w:rFonts w:ascii="Arial" w:eastAsiaTheme="minorHAnsi" w:hAnsi="Arial" w:cs="Arial"/>
          <w:i/>
          <w:iCs/>
          <w:sz w:val="22"/>
          <w:szCs w:val="22"/>
          <w:lang w:val="pt-BR" w:eastAsia="en-US"/>
        </w:rPr>
        <w:t>of</w:t>
      </w:r>
      <w:proofErr w:type="spellEnd"/>
      <w:r w:rsidRPr="0066103D">
        <w:rPr>
          <w:rFonts w:ascii="Arial" w:eastAsiaTheme="minorHAnsi" w:hAnsi="Arial" w:cs="Arial"/>
          <w:i/>
          <w:iCs/>
          <w:sz w:val="22"/>
          <w:szCs w:val="22"/>
          <w:lang w:val="pt-BR" w:eastAsia="en-US"/>
        </w:rPr>
        <w:t xml:space="preserve"> </w:t>
      </w:r>
      <w:proofErr w:type="spellStart"/>
      <w:r w:rsidRPr="0066103D">
        <w:rPr>
          <w:rFonts w:ascii="Arial" w:eastAsiaTheme="minorHAnsi" w:hAnsi="Arial" w:cs="Arial"/>
          <w:i/>
          <w:iCs/>
          <w:sz w:val="22"/>
          <w:szCs w:val="22"/>
          <w:lang w:val="pt-BR" w:eastAsia="en-US"/>
        </w:rPr>
        <w:t>Hydrology</w:t>
      </w:r>
      <w:proofErr w:type="spellEnd"/>
      <w:r w:rsidRPr="0066103D">
        <w:rPr>
          <w:rFonts w:ascii="Arial" w:eastAsiaTheme="minorHAnsi" w:hAnsi="Arial" w:cs="Arial"/>
          <w:sz w:val="22"/>
          <w:szCs w:val="22"/>
          <w:lang w:val="pt-BR" w:eastAsia="en-US"/>
        </w:rPr>
        <w:t xml:space="preserve"> enquanto 10 (6,67 %) foram publicados no </w:t>
      </w:r>
      <w:proofErr w:type="spellStart"/>
      <w:r w:rsidRPr="0066103D">
        <w:rPr>
          <w:rFonts w:ascii="Arial" w:eastAsiaTheme="minorHAnsi" w:hAnsi="Arial" w:cs="Arial"/>
          <w:i/>
          <w:iCs/>
          <w:sz w:val="22"/>
          <w:szCs w:val="22"/>
          <w:lang w:val="pt-BR" w:eastAsia="en-US"/>
        </w:rPr>
        <w:t>Wetlands</w:t>
      </w:r>
      <w:proofErr w:type="spellEnd"/>
      <w:r w:rsidRPr="0066103D">
        <w:rPr>
          <w:rFonts w:ascii="Arial" w:eastAsiaTheme="minorHAnsi" w:hAnsi="Arial" w:cs="Arial"/>
          <w:sz w:val="22"/>
          <w:szCs w:val="22"/>
          <w:lang w:val="pt-BR" w:eastAsia="en-US"/>
        </w:rPr>
        <w:t xml:space="preserve">, 6 (4 %) no </w:t>
      </w:r>
      <w:proofErr w:type="spellStart"/>
      <w:r w:rsidRPr="0066103D">
        <w:rPr>
          <w:rFonts w:ascii="Arial" w:eastAsiaTheme="minorHAnsi" w:hAnsi="Arial" w:cs="Arial"/>
          <w:i/>
          <w:iCs/>
          <w:sz w:val="22"/>
          <w:szCs w:val="22"/>
          <w:lang w:val="pt-BR" w:eastAsia="en-US"/>
        </w:rPr>
        <w:t>Hydrological</w:t>
      </w:r>
      <w:proofErr w:type="spellEnd"/>
      <w:r w:rsidRPr="0066103D">
        <w:rPr>
          <w:rFonts w:ascii="Arial" w:eastAsiaTheme="minorHAnsi" w:hAnsi="Arial" w:cs="Arial"/>
          <w:i/>
          <w:iCs/>
          <w:sz w:val="22"/>
          <w:szCs w:val="22"/>
          <w:lang w:val="pt-BR" w:eastAsia="en-US"/>
        </w:rPr>
        <w:t xml:space="preserve"> Processes</w:t>
      </w:r>
      <w:r w:rsidRPr="0066103D">
        <w:rPr>
          <w:rFonts w:ascii="Arial" w:eastAsiaTheme="minorHAnsi" w:hAnsi="Arial" w:cs="Arial"/>
          <w:sz w:val="22"/>
          <w:szCs w:val="22"/>
          <w:lang w:val="pt-BR" w:eastAsia="en-US"/>
        </w:rPr>
        <w:t xml:space="preserve"> e 5 (3,33 %) no </w:t>
      </w:r>
      <w:r w:rsidRPr="0066103D">
        <w:rPr>
          <w:rFonts w:ascii="Arial" w:eastAsiaTheme="minorHAnsi" w:hAnsi="Arial" w:cs="Arial"/>
          <w:i/>
          <w:iCs/>
          <w:sz w:val="22"/>
          <w:szCs w:val="22"/>
          <w:lang w:val="pt-BR" w:eastAsia="en-US"/>
        </w:rPr>
        <w:t xml:space="preserve">Environmental Earth </w:t>
      </w:r>
      <w:proofErr w:type="spellStart"/>
      <w:r w:rsidRPr="0066103D">
        <w:rPr>
          <w:rFonts w:ascii="Arial" w:eastAsiaTheme="minorHAnsi" w:hAnsi="Arial" w:cs="Arial"/>
          <w:i/>
          <w:iCs/>
          <w:sz w:val="22"/>
          <w:szCs w:val="22"/>
          <w:lang w:val="pt-BR" w:eastAsia="en-US"/>
        </w:rPr>
        <w:t>Sciences</w:t>
      </w:r>
      <w:proofErr w:type="spellEnd"/>
      <w:r w:rsidRPr="0066103D">
        <w:rPr>
          <w:rFonts w:ascii="Arial" w:eastAsiaTheme="minorHAnsi" w:hAnsi="Arial" w:cs="Arial"/>
          <w:sz w:val="22"/>
          <w:szCs w:val="22"/>
          <w:lang w:val="pt-BR" w:eastAsia="en-US"/>
        </w:rPr>
        <w:t>.</w:t>
      </w:r>
    </w:p>
    <w:p w14:paraId="24686DFB" w14:textId="77777777" w:rsidR="0066103D" w:rsidRPr="0066103D" w:rsidRDefault="0066103D" w:rsidP="00853F65">
      <w:pPr>
        <w:spacing w:after="160"/>
        <w:ind w:firstLine="720"/>
        <w:jc w:val="both"/>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A tabela 3 mostra as instituições com maior produção sobre o assunto; a China é a primeira no ranking com cinco das dez principais instituições com 24 documentos, seguida pelos Estados Unidos com três instituições e 14 documentos publicados, enquanto a Austrália e o Canadá têm uma instituição, a primeira com 8 e a segunda com 4 publicações sobre o assunto de interesse.</w:t>
      </w:r>
    </w:p>
    <w:p w14:paraId="554FEB3B" w14:textId="77777777" w:rsidR="0066103D" w:rsidRPr="0066103D" w:rsidRDefault="0066103D" w:rsidP="0066103D">
      <w:pPr>
        <w:jc w:val="center"/>
        <w:rPr>
          <w:rFonts w:ascii="Arial" w:eastAsiaTheme="minorHAnsi" w:hAnsi="Arial" w:cs="Arial"/>
          <w:sz w:val="22"/>
          <w:szCs w:val="22"/>
          <w:lang w:val="pt-BR" w:eastAsia="en-US"/>
        </w:rPr>
      </w:pPr>
      <w:r w:rsidRPr="0066103D">
        <w:rPr>
          <w:rFonts w:ascii="Arial" w:eastAsiaTheme="minorHAnsi" w:hAnsi="Arial" w:cs="Arial"/>
          <w:b/>
          <w:bCs/>
          <w:sz w:val="22"/>
          <w:szCs w:val="22"/>
          <w:lang w:val="pt-BR" w:eastAsia="en-US"/>
        </w:rPr>
        <w:t>Tabela 2.</w:t>
      </w:r>
      <w:r w:rsidRPr="0066103D">
        <w:rPr>
          <w:rFonts w:ascii="Arial" w:eastAsiaTheme="minorHAnsi" w:hAnsi="Arial" w:cs="Arial"/>
          <w:sz w:val="22"/>
          <w:szCs w:val="22"/>
          <w:lang w:val="pt-BR" w:eastAsia="en-US"/>
        </w:rPr>
        <w:t xml:space="preserve"> As dez revistas científicas mais produtivas na área temática</w:t>
      </w:r>
    </w:p>
    <w:tbl>
      <w:tblPr>
        <w:tblStyle w:val="Tablanormal21"/>
        <w:tblW w:w="9168" w:type="dxa"/>
        <w:tblLook w:val="04A0" w:firstRow="1" w:lastRow="0" w:firstColumn="1" w:lastColumn="0" w:noHBand="0" w:noVBand="1"/>
      </w:tblPr>
      <w:tblGrid>
        <w:gridCol w:w="771"/>
        <w:gridCol w:w="3711"/>
        <w:gridCol w:w="551"/>
        <w:gridCol w:w="1143"/>
        <w:gridCol w:w="598"/>
        <w:gridCol w:w="651"/>
        <w:gridCol w:w="1743"/>
      </w:tblGrid>
      <w:tr w:rsidR="0066103D" w:rsidRPr="0066103D" w14:paraId="4C4086A5" w14:textId="77777777" w:rsidTr="00D73213">
        <w:trPr>
          <w:cnfStyle w:val="100000000000" w:firstRow="1" w:lastRow="0" w:firstColumn="0" w:lastColumn="0" w:oddVBand="0" w:evenVBand="0" w:oddHBand="0"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771" w:type="dxa"/>
            <w:noWrap/>
            <w:hideMark/>
          </w:tcPr>
          <w:p w14:paraId="76002759"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SCR</w:t>
            </w:r>
          </w:p>
        </w:tc>
        <w:tc>
          <w:tcPr>
            <w:tcW w:w="3711" w:type="dxa"/>
            <w:noWrap/>
            <w:hideMark/>
          </w:tcPr>
          <w:p w14:paraId="7EF27744"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Revista</w:t>
            </w:r>
          </w:p>
        </w:tc>
        <w:tc>
          <w:tcPr>
            <w:tcW w:w="551" w:type="dxa"/>
            <w:noWrap/>
            <w:hideMark/>
          </w:tcPr>
          <w:p w14:paraId="36D6684F"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TP</w:t>
            </w:r>
          </w:p>
        </w:tc>
        <w:tc>
          <w:tcPr>
            <w:tcW w:w="1143" w:type="dxa"/>
            <w:noWrap/>
            <w:hideMark/>
          </w:tcPr>
          <w:p w14:paraId="5A6C7B3C"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CS2020</w:t>
            </w:r>
          </w:p>
        </w:tc>
        <w:tc>
          <w:tcPr>
            <w:tcW w:w="598" w:type="dxa"/>
            <w:noWrap/>
            <w:hideMark/>
          </w:tcPr>
          <w:p w14:paraId="0EC09327"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Q</w:t>
            </w:r>
          </w:p>
        </w:tc>
        <w:tc>
          <w:tcPr>
            <w:tcW w:w="651" w:type="dxa"/>
            <w:noWrap/>
            <w:hideMark/>
          </w:tcPr>
          <w:p w14:paraId="0CD9F74B"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H</w:t>
            </w:r>
          </w:p>
        </w:tc>
        <w:tc>
          <w:tcPr>
            <w:tcW w:w="1743" w:type="dxa"/>
            <w:noWrap/>
            <w:hideMark/>
          </w:tcPr>
          <w:p w14:paraId="20F0AD99"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País</w:t>
            </w:r>
          </w:p>
        </w:tc>
      </w:tr>
      <w:tr w:rsidR="0066103D" w:rsidRPr="0066103D" w14:paraId="06C1FDE6" w14:textId="77777777" w:rsidTr="00D73213">
        <w:trPr>
          <w:cnfStyle w:val="000000100000" w:firstRow="0" w:lastRow="0" w:firstColumn="0" w:lastColumn="0" w:oddVBand="0" w:evenVBand="0" w:oddHBand="1" w:evenHBand="0" w:firstRowFirstColumn="0" w:firstRowLastColumn="0" w:lastRowFirstColumn="0" w:lastRowLastColumn="0"/>
          <w:trHeight w:val="292"/>
        </w:trPr>
        <w:tc>
          <w:tcPr>
            <w:cnfStyle w:val="001000000000" w:firstRow="0" w:lastRow="0" w:firstColumn="1" w:lastColumn="0" w:oddVBand="0" w:evenVBand="0" w:oddHBand="0" w:evenHBand="0" w:firstRowFirstColumn="0" w:firstRowLastColumn="0" w:lastRowFirstColumn="0" w:lastRowLastColumn="0"/>
            <w:tcW w:w="771" w:type="dxa"/>
            <w:noWrap/>
            <w:hideMark/>
          </w:tcPr>
          <w:p w14:paraId="627A4D64" w14:textId="77777777" w:rsidR="0066103D" w:rsidRPr="0066103D" w:rsidRDefault="0066103D" w:rsidP="0066103D">
            <w:pPr>
              <w:jc w:val="center"/>
              <w:rPr>
                <w:rFonts w:ascii="Arial" w:eastAsiaTheme="minorHAnsi" w:hAnsi="Arial" w:cs="Arial"/>
                <w:sz w:val="22"/>
                <w:szCs w:val="22"/>
                <w:lang w:eastAsia="en-US"/>
              </w:rPr>
            </w:pPr>
            <w:bookmarkStart w:id="3" w:name="_Hlk58851440"/>
            <w:r w:rsidRPr="0066103D">
              <w:rPr>
                <w:rFonts w:ascii="Arial" w:eastAsiaTheme="minorHAnsi" w:hAnsi="Arial" w:cs="Arial"/>
                <w:sz w:val="22"/>
                <w:szCs w:val="22"/>
                <w:lang w:eastAsia="en-US"/>
              </w:rPr>
              <w:t>1</w:t>
            </w:r>
          </w:p>
        </w:tc>
        <w:tc>
          <w:tcPr>
            <w:tcW w:w="3711" w:type="dxa"/>
            <w:hideMark/>
          </w:tcPr>
          <w:p w14:paraId="08F7F349"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Journal of Hydrology</w:t>
            </w:r>
          </w:p>
        </w:tc>
        <w:tc>
          <w:tcPr>
            <w:tcW w:w="551" w:type="dxa"/>
            <w:noWrap/>
            <w:hideMark/>
          </w:tcPr>
          <w:p w14:paraId="2B3CF7F6"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15</w:t>
            </w:r>
          </w:p>
        </w:tc>
        <w:tc>
          <w:tcPr>
            <w:tcW w:w="1143" w:type="dxa"/>
            <w:noWrap/>
            <w:hideMark/>
          </w:tcPr>
          <w:p w14:paraId="5D0153EF"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1.68</w:t>
            </w:r>
          </w:p>
        </w:tc>
        <w:tc>
          <w:tcPr>
            <w:tcW w:w="598" w:type="dxa"/>
            <w:noWrap/>
            <w:hideMark/>
          </w:tcPr>
          <w:p w14:paraId="16FDE12D"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w:t>
            </w:r>
          </w:p>
        </w:tc>
        <w:tc>
          <w:tcPr>
            <w:tcW w:w="651" w:type="dxa"/>
            <w:noWrap/>
            <w:hideMark/>
          </w:tcPr>
          <w:p w14:paraId="24B43DA9"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226</w:t>
            </w:r>
          </w:p>
        </w:tc>
        <w:tc>
          <w:tcPr>
            <w:tcW w:w="1743" w:type="dxa"/>
            <w:noWrap/>
            <w:hideMark/>
          </w:tcPr>
          <w:p w14:paraId="31AE4CB8"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Países Baixos</w:t>
            </w:r>
          </w:p>
        </w:tc>
      </w:tr>
      <w:tr w:rsidR="0066103D" w:rsidRPr="0066103D" w14:paraId="66FB9F98" w14:textId="77777777" w:rsidTr="00D73213">
        <w:trPr>
          <w:trHeight w:val="292"/>
        </w:trPr>
        <w:tc>
          <w:tcPr>
            <w:cnfStyle w:val="001000000000" w:firstRow="0" w:lastRow="0" w:firstColumn="1" w:lastColumn="0" w:oddVBand="0" w:evenVBand="0" w:oddHBand="0" w:evenHBand="0" w:firstRowFirstColumn="0" w:firstRowLastColumn="0" w:lastRowFirstColumn="0" w:lastRowLastColumn="0"/>
            <w:tcW w:w="771" w:type="dxa"/>
            <w:noWrap/>
            <w:hideMark/>
          </w:tcPr>
          <w:p w14:paraId="5B3605DE"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2</w:t>
            </w:r>
          </w:p>
        </w:tc>
        <w:tc>
          <w:tcPr>
            <w:tcW w:w="3711" w:type="dxa"/>
            <w:hideMark/>
          </w:tcPr>
          <w:p w14:paraId="428C0105"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Wetlands</w:t>
            </w:r>
          </w:p>
        </w:tc>
        <w:tc>
          <w:tcPr>
            <w:tcW w:w="551" w:type="dxa"/>
            <w:noWrap/>
            <w:hideMark/>
          </w:tcPr>
          <w:p w14:paraId="101001D3"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10</w:t>
            </w:r>
          </w:p>
        </w:tc>
        <w:tc>
          <w:tcPr>
            <w:tcW w:w="1143" w:type="dxa"/>
            <w:noWrap/>
            <w:hideMark/>
          </w:tcPr>
          <w:p w14:paraId="5122A96F"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0.7</w:t>
            </w:r>
          </w:p>
        </w:tc>
        <w:tc>
          <w:tcPr>
            <w:tcW w:w="598" w:type="dxa"/>
            <w:noWrap/>
            <w:hideMark/>
          </w:tcPr>
          <w:p w14:paraId="39CAE07D"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w:t>
            </w:r>
          </w:p>
        </w:tc>
        <w:tc>
          <w:tcPr>
            <w:tcW w:w="651" w:type="dxa"/>
            <w:noWrap/>
            <w:hideMark/>
          </w:tcPr>
          <w:p w14:paraId="3712FB18"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87</w:t>
            </w:r>
          </w:p>
        </w:tc>
        <w:tc>
          <w:tcPr>
            <w:tcW w:w="1743" w:type="dxa"/>
            <w:noWrap/>
            <w:hideMark/>
          </w:tcPr>
          <w:p w14:paraId="6E379FD5"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Países Baixos</w:t>
            </w:r>
          </w:p>
        </w:tc>
      </w:tr>
      <w:tr w:rsidR="0066103D" w:rsidRPr="0066103D" w14:paraId="0CF02D3C" w14:textId="77777777" w:rsidTr="00D73213">
        <w:trPr>
          <w:cnfStyle w:val="000000100000" w:firstRow="0" w:lastRow="0" w:firstColumn="0" w:lastColumn="0" w:oddVBand="0" w:evenVBand="0" w:oddHBand="1" w:evenHBand="0" w:firstRowFirstColumn="0" w:firstRowLastColumn="0" w:lastRowFirstColumn="0" w:lastRowLastColumn="0"/>
          <w:trHeight w:val="292"/>
        </w:trPr>
        <w:tc>
          <w:tcPr>
            <w:cnfStyle w:val="001000000000" w:firstRow="0" w:lastRow="0" w:firstColumn="1" w:lastColumn="0" w:oddVBand="0" w:evenVBand="0" w:oddHBand="0" w:evenHBand="0" w:firstRowFirstColumn="0" w:firstRowLastColumn="0" w:lastRowFirstColumn="0" w:lastRowLastColumn="0"/>
            <w:tcW w:w="771" w:type="dxa"/>
            <w:noWrap/>
            <w:hideMark/>
          </w:tcPr>
          <w:p w14:paraId="5E2675BD"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3</w:t>
            </w:r>
          </w:p>
        </w:tc>
        <w:tc>
          <w:tcPr>
            <w:tcW w:w="3711" w:type="dxa"/>
            <w:hideMark/>
          </w:tcPr>
          <w:p w14:paraId="047FC69B"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Hydrological Processes</w:t>
            </w:r>
          </w:p>
        </w:tc>
        <w:tc>
          <w:tcPr>
            <w:tcW w:w="551" w:type="dxa"/>
            <w:noWrap/>
            <w:hideMark/>
          </w:tcPr>
          <w:p w14:paraId="34F2CDD9"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6</w:t>
            </w:r>
          </w:p>
        </w:tc>
        <w:tc>
          <w:tcPr>
            <w:tcW w:w="1143" w:type="dxa"/>
            <w:noWrap/>
            <w:hideMark/>
          </w:tcPr>
          <w:p w14:paraId="61CFD7BF"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1.22</w:t>
            </w:r>
          </w:p>
        </w:tc>
        <w:tc>
          <w:tcPr>
            <w:tcW w:w="598" w:type="dxa"/>
            <w:noWrap/>
            <w:hideMark/>
          </w:tcPr>
          <w:p w14:paraId="7D949306"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w:t>
            </w:r>
          </w:p>
        </w:tc>
        <w:tc>
          <w:tcPr>
            <w:tcW w:w="651" w:type="dxa"/>
            <w:noWrap/>
            <w:hideMark/>
          </w:tcPr>
          <w:p w14:paraId="47D948D0"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161</w:t>
            </w:r>
          </w:p>
        </w:tc>
        <w:tc>
          <w:tcPr>
            <w:tcW w:w="1743" w:type="dxa"/>
            <w:noWrap/>
            <w:hideMark/>
          </w:tcPr>
          <w:p w14:paraId="75CB224F"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Reino Unido</w:t>
            </w:r>
          </w:p>
        </w:tc>
      </w:tr>
      <w:bookmarkEnd w:id="3"/>
      <w:tr w:rsidR="0066103D" w:rsidRPr="0066103D" w14:paraId="30CF5145" w14:textId="77777777" w:rsidTr="00D73213">
        <w:trPr>
          <w:trHeight w:val="292"/>
        </w:trPr>
        <w:tc>
          <w:tcPr>
            <w:cnfStyle w:val="001000000000" w:firstRow="0" w:lastRow="0" w:firstColumn="1" w:lastColumn="0" w:oddVBand="0" w:evenVBand="0" w:oddHBand="0" w:evenHBand="0" w:firstRowFirstColumn="0" w:firstRowLastColumn="0" w:lastRowFirstColumn="0" w:lastRowLastColumn="0"/>
            <w:tcW w:w="771" w:type="dxa"/>
            <w:noWrap/>
            <w:hideMark/>
          </w:tcPr>
          <w:p w14:paraId="75040613"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4</w:t>
            </w:r>
          </w:p>
        </w:tc>
        <w:tc>
          <w:tcPr>
            <w:tcW w:w="3711" w:type="dxa"/>
            <w:hideMark/>
          </w:tcPr>
          <w:p w14:paraId="3669F858"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Environmental Earth Sciences</w:t>
            </w:r>
          </w:p>
        </w:tc>
        <w:tc>
          <w:tcPr>
            <w:tcW w:w="551" w:type="dxa"/>
            <w:noWrap/>
            <w:hideMark/>
          </w:tcPr>
          <w:p w14:paraId="1A69221C"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5</w:t>
            </w:r>
          </w:p>
        </w:tc>
        <w:tc>
          <w:tcPr>
            <w:tcW w:w="1143" w:type="dxa"/>
            <w:noWrap/>
            <w:hideMark/>
          </w:tcPr>
          <w:p w14:paraId="4E4E535A"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0.64</w:t>
            </w:r>
          </w:p>
        </w:tc>
        <w:tc>
          <w:tcPr>
            <w:tcW w:w="598" w:type="dxa"/>
            <w:noWrap/>
            <w:hideMark/>
          </w:tcPr>
          <w:p w14:paraId="2DE092F7"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2</w:t>
            </w:r>
          </w:p>
        </w:tc>
        <w:tc>
          <w:tcPr>
            <w:tcW w:w="651" w:type="dxa"/>
            <w:noWrap/>
            <w:hideMark/>
          </w:tcPr>
          <w:p w14:paraId="1B72DD75"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118</w:t>
            </w:r>
          </w:p>
        </w:tc>
        <w:tc>
          <w:tcPr>
            <w:tcW w:w="1743" w:type="dxa"/>
            <w:noWrap/>
            <w:hideMark/>
          </w:tcPr>
          <w:p w14:paraId="20A68F2C"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Alemanha</w:t>
            </w:r>
          </w:p>
        </w:tc>
      </w:tr>
      <w:tr w:rsidR="0066103D" w:rsidRPr="0066103D" w14:paraId="560EF656" w14:textId="77777777" w:rsidTr="00D73213">
        <w:trPr>
          <w:cnfStyle w:val="000000100000" w:firstRow="0" w:lastRow="0" w:firstColumn="0" w:lastColumn="0" w:oddVBand="0" w:evenVBand="0" w:oddHBand="1" w:evenHBand="0" w:firstRowFirstColumn="0" w:firstRowLastColumn="0" w:lastRowFirstColumn="0" w:lastRowLastColumn="0"/>
          <w:trHeight w:val="292"/>
        </w:trPr>
        <w:tc>
          <w:tcPr>
            <w:cnfStyle w:val="001000000000" w:firstRow="0" w:lastRow="0" w:firstColumn="1" w:lastColumn="0" w:oddVBand="0" w:evenVBand="0" w:oddHBand="0" w:evenHBand="0" w:firstRowFirstColumn="0" w:firstRowLastColumn="0" w:lastRowFirstColumn="0" w:lastRowLastColumn="0"/>
            <w:tcW w:w="771" w:type="dxa"/>
            <w:noWrap/>
            <w:hideMark/>
          </w:tcPr>
          <w:p w14:paraId="1C6D8615"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5</w:t>
            </w:r>
          </w:p>
        </w:tc>
        <w:tc>
          <w:tcPr>
            <w:tcW w:w="3711" w:type="dxa"/>
            <w:hideMark/>
          </w:tcPr>
          <w:p w14:paraId="30BD8814"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Science of the Total Environment</w:t>
            </w:r>
          </w:p>
        </w:tc>
        <w:tc>
          <w:tcPr>
            <w:tcW w:w="551" w:type="dxa"/>
            <w:noWrap/>
            <w:hideMark/>
          </w:tcPr>
          <w:p w14:paraId="721A46CC"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4</w:t>
            </w:r>
          </w:p>
        </w:tc>
        <w:tc>
          <w:tcPr>
            <w:tcW w:w="1143" w:type="dxa"/>
            <w:noWrap/>
            <w:hideMark/>
          </w:tcPr>
          <w:p w14:paraId="751AF0A6"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1.8</w:t>
            </w:r>
          </w:p>
        </w:tc>
        <w:tc>
          <w:tcPr>
            <w:tcW w:w="598" w:type="dxa"/>
            <w:noWrap/>
            <w:hideMark/>
          </w:tcPr>
          <w:p w14:paraId="258F09EA"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w:t>
            </w:r>
          </w:p>
        </w:tc>
        <w:tc>
          <w:tcPr>
            <w:tcW w:w="651" w:type="dxa"/>
            <w:noWrap/>
            <w:hideMark/>
          </w:tcPr>
          <w:p w14:paraId="7B7C285A"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244</w:t>
            </w:r>
          </w:p>
        </w:tc>
        <w:tc>
          <w:tcPr>
            <w:tcW w:w="1743" w:type="dxa"/>
            <w:noWrap/>
            <w:hideMark/>
          </w:tcPr>
          <w:p w14:paraId="6524F66F"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Países Baixos</w:t>
            </w:r>
          </w:p>
        </w:tc>
      </w:tr>
      <w:tr w:rsidR="0066103D" w:rsidRPr="0066103D" w14:paraId="4C80ECD2" w14:textId="77777777" w:rsidTr="00D73213">
        <w:trPr>
          <w:trHeight w:val="292"/>
        </w:trPr>
        <w:tc>
          <w:tcPr>
            <w:cnfStyle w:val="001000000000" w:firstRow="0" w:lastRow="0" w:firstColumn="1" w:lastColumn="0" w:oddVBand="0" w:evenVBand="0" w:oddHBand="0" w:evenHBand="0" w:firstRowFirstColumn="0" w:firstRowLastColumn="0" w:lastRowFirstColumn="0" w:lastRowLastColumn="0"/>
            <w:tcW w:w="771" w:type="dxa"/>
            <w:noWrap/>
            <w:hideMark/>
          </w:tcPr>
          <w:p w14:paraId="170D1E4E"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6</w:t>
            </w:r>
          </w:p>
        </w:tc>
        <w:tc>
          <w:tcPr>
            <w:tcW w:w="3711" w:type="dxa"/>
            <w:hideMark/>
          </w:tcPr>
          <w:p w14:paraId="6D5060BD"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Ecohydrology</w:t>
            </w:r>
          </w:p>
        </w:tc>
        <w:tc>
          <w:tcPr>
            <w:tcW w:w="551" w:type="dxa"/>
            <w:noWrap/>
            <w:hideMark/>
          </w:tcPr>
          <w:p w14:paraId="3F9C1AA9"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3</w:t>
            </w:r>
          </w:p>
        </w:tc>
        <w:tc>
          <w:tcPr>
            <w:tcW w:w="1143" w:type="dxa"/>
            <w:noWrap/>
            <w:hideMark/>
          </w:tcPr>
          <w:p w14:paraId="62B7A3BA"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0.98</w:t>
            </w:r>
          </w:p>
        </w:tc>
        <w:tc>
          <w:tcPr>
            <w:tcW w:w="598" w:type="dxa"/>
            <w:noWrap/>
            <w:hideMark/>
          </w:tcPr>
          <w:p w14:paraId="3A110AB6"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w:t>
            </w:r>
          </w:p>
        </w:tc>
        <w:tc>
          <w:tcPr>
            <w:tcW w:w="651" w:type="dxa"/>
            <w:noWrap/>
            <w:hideMark/>
          </w:tcPr>
          <w:p w14:paraId="3AD4B06C"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54</w:t>
            </w:r>
          </w:p>
        </w:tc>
        <w:tc>
          <w:tcPr>
            <w:tcW w:w="1743" w:type="dxa"/>
            <w:noWrap/>
            <w:hideMark/>
          </w:tcPr>
          <w:p w14:paraId="0C8103F1"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Reino Unido</w:t>
            </w:r>
          </w:p>
        </w:tc>
      </w:tr>
      <w:tr w:rsidR="0066103D" w:rsidRPr="0066103D" w14:paraId="6CDD1BD4" w14:textId="77777777" w:rsidTr="00D73213">
        <w:trPr>
          <w:cnfStyle w:val="000000100000" w:firstRow="0" w:lastRow="0" w:firstColumn="0" w:lastColumn="0" w:oddVBand="0" w:evenVBand="0" w:oddHBand="1" w:evenHBand="0" w:firstRowFirstColumn="0" w:firstRowLastColumn="0" w:lastRowFirstColumn="0" w:lastRowLastColumn="0"/>
          <w:trHeight w:val="292"/>
        </w:trPr>
        <w:tc>
          <w:tcPr>
            <w:cnfStyle w:val="001000000000" w:firstRow="0" w:lastRow="0" w:firstColumn="1" w:lastColumn="0" w:oddVBand="0" w:evenVBand="0" w:oddHBand="0" w:evenHBand="0" w:firstRowFirstColumn="0" w:firstRowLastColumn="0" w:lastRowFirstColumn="0" w:lastRowLastColumn="0"/>
            <w:tcW w:w="771" w:type="dxa"/>
            <w:noWrap/>
            <w:hideMark/>
          </w:tcPr>
          <w:p w14:paraId="090A1DF1"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6</w:t>
            </w:r>
          </w:p>
        </w:tc>
        <w:tc>
          <w:tcPr>
            <w:tcW w:w="3711" w:type="dxa"/>
            <w:hideMark/>
          </w:tcPr>
          <w:p w14:paraId="642B5E5F"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Water Science and Technology</w:t>
            </w:r>
          </w:p>
        </w:tc>
        <w:tc>
          <w:tcPr>
            <w:tcW w:w="551" w:type="dxa"/>
            <w:noWrap/>
            <w:hideMark/>
          </w:tcPr>
          <w:p w14:paraId="6ED048B6"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3</w:t>
            </w:r>
          </w:p>
        </w:tc>
        <w:tc>
          <w:tcPr>
            <w:tcW w:w="1143" w:type="dxa"/>
            <w:noWrap/>
            <w:hideMark/>
          </w:tcPr>
          <w:p w14:paraId="47826507"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0.41</w:t>
            </w:r>
          </w:p>
        </w:tc>
        <w:tc>
          <w:tcPr>
            <w:tcW w:w="598" w:type="dxa"/>
            <w:noWrap/>
            <w:hideMark/>
          </w:tcPr>
          <w:p w14:paraId="706AA192"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3</w:t>
            </w:r>
          </w:p>
        </w:tc>
        <w:tc>
          <w:tcPr>
            <w:tcW w:w="651" w:type="dxa"/>
            <w:noWrap/>
            <w:hideMark/>
          </w:tcPr>
          <w:p w14:paraId="45C54AAF"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137</w:t>
            </w:r>
          </w:p>
        </w:tc>
        <w:tc>
          <w:tcPr>
            <w:tcW w:w="1743" w:type="dxa"/>
            <w:noWrap/>
            <w:hideMark/>
          </w:tcPr>
          <w:p w14:paraId="3CCF041A"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Suíça</w:t>
            </w:r>
          </w:p>
        </w:tc>
      </w:tr>
      <w:tr w:rsidR="0066103D" w:rsidRPr="0066103D" w14:paraId="37A1D13F" w14:textId="77777777" w:rsidTr="00D73213">
        <w:trPr>
          <w:trHeight w:val="292"/>
        </w:trPr>
        <w:tc>
          <w:tcPr>
            <w:cnfStyle w:val="001000000000" w:firstRow="0" w:lastRow="0" w:firstColumn="1" w:lastColumn="0" w:oddVBand="0" w:evenVBand="0" w:oddHBand="0" w:evenHBand="0" w:firstRowFirstColumn="0" w:firstRowLastColumn="0" w:lastRowFirstColumn="0" w:lastRowLastColumn="0"/>
            <w:tcW w:w="771" w:type="dxa"/>
            <w:noWrap/>
            <w:hideMark/>
          </w:tcPr>
          <w:p w14:paraId="798191AB"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7</w:t>
            </w:r>
          </w:p>
        </w:tc>
        <w:tc>
          <w:tcPr>
            <w:tcW w:w="3711" w:type="dxa"/>
            <w:hideMark/>
          </w:tcPr>
          <w:p w14:paraId="7ABE3E7C"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Water (Switzerland)</w:t>
            </w:r>
          </w:p>
        </w:tc>
        <w:tc>
          <w:tcPr>
            <w:tcW w:w="551" w:type="dxa"/>
            <w:noWrap/>
            <w:hideMark/>
          </w:tcPr>
          <w:p w14:paraId="6F701481"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2</w:t>
            </w:r>
          </w:p>
        </w:tc>
        <w:tc>
          <w:tcPr>
            <w:tcW w:w="1143" w:type="dxa"/>
            <w:noWrap/>
            <w:hideMark/>
          </w:tcPr>
          <w:p w14:paraId="39CF83A3"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0.72</w:t>
            </w:r>
          </w:p>
        </w:tc>
        <w:tc>
          <w:tcPr>
            <w:tcW w:w="598" w:type="dxa"/>
            <w:noWrap/>
            <w:hideMark/>
          </w:tcPr>
          <w:p w14:paraId="68F9D7E8"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w:t>
            </w:r>
          </w:p>
        </w:tc>
        <w:tc>
          <w:tcPr>
            <w:tcW w:w="651" w:type="dxa"/>
            <w:noWrap/>
            <w:hideMark/>
          </w:tcPr>
          <w:p w14:paraId="53DCDB5D"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55</w:t>
            </w:r>
          </w:p>
        </w:tc>
        <w:tc>
          <w:tcPr>
            <w:tcW w:w="1743" w:type="dxa"/>
            <w:noWrap/>
            <w:hideMark/>
          </w:tcPr>
          <w:p w14:paraId="5AD850D5"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Suíça</w:t>
            </w:r>
          </w:p>
        </w:tc>
      </w:tr>
      <w:tr w:rsidR="0066103D" w:rsidRPr="0066103D" w14:paraId="53F5895C" w14:textId="77777777" w:rsidTr="00D73213">
        <w:trPr>
          <w:cnfStyle w:val="000000100000" w:firstRow="0" w:lastRow="0" w:firstColumn="0" w:lastColumn="0" w:oddVBand="0" w:evenVBand="0" w:oddHBand="1" w:evenHBand="0" w:firstRowFirstColumn="0" w:firstRowLastColumn="0" w:lastRowFirstColumn="0" w:lastRowLastColumn="0"/>
          <w:trHeight w:val="292"/>
        </w:trPr>
        <w:tc>
          <w:tcPr>
            <w:cnfStyle w:val="001000000000" w:firstRow="0" w:lastRow="0" w:firstColumn="1" w:lastColumn="0" w:oddVBand="0" w:evenVBand="0" w:oddHBand="0" w:evenHBand="0" w:firstRowFirstColumn="0" w:firstRowLastColumn="0" w:lastRowFirstColumn="0" w:lastRowLastColumn="0"/>
            <w:tcW w:w="771" w:type="dxa"/>
            <w:noWrap/>
            <w:hideMark/>
          </w:tcPr>
          <w:p w14:paraId="55E53DDE"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7</w:t>
            </w:r>
          </w:p>
        </w:tc>
        <w:tc>
          <w:tcPr>
            <w:tcW w:w="3711" w:type="dxa"/>
            <w:hideMark/>
          </w:tcPr>
          <w:p w14:paraId="568361A3"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Hydrological Sciences Journal</w:t>
            </w:r>
          </w:p>
        </w:tc>
        <w:tc>
          <w:tcPr>
            <w:tcW w:w="551" w:type="dxa"/>
            <w:noWrap/>
            <w:hideMark/>
          </w:tcPr>
          <w:p w14:paraId="09458AF3"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2</w:t>
            </w:r>
          </w:p>
        </w:tc>
        <w:tc>
          <w:tcPr>
            <w:tcW w:w="1143" w:type="dxa"/>
            <w:noWrap/>
            <w:hideMark/>
          </w:tcPr>
          <w:p w14:paraId="4BF052DC"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0.95</w:t>
            </w:r>
          </w:p>
        </w:tc>
        <w:tc>
          <w:tcPr>
            <w:tcW w:w="598" w:type="dxa"/>
            <w:noWrap/>
            <w:hideMark/>
          </w:tcPr>
          <w:p w14:paraId="5DA79FCE"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w:t>
            </w:r>
          </w:p>
        </w:tc>
        <w:tc>
          <w:tcPr>
            <w:tcW w:w="651" w:type="dxa"/>
            <w:noWrap/>
            <w:hideMark/>
          </w:tcPr>
          <w:p w14:paraId="02AA9288"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98</w:t>
            </w:r>
          </w:p>
        </w:tc>
        <w:tc>
          <w:tcPr>
            <w:tcW w:w="1743" w:type="dxa"/>
            <w:noWrap/>
            <w:hideMark/>
          </w:tcPr>
          <w:p w14:paraId="64C42613"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Reino Unido</w:t>
            </w:r>
          </w:p>
        </w:tc>
      </w:tr>
      <w:tr w:rsidR="0066103D" w:rsidRPr="0066103D" w14:paraId="19A6A610" w14:textId="77777777" w:rsidTr="00D73213">
        <w:trPr>
          <w:trHeight w:val="292"/>
        </w:trPr>
        <w:tc>
          <w:tcPr>
            <w:cnfStyle w:val="001000000000" w:firstRow="0" w:lastRow="0" w:firstColumn="1" w:lastColumn="0" w:oddVBand="0" w:evenVBand="0" w:oddHBand="0" w:evenHBand="0" w:firstRowFirstColumn="0" w:firstRowLastColumn="0" w:lastRowFirstColumn="0" w:lastRowLastColumn="0"/>
            <w:tcW w:w="771" w:type="dxa"/>
            <w:noWrap/>
            <w:hideMark/>
          </w:tcPr>
          <w:p w14:paraId="0DA372D4"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7</w:t>
            </w:r>
          </w:p>
        </w:tc>
        <w:tc>
          <w:tcPr>
            <w:tcW w:w="3711" w:type="dxa"/>
            <w:hideMark/>
          </w:tcPr>
          <w:p w14:paraId="5278F1C7"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Ecological Engineering</w:t>
            </w:r>
          </w:p>
        </w:tc>
        <w:tc>
          <w:tcPr>
            <w:tcW w:w="551" w:type="dxa"/>
            <w:noWrap/>
            <w:hideMark/>
          </w:tcPr>
          <w:p w14:paraId="04E03311"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2</w:t>
            </w:r>
          </w:p>
        </w:tc>
        <w:tc>
          <w:tcPr>
            <w:tcW w:w="1143" w:type="dxa"/>
            <w:noWrap/>
            <w:hideMark/>
          </w:tcPr>
          <w:p w14:paraId="2813C980"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1.1</w:t>
            </w:r>
          </w:p>
        </w:tc>
        <w:tc>
          <w:tcPr>
            <w:tcW w:w="598" w:type="dxa"/>
            <w:noWrap/>
            <w:hideMark/>
          </w:tcPr>
          <w:p w14:paraId="1A26016E"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w:t>
            </w:r>
          </w:p>
        </w:tc>
        <w:tc>
          <w:tcPr>
            <w:tcW w:w="651" w:type="dxa"/>
            <w:noWrap/>
            <w:hideMark/>
          </w:tcPr>
          <w:p w14:paraId="3F1188D7"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128</w:t>
            </w:r>
          </w:p>
        </w:tc>
        <w:tc>
          <w:tcPr>
            <w:tcW w:w="1743" w:type="dxa"/>
            <w:noWrap/>
            <w:hideMark/>
          </w:tcPr>
          <w:p w14:paraId="1EBB7C92"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Países Baixos</w:t>
            </w:r>
          </w:p>
        </w:tc>
      </w:tr>
      <w:tr w:rsidR="0066103D" w:rsidRPr="0066103D" w14:paraId="3500A46D" w14:textId="77777777" w:rsidTr="00D73213">
        <w:trPr>
          <w:cnfStyle w:val="000000100000" w:firstRow="0" w:lastRow="0" w:firstColumn="0" w:lastColumn="0" w:oddVBand="0" w:evenVBand="0" w:oddHBand="1" w:evenHBand="0" w:firstRowFirstColumn="0" w:firstRowLastColumn="0" w:lastRowFirstColumn="0" w:lastRowLastColumn="0"/>
          <w:trHeight w:val="292"/>
        </w:trPr>
        <w:tc>
          <w:tcPr>
            <w:cnfStyle w:val="001000000000" w:firstRow="0" w:lastRow="0" w:firstColumn="1" w:lastColumn="0" w:oddVBand="0" w:evenVBand="0" w:oddHBand="0" w:evenHBand="0" w:firstRowFirstColumn="0" w:firstRowLastColumn="0" w:lastRowFirstColumn="0" w:lastRowLastColumn="0"/>
            <w:tcW w:w="9168" w:type="dxa"/>
            <w:gridSpan w:val="7"/>
            <w:noWrap/>
            <w:hideMark/>
          </w:tcPr>
          <w:p w14:paraId="293D700E" w14:textId="77777777" w:rsidR="0066103D" w:rsidRPr="0066103D" w:rsidRDefault="0066103D" w:rsidP="0066103D">
            <w:pPr>
              <w:jc w:val="center"/>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 xml:space="preserve">SCR: Standard Competition Ranking; TP: </w:t>
            </w:r>
            <w:r w:rsidRPr="0066103D">
              <w:rPr>
                <w:rFonts w:ascii="Arial" w:eastAsiaTheme="minorHAnsi" w:hAnsi="Arial" w:cs="Arial"/>
                <w:sz w:val="22"/>
                <w:szCs w:val="22"/>
                <w:lang w:val="pt-BR" w:eastAsia="en-US"/>
              </w:rPr>
              <w:t>total de documentos</w:t>
            </w:r>
            <w:r w:rsidRPr="0066103D">
              <w:rPr>
                <w:rFonts w:ascii="Arial" w:eastAsiaTheme="minorHAnsi" w:hAnsi="Arial" w:cs="Arial"/>
                <w:sz w:val="22"/>
                <w:szCs w:val="22"/>
                <w:lang w:val="en-US" w:eastAsia="en-US"/>
              </w:rPr>
              <w:t>; CS: Cite Score 2020; Q: Cuartil, H H-Index.</w:t>
            </w:r>
          </w:p>
        </w:tc>
      </w:tr>
    </w:tbl>
    <w:p w14:paraId="74B0AD2E" w14:textId="77777777" w:rsidR="0066103D" w:rsidRPr="0066103D" w:rsidRDefault="0066103D" w:rsidP="0066103D">
      <w:pPr>
        <w:jc w:val="center"/>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Fonte: Elaboração própria baseada em dados coletados no SciMAT</w:t>
      </w:r>
    </w:p>
    <w:p w14:paraId="38F0B7C5" w14:textId="77777777" w:rsidR="0066103D" w:rsidRDefault="0066103D" w:rsidP="0066103D">
      <w:pPr>
        <w:jc w:val="center"/>
        <w:rPr>
          <w:rFonts w:ascii="Arial" w:eastAsiaTheme="minorHAnsi" w:hAnsi="Arial" w:cs="Arial"/>
          <w:sz w:val="22"/>
          <w:szCs w:val="22"/>
          <w:lang w:val="pt-BR" w:eastAsia="en-US"/>
        </w:rPr>
      </w:pPr>
    </w:p>
    <w:p w14:paraId="4BB475F8" w14:textId="77777777" w:rsidR="009C11B4" w:rsidRDefault="009C11B4" w:rsidP="0066103D">
      <w:pPr>
        <w:jc w:val="center"/>
        <w:rPr>
          <w:rFonts w:ascii="Arial" w:eastAsiaTheme="minorHAnsi" w:hAnsi="Arial" w:cs="Arial"/>
          <w:sz w:val="22"/>
          <w:szCs w:val="22"/>
          <w:lang w:val="pt-BR" w:eastAsia="en-US"/>
        </w:rPr>
      </w:pPr>
    </w:p>
    <w:p w14:paraId="619ED6CF" w14:textId="77777777" w:rsidR="009C11B4" w:rsidRPr="0066103D" w:rsidRDefault="009C11B4" w:rsidP="0066103D">
      <w:pPr>
        <w:jc w:val="center"/>
        <w:rPr>
          <w:rFonts w:ascii="Arial" w:eastAsiaTheme="minorHAnsi" w:hAnsi="Arial" w:cs="Arial"/>
          <w:sz w:val="22"/>
          <w:szCs w:val="22"/>
          <w:lang w:val="pt-BR" w:eastAsia="en-US"/>
        </w:rPr>
      </w:pPr>
    </w:p>
    <w:p w14:paraId="05C6D65D" w14:textId="77777777" w:rsidR="0066103D" w:rsidRPr="0066103D" w:rsidRDefault="0066103D" w:rsidP="0066103D">
      <w:pPr>
        <w:jc w:val="center"/>
        <w:rPr>
          <w:rFonts w:ascii="Arial" w:eastAsiaTheme="minorHAnsi" w:hAnsi="Arial" w:cs="Arial"/>
          <w:sz w:val="22"/>
          <w:szCs w:val="22"/>
          <w:lang w:val="pt-BR" w:eastAsia="en-US"/>
        </w:rPr>
      </w:pPr>
      <w:r w:rsidRPr="0066103D">
        <w:rPr>
          <w:rFonts w:ascii="Arial" w:eastAsiaTheme="minorHAnsi" w:hAnsi="Arial" w:cs="Arial"/>
          <w:b/>
          <w:bCs/>
          <w:sz w:val="22"/>
          <w:szCs w:val="22"/>
          <w:lang w:val="pt-BR" w:eastAsia="en-US"/>
        </w:rPr>
        <w:lastRenderedPageBreak/>
        <w:t>Tabela 3.</w:t>
      </w:r>
      <w:r w:rsidRPr="0066103D">
        <w:rPr>
          <w:rFonts w:ascii="Arial" w:eastAsiaTheme="minorHAnsi" w:hAnsi="Arial" w:cs="Arial"/>
          <w:sz w:val="22"/>
          <w:szCs w:val="22"/>
          <w:lang w:val="pt-BR" w:eastAsia="en-US"/>
        </w:rPr>
        <w:t xml:space="preserve"> As dez instituições mais produtivas na área temática</w:t>
      </w:r>
    </w:p>
    <w:tbl>
      <w:tblPr>
        <w:tblStyle w:val="Tablanormal21"/>
        <w:tblW w:w="9044" w:type="dxa"/>
        <w:tblLook w:val="04A0" w:firstRow="1" w:lastRow="0" w:firstColumn="1" w:lastColumn="0" w:noHBand="0" w:noVBand="1"/>
      </w:tblPr>
      <w:tblGrid>
        <w:gridCol w:w="790"/>
        <w:gridCol w:w="5418"/>
        <w:gridCol w:w="611"/>
        <w:gridCol w:w="2225"/>
      </w:tblGrid>
      <w:tr w:rsidR="0066103D" w:rsidRPr="0066103D" w14:paraId="53F66A6A" w14:textId="77777777" w:rsidTr="00D73213">
        <w:trPr>
          <w:cnfStyle w:val="100000000000" w:firstRow="1" w:lastRow="0" w:firstColumn="0" w:lastColumn="0" w:oddVBand="0" w:evenVBand="0" w:oddHBand="0"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790" w:type="dxa"/>
            <w:noWrap/>
            <w:hideMark/>
          </w:tcPr>
          <w:p w14:paraId="381A6070"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SCR</w:t>
            </w:r>
          </w:p>
        </w:tc>
        <w:tc>
          <w:tcPr>
            <w:tcW w:w="5418" w:type="dxa"/>
            <w:hideMark/>
          </w:tcPr>
          <w:p w14:paraId="66F27A6F"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Instituição</w:t>
            </w:r>
          </w:p>
        </w:tc>
        <w:tc>
          <w:tcPr>
            <w:tcW w:w="611" w:type="dxa"/>
            <w:noWrap/>
            <w:hideMark/>
          </w:tcPr>
          <w:p w14:paraId="7F4FD4AE"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TP</w:t>
            </w:r>
          </w:p>
        </w:tc>
        <w:tc>
          <w:tcPr>
            <w:tcW w:w="2225" w:type="dxa"/>
            <w:noWrap/>
            <w:hideMark/>
          </w:tcPr>
          <w:p w14:paraId="349F07AE"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País</w:t>
            </w:r>
          </w:p>
        </w:tc>
      </w:tr>
      <w:tr w:rsidR="0066103D" w:rsidRPr="0066103D" w14:paraId="05D51412" w14:textId="77777777" w:rsidTr="00D7321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790" w:type="dxa"/>
            <w:noWrap/>
            <w:hideMark/>
          </w:tcPr>
          <w:p w14:paraId="2F5D33EF"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1st</w:t>
            </w:r>
          </w:p>
        </w:tc>
        <w:tc>
          <w:tcPr>
            <w:tcW w:w="5418" w:type="dxa"/>
            <w:noWrap/>
            <w:hideMark/>
          </w:tcPr>
          <w:p w14:paraId="259E1FFB"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Chinese Academy of Sciences</w:t>
            </w:r>
          </w:p>
        </w:tc>
        <w:tc>
          <w:tcPr>
            <w:tcW w:w="611" w:type="dxa"/>
            <w:noWrap/>
            <w:hideMark/>
          </w:tcPr>
          <w:p w14:paraId="3E3DB6F3"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9</w:t>
            </w:r>
          </w:p>
        </w:tc>
        <w:tc>
          <w:tcPr>
            <w:tcW w:w="2225" w:type="dxa"/>
            <w:noWrap/>
            <w:hideMark/>
          </w:tcPr>
          <w:p w14:paraId="60A06F27"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China</w:t>
            </w:r>
          </w:p>
        </w:tc>
      </w:tr>
      <w:tr w:rsidR="0066103D" w:rsidRPr="0066103D" w14:paraId="74E5980C" w14:textId="77777777" w:rsidTr="00D73213">
        <w:trPr>
          <w:trHeight w:val="252"/>
        </w:trPr>
        <w:tc>
          <w:tcPr>
            <w:cnfStyle w:val="001000000000" w:firstRow="0" w:lastRow="0" w:firstColumn="1" w:lastColumn="0" w:oddVBand="0" w:evenVBand="0" w:oddHBand="0" w:evenHBand="0" w:firstRowFirstColumn="0" w:firstRowLastColumn="0" w:lastRowFirstColumn="0" w:lastRowLastColumn="0"/>
            <w:tcW w:w="790" w:type="dxa"/>
            <w:noWrap/>
            <w:hideMark/>
          </w:tcPr>
          <w:p w14:paraId="5A6FB567"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2nd</w:t>
            </w:r>
          </w:p>
        </w:tc>
        <w:tc>
          <w:tcPr>
            <w:tcW w:w="5418" w:type="dxa"/>
            <w:noWrap/>
            <w:hideMark/>
          </w:tcPr>
          <w:p w14:paraId="0A8F1979"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CSIRO Land and Water</w:t>
            </w:r>
          </w:p>
        </w:tc>
        <w:tc>
          <w:tcPr>
            <w:tcW w:w="611" w:type="dxa"/>
            <w:noWrap/>
            <w:hideMark/>
          </w:tcPr>
          <w:p w14:paraId="2ED0DD66"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8</w:t>
            </w:r>
          </w:p>
        </w:tc>
        <w:tc>
          <w:tcPr>
            <w:tcW w:w="2225" w:type="dxa"/>
            <w:noWrap/>
            <w:hideMark/>
          </w:tcPr>
          <w:p w14:paraId="1DCA4C80"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Australia</w:t>
            </w:r>
          </w:p>
        </w:tc>
      </w:tr>
      <w:tr w:rsidR="0066103D" w:rsidRPr="0066103D" w14:paraId="29DCC160" w14:textId="77777777" w:rsidTr="00D7321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790" w:type="dxa"/>
            <w:noWrap/>
            <w:hideMark/>
          </w:tcPr>
          <w:p w14:paraId="2707047D"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3rd</w:t>
            </w:r>
          </w:p>
        </w:tc>
        <w:tc>
          <w:tcPr>
            <w:tcW w:w="5418" w:type="dxa"/>
            <w:noWrap/>
            <w:hideMark/>
          </w:tcPr>
          <w:p w14:paraId="5343FA43"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United States Geological Survey</w:t>
            </w:r>
          </w:p>
        </w:tc>
        <w:tc>
          <w:tcPr>
            <w:tcW w:w="611" w:type="dxa"/>
            <w:noWrap/>
            <w:hideMark/>
          </w:tcPr>
          <w:p w14:paraId="71E4C7C9"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6</w:t>
            </w:r>
          </w:p>
        </w:tc>
        <w:tc>
          <w:tcPr>
            <w:tcW w:w="2225" w:type="dxa"/>
            <w:noWrap/>
            <w:hideMark/>
          </w:tcPr>
          <w:p w14:paraId="70D155FD"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Estados Unidos</w:t>
            </w:r>
          </w:p>
        </w:tc>
      </w:tr>
      <w:tr w:rsidR="0066103D" w:rsidRPr="0066103D" w14:paraId="71562862" w14:textId="77777777" w:rsidTr="00D73213">
        <w:trPr>
          <w:trHeight w:val="252"/>
        </w:trPr>
        <w:tc>
          <w:tcPr>
            <w:cnfStyle w:val="001000000000" w:firstRow="0" w:lastRow="0" w:firstColumn="1" w:lastColumn="0" w:oddVBand="0" w:evenVBand="0" w:oddHBand="0" w:evenHBand="0" w:firstRowFirstColumn="0" w:firstRowLastColumn="0" w:lastRowFirstColumn="0" w:lastRowLastColumn="0"/>
            <w:tcW w:w="790" w:type="dxa"/>
            <w:noWrap/>
            <w:hideMark/>
          </w:tcPr>
          <w:p w14:paraId="14F33A19"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4th</w:t>
            </w:r>
          </w:p>
        </w:tc>
        <w:tc>
          <w:tcPr>
            <w:tcW w:w="5418" w:type="dxa"/>
            <w:noWrap/>
            <w:hideMark/>
          </w:tcPr>
          <w:p w14:paraId="520889BA"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Ministry of Education China</w:t>
            </w:r>
          </w:p>
        </w:tc>
        <w:tc>
          <w:tcPr>
            <w:tcW w:w="611" w:type="dxa"/>
            <w:noWrap/>
            <w:hideMark/>
          </w:tcPr>
          <w:p w14:paraId="2C988AB3"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5</w:t>
            </w:r>
          </w:p>
        </w:tc>
        <w:tc>
          <w:tcPr>
            <w:tcW w:w="2225" w:type="dxa"/>
            <w:noWrap/>
            <w:hideMark/>
          </w:tcPr>
          <w:p w14:paraId="730DBE9B"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China</w:t>
            </w:r>
          </w:p>
        </w:tc>
      </w:tr>
      <w:tr w:rsidR="0066103D" w:rsidRPr="0066103D" w14:paraId="36ECE1FB" w14:textId="77777777" w:rsidTr="00D7321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790" w:type="dxa"/>
            <w:noWrap/>
            <w:hideMark/>
          </w:tcPr>
          <w:p w14:paraId="11581CFC"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5th</w:t>
            </w:r>
          </w:p>
        </w:tc>
        <w:tc>
          <w:tcPr>
            <w:tcW w:w="5418" w:type="dxa"/>
            <w:noWrap/>
            <w:hideMark/>
          </w:tcPr>
          <w:p w14:paraId="7C5C99E1"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Jilin University</w:t>
            </w:r>
          </w:p>
        </w:tc>
        <w:tc>
          <w:tcPr>
            <w:tcW w:w="611" w:type="dxa"/>
            <w:noWrap/>
            <w:hideMark/>
          </w:tcPr>
          <w:p w14:paraId="07883EA2"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4</w:t>
            </w:r>
          </w:p>
        </w:tc>
        <w:tc>
          <w:tcPr>
            <w:tcW w:w="2225" w:type="dxa"/>
            <w:noWrap/>
            <w:hideMark/>
          </w:tcPr>
          <w:p w14:paraId="10D783ED"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China</w:t>
            </w:r>
          </w:p>
        </w:tc>
      </w:tr>
      <w:tr w:rsidR="0066103D" w:rsidRPr="0066103D" w14:paraId="18AAD7DE" w14:textId="77777777" w:rsidTr="00D73213">
        <w:trPr>
          <w:trHeight w:val="252"/>
        </w:trPr>
        <w:tc>
          <w:tcPr>
            <w:cnfStyle w:val="001000000000" w:firstRow="0" w:lastRow="0" w:firstColumn="1" w:lastColumn="0" w:oddVBand="0" w:evenVBand="0" w:oddHBand="0" w:evenHBand="0" w:firstRowFirstColumn="0" w:firstRowLastColumn="0" w:lastRowFirstColumn="0" w:lastRowLastColumn="0"/>
            <w:tcW w:w="790" w:type="dxa"/>
            <w:noWrap/>
            <w:hideMark/>
          </w:tcPr>
          <w:p w14:paraId="38A62D94"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5th</w:t>
            </w:r>
          </w:p>
        </w:tc>
        <w:tc>
          <w:tcPr>
            <w:tcW w:w="5418" w:type="dxa"/>
            <w:noWrap/>
            <w:hideMark/>
          </w:tcPr>
          <w:p w14:paraId="5A2F66F9"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University of Waterloo</w:t>
            </w:r>
          </w:p>
        </w:tc>
        <w:tc>
          <w:tcPr>
            <w:tcW w:w="611" w:type="dxa"/>
            <w:noWrap/>
            <w:hideMark/>
          </w:tcPr>
          <w:p w14:paraId="678E40FC"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4</w:t>
            </w:r>
          </w:p>
        </w:tc>
        <w:tc>
          <w:tcPr>
            <w:tcW w:w="2225" w:type="dxa"/>
            <w:noWrap/>
            <w:hideMark/>
          </w:tcPr>
          <w:p w14:paraId="575FFE47"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Canadá</w:t>
            </w:r>
          </w:p>
        </w:tc>
      </w:tr>
      <w:tr w:rsidR="0066103D" w:rsidRPr="0066103D" w14:paraId="7F5B049B" w14:textId="77777777" w:rsidTr="00D7321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790" w:type="dxa"/>
            <w:noWrap/>
            <w:hideMark/>
          </w:tcPr>
          <w:p w14:paraId="6D280C9A"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5th</w:t>
            </w:r>
          </w:p>
        </w:tc>
        <w:tc>
          <w:tcPr>
            <w:tcW w:w="5418" w:type="dxa"/>
            <w:noWrap/>
            <w:hideMark/>
          </w:tcPr>
          <w:p w14:paraId="34786F8D"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University of Nebraska–Lincoln</w:t>
            </w:r>
          </w:p>
        </w:tc>
        <w:tc>
          <w:tcPr>
            <w:tcW w:w="611" w:type="dxa"/>
            <w:noWrap/>
            <w:hideMark/>
          </w:tcPr>
          <w:p w14:paraId="0B5C3497"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4</w:t>
            </w:r>
          </w:p>
        </w:tc>
        <w:tc>
          <w:tcPr>
            <w:tcW w:w="2225" w:type="dxa"/>
            <w:noWrap/>
            <w:hideMark/>
          </w:tcPr>
          <w:p w14:paraId="6B5A3974"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Estados Unidos</w:t>
            </w:r>
          </w:p>
        </w:tc>
      </w:tr>
      <w:tr w:rsidR="0066103D" w:rsidRPr="0066103D" w14:paraId="35B50270" w14:textId="77777777" w:rsidTr="00D73213">
        <w:trPr>
          <w:trHeight w:val="252"/>
        </w:trPr>
        <w:tc>
          <w:tcPr>
            <w:cnfStyle w:val="001000000000" w:firstRow="0" w:lastRow="0" w:firstColumn="1" w:lastColumn="0" w:oddVBand="0" w:evenVBand="0" w:oddHBand="0" w:evenHBand="0" w:firstRowFirstColumn="0" w:firstRowLastColumn="0" w:lastRowFirstColumn="0" w:lastRowLastColumn="0"/>
            <w:tcW w:w="790" w:type="dxa"/>
            <w:noWrap/>
            <w:hideMark/>
          </w:tcPr>
          <w:p w14:paraId="61CCBD0C"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6th</w:t>
            </w:r>
          </w:p>
        </w:tc>
        <w:tc>
          <w:tcPr>
            <w:tcW w:w="5418" w:type="dxa"/>
            <w:noWrap/>
            <w:hideMark/>
          </w:tcPr>
          <w:p w14:paraId="067D5040"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Duke University</w:t>
            </w:r>
          </w:p>
        </w:tc>
        <w:tc>
          <w:tcPr>
            <w:tcW w:w="611" w:type="dxa"/>
            <w:noWrap/>
            <w:hideMark/>
          </w:tcPr>
          <w:p w14:paraId="107C6764"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3</w:t>
            </w:r>
          </w:p>
        </w:tc>
        <w:tc>
          <w:tcPr>
            <w:tcW w:w="2225" w:type="dxa"/>
            <w:noWrap/>
            <w:hideMark/>
          </w:tcPr>
          <w:p w14:paraId="0F972D64"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Estados Unidos</w:t>
            </w:r>
          </w:p>
        </w:tc>
      </w:tr>
      <w:tr w:rsidR="0066103D" w:rsidRPr="0066103D" w14:paraId="487C2CAB" w14:textId="77777777" w:rsidTr="00D7321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790" w:type="dxa"/>
            <w:noWrap/>
            <w:hideMark/>
          </w:tcPr>
          <w:p w14:paraId="7C2B437F"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6th</w:t>
            </w:r>
          </w:p>
        </w:tc>
        <w:tc>
          <w:tcPr>
            <w:tcW w:w="5418" w:type="dxa"/>
            <w:noWrap/>
            <w:hideMark/>
          </w:tcPr>
          <w:p w14:paraId="22C963E9"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Northeast Normal University</w:t>
            </w:r>
          </w:p>
        </w:tc>
        <w:tc>
          <w:tcPr>
            <w:tcW w:w="611" w:type="dxa"/>
            <w:noWrap/>
            <w:hideMark/>
          </w:tcPr>
          <w:p w14:paraId="230AB664"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3</w:t>
            </w:r>
          </w:p>
        </w:tc>
        <w:tc>
          <w:tcPr>
            <w:tcW w:w="2225" w:type="dxa"/>
            <w:noWrap/>
            <w:hideMark/>
          </w:tcPr>
          <w:p w14:paraId="6D03DE83"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China</w:t>
            </w:r>
          </w:p>
        </w:tc>
      </w:tr>
      <w:tr w:rsidR="0066103D" w:rsidRPr="0066103D" w14:paraId="3A23BB2D" w14:textId="77777777" w:rsidTr="00D73213">
        <w:trPr>
          <w:trHeight w:val="252"/>
        </w:trPr>
        <w:tc>
          <w:tcPr>
            <w:cnfStyle w:val="001000000000" w:firstRow="0" w:lastRow="0" w:firstColumn="1" w:lastColumn="0" w:oddVBand="0" w:evenVBand="0" w:oddHBand="0" w:evenHBand="0" w:firstRowFirstColumn="0" w:firstRowLastColumn="0" w:lastRowFirstColumn="0" w:lastRowLastColumn="0"/>
            <w:tcW w:w="790" w:type="dxa"/>
            <w:noWrap/>
            <w:hideMark/>
          </w:tcPr>
          <w:p w14:paraId="5ECA774F"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6th</w:t>
            </w:r>
          </w:p>
        </w:tc>
        <w:tc>
          <w:tcPr>
            <w:tcW w:w="5418" w:type="dxa"/>
            <w:noWrap/>
            <w:hideMark/>
          </w:tcPr>
          <w:p w14:paraId="184FEDB7"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val="en-US" w:eastAsia="en-US"/>
              </w:rPr>
            </w:pPr>
            <w:r w:rsidRPr="0066103D">
              <w:rPr>
                <w:rFonts w:ascii="Arial" w:eastAsiaTheme="minorHAnsi" w:hAnsi="Arial" w:cs="Arial"/>
                <w:sz w:val="22"/>
                <w:szCs w:val="22"/>
                <w:lang w:val="en-US" w:eastAsia="en-US"/>
              </w:rPr>
              <w:t>University of Chinese Academy of Sciences</w:t>
            </w:r>
          </w:p>
        </w:tc>
        <w:tc>
          <w:tcPr>
            <w:tcW w:w="611" w:type="dxa"/>
            <w:noWrap/>
            <w:hideMark/>
          </w:tcPr>
          <w:p w14:paraId="4D5F3B0E"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3</w:t>
            </w:r>
          </w:p>
        </w:tc>
        <w:tc>
          <w:tcPr>
            <w:tcW w:w="2225" w:type="dxa"/>
            <w:noWrap/>
            <w:hideMark/>
          </w:tcPr>
          <w:p w14:paraId="59695D0E"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2"/>
                <w:szCs w:val="22"/>
                <w:lang w:eastAsia="en-US"/>
              </w:rPr>
            </w:pPr>
            <w:r w:rsidRPr="0066103D">
              <w:rPr>
                <w:rFonts w:ascii="Arial" w:eastAsiaTheme="minorHAnsi" w:hAnsi="Arial" w:cs="Arial"/>
                <w:sz w:val="22"/>
                <w:szCs w:val="22"/>
                <w:lang w:eastAsia="en-US"/>
              </w:rPr>
              <w:t>China</w:t>
            </w:r>
          </w:p>
        </w:tc>
      </w:tr>
      <w:tr w:rsidR="0066103D" w:rsidRPr="0066103D" w14:paraId="65B3F00C" w14:textId="77777777" w:rsidTr="00D73213">
        <w:trPr>
          <w:cnfStyle w:val="000000100000" w:firstRow="0" w:lastRow="0" w:firstColumn="0" w:lastColumn="0" w:oddVBand="0" w:evenVBand="0" w:oddHBand="1" w:evenHBand="0" w:firstRowFirstColumn="0" w:firstRowLastColumn="0" w:lastRowFirstColumn="0" w:lastRowLastColumn="0"/>
          <w:trHeight w:val="231"/>
        </w:trPr>
        <w:tc>
          <w:tcPr>
            <w:cnfStyle w:val="001000000000" w:firstRow="0" w:lastRow="0" w:firstColumn="1" w:lastColumn="0" w:oddVBand="0" w:evenVBand="0" w:oddHBand="0" w:evenHBand="0" w:firstRowFirstColumn="0" w:firstRowLastColumn="0" w:lastRowFirstColumn="0" w:lastRowLastColumn="0"/>
            <w:tcW w:w="9044" w:type="dxa"/>
            <w:gridSpan w:val="4"/>
            <w:noWrap/>
            <w:hideMark/>
          </w:tcPr>
          <w:p w14:paraId="07D08611"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sz w:val="22"/>
                <w:szCs w:val="22"/>
                <w:lang w:eastAsia="en-US"/>
              </w:rPr>
              <w:t xml:space="preserve">SCR: </w:t>
            </w:r>
            <w:r w:rsidRPr="0066103D">
              <w:rPr>
                <w:rFonts w:ascii="Arial" w:eastAsiaTheme="minorHAnsi" w:hAnsi="Arial" w:cs="Arial"/>
                <w:i/>
                <w:iCs/>
                <w:sz w:val="22"/>
                <w:szCs w:val="22"/>
                <w:lang w:val="en-US" w:eastAsia="en-US"/>
              </w:rPr>
              <w:t>Standard Competition</w:t>
            </w:r>
            <w:r w:rsidRPr="0066103D">
              <w:rPr>
                <w:rFonts w:ascii="Arial" w:eastAsiaTheme="minorHAnsi" w:hAnsi="Arial" w:cs="Arial"/>
                <w:i/>
                <w:iCs/>
                <w:sz w:val="22"/>
                <w:szCs w:val="22"/>
                <w:lang w:eastAsia="en-US"/>
              </w:rPr>
              <w:t xml:space="preserve"> Ranking</w:t>
            </w:r>
            <w:r w:rsidRPr="0066103D">
              <w:rPr>
                <w:rFonts w:ascii="Arial" w:eastAsiaTheme="minorHAnsi" w:hAnsi="Arial" w:cs="Arial"/>
                <w:sz w:val="22"/>
                <w:szCs w:val="22"/>
                <w:lang w:eastAsia="en-US"/>
              </w:rPr>
              <w:t>; TP: número total de documentos.</w:t>
            </w:r>
          </w:p>
        </w:tc>
      </w:tr>
    </w:tbl>
    <w:p w14:paraId="430CED34" w14:textId="77777777" w:rsidR="0066103D" w:rsidRPr="0066103D" w:rsidRDefault="0066103D" w:rsidP="0066103D">
      <w:pPr>
        <w:spacing w:after="160"/>
        <w:jc w:val="center"/>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Fonte: Elaboração própria baseada em dados coletados no Scopus® (2020).</w:t>
      </w:r>
    </w:p>
    <w:p w14:paraId="61F4AC7F" w14:textId="77777777" w:rsidR="0066103D" w:rsidRPr="0066103D" w:rsidRDefault="0066103D" w:rsidP="00853F65">
      <w:pPr>
        <w:ind w:firstLine="720"/>
        <w:jc w:val="both"/>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O número total de citações das publicações foi de 2.032 e uma média de 13,55 citações. Há três artigos com mais de 100 citações, sendo o artigo mais citado “</w:t>
      </w:r>
      <w:proofErr w:type="spellStart"/>
      <w:r w:rsidRPr="0066103D">
        <w:rPr>
          <w:rFonts w:ascii="Arial" w:eastAsia="Times New Roman" w:hAnsi="Arial" w:cs="Arial"/>
          <w:i/>
          <w:iCs/>
          <w:color w:val="000000"/>
          <w:sz w:val="22"/>
          <w:szCs w:val="22"/>
          <w:lang w:val="pt-BR"/>
        </w:rPr>
        <w:t>Water</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observations</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from</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space</w:t>
      </w:r>
      <w:proofErr w:type="spellEnd"/>
      <w:r w:rsidRPr="0066103D">
        <w:rPr>
          <w:rFonts w:ascii="Arial" w:eastAsia="Times New Roman" w:hAnsi="Arial" w:cs="Arial"/>
          <w:i/>
          <w:iCs/>
          <w:color w:val="000000"/>
          <w:sz w:val="22"/>
          <w:szCs w:val="22"/>
          <w:lang w:val="pt-BR"/>
        </w:rPr>
        <w:t xml:space="preserve">: Mapping surface </w:t>
      </w:r>
      <w:proofErr w:type="spellStart"/>
      <w:r w:rsidRPr="0066103D">
        <w:rPr>
          <w:rFonts w:ascii="Arial" w:eastAsia="Times New Roman" w:hAnsi="Arial" w:cs="Arial"/>
          <w:i/>
          <w:iCs/>
          <w:color w:val="000000"/>
          <w:sz w:val="22"/>
          <w:szCs w:val="22"/>
          <w:lang w:val="pt-BR"/>
        </w:rPr>
        <w:t>water</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from</w:t>
      </w:r>
      <w:proofErr w:type="spellEnd"/>
      <w:r w:rsidRPr="0066103D">
        <w:rPr>
          <w:rFonts w:ascii="Arial" w:eastAsia="Times New Roman" w:hAnsi="Arial" w:cs="Arial"/>
          <w:i/>
          <w:iCs/>
          <w:color w:val="000000"/>
          <w:sz w:val="22"/>
          <w:szCs w:val="22"/>
          <w:lang w:val="pt-BR"/>
        </w:rPr>
        <w:t xml:space="preserve"> 25 </w:t>
      </w:r>
      <w:proofErr w:type="spellStart"/>
      <w:r w:rsidRPr="0066103D">
        <w:rPr>
          <w:rFonts w:ascii="Arial" w:eastAsia="Times New Roman" w:hAnsi="Arial" w:cs="Arial"/>
          <w:i/>
          <w:iCs/>
          <w:color w:val="000000"/>
          <w:sz w:val="22"/>
          <w:szCs w:val="22"/>
          <w:lang w:val="pt-BR"/>
        </w:rPr>
        <w:t>years</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of</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Landsat</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imagery</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across</w:t>
      </w:r>
      <w:proofErr w:type="spellEnd"/>
      <w:r w:rsidRPr="0066103D">
        <w:rPr>
          <w:rFonts w:ascii="Arial" w:eastAsia="Times New Roman" w:hAnsi="Arial" w:cs="Arial"/>
          <w:i/>
          <w:iCs/>
          <w:color w:val="000000"/>
          <w:sz w:val="22"/>
          <w:szCs w:val="22"/>
          <w:lang w:val="pt-BR"/>
        </w:rPr>
        <w:t xml:space="preserve"> Australia </w:t>
      </w:r>
      <w:r w:rsidRPr="0066103D">
        <w:rPr>
          <w:rFonts w:ascii="Arial" w:eastAsiaTheme="minorHAnsi" w:hAnsi="Arial" w:cs="Arial"/>
          <w:noProof/>
          <w:sz w:val="22"/>
          <w:szCs w:val="22"/>
          <w:lang w:val="en-US"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{"citationItems":[{"id":"ITEM-1","itemData":{"DOI":"10.1016/j.rse.2015.11.003","ISSN":"00344257","abstract":"Following extreme flooding in eastern Australia in 2011, the Australian Government established a programme to improve access to flood information across Australia. As part of this, a project was undertaken to map the extent of surface water across Australia using the multi-decadal archive of Landsat satellite imagery. A water detection algorithm was used based on a decision tree classifier, and a comparison methodology using a logistic regression. This approach provided an understanding of the confidence in the water observations. The results were used to map the presence of surface water across the entire continent from every observation of 27 years of satellite imagery. The Water Observation from Space (WOfS) product provides insight into the behaviour of surface water across Australia through time, demonstrating where water is persistent, such as in reservoirs, and where it is ephemeral, such as on floodplains during a flood. In addition the WOfS product is useful for studies of wetland extent, aquatic species behaviour, hydrological models, land surface process modelling and groundwater recharge. This paper describes the WOfS methodology and shows how similar time-series analyses of nationally significant environmental variables might be conducted at the continental scale.","author":[{"dropping-particle":"","family":"Mueller","given":"N.","non-dropping-particle":"","parse-names":false,"suffix":""},{"dropping-particle":"","family":"Lewis","given":"A.","non-dropping-particle":"","parse-names":false,"suffix":""},{"dropping-particle":"","family":"Roberts","given":"D.","non-dropping-particle":"","parse-names":false,"suffix":""},{"dropping-particle":"","family":"Ring","given":"S.","non-dropping-particle":"","parse-names":false,"suffix":""},{"dropping-particle":"","family":"Melrose","given":"R.","non-dropping-particle":"","parse-names":false,"suffix":""},{"dropping-particle":"","family":"Sixsmith","given":"J.","non-dropping-particle":"","parse-names":false,"suffix":""},{"dropping-particle":"","family":"Lymburner","given":"L.","non-dropping-particle":"","parse-names":false,"suffix":""},{"dropping-particle":"","family":"McIntyre","given":"A.","non-dropping-particle":"","parse-names":false,"suffix":""},{"dropping-particle":"","family":"Tan","given":"P.","non-dropping-particle":"","parse-names":false,"suffix":""},{"dropping-particle":"","family":"Curnow","given":"S.","non-dropping-particle":"","parse-names":false,"suffix":""},{"dropping-particle":"","family":"Ip","given":"A.","non-dropping-particle":"","parse-names":false,"suffix":""}],"container-title":"Remote Sensing of Environment","id":"ITEM-1","issued":{"date-parts":[["2016","3","1"]]},"page":"341-352","publisher":"Elsevier Inc.","title":"Water observations from space: Mapping surface water from 25years of Landsat imagery across Australia","type":"article-journal","volume":"174"},"uris":["http://www.mendeley.com/documents/?uuid=4c26ffdb-6aff-36cf-a002-71577231735a"]}],"mendeley":{"formattedCitation":"[42]","plainTextFormattedCitation":"[42]","previouslyFormattedCitation":"[43]"},"properties":{"noteIndex":0},"schema":"https://github.com/citation-style-language/schema/raw/master/csl-citation.json"}</w:instrText>
      </w:r>
      <w:r w:rsidRPr="0066103D">
        <w:rPr>
          <w:rFonts w:ascii="Arial" w:eastAsiaTheme="minorHAnsi" w:hAnsi="Arial" w:cs="Arial"/>
          <w:noProof/>
          <w:sz w:val="22"/>
          <w:szCs w:val="22"/>
          <w:lang w:val="en-US" w:eastAsia="en-US"/>
        </w:rPr>
        <w:fldChar w:fldCharType="separate"/>
      </w:r>
      <w:r w:rsidRPr="0066103D">
        <w:rPr>
          <w:rFonts w:ascii="Arial" w:eastAsiaTheme="minorHAnsi" w:hAnsi="Arial" w:cs="Arial"/>
          <w:noProof/>
          <w:sz w:val="22"/>
          <w:szCs w:val="22"/>
          <w:lang w:val="pt-BR" w:eastAsia="en-US"/>
        </w:rPr>
        <w:t>[42]</w:t>
      </w:r>
      <w:r w:rsidRPr="0066103D">
        <w:rPr>
          <w:rFonts w:ascii="Arial" w:eastAsiaTheme="minorHAnsi" w:hAnsi="Arial" w:cs="Arial"/>
          <w:noProof/>
          <w:sz w:val="22"/>
          <w:szCs w:val="22"/>
          <w:lang w:eastAsia="en-US"/>
        </w:rPr>
        <w:fldChar w:fldCharType="end"/>
      </w:r>
      <w:r w:rsidRPr="0066103D">
        <w:rPr>
          <w:rFonts w:ascii="Arial" w:eastAsia="Times New Roman" w:hAnsi="Arial" w:cs="Arial"/>
          <w:color w:val="000000"/>
          <w:sz w:val="22"/>
          <w:szCs w:val="22"/>
          <w:lang w:val="pt-BR"/>
        </w:rPr>
        <w:t xml:space="preserve">” com 193 citações publicadas em 2016 na revista </w:t>
      </w:r>
      <w:r w:rsidRPr="0066103D">
        <w:rPr>
          <w:rFonts w:ascii="Arial" w:eastAsia="Times New Roman" w:hAnsi="Arial" w:cs="Arial"/>
          <w:i/>
          <w:iCs/>
          <w:color w:val="000000"/>
          <w:sz w:val="22"/>
          <w:szCs w:val="22"/>
          <w:lang w:val="pt-BR"/>
        </w:rPr>
        <w:t xml:space="preserve">Remote </w:t>
      </w:r>
      <w:proofErr w:type="spellStart"/>
      <w:r w:rsidRPr="0066103D">
        <w:rPr>
          <w:rFonts w:ascii="Arial" w:eastAsia="Times New Roman" w:hAnsi="Arial" w:cs="Arial"/>
          <w:i/>
          <w:iCs/>
          <w:color w:val="000000"/>
          <w:sz w:val="22"/>
          <w:szCs w:val="22"/>
          <w:lang w:val="pt-BR"/>
        </w:rPr>
        <w:t>Sensing</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of</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Environment</w:t>
      </w:r>
      <w:proofErr w:type="spellEnd"/>
      <w:r w:rsidRPr="0066103D">
        <w:rPr>
          <w:rFonts w:ascii="Arial" w:eastAsia="Times New Roman" w:hAnsi="Arial" w:cs="Arial"/>
          <w:i/>
          <w:iCs/>
          <w:color w:val="000000"/>
          <w:sz w:val="22"/>
          <w:szCs w:val="22"/>
          <w:lang w:val="pt-BR"/>
        </w:rPr>
        <w:t xml:space="preserve"> </w:t>
      </w:r>
      <w:r w:rsidRPr="0066103D">
        <w:rPr>
          <w:rFonts w:ascii="Arial" w:eastAsia="Times New Roman" w:hAnsi="Arial" w:cs="Arial"/>
          <w:color w:val="000000"/>
          <w:sz w:val="22"/>
          <w:szCs w:val="22"/>
          <w:lang w:val="pt-BR"/>
        </w:rPr>
        <w:t xml:space="preserve">visualizada na Tabela 4. Também, seis dos dez artigos mais citados são publicados no </w:t>
      </w:r>
      <w:r w:rsidRPr="0066103D">
        <w:rPr>
          <w:rFonts w:ascii="Arial" w:eastAsia="Times New Roman" w:hAnsi="Arial" w:cs="Arial"/>
          <w:i/>
          <w:iCs/>
          <w:color w:val="000000"/>
          <w:sz w:val="22"/>
          <w:szCs w:val="22"/>
          <w:lang w:val="pt-BR"/>
        </w:rPr>
        <w:t xml:space="preserve">Journal </w:t>
      </w:r>
      <w:proofErr w:type="spellStart"/>
      <w:r w:rsidRPr="0066103D">
        <w:rPr>
          <w:rFonts w:ascii="Arial" w:eastAsia="Times New Roman" w:hAnsi="Arial" w:cs="Arial"/>
          <w:i/>
          <w:iCs/>
          <w:color w:val="000000"/>
          <w:sz w:val="22"/>
          <w:szCs w:val="22"/>
          <w:lang w:val="pt-BR"/>
        </w:rPr>
        <w:t>of</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Hydrology</w:t>
      </w:r>
      <w:proofErr w:type="spellEnd"/>
      <w:r w:rsidRPr="0066103D">
        <w:rPr>
          <w:rFonts w:ascii="Arial" w:eastAsia="Times New Roman" w:hAnsi="Arial" w:cs="Arial"/>
          <w:color w:val="000000"/>
          <w:sz w:val="22"/>
          <w:szCs w:val="22"/>
          <w:lang w:val="pt-BR"/>
        </w:rPr>
        <w:t xml:space="preserve">, </w:t>
      </w:r>
      <w:proofErr w:type="spellStart"/>
      <w:r w:rsidRPr="0066103D">
        <w:rPr>
          <w:rFonts w:ascii="Arial" w:eastAsia="Times New Roman" w:hAnsi="Arial" w:cs="Arial"/>
          <w:i/>
          <w:iCs/>
          <w:color w:val="000000"/>
          <w:sz w:val="22"/>
          <w:szCs w:val="22"/>
          <w:lang w:val="pt-BR"/>
        </w:rPr>
        <w:t>Ecological</w:t>
      </w:r>
      <w:proofErr w:type="spellEnd"/>
      <w:r w:rsidRPr="0066103D">
        <w:rPr>
          <w:rFonts w:ascii="Arial" w:eastAsia="Times New Roman" w:hAnsi="Arial" w:cs="Arial"/>
          <w:i/>
          <w:iCs/>
          <w:color w:val="000000"/>
          <w:sz w:val="22"/>
          <w:szCs w:val="22"/>
          <w:lang w:val="pt-BR"/>
        </w:rPr>
        <w:t xml:space="preserve"> </w:t>
      </w:r>
      <w:proofErr w:type="spellStart"/>
      <w:r w:rsidRPr="0066103D">
        <w:rPr>
          <w:rFonts w:ascii="Arial" w:eastAsia="Times New Roman" w:hAnsi="Arial" w:cs="Arial"/>
          <w:i/>
          <w:iCs/>
          <w:color w:val="000000"/>
          <w:sz w:val="22"/>
          <w:szCs w:val="22"/>
          <w:lang w:val="pt-BR"/>
        </w:rPr>
        <w:t>Engineering</w:t>
      </w:r>
      <w:proofErr w:type="spellEnd"/>
      <w:r w:rsidRPr="0066103D">
        <w:rPr>
          <w:rFonts w:ascii="Arial" w:eastAsia="Times New Roman" w:hAnsi="Arial" w:cs="Arial"/>
          <w:i/>
          <w:iCs/>
          <w:color w:val="000000"/>
          <w:sz w:val="22"/>
          <w:szCs w:val="22"/>
          <w:lang w:val="pt-BR"/>
        </w:rPr>
        <w:t xml:space="preserve"> </w:t>
      </w:r>
      <w:r w:rsidRPr="0066103D">
        <w:rPr>
          <w:rFonts w:ascii="Arial" w:eastAsia="Times New Roman" w:hAnsi="Arial" w:cs="Arial"/>
          <w:color w:val="000000"/>
          <w:sz w:val="22"/>
          <w:szCs w:val="22"/>
          <w:lang w:val="pt-BR"/>
        </w:rPr>
        <w:t xml:space="preserve">y </w:t>
      </w:r>
      <w:proofErr w:type="spellStart"/>
      <w:r w:rsidRPr="0066103D">
        <w:rPr>
          <w:rFonts w:ascii="Arial" w:eastAsia="Times New Roman" w:hAnsi="Arial" w:cs="Arial"/>
          <w:i/>
          <w:iCs/>
          <w:color w:val="000000"/>
          <w:sz w:val="22"/>
          <w:szCs w:val="22"/>
          <w:lang w:val="pt-BR"/>
        </w:rPr>
        <w:t>Wetlands</w:t>
      </w:r>
      <w:proofErr w:type="spellEnd"/>
      <w:r w:rsidRPr="0066103D">
        <w:rPr>
          <w:rFonts w:ascii="Arial" w:eastAsia="Times New Roman" w:hAnsi="Arial" w:cs="Arial"/>
          <w:color w:val="000000"/>
          <w:sz w:val="22"/>
          <w:szCs w:val="22"/>
          <w:lang w:val="pt-BR"/>
        </w:rPr>
        <w:t xml:space="preserve"> que estão entre os dez primeiros da Tabela 2.</w:t>
      </w:r>
    </w:p>
    <w:p w14:paraId="028A5E5B" w14:textId="77777777" w:rsidR="0066103D" w:rsidRPr="0066103D" w:rsidRDefault="0066103D" w:rsidP="00853F65">
      <w:pPr>
        <w:ind w:firstLine="720"/>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eastAsia="en-US"/>
        </w:rPr>
        <w:t xml:space="preserve">No estudo de Mueller </w:t>
      </w:r>
      <w:r w:rsidRPr="0066103D">
        <w:rPr>
          <w:rFonts w:ascii="Arial" w:eastAsiaTheme="minorHAnsi" w:hAnsi="Arial" w:cs="Arial"/>
          <w:i/>
          <w:iCs/>
          <w:noProof/>
          <w:sz w:val="22"/>
          <w:szCs w:val="22"/>
          <w:lang w:eastAsia="en-US"/>
        </w:rPr>
        <w:t>et al</w:t>
      </w:r>
      <w:r w:rsidRPr="0066103D">
        <w:rPr>
          <w:rFonts w:ascii="Arial" w:eastAsiaTheme="minorHAnsi" w:hAnsi="Arial" w:cs="Arial"/>
          <w:noProof/>
          <w:sz w:val="22"/>
          <w:szCs w:val="22"/>
          <w:lang w:eastAsia="en-US"/>
        </w:rPr>
        <w:t xml:space="preserve">.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eastAsia="en-US"/>
        </w:rPr>
        <w:instrText>ADDIN CSL_CITATION {"citationItems":[{"id":"ITEM-1","itemData":{"DOI":"10.1016/j.rse.2015.11.003","ISSN":"00344257","abstract":"Following extreme flooding in eastern Australia in 2011, the Australian Government established a programme to improve access to flood information across Australia. As part of this, a project was undertaken to map the extent of surface water across Australia using the multi-decadal archive of Landsat satellite imagery. A water detection algorithm was used based on a decision tree classifier, and a comparison methodology using a logistic regression. This approach provided an understanding of the confidence in the water observations. The results were used to map the presence of surface water across the entire continent from every observation of 27 years of satellite imagery. The Water Observation from Space (WOfS) product provides insight into the behaviour of surface water across Australia through time, demonstrating where water is persistent, such as in reservoirs, and where it is ephemeral, such as on floodplains during a flood. In addition the WOfS product is useful for studies of wetland extent, aquatic species behaviour, hydrological models, land surface process modelling and groundwater recharge. This paper describes the WOfS methodology and shows how similar time-series analyses of nationally significant environmental variables might be conducted at the continental scale.","author":[{"dropping-particle":"","family":"Mueller","given":"N.","non-dropping-particle":"","parse-names":false,"suffix":""},{"dropping-particle":"","family":"Lewis","given":"A.","non-dropping-particle":"","parse-names":false,"suffix":""},{"dropping-particle":"","family":"Roberts","given":"D.","non-dropping-particle":"","parse-names":false,"suffix":""},{"dropping-particle":"","family":"Ring","given":"S.","non-dropping-p</w:instrText>
      </w:r>
      <w:r w:rsidRPr="0066103D">
        <w:rPr>
          <w:rFonts w:ascii="Arial" w:eastAsiaTheme="minorHAnsi" w:hAnsi="Arial" w:cs="Arial"/>
          <w:noProof/>
          <w:sz w:val="22"/>
          <w:szCs w:val="22"/>
          <w:lang w:val="pt-BR" w:eastAsia="en-US"/>
        </w:rPr>
        <w:instrText>article":"","parse-names":false,"suffix":""},{"dropping-particle":"","family":"Melrose","given":"R.","non-dropping-particle":"","parse-names":false,"suffix":""},{"dropping-particle":"","family":"Sixsmith","given":"J.","non-dropping-particle":"","parse-names":false,"suffix":""},{"dropping-particle":"","family":"Lymburner","given":"L.","non-dropping-particle":"","parse-names":false,"suffix":""},{"dropping-particle":"","family":"McIntyre","given":"A.","non-dropping-particle":"","parse-names":false,"suffix":""},{"dropping-particle":"","family":"Tan","given":"P.","non-dropping-particle":"","parse-names":false,"suffix":""},{"dropping-particle":"","family":"Curnow","given":"S.","non-dropping-particle":"","parse-names":false,"suffix":""},{"dropping-particle":"","family":"Ip","given":"A.","non-dropping-particle":"","parse-names":false,"suffix":""}],"container-title":"Remote Sensing of Environment","id":"ITEM-1","issued":{"date-parts":[["2016","3","1"]]},"page":"341-352","publisher":"Elsevier Inc.","title":"Water observations from space: Mapping surface water from 25years of Landsat imagery across Australia","type":"article-journal","volume":"174"},"suppress-author":1,"uris":["http://www.mendeley.com/documents/?uuid=4c26ffdb-6aff-36cf-a002-71577231735a"]}],"mendeley":{"formattedCitation":"[42]","plainTextFormattedCitation":"[42]","previouslyFormattedCitation":"[43]"},"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[42]</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eles mostram como a </w:t>
      </w:r>
      <w:r w:rsidRPr="0066103D">
        <w:rPr>
          <w:rFonts w:ascii="Arial" w:eastAsiaTheme="minorHAnsi" w:hAnsi="Arial" w:cs="Arial"/>
          <w:i/>
          <w:iCs/>
          <w:noProof/>
          <w:sz w:val="22"/>
          <w:szCs w:val="22"/>
          <w:lang w:val="pt-BR" w:eastAsia="en-US"/>
        </w:rPr>
        <w:t xml:space="preserve">Water Observation from Space </w:t>
      </w:r>
      <w:r w:rsidRPr="0066103D">
        <w:rPr>
          <w:rFonts w:ascii="Arial" w:eastAsiaTheme="minorHAnsi" w:hAnsi="Arial" w:cs="Arial"/>
          <w:noProof/>
          <w:sz w:val="22"/>
          <w:szCs w:val="22"/>
          <w:lang w:val="pt-BR" w:eastAsia="en-US"/>
        </w:rPr>
        <w:t xml:space="preserve">(WOFS) fornece informações sobre o comportamento da água superficial em planícies aluviais através da detecção de corpos d'água por meio de algoritmos e regressões logísticas que podem ser usados para estudar a extensão de áreas úmidas e a influência de processos antropogênicos. Como conseqüência de tais processos, as áreas úmidas diminuíram em todo o mundo, levando à busca de substitutos para manter o equilíbrio ecológico entre os ecossistemas. portanto, Natuhara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{"citationItems":[{"id":"ITEM-1","itemData":{"DOI":"10.1016/j.ecoleng.2012.04.026","ISSN":"09258574","abstract":"This paper reviews research on the ecosystem services or multifunctionality of paddy rice cultivation in Japan, focusing on biodiversity as a basis for ecosystem services, with the aim of describing the current status and impact of the subject and exploring options for sustainable practices. Ecosystem services provided by paddy fields include; groundwater recharge, production of non-rice foods, flood control, soil erosion and landslide prevention, climate-change mitigation, water purification, culture and landscape, and support of ecosystems and biodiversity. Among these services, the value of services that regulate ecosystem functions was estimated to be US$ 72.8 billion in Japan. More than 5000 species have been recorded in paddy fields and the surrounding environment. Because paddy fields are artificially disturbed by water level management, plowing, and harvest, most species move between paddy fields and the surrounding environment. The linkage between paddy fields and the associated environment plays an important role in biodiversity. Two changes that have affected the ecosystem of paddy fields are modernization and abandonment of farming. Satoyama, a traditional socio-ecological production landscape, which provided a functional linkage between paddy fields and the associated environment has lost its functions. Biodiversity-conscious rice farming has been promoted by collaborations among farmers, consumers and governments. Biodiversity certification programs are successful examples of biodiversity-conscious framing. In these programs incentives include direct payments and/or premium prices paid by consumers, as well as farmers willingness to improve the safety of food and environment. © 2012 Elsevier B.V.","author":[{"dropping-particle":"","family":"Natuhara","given":"Yosihiro","non-dropping-particle":"","parse-names":false,"suffix":""}],"container-title":"Ecological Engineering","id":"ITEM-1","issued":{"date-parts":[["2013","7","1"]]},"page":"97-106","publisher":"Elsevier","title":"Ecosystem services by paddy fields as substitutes of natural wetlands in Japan","type":"article-journal","volume":"56"},"suppress-author":1,"uris":["http://www.mendeley.com/documents/?uuid=fee7e770-0843-3a72-955e-37f89c1cbf57"]}],"mendeley":{"formattedCitation":"[43]","plainTextFormattedCitation":"[43]","previouslyFormattedCitation":"[44]"},"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[43]</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indica que o cultivo de arroz pode ser um substituto ideal para as áreas úmidas naturais, já que fornece serviços de ecossistema como recarga de águas subterrâneas, controle de inundações, mitigação da mudança climática, apoio à biodiversidade, entre outros.</w:t>
      </w:r>
    </w:p>
    <w:p w14:paraId="115270D9" w14:textId="77777777" w:rsidR="0066103D" w:rsidRPr="0066103D" w:rsidRDefault="0066103D" w:rsidP="00853F65">
      <w:pPr>
        <w:ind w:firstLine="720"/>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O estudo de Dogramaci et al.</w:t>
      </w:r>
      <w:r w:rsidRPr="0066103D">
        <w:rPr>
          <w:rFonts w:ascii="Arial" w:eastAsiaTheme="minorHAnsi" w:hAnsi="Arial" w:cs="Arial"/>
          <w:noProof/>
          <w:sz w:val="22"/>
          <w:szCs w:val="22"/>
          <w:lang w:val="en-US" w:eastAsia="en-US"/>
        </w:rPr>
        <w:fldChar w:fldCharType="begin" w:fldLock="1"/>
      </w:r>
      <w:r w:rsidRPr="0066103D">
        <w:rPr>
          <w:rFonts w:ascii="Arial" w:eastAsiaTheme="minorHAnsi" w:hAnsi="Arial" w:cs="Arial"/>
          <w:noProof/>
          <w:sz w:val="22"/>
          <w:szCs w:val="22"/>
          <w:lang w:val="pt-BR" w:eastAsia="en-US"/>
        </w:rPr>
        <w:instrText xml:space="preserve">ADDIN CSL_CITATION {"citationItems":[{"id":"ITEM-1","itemData":{"DOI":"10.1016/j.jhydrol.2012.10.004","ISSN":"00221694","abstract":"The Hamersley Basin, in the semi-arid Pilbara region of northwest Australia, is currently subject to increasing pressure from altered hydrology associated with mining activities as well as water abstraction for regional development. Sustainable water management across the region must be underpinned by an understanding of the factors that constrain water supply in arid zones. We measured the amount and isotopic signature of individual rainfall events over three consecutive years (2009-2011) to determine the likely processes that control surface water pools in streams and groundwater recharge across the Hamersley Basin. We also measured concentrations of ions (in particular bromide and chloride) to define and quantify sources of major recharge. Stable isotope composition of precipitation across the basin forms a Local Meteoric Water Line (LMWL) defined by the equation: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2H=7.03±0.17×</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18O+4.78±1.45. Thus, the slope of the LMWL was similar to the Global Meteoric Water Line (GMWL). However, the intercept of the LMWL was significantly different to the GMWL, which is attributable to the amount or \"rainout\" effect. The stable isotope composition of rainfall events was highly variable and dependent on event size. However, the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2H and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18O values of fresh groundwater from the alluvium and fractured aquifers were similar and characterised by a very narrow range (alluvium aquifer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18O -8.02±0.83‰,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2H -55.6±6.0‰, n=65; fractured aquifer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18O -8.22±0.70‰,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2H -56.9±5.0‰, n=207). Our findings suggest that intense rainfall events of &gt;20mm with limited evaporation prior to infiltration contribute most to recharge. In contrast, the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2H and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18O values and chemical composition of the relatively saline groundwater in the terminal Fortescue Marsh suggest a combination of evaporation and cyclic drying and wetting of the marsh surface prior to recharge. Saline groundwater samples were more 18O enriched than fresh groundwater;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2H and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18O values shifted to the right of the LMWL, forming a straight line with a slope of 3.58±0.20 and an intercept of -25.55±0.71 (R2=0.95, p&lt;0.001, n=18). The stable isotope mass balance for most of the surface water pools in the basin show significant evaporation and are highly enriched compared to underlying groundwater. We conclude that significant seepage from highly evaporated pools to groundwater is very limited. © 2012 Elsevier B.V.","author":[{"dropping-particle":"","family":"Dogramaci","given":"Shawan","non-dropping-particle":"","parse-names":false,"suffix":""},{"dropping-particle":"","family":"Skrzypek","given":"Grzegorz","non-dropping-particle":"","parse-names":false,"suffix":""},{"dropping-particle":"","family":"Dodson","given":"Wade","non-dropping-particle":"","parse-names":false,"suffix":""},{"dropping-particle":"","family":"Grierson","given":"Pauline F.","non-dropping-particle":"","parse-names":false,"suffix":""}],"container-title":"Journal of Hydrology","id":"ITEM-1","issued":{"date-parts":[["2012","12","19"]]},"page":"281-293","publisher":"Elsevier","title":"Stable isotope and hydrochemical evolution of groundwater in the semi-arid Hamersley Basin of subtropical northwest Australia","type":"article-journal","volume":"475"},"suppress-author":1,"uris":["http://www.mendeley.com/documents/?uuid=6cd83a17-03d4-3946-96c9-92c089afde72"]}],"mendeley":{"formattedCitation":"[44]","plainTextFormattedCitation":"[44]","previouslyFormattedCitation":"[45]"},"properties":{"noteIndex":0},"schema":"https://github.com/citation-style-language/schema/raw/master/csl-citation.json"}</w:instrText>
      </w:r>
      <w:r w:rsidRPr="0066103D">
        <w:rPr>
          <w:rFonts w:ascii="Arial" w:eastAsiaTheme="minorHAnsi" w:hAnsi="Arial" w:cs="Arial"/>
          <w:noProof/>
          <w:sz w:val="22"/>
          <w:szCs w:val="22"/>
          <w:lang w:val="en-US" w:eastAsia="en-US"/>
        </w:rPr>
        <w:fldChar w:fldCharType="separate"/>
      </w:r>
      <w:r w:rsidRPr="0066103D">
        <w:rPr>
          <w:rFonts w:ascii="Arial" w:eastAsiaTheme="minorHAnsi" w:hAnsi="Arial" w:cs="Arial"/>
          <w:noProof/>
          <w:sz w:val="22"/>
          <w:szCs w:val="22"/>
          <w:lang w:val="pt-BR" w:eastAsia="en-US"/>
        </w:rPr>
        <w:t>[44]</w:t>
      </w:r>
      <w:r w:rsidRPr="0066103D">
        <w:rPr>
          <w:rFonts w:ascii="Arial" w:eastAsiaTheme="minorHAnsi" w:hAnsi="Arial" w:cs="Arial"/>
          <w:noProof/>
          <w:sz w:val="22"/>
          <w:szCs w:val="22"/>
          <w:lang w:val="en-US" w:eastAsia="en-US"/>
        </w:rPr>
        <w:fldChar w:fldCharType="end"/>
      </w:r>
      <w:r w:rsidRPr="0066103D">
        <w:rPr>
          <w:rFonts w:ascii="Arial" w:eastAsiaTheme="minorHAnsi" w:hAnsi="Arial" w:cs="Arial"/>
          <w:noProof/>
          <w:sz w:val="22"/>
          <w:szCs w:val="22"/>
          <w:lang w:val="pt-BR" w:eastAsia="en-US"/>
        </w:rPr>
        <w:t xml:space="preserve">, analisou a evolução da precipitação para as águas subterrâneas durante três anos a fim de estabelecer os padrões de recarga de água dos aquíferos na área através de isótopos estáveis de água e se a precipitação e outros fatores a estão alterando. Da mesma forma, Liu &amp; Yamanaka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{"citationItems":[{"id":"ITEM-1","itemData":{"DOI":"10.1016/j.jhydrol.2012.06.053","ISSN":"00221694","abstract":"Mountain-plain transitional landscapes are especially important as groundwater recharge zones. In this study, the oxygen and hydrogen stable isotopic composition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 18O and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D) of water and hydrochemical information were employed to quantify contribution ratios of different sources of groundwater recharge in the Ashikaga area of central Japan. The study area is situated between the Ashio Mountains and the Kanto Plain, and the Watarase River flows into the region parallel to the mountain-plain boundary. There was an obvious isotopic altitude effect in and around the study area (-0.25‰ per 100m for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 18O and -1.7‰ per 100m for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D), and the isotopic signatures of water from the Watarase River and local precipitation could be clearly distinguished. In addition, it was possible to identify the occurrence of mountain block recharge using hydrochemistry, specifically the chloride ion. End-member mixing analysis using </w:instrText>
      </w:r>
      <w:r w:rsidRPr="0066103D">
        <w:rPr>
          <w:rFonts w:ascii="Arial" w:eastAsiaTheme="minorHAnsi" w:hAnsi="Arial" w:cs="Arial"/>
          <w:noProof/>
          <w:sz w:val="22"/>
          <w:szCs w:val="22"/>
          <w:lang w:eastAsia="en-US"/>
        </w:rPr>
        <w:instrText>δ</w:instrText>
      </w:r>
      <w:r w:rsidRPr="0066103D">
        <w:rPr>
          <w:rFonts w:ascii="Arial" w:eastAsiaTheme="minorHAnsi" w:hAnsi="Arial" w:cs="Arial"/>
          <w:noProof/>
          <w:sz w:val="22"/>
          <w:szCs w:val="22"/>
          <w:lang w:val="pt-BR" w:eastAsia="en-US"/>
        </w:rPr>
        <w:instrText xml:space="preserve"> values and Cl - concentration revealed spatial variation in the contribution ratios of the river water, mountain block groundwater and local precipitation. Seepage from the Watarase River contributed a significant amount of water to aquifers along its channel. The river-recharged water reached 5km from the channel in the south (i.e., plain) side and 1.6km or less in the north (i.e., mountain) side. Remarkable mountain block recharge was observed in the foothills near the axis of the syncline, which has layers of chert and sandstone that likely hinder river channel seepage into the mountain-side aquifers. Major factors controlling the river-water contribution ratio include the distance from the river channel, topography, and hydrogeological settings. The results presented here should facilitate integrated management of groundwater and surface water resources. © 2012 Elsevier B.V.","author":[{"dropping-particle":"","family":"Liu","given":"Yaping","non-dropping-particle":"","parse-names":false,"suffix":""},{"dropping-particle":"","family":"Yamanaka","given":"Tsutomu","non-dropping-particle":"","parse-names":false,"suffix":""}],"container-title":"Journal of Hydrology","id":"ITEM-1","issued":{"date-parts":[["2012","9","25"]]},"page":"116-126","publisher":"Elsevier","title":"Tracing groundwater recharge sources in a mountain-plain transitional area using stable isotopes and hydrochemistry","type":"article-journal","volume":"464-465"},"suppress-author":1,"uris":["http://www.mendeley.com/documents/?uuid=4aca6948-ee35-3537-9dce-c422bd92d865"]}],"mendeley":{"formattedCitation":"[45]","plainTextFormattedCitation":"[45]","previouslyFormattedCitation":"[46]"},"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[45]</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utilizaram isótopos estáveis para analisar a relação da recarga das águas subterrâneas com o rio na área, e estabeleceram que fatores como topografia e ambientes hidrogeológicos controlam a recarga; onde a topografia pode ser influenciada por atividades antropogênicas alterando a capacidade de recarga dos aquíferos. </w:t>
      </w:r>
    </w:p>
    <w:p w14:paraId="22BFF99F" w14:textId="77777777" w:rsidR="0066103D" w:rsidRPr="0066103D" w:rsidRDefault="0066103D" w:rsidP="0066103D">
      <w:pPr>
        <w:jc w:val="both"/>
        <w:rPr>
          <w:rFonts w:ascii="Arial" w:eastAsiaTheme="minorHAnsi" w:hAnsi="Arial" w:cs="Arial"/>
          <w:noProof/>
          <w:sz w:val="22"/>
          <w:szCs w:val="22"/>
          <w:lang w:val="pt-BR" w:eastAsia="en-US"/>
        </w:rPr>
      </w:pPr>
    </w:p>
    <w:p w14:paraId="39D80980" w14:textId="77777777" w:rsidR="0066103D" w:rsidRPr="0066103D" w:rsidRDefault="0066103D" w:rsidP="0066103D">
      <w:pPr>
        <w:jc w:val="center"/>
        <w:rPr>
          <w:rFonts w:ascii="Arial" w:eastAsiaTheme="minorHAnsi" w:hAnsi="Arial" w:cs="Arial"/>
          <w:noProof/>
          <w:sz w:val="22"/>
          <w:szCs w:val="22"/>
          <w:lang w:val="pt-BR" w:eastAsia="en-US"/>
        </w:rPr>
      </w:pPr>
      <w:r w:rsidRPr="0066103D">
        <w:rPr>
          <w:rFonts w:ascii="Arial" w:eastAsiaTheme="minorHAnsi" w:hAnsi="Arial" w:cs="Arial"/>
          <w:b/>
          <w:bCs/>
          <w:noProof/>
          <w:sz w:val="22"/>
          <w:szCs w:val="22"/>
          <w:lang w:val="pt-BR" w:eastAsia="en-US"/>
        </w:rPr>
        <w:t>Tabela 4.</w:t>
      </w:r>
      <w:r w:rsidRPr="0066103D">
        <w:rPr>
          <w:rFonts w:ascii="Arial" w:eastAsiaTheme="minorHAnsi" w:hAnsi="Arial" w:cs="Arial"/>
          <w:noProof/>
          <w:sz w:val="22"/>
          <w:szCs w:val="22"/>
          <w:lang w:val="pt-BR" w:eastAsia="en-US"/>
        </w:rPr>
        <w:t xml:space="preserve"> documentos mais citados relacionados com o assunto</w:t>
      </w:r>
    </w:p>
    <w:tbl>
      <w:tblPr>
        <w:tblStyle w:val="Tablanormal21"/>
        <w:tblW w:w="8819" w:type="dxa"/>
        <w:tblLook w:val="04A0" w:firstRow="1" w:lastRow="0" w:firstColumn="1" w:lastColumn="0" w:noHBand="0" w:noVBand="1"/>
      </w:tblPr>
      <w:tblGrid>
        <w:gridCol w:w="723"/>
        <w:gridCol w:w="2112"/>
        <w:gridCol w:w="3526"/>
        <w:gridCol w:w="1719"/>
        <w:gridCol w:w="754"/>
      </w:tblGrid>
      <w:tr w:rsidR="0066103D" w:rsidRPr="0066103D" w14:paraId="0FE6158B" w14:textId="77777777" w:rsidTr="00D73213">
        <w:trPr>
          <w:cnfStyle w:val="100000000000" w:firstRow="1" w:lastRow="0" w:firstColumn="0" w:lastColumn="0" w:oddVBand="0" w:evenVBand="0" w:oddHBand="0"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723" w:type="dxa"/>
            <w:noWrap/>
            <w:vAlign w:val="center"/>
            <w:hideMark/>
          </w:tcPr>
          <w:p w14:paraId="2FF14AF1" w14:textId="77777777" w:rsidR="0066103D" w:rsidRPr="0066103D" w:rsidRDefault="0066103D" w:rsidP="0066103D">
            <w:pPr>
              <w:jc w:val="center"/>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SCR</w:t>
            </w:r>
          </w:p>
        </w:tc>
        <w:tc>
          <w:tcPr>
            <w:tcW w:w="2112" w:type="dxa"/>
            <w:noWrap/>
            <w:vAlign w:val="center"/>
            <w:hideMark/>
          </w:tcPr>
          <w:p w14:paraId="56D4D86A"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Autores - ano</w:t>
            </w:r>
          </w:p>
        </w:tc>
        <w:tc>
          <w:tcPr>
            <w:tcW w:w="3526" w:type="dxa"/>
            <w:noWrap/>
            <w:vAlign w:val="center"/>
            <w:hideMark/>
          </w:tcPr>
          <w:p w14:paraId="3E7F44AE"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Titulo</w:t>
            </w:r>
          </w:p>
        </w:tc>
        <w:tc>
          <w:tcPr>
            <w:tcW w:w="1719" w:type="dxa"/>
            <w:noWrap/>
            <w:vAlign w:val="center"/>
            <w:hideMark/>
          </w:tcPr>
          <w:p w14:paraId="337AAFD0"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Revista</w:t>
            </w:r>
          </w:p>
        </w:tc>
        <w:tc>
          <w:tcPr>
            <w:tcW w:w="739" w:type="dxa"/>
            <w:noWrap/>
            <w:vAlign w:val="center"/>
            <w:hideMark/>
          </w:tcPr>
          <w:p w14:paraId="04B787EC" w14:textId="77777777" w:rsidR="0066103D" w:rsidRPr="0066103D" w:rsidRDefault="0066103D" w:rsidP="0066103D">
            <w:pPr>
              <w:jc w:val="center"/>
              <w:cnfStyle w:val="100000000000" w:firstRow="1"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Citas</w:t>
            </w:r>
          </w:p>
        </w:tc>
      </w:tr>
      <w:tr w:rsidR="0066103D" w:rsidRPr="0066103D" w14:paraId="045545AB" w14:textId="77777777" w:rsidTr="00D73213">
        <w:trPr>
          <w:cnfStyle w:val="000000100000" w:firstRow="0" w:lastRow="0" w:firstColumn="0" w:lastColumn="0" w:oddVBand="0" w:evenVBand="0" w:oddHBand="1" w:evenHBand="0" w:firstRowFirstColumn="0" w:firstRowLastColumn="0" w:lastRowFirstColumn="0" w:lastRowLastColumn="0"/>
          <w:trHeight w:val="818"/>
        </w:trPr>
        <w:tc>
          <w:tcPr>
            <w:cnfStyle w:val="001000000000" w:firstRow="0" w:lastRow="0" w:firstColumn="1" w:lastColumn="0" w:oddVBand="0" w:evenVBand="0" w:oddHBand="0" w:evenHBand="0" w:firstRowFirstColumn="0" w:firstRowLastColumn="0" w:lastRowFirstColumn="0" w:lastRowLastColumn="0"/>
            <w:tcW w:w="723" w:type="dxa"/>
            <w:noWrap/>
            <w:vAlign w:val="center"/>
            <w:hideMark/>
          </w:tcPr>
          <w:p w14:paraId="08D540CD" w14:textId="77777777" w:rsidR="0066103D" w:rsidRPr="0066103D" w:rsidRDefault="0066103D" w:rsidP="0066103D">
            <w:pPr>
              <w:jc w:val="center"/>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1st</w:t>
            </w:r>
          </w:p>
        </w:tc>
        <w:tc>
          <w:tcPr>
            <w:tcW w:w="2112" w:type="dxa"/>
            <w:vAlign w:val="center"/>
            <w:hideMark/>
          </w:tcPr>
          <w:p w14:paraId="7823C100"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fldChar w:fldCharType="begin" w:fldLock="1"/>
            </w:r>
            <w:r w:rsidRPr="0066103D">
              <w:rPr>
                <w:rFonts w:ascii="Arial" w:eastAsiaTheme="minorHAnsi" w:hAnsi="Arial" w:cs="Arial"/>
                <w:noProof/>
                <w:sz w:val="22"/>
                <w:szCs w:val="22"/>
                <w:lang w:val="en-US" w:eastAsia="en-US"/>
              </w:rPr>
              <w:instrText>ADDIN CSL_CITATION {"citationItems":[{"id":"ITEM-1","itemData":{"DOI":"10.1016/j.rse.2015.11.003","ISSN":"00344257","abstract":"Following extreme flooding in eastern Australia in 2011, the Australian Government established a programme to improve access to flood information across Australia. As part of this, a project was undertaken to map the extent of surface water across Australia using the multi-decadal archive of Landsat satellite imagery. A water detection algorithm was used based on a decision tree classifier, and a comparison methodology using a logistic regression. This approach provided an understanding of the confidence in the water observations. The results were used to map the presence of surface water across the entire continent from every observation of 27 years of satellite imagery. The Water Observation from Space (WOfS) product provides insight into the behaviour of surface water across Australia through time, demonstrating where water is persistent, such as in reservoirs, and where it is ephemeral, such as on floodplains during a flood. In addition the WOfS product is useful for studies of wetland extent, aquatic species behaviour, hydrological models, land surface process modelling and groundwater recharge. This paper describes the WOfS methodology and shows how similar time-series analyses of nationally significant environmental variables might be conducted at the continental scale.","author":[{"dropping-particle":"","family":"Mueller","given":"N.","non-dropping-particle":"","parse-names":false,"suffix":""},{"dropping-particle":"","family":"Lewis","given":"A.","non-dropping-particle":"","parse-names":false,"suffix":""},{"dropping-particle":"","family":"Roberts","given":"D.","non-dropping-particle":"","parse-names":false,"suffix":""},{"dropping-particle":"","family":"Ring","given":"S.","non-dropping-particle":"","parse-names":false,"suffix":""},{"dropping-particle":"","family":"Melrose","given":"R.","non-dropping-particle":"","parse-names":false,"suffix":""},{"dropping-particle":"","family":"Sixsmith","given":"J.","non-dropping-particle":"","parse-names":false,"suffix":""},{"dropping-particle":"","family":"Lymburner","given":"L.","non-dropping-particle":"","parse-names":false,"suffix":""},{"dropping-particle":"","family":"McIntyre","given":"A.","non-dropping-particle":"","parse-names":false,"suffix":""},{"dropping-particle":"","family":"Tan","given":"P.","non-dropping-particle":"","parse-names":false,"suffix":""},{"dropping-particle":"","family":"Curnow","given":"S.","non-dropping-particle":"","parse-names":false,"suffix":""},{"dropping-particle":"","family":"Ip","given":"A.","non-dropping-particle":"","parse-names":false,"suffix":""}],"container-title":"Remote Sensing of Environment","id":"ITEM-1","issued":{"date-parts":[["2016","3","1"]]},"page":"341-352","publisher":"Elsevier Inc.","title":"Water observations from space: Mapping surface water from 25years of Landsat imagery across Australia","type":"article-journal","volume":"174"},"uris":["http://www.mendeley.com/documents/?uuid=4c26ffdb-6aff-36cf-a002-71577231735a"]}],"mendeley":{"formattedCitation":"[42]","plainTextFormattedCitation":"[42]","previouslyFormattedCitation":"[43]"},"properties":{"noteIndex":0},"schema":"https://github.com/citation-style-language/schema/raw/master/csl-citation.json"}</w:instrText>
            </w:r>
            <w:r w:rsidRPr="0066103D">
              <w:rPr>
                <w:rFonts w:ascii="Arial" w:eastAsiaTheme="minorHAnsi" w:hAnsi="Arial" w:cs="Arial"/>
                <w:noProof/>
                <w:sz w:val="22"/>
                <w:szCs w:val="22"/>
                <w:lang w:val="en-US" w:eastAsia="en-US"/>
              </w:rPr>
              <w:fldChar w:fldCharType="separate"/>
            </w:r>
            <w:r w:rsidRPr="0066103D">
              <w:rPr>
                <w:rFonts w:ascii="Arial" w:eastAsiaTheme="minorHAnsi" w:hAnsi="Arial" w:cs="Arial"/>
                <w:noProof/>
                <w:sz w:val="22"/>
                <w:szCs w:val="22"/>
                <w:lang w:val="en-US" w:eastAsia="en-US"/>
              </w:rPr>
              <w:t>[42]</w:t>
            </w:r>
            <w:r w:rsidRPr="0066103D">
              <w:rPr>
                <w:rFonts w:ascii="Arial" w:eastAsiaTheme="minorHAnsi" w:hAnsi="Arial" w:cs="Arial"/>
                <w:noProof/>
                <w:sz w:val="22"/>
                <w:szCs w:val="22"/>
                <w:lang w:eastAsia="en-US"/>
              </w:rPr>
              <w:fldChar w:fldCharType="end"/>
            </w:r>
          </w:p>
        </w:tc>
        <w:tc>
          <w:tcPr>
            <w:tcW w:w="3526" w:type="dxa"/>
            <w:hideMark/>
          </w:tcPr>
          <w:p w14:paraId="0EB0169D"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Water observations from space: Mapping surface water from 25 years of Landsat imagery across Australia</w:t>
            </w:r>
          </w:p>
        </w:tc>
        <w:tc>
          <w:tcPr>
            <w:tcW w:w="1719" w:type="dxa"/>
            <w:vAlign w:val="center"/>
            <w:hideMark/>
          </w:tcPr>
          <w:p w14:paraId="14603105"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Remote Sensing of Environment</w:t>
            </w:r>
          </w:p>
        </w:tc>
        <w:tc>
          <w:tcPr>
            <w:tcW w:w="739" w:type="dxa"/>
            <w:noWrap/>
            <w:vAlign w:val="center"/>
            <w:hideMark/>
          </w:tcPr>
          <w:p w14:paraId="49455832"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193</w:t>
            </w:r>
          </w:p>
        </w:tc>
      </w:tr>
      <w:tr w:rsidR="0066103D" w:rsidRPr="0066103D" w14:paraId="490AE6D0" w14:textId="77777777" w:rsidTr="00D73213">
        <w:trPr>
          <w:trHeight w:val="630"/>
        </w:trPr>
        <w:tc>
          <w:tcPr>
            <w:cnfStyle w:val="001000000000" w:firstRow="0" w:lastRow="0" w:firstColumn="1" w:lastColumn="0" w:oddVBand="0" w:evenVBand="0" w:oddHBand="0" w:evenHBand="0" w:firstRowFirstColumn="0" w:firstRowLastColumn="0" w:lastRowFirstColumn="0" w:lastRowLastColumn="0"/>
            <w:tcW w:w="723" w:type="dxa"/>
            <w:noWrap/>
            <w:vAlign w:val="center"/>
            <w:hideMark/>
          </w:tcPr>
          <w:p w14:paraId="565E59E2" w14:textId="77777777" w:rsidR="0066103D" w:rsidRPr="0066103D" w:rsidRDefault="0066103D" w:rsidP="0066103D">
            <w:pPr>
              <w:jc w:val="center"/>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2nd</w:t>
            </w:r>
          </w:p>
        </w:tc>
        <w:tc>
          <w:tcPr>
            <w:tcW w:w="2112" w:type="dxa"/>
            <w:vAlign w:val="center"/>
            <w:hideMark/>
          </w:tcPr>
          <w:p w14:paraId="7CAB05BE"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en-US" w:eastAsia="en-US"/>
              </w:rPr>
              <w:instrText>ADDIN CSL_CITATION {"citationItems":[{"id":"ITEM-1","itemData":{"DOI":"10.1016/j.ecoleng.2012.04.026","ISSN":"09258574","abstract":"This paper reviews research on the ecosystem services or multifunctionality of paddy rice cultivation in Japan, focusing on biodiversity as a basis for ecosystem services, with the aim of describing the current status and impact of the subject and exploring options for sustainable practices. Ecosystem services provided by paddy fields include; groundwater recharge, production of non-rice foods, flood control, soil erosion and landslide prevention, climate-change mitigation, water purification, culture and landscape, and support of ecosystems and biodiversity. Among these services, the value of services that regulate ecosystem functions was estimated to be US$ 72.8 billion in Japan. More than 5000 species have been recorded in paddy fields and the surrounding environment. Because paddy fields are artificially disturbed by water level management, plowing, and harvest, most species move between paddy fields and the surrounding environment. The linkage between paddy fields and the associated environment plays an important role in biodiversity. Two changes that have affected the ecosystem of paddy fields are modernization and abandonment of farming. Satoyama, a traditional socio-ecological production landscape, which provided a functional linkage between paddy fields and the associated environment has lost its functions. Biodiversity-conscious rice farming has been promoted by collaborations among farmers, consumers and governments. Biodiversity certification programs are successful examples of biodiversity-conscious framing. In these programs incentives include direct payments and/or premium prices paid by consumers, as well as farmers willingness to improve the safety of food and environment. © 2012 Elsevier B.V.","author":[{"dropping-particle":"","family":"Natuhara","given":"Yosihiro","non-dropping-particle":"","parse-names":false,"suffix":""}],"container-title":"Ecological Engineering","id":"ITEM-1","issued":{"date-parts":[["2013","7","1"]]},"page":"97-106","publisher":"Elsevier","title":"Ecosystem services by paddy fields as substitutes of natural wetlands in Japan","type":"article-journal","volume":"56"},"uris":["http://www.mendeley.com/documents/?uuid=fee7e770-0843-3a72-955e-37f89c1cbf57"]}],"mendeley":{"formattedCitation":"[43]","plainTextFormattedCitation":"[43]","previouslyFormattedCitation":"[44]"},"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eastAsia="en-US"/>
              </w:rPr>
              <w:t>[43]</w:t>
            </w:r>
            <w:r w:rsidRPr="0066103D">
              <w:rPr>
                <w:rFonts w:ascii="Arial" w:eastAsiaTheme="minorHAnsi" w:hAnsi="Arial" w:cs="Arial"/>
                <w:noProof/>
                <w:sz w:val="22"/>
                <w:szCs w:val="22"/>
                <w:lang w:eastAsia="en-US"/>
              </w:rPr>
              <w:fldChar w:fldCharType="end"/>
            </w:r>
          </w:p>
        </w:tc>
        <w:tc>
          <w:tcPr>
            <w:tcW w:w="3526" w:type="dxa"/>
            <w:hideMark/>
          </w:tcPr>
          <w:p w14:paraId="480857A3"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Ecosystem services by paddy fields as substitutes of natural wetlands in Japan</w:t>
            </w:r>
          </w:p>
        </w:tc>
        <w:tc>
          <w:tcPr>
            <w:tcW w:w="1719" w:type="dxa"/>
            <w:vAlign w:val="center"/>
            <w:hideMark/>
          </w:tcPr>
          <w:p w14:paraId="0316EDBF"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Ecological Engineering</w:t>
            </w:r>
          </w:p>
        </w:tc>
        <w:tc>
          <w:tcPr>
            <w:tcW w:w="739" w:type="dxa"/>
            <w:noWrap/>
            <w:vAlign w:val="center"/>
            <w:hideMark/>
          </w:tcPr>
          <w:p w14:paraId="21AB7096"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109</w:t>
            </w:r>
          </w:p>
        </w:tc>
      </w:tr>
      <w:tr w:rsidR="0066103D" w:rsidRPr="0066103D" w14:paraId="2400401E" w14:textId="77777777" w:rsidTr="00D73213">
        <w:trPr>
          <w:cnfStyle w:val="000000100000" w:firstRow="0" w:lastRow="0" w:firstColumn="0" w:lastColumn="0" w:oddVBand="0" w:evenVBand="0" w:oddHBand="1" w:evenHBand="0" w:firstRowFirstColumn="0" w:firstRowLastColumn="0" w:lastRowFirstColumn="0" w:lastRowLastColumn="0"/>
          <w:trHeight w:val="945"/>
        </w:trPr>
        <w:tc>
          <w:tcPr>
            <w:cnfStyle w:val="001000000000" w:firstRow="0" w:lastRow="0" w:firstColumn="1" w:lastColumn="0" w:oddVBand="0" w:evenVBand="0" w:oddHBand="0" w:evenHBand="0" w:firstRowFirstColumn="0" w:firstRowLastColumn="0" w:lastRowFirstColumn="0" w:lastRowLastColumn="0"/>
            <w:tcW w:w="723" w:type="dxa"/>
            <w:noWrap/>
            <w:vAlign w:val="center"/>
            <w:hideMark/>
          </w:tcPr>
          <w:p w14:paraId="42458C82" w14:textId="77777777" w:rsidR="0066103D" w:rsidRPr="0066103D" w:rsidRDefault="0066103D" w:rsidP="0066103D">
            <w:pPr>
              <w:jc w:val="center"/>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lastRenderedPageBreak/>
              <w:t>3rd</w:t>
            </w:r>
          </w:p>
        </w:tc>
        <w:tc>
          <w:tcPr>
            <w:tcW w:w="2112" w:type="dxa"/>
            <w:vAlign w:val="center"/>
            <w:hideMark/>
          </w:tcPr>
          <w:p w14:paraId="012C33FE"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fldChar w:fldCharType="begin" w:fldLock="1"/>
            </w:r>
            <w:r w:rsidRPr="0066103D">
              <w:rPr>
                <w:rFonts w:ascii="Arial" w:eastAsiaTheme="minorHAnsi" w:hAnsi="Arial" w:cs="Arial"/>
                <w:noProof/>
                <w:sz w:val="22"/>
                <w:szCs w:val="22"/>
                <w:lang w:val="en-US" w:eastAsia="en-US"/>
              </w:rPr>
              <w:instrText>ADDIN CSL_CITATION {"citationItems":[{"id":"ITEM-1","itemData":{"DOI":"10.1016/j.jhydrol.2012.10.004","ISSN":"00221694","abstract":"The Hamersley Basin, in the semi-arid Pilbara region of northwest Australia, is currently subject to increasing pressure from altered hydrology associated with mining activities as well as water abstraction for regional development. Sustainable water management across the region must be underpinned by an understanding of the factors that constrain water supply in arid zones. We measured the amount and isotopic signature of individual rainfall events over three consecutive years (2009-2011) to determine the likely processes that control surface water pools in streams and groundwater recharge across the Hamersley Basin. We also measured concentrations of ions (in particular bromide and chloride) to define and quantify sources of major recharge. Stable isotope composition of precipitation across the basin forms a Local Meteoric Water Line (LMWL) defined by the equation: δ2H=7.03±0.17×δ18O+4.78±1.45. Thus, the slope of the LMWL was similar to the Global Meteoric Water Line (GMWL). However, the intercept of the LMWL was significantly different to the GMWL, which is attributable to the amount or \"rainout\" effect. The stable isotope composition of rainfall events was highly variable and dependent on event size. However, the δ2H and δ18O values of fresh groundwater from the alluvium and fractured aquifers were similar and characterised by a very narrow range (alluvium aquifer δ18O -8.02±0.83‰, δ2H -55.6±6.0‰, n=65; fractured aquifer δ18O -8.22±0.70‰, δ2H -56.9±5.0‰, n=207). Our findings suggest that intense rainfall events of &gt;20mm with limited evaporation prior to infiltration contribute most to recharge. In contrast, the δ2H and δ18O values and chemical composition of the relatively saline groundwater in the terminal Fortescue Marsh suggest a combination of evaporation and cyclic drying and wetting of the marsh surface prior to recharge. Saline groundwater samples were more 18O enriched than fresh groundwater; δ2H and δ18O values shifted to the right of the LMWL, forming a straight line with a slope of 3.58±0.20 and an intercept of -25.55±0.71 (R2=0.95, p&lt;0.001, n=18). The stable isotope mass balance for most of the surface water pools in the basin show significant evaporation and are highly enriched compared to underlying groundwater. We conclude that significant seepage from highly evaporated pools to groundwater is very limited. © 2012 Elsevier B.V.","author":[{"dropping-particle":"","family":"Dogramaci","given":"Shawan","non-dropping-particle":"","parse-names":false,"suffix":""},{"dropping-particle":"","family":"Skrzypek","given":"Grzegorz","non-dropping-particle":"","parse-names":false,"suffix":""},{"dropping-particle":"","family":"Dodson","given":"Wade","non-dropping-particle":"","parse-names":false,"suffix":""},{"dropping-particle":"","family":"Grierson","given":"Pauline F.","non-dropping-particle":"","parse-names":false,"suffix":""}],"container-title":"Journal of Hydrology","id":"ITEM-1","issued":{"date-parts":[["2012","12","19"]]},"page":"281-293","publisher":"Elsevier","title":"Stable isotope and hydrochemical evolution of groundwater in the semi-arid Hamersley Basin of subtropical northwest Australia","type":"article-journal","volume":"475"},"uris":["http://www.mendeley.com/documents/?uuid=6cd83a17-03d4-3946-96c9-92c089afde72"]}],"mendeley":{"formattedCitation":"[44]","plainTextFormattedCitation":"[44]","previouslyFormattedCitation":"[45]"},"properties":{"noteIndex":0},"schema":"https://github.com/citation-style-language/schema/raw/master/csl-citation.json"}</w:instrText>
            </w:r>
            <w:r w:rsidRPr="0066103D">
              <w:rPr>
                <w:rFonts w:ascii="Arial" w:eastAsiaTheme="minorHAnsi" w:hAnsi="Arial" w:cs="Arial"/>
                <w:noProof/>
                <w:sz w:val="22"/>
                <w:szCs w:val="22"/>
                <w:lang w:val="en-US" w:eastAsia="en-US"/>
              </w:rPr>
              <w:fldChar w:fldCharType="separate"/>
            </w:r>
            <w:r w:rsidRPr="0066103D">
              <w:rPr>
                <w:rFonts w:ascii="Arial" w:eastAsiaTheme="minorHAnsi" w:hAnsi="Arial" w:cs="Arial"/>
                <w:noProof/>
                <w:sz w:val="22"/>
                <w:szCs w:val="22"/>
                <w:lang w:val="en-US" w:eastAsia="en-US"/>
              </w:rPr>
              <w:t>[44]</w:t>
            </w:r>
            <w:r w:rsidRPr="0066103D">
              <w:rPr>
                <w:rFonts w:ascii="Arial" w:eastAsiaTheme="minorHAnsi" w:hAnsi="Arial" w:cs="Arial"/>
                <w:noProof/>
                <w:sz w:val="22"/>
                <w:szCs w:val="22"/>
                <w:lang w:eastAsia="en-US"/>
              </w:rPr>
              <w:fldChar w:fldCharType="end"/>
            </w:r>
          </w:p>
        </w:tc>
        <w:tc>
          <w:tcPr>
            <w:tcW w:w="3526" w:type="dxa"/>
            <w:hideMark/>
          </w:tcPr>
          <w:p w14:paraId="17D345CF"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Stable isotope and hydrochemical evolution of groundwater in the semi-arid Hamersley Basin of subtropical northwest Australia</w:t>
            </w:r>
          </w:p>
        </w:tc>
        <w:tc>
          <w:tcPr>
            <w:tcW w:w="1719" w:type="dxa"/>
            <w:vAlign w:val="center"/>
            <w:hideMark/>
          </w:tcPr>
          <w:p w14:paraId="1F29C1F6"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Journal of Hydrology</w:t>
            </w:r>
          </w:p>
        </w:tc>
        <w:tc>
          <w:tcPr>
            <w:tcW w:w="739" w:type="dxa"/>
            <w:noWrap/>
            <w:vAlign w:val="center"/>
            <w:hideMark/>
          </w:tcPr>
          <w:p w14:paraId="2002BC58"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102</w:t>
            </w:r>
          </w:p>
        </w:tc>
      </w:tr>
      <w:tr w:rsidR="0066103D" w:rsidRPr="0066103D" w14:paraId="0C8124A6" w14:textId="77777777" w:rsidTr="00D73213">
        <w:trPr>
          <w:trHeight w:val="707"/>
        </w:trPr>
        <w:tc>
          <w:tcPr>
            <w:cnfStyle w:val="001000000000" w:firstRow="0" w:lastRow="0" w:firstColumn="1" w:lastColumn="0" w:oddVBand="0" w:evenVBand="0" w:oddHBand="0" w:evenHBand="0" w:firstRowFirstColumn="0" w:firstRowLastColumn="0" w:lastRowFirstColumn="0" w:lastRowLastColumn="0"/>
            <w:tcW w:w="723" w:type="dxa"/>
            <w:noWrap/>
            <w:vAlign w:val="center"/>
            <w:hideMark/>
          </w:tcPr>
          <w:p w14:paraId="38A88D50" w14:textId="77777777" w:rsidR="0066103D" w:rsidRPr="0066103D" w:rsidRDefault="0066103D" w:rsidP="0066103D">
            <w:pPr>
              <w:jc w:val="center"/>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4th</w:t>
            </w:r>
          </w:p>
        </w:tc>
        <w:tc>
          <w:tcPr>
            <w:tcW w:w="2112" w:type="dxa"/>
            <w:vAlign w:val="center"/>
            <w:hideMark/>
          </w:tcPr>
          <w:p w14:paraId="3542000E"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en-US" w:eastAsia="en-US"/>
              </w:rPr>
              <w:instrText>ADDIN CSL_CITATION {"citationItems":[{"id":"ITEM-1","itemData":{"DOI":"10.1016/S0921-8009(00)00168-3","ISSN":"09218009","abstract":"This paper investigates the role of the production function approach in capturing the value of hydrological services of wetland ecosystems. Hydrological research in the Hadejia-Nguru wetlands in northern Nigeria suggests that the major role of the wet season inundation of the wetlands is in recharging the underlying aquifers. This paper shows that the hydrological services extend beyond direct use values, and have a significant economic value associated with them. Whereas the direct benefits provided by the wetlands, such as floodplain agriculture, fishing and forestry, have previously been assessed, this paper synthesizes the results of two approaches to capture the value of indirect benefits derived from the role of the wetlands in replenishing and maintaining groundwater resources within the wetland area. (C) 2000 Elsevier Science B.V.","author":[{"dropping-particle":"","family":"Acharya","given":"G.","non-dropping-particle":"","parse-names":false,"suffix":""}],"container-title":"Ecological Economics","id":"ITEM-1","issue":"1","issued":{"date-parts":[["2000","10","1"]]},"page":"63-74","publisher":"Elsevier","title":"Approaches to valuing the hidden hydrological services of wetland ecosystems","type":"article-journal","volume":"35"},"uris":["http://www.mendeley.com/documents/?uuid=592ee5e8-250f-39ee-923d-94234663b336"]}],"mendeley":{"formattedCitation":"[47]","plainTextFormattedCitation":"[47]","previouslyFormattedCitation":"[48]"},"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eastAsia="en-US"/>
              </w:rPr>
              <w:t>[47]</w:t>
            </w:r>
            <w:r w:rsidRPr="0066103D">
              <w:rPr>
                <w:rFonts w:ascii="Arial" w:eastAsiaTheme="minorHAnsi" w:hAnsi="Arial" w:cs="Arial"/>
                <w:noProof/>
                <w:sz w:val="22"/>
                <w:szCs w:val="22"/>
                <w:lang w:eastAsia="en-US"/>
              </w:rPr>
              <w:fldChar w:fldCharType="end"/>
            </w:r>
          </w:p>
        </w:tc>
        <w:tc>
          <w:tcPr>
            <w:tcW w:w="3526" w:type="dxa"/>
            <w:hideMark/>
          </w:tcPr>
          <w:p w14:paraId="4008EDE8"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Approaches to valuing the hidden hydrological services of wetland ecosystems</w:t>
            </w:r>
          </w:p>
        </w:tc>
        <w:tc>
          <w:tcPr>
            <w:tcW w:w="1719" w:type="dxa"/>
            <w:vAlign w:val="center"/>
            <w:hideMark/>
          </w:tcPr>
          <w:p w14:paraId="319BA86F"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Ecological Economics</w:t>
            </w:r>
          </w:p>
        </w:tc>
        <w:tc>
          <w:tcPr>
            <w:tcW w:w="739" w:type="dxa"/>
            <w:noWrap/>
            <w:vAlign w:val="center"/>
            <w:hideMark/>
          </w:tcPr>
          <w:p w14:paraId="3B998B48"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73</w:t>
            </w:r>
          </w:p>
        </w:tc>
      </w:tr>
      <w:tr w:rsidR="0066103D" w:rsidRPr="0066103D" w14:paraId="4722268C" w14:textId="77777777" w:rsidTr="00D73213">
        <w:trPr>
          <w:cnfStyle w:val="000000100000" w:firstRow="0" w:lastRow="0" w:firstColumn="0" w:lastColumn="0" w:oddVBand="0" w:evenVBand="0" w:oddHBand="1" w:evenHBand="0" w:firstRowFirstColumn="0" w:firstRowLastColumn="0" w:lastRowFirstColumn="0" w:lastRowLastColumn="0"/>
          <w:trHeight w:val="804"/>
        </w:trPr>
        <w:tc>
          <w:tcPr>
            <w:cnfStyle w:val="001000000000" w:firstRow="0" w:lastRow="0" w:firstColumn="1" w:lastColumn="0" w:oddVBand="0" w:evenVBand="0" w:oddHBand="0" w:evenHBand="0" w:firstRowFirstColumn="0" w:firstRowLastColumn="0" w:lastRowFirstColumn="0" w:lastRowLastColumn="0"/>
            <w:tcW w:w="723" w:type="dxa"/>
            <w:noWrap/>
            <w:vAlign w:val="center"/>
            <w:hideMark/>
          </w:tcPr>
          <w:p w14:paraId="51679F76" w14:textId="77777777" w:rsidR="0066103D" w:rsidRPr="0066103D" w:rsidRDefault="0066103D" w:rsidP="0066103D">
            <w:pPr>
              <w:jc w:val="center"/>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5th</w:t>
            </w:r>
          </w:p>
        </w:tc>
        <w:tc>
          <w:tcPr>
            <w:tcW w:w="2112" w:type="dxa"/>
            <w:vAlign w:val="center"/>
            <w:hideMark/>
          </w:tcPr>
          <w:p w14:paraId="0F5D63B0"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eastAsia="en-US"/>
              </w:rPr>
              <w:instrText xml:space="preserve">ADDIN CSL_CITATION {"citationItems":[{"id":"ITEM-1","itemData":{"DOI":"10.1672/07-154.1","ISSN":"02775212","abstract":"Wetland management in the United States has never been as challenging as in today's highly modified landscape. Initially, wetland science and management emerged as professions in response to widespread conversion of wetlands to other uses and concerns over negative impacts on wildlife populations, especially migratory birds. Consequently, wetland management was focused on wildlife, and the initial management technique was simply to protect wetlands. However, extensive conversion of lands for agricultural and urban expansion over the past 60 years has modified ecosystem processes at the landscape scale sufficiently to compromise wetland management activities on adjacent lands dedicated to conservation. Moreover, society now expects a broad suite of ecosystem services to be delivered. As a result, many previously used wetland management techniques are no longer appropriate because they do not take into account influences of adjacent land uses or other ecosystem services, such as ground-water recharge. Other early management approaches may have been ineffective because they were based on an incomplete understanding of wetland processes or social influences. Meanwhile, wetland losses continued, as well as loss of services provided by the remaining managed wetlands. Regulation starting in the 1970s and subsequent research attention on wetland functioning has led to new knowledge and a broader understanding of wetland processes and recognition of the full suite of services (e.g., water storage, water quality improvement, aquifer maintenance, climate mitigation). To be effective in today's highly modified </w:instrText>
            </w:r>
            <w:r w:rsidRPr="0066103D">
              <w:rPr>
                <w:rFonts w:ascii="Arial" w:eastAsiaTheme="minorHAnsi" w:hAnsi="Arial" w:cs="Arial"/>
                <w:noProof/>
                <w:sz w:val="22"/>
                <w:szCs w:val="22"/>
                <w:lang w:val="en-US" w:eastAsia="en-US"/>
              </w:rPr>
              <w:instrText>landscape, knowledge of social choices, political influences, and dynamic wetland processes is required to meet wetland management objectives for a range of ecosystem services. We argue that adopting a process-based perspective is critical to develop strategies to optimize a suite of wetland services, including providing traditional wildlife habitat. © 2008 The Society of Wetland Scientists.","author":[{"dropping-particle":"","family":"Euliss","given":"Ned H.","non-dropping-particle":"","parse-names":false,"suffix":""},{"dropping-particle":"","family":"Smith","given":"Loren M.","non-dropping-particle":"","parse-names":false,"suffix":""},{"dropping-particle":"","family":"Wilcox","given":"Douglas A.","non-dropping-particle":"","parse-names":false,"suffix":""},{"dropping-particle":"","family":"Browne","given":"Bryant A.","non-dropping-particle":"","parse-names":false,"suffix":""}],"container-title":"Wetlands","id":"ITEM-1","issue":"3","issued":{"date-parts":[["2008","9"]]},"page":"553-562","publisher":"Springer","title":"Linking ecosystem processes with wetland management goals: Charting a course for a sustainable future","type":"article-journal","volume":"28"},"uris":["http://www.mendeley.com/documents/?uuid=a2824208-c1fa-30e4-a60f-9fb85818a723"]}],"mendeley":{"formattedCitation":"[48]","plainTextFormattedCitation":"[48]","previouslyFormattedCitation":"[49]"},"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en-US" w:eastAsia="en-US"/>
              </w:rPr>
              <w:t>[48]</w:t>
            </w:r>
            <w:r w:rsidRPr="0066103D">
              <w:rPr>
                <w:rFonts w:ascii="Arial" w:eastAsiaTheme="minorHAnsi" w:hAnsi="Arial" w:cs="Arial"/>
                <w:noProof/>
                <w:sz w:val="22"/>
                <w:szCs w:val="22"/>
                <w:lang w:eastAsia="en-US"/>
              </w:rPr>
              <w:fldChar w:fldCharType="end"/>
            </w:r>
          </w:p>
        </w:tc>
        <w:tc>
          <w:tcPr>
            <w:tcW w:w="3526" w:type="dxa"/>
            <w:hideMark/>
          </w:tcPr>
          <w:p w14:paraId="0CC6070B"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Linking ecosystem processes with wetland management goals: Charting a course for a sustainable future</w:t>
            </w:r>
          </w:p>
        </w:tc>
        <w:tc>
          <w:tcPr>
            <w:tcW w:w="1719" w:type="dxa"/>
            <w:vAlign w:val="center"/>
            <w:hideMark/>
          </w:tcPr>
          <w:p w14:paraId="2408FC00"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Wetlands</w:t>
            </w:r>
          </w:p>
        </w:tc>
        <w:tc>
          <w:tcPr>
            <w:tcW w:w="739" w:type="dxa"/>
            <w:noWrap/>
            <w:vAlign w:val="center"/>
            <w:hideMark/>
          </w:tcPr>
          <w:p w14:paraId="07B85F06"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65</w:t>
            </w:r>
          </w:p>
        </w:tc>
      </w:tr>
      <w:tr w:rsidR="0066103D" w:rsidRPr="0066103D" w14:paraId="0F6B690B" w14:textId="77777777" w:rsidTr="00D73213">
        <w:trPr>
          <w:trHeight w:val="677"/>
        </w:trPr>
        <w:tc>
          <w:tcPr>
            <w:cnfStyle w:val="001000000000" w:firstRow="0" w:lastRow="0" w:firstColumn="1" w:lastColumn="0" w:oddVBand="0" w:evenVBand="0" w:oddHBand="0" w:evenHBand="0" w:firstRowFirstColumn="0" w:firstRowLastColumn="0" w:lastRowFirstColumn="0" w:lastRowLastColumn="0"/>
            <w:tcW w:w="723" w:type="dxa"/>
            <w:noWrap/>
            <w:vAlign w:val="center"/>
            <w:hideMark/>
          </w:tcPr>
          <w:p w14:paraId="042D99A3" w14:textId="77777777" w:rsidR="0066103D" w:rsidRPr="0066103D" w:rsidRDefault="0066103D" w:rsidP="0066103D">
            <w:pPr>
              <w:jc w:val="center"/>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6th</w:t>
            </w:r>
          </w:p>
        </w:tc>
        <w:tc>
          <w:tcPr>
            <w:tcW w:w="2112" w:type="dxa"/>
            <w:vAlign w:val="center"/>
            <w:hideMark/>
          </w:tcPr>
          <w:p w14:paraId="646BAE59"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en-US" w:eastAsia="en-US"/>
              </w:rPr>
              <w:instrText>ADDIN CSL_CITATION {"citationItems":[{"id":"ITEM-1","itemData":{"DOI":"10.1016/j.jhydrol.2012.06.053","ISSN":"00221694","abstract":"Mountain-plain transitional landscapes are especially important as groundwater recharge zones. In this study, the oxygen and hydrogen stable isotopic composition (δ 18O and δD) of water and hydrochemical information were employed to quantify contribution ratios of different sources of groundwater recharge in the Ashikaga area of central Japan. The study area is situated between the Ashio Mountains and the Kanto Plain, and the Watarase River flows into the region parallel to the mountain-plain boundary. There was an obvious isotopic altitude effect in and around the study area (-0.25‰ per 100m for δ 18O and -1.7‰ per 100m for δD), and the isotopic signatures of water from the Watarase River and local precipitation could be clearly distinguished. In addition, it was possible to identify the occurrence of mountain block recharge using hydrochemistry, specifically the chloride ion. End-member mixing analysis using δ values and Cl - concentration revealed spatial variation in the contribution ratios of the river water, mountain block groundwater and local precipitation. Seepage from the Watarase River contributed a significant amount of water to aquifers along its channel. The river-recharged water reached 5km from the channel in the south (i.e., plain) side and 1.6km or less in the north (i.e., mountain) side. Remarkable mountain block recharge was observed in the foothills near the axis of the syncline, which has layers of chert and sandstone that likely hinder river channel seepage into the mountain-side aquifers. Major factors controlling the river-water contribution ratio include the distance from the river channel, topography, and hydrogeological settings. The results presented here should facilitate integrated management of groundwater and surface water resources. © 2012 Elsevier B.V.","author":[{"dropping-particle":"","family":"Liu","given":"Yaping","non-dropping-particle":"","parse-names":false,"suffix":""},{"dropping-particle":"","family":"Yamanaka","given":"Tsutomu","non-dropping-particle":"","parse-names":false,"suffix":""}],"container-title":"Journal of Hydrology","id":"ITEM-1","issued":{"date-parts":[["2012","9","25"]]},"page":"116-126","publisher":"Elsevier","title":"Tracing groundwater recharge sources in a mountain-plain transitional area using stable isotopes and hydrochemistry","type":"article-journal","volume":"464-465"},"uris":["http://www.mendeley.com/documents/?uuid=4aca6948-ee35-3537-9dce-c422bd92d865"]}],"mendeley":{"formattedCitation":"[45]","plainTextFormattedCitation":"[45]","previouslyFormattedCitation":"[46]"},"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eastAsia="en-US"/>
              </w:rPr>
              <w:t>[45]</w:t>
            </w:r>
            <w:r w:rsidRPr="0066103D">
              <w:rPr>
                <w:rFonts w:ascii="Arial" w:eastAsiaTheme="minorHAnsi" w:hAnsi="Arial" w:cs="Arial"/>
                <w:noProof/>
                <w:sz w:val="22"/>
                <w:szCs w:val="22"/>
                <w:lang w:eastAsia="en-US"/>
              </w:rPr>
              <w:fldChar w:fldCharType="end"/>
            </w:r>
          </w:p>
        </w:tc>
        <w:tc>
          <w:tcPr>
            <w:tcW w:w="3526" w:type="dxa"/>
            <w:hideMark/>
          </w:tcPr>
          <w:p w14:paraId="120C65A6"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Tracing groundwater recharge sources in a mountain-plain transitional area using stable isotopes and hydrochemistry</w:t>
            </w:r>
          </w:p>
        </w:tc>
        <w:tc>
          <w:tcPr>
            <w:tcW w:w="1719" w:type="dxa"/>
            <w:vAlign w:val="center"/>
            <w:hideMark/>
          </w:tcPr>
          <w:p w14:paraId="00A45891"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Journal of Hydrology</w:t>
            </w:r>
          </w:p>
        </w:tc>
        <w:tc>
          <w:tcPr>
            <w:tcW w:w="739" w:type="dxa"/>
            <w:noWrap/>
            <w:vAlign w:val="center"/>
            <w:hideMark/>
          </w:tcPr>
          <w:p w14:paraId="3BE65C30"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56</w:t>
            </w:r>
          </w:p>
        </w:tc>
      </w:tr>
      <w:tr w:rsidR="0066103D" w:rsidRPr="0066103D" w14:paraId="75D5BD84" w14:textId="77777777" w:rsidTr="00D73213">
        <w:trPr>
          <w:cnfStyle w:val="000000100000" w:firstRow="0" w:lastRow="0" w:firstColumn="0" w:lastColumn="0" w:oddVBand="0" w:evenVBand="0" w:oddHBand="1" w:evenHBand="0" w:firstRowFirstColumn="0" w:firstRowLastColumn="0" w:lastRowFirstColumn="0" w:lastRowLastColumn="0"/>
          <w:trHeight w:val="945"/>
        </w:trPr>
        <w:tc>
          <w:tcPr>
            <w:cnfStyle w:val="001000000000" w:firstRow="0" w:lastRow="0" w:firstColumn="1" w:lastColumn="0" w:oddVBand="0" w:evenVBand="0" w:oddHBand="0" w:evenHBand="0" w:firstRowFirstColumn="0" w:firstRowLastColumn="0" w:lastRowFirstColumn="0" w:lastRowLastColumn="0"/>
            <w:tcW w:w="723" w:type="dxa"/>
            <w:noWrap/>
            <w:vAlign w:val="center"/>
            <w:hideMark/>
          </w:tcPr>
          <w:p w14:paraId="26A99481" w14:textId="77777777" w:rsidR="0066103D" w:rsidRPr="0066103D" w:rsidRDefault="0066103D" w:rsidP="0066103D">
            <w:pPr>
              <w:jc w:val="center"/>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7th</w:t>
            </w:r>
          </w:p>
        </w:tc>
        <w:tc>
          <w:tcPr>
            <w:tcW w:w="2112" w:type="dxa"/>
            <w:vAlign w:val="center"/>
            <w:hideMark/>
          </w:tcPr>
          <w:p w14:paraId="52B2D39B"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fldChar w:fldCharType="begin" w:fldLock="1"/>
            </w:r>
            <w:r w:rsidRPr="0066103D">
              <w:rPr>
                <w:rFonts w:ascii="Arial" w:eastAsiaTheme="minorHAnsi" w:hAnsi="Arial" w:cs="Arial"/>
                <w:noProof/>
                <w:sz w:val="22"/>
                <w:szCs w:val="22"/>
                <w:lang w:val="en-US" w:eastAsia="en-US"/>
              </w:rPr>
              <w:instrText>ADDIN CSL_CITATION {"citationItems":[{"id":"ITEM-1","itemData":{"DOI":"10.1016/j.jhydrol.2009.12.047","ISSN":"00221694","abstract":"The hummocky post-glacial soil landscapes with kettle holes as internal drainage systems are characterized by ponds that trap lateral fluxes in topographic depressions. A quantitative description is mostly limited by the unknown complexity of hydraulically relevant soil and sediment structures. This paper is focussing on a structure-based approach to identify relevant field-scale flow and transport processes. Illustrative examples demonstrate extreme variations in water table fluctuation for adjoining kettle holes. Explanations require a pedohydrologic concept of the arable soil landscape. Identification of structures is based on geophysical methods and soil hydraulic measurements. Electrical resistivity imaging yields 0.5. m-scale spatial structures that correspond with soil texture distributions. Electromagnetic induction provides larger-scale field maps that reflect major soil and sediment features. Results of both methods correspond within the limits of the different spatial resolutions. With geophysical exploration methods, colluvial areas with textural differences between upper and deeper soil layers, coarse-textured sediment lenses, and stony colluvial regions around kettle holes are identified as potentially relevant flow structures. The colluvial fringe around the pond seems to be a sensitive area with important lateral exchange fluxes. Tensiometer measurements perpendicular to this boundary indicate hydraulic gradients directed from the pond towards the partially saturated soil. The localized infiltration of trapped water in kettle holes can control large fractions of ground water recharge and may have implications for the fate of agricultural chemicals in post-glacial landscapes. While surface and subsurface hydraulic structures may be inferred using minimal-invasive techniques, better understanding of processes and properties governing lateral exchange fluxes between pond and surrounding soil are required. © 2010 Elsevier B.V.","author":[{"dropping-particle":"","family":"Gerke","given":"Horst H.","non-dropping-particle":"","parse-names":false,"suffix":""},{"dropping-particle":"","family":"Koszinski","given":"Sylvia","non-dropping-particle":"","parse-names":false,"suffix":""},{"dropping-particle":"","family":"Kalettka","given":"Thomas","non-dropping-particle":"","parse-names":false,"suffix":""},{"dropping-particle":"","family":"Sommer","given":"Michael","non-dropping-particle":"","parse-names":false,"suffix":""}],"container-title":"Journal of Hydrology","id":"ITEM-1","issue":"1-2","issued":{"date-parts":[["2010","10","27"]]},"page":"123-132","publisher":"Elsevier","title":"Structures and hydrologic function of soil landscapes with kettle holes using an integrated hydropedological approach","type":"article-journal","volume":"393"},"uris":["http://www.mendeley.com/documents/?uuid=f77dea3d-0e81-37f4-b29b-cdb4f7a5c35a"]}],"mendeley":{"formattedCitation":"[46]","plainTextFormattedCitation":"[46]","previouslyFormattedCitation":"[47]"},"properties":{"noteIndex":0},"schema":"https://github.com/citation-style-language/schema/raw/master/csl-citation.json"}</w:instrText>
            </w:r>
            <w:r w:rsidRPr="0066103D">
              <w:rPr>
                <w:rFonts w:ascii="Arial" w:eastAsiaTheme="minorHAnsi" w:hAnsi="Arial" w:cs="Arial"/>
                <w:noProof/>
                <w:sz w:val="22"/>
                <w:szCs w:val="22"/>
                <w:lang w:val="en-US" w:eastAsia="en-US"/>
              </w:rPr>
              <w:fldChar w:fldCharType="separate"/>
            </w:r>
            <w:r w:rsidRPr="0066103D">
              <w:rPr>
                <w:rFonts w:ascii="Arial" w:eastAsiaTheme="minorHAnsi" w:hAnsi="Arial" w:cs="Arial"/>
                <w:noProof/>
                <w:sz w:val="22"/>
                <w:szCs w:val="22"/>
                <w:lang w:val="en-US" w:eastAsia="en-US"/>
              </w:rPr>
              <w:t>[46]</w:t>
            </w:r>
            <w:r w:rsidRPr="0066103D">
              <w:rPr>
                <w:rFonts w:ascii="Arial" w:eastAsiaTheme="minorHAnsi" w:hAnsi="Arial" w:cs="Arial"/>
                <w:noProof/>
                <w:sz w:val="22"/>
                <w:szCs w:val="22"/>
                <w:lang w:eastAsia="en-US"/>
              </w:rPr>
              <w:fldChar w:fldCharType="end"/>
            </w:r>
          </w:p>
        </w:tc>
        <w:tc>
          <w:tcPr>
            <w:tcW w:w="3526" w:type="dxa"/>
            <w:hideMark/>
          </w:tcPr>
          <w:p w14:paraId="316CCABC"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Structures and hydrologic function of soil landscapes with kettle holes using an integrated hydropedological approach</w:t>
            </w:r>
          </w:p>
        </w:tc>
        <w:tc>
          <w:tcPr>
            <w:tcW w:w="1719" w:type="dxa"/>
            <w:vAlign w:val="center"/>
            <w:hideMark/>
          </w:tcPr>
          <w:p w14:paraId="35AA5794"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Journal of Hydrology</w:t>
            </w:r>
          </w:p>
        </w:tc>
        <w:tc>
          <w:tcPr>
            <w:tcW w:w="739" w:type="dxa"/>
            <w:noWrap/>
            <w:vAlign w:val="center"/>
            <w:hideMark/>
          </w:tcPr>
          <w:p w14:paraId="62EE94F7"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50</w:t>
            </w:r>
          </w:p>
        </w:tc>
      </w:tr>
      <w:tr w:rsidR="0066103D" w:rsidRPr="0066103D" w14:paraId="65AD407C" w14:textId="77777777" w:rsidTr="00D73213">
        <w:trPr>
          <w:trHeight w:val="630"/>
        </w:trPr>
        <w:tc>
          <w:tcPr>
            <w:cnfStyle w:val="001000000000" w:firstRow="0" w:lastRow="0" w:firstColumn="1" w:lastColumn="0" w:oddVBand="0" w:evenVBand="0" w:oddHBand="0" w:evenHBand="0" w:firstRowFirstColumn="0" w:firstRowLastColumn="0" w:lastRowFirstColumn="0" w:lastRowLastColumn="0"/>
            <w:tcW w:w="723" w:type="dxa"/>
            <w:noWrap/>
            <w:vAlign w:val="center"/>
            <w:hideMark/>
          </w:tcPr>
          <w:p w14:paraId="23D45F79" w14:textId="77777777" w:rsidR="0066103D" w:rsidRPr="0066103D" w:rsidRDefault="0066103D" w:rsidP="0066103D">
            <w:pPr>
              <w:jc w:val="center"/>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8th</w:t>
            </w:r>
          </w:p>
        </w:tc>
        <w:tc>
          <w:tcPr>
            <w:tcW w:w="2112" w:type="dxa"/>
            <w:vAlign w:val="center"/>
            <w:hideMark/>
          </w:tcPr>
          <w:p w14:paraId="255F7BCD"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val="en-US" w:eastAsia="en-US"/>
              </w:rPr>
              <w:fldChar w:fldCharType="begin" w:fldLock="1"/>
            </w:r>
            <w:r w:rsidRPr="0066103D">
              <w:rPr>
                <w:rFonts w:ascii="Arial" w:eastAsiaTheme="minorHAnsi" w:hAnsi="Arial" w:cs="Arial"/>
                <w:noProof/>
                <w:sz w:val="22"/>
                <w:szCs w:val="22"/>
                <w:lang w:val="en-US" w:eastAsia="en-US"/>
              </w:rPr>
              <w:instrText xml:space="preserve">ADDIN CSL_CITATION {"citationItems":[{"id":"ITEM-1","itemData":{"DOI":"10.1111/j.1745-6584.2004.tb02646.x","ISSN":"0017467X","abstract":"Rates of ground water recharge and discharge are not well known in the central Everglades. Here we report estimates of ground water recharge and discharge at 15 sites in the Everglades Nutrient Removal Project and in Water Conservation Area 2A (WCA-2A), along with measurements of hydraulic properties of peat at 11 sites. A simple hydrogeologic simulation was used to assess how specific factors have influenced recharge and discharge. Simulations and measurements agreed that the highest values of recharge and discharge occur within 600 m of levees, the result of ground water flow beneath levees. There was disagreement in the interior wetlands of WCA-2A (located &gt; 1000 m from levees) where measurements of recharge and discharge were substantially higher than simulated fluxes. A five-year time series (1997 to 2002) of measured fluxes indicated that recharge and discharge underwent reversals in direction on weekly, monthly, and annual timescales at interior sites in WCA-2A. Ground water discharge tended to occur during average to moderately dry conditions when local surface water levels were decreasing. Recharge tended to occur during moderately wet periods or during very dry periods just as water levels began to increase following precipitation or in response to a pulse of surface water released from water-control structures by water managers. Discharge also tended to occur at sites in the wetland interior for </w:instrText>
            </w:r>
            <w:r w:rsidRPr="0066103D">
              <w:rPr>
                <w:rFonts w:ascii="Cambria Math" w:eastAsiaTheme="minorHAnsi" w:hAnsi="Cambria Math" w:cs="Cambria Math"/>
                <w:noProof/>
                <w:sz w:val="22"/>
                <w:szCs w:val="22"/>
                <w:lang w:val="en-US" w:eastAsia="en-US"/>
              </w:rPr>
              <w:instrText>∼</w:instrText>
            </w:r>
            <w:r w:rsidRPr="0066103D">
              <w:rPr>
                <w:rFonts w:ascii="Arial" w:eastAsiaTheme="minorHAnsi" w:hAnsi="Arial" w:cs="Arial"/>
                <w:noProof/>
                <w:sz w:val="22"/>
                <w:szCs w:val="22"/>
                <w:lang w:val="en-US" w:eastAsia="en-US"/>
              </w:rPr>
              <w:instrText>1 week preceding the arrival of the surface water pulse. We conclude that ground water recharge and discharge vary cyclically in the interior wetlands of the central Everglades, driven by the differential responses of surface water and ground water to annual, seasonal, and weekly trends in precipitation and operation of water-control structures. © 2004 National Ground Water Association.","author":[{"dropping-particle":"","family":"Harvey","given":"Judson W.","non-dropping-particle":"","parse-names":false,"suffix":""},{"dropping-particle":"","family":"Krupa","given":"Steven L.","non-dropping-particle":"","parse-names":false,"suffix":""},{"dropping-particle":"","family":"Krest","given":"James M.","non-dropping-particle":"","parse-names":false,"suffix":""}],"container-title":"Ground Water","id":"ITEM-1","issue":"7","issued":{"date-parts":[["2004","12","1"]]},"page":"1090-1102","publisher":"John Wiley &amp; Sons, Ltd","title":"Ground water recharge and discharge in the central everglades","type":"article-journal","volume":"42"},"uris":["http://www.mendeley.com/documents/?uuid=7af8a2cf-37e8-3d79-9fce-c3436a327e24"]}],"mendeley":{"formattedCitation":"[51]","plainTextFormattedCitation":"[51]","previouslyFormattedCitation":"[52]"},"properties":{"noteIndex":0},"schema":"https://github.com/citation-style-language/schema/raw/master/csl-citation.json"}</w:instrText>
            </w:r>
            <w:r w:rsidRPr="0066103D">
              <w:rPr>
                <w:rFonts w:ascii="Arial" w:eastAsiaTheme="minorHAnsi" w:hAnsi="Arial" w:cs="Arial"/>
                <w:noProof/>
                <w:sz w:val="22"/>
                <w:szCs w:val="22"/>
                <w:lang w:val="en-US" w:eastAsia="en-US"/>
              </w:rPr>
              <w:fldChar w:fldCharType="separate"/>
            </w:r>
            <w:r w:rsidRPr="0066103D">
              <w:rPr>
                <w:rFonts w:ascii="Arial" w:eastAsiaTheme="minorHAnsi" w:hAnsi="Arial" w:cs="Arial"/>
                <w:noProof/>
                <w:sz w:val="22"/>
                <w:szCs w:val="22"/>
                <w:lang w:eastAsia="en-US"/>
              </w:rPr>
              <w:t>[51]</w:t>
            </w:r>
            <w:r w:rsidRPr="0066103D">
              <w:rPr>
                <w:rFonts w:ascii="Arial" w:eastAsiaTheme="minorHAnsi" w:hAnsi="Arial" w:cs="Arial"/>
                <w:noProof/>
                <w:sz w:val="22"/>
                <w:szCs w:val="22"/>
                <w:lang w:eastAsia="en-US"/>
              </w:rPr>
              <w:fldChar w:fldCharType="end"/>
            </w:r>
          </w:p>
        </w:tc>
        <w:tc>
          <w:tcPr>
            <w:tcW w:w="3526" w:type="dxa"/>
            <w:hideMark/>
          </w:tcPr>
          <w:p w14:paraId="5B1D2EF4"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Ground water recharge and discharge in the central everglades</w:t>
            </w:r>
          </w:p>
        </w:tc>
        <w:tc>
          <w:tcPr>
            <w:tcW w:w="1719" w:type="dxa"/>
            <w:vAlign w:val="center"/>
            <w:hideMark/>
          </w:tcPr>
          <w:p w14:paraId="099F2B6C"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i/>
                <w:iCs/>
                <w:noProof/>
                <w:sz w:val="22"/>
                <w:szCs w:val="22"/>
                <w:lang w:eastAsia="en-US"/>
              </w:rPr>
            </w:pPr>
            <w:r w:rsidRPr="0066103D">
              <w:rPr>
                <w:rFonts w:ascii="Arial" w:eastAsiaTheme="minorHAnsi" w:hAnsi="Arial" w:cs="Arial"/>
                <w:i/>
                <w:iCs/>
                <w:noProof/>
                <w:sz w:val="22"/>
                <w:szCs w:val="22"/>
                <w:lang w:eastAsia="en-US"/>
              </w:rPr>
              <w:t>Ground Water</w:t>
            </w:r>
          </w:p>
        </w:tc>
        <w:tc>
          <w:tcPr>
            <w:tcW w:w="739" w:type="dxa"/>
            <w:noWrap/>
            <w:vAlign w:val="center"/>
            <w:hideMark/>
          </w:tcPr>
          <w:p w14:paraId="3A518D79"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49</w:t>
            </w:r>
          </w:p>
        </w:tc>
      </w:tr>
      <w:tr w:rsidR="0066103D" w:rsidRPr="0066103D" w14:paraId="53440869" w14:textId="77777777" w:rsidTr="00D73213">
        <w:trPr>
          <w:cnfStyle w:val="000000100000" w:firstRow="0" w:lastRow="0" w:firstColumn="0" w:lastColumn="0" w:oddVBand="0" w:evenVBand="0" w:oddHBand="1" w:evenHBand="0" w:firstRowFirstColumn="0" w:firstRowLastColumn="0" w:lastRowFirstColumn="0" w:lastRowLastColumn="0"/>
          <w:trHeight w:val="945"/>
        </w:trPr>
        <w:tc>
          <w:tcPr>
            <w:cnfStyle w:val="001000000000" w:firstRow="0" w:lastRow="0" w:firstColumn="1" w:lastColumn="0" w:oddVBand="0" w:evenVBand="0" w:oddHBand="0" w:evenHBand="0" w:firstRowFirstColumn="0" w:firstRowLastColumn="0" w:lastRowFirstColumn="0" w:lastRowLastColumn="0"/>
            <w:tcW w:w="723" w:type="dxa"/>
            <w:noWrap/>
            <w:vAlign w:val="center"/>
            <w:hideMark/>
          </w:tcPr>
          <w:p w14:paraId="428FB39B" w14:textId="77777777" w:rsidR="0066103D" w:rsidRPr="0066103D" w:rsidRDefault="0066103D" w:rsidP="0066103D">
            <w:pPr>
              <w:jc w:val="center"/>
              <w:rPr>
                <w:rFonts w:ascii="Arial" w:eastAsiaTheme="minorHAnsi" w:hAnsi="Arial" w:cs="Arial"/>
                <w:noProof/>
                <w:sz w:val="22"/>
                <w:szCs w:val="22"/>
                <w:lang w:eastAsia="en-US"/>
              </w:rPr>
            </w:pPr>
            <w:r w:rsidRPr="0066103D">
              <w:rPr>
                <w:rFonts w:ascii="Arial" w:eastAsiaTheme="minorHAnsi" w:hAnsi="Arial" w:cs="Arial"/>
                <w:noProof/>
                <w:sz w:val="22"/>
                <w:szCs w:val="22"/>
                <w:lang w:eastAsia="en-US"/>
              </w:rPr>
              <w:t>9th</w:t>
            </w:r>
          </w:p>
        </w:tc>
        <w:tc>
          <w:tcPr>
            <w:tcW w:w="2112" w:type="dxa"/>
            <w:vAlign w:val="center"/>
            <w:hideMark/>
          </w:tcPr>
          <w:p w14:paraId="1DEA23FE"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eastAsia="en-US"/>
              </w:rPr>
              <w:instrText>ADDIN CSL_CITATION {"citationItems":[{"id":"ITEM-1","itemData":{"DOI":"10.1016/j.ecolmodel.2013.03.006","ISSN":"03043800","abstract":"Expansion of agriculture over ecosystem areas is widely recognized as one of the most significant human alterations to the global environment over the last century. Although food and fiber production are essential ecosystem services (ES) to humankind, the clearing of forests for agricultural use is associated with changes in land cover which affect a wide range of ES at local, regional and global scales. Considering the importance of climate change, freshwater scarcity, soil erosion and other environmental issues, this paper aims to simulate the impact of land-use change on the ecosystem services related to water and carbon biogeochemical processes. The system under study is the Taquarizinho river basin, located in the eastern region of Mato Grosso do Sul State, Brazil, inserted in the upland borders of one of the largest wetland systems of the world, the Pantanal. Formerly occupied by Brazilian savannah (Cerrado), more than half of Taquarizinho watershed was converted both to agriculture and pasture lands since the 1960s. In order to quantify the impact of land-use change on ES provided by Taquarizinho over the years, this paper introduces the hydro-carbon model, which dynamically represents ecosystem services related to water and carbon cycles, such as canal discharge, groundwater recharge, evapotranspiration, biomass carbon sequestration, litter carbon sequestration, and soil carbon sequestration. The hydro-carbon model uses emergy for estimating the monetary value of ecosystem services provided by the river basin under different land-use scenarios. In this paper, extreme scenarios represent typical land-use types in Ta</w:instrText>
            </w:r>
            <w:r w:rsidRPr="0066103D">
              <w:rPr>
                <w:rFonts w:ascii="Arial" w:eastAsiaTheme="minorHAnsi" w:hAnsi="Arial" w:cs="Arial"/>
                <w:noProof/>
                <w:sz w:val="22"/>
                <w:szCs w:val="22"/>
                <w:lang w:val="en-US" w:eastAsia="en-US"/>
              </w:rPr>
              <w:instrText>quarizinho basin: native savanna (NS), agroforestry systems (AF), conventional tillage agriculture (CT), no-tillage multiple cropping agriculture (NT), degraded pastures (DP), and pastures under improved management (IP). Results in this paper reveal a hierarchy related to water and carbon ES provision, in descending order: native savanna (247EM$ha-1y-1), agroforestry system (204EM$ha-1y-1), pastures under improved management (180EM$ha-1y-1), no-tillage multiple cropping agriculture (160EM$ha-1y-1), degraded pastures (104EM$ha-1y-1) and conventional tillage agriculture (75EM$ha-1y-1). © 2013 Elsevier B.V.","author":[{"dropping-particle":"","family":"Watanabe","given":"Marcos D.B.","non-dropping-particle":"","parse-names":false,"suffix":""},{"dropping-particle":"","family":"Ortega","given":"Enrique","non-dropping-particle":"","parse-names":false,"suffix":""}],"container-title":"Ecological Modelling","id":"ITEM-1","issued":{"date-parts":[["2014","1","10"]]},"page":"113-131","publisher":"Elsevier","title":"Dynamic emergy accounting of water and carbon ecosystem services: A model to simulate the impacts of land-use change","type":"article-journal","volume":"271"},"uris":["http://www.mendeley.com/documents/?uuid=de912d8f-489d-359b-b591-4bee13bc2ae5"]}],"mendeley":{"formattedCitation":"[49]","plainTextFormattedCitation":"[49]","previouslyFormattedCitation":"[50]"},"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en-US" w:eastAsia="en-US"/>
              </w:rPr>
              <w:t>[49]</w:t>
            </w:r>
            <w:r w:rsidRPr="0066103D">
              <w:rPr>
                <w:rFonts w:ascii="Arial" w:eastAsiaTheme="minorHAnsi" w:hAnsi="Arial" w:cs="Arial"/>
                <w:noProof/>
                <w:sz w:val="22"/>
                <w:szCs w:val="22"/>
                <w:lang w:eastAsia="en-US"/>
              </w:rPr>
              <w:fldChar w:fldCharType="end"/>
            </w:r>
          </w:p>
        </w:tc>
        <w:tc>
          <w:tcPr>
            <w:tcW w:w="3526" w:type="dxa"/>
            <w:hideMark/>
          </w:tcPr>
          <w:p w14:paraId="3A738337"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Dynamic emergy accounting of water and carbon ecosystem services: A model to simulate the impacts of land-use change</w:t>
            </w:r>
          </w:p>
        </w:tc>
        <w:tc>
          <w:tcPr>
            <w:tcW w:w="1719" w:type="dxa"/>
            <w:vAlign w:val="center"/>
            <w:hideMark/>
          </w:tcPr>
          <w:p w14:paraId="7C7DBACE"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Ecological Modelling</w:t>
            </w:r>
          </w:p>
        </w:tc>
        <w:tc>
          <w:tcPr>
            <w:tcW w:w="739" w:type="dxa"/>
            <w:noWrap/>
            <w:vAlign w:val="center"/>
            <w:hideMark/>
          </w:tcPr>
          <w:p w14:paraId="7E746B44" w14:textId="77777777" w:rsidR="0066103D" w:rsidRPr="0066103D" w:rsidRDefault="0066103D" w:rsidP="0066103D">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47</w:t>
            </w:r>
          </w:p>
        </w:tc>
      </w:tr>
      <w:tr w:rsidR="0066103D" w:rsidRPr="0066103D" w14:paraId="78D0E9C4" w14:textId="77777777" w:rsidTr="00D73213">
        <w:trPr>
          <w:trHeight w:val="711"/>
        </w:trPr>
        <w:tc>
          <w:tcPr>
            <w:cnfStyle w:val="001000000000" w:firstRow="0" w:lastRow="0" w:firstColumn="1" w:lastColumn="0" w:oddVBand="0" w:evenVBand="0" w:oddHBand="0" w:evenHBand="0" w:firstRowFirstColumn="0" w:firstRowLastColumn="0" w:lastRowFirstColumn="0" w:lastRowLastColumn="0"/>
            <w:tcW w:w="723" w:type="dxa"/>
            <w:noWrap/>
            <w:vAlign w:val="center"/>
            <w:hideMark/>
          </w:tcPr>
          <w:p w14:paraId="740395F5" w14:textId="77777777" w:rsidR="0066103D" w:rsidRPr="0066103D" w:rsidRDefault="0066103D" w:rsidP="0066103D">
            <w:pPr>
              <w:jc w:val="center"/>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10th</w:t>
            </w:r>
          </w:p>
        </w:tc>
        <w:tc>
          <w:tcPr>
            <w:tcW w:w="2112" w:type="dxa"/>
            <w:vAlign w:val="center"/>
            <w:hideMark/>
          </w:tcPr>
          <w:p w14:paraId="489CD4D6"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en-US" w:eastAsia="en-US"/>
              </w:rPr>
              <w:instrText>ADDIN CSL_CITATION {"citationItems":[{"id":"ITEM-1","itemData":{"DOI":"10.1672/0277-5212(2000)020&lt;0500:QTGDAR&gt;2.0.CO;2","ISSN":"02775212","abstract":"Developing a more thorough understanding of water and chemical budgets in wetlands depends in part on our ability to quantify time-varying interactions between ground water and surface water. We used a combined water and solute mass balance approach to estimate time-varying ground-water discharge and recharge in the Everglades Nutrient Removal project (ENR), a relatively large constructed wetland (1544 hectare) built for removing nutrients from agricultural drainage in the norther Everglades in South Florida, USA. Over a 4-year period (1994 through 1998), ground-water recharge averaged 13.4 hectare-meter per day (ha-m/day) or 0.9 cm/day, which is approximately 31% of surface water pumped into the ENR for treatment. In contrast, ground-water discharge was much smaller (1.4 ha-m/day, or 0.09 cm/day, or 2.8% of water input to ENR for treatment). Using a water-balance approach alone only allowed net ground-water exchange (discharge - recharge) to be estimated (-12 ± 2.4 ha-ma/day). Disharge and recharge were individually determined by combining a chloride mass balance with the water balance. For a variety of reasons, the ground-water discharge estimated by the combined mass balance approach was not reliable (1.4 ± 37 ha-m/day). As a result, ground-water interactions could only be reliably estimated by comparing the mass-balance results with other independent approaches, including direct seepage-meter measurements and previous estimates using ground-water modeling. All three independent approaches provided similar estimates of average ground-water recharge, ranging from 13 to 14 ha-m/day. There was also relatively good agreement between ground-water discharge estimates for the mass balance and seepage meter methods, 1.4 and 0.9 ha-m/day, respectively. However, ground-water-flow modeling provided an average discharge estimate that was approximately a factor of four higher (5.4 ha-m/day) than the other two methods. Our study developed an initial understanding of how the design and operation of the ENR increases interactions between ground water and surface water. A considerable portion of recharged ground water (73%) was collected and returned to the ENR by a seepage canal. Additional recharge that was not captured by the seepage canal only occurred when pumped inflow rates to ENR (and ENR water levels) were relatively high. Management of surface water in the northern Everglades therefore clearly has the potential to increase interactions with ground water.","author":[{"dropping-particle":"","family":"Choi","given":"J.","non-dropping-particle":"","parse-names":false,"suffix":""},{"dropping-particle":"","family":"Harvey","given":"J. W.","non-dropping-particle":"","parse-names":false,"suffix":""}],"container-title":"Wetlands","id":"ITEM-1","issue":"3","issued":{"date-parts":[["2000","7","19"]]},"page":"500-511","publisher":"Society of Wetland Scientists","title":"Quantifying time-varying ground-water discharge and recharge in wetlands of the northern Florida Everglades","type":"article-journal","volume":"20"},"uris":["http://www.mendeley.com/documents/?uuid=5f30d6e6-1e68-315c-8418-bde6ca7181a5"]}],"mendeley":{"formattedCitation":"[50]","plainTextFormattedCitation":"[50]","previouslyFormattedCitation":"[51]"},"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en-US" w:eastAsia="en-US"/>
              </w:rPr>
              <w:t>[50]</w:t>
            </w:r>
            <w:r w:rsidRPr="0066103D">
              <w:rPr>
                <w:rFonts w:ascii="Arial" w:eastAsiaTheme="minorHAnsi" w:hAnsi="Arial" w:cs="Arial"/>
                <w:noProof/>
                <w:sz w:val="22"/>
                <w:szCs w:val="22"/>
                <w:lang w:eastAsia="en-US"/>
              </w:rPr>
              <w:fldChar w:fldCharType="end"/>
            </w:r>
          </w:p>
        </w:tc>
        <w:tc>
          <w:tcPr>
            <w:tcW w:w="3526" w:type="dxa"/>
            <w:hideMark/>
          </w:tcPr>
          <w:p w14:paraId="439DE0E5"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Quantifying time-varying ground-water discharge and recharge in wetlands of the northern Florida Everglades</w:t>
            </w:r>
          </w:p>
        </w:tc>
        <w:tc>
          <w:tcPr>
            <w:tcW w:w="1719" w:type="dxa"/>
            <w:vAlign w:val="center"/>
            <w:hideMark/>
          </w:tcPr>
          <w:p w14:paraId="1AC99227"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i/>
                <w:iCs/>
                <w:noProof/>
                <w:sz w:val="22"/>
                <w:szCs w:val="22"/>
                <w:lang w:val="en-US" w:eastAsia="en-US"/>
              </w:rPr>
            </w:pPr>
            <w:r w:rsidRPr="0066103D">
              <w:rPr>
                <w:rFonts w:ascii="Arial" w:eastAsiaTheme="minorHAnsi" w:hAnsi="Arial" w:cs="Arial"/>
                <w:i/>
                <w:iCs/>
                <w:noProof/>
                <w:sz w:val="22"/>
                <w:szCs w:val="22"/>
                <w:lang w:val="en-US" w:eastAsia="en-US"/>
              </w:rPr>
              <w:t>Wetlands</w:t>
            </w:r>
          </w:p>
        </w:tc>
        <w:tc>
          <w:tcPr>
            <w:tcW w:w="739" w:type="dxa"/>
            <w:noWrap/>
            <w:vAlign w:val="center"/>
            <w:hideMark/>
          </w:tcPr>
          <w:p w14:paraId="41F8974B" w14:textId="77777777" w:rsidR="0066103D" w:rsidRPr="0066103D" w:rsidRDefault="0066103D" w:rsidP="0066103D">
            <w:pPr>
              <w:jc w:val="center"/>
              <w:cnfStyle w:val="000000000000" w:firstRow="0" w:lastRow="0" w:firstColumn="0" w:lastColumn="0" w:oddVBand="0" w:evenVBand="0" w:oddHBand="0" w:evenHBand="0" w:firstRowFirstColumn="0" w:firstRowLastColumn="0" w:lastRowFirstColumn="0" w:lastRowLastColumn="0"/>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45</w:t>
            </w:r>
          </w:p>
        </w:tc>
      </w:tr>
      <w:tr w:rsidR="0066103D" w:rsidRPr="0066103D" w14:paraId="307EF45C" w14:textId="77777777" w:rsidTr="00D73213">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8819" w:type="dxa"/>
            <w:gridSpan w:val="5"/>
            <w:noWrap/>
            <w:hideMark/>
          </w:tcPr>
          <w:p w14:paraId="01A4F606" w14:textId="77777777" w:rsidR="0066103D" w:rsidRPr="0066103D" w:rsidRDefault="0066103D" w:rsidP="0066103D">
            <w:pPr>
              <w:jc w:val="center"/>
              <w:rPr>
                <w:rFonts w:ascii="Arial" w:eastAsiaTheme="minorHAnsi" w:hAnsi="Arial" w:cs="Arial"/>
                <w:i/>
                <w:iCs/>
                <w:noProof/>
                <w:sz w:val="22"/>
                <w:szCs w:val="22"/>
                <w:lang w:val="en-US" w:eastAsia="en-US"/>
              </w:rPr>
            </w:pPr>
            <w:r w:rsidRPr="0066103D">
              <w:rPr>
                <w:rFonts w:ascii="Arial" w:eastAsiaTheme="minorHAnsi" w:hAnsi="Arial" w:cs="Arial"/>
                <w:noProof/>
                <w:sz w:val="22"/>
                <w:szCs w:val="22"/>
                <w:lang w:val="en-US" w:eastAsia="en-US"/>
              </w:rPr>
              <w:t>SCR:</w:t>
            </w:r>
            <w:r w:rsidRPr="0066103D">
              <w:rPr>
                <w:rFonts w:ascii="Arial" w:eastAsiaTheme="minorHAnsi" w:hAnsi="Arial" w:cs="Arial"/>
                <w:i/>
                <w:iCs/>
                <w:noProof/>
                <w:sz w:val="22"/>
                <w:szCs w:val="22"/>
                <w:lang w:val="en-US" w:eastAsia="en-US"/>
              </w:rPr>
              <w:t xml:space="preserve"> Standard Competition Ranking</w:t>
            </w:r>
          </w:p>
        </w:tc>
      </w:tr>
    </w:tbl>
    <w:p w14:paraId="11713F66" w14:textId="77777777" w:rsidR="0066103D" w:rsidRPr="0066103D" w:rsidRDefault="0066103D" w:rsidP="0066103D">
      <w:pPr>
        <w:jc w:val="center"/>
        <w:rPr>
          <w:rFonts w:ascii="Arial" w:eastAsiaTheme="minorHAnsi" w:hAnsi="Arial" w:cs="Arial"/>
          <w:noProof/>
          <w:sz w:val="22"/>
          <w:szCs w:val="22"/>
          <w:lang w:val="en-US" w:eastAsia="en-US"/>
        </w:rPr>
      </w:pPr>
      <w:r w:rsidRPr="0066103D">
        <w:rPr>
          <w:rFonts w:ascii="Arial" w:eastAsiaTheme="minorHAnsi" w:hAnsi="Arial" w:cs="Arial"/>
          <w:noProof/>
          <w:sz w:val="22"/>
          <w:szCs w:val="22"/>
          <w:lang w:val="en-US" w:eastAsia="en-US"/>
        </w:rPr>
        <w:t>Fonte: Elaboração própria baseada em dados coletados no SciMAT</w:t>
      </w:r>
    </w:p>
    <w:p w14:paraId="4099E018" w14:textId="77777777" w:rsidR="0066103D" w:rsidRPr="0066103D" w:rsidRDefault="0066103D" w:rsidP="0066103D">
      <w:pPr>
        <w:jc w:val="both"/>
        <w:rPr>
          <w:rFonts w:ascii="Arial" w:eastAsiaTheme="minorHAnsi" w:hAnsi="Arial" w:cs="Arial"/>
          <w:noProof/>
          <w:sz w:val="22"/>
          <w:szCs w:val="22"/>
          <w:lang w:val="en-US" w:eastAsia="en-US"/>
        </w:rPr>
      </w:pPr>
    </w:p>
    <w:p w14:paraId="6A36C51B" w14:textId="77777777" w:rsidR="0066103D" w:rsidRPr="0066103D" w:rsidRDefault="0066103D" w:rsidP="00853F65">
      <w:pPr>
        <w:ind w:firstLine="720"/>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en-US" w:eastAsia="en-US"/>
        </w:rPr>
        <w:t xml:space="preserve">Por outro lado, Gerke et al.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en-US" w:eastAsia="en-US"/>
        </w:rPr>
        <w:instrText xml:space="preserve">ADDIN CSL_CITATION {"citationItems":[{"id":"ITEM-1","itemData":{"DOI":"10.1016/j.jhydrol.2009.12.047","ISSN":"00221694","abstract":"The hummocky post-glacial soil landscapes with kettle holes as internal drainage systems are characterized by ponds that trap lateral fluxes in topographic depressions. A quantitative description is mostly limited by the unknown complexity of hydraulically relevant soil and sediment structures. This paper is focussing on a structure-based approach to identify relevant field-scale flow and transport processes. Illustrative examples demonstrate extreme variations in water table fluctuation for adjoining kettle holes. Explanations require a pedohydrologic concept of the arable soil landscape. Identification of structures is based on geophysical methods and soil hydraulic measurements. Electrical resistivity imaging yields 0.5. m-scale spatial structures that correspond with soil texture distributions. Electromagnetic induction provides larger-scale field maps that reflect major soil and sediment features. Results of both methods correspond within the limits of the different spatial resolutions. With geophysical exploration methods, colluvial areas with textural differences between upper and deeper </w:instrText>
      </w:r>
      <w:r w:rsidRPr="0066103D">
        <w:rPr>
          <w:rFonts w:ascii="Arial" w:eastAsiaTheme="minorHAnsi" w:hAnsi="Arial" w:cs="Arial"/>
          <w:noProof/>
          <w:sz w:val="22"/>
          <w:szCs w:val="22"/>
          <w:lang w:val="pt-BR" w:eastAsia="en-US"/>
        </w:rPr>
        <w:instrText>soil layers, coarse-textured sediment lenses, and stony colluvial regions around kettle holes are identified as potentially relevant flow structures. The colluvial fringe around the pond seems to be a sensitive area with important lateral exchange fluxes. Tensiometer measurements perpendicular to this boundary indicate hydraulic gradients directed from the pond towards the partially saturated soil. The localized infiltration of trapped water in kettle holes can control large fractions of ground water recharge and may have implications for the fate of agricultural chemicals in post-glacial landscapes. While surface and subsurface hydraulic structures may be inferred using minimal-invasive techniques, better understanding of processes and properties governing lateral exchange fluxes between pond and surrounding soil are required. © 2010 Elsevier B.V.","author":[{"dropping-particle":"","family":"Gerke","given":"Horst H.","non-dropping-particle":"","parse-names":false,"suffix":""},{"dropping-particle":"","family":"Koszinski","given":"Sylvia","non-dropping-particle":"","parse-names":false,"suffix":""},{"dropping-particle":"","family":"Kalettka","given":"Thomas","non-dropping-particle":"","parse-names":false,"suffix":""},{"dropping-particle":"","family":"Sommer","given":"Michael","non-dropping-particle":"","parse-names":false,"suffix":""}],"container-title":"Journal of Hydrology","id":"ITEM-1","issue":"1-2","issued":{"date-parts":[["2010","10","27"]]},"page":"123-132","publisher":"Elsevier","title":"Structures and hydrologic function of soil landscapes with kettle holes using an integrated hydropedological approach","type":"article-journal","volume":"393"},"suppress-author":1,"uris":["http://www.mendeley.com/documents/?uuid=f77dea3d-0e81-37f4-b29b-cdb4f7a5c35a"]}],"mendeley":{"formattedCitation":"[46]","plainTextFormattedCitation":"[46]","previouslyFormattedCitation":"[47]"},"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[46]</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consideraram que as estruturas hidráulicas podem ser conhecidas desde que haja conhecimento do uso do solo, bem como da posição (topografia, geologia, entre outros) do relevo estudado, o que dá uma melhor compreensão dos sistemas de infiltração e das implicações que eles podem ter na recarga das águas subterrâneas.  </w:t>
      </w:r>
    </w:p>
    <w:p w14:paraId="523490CC" w14:textId="77777777" w:rsidR="0066103D" w:rsidRPr="0066103D" w:rsidRDefault="0066103D" w:rsidP="00853F65">
      <w:pPr>
        <w:ind w:firstLine="720"/>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 xml:space="preserve">Os recursos hídricos estão sendo superexplorados e poluídos, o que coloca em risco a gestão sustentável dos recursos hídricos, limitando a recarga das águas subterrâneas em diferentes bacias hidrográficas. Acharya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{"citationItems":[{"id":"ITEM-1","itemData":{"DOI":"10.1016/S0921-8009(00)00168-3","ISSN":"09218009","abstract":"This paper investigates the role of the production function approach in capturing the value of hydrological services of wetland ecosystems. Hydrological research in the Hadejia-Nguru wetlands in northern Nigeria suggests that the major role of the wet season inundation of the wetlands is in recharging the underlying aquifers. This paper shows that the hydrological services extend beyond direct use values, and have a significant economic value associated with them. Whereas the direct benefits provided by the wetlands, such as floodplain agriculture, fishing and forestry, have previously been assessed, this paper synthesizes the results of two approaches to capture the value of indirect benefits derived from the role of the wetlands in replenishing and maintaining groundwater resources within the wetland area. (C) 2000 Elsevier Science B.V.","author":[{"dropping-particle":"","family":"Acharya","given":"G.","non-dropping-particle":"","parse-names":false,"suffix":""}],"container-title":"Ecological Economics","id":"ITEM-1","issue":"1","issued":{"date-parts":[["2000","10","1"]]},"page":"63-74","publisher":"Elsevier","title":"Approaches to valuing the hidden hydrological services of wetland ecosystems","type":"article-journal","volume":"35"},"suppress-author":1,"uris":["http://www.mendeley.com/documents/?uuid=592ee5e8-250f-39ee-923d-94234663b336"]}],"mendeley":{"formattedCitation":"[47]","plainTextFormattedCitation":"[47]","previouslyFormattedCitation":"[48]"},"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[47]</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investigou o papel dos serviços hidrológicos de zonas úmidas e como eles têm um valor além do uso direto (valor econômico através da agricultura, pesca e silvicultura), mostrando que os benefícios indiretos desempenham um papel fundamental na recarga das águas subterrâneas dentro dessas áreas e que é vital estabelecer políticas de gerenciamento e uso que mitiguem os impactos antropogênicos e permitam o fluxo normal dos serviços ecossistêmicos.</w:t>
      </w:r>
    </w:p>
    <w:p w14:paraId="45A3C2D7" w14:textId="77777777" w:rsidR="0066103D" w:rsidRPr="0066103D" w:rsidRDefault="0066103D" w:rsidP="00853F65">
      <w:pPr>
        <w:ind w:firstLine="720"/>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 xml:space="preserve">Ao falar de políticas de manejo de zonas úmidas, os processos dinâmicos dos ecossistemas de zonas úmidas não foram totalmente levados em conta devido a técnicas de manejo inadequadas que têm sido utilizadas por várias décadas, pois não levam em conta principalmente a influência do uso do solo, bem como a prestação de outros serviços </w:t>
      </w:r>
      <w:r w:rsidRPr="0066103D">
        <w:rPr>
          <w:rFonts w:ascii="Arial" w:eastAsiaTheme="minorHAnsi" w:hAnsi="Arial" w:cs="Arial"/>
          <w:noProof/>
          <w:sz w:val="22"/>
          <w:szCs w:val="22"/>
          <w:lang w:val="pt-BR" w:eastAsia="en-US"/>
        </w:rPr>
        <w:lastRenderedPageBreak/>
        <w:t xml:space="preserve">ecossistêmicos, como a recarga de água, que é afetada por mudanças no uso do solo. Isto resultou em uma gestão ineficiente, como mencionado por Euliss et al.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{"citationItems":[{"id":"ITEM-1","itemData":{"DOI":"10.1672/07-154.1","ISSN":"02775212","abstract":"Wetland management in the United States has never been as challenging as in today's highly modified landscape. Initially, wetland science and management emerged as professions in response to widespread conversion of wetlands to other uses and concerns over negative impacts on wildlife populations, especially migratory birds. Consequently, wetland management was focused on wildlife, and the initial management technique was simply to protect wetlands. However, extensive conversion of lands for agricultural and urban expansion over the past 60 years has modified ecosystem processes at the landscape scale sufficiently to compromise wetland management activities on adjacent lands dedicated to conservation. Moreover, society now expects a broad suite of ecosystem services to be delivered. As a result, many previously used wetland management techniques are no longer appropriate because they do not take into account influences of adjacent land uses or other ecosystem services, such as ground-water recharge. Other early management approaches may have been ineffective because they were based on an incomplete understanding of wetland processes or social influences. Meanwhile, wetland losses continued, as well as loss of services provided by the remaining managed wetlands. Regulation starting in the 1970s and subsequent research attention on wetland functioning has led to new knowledge and a broader understanding of wetland processes and recognition of the full suite of services (e.g., water storage, water quality improvement, aquifer maintenance, climate mitigation). To be effective in today's highly modified landscape, knowledge of social choices, political influences, and dynamic wetland processes is required to meet wetland management objectives for a range of ecosystem services. We argue that adopting a process-based perspective is critical to develop strategies to optimize a suite of wetland services, including providing traditional wildlife habitat. © 2008 The Society of Wetland Scientists.","author":[{"dropping-particle":"","family":"Euliss","given":"Ned H.","non-dropping-particle":"","parse-names":false,"suffix":""},{"dropping-particle":"","family":"Smith","given":"Loren M.","non-dropping-particle":"","parse-names":false,"suffix":""},{"dropping-particle":"","family":"Wilcox","given":"Douglas A.","non-dropping-particle":"","parse-names":false,"suffix":""},{"dropping-particle":"","family":"Browne","given":"Bryant A.","non-dropping-particle":"","parse-names":false,"suffix":""}],"container-title":"Wetlands","id":"ITEM-1","issue":"3","issued":{"date-parts":[["2008","9"]]},"page":"553-562","publisher":"Springer","title":"Linking ecosystem processes with wetland management goals: Charting a course for a sustainable future","type":"article-journal","volume":"28"},"suppress-author":1,"uris":["http://www.mendeley.com/documents/?uuid=a2824208-c1fa-30e4-a60f-9fb85818a723"]}],"mendeley":{"formattedCitation":"[48]","plainTextFormattedCitation":"[48]","previouslyFormattedCitation":"[49]"},"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[48]</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em seu estudo, pois eles se basearam em um entendimento incompleto dos processos ecológicos das áreas úmidas e não levaram em conta as atividades sócio-econômicas adjacentes, resultando em uma perda contínua das áreas e dos serviços por eles prestados.</w:t>
      </w:r>
    </w:p>
    <w:p w14:paraId="36769F0D" w14:textId="77777777" w:rsidR="0066103D" w:rsidRPr="0066103D" w:rsidRDefault="0066103D" w:rsidP="00853F65">
      <w:pPr>
        <w:ind w:firstLine="720"/>
        <w:jc w:val="both"/>
        <w:rPr>
          <w:rFonts w:ascii="Arial" w:eastAsiaTheme="minorHAnsi" w:hAnsi="Arial" w:cs="Arial"/>
          <w:noProof/>
          <w:sz w:val="22"/>
          <w:szCs w:val="22"/>
          <w:lang w:eastAsia="en-US"/>
        </w:rPr>
      </w:pPr>
      <w:r w:rsidRPr="0066103D">
        <w:rPr>
          <w:rFonts w:ascii="Arial" w:eastAsiaTheme="minorHAnsi" w:hAnsi="Arial" w:cs="Arial"/>
          <w:noProof/>
          <w:sz w:val="22"/>
          <w:szCs w:val="22"/>
          <w:lang w:val="pt-BR" w:eastAsia="en-US"/>
        </w:rPr>
        <w:t xml:space="preserve">Da mesma forma, Watanabe &amp; Ortega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{"citationItems":[{"id":"ITEM-1","itemData":{"DOI":"10.1016/j.ecolmodel.2013.03.006","ISSN":"03043800","abstract":"Expansion of agriculture over ecosystem areas is widely recognized as one of the most significant human alterations to the global environment over the last century. Although food and fiber production are essential ecosystem services (ES) to humankind, the clearing of forests for agricultural use is associated with changes in land cover which affect a wide range of ES at local, regional and global scales. Considering the importance of climate change, freshwater scarcity, soil erosion and other environmental issues, this paper aims to simulate the impact of land-use change on the ecosystem services related to water and carbon biogeochemical processes. The system under study is the Taquarizinho river basin, located in the eastern region of Mato Grosso do Sul State, Brazil, inserted in the upland borders of one of the largest wetland systems of the world, the Pantanal. Formerly occupied by Brazilian savannah (Cerrado), more than half of Taquarizinho watershed was converted both to agriculture and pasture lands since the 1960s. In order to quantify the impact of land-use change on ES provided by Taquarizinho over the years, this paper introduces the hydro-carbon model, which dynamically represents ecosystem services related to water and carbon cycles, such as canal discharge, groundwater recharge, evapotranspiration, biomass carbon sequestration, litter carbon sequestration, and soil carbon sequestration. The hydro-carbon model uses emergy for estimating the monetary value of ecosystem services provided by the river basin under different land-use scenarios. In this paper, extreme scenarios represent typical land-use types in Taquarizinho basin: native savanna (NS), agroforestry systems (AF), conventional tillage agriculture (CT), no-tillage multiple cropping agriculture (NT), degraded pastures (DP), and pastures under improved management (IP). Results in this paper reveal a hierarchy related to water and carbon ES provision, in descending order: native savanna (247EM$ha-1y-1), agroforestry system (204EM$ha-1y-1), pastures under improved management (180EM$ha-1y-1), no-tillage multiple cropping agriculture (160EM$ha-1y-1), degraded pastures (104EM$ha-1y-1) and conventional tillage agriculture (75EM$ha-1y-1). © 2013 Elsevier B.V.","author":[{"dropping-particle":"","family":"Watanabe","given":"Marcos D.B.","non-dropping-particle":"","parse-names":false,"suffix":""},{"dropping-particle":"","family":"Ortega","given":"Enrique","non-dropping-particle":"","parse-names":false,"suffix":""}],"container-title":"Ecological Modelling","id":"ITEM-1","issued":{"date-parts":[["2014","1","10"]]},"page":"113-131","publisher":"Elsevier","title":"Dynamic emergy accounting of water and carbon ecosystem services: A model to simulate the impacts of land-use change","type":"article-journal","volume":"271"},"suppress-author":1,"uris":["http://www.mendeley.com/documents/?uuid=de912d8f-489d-359b-b591-4bee13bc2ae5"]}],"mendeley":{"formattedCitation":"[49]","plainTextFormattedCitation":"[49]","previouslyFormattedCitation":"[50]"},"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[49]</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por meio de um modelo simulou o impacto da mudança do uso da terra e da remoção da cobertura vegetal na prestação de serviços ecossistêmicos prestados pelo maior sistema de zonas úmidas do mundo, o Pantanal. Os resultados mostraram como diferentes cenários de atividades antropogênicas levam a um mau desempenho na produção de serviços ecossistêmicos, piorando ao levar em conta os efeitos da mudança climática e outros problemas ambientais nas áreas circunvizinhas. </w:t>
      </w:r>
      <w:r w:rsidRPr="0066103D">
        <w:rPr>
          <w:rFonts w:ascii="Arial" w:eastAsiaTheme="minorHAnsi" w:hAnsi="Arial" w:cs="Arial"/>
          <w:noProof/>
          <w:sz w:val="22"/>
          <w:szCs w:val="22"/>
          <w:lang w:eastAsia="en-US"/>
        </w:rPr>
        <w:t xml:space="preserve">Finalmente, os estudos de Choi &amp; Harvey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eastAsia="en-US"/>
        </w:rPr>
        <w:instrText>ADDIN CSL_CITATION {"citationItems":[{"id":"ITEM-1","itemData":{"DOI":"10.1672/0277-5212(2000)020&lt;0500:QTGDAR&gt;2.0.CO;2","ISSN":"02775212","abstract":"Developing a more thorough understanding of water and chemical budgets in wetlands depends in part on our ability to quantify time-varying interactions between ground water and surface water. We used a combined water and solute mass balance approach to estimate time-varying ground-water discharge and recharge in the Everglades Nutrient Removal project (ENR), a relatively large constructed wetland (1544 hectare) built for removing nutrients from agricultural drainage in the norther Everglades in South Florida, USA. Over a 4-year period (1994 through 1998), ground-water recharge averaged 13.4 hectare-meter per day (ha-m/day) or 0.9 cm/day, which is approximately 31% of surface water pumped into the ENR for treatment. In contrast, ground-water discharge was much smaller (1.4 ha-m/day, or 0.09 cm/day, or 2.8% of water input to ENR for treatment). Using a water-balance approach alone only allowed net ground-water exchange (discharge - recharge) to be estimated (-12 ± 2.4 ha-ma/day). Disharge and recharge were individually determined by combining a chloride mass balance with the water balance. For a variety of reasons, the ground-water discharge estimated by the combined mass balance approach was not reliable (1.4 ± 37 ha-m/day). As a result, ground-water interactions could only be reliably estimated by comparing the mass-balance results with other independent approaches, including direct seepage-meter measurements and previous estimates using ground-water modeling. All three independent approaches provided similar estimates of average ground-water recharge, ranging from 13 to 14 ha-m/day. There was also relatively good agreement between ground-water discharge estimates for the mass balance and seepage meter methods, 1.4 and 0.9 ha-m/day, respectively. However, ground-water-flow modeling provided an average discharge estimate that was approximately a factor of four higher (5.4 ha-m/day) than the other two methods. Our study developed an initial understanding of how the design and operation of the ENR increases interactions between ground water and surface water. A considerable portion of recharged ground water (73%) was collected and returned to the ENR by a seepage canal. Additional recharge that was not captured by the seepage canal only occurred when pumped inflow rates to ENR (and ENR water levels) were relatively high. Management of surface water in the northern Everglades therefore clearly has the potential to increase interactions with ground water.","author":[{"dropping-particle":"","family":"Choi","given":"J.","non-dropping-particle":"","parse-names":false,"suffix":""},{"dropping-particle":"","family":"Harvey","given":"J. W.","non-dropping-particle":"","parse-names":false,"suffix":""}],"container-title":"Wetlands","id":"ITEM-1","issue":"3","issued":{"date-parts":[["2000","7","19"]]},"page":"500-511","publisher":"Society of Wetland Scientists","title":"Quantifying time-varying ground-water discharge and recharge in wetlands of the northern Florida Everglades","type":"article-journal","volume":"20"},"suppress-author":1,"uris":["http://www.mendeley.com/documents/?uuid=5f30d6e6-1e68-315c-8418-bde6ca7181a5"]}],"mendeley":{"formattedCitation":"[50]","plainTextFormattedCitation":"[50]","previouslyFormattedCitation":"[51]"},"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eastAsia="en-US"/>
        </w:rPr>
        <w:t>[50]</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eastAsia="en-US"/>
        </w:rPr>
        <w:t xml:space="preserve"> e Harvey et al.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eastAsia="en-US"/>
        </w:rPr>
        <w:instrText xml:space="preserve">ADDIN CSL_CITATION {"citationItems":[{"id":"ITEM-1","itemData":{"DOI":"10.1111/j.1745-6584.2004.tb02646.x","ISSN":"0017467X","abstract":"Rates of ground water recharge and discharge are not well known in the central Everglades. Here we report estimates of ground water recharge and discharge at 15 sites in the Everglades Nutrient Removal Project and in Water Conservation Area 2A (WCA-2A), along with measurements of hydraulic properties of peat at 11 sites. A simple hydrogeologic simulation was used to assess how specific factors have influenced recharge and discharge. Simulations and measurements agreed that the highest values of recharge and discharge occur within 600 m of levees, the result of ground water flow beneath levees. There was disagreement in the interior wetlands of WCA-2A (located &gt; 1000 m from levees) where measurements of recharge and discharge were substantially higher than simulated fluxes. A five-year time series (1997 to 2002) of measured fluxes indicated that recharge and discharge underwent reversals in direction on weekly, monthly, and annual timescales at interior sites in WCA-2A. Ground water discharge tended to occur during average to moderately dry conditions when local surface water levels were decreasing. Recharge tended to occur during moderately wet periods or during very dry periods just as water levels began to increase following precipitation or in response to a pulse of surface water released from water-control structures by water managers. Discharge also tended to occur at sites in the wetland interior for </w:instrText>
      </w:r>
      <w:r w:rsidRPr="0066103D">
        <w:rPr>
          <w:rFonts w:ascii="Cambria Math" w:eastAsiaTheme="minorHAnsi" w:hAnsi="Cambria Math" w:cs="Cambria Math"/>
          <w:noProof/>
          <w:sz w:val="22"/>
          <w:szCs w:val="22"/>
          <w:lang w:eastAsia="en-US"/>
        </w:rPr>
        <w:instrText>∼</w:instrText>
      </w:r>
      <w:r w:rsidRPr="0066103D">
        <w:rPr>
          <w:rFonts w:ascii="Arial" w:eastAsiaTheme="minorHAnsi" w:hAnsi="Arial" w:cs="Arial"/>
          <w:noProof/>
          <w:sz w:val="22"/>
          <w:szCs w:val="22"/>
          <w:lang w:eastAsia="en-US"/>
        </w:rPr>
        <w:instrText>1 week preceding the arrival of the surface water pulse. We conclude that ground water recharge and discharge vary cyclically in the interior wetlands of the central Everglades, driven by the differential responses of surface water and ground water to annual, seasonal, and weekly trends in precipitation and operation of water-control structures. © 2004 National Ground Water Association.","author":[{"dropping-particle":"","family":"Harvey","given":"Judson W.","non-dropping-particle":"","parse-names":false,"suffix":""},{"dropping-particle":"","family":"Krupa","given":"Steven L.","non-dropping-particle":"","parse-names":false,"suffix":""},{"dropping-particle":"","family":"Krest","given":"James M.","non-dropping-particle":"","parse-names":false,"suffix":""}],"container-title":"Ground Water","id":"ITEM-1","issue":"7","issued":{"date-parts":[["2004","12","1"]]},"page":"1090-1102","publisher":"John Wiley &amp; Sons, Ltd","title":"Ground water recharge and discharge in the central everglades","type":"article-journal","volume":"42"},"suppress-author":1,"uris":["http://www.mendeley.com/documents/?uuid=7af8a2cf-37e8-3d79-9fce-c3436a327e24"]}],"mendeley":{"formattedCitation":"[51]","plainTextFormattedCitation":"[51]","previouslyFormattedCitation":"[52]"},"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eastAsia="en-US"/>
        </w:rPr>
        <w:t>[51]</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eastAsia="en-US"/>
        </w:rPr>
        <w:t xml:space="preserve"> enfatizaram a estimativa da descarga e recarga de águas subterrâneas de um pântano (Everglades) através de simulações hidrogeológicas e modelos combinados (água e equilíbrio de massa de soluto) que mostraram que esta relação é ciclicamente influenciada pela chuva e pelos volumes de água contidos na superfície.</w:t>
      </w:r>
    </w:p>
    <w:p w14:paraId="7FC0939B" w14:textId="77777777" w:rsidR="0066103D" w:rsidRPr="0066103D" w:rsidRDefault="0066103D" w:rsidP="0066103D">
      <w:pPr>
        <w:jc w:val="both"/>
        <w:rPr>
          <w:rFonts w:ascii="Arial" w:eastAsiaTheme="minorHAnsi" w:hAnsi="Arial" w:cs="Arial"/>
          <w:noProof/>
          <w:sz w:val="22"/>
          <w:szCs w:val="22"/>
          <w:lang w:eastAsia="en-US"/>
        </w:rPr>
      </w:pPr>
    </w:p>
    <w:p w14:paraId="19EB9201" w14:textId="77777777" w:rsidR="0066103D" w:rsidRPr="0066103D" w:rsidRDefault="0066103D" w:rsidP="0066103D">
      <w:pPr>
        <w:keepNext/>
        <w:keepLines/>
        <w:spacing w:before="40" w:after="160"/>
        <w:jc w:val="both"/>
        <w:outlineLvl w:val="1"/>
        <w:rPr>
          <w:rFonts w:ascii="Arial" w:eastAsiaTheme="majorEastAsia" w:hAnsi="Arial" w:cs="Arial"/>
          <w:b/>
          <w:sz w:val="22"/>
          <w:szCs w:val="22"/>
          <w:lang w:val="pt-BR" w:eastAsia="en-US"/>
        </w:rPr>
      </w:pPr>
      <w:r w:rsidRPr="0066103D">
        <w:rPr>
          <w:rFonts w:ascii="Arial" w:eastAsiaTheme="majorEastAsia" w:hAnsi="Arial" w:cs="Arial"/>
          <w:b/>
          <w:sz w:val="22"/>
          <w:szCs w:val="22"/>
          <w:lang w:val="pt-BR" w:eastAsia="en-US"/>
        </w:rPr>
        <w:t>Análise longitudinal do tema</w:t>
      </w:r>
    </w:p>
    <w:p w14:paraId="7D4CEB07" w14:textId="77777777" w:rsidR="0066103D" w:rsidRPr="0066103D" w:rsidRDefault="0066103D" w:rsidP="00853F65">
      <w:pPr>
        <w:ind w:firstLine="720"/>
        <w:jc w:val="both"/>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Com o objetivo de analisar a evolução dos eixos temáticos da literatura relacionada aos fatores que afetam a recarga de água em zonas úmidas, as palavras-chave e sua evolução foram inicialmente analisadas cronologicamente, estabelecendo 7 períodos (2000-2002; 2003-2005; 2006-2008; 2009-2011; 2012-2014; 2015-2017 e 2018-2021). Para os blocos, foram estabelecidas amplitudes de 3 anos, enquanto o último período compreendia 4 anos.</w:t>
      </w:r>
    </w:p>
    <w:p w14:paraId="0AE1745E" w14:textId="77777777" w:rsidR="0066103D" w:rsidRPr="0066103D" w:rsidRDefault="0066103D" w:rsidP="00853F65">
      <w:pPr>
        <w:ind w:firstLine="720"/>
        <w:jc w:val="both"/>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 xml:space="preserve">De acordo com os resultados obtidos utilizando a metodologia de Price </w:t>
      </w:r>
      <w:r w:rsidRPr="0066103D">
        <w:rPr>
          <w:rFonts w:ascii="Arial" w:eastAsiaTheme="minorHAnsi" w:hAnsi="Arial" w:cs="Arial"/>
          <w:sz w:val="22"/>
          <w:szCs w:val="22"/>
          <w:lang w:eastAsia="en-US"/>
        </w:rPr>
        <w:fldChar w:fldCharType="begin" w:fldLock="1"/>
      </w:r>
      <w:r w:rsidRPr="0066103D">
        <w:rPr>
          <w:rFonts w:ascii="Arial" w:eastAsiaTheme="minorHAnsi" w:hAnsi="Arial" w:cs="Arial"/>
          <w:sz w:val="22"/>
          <w:szCs w:val="22"/>
          <w:lang w:val="pt-BR" w:eastAsia="en-US"/>
        </w:rPr>
        <w:instrText>ADDIN CSL_CITATION {"citationItems":[{"id":"ITEM-1","itemData":{"DOI":"10.1002/asi.4630270505","ISSN":"00028231","author":[{"dropping-particle":"","family":"Price","given":"Derek De Solla","non-dropping-particle":"","parse-names":false,"suffix":""}],"container-title":"Journal of the American Society for Information Science","id":"ITEM-1","issue":"5","issued":{"date-parts":[["1976","9"]]},"page":"292-306","title":"A general theory of bibliometric and other cumulative advantage processes","type":"article-journal","volume":"27"},"suppress-author":1,"uris":["http://www.mendeley.com/documents/?uuid=f6bce275-dc76-4e0a-aa19-6e880d643897"]}],"mendeley":{"formattedCitation":"[52]","plainTextFormattedCitation":"[52]","previouslyFormattedCitation":"[53]"},"properties":{"noteIndex":0},"schema":"https://github.com/citation-style-language/schema/raw/master/csl-citation.json"}</w:instrText>
      </w:r>
      <w:r w:rsidRPr="0066103D">
        <w:rPr>
          <w:rFonts w:ascii="Arial" w:eastAsiaTheme="minorHAnsi" w:hAnsi="Arial" w:cs="Arial"/>
          <w:sz w:val="22"/>
          <w:szCs w:val="22"/>
          <w:lang w:eastAsia="en-US"/>
        </w:rPr>
        <w:fldChar w:fldCharType="separate"/>
      </w:r>
      <w:r w:rsidRPr="0066103D">
        <w:rPr>
          <w:rFonts w:ascii="Arial" w:eastAsiaTheme="minorHAnsi" w:hAnsi="Arial" w:cs="Arial"/>
          <w:noProof/>
          <w:sz w:val="22"/>
          <w:szCs w:val="22"/>
          <w:lang w:val="pt-BR" w:eastAsia="en-US"/>
        </w:rPr>
        <w:t>[52]</w:t>
      </w:r>
      <w:r w:rsidRPr="0066103D">
        <w:rPr>
          <w:rFonts w:ascii="Arial" w:eastAsiaTheme="minorHAnsi" w:hAnsi="Arial" w:cs="Arial"/>
          <w:sz w:val="22"/>
          <w:szCs w:val="22"/>
          <w:lang w:eastAsia="en-US"/>
        </w:rPr>
        <w:fldChar w:fldCharType="end"/>
      </w:r>
      <w:r w:rsidRPr="0066103D">
        <w:rPr>
          <w:rFonts w:ascii="Arial" w:eastAsiaTheme="minorHAnsi" w:hAnsi="Arial" w:cs="Arial"/>
          <w:sz w:val="22"/>
          <w:szCs w:val="22"/>
          <w:lang w:val="pt-BR" w:eastAsia="en-US"/>
        </w:rPr>
        <w:t xml:space="preserve">, os primeiros quatro períodos mostram um aumento no número de palavras-chave; o período (2009-2011) com o maior número de palavras-chave (353); entretanto, a partir deste período houve uma diminuição no número de palavras. O índice de estabilidade permaneceu entre 0,33 e 0,63, mantendo uma variabilidade (0,33, 0,38, 0,62, 0,61, 0,63 e 0,6 respectivamente) entre os períodos, mostrando a consolidação do vocabulário na comunidade científica no momento da descrição das publicações. </w:t>
      </w:r>
    </w:p>
    <w:p w14:paraId="0639E157" w14:textId="77777777" w:rsidR="0066103D" w:rsidRPr="0066103D" w:rsidRDefault="0066103D" w:rsidP="0066103D">
      <w:pPr>
        <w:jc w:val="both"/>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Uma vez analisada a evolução dos eixos temáticos, ela está relacionada ao mapa de co-ocorrência (Fig. 1) mostrando que existem cinco (5) grupos de pesquisa ligados aos descritores-chave: “</w:t>
      </w:r>
      <w:proofErr w:type="spellStart"/>
      <w:r w:rsidRPr="0066103D">
        <w:rPr>
          <w:rFonts w:ascii="Arial" w:eastAsiaTheme="minorHAnsi" w:hAnsi="Arial" w:cs="Arial"/>
          <w:i/>
          <w:iCs/>
          <w:sz w:val="22"/>
          <w:szCs w:val="22"/>
          <w:lang w:val="pt-BR" w:eastAsia="en-US"/>
        </w:rPr>
        <w:t>Wetlands</w:t>
      </w:r>
      <w:proofErr w:type="spellEnd"/>
      <w:r w:rsidRPr="0066103D">
        <w:rPr>
          <w:rFonts w:ascii="Arial" w:eastAsiaTheme="minorHAnsi" w:hAnsi="Arial" w:cs="Arial"/>
          <w:i/>
          <w:iCs/>
          <w:sz w:val="22"/>
          <w:szCs w:val="22"/>
          <w:lang w:val="pt-BR" w:eastAsia="en-US"/>
        </w:rPr>
        <w:t>”, “</w:t>
      </w:r>
      <w:proofErr w:type="spellStart"/>
      <w:r w:rsidRPr="0066103D">
        <w:rPr>
          <w:rFonts w:ascii="Arial" w:eastAsiaTheme="minorHAnsi" w:hAnsi="Arial" w:cs="Arial"/>
          <w:i/>
          <w:iCs/>
          <w:sz w:val="22"/>
          <w:szCs w:val="22"/>
          <w:lang w:val="pt-BR" w:eastAsia="en-US"/>
        </w:rPr>
        <w:t>recharge</w:t>
      </w:r>
      <w:proofErr w:type="spellEnd"/>
      <w:r w:rsidRPr="0066103D">
        <w:rPr>
          <w:rFonts w:ascii="Arial" w:eastAsiaTheme="minorHAnsi" w:hAnsi="Arial" w:cs="Arial"/>
          <w:i/>
          <w:iCs/>
          <w:sz w:val="22"/>
          <w:szCs w:val="22"/>
          <w:lang w:val="pt-BR" w:eastAsia="en-US"/>
        </w:rPr>
        <w:t>”, “</w:t>
      </w:r>
      <w:proofErr w:type="spellStart"/>
      <w:r w:rsidRPr="0066103D">
        <w:rPr>
          <w:rFonts w:ascii="Arial" w:eastAsiaTheme="minorHAnsi" w:hAnsi="Arial" w:cs="Arial"/>
          <w:i/>
          <w:iCs/>
          <w:sz w:val="22"/>
          <w:szCs w:val="22"/>
          <w:lang w:val="pt-BR" w:eastAsia="en-US"/>
        </w:rPr>
        <w:t>water</w:t>
      </w:r>
      <w:proofErr w:type="spellEnd"/>
      <w:r w:rsidRPr="0066103D">
        <w:rPr>
          <w:rFonts w:ascii="Arial" w:eastAsiaTheme="minorHAnsi" w:hAnsi="Arial" w:cs="Arial"/>
          <w:i/>
          <w:iCs/>
          <w:sz w:val="22"/>
          <w:szCs w:val="22"/>
          <w:lang w:val="pt-BR" w:eastAsia="en-US"/>
        </w:rPr>
        <w:t xml:space="preserve"> </w:t>
      </w:r>
      <w:proofErr w:type="spellStart"/>
      <w:r w:rsidRPr="0066103D">
        <w:rPr>
          <w:rFonts w:ascii="Arial" w:eastAsiaTheme="minorHAnsi" w:hAnsi="Arial" w:cs="Arial"/>
          <w:i/>
          <w:iCs/>
          <w:sz w:val="22"/>
          <w:szCs w:val="22"/>
          <w:lang w:val="pt-BR" w:eastAsia="en-US"/>
        </w:rPr>
        <w:t>supply</w:t>
      </w:r>
      <w:proofErr w:type="spellEnd"/>
      <w:r w:rsidRPr="0066103D">
        <w:rPr>
          <w:rFonts w:ascii="Arial" w:eastAsiaTheme="minorHAnsi" w:hAnsi="Arial" w:cs="Arial"/>
          <w:i/>
          <w:iCs/>
          <w:sz w:val="22"/>
          <w:szCs w:val="22"/>
          <w:lang w:val="pt-BR" w:eastAsia="en-US"/>
        </w:rPr>
        <w:t>”</w:t>
      </w:r>
      <w:r w:rsidRPr="0066103D">
        <w:rPr>
          <w:rFonts w:ascii="Arial" w:eastAsiaTheme="minorHAnsi" w:hAnsi="Arial" w:cs="Arial"/>
          <w:sz w:val="22"/>
          <w:szCs w:val="22"/>
          <w:lang w:val="pt-BR" w:eastAsia="en-US"/>
        </w:rPr>
        <w:t xml:space="preserve">, </w:t>
      </w:r>
      <w:r w:rsidRPr="0066103D">
        <w:rPr>
          <w:rFonts w:ascii="Arial" w:eastAsiaTheme="minorHAnsi" w:hAnsi="Arial" w:cs="Arial"/>
          <w:i/>
          <w:iCs/>
          <w:sz w:val="22"/>
          <w:szCs w:val="22"/>
          <w:lang w:val="pt-BR" w:eastAsia="en-US"/>
        </w:rPr>
        <w:t>“</w:t>
      </w:r>
      <w:proofErr w:type="spellStart"/>
      <w:r w:rsidRPr="0066103D">
        <w:rPr>
          <w:rFonts w:ascii="Arial" w:eastAsiaTheme="minorHAnsi" w:hAnsi="Arial" w:cs="Arial"/>
          <w:i/>
          <w:iCs/>
          <w:sz w:val="22"/>
          <w:szCs w:val="22"/>
          <w:lang w:val="pt-BR" w:eastAsia="en-US"/>
        </w:rPr>
        <w:t>climate</w:t>
      </w:r>
      <w:proofErr w:type="spellEnd"/>
      <w:r w:rsidRPr="0066103D">
        <w:rPr>
          <w:rFonts w:ascii="Arial" w:eastAsiaTheme="minorHAnsi" w:hAnsi="Arial" w:cs="Arial"/>
          <w:i/>
          <w:iCs/>
          <w:sz w:val="22"/>
          <w:szCs w:val="22"/>
          <w:lang w:val="pt-BR" w:eastAsia="en-US"/>
        </w:rPr>
        <w:t xml:space="preserve"> </w:t>
      </w:r>
      <w:proofErr w:type="spellStart"/>
      <w:r w:rsidRPr="0066103D">
        <w:rPr>
          <w:rFonts w:ascii="Arial" w:eastAsiaTheme="minorHAnsi" w:hAnsi="Arial" w:cs="Arial"/>
          <w:i/>
          <w:iCs/>
          <w:sz w:val="22"/>
          <w:szCs w:val="22"/>
          <w:lang w:val="pt-BR" w:eastAsia="en-US"/>
        </w:rPr>
        <w:t>change</w:t>
      </w:r>
      <w:proofErr w:type="spellEnd"/>
      <w:r w:rsidRPr="0066103D">
        <w:rPr>
          <w:rFonts w:ascii="Arial" w:eastAsiaTheme="minorHAnsi" w:hAnsi="Arial" w:cs="Arial"/>
          <w:i/>
          <w:iCs/>
          <w:sz w:val="22"/>
          <w:szCs w:val="22"/>
          <w:lang w:val="pt-BR" w:eastAsia="en-US"/>
        </w:rPr>
        <w:t>”</w:t>
      </w:r>
      <w:r w:rsidRPr="0066103D">
        <w:rPr>
          <w:rFonts w:ascii="Arial" w:eastAsiaTheme="minorHAnsi" w:hAnsi="Arial" w:cs="Arial"/>
          <w:sz w:val="22"/>
          <w:szCs w:val="22"/>
          <w:lang w:val="pt-BR" w:eastAsia="en-US"/>
        </w:rPr>
        <w:t xml:space="preserve"> y </w:t>
      </w:r>
      <w:r w:rsidRPr="0066103D">
        <w:rPr>
          <w:rFonts w:ascii="Arial" w:eastAsiaTheme="minorHAnsi" w:hAnsi="Arial" w:cs="Arial"/>
          <w:i/>
          <w:iCs/>
          <w:sz w:val="22"/>
          <w:szCs w:val="22"/>
          <w:lang w:val="pt-BR" w:eastAsia="en-US"/>
        </w:rPr>
        <w:t>“</w:t>
      </w:r>
      <w:proofErr w:type="spellStart"/>
      <w:r w:rsidRPr="0066103D">
        <w:rPr>
          <w:rFonts w:ascii="Arial" w:eastAsiaTheme="minorHAnsi" w:hAnsi="Arial" w:cs="Arial"/>
          <w:i/>
          <w:iCs/>
          <w:sz w:val="22"/>
          <w:szCs w:val="22"/>
          <w:lang w:val="pt-BR" w:eastAsia="en-US"/>
        </w:rPr>
        <w:t>hydrology</w:t>
      </w:r>
      <w:proofErr w:type="spellEnd"/>
      <w:r w:rsidRPr="0066103D">
        <w:rPr>
          <w:rFonts w:ascii="Arial" w:eastAsiaTheme="minorHAnsi" w:hAnsi="Arial" w:cs="Arial"/>
          <w:i/>
          <w:iCs/>
          <w:sz w:val="22"/>
          <w:szCs w:val="22"/>
          <w:lang w:val="pt-BR" w:eastAsia="en-US"/>
        </w:rPr>
        <w:t>”</w:t>
      </w:r>
      <w:r w:rsidRPr="0066103D">
        <w:rPr>
          <w:rFonts w:ascii="Arial" w:eastAsiaTheme="minorHAnsi" w:hAnsi="Arial" w:cs="Arial"/>
          <w:sz w:val="22"/>
          <w:szCs w:val="22"/>
          <w:lang w:val="pt-BR" w:eastAsia="en-US"/>
        </w:rPr>
        <w:t>, sendo os tópicos com maior exploração. Além disso, os agrupamentos estão relacionados a fatores que afetam a recarga de água, tais como regimes de precipitação, escoamento, serviços ecossistêmicos, agricultura, gestão da água e uso da terra.</w:t>
      </w:r>
    </w:p>
    <w:p w14:paraId="75867A01" w14:textId="77777777" w:rsidR="0066103D" w:rsidRPr="0066103D" w:rsidRDefault="0066103D" w:rsidP="0066103D">
      <w:pPr>
        <w:jc w:val="both"/>
        <w:rPr>
          <w:rFonts w:ascii="Arial" w:eastAsiaTheme="minorHAnsi" w:hAnsi="Arial" w:cs="Arial"/>
          <w:sz w:val="22"/>
          <w:szCs w:val="22"/>
          <w:lang w:val="pt-BR" w:eastAsia="en-US"/>
        </w:rPr>
      </w:pPr>
    </w:p>
    <w:p w14:paraId="4303696E" w14:textId="77777777" w:rsidR="0066103D" w:rsidRPr="0066103D" w:rsidRDefault="0066103D" w:rsidP="00853F65">
      <w:pPr>
        <w:jc w:val="center"/>
        <w:rPr>
          <w:rFonts w:ascii="Arial" w:eastAsiaTheme="minorHAnsi" w:hAnsi="Arial" w:cs="Arial"/>
          <w:sz w:val="22"/>
          <w:szCs w:val="22"/>
          <w:lang w:eastAsia="en-US"/>
        </w:rPr>
      </w:pPr>
      <w:r w:rsidRPr="0066103D">
        <w:rPr>
          <w:rFonts w:ascii="Arial" w:eastAsiaTheme="minorHAnsi" w:hAnsi="Arial" w:cs="Arial"/>
          <w:noProof/>
          <w:sz w:val="22"/>
          <w:szCs w:val="22"/>
          <w:lang w:eastAsia="en-US"/>
        </w:rPr>
        <w:drawing>
          <wp:inline distT="0" distB="0" distL="0" distR="0" wp14:anchorId="13C06EA2" wp14:editId="6B6504FC">
            <wp:extent cx="2775908" cy="1845123"/>
            <wp:effectExtent l="19050" t="19050" r="24765" b="222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87751" cy="1852995"/>
                    </a:xfrm>
                    <a:prstGeom prst="rect">
                      <a:avLst/>
                    </a:prstGeom>
                    <a:noFill/>
                    <a:ln>
                      <a:solidFill>
                        <a:sysClr val="windowText" lastClr="000000"/>
                      </a:solidFill>
                    </a:ln>
                  </pic:spPr>
                </pic:pic>
              </a:graphicData>
            </a:graphic>
          </wp:inline>
        </w:drawing>
      </w:r>
    </w:p>
    <w:p w14:paraId="74F07E8B" w14:textId="77777777" w:rsidR="0066103D" w:rsidRPr="0066103D" w:rsidRDefault="0066103D" w:rsidP="00853F65">
      <w:pPr>
        <w:jc w:val="center"/>
        <w:rPr>
          <w:rFonts w:ascii="Arial" w:eastAsiaTheme="minorHAnsi" w:hAnsi="Arial" w:cs="Arial"/>
          <w:sz w:val="22"/>
          <w:szCs w:val="22"/>
          <w:lang w:eastAsia="en-US"/>
        </w:rPr>
      </w:pPr>
      <w:r w:rsidRPr="0066103D">
        <w:rPr>
          <w:rFonts w:ascii="Arial" w:eastAsiaTheme="minorHAnsi" w:hAnsi="Arial" w:cs="Arial"/>
          <w:b/>
          <w:bCs/>
          <w:sz w:val="22"/>
          <w:szCs w:val="22"/>
          <w:lang w:eastAsia="en-US"/>
        </w:rPr>
        <w:t>Figura 1.</w:t>
      </w:r>
      <w:r w:rsidRPr="0066103D">
        <w:rPr>
          <w:rFonts w:ascii="Arial" w:eastAsiaTheme="minorHAnsi" w:hAnsi="Arial" w:cs="Arial"/>
          <w:sz w:val="22"/>
          <w:szCs w:val="22"/>
          <w:lang w:eastAsia="en-US"/>
        </w:rPr>
        <w:t xml:space="preserve"> Mapa de co-ocurrencia (redes)</w:t>
      </w:r>
    </w:p>
    <w:p w14:paraId="493395AE" w14:textId="0C2F2B16" w:rsidR="0066103D" w:rsidRPr="0066103D" w:rsidRDefault="0066103D" w:rsidP="00853F65">
      <w:pPr>
        <w:jc w:val="center"/>
        <w:rPr>
          <w:rFonts w:ascii="Arial" w:eastAsiaTheme="minorHAnsi" w:hAnsi="Arial" w:cs="Arial"/>
          <w:sz w:val="22"/>
          <w:szCs w:val="22"/>
          <w:lang w:val="pt-BR" w:eastAsia="en-US"/>
        </w:rPr>
      </w:pPr>
      <w:r w:rsidRPr="0066103D">
        <w:rPr>
          <w:rFonts w:ascii="Arial" w:eastAsiaTheme="minorHAnsi" w:hAnsi="Arial" w:cs="Arial"/>
          <w:b/>
          <w:bCs/>
          <w:sz w:val="22"/>
          <w:szCs w:val="22"/>
          <w:lang w:val="pt-BR" w:eastAsia="en-US"/>
        </w:rPr>
        <w:t>Fuente:</w:t>
      </w:r>
      <w:r w:rsidRPr="0066103D">
        <w:rPr>
          <w:rFonts w:ascii="Arial" w:eastAsiaTheme="minorHAnsi" w:hAnsi="Arial" w:cs="Arial"/>
          <w:sz w:val="22"/>
          <w:szCs w:val="22"/>
          <w:lang w:val="pt-BR" w:eastAsia="en-US"/>
        </w:rPr>
        <w:t xml:space="preserve"> </w:t>
      </w:r>
      <w:r w:rsidR="00853F65" w:rsidRPr="0066103D">
        <w:rPr>
          <w:rFonts w:ascii="Arial" w:eastAsiaTheme="minorHAnsi" w:hAnsi="Arial" w:cs="Arial"/>
          <w:sz w:val="22"/>
          <w:szCs w:val="22"/>
          <w:lang w:val="pt-BR" w:eastAsia="en-US"/>
        </w:rPr>
        <w:t xml:space="preserve">elaboração própria </w:t>
      </w:r>
      <w:r w:rsidR="00853F65" w:rsidRPr="0066103D">
        <w:rPr>
          <w:rFonts w:ascii="Arial" w:eastAsiaTheme="minorHAnsi" w:hAnsi="Arial" w:cs="Arial"/>
          <w:noProof/>
          <w:sz w:val="22"/>
          <w:szCs w:val="22"/>
          <w:lang w:val="pt-BR" w:eastAsia="en-US"/>
        </w:rPr>
        <w:t xml:space="preserve">baseada em </w:t>
      </w:r>
      <w:r w:rsidRPr="0066103D">
        <w:rPr>
          <w:rFonts w:ascii="Arial" w:eastAsiaTheme="minorHAnsi" w:hAnsi="Arial" w:cs="Arial"/>
          <w:sz w:val="22"/>
          <w:szCs w:val="22"/>
          <w:lang w:val="pt-BR" w:eastAsia="en-US"/>
        </w:rPr>
        <w:t>VOSviewer</w:t>
      </w:r>
    </w:p>
    <w:p w14:paraId="5B01FF5D" w14:textId="77777777" w:rsidR="0066103D" w:rsidRPr="0066103D" w:rsidRDefault="0066103D" w:rsidP="0066103D">
      <w:pPr>
        <w:jc w:val="both"/>
        <w:rPr>
          <w:rFonts w:ascii="Arial" w:eastAsiaTheme="minorHAnsi" w:hAnsi="Arial" w:cs="Arial"/>
          <w:sz w:val="22"/>
          <w:szCs w:val="22"/>
          <w:lang w:val="pt-BR" w:eastAsia="en-US"/>
        </w:rPr>
      </w:pPr>
    </w:p>
    <w:p w14:paraId="76AE73BD" w14:textId="77777777" w:rsidR="0066103D" w:rsidRPr="0066103D" w:rsidRDefault="0066103D" w:rsidP="0066103D">
      <w:pPr>
        <w:keepNext/>
        <w:keepLines/>
        <w:spacing w:before="40" w:after="160"/>
        <w:jc w:val="both"/>
        <w:outlineLvl w:val="1"/>
        <w:rPr>
          <w:rFonts w:ascii="Arial" w:eastAsiaTheme="majorEastAsia" w:hAnsi="Arial" w:cs="Arial"/>
          <w:b/>
          <w:sz w:val="22"/>
          <w:szCs w:val="22"/>
          <w:lang w:val="pt-BR" w:eastAsia="en-US"/>
        </w:rPr>
      </w:pPr>
      <w:r w:rsidRPr="0066103D">
        <w:rPr>
          <w:rFonts w:ascii="Arial" w:eastAsiaTheme="majorEastAsia" w:hAnsi="Arial" w:cs="Arial"/>
          <w:b/>
          <w:sz w:val="22"/>
          <w:szCs w:val="22"/>
          <w:lang w:val="pt-BR" w:eastAsia="en-US"/>
        </w:rPr>
        <w:t>Análise do tema por meio de diagramas estratégicos</w:t>
      </w:r>
    </w:p>
    <w:p w14:paraId="1D9B1B83" w14:textId="77777777" w:rsidR="0066103D" w:rsidRPr="0066103D" w:rsidRDefault="0066103D" w:rsidP="00853F65">
      <w:pPr>
        <w:spacing w:after="160"/>
        <w:ind w:firstLine="720"/>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Para o primeiro período analisado (2000-2002), os tópicos de pesquisa foram básicos e transversais, focalizando as zonas úmidas enquanto aprofundava a importância da recarga de água (Fig. 2a); para o segundo período (2003-2005), as zonas úmidas foram altamente desenvolvidas no campo ligadas a questões relacionadas com a influência e conectividade das bacias hidrográficas na recarga de água, como mostrado na Figura 2b.</w:t>
      </w:r>
    </w:p>
    <w:p w14:paraId="627B422F" w14:textId="3AFF8E02" w:rsidR="0066103D" w:rsidRPr="0066103D" w:rsidRDefault="009C11B4" w:rsidP="00853F65">
      <w:pPr>
        <w:jc w:val="center"/>
        <w:rPr>
          <w:rFonts w:ascii="Arial" w:eastAsiaTheme="minorHAnsi" w:hAnsi="Arial" w:cs="Arial"/>
          <w:noProof/>
          <w:sz w:val="22"/>
          <w:szCs w:val="22"/>
          <w:lang w:val="pt-BR" w:eastAsia="en-US"/>
        </w:rPr>
      </w:pPr>
      <w:r w:rsidRPr="0066103D">
        <w:rPr>
          <w:rFonts w:ascii="Arial" w:eastAsiaTheme="minorHAnsi" w:hAnsi="Arial" w:cs="Arial"/>
          <w:noProof/>
          <w:sz w:val="22"/>
          <w:szCs w:val="22"/>
          <w:lang w:eastAsia="en-US"/>
        </w:rPr>
        <mc:AlternateContent>
          <mc:Choice Requires="wps">
            <w:drawing>
              <wp:anchor distT="0" distB="0" distL="114300" distR="114300" simplePos="0" relativeHeight="251660288" behindDoc="0" locked="0" layoutInCell="1" allowOverlap="1" wp14:anchorId="1BB3E3E3" wp14:editId="6714130D">
                <wp:simplePos x="0" y="0"/>
                <wp:positionH relativeFrom="column">
                  <wp:posOffset>260266</wp:posOffset>
                </wp:positionH>
                <wp:positionV relativeFrom="paragraph">
                  <wp:posOffset>53975</wp:posOffset>
                </wp:positionV>
                <wp:extent cx="195580" cy="285750"/>
                <wp:effectExtent l="0" t="0" r="0" b="0"/>
                <wp:wrapNone/>
                <wp:docPr id="14" name="Cuadro de texto 14"/>
                <wp:cNvGraphicFramePr/>
                <a:graphic xmlns:a="http://schemas.openxmlformats.org/drawingml/2006/main">
                  <a:graphicData uri="http://schemas.microsoft.com/office/word/2010/wordprocessingShape">
                    <wps:wsp>
                      <wps:cNvSpPr txBox="1"/>
                      <wps:spPr>
                        <a:xfrm>
                          <a:off x="0" y="0"/>
                          <a:ext cx="195580" cy="285750"/>
                        </a:xfrm>
                        <a:prstGeom prst="rect">
                          <a:avLst/>
                        </a:prstGeom>
                        <a:noFill/>
                        <a:ln w="6350">
                          <a:noFill/>
                        </a:ln>
                      </wps:spPr>
                      <wps:txbx>
                        <w:txbxContent>
                          <w:p w14:paraId="6448589D" w14:textId="77777777" w:rsidR="0066103D" w:rsidRPr="006913C0" w:rsidRDefault="0066103D" w:rsidP="0066103D">
                            <w:pPr>
                              <w:rPr>
                                <w:sz w:val="18"/>
                                <w:szCs w:val="18"/>
                              </w:rPr>
                            </w:pPr>
                            <w:r>
                              <w:rPr>
                                <w:rFonts w:ascii="Times New Roman" w:hAnsi="Times New Roman" w:cs="Times New Roman"/>
                                <w:noProof/>
                                <w:sz w:val="20"/>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B3E3E3" id="_x0000_t202" coordsize="21600,21600" o:spt="202" path="m,l,21600r21600,l21600,xe">
                <v:stroke joinstyle="miter"/>
                <v:path gradientshapeok="t" o:connecttype="rect"/>
              </v:shapetype>
              <v:shape id="Cuadro de texto 14" o:spid="_x0000_s1026" type="#_x0000_t202" style="position:absolute;left:0;text-align:left;margin-left:20.5pt;margin-top:4.25pt;width:15.4pt;height: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" filled="f" stroked="f" strokeweight=".5pt">
                <v:textbox>
                  <w:txbxContent>
                    <w:p w14:paraId="6448589D" w14:textId="77777777" w:rsidR="0066103D" w:rsidRPr="006913C0" w:rsidRDefault="0066103D" w:rsidP="0066103D">
                      <w:pPr>
                        <w:rPr>
                          <w:sz w:val="18"/>
                          <w:szCs w:val="18"/>
                        </w:rPr>
                      </w:pPr>
                      <w:r>
                        <w:rPr>
                          <w:rFonts w:ascii="Times New Roman" w:hAnsi="Times New Roman" w:cs="Times New Roman"/>
                          <w:noProof/>
                          <w:sz w:val="20"/>
                          <w:szCs w:val="20"/>
                        </w:rPr>
                        <w:t>a</w:t>
                      </w:r>
                    </w:p>
                  </w:txbxContent>
                </v:textbox>
              </v:shape>
            </w:pict>
          </mc:Fallback>
        </mc:AlternateContent>
      </w:r>
      <w:r w:rsidRPr="0066103D">
        <w:rPr>
          <w:rFonts w:ascii="Arial" w:eastAsiaTheme="minorHAnsi" w:hAnsi="Arial" w:cs="Arial"/>
          <w:noProof/>
          <w:sz w:val="22"/>
          <w:szCs w:val="22"/>
          <w:lang w:eastAsia="en-US"/>
        </w:rPr>
        <mc:AlternateContent>
          <mc:Choice Requires="wps">
            <w:drawing>
              <wp:anchor distT="0" distB="0" distL="114300" distR="114300" simplePos="0" relativeHeight="251659264" behindDoc="0" locked="0" layoutInCell="1" allowOverlap="1" wp14:anchorId="56DCBD13" wp14:editId="7B0514BF">
                <wp:simplePos x="0" y="0"/>
                <wp:positionH relativeFrom="column">
                  <wp:posOffset>3064881</wp:posOffset>
                </wp:positionH>
                <wp:positionV relativeFrom="paragraph">
                  <wp:posOffset>19685</wp:posOffset>
                </wp:positionV>
                <wp:extent cx="195580" cy="285750"/>
                <wp:effectExtent l="0" t="0" r="0" b="0"/>
                <wp:wrapNone/>
                <wp:docPr id="26" name="Cuadro de texto 26"/>
                <wp:cNvGraphicFramePr/>
                <a:graphic xmlns:a="http://schemas.openxmlformats.org/drawingml/2006/main">
                  <a:graphicData uri="http://schemas.microsoft.com/office/word/2010/wordprocessingShape">
                    <wps:wsp>
                      <wps:cNvSpPr txBox="1"/>
                      <wps:spPr>
                        <a:xfrm>
                          <a:off x="0" y="0"/>
                          <a:ext cx="195580" cy="285750"/>
                        </a:xfrm>
                        <a:prstGeom prst="rect">
                          <a:avLst/>
                        </a:prstGeom>
                        <a:noFill/>
                        <a:ln w="6350">
                          <a:noFill/>
                        </a:ln>
                      </wps:spPr>
                      <wps:txbx>
                        <w:txbxContent>
                          <w:p w14:paraId="2F6F6CC0" w14:textId="77777777" w:rsidR="0066103D" w:rsidRPr="006913C0" w:rsidRDefault="0066103D" w:rsidP="0066103D">
                            <w:pPr>
                              <w:rPr>
                                <w:sz w:val="18"/>
                                <w:szCs w:val="18"/>
                              </w:rPr>
                            </w:pPr>
                            <w:r>
                              <w:rPr>
                                <w:rFonts w:ascii="Times New Roman" w:hAnsi="Times New Roman" w:cs="Times New Roman"/>
                                <w:noProof/>
                                <w:sz w:val="20"/>
                                <w:szCs w:val="20"/>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DCBD13" id="Cuadro de texto 26" o:spid="_x0000_s1027" type="#_x0000_t202" style="position:absolute;left:0;text-align:left;margin-left:241.35pt;margin-top:1.55pt;width:15.4pt;height: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" filled="f" stroked="f" strokeweight=".5pt">
                <v:textbox>
                  <w:txbxContent>
                    <w:p w14:paraId="2F6F6CC0" w14:textId="77777777" w:rsidR="0066103D" w:rsidRPr="006913C0" w:rsidRDefault="0066103D" w:rsidP="0066103D">
                      <w:pPr>
                        <w:rPr>
                          <w:sz w:val="18"/>
                          <w:szCs w:val="18"/>
                        </w:rPr>
                      </w:pPr>
                      <w:r>
                        <w:rPr>
                          <w:rFonts w:ascii="Times New Roman" w:hAnsi="Times New Roman" w:cs="Times New Roman"/>
                          <w:noProof/>
                          <w:sz w:val="20"/>
                          <w:szCs w:val="20"/>
                        </w:rPr>
                        <w:t>b</w:t>
                      </w:r>
                    </w:p>
                  </w:txbxContent>
                </v:textbox>
              </v:shape>
            </w:pict>
          </mc:Fallback>
        </mc:AlternateContent>
      </w:r>
      <w:r w:rsidR="0066103D" w:rsidRPr="0066103D">
        <w:rPr>
          <w:rFonts w:ascii="Arial" w:eastAsiaTheme="minorHAnsi" w:hAnsi="Arial" w:cs="Arial"/>
          <w:noProof/>
          <w:sz w:val="22"/>
          <w:szCs w:val="22"/>
          <w:lang w:eastAsia="en-US"/>
        </w:rPr>
        <w:drawing>
          <wp:inline distT="0" distB="0" distL="0" distR="0" wp14:anchorId="73672B14" wp14:editId="57EC98C6">
            <wp:extent cx="2692800" cy="2692800"/>
            <wp:effectExtent l="19050" t="19050" r="12700" b="1270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92800" cy="2692800"/>
                    </a:xfrm>
                    <a:prstGeom prst="rect">
                      <a:avLst/>
                    </a:prstGeom>
                    <a:ln>
                      <a:solidFill>
                        <a:sysClr val="windowText" lastClr="000000"/>
                      </a:solidFill>
                    </a:ln>
                  </pic:spPr>
                </pic:pic>
              </a:graphicData>
            </a:graphic>
          </wp:inline>
        </w:drawing>
      </w:r>
      <w:r>
        <w:rPr>
          <w:rFonts w:ascii="Arial" w:eastAsiaTheme="minorHAnsi" w:hAnsi="Arial" w:cs="Arial"/>
          <w:noProof/>
          <w:sz w:val="22"/>
          <w:szCs w:val="22"/>
          <w:lang w:eastAsia="en-US"/>
        </w:rPr>
        <w:t xml:space="preserve"> </w:t>
      </w:r>
      <w:r w:rsidR="0066103D" w:rsidRPr="0066103D">
        <w:rPr>
          <w:rFonts w:ascii="Arial" w:eastAsiaTheme="minorHAnsi" w:hAnsi="Arial" w:cs="Arial"/>
          <w:noProof/>
          <w:sz w:val="22"/>
          <w:szCs w:val="22"/>
          <w:lang w:eastAsia="en-US"/>
        </w:rPr>
        <w:drawing>
          <wp:inline distT="0" distB="0" distL="0" distR="0" wp14:anchorId="2AADBD2C" wp14:editId="663F0145">
            <wp:extent cx="2692800" cy="2692800"/>
            <wp:effectExtent l="19050" t="19050" r="12700" b="1270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92800" cy="2692800"/>
                    </a:xfrm>
                    <a:prstGeom prst="rect">
                      <a:avLst/>
                    </a:prstGeom>
                    <a:ln>
                      <a:solidFill>
                        <a:sysClr val="windowText" lastClr="000000"/>
                      </a:solidFill>
                    </a:ln>
                  </pic:spPr>
                </pic:pic>
              </a:graphicData>
            </a:graphic>
          </wp:inline>
        </w:drawing>
      </w:r>
    </w:p>
    <w:p w14:paraId="2DA6FDDC" w14:textId="77777777" w:rsidR="0066103D" w:rsidRPr="0066103D" w:rsidRDefault="0066103D" w:rsidP="00853F65">
      <w:pPr>
        <w:jc w:val="center"/>
        <w:rPr>
          <w:rFonts w:ascii="Arial" w:eastAsiaTheme="minorHAnsi" w:hAnsi="Arial" w:cs="Arial"/>
          <w:noProof/>
          <w:sz w:val="22"/>
          <w:szCs w:val="22"/>
          <w:lang w:val="pt-BR" w:eastAsia="en-US"/>
        </w:rPr>
      </w:pPr>
      <w:r w:rsidRPr="0066103D">
        <w:rPr>
          <w:rFonts w:ascii="Arial" w:eastAsiaTheme="minorHAnsi" w:hAnsi="Arial" w:cs="Arial"/>
          <w:b/>
          <w:bCs/>
          <w:noProof/>
          <w:sz w:val="22"/>
          <w:szCs w:val="22"/>
          <w:lang w:val="pt-BR" w:eastAsia="en-US"/>
        </w:rPr>
        <w:t>Figura 2.</w:t>
      </w:r>
      <w:r w:rsidRPr="0066103D">
        <w:rPr>
          <w:rFonts w:ascii="Arial" w:eastAsiaTheme="minorHAnsi" w:hAnsi="Arial" w:cs="Arial"/>
          <w:noProof/>
          <w:sz w:val="22"/>
          <w:szCs w:val="22"/>
          <w:lang w:val="pt-BR" w:eastAsia="en-US"/>
        </w:rPr>
        <w:t xml:space="preserve"> Diagramas estratégicos</w:t>
      </w:r>
    </w:p>
    <w:p w14:paraId="7A65B344" w14:textId="4756E15D" w:rsidR="0066103D" w:rsidRPr="0066103D" w:rsidRDefault="0066103D" w:rsidP="00853F65">
      <w:pPr>
        <w:jc w:val="center"/>
        <w:rPr>
          <w:rFonts w:ascii="Arial" w:eastAsiaTheme="minorHAnsi" w:hAnsi="Arial" w:cs="Arial"/>
          <w:noProof/>
          <w:sz w:val="22"/>
          <w:szCs w:val="22"/>
          <w:lang w:val="pt-BR" w:eastAsia="en-US"/>
        </w:rPr>
      </w:pPr>
      <w:r w:rsidRPr="0066103D">
        <w:rPr>
          <w:rFonts w:ascii="Arial" w:eastAsiaTheme="minorHAnsi" w:hAnsi="Arial" w:cs="Arial"/>
          <w:b/>
          <w:bCs/>
          <w:noProof/>
          <w:sz w:val="22"/>
          <w:szCs w:val="22"/>
          <w:lang w:val="pt-BR" w:eastAsia="en-US"/>
        </w:rPr>
        <w:t>Fuente:</w:t>
      </w:r>
      <w:r w:rsidRPr="0066103D">
        <w:rPr>
          <w:rFonts w:ascii="Arial" w:eastAsiaTheme="minorHAnsi" w:hAnsi="Arial" w:cs="Arial"/>
          <w:noProof/>
          <w:sz w:val="22"/>
          <w:szCs w:val="22"/>
          <w:lang w:val="pt-BR" w:eastAsia="en-US"/>
        </w:rPr>
        <w:t xml:space="preserve"> </w:t>
      </w:r>
      <w:r w:rsidR="00853F65" w:rsidRPr="0066103D">
        <w:rPr>
          <w:rFonts w:ascii="Arial" w:eastAsiaTheme="minorHAnsi" w:hAnsi="Arial" w:cs="Arial"/>
          <w:sz w:val="22"/>
          <w:szCs w:val="22"/>
          <w:lang w:val="pt-BR" w:eastAsia="en-US"/>
        </w:rPr>
        <w:t xml:space="preserve">elaboração própria </w:t>
      </w:r>
      <w:r w:rsidR="00853F65" w:rsidRPr="0066103D">
        <w:rPr>
          <w:rFonts w:ascii="Arial" w:eastAsiaTheme="minorHAnsi" w:hAnsi="Arial" w:cs="Arial"/>
          <w:noProof/>
          <w:sz w:val="22"/>
          <w:szCs w:val="22"/>
          <w:lang w:val="pt-BR" w:eastAsia="en-US"/>
        </w:rPr>
        <w:t xml:space="preserve">baseada em </w:t>
      </w:r>
      <w:r w:rsidRPr="0066103D">
        <w:rPr>
          <w:rFonts w:ascii="Arial" w:eastAsiaTheme="minorHAnsi" w:hAnsi="Arial" w:cs="Arial"/>
          <w:noProof/>
          <w:sz w:val="22"/>
          <w:szCs w:val="22"/>
          <w:lang w:val="pt-BR" w:eastAsia="en-US"/>
        </w:rPr>
        <w:t>SciMAT</w:t>
      </w:r>
    </w:p>
    <w:p w14:paraId="2A9B2972" w14:textId="77777777" w:rsidR="0066103D" w:rsidRPr="0066103D" w:rsidRDefault="0066103D" w:rsidP="0066103D">
      <w:pPr>
        <w:spacing w:after="160"/>
        <w:jc w:val="both"/>
        <w:rPr>
          <w:rFonts w:ascii="Arial" w:eastAsiaTheme="minorHAnsi" w:hAnsi="Arial" w:cs="Arial"/>
          <w:noProof/>
          <w:sz w:val="22"/>
          <w:szCs w:val="22"/>
          <w:lang w:val="pt-BR" w:eastAsia="en-US"/>
        </w:rPr>
      </w:pPr>
    </w:p>
    <w:p w14:paraId="1D91CA11" w14:textId="77777777" w:rsidR="0066103D" w:rsidRPr="0066103D" w:rsidRDefault="0066103D" w:rsidP="00853F65">
      <w:pPr>
        <w:ind w:firstLine="720"/>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 xml:space="preserve">Para o terceiro período (2006-2008), as zonas úmidas e a recarga de água foram os principais tópicos de pesquisa; isto forneceu a descrição dos serviços ecossistêmicos que eles fornecem enquadrados no desenvolvimento de técnicas de modelagem hidrológica para a prevenção e controle de inundações através destes ecossistemas (Fig. 3a). </w:t>
      </w:r>
    </w:p>
    <w:p w14:paraId="7D01A4DF" w14:textId="77777777" w:rsidR="0066103D" w:rsidRPr="0066103D" w:rsidRDefault="0066103D" w:rsidP="00853F65">
      <w:pPr>
        <w:ind w:firstLine="720"/>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Durante o quarto período (2009-2011), os temas mais importantes foram a relação entre o ciclo hidrológico e os processos do ecossistema aquático e terrestre, sendo os temas condutores para a construção do campo científico como mostrado na Figura 3b. Por outro lado, houve temas emergentes, como os sistemas de aquíferos ligados à recarga das águas subterrâneas dos rios e o estudo dos fatores que afetam a recarga, incluindo a agricultura, a vegetação e as mudanças no regime de precipitação.</w:t>
      </w:r>
    </w:p>
    <w:p w14:paraId="431EEFC7" w14:textId="77777777" w:rsidR="0066103D" w:rsidRPr="0066103D" w:rsidRDefault="0066103D" w:rsidP="0066103D">
      <w:pPr>
        <w:jc w:val="both"/>
        <w:rPr>
          <w:rFonts w:ascii="Arial" w:eastAsiaTheme="minorHAnsi" w:hAnsi="Arial" w:cs="Arial"/>
          <w:noProof/>
          <w:sz w:val="22"/>
          <w:szCs w:val="22"/>
          <w:lang w:val="pt-BR" w:eastAsia="en-US"/>
        </w:rPr>
      </w:pPr>
    </w:p>
    <w:p w14:paraId="14E18D5F" w14:textId="50A216E7" w:rsidR="0066103D" w:rsidRPr="0066103D" w:rsidRDefault="009C11B4" w:rsidP="00853F65">
      <w:pPr>
        <w:jc w:val="center"/>
        <w:rPr>
          <w:rFonts w:ascii="Arial" w:eastAsiaTheme="minorHAnsi" w:hAnsi="Arial" w:cs="Arial"/>
          <w:noProof/>
          <w:sz w:val="22"/>
          <w:szCs w:val="22"/>
          <w:lang w:val="pt-BR" w:eastAsia="en-US"/>
        </w:rPr>
      </w:pPr>
      <w:r w:rsidRPr="0066103D">
        <w:rPr>
          <w:rFonts w:ascii="Arial" w:eastAsiaTheme="minorHAnsi" w:hAnsi="Arial" w:cs="Arial"/>
          <w:noProof/>
          <w:sz w:val="22"/>
          <w:szCs w:val="22"/>
          <w:lang w:eastAsia="en-US"/>
        </w:rPr>
        <w:lastRenderedPageBreak/>
        <mc:AlternateContent>
          <mc:Choice Requires="wps">
            <w:drawing>
              <wp:anchor distT="0" distB="0" distL="114300" distR="114300" simplePos="0" relativeHeight="251662336" behindDoc="0" locked="0" layoutInCell="1" allowOverlap="1" wp14:anchorId="1A20AE6D" wp14:editId="1B9EBF19">
                <wp:simplePos x="0" y="0"/>
                <wp:positionH relativeFrom="column">
                  <wp:posOffset>323215</wp:posOffset>
                </wp:positionH>
                <wp:positionV relativeFrom="paragraph">
                  <wp:posOffset>66675</wp:posOffset>
                </wp:positionV>
                <wp:extent cx="195580" cy="220345"/>
                <wp:effectExtent l="0" t="0" r="0" b="0"/>
                <wp:wrapNone/>
                <wp:docPr id="13" name="Cuadro de texto 13"/>
                <wp:cNvGraphicFramePr/>
                <a:graphic xmlns:a="http://schemas.openxmlformats.org/drawingml/2006/main">
                  <a:graphicData uri="http://schemas.microsoft.com/office/word/2010/wordprocessingShape">
                    <wps:wsp>
                      <wps:cNvSpPr txBox="1"/>
                      <wps:spPr>
                        <a:xfrm>
                          <a:off x="0" y="0"/>
                          <a:ext cx="195580" cy="220345"/>
                        </a:xfrm>
                        <a:prstGeom prst="rect">
                          <a:avLst/>
                        </a:prstGeom>
                        <a:noFill/>
                        <a:ln w="6350">
                          <a:noFill/>
                        </a:ln>
                      </wps:spPr>
                      <wps:txbx>
                        <w:txbxContent>
                          <w:p w14:paraId="39622091" w14:textId="77777777" w:rsidR="0066103D" w:rsidRPr="006913C0" w:rsidRDefault="0066103D" w:rsidP="0066103D">
                            <w:pPr>
                              <w:rPr>
                                <w:sz w:val="18"/>
                                <w:szCs w:val="18"/>
                              </w:rPr>
                            </w:pPr>
                            <w:r>
                              <w:rPr>
                                <w:rFonts w:ascii="Times New Roman" w:hAnsi="Times New Roman" w:cs="Times New Roman"/>
                                <w:noProof/>
                                <w:sz w:val="20"/>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20AE6D" id="Cuadro de texto 13" o:spid="_x0000_s1028" type="#_x0000_t202" style="position:absolute;left:0;text-align:left;margin-left:25.45pt;margin-top:5.25pt;width:15.4pt;height:17.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" filled="f" stroked="f" strokeweight=".5pt">
                <v:textbox>
                  <w:txbxContent>
                    <w:p w14:paraId="39622091" w14:textId="77777777" w:rsidR="0066103D" w:rsidRPr="006913C0" w:rsidRDefault="0066103D" w:rsidP="0066103D">
                      <w:pPr>
                        <w:rPr>
                          <w:sz w:val="18"/>
                          <w:szCs w:val="18"/>
                        </w:rPr>
                      </w:pPr>
                      <w:r>
                        <w:rPr>
                          <w:rFonts w:ascii="Times New Roman" w:hAnsi="Times New Roman" w:cs="Times New Roman"/>
                          <w:noProof/>
                          <w:sz w:val="20"/>
                          <w:szCs w:val="20"/>
                        </w:rPr>
                        <w:t>a</w:t>
                      </w:r>
                    </w:p>
                  </w:txbxContent>
                </v:textbox>
              </v:shape>
            </w:pict>
          </mc:Fallback>
        </mc:AlternateContent>
      </w:r>
      <w:r w:rsidRPr="0066103D">
        <w:rPr>
          <w:rFonts w:ascii="Arial" w:eastAsiaTheme="minorHAnsi" w:hAnsi="Arial" w:cs="Arial"/>
          <w:noProof/>
          <w:sz w:val="22"/>
          <w:szCs w:val="22"/>
          <w:lang w:eastAsia="en-US"/>
        </w:rPr>
        <mc:AlternateContent>
          <mc:Choice Requires="wps">
            <w:drawing>
              <wp:anchor distT="0" distB="0" distL="114300" distR="114300" simplePos="0" relativeHeight="251661312" behindDoc="0" locked="0" layoutInCell="1" allowOverlap="1" wp14:anchorId="3D9FC494" wp14:editId="728C0C23">
                <wp:simplePos x="0" y="0"/>
                <wp:positionH relativeFrom="column">
                  <wp:posOffset>3053871</wp:posOffset>
                </wp:positionH>
                <wp:positionV relativeFrom="paragraph">
                  <wp:posOffset>66675</wp:posOffset>
                </wp:positionV>
                <wp:extent cx="195580" cy="220345"/>
                <wp:effectExtent l="0" t="0" r="0" b="0"/>
                <wp:wrapNone/>
                <wp:docPr id="1" name="Cuadro de texto 1"/>
                <wp:cNvGraphicFramePr/>
                <a:graphic xmlns:a="http://schemas.openxmlformats.org/drawingml/2006/main">
                  <a:graphicData uri="http://schemas.microsoft.com/office/word/2010/wordprocessingShape">
                    <wps:wsp>
                      <wps:cNvSpPr txBox="1"/>
                      <wps:spPr>
                        <a:xfrm>
                          <a:off x="0" y="0"/>
                          <a:ext cx="195580" cy="220345"/>
                        </a:xfrm>
                        <a:prstGeom prst="rect">
                          <a:avLst/>
                        </a:prstGeom>
                        <a:noFill/>
                        <a:ln w="6350">
                          <a:noFill/>
                        </a:ln>
                      </wps:spPr>
                      <wps:txbx>
                        <w:txbxContent>
                          <w:p w14:paraId="77004CE2" w14:textId="77777777" w:rsidR="0066103D" w:rsidRPr="006913C0" w:rsidRDefault="0066103D" w:rsidP="0066103D">
                            <w:pPr>
                              <w:rPr>
                                <w:sz w:val="18"/>
                                <w:szCs w:val="18"/>
                              </w:rPr>
                            </w:pPr>
                            <w:r>
                              <w:rPr>
                                <w:rFonts w:ascii="Times New Roman" w:hAnsi="Times New Roman" w:cs="Times New Roman"/>
                                <w:noProof/>
                                <w:sz w:val="20"/>
                                <w:szCs w:val="20"/>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9FC494" id="Cuadro de texto 1" o:spid="_x0000_s1029" type="#_x0000_t202" style="position:absolute;left:0;text-align:left;margin-left:240.45pt;margin-top:5.25pt;width:15.4pt;height:17.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" filled="f" stroked="f" strokeweight=".5pt">
                <v:textbox>
                  <w:txbxContent>
                    <w:p w14:paraId="77004CE2" w14:textId="77777777" w:rsidR="0066103D" w:rsidRPr="006913C0" w:rsidRDefault="0066103D" w:rsidP="0066103D">
                      <w:pPr>
                        <w:rPr>
                          <w:sz w:val="18"/>
                          <w:szCs w:val="18"/>
                        </w:rPr>
                      </w:pPr>
                      <w:r>
                        <w:rPr>
                          <w:rFonts w:ascii="Times New Roman" w:hAnsi="Times New Roman" w:cs="Times New Roman"/>
                          <w:noProof/>
                          <w:sz w:val="20"/>
                          <w:szCs w:val="20"/>
                        </w:rPr>
                        <w:t>b</w:t>
                      </w:r>
                    </w:p>
                  </w:txbxContent>
                </v:textbox>
              </v:shape>
            </w:pict>
          </mc:Fallback>
        </mc:AlternateContent>
      </w:r>
      <w:r w:rsidR="0066103D" w:rsidRPr="0066103D">
        <w:rPr>
          <w:rFonts w:ascii="Arial" w:eastAsiaTheme="minorHAnsi" w:hAnsi="Arial" w:cs="Arial"/>
          <w:noProof/>
          <w:sz w:val="22"/>
          <w:szCs w:val="22"/>
          <w:lang w:eastAsia="en-US"/>
        </w:rPr>
        <w:drawing>
          <wp:inline distT="0" distB="0" distL="0" distR="0" wp14:anchorId="3BB07F1F" wp14:editId="7D098C12">
            <wp:extent cx="2692800" cy="2692800"/>
            <wp:effectExtent l="19050" t="19050" r="12700" b="1270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92800" cy="2692800"/>
                    </a:xfrm>
                    <a:prstGeom prst="rect">
                      <a:avLst/>
                    </a:prstGeom>
                    <a:ln>
                      <a:solidFill>
                        <a:sysClr val="windowText" lastClr="000000"/>
                      </a:solidFill>
                    </a:ln>
                  </pic:spPr>
                </pic:pic>
              </a:graphicData>
            </a:graphic>
          </wp:inline>
        </w:drawing>
      </w:r>
      <w:r w:rsidR="00853F65">
        <w:rPr>
          <w:rFonts w:ascii="Arial" w:eastAsiaTheme="minorHAnsi" w:hAnsi="Arial" w:cs="Arial"/>
          <w:noProof/>
          <w:sz w:val="22"/>
          <w:szCs w:val="22"/>
          <w:lang w:eastAsia="en-US"/>
        </w:rPr>
        <w:t xml:space="preserve"> </w:t>
      </w:r>
      <w:r w:rsidR="0066103D" w:rsidRPr="0066103D">
        <w:rPr>
          <w:rFonts w:ascii="Arial" w:eastAsiaTheme="minorHAnsi" w:hAnsi="Arial" w:cs="Arial"/>
          <w:noProof/>
          <w:sz w:val="22"/>
          <w:szCs w:val="22"/>
          <w:lang w:eastAsia="en-US"/>
        </w:rPr>
        <w:drawing>
          <wp:inline distT="0" distB="0" distL="0" distR="0" wp14:anchorId="724F7723" wp14:editId="6D9A696E">
            <wp:extent cx="2692800" cy="2692800"/>
            <wp:effectExtent l="19050" t="19050" r="12700" b="12700"/>
            <wp:docPr id="532866060" name="Imagen 532866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92800" cy="2692800"/>
                    </a:xfrm>
                    <a:prstGeom prst="rect">
                      <a:avLst/>
                    </a:prstGeom>
                    <a:ln>
                      <a:solidFill>
                        <a:sysClr val="windowText" lastClr="000000"/>
                      </a:solidFill>
                    </a:ln>
                  </pic:spPr>
                </pic:pic>
              </a:graphicData>
            </a:graphic>
          </wp:inline>
        </w:drawing>
      </w:r>
    </w:p>
    <w:p w14:paraId="2BF93474" w14:textId="77777777" w:rsidR="0066103D" w:rsidRPr="0066103D" w:rsidRDefault="0066103D" w:rsidP="00853F65">
      <w:pPr>
        <w:jc w:val="center"/>
        <w:rPr>
          <w:rFonts w:ascii="Arial" w:eastAsiaTheme="minorHAnsi" w:hAnsi="Arial" w:cs="Arial"/>
          <w:noProof/>
          <w:sz w:val="22"/>
          <w:szCs w:val="22"/>
          <w:lang w:val="pt-BR" w:eastAsia="en-US"/>
        </w:rPr>
      </w:pPr>
      <w:r w:rsidRPr="0066103D">
        <w:rPr>
          <w:rFonts w:ascii="Arial" w:eastAsiaTheme="minorHAnsi" w:hAnsi="Arial" w:cs="Arial"/>
          <w:b/>
          <w:bCs/>
          <w:noProof/>
          <w:sz w:val="22"/>
          <w:szCs w:val="22"/>
          <w:lang w:val="pt-BR" w:eastAsia="en-US"/>
        </w:rPr>
        <w:t>Figura 3.</w:t>
      </w:r>
      <w:r w:rsidRPr="0066103D">
        <w:rPr>
          <w:rFonts w:ascii="Arial" w:eastAsiaTheme="minorHAnsi" w:hAnsi="Arial" w:cs="Arial"/>
          <w:noProof/>
          <w:sz w:val="22"/>
          <w:szCs w:val="22"/>
          <w:lang w:val="pt-BR" w:eastAsia="en-US"/>
        </w:rPr>
        <w:t xml:space="preserve"> Diagramas estratégicos</w:t>
      </w:r>
    </w:p>
    <w:p w14:paraId="125E0FCC" w14:textId="724BEDD7" w:rsidR="0066103D" w:rsidRPr="0066103D" w:rsidRDefault="0066103D" w:rsidP="00853F65">
      <w:pPr>
        <w:jc w:val="center"/>
        <w:rPr>
          <w:rFonts w:ascii="Arial" w:eastAsiaTheme="minorHAnsi" w:hAnsi="Arial" w:cs="Arial"/>
          <w:noProof/>
          <w:sz w:val="22"/>
          <w:szCs w:val="22"/>
          <w:lang w:val="pt-BR" w:eastAsia="en-US"/>
        </w:rPr>
      </w:pPr>
      <w:r w:rsidRPr="0066103D">
        <w:rPr>
          <w:rFonts w:ascii="Arial" w:eastAsiaTheme="minorHAnsi" w:hAnsi="Arial" w:cs="Arial"/>
          <w:b/>
          <w:bCs/>
          <w:noProof/>
          <w:sz w:val="22"/>
          <w:szCs w:val="22"/>
          <w:lang w:val="pt-BR" w:eastAsia="en-US"/>
        </w:rPr>
        <w:t>Fuente:</w:t>
      </w:r>
      <w:r w:rsidRPr="0066103D">
        <w:rPr>
          <w:rFonts w:ascii="Arial" w:eastAsiaTheme="minorHAnsi" w:hAnsi="Arial" w:cs="Arial"/>
          <w:noProof/>
          <w:sz w:val="22"/>
          <w:szCs w:val="22"/>
          <w:lang w:val="pt-BR" w:eastAsia="en-US"/>
        </w:rPr>
        <w:t xml:space="preserve"> </w:t>
      </w:r>
      <w:r w:rsidR="00853F65" w:rsidRPr="0066103D">
        <w:rPr>
          <w:rFonts w:ascii="Arial" w:eastAsiaTheme="minorHAnsi" w:hAnsi="Arial" w:cs="Arial"/>
          <w:sz w:val="22"/>
          <w:szCs w:val="22"/>
          <w:lang w:val="pt-BR" w:eastAsia="en-US"/>
        </w:rPr>
        <w:t xml:space="preserve">elaboração própria </w:t>
      </w:r>
      <w:r w:rsidR="00853F65" w:rsidRPr="0066103D">
        <w:rPr>
          <w:rFonts w:ascii="Arial" w:eastAsiaTheme="minorHAnsi" w:hAnsi="Arial" w:cs="Arial"/>
          <w:noProof/>
          <w:sz w:val="22"/>
          <w:szCs w:val="22"/>
          <w:lang w:val="pt-BR" w:eastAsia="en-US"/>
        </w:rPr>
        <w:t xml:space="preserve">baseada em </w:t>
      </w:r>
      <w:r w:rsidRPr="0066103D">
        <w:rPr>
          <w:rFonts w:ascii="Arial" w:eastAsiaTheme="minorHAnsi" w:hAnsi="Arial" w:cs="Arial"/>
          <w:noProof/>
          <w:sz w:val="22"/>
          <w:szCs w:val="22"/>
          <w:lang w:val="pt-BR" w:eastAsia="en-US"/>
        </w:rPr>
        <w:t>SciMAT</w:t>
      </w:r>
    </w:p>
    <w:p w14:paraId="3D90CDCA" w14:textId="77777777" w:rsidR="0066103D" w:rsidRPr="0066103D" w:rsidRDefault="0066103D" w:rsidP="0066103D">
      <w:pPr>
        <w:jc w:val="both"/>
        <w:rPr>
          <w:rFonts w:ascii="Arial" w:eastAsiaTheme="minorHAnsi" w:hAnsi="Arial" w:cs="Arial"/>
          <w:noProof/>
          <w:sz w:val="22"/>
          <w:szCs w:val="22"/>
          <w:lang w:val="pt-BR" w:eastAsia="en-US"/>
        </w:rPr>
      </w:pPr>
    </w:p>
    <w:p w14:paraId="77339F90" w14:textId="77777777" w:rsidR="0066103D" w:rsidRPr="0066103D" w:rsidRDefault="0066103D" w:rsidP="00853F65">
      <w:pPr>
        <w:ind w:firstLine="720"/>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Os temas relevantes do quinto período (2012-2014), com suas redes temáticas associadas, são: “</w:t>
      </w:r>
      <w:r w:rsidRPr="0066103D">
        <w:rPr>
          <w:rFonts w:ascii="Arial" w:eastAsiaTheme="minorHAnsi" w:hAnsi="Arial" w:cs="Arial"/>
          <w:i/>
          <w:iCs/>
          <w:noProof/>
          <w:sz w:val="22"/>
          <w:szCs w:val="22"/>
          <w:lang w:val="pt-BR" w:eastAsia="en-US"/>
        </w:rPr>
        <w:t>Ground-water recharge</w:t>
      </w:r>
      <w:r w:rsidRPr="0066103D">
        <w:rPr>
          <w:rFonts w:ascii="Arial" w:eastAsiaTheme="minorHAnsi" w:hAnsi="Arial" w:cs="Arial"/>
          <w:noProof/>
          <w:sz w:val="22"/>
          <w:szCs w:val="22"/>
          <w:lang w:val="pt-BR" w:eastAsia="en-US"/>
        </w:rPr>
        <w:t>” (Recarga da água subterrânea), como no período anterior, continua a ter um foco importante no campo científico; no entanto, tem pouco desenvolvimento. A “</w:t>
      </w:r>
      <w:r w:rsidRPr="0066103D">
        <w:rPr>
          <w:rFonts w:ascii="Arial" w:eastAsiaTheme="minorHAnsi" w:hAnsi="Arial" w:cs="Arial"/>
          <w:i/>
          <w:iCs/>
          <w:noProof/>
          <w:sz w:val="22"/>
          <w:szCs w:val="22"/>
          <w:lang w:val="pt-BR" w:eastAsia="en-US"/>
        </w:rPr>
        <w:t>Rain</w:t>
      </w:r>
      <w:r w:rsidRPr="0066103D">
        <w:rPr>
          <w:rFonts w:ascii="Arial" w:eastAsiaTheme="minorHAnsi" w:hAnsi="Arial" w:cs="Arial"/>
          <w:noProof/>
          <w:sz w:val="22"/>
          <w:szCs w:val="22"/>
          <w:lang w:val="pt-BR" w:eastAsia="en-US"/>
        </w:rPr>
        <w:t xml:space="preserve">” (chuva), um dos fatores mais importantes na variação da recarga de água em zonas úmidas, está ligada ao desenvolvimento de modelos hidrológicos utilizados no monitoramento de inundações em diferentes bacias hidrográficas. Além disso, foram iniciados estudos sobre a relação entre a condutividade do fluxo e do fluxo e o efeito sobre a química da água (Fig. 4a). </w:t>
      </w:r>
    </w:p>
    <w:p w14:paraId="127D47B5" w14:textId="77777777" w:rsidR="0066103D" w:rsidRPr="0066103D" w:rsidRDefault="0066103D" w:rsidP="0066103D">
      <w:pPr>
        <w:jc w:val="both"/>
        <w:rPr>
          <w:rFonts w:ascii="Arial" w:eastAsiaTheme="minorHAnsi" w:hAnsi="Arial" w:cs="Arial"/>
          <w:sz w:val="22"/>
          <w:szCs w:val="22"/>
          <w:lang w:val="pt-BR" w:eastAsia="en-US"/>
        </w:rPr>
      </w:pPr>
    </w:p>
    <w:p w14:paraId="6B34AFE9" w14:textId="1E031711" w:rsidR="0066103D" w:rsidRPr="0066103D" w:rsidRDefault="009C11B4" w:rsidP="00853F65">
      <w:pPr>
        <w:jc w:val="center"/>
        <w:rPr>
          <w:rFonts w:ascii="Arial" w:eastAsiaTheme="minorHAnsi" w:hAnsi="Arial" w:cs="Arial"/>
          <w:noProof/>
          <w:sz w:val="22"/>
          <w:szCs w:val="22"/>
          <w:lang w:val="pt-BR" w:eastAsia="en-US"/>
        </w:rPr>
      </w:pPr>
      <w:r w:rsidRPr="0066103D">
        <w:rPr>
          <w:rFonts w:ascii="Arial" w:eastAsiaTheme="minorHAnsi" w:hAnsi="Arial" w:cs="Arial"/>
          <w:noProof/>
          <w:sz w:val="22"/>
          <w:szCs w:val="22"/>
          <w:lang w:eastAsia="en-US"/>
        </w:rPr>
        <mc:AlternateContent>
          <mc:Choice Requires="wps">
            <w:drawing>
              <wp:anchor distT="0" distB="0" distL="114300" distR="114300" simplePos="0" relativeHeight="251664384" behindDoc="0" locked="0" layoutInCell="1" allowOverlap="1" wp14:anchorId="42D69258" wp14:editId="32B62203">
                <wp:simplePos x="0" y="0"/>
                <wp:positionH relativeFrom="column">
                  <wp:posOffset>294532</wp:posOffset>
                </wp:positionH>
                <wp:positionV relativeFrom="paragraph">
                  <wp:posOffset>41155</wp:posOffset>
                </wp:positionV>
                <wp:extent cx="195580" cy="220345"/>
                <wp:effectExtent l="0" t="0" r="0" b="0"/>
                <wp:wrapNone/>
                <wp:docPr id="988358388" name="Cuadro de texto 988358388"/>
                <wp:cNvGraphicFramePr/>
                <a:graphic xmlns:a="http://schemas.openxmlformats.org/drawingml/2006/main">
                  <a:graphicData uri="http://schemas.microsoft.com/office/word/2010/wordprocessingShape">
                    <wps:wsp>
                      <wps:cNvSpPr txBox="1"/>
                      <wps:spPr>
                        <a:xfrm>
                          <a:off x="0" y="0"/>
                          <a:ext cx="195580" cy="220345"/>
                        </a:xfrm>
                        <a:prstGeom prst="rect">
                          <a:avLst/>
                        </a:prstGeom>
                        <a:noFill/>
                        <a:ln w="6350">
                          <a:noFill/>
                        </a:ln>
                      </wps:spPr>
                      <wps:txbx>
                        <w:txbxContent>
                          <w:p w14:paraId="5AE11623" w14:textId="77777777" w:rsidR="0066103D" w:rsidRPr="006913C0" w:rsidRDefault="0066103D" w:rsidP="0066103D">
                            <w:pPr>
                              <w:rPr>
                                <w:sz w:val="18"/>
                                <w:szCs w:val="18"/>
                              </w:rPr>
                            </w:pPr>
                            <w:r>
                              <w:rPr>
                                <w:rFonts w:ascii="Times New Roman" w:hAnsi="Times New Roman" w:cs="Times New Roman"/>
                                <w:noProof/>
                                <w:sz w:val="20"/>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D69258" id="Cuadro de texto 988358388" o:spid="_x0000_s1030" type="#_x0000_t202" style="position:absolute;left:0;text-align:left;margin-left:23.2pt;margin-top:3.25pt;width:15.4pt;height:17.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" filled="f" stroked="f" strokeweight=".5pt">
                <v:textbox>
                  <w:txbxContent>
                    <w:p w14:paraId="5AE11623" w14:textId="77777777" w:rsidR="0066103D" w:rsidRPr="006913C0" w:rsidRDefault="0066103D" w:rsidP="0066103D">
                      <w:pPr>
                        <w:rPr>
                          <w:sz w:val="18"/>
                          <w:szCs w:val="18"/>
                        </w:rPr>
                      </w:pPr>
                      <w:r>
                        <w:rPr>
                          <w:rFonts w:ascii="Times New Roman" w:hAnsi="Times New Roman" w:cs="Times New Roman"/>
                          <w:noProof/>
                          <w:sz w:val="20"/>
                          <w:szCs w:val="20"/>
                        </w:rPr>
                        <w:t>a</w:t>
                      </w:r>
                    </w:p>
                  </w:txbxContent>
                </v:textbox>
              </v:shape>
            </w:pict>
          </mc:Fallback>
        </mc:AlternateContent>
      </w:r>
      <w:r w:rsidR="0066103D" w:rsidRPr="0066103D">
        <w:rPr>
          <w:rFonts w:ascii="Arial" w:eastAsiaTheme="minorHAnsi" w:hAnsi="Arial" w:cs="Arial"/>
          <w:noProof/>
          <w:sz w:val="22"/>
          <w:szCs w:val="22"/>
          <w:lang w:eastAsia="en-US"/>
        </w:rPr>
        <mc:AlternateContent>
          <mc:Choice Requires="wps">
            <w:drawing>
              <wp:anchor distT="0" distB="0" distL="114300" distR="114300" simplePos="0" relativeHeight="251663360" behindDoc="0" locked="0" layoutInCell="1" allowOverlap="1" wp14:anchorId="57CB9A92" wp14:editId="041F2AF3">
                <wp:simplePos x="0" y="0"/>
                <wp:positionH relativeFrom="column">
                  <wp:posOffset>3058843</wp:posOffset>
                </wp:positionH>
                <wp:positionV relativeFrom="paragraph">
                  <wp:posOffset>15121</wp:posOffset>
                </wp:positionV>
                <wp:extent cx="195580" cy="243205"/>
                <wp:effectExtent l="0" t="0" r="0" b="4445"/>
                <wp:wrapNone/>
                <wp:docPr id="4" name="Cuadro de texto 4"/>
                <wp:cNvGraphicFramePr/>
                <a:graphic xmlns:a="http://schemas.openxmlformats.org/drawingml/2006/main">
                  <a:graphicData uri="http://schemas.microsoft.com/office/word/2010/wordprocessingShape">
                    <wps:wsp>
                      <wps:cNvSpPr txBox="1"/>
                      <wps:spPr>
                        <a:xfrm>
                          <a:off x="0" y="0"/>
                          <a:ext cx="195580" cy="243205"/>
                        </a:xfrm>
                        <a:prstGeom prst="rect">
                          <a:avLst/>
                        </a:prstGeom>
                        <a:noFill/>
                        <a:ln w="6350">
                          <a:noFill/>
                        </a:ln>
                      </wps:spPr>
                      <wps:txbx>
                        <w:txbxContent>
                          <w:p w14:paraId="497C6A54" w14:textId="77777777" w:rsidR="0066103D" w:rsidRPr="006913C0" w:rsidRDefault="0066103D" w:rsidP="0066103D">
                            <w:pPr>
                              <w:rPr>
                                <w:sz w:val="18"/>
                                <w:szCs w:val="18"/>
                              </w:rPr>
                            </w:pPr>
                            <w:r>
                              <w:rPr>
                                <w:rFonts w:ascii="Times New Roman" w:hAnsi="Times New Roman" w:cs="Times New Roman"/>
                                <w:noProof/>
                                <w:sz w:val="20"/>
                                <w:szCs w:val="20"/>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B9A92" id="Cuadro de texto 4" o:spid="_x0000_s1031" type="#_x0000_t202" style="position:absolute;left:0;text-align:left;margin-left:240.85pt;margin-top:1.2pt;width:15.4pt;height:19.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" filled="f" stroked="f" strokeweight=".5pt">
                <v:textbox>
                  <w:txbxContent>
                    <w:p w14:paraId="497C6A54" w14:textId="77777777" w:rsidR="0066103D" w:rsidRPr="006913C0" w:rsidRDefault="0066103D" w:rsidP="0066103D">
                      <w:pPr>
                        <w:rPr>
                          <w:sz w:val="18"/>
                          <w:szCs w:val="18"/>
                        </w:rPr>
                      </w:pPr>
                      <w:r>
                        <w:rPr>
                          <w:rFonts w:ascii="Times New Roman" w:hAnsi="Times New Roman" w:cs="Times New Roman"/>
                          <w:noProof/>
                          <w:sz w:val="20"/>
                          <w:szCs w:val="20"/>
                        </w:rPr>
                        <w:t>b</w:t>
                      </w:r>
                    </w:p>
                  </w:txbxContent>
                </v:textbox>
              </v:shape>
            </w:pict>
          </mc:Fallback>
        </mc:AlternateContent>
      </w:r>
      <w:r w:rsidR="0066103D" w:rsidRPr="0066103D">
        <w:rPr>
          <w:rFonts w:ascii="Arial" w:eastAsiaTheme="minorHAnsi" w:hAnsi="Arial" w:cs="Arial"/>
          <w:noProof/>
          <w:sz w:val="22"/>
          <w:szCs w:val="22"/>
          <w:lang w:eastAsia="en-US"/>
        </w:rPr>
        <w:drawing>
          <wp:inline distT="0" distB="0" distL="0" distR="0" wp14:anchorId="21AD0FB8" wp14:editId="0740D87E">
            <wp:extent cx="2692800" cy="2692800"/>
            <wp:effectExtent l="19050" t="19050" r="12700" b="1270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92800" cy="2692800"/>
                    </a:xfrm>
                    <a:prstGeom prst="rect">
                      <a:avLst/>
                    </a:prstGeom>
                    <a:ln>
                      <a:solidFill>
                        <a:sysClr val="windowText" lastClr="000000"/>
                      </a:solidFill>
                    </a:ln>
                  </pic:spPr>
                </pic:pic>
              </a:graphicData>
            </a:graphic>
          </wp:inline>
        </w:drawing>
      </w:r>
      <w:r w:rsidR="00853F65">
        <w:rPr>
          <w:rFonts w:ascii="Arial" w:eastAsiaTheme="minorHAnsi" w:hAnsi="Arial" w:cs="Arial"/>
          <w:noProof/>
          <w:sz w:val="22"/>
          <w:szCs w:val="22"/>
          <w:lang w:eastAsia="en-US"/>
        </w:rPr>
        <w:t xml:space="preserve"> </w:t>
      </w:r>
      <w:r w:rsidR="0066103D" w:rsidRPr="0066103D">
        <w:rPr>
          <w:rFonts w:ascii="Arial" w:eastAsiaTheme="minorHAnsi" w:hAnsi="Arial" w:cs="Arial"/>
          <w:noProof/>
          <w:sz w:val="22"/>
          <w:szCs w:val="22"/>
          <w:lang w:eastAsia="en-US"/>
        </w:rPr>
        <w:drawing>
          <wp:inline distT="0" distB="0" distL="0" distR="0" wp14:anchorId="5DBE1AA9" wp14:editId="6111AAC5">
            <wp:extent cx="2692800" cy="2692800"/>
            <wp:effectExtent l="19050" t="19050" r="12700" b="1270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92800" cy="2692800"/>
                    </a:xfrm>
                    <a:prstGeom prst="rect">
                      <a:avLst/>
                    </a:prstGeom>
                    <a:ln>
                      <a:solidFill>
                        <a:sysClr val="windowText" lastClr="000000"/>
                      </a:solidFill>
                    </a:ln>
                  </pic:spPr>
                </pic:pic>
              </a:graphicData>
            </a:graphic>
          </wp:inline>
        </w:drawing>
      </w:r>
    </w:p>
    <w:p w14:paraId="5F4D7095" w14:textId="77777777" w:rsidR="0066103D" w:rsidRPr="0066103D" w:rsidRDefault="0066103D" w:rsidP="00853F65">
      <w:pPr>
        <w:jc w:val="center"/>
        <w:rPr>
          <w:rFonts w:ascii="Arial" w:eastAsiaTheme="minorHAnsi" w:hAnsi="Arial" w:cs="Arial"/>
          <w:noProof/>
          <w:sz w:val="22"/>
          <w:szCs w:val="22"/>
          <w:lang w:val="pt-BR" w:eastAsia="en-US"/>
        </w:rPr>
      </w:pPr>
      <w:r w:rsidRPr="0066103D">
        <w:rPr>
          <w:rFonts w:ascii="Arial" w:eastAsiaTheme="minorHAnsi" w:hAnsi="Arial" w:cs="Arial"/>
          <w:b/>
          <w:bCs/>
          <w:noProof/>
          <w:sz w:val="22"/>
          <w:szCs w:val="22"/>
          <w:lang w:val="pt-BR" w:eastAsia="en-US"/>
        </w:rPr>
        <w:t>Figura 4.</w:t>
      </w:r>
      <w:r w:rsidRPr="0066103D">
        <w:rPr>
          <w:rFonts w:ascii="Arial" w:eastAsiaTheme="minorHAnsi" w:hAnsi="Arial" w:cs="Arial"/>
          <w:noProof/>
          <w:sz w:val="22"/>
          <w:szCs w:val="22"/>
          <w:lang w:val="pt-BR" w:eastAsia="en-US"/>
        </w:rPr>
        <w:t xml:space="preserve"> Diagramas estratégicos</w:t>
      </w:r>
    </w:p>
    <w:p w14:paraId="4819C322" w14:textId="4D5B2D3E" w:rsidR="00853F65" w:rsidRPr="00853F65" w:rsidRDefault="0066103D" w:rsidP="00853F65">
      <w:pPr>
        <w:jc w:val="center"/>
        <w:rPr>
          <w:rFonts w:ascii="Arial" w:eastAsiaTheme="minorHAnsi" w:hAnsi="Arial" w:cs="Arial"/>
          <w:noProof/>
          <w:sz w:val="22"/>
          <w:szCs w:val="22"/>
          <w:lang w:val="pt-BR" w:eastAsia="en-US"/>
        </w:rPr>
      </w:pPr>
      <w:r w:rsidRPr="0066103D">
        <w:rPr>
          <w:rFonts w:ascii="Arial" w:eastAsiaTheme="minorHAnsi" w:hAnsi="Arial" w:cs="Arial"/>
          <w:b/>
          <w:bCs/>
          <w:noProof/>
          <w:sz w:val="22"/>
          <w:szCs w:val="22"/>
          <w:lang w:val="pt-BR" w:eastAsia="en-US"/>
        </w:rPr>
        <w:t>Fuente:</w:t>
      </w:r>
      <w:r w:rsidRPr="0066103D">
        <w:rPr>
          <w:rFonts w:ascii="Arial" w:eastAsiaTheme="minorHAnsi" w:hAnsi="Arial" w:cs="Arial"/>
          <w:noProof/>
          <w:sz w:val="22"/>
          <w:szCs w:val="22"/>
          <w:lang w:val="pt-BR" w:eastAsia="en-US"/>
        </w:rPr>
        <w:t xml:space="preserve"> </w:t>
      </w:r>
      <w:r w:rsidR="00853F65" w:rsidRPr="0066103D">
        <w:rPr>
          <w:rFonts w:ascii="Arial" w:eastAsiaTheme="minorHAnsi" w:hAnsi="Arial" w:cs="Arial"/>
          <w:sz w:val="22"/>
          <w:szCs w:val="22"/>
          <w:lang w:val="pt-BR" w:eastAsia="en-US"/>
        </w:rPr>
        <w:t xml:space="preserve">elaboração própria </w:t>
      </w:r>
      <w:r w:rsidR="00853F65" w:rsidRPr="0066103D">
        <w:rPr>
          <w:rFonts w:ascii="Arial" w:eastAsiaTheme="minorHAnsi" w:hAnsi="Arial" w:cs="Arial"/>
          <w:noProof/>
          <w:sz w:val="22"/>
          <w:szCs w:val="22"/>
          <w:lang w:val="pt-BR" w:eastAsia="en-US"/>
        </w:rPr>
        <w:t>baseada em</w:t>
      </w:r>
      <w:r w:rsidRPr="0066103D">
        <w:rPr>
          <w:rFonts w:ascii="Arial" w:eastAsiaTheme="minorHAnsi" w:hAnsi="Arial" w:cs="Arial"/>
          <w:noProof/>
          <w:sz w:val="22"/>
          <w:szCs w:val="22"/>
          <w:lang w:val="pt-BR" w:eastAsia="en-US"/>
        </w:rPr>
        <w:t xml:space="preserve"> SciMAT</w:t>
      </w:r>
    </w:p>
    <w:p w14:paraId="37EA17A8" w14:textId="77777777" w:rsidR="00853F65" w:rsidRPr="00853F65" w:rsidRDefault="00853F65" w:rsidP="00853F65">
      <w:pPr>
        <w:jc w:val="center"/>
        <w:rPr>
          <w:rFonts w:ascii="Arial" w:eastAsiaTheme="minorHAnsi" w:hAnsi="Arial" w:cs="Arial"/>
          <w:noProof/>
          <w:sz w:val="22"/>
          <w:szCs w:val="22"/>
          <w:lang w:val="pt-BR" w:eastAsia="en-US"/>
        </w:rPr>
      </w:pPr>
    </w:p>
    <w:p w14:paraId="37A698BB" w14:textId="1F5FC3DF" w:rsidR="0066103D" w:rsidRPr="0066103D" w:rsidRDefault="0066103D" w:rsidP="00853F65">
      <w:pPr>
        <w:ind w:firstLine="720"/>
        <w:jc w:val="both"/>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lastRenderedPageBreak/>
        <w:t xml:space="preserve">Por outro lado, o tema da teledetecção foi estabelecido como um tema condutor no campo científico para o sexto período (2015-2017), implementado em conjunto com a modelagem hidrológica para a proteção ambiental. Da mesma forma, eles se concentraram em questões como o planejamento urbano e sua influência na fragmentação dos ecossistemas e, portanto, na perda da biodiversidade (Fig. 4b).  </w:t>
      </w:r>
    </w:p>
    <w:p w14:paraId="0D3E13F4" w14:textId="77777777" w:rsidR="0066103D" w:rsidRPr="0066103D" w:rsidRDefault="0066103D" w:rsidP="00853F65">
      <w:pPr>
        <w:spacing w:after="160"/>
        <w:ind w:firstLine="720"/>
        <w:jc w:val="both"/>
        <w:rPr>
          <w:rFonts w:ascii="Arial" w:eastAsiaTheme="minorHAnsi" w:hAnsi="Arial" w:cs="Arial"/>
          <w:sz w:val="22"/>
          <w:szCs w:val="22"/>
          <w:lang w:val="pt-BR" w:eastAsia="en-US"/>
        </w:rPr>
      </w:pPr>
      <w:r w:rsidRPr="0066103D">
        <w:rPr>
          <w:rFonts w:ascii="Arial" w:eastAsiaTheme="minorHAnsi" w:hAnsi="Arial" w:cs="Arial"/>
          <w:sz w:val="22"/>
          <w:szCs w:val="22"/>
          <w:lang w:val="pt-BR" w:eastAsia="en-US"/>
        </w:rPr>
        <w:t>Finalmente, no período (2018-2021), a recarga das águas subterrâneas continua sendo uma questão-chave a ser desenvolvida, assim como o potencial de recarga dos sistemas de zonas úmidas e os impactos das estações secas nos ecossistemas de zonas úmidas. Da mesma forma, durante este período (Fig. 5), foi dada ênfase à influência da mudança climática nas áreas úmidas e ao estabelecimento de regulamentos para reduzir o impacto ambiental causado por este fator de vulnerabilidade. Entretanto, a gestão ambiental, a exploração das águas subterrâneas e a qualidade da água nas áreas úmidas são questões que estão sendo exploradas em termos de sua interação com as variáveis climáticas e seu impacto sobre o aquecimento global, o que é um desafio para a gestão adequada em favor da conservação destes ecossistemas.</w:t>
      </w:r>
    </w:p>
    <w:p w14:paraId="21903F33" w14:textId="77777777" w:rsidR="0066103D" w:rsidRPr="0066103D" w:rsidRDefault="0066103D" w:rsidP="0066103D">
      <w:pPr>
        <w:jc w:val="center"/>
        <w:rPr>
          <w:rFonts w:ascii="Arial" w:eastAsiaTheme="minorHAnsi" w:hAnsi="Arial" w:cs="Arial"/>
          <w:sz w:val="22"/>
          <w:szCs w:val="22"/>
          <w:lang w:eastAsia="en-US"/>
        </w:rPr>
      </w:pPr>
      <w:r w:rsidRPr="0066103D">
        <w:rPr>
          <w:rFonts w:ascii="Arial" w:eastAsiaTheme="minorHAnsi" w:hAnsi="Arial" w:cs="Arial"/>
          <w:noProof/>
          <w:sz w:val="22"/>
          <w:szCs w:val="22"/>
          <w:lang w:eastAsia="en-US"/>
        </w:rPr>
        <w:drawing>
          <wp:inline distT="0" distB="0" distL="0" distR="0" wp14:anchorId="7DD13E8D" wp14:editId="5F599225">
            <wp:extent cx="2692800" cy="2692800"/>
            <wp:effectExtent l="19050" t="19050" r="12700" b="1270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92800" cy="2692800"/>
                    </a:xfrm>
                    <a:prstGeom prst="rect">
                      <a:avLst/>
                    </a:prstGeom>
                    <a:ln>
                      <a:solidFill>
                        <a:sysClr val="windowText" lastClr="000000"/>
                      </a:solidFill>
                    </a:ln>
                  </pic:spPr>
                </pic:pic>
              </a:graphicData>
            </a:graphic>
          </wp:inline>
        </w:drawing>
      </w:r>
    </w:p>
    <w:p w14:paraId="35D54CE9" w14:textId="77777777" w:rsidR="0066103D" w:rsidRPr="0066103D" w:rsidRDefault="0066103D" w:rsidP="0066103D">
      <w:pPr>
        <w:jc w:val="center"/>
        <w:rPr>
          <w:rFonts w:ascii="Arial" w:eastAsiaTheme="minorHAnsi" w:hAnsi="Arial" w:cs="Arial"/>
          <w:sz w:val="22"/>
          <w:szCs w:val="22"/>
          <w:lang w:val="pt-BR" w:eastAsia="en-US"/>
        </w:rPr>
      </w:pPr>
      <w:r w:rsidRPr="0066103D">
        <w:rPr>
          <w:rFonts w:ascii="Arial" w:eastAsiaTheme="minorHAnsi" w:hAnsi="Arial" w:cs="Arial"/>
          <w:b/>
          <w:bCs/>
          <w:sz w:val="22"/>
          <w:szCs w:val="22"/>
          <w:lang w:val="pt-BR" w:eastAsia="en-US"/>
        </w:rPr>
        <w:t>Figura 5.</w:t>
      </w:r>
      <w:r w:rsidRPr="0066103D">
        <w:rPr>
          <w:rFonts w:ascii="Arial" w:eastAsiaTheme="minorHAnsi" w:hAnsi="Arial" w:cs="Arial"/>
          <w:sz w:val="22"/>
          <w:szCs w:val="22"/>
          <w:lang w:val="pt-BR" w:eastAsia="en-US"/>
        </w:rPr>
        <w:t xml:space="preserve"> Diagrama estratégico</w:t>
      </w:r>
    </w:p>
    <w:p w14:paraId="52F46820" w14:textId="5AEE4EB9" w:rsidR="0066103D" w:rsidRPr="0066103D" w:rsidRDefault="0066103D" w:rsidP="0066103D">
      <w:pPr>
        <w:jc w:val="center"/>
        <w:rPr>
          <w:rFonts w:ascii="Arial" w:eastAsiaTheme="minorHAnsi" w:hAnsi="Arial" w:cs="Arial"/>
          <w:sz w:val="22"/>
          <w:szCs w:val="22"/>
          <w:lang w:val="pt-BR" w:eastAsia="en-US"/>
        </w:rPr>
      </w:pPr>
      <w:r w:rsidRPr="0066103D">
        <w:rPr>
          <w:rFonts w:ascii="Arial" w:eastAsiaTheme="minorHAnsi" w:hAnsi="Arial" w:cs="Arial"/>
          <w:b/>
          <w:bCs/>
          <w:sz w:val="22"/>
          <w:szCs w:val="22"/>
          <w:lang w:val="pt-BR" w:eastAsia="en-US"/>
        </w:rPr>
        <w:t>Fuente:</w:t>
      </w:r>
      <w:r w:rsidRPr="0066103D">
        <w:rPr>
          <w:rFonts w:ascii="Arial" w:eastAsiaTheme="minorHAnsi" w:hAnsi="Arial" w:cs="Arial"/>
          <w:sz w:val="22"/>
          <w:szCs w:val="22"/>
          <w:lang w:val="pt-BR" w:eastAsia="en-US"/>
        </w:rPr>
        <w:t xml:space="preserve"> </w:t>
      </w:r>
      <w:r w:rsidR="00853F65" w:rsidRPr="0066103D">
        <w:rPr>
          <w:rFonts w:ascii="Arial" w:eastAsiaTheme="minorHAnsi" w:hAnsi="Arial" w:cs="Arial"/>
          <w:sz w:val="22"/>
          <w:szCs w:val="22"/>
          <w:lang w:val="pt-BR" w:eastAsia="en-US"/>
        </w:rPr>
        <w:t>elaboração</w:t>
      </w:r>
      <w:r w:rsidRPr="0066103D">
        <w:rPr>
          <w:rFonts w:ascii="Arial" w:eastAsiaTheme="minorHAnsi" w:hAnsi="Arial" w:cs="Arial"/>
          <w:sz w:val="22"/>
          <w:szCs w:val="22"/>
          <w:lang w:val="pt-BR" w:eastAsia="en-US"/>
        </w:rPr>
        <w:t xml:space="preserve"> </w:t>
      </w:r>
      <w:r w:rsidR="00853F65" w:rsidRPr="0066103D">
        <w:rPr>
          <w:rFonts w:ascii="Arial" w:eastAsiaTheme="minorHAnsi" w:hAnsi="Arial" w:cs="Arial"/>
          <w:sz w:val="22"/>
          <w:szCs w:val="22"/>
          <w:lang w:val="pt-BR" w:eastAsia="en-US"/>
        </w:rPr>
        <w:t>própria</w:t>
      </w:r>
      <w:r w:rsidRPr="0066103D">
        <w:rPr>
          <w:rFonts w:ascii="Arial" w:eastAsiaTheme="minorHAnsi" w:hAnsi="Arial" w:cs="Arial"/>
          <w:sz w:val="22"/>
          <w:szCs w:val="22"/>
          <w:lang w:val="pt-BR" w:eastAsia="en-US"/>
        </w:rPr>
        <w:t xml:space="preserve"> </w:t>
      </w:r>
      <w:r w:rsidR="00853F65" w:rsidRPr="0066103D">
        <w:rPr>
          <w:rFonts w:ascii="Arial" w:eastAsiaTheme="minorHAnsi" w:hAnsi="Arial" w:cs="Arial"/>
          <w:noProof/>
          <w:sz w:val="22"/>
          <w:szCs w:val="22"/>
          <w:lang w:val="pt-BR" w:eastAsia="en-US"/>
        </w:rPr>
        <w:t xml:space="preserve">baseada em </w:t>
      </w:r>
      <w:r w:rsidRPr="0066103D">
        <w:rPr>
          <w:rFonts w:ascii="Arial" w:eastAsiaTheme="minorHAnsi" w:hAnsi="Arial" w:cs="Arial"/>
          <w:sz w:val="22"/>
          <w:szCs w:val="22"/>
          <w:lang w:val="pt-BR" w:eastAsia="en-US"/>
        </w:rPr>
        <w:t>SciMAT</w:t>
      </w:r>
    </w:p>
    <w:p w14:paraId="054B7988" w14:textId="77777777" w:rsidR="0066103D" w:rsidRPr="0066103D" w:rsidRDefault="0066103D" w:rsidP="0066103D">
      <w:pPr>
        <w:jc w:val="both"/>
        <w:rPr>
          <w:rFonts w:ascii="Arial" w:eastAsiaTheme="minorHAnsi" w:hAnsi="Arial" w:cs="Arial"/>
          <w:sz w:val="22"/>
          <w:szCs w:val="22"/>
          <w:lang w:val="pt-BR" w:eastAsia="en-US"/>
        </w:rPr>
      </w:pPr>
    </w:p>
    <w:p w14:paraId="3B820B15" w14:textId="77777777" w:rsidR="0066103D" w:rsidRPr="0066103D" w:rsidRDefault="0066103D" w:rsidP="0066103D">
      <w:pPr>
        <w:spacing w:after="160"/>
        <w:jc w:val="both"/>
        <w:rPr>
          <w:rFonts w:ascii="Arial" w:eastAsiaTheme="minorHAnsi" w:hAnsi="Arial" w:cs="Arial"/>
          <w:b/>
          <w:noProof/>
          <w:sz w:val="22"/>
          <w:szCs w:val="22"/>
          <w:lang w:val="pt-BR" w:eastAsia="en-US"/>
        </w:rPr>
      </w:pPr>
      <w:r w:rsidRPr="0066103D">
        <w:rPr>
          <w:rFonts w:ascii="Arial" w:eastAsiaTheme="minorHAnsi" w:hAnsi="Arial" w:cs="Arial"/>
          <w:b/>
          <w:noProof/>
          <w:sz w:val="22"/>
          <w:szCs w:val="22"/>
          <w:lang w:val="pt-BR" w:eastAsia="en-US"/>
        </w:rPr>
        <w:t xml:space="preserve">Base teórica </w:t>
      </w:r>
    </w:p>
    <w:p w14:paraId="06EFF2B5" w14:textId="77777777" w:rsidR="0066103D" w:rsidRPr="0066103D" w:rsidRDefault="0066103D" w:rsidP="00853F65">
      <w:pPr>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 xml:space="preserve">Nos últimos anos, as áreas úmidas têm se destacado como ecossistemas complexos com valor ecológico e importância devido à grande parte da biodiversidade que abrigam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{"citationItems":[{"id":"ITEM-1","itemData":{"DOI":"10.21068/c2016s01a06","ISBN":"8792020364","ISSN":"01245376","abstract":"Los humedales se han reconocido como hábitats para sostener los procesos ecológicos de los ecosistemas. Son proveedores de bienes y servicios ecosistémicos para el bienestar humano. Muchos humedales están relacionados con las aguas subterráneas y dependen parcial o totalmente de ellas. Así, algunas acciones que se realizan sobre el suelo, el territorio o los acuíferos pueden producir impactos significativos sobre los humedales, sus funciones y sus servicios, poniendo en riesgo su existencia. El proyecto UNESCO-IGCP 604: “Wetlands related to groundwater in Iberoamérica”, realizado entre 2011 y 2014, tuvo como propósito generar conocimiento acerca de la interacción entre aguas subterráneas, humedales y seres humanos en Iberoamérica y España, mediante la evaluación de las características hidrológicas, los servicios que prestan estos ecosistemas y los factores que inducen cambios en dichos servicios. En el marco de este proyecto, se recopiló información en 13 países para evaluar 64 casos de estudio. Por ser uno de los ecosistemas más vulnerables ante la presión por factores de cambio inducidos por el hombre (especialmente en relación con la extracción de materiales, la contaminación y el uso del territorio), dada la relevancia de los servicios de aprovisionamiento, en este artículo se hace referencia especial a los resultados obtenidos en relación con ellos","author":[{"dropping-particle":"","family":"Betancur","given":"Teresita","non-dropping-particle":"","parse-names":false,"suffix":""},{"dropping-particle":"","family":"Bocanegraq","given":"Emilia","non-dropping-particle":"","parse-names":false,"suffix":""},{"dropping-particle":"","family":"Custodio","given":"Emilio","non-dropping-particle":"","parse-names":false,"suffix":""},{"dropping-particle":"","family":"Manzano","given":"Marisol","non-dropping-particle":"","parse-names":false,"suffix":""},{"dropping-particle":"","family":"Cardoso da Silva","given":"Gerson","non-dropping-particle":"","parse-names":false,"suffix":""}],"container-title":"Biota Colombiana","id":"ITEM-1","issue":"3","issued":{"date-parts":[["2016","6"]]},"page":"106-119","publisher":"Instituto de Investigación de Recursos Biológicos Alexander von Humboldt","title":"Estado y factores de cambio de los servicios ecosistémicos de aprovisionamiento en humedales relacionados con aguas sunterráneas en Iberoamérica y España","type":"article-journal","volume":"16"},"uris":["http://www.mendeley.com/documents/?uuid=fe1be381-fbfb-3387-803e-2f6601c1c3ea"]},{"id":"ITEM-2","itemData":{"DOI":"10.1073/pnas.1512650113","ISSN":"10916490","PMID":"26858425","abstract":"Geographically isolated wetlands (GIWs), those surrounded by uplands, exchange ma</w:instrText>
      </w:r>
      <w:r w:rsidRPr="0066103D">
        <w:rPr>
          <w:rFonts w:ascii="Arial" w:eastAsiaTheme="minorHAnsi" w:hAnsi="Arial" w:cs="Arial"/>
          <w:noProof/>
          <w:sz w:val="22"/>
          <w:szCs w:val="22"/>
          <w:lang w:eastAsia="en-US"/>
        </w:rPr>
        <w:instrText>terials, energy, and organisms with other elements in hydrological and habitat networks, contributing to landscape functions, such as flow generation, nutrient and sediment retention, and biodiversity support. GIWs constitute most of the wetlands in many North American landscapes, provide a disproportionately large fraction of wetland edges where many functions are enhanced, and form complexes with other water bodies to create spatial and temporal heterogeneity in the timing, flow paths, and magnitude of network connectivity. These attributes signal a critical role for GIWs in sustaining a portfolio of landscape functions, but legal protections remain weak despite preferential loss from many landscapes. GIWs lack persistent surface water connections, but this condition does not imply the absence of hydrological, biogeochemical, and biological exchanges with nearby and downstream waters. Although hydrological and biogeochemical connectivity is often episodic or slow (e.g., via groundwater), hydrologic continuity and limited evaporative solute enrichment suggest both flow generation and solute and sediment retention. Similarly, whereas biological connectivity usually requires overland dispersal, numerous organisms, including many rare or threatened species, use both GIWs and downstream waters at different times or life stages, suggesting that GIWs are critical elements of landscape habitat mosaics. Indeed, weaker hydrologic connectivity with downstream waters and constrained biological connectivity with other landscape elements are precisely what enhances some GIW functions and enables others. Based on analysis of wetland geography and synthesis of wetland functions, we argue that sustaining landscape functions requires conserving the entire continuum of wetland connectivity, including GIWs.","author":[{"dropping-particle":"","family":"Cohen","given":"Matthew J.","non-dropping-particle":"","parse-names":false,"suffix":""},{"dropping-particle":"","family":"Creed","given":"Irena F.","non-dropping-particle":"","parse-names":false,"suffix":""},{"dropping-particle":"","family":"Alexander","given":"Laurie","non-dropping-particle":"","parse-names":false,"suffix":""},{"dropping-particle":"","family":"Basu","given":"Nandita B.","non-dropping-particle":"","parse-names":false,"suffix":""},{"dropping-particle":"","family":"Calhoun","given":"Aram J.K.","non-dropping-particle":"","parse-names":false,"suffix":""},{"dropping-particle":"","family":"Craft","given":"Christopher","non-dropping-particle":"","parse-names":false,"suffix":""},{"dropping-particle":"","family":"D'Amico","given":"Ellen","non-dropping-particle":"","parse-names":false,"suffix":""},{"dropping-particle":"","family":"DeKeyser","given":"Edward","non-dropping-particle":"","parse-names":false,"suffix":""},{"dropping-particle":"","family":"Fowler","given":"Laurie","non-dropping-particle":"","parse-names":false,"suffix":""},{"dropping-particle":"","family":"Golden","given":"Heather E.","non-dropping-particle":"","parse-names":false,"suffix":""},{"dropping-particle":"","family":"Jawitz","given":"James W.","non-dropping-particle":"","parse-names":false,"suffix":""},{"dropping-particle":"","family":"Kalla","given":"Peter","non-dropping-particle":"","parse-names":false,"suffix":""},{"dropping-particle":"","family":"Kirkman","given":"L. Katherine","non-dropping-particle":"","parse-names":false,"suffix":""},{"dropping-particle":"","family":"Lane","given":"Charles R.","non-dropping-particle":"","parse-names":false,"suffix":""},{"dropping-particle":"","family":"Lang","given":"Megan","non-dropping-particle":"","parse-names":false,"suffix":""},{"dropping-particle":"","family":"Leibowitz","given":"Scott G.","non-dropping-particle":"","parse-names":false,"suffix":""},{"dropping-particle":"","family":"Lewis","given":"David Bruce","non-dropping-particle":"","parse-names":false,"suffix":""},{"dropping-particle":"","fa</w:instrText>
      </w:r>
      <w:r w:rsidRPr="0066103D">
        <w:rPr>
          <w:rFonts w:ascii="Arial" w:eastAsiaTheme="minorHAnsi" w:hAnsi="Arial" w:cs="Arial"/>
          <w:noProof/>
          <w:sz w:val="22"/>
          <w:szCs w:val="22"/>
          <w:lang w:val="pt-BR" w:eastAsia="en-US"/>
        </w:rPr>
        <w:instrText>mily":"Marton","given":"John","non-dropping-particle":"","parse-names":false,"suffix":""},{"dropping-particle":"","family":"McLaughlin","given":"Daniel L.","non-dropping-particle":"","parse-names":false,"suffix":""},{"dropping-particle":"","family":"Mushet","given":"David M.","non-dropping-particle":"","parse-names":false,"suffix":""},{"dropping-particle":"","family":"Raanan-Kiperwas","given":"Hadas","non-dropping-particle":"","parse-names":false,"suffix":""},{"dropping-particle":"","family":"Rains","given":"Mark C.","non-dropping-particle":"","parse-names":false,"suffix":""},{"dropping-particle":"","family":"Smith","given":"Lora","non-dropping-particle":"","parse-names":false,"suffix":""},{"dropping-particle":"","family":"Walls","given":"Susan C.","non-dropping-particle":"","parse-names":false,"suffix":""}],"container-title":"Proceedings of the National Academy of Sciences of the United States of America","id":"ITEM-2","issue":"8","issued":{"date-parts":[["2016","2","23"]]},"page":"1978-1986","publisher":"National Academy of Sciences","title":"Do geographically isolated wetlands influence landscape functions?","type":"article","volume":"113"},"uris":["http://www.mendeley.com/documents/?uuid=3efdcdd2-542c-3f26-9ec8-b1e6e506ac5a"]}],"mendeley":{"formattedCitation":"[2], [15]","plainTextFormattedCitation":"[2], [15]","previouslyFormattedCitation":"[2], [15]"},"properties":{"noteIndex":0},"schema":"https://github.com/citation-style-language/schema/raw/master/csl-citation.json"}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[2], [15]</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por estarem localizadas em zonas de transição, ou seja, situadas entre áreas aquáticas e terrestres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{"citationItems":[{"id":"ITEM-1","itemData":{"DOI":"10.1016/j.ecoleng.2020.105876","ISSN":"09258574","abstract":"HydroGeoMorphic (HGM) approach could examine relatively more details for wetland functions. However, HGM cannot be utilized in assessing the functional improvement of wetlands because it is limited to evaluating the similarity between the reference and the target wetlands. Therefore, this study proposes the Modified HydroGeoMorphic (MHGM) approach for considering better functions of target wetlands. The values of Index of Function (FCI) and variables in HGM are in the range of 0.0 to 1.0 and so, in MHGM, we redefine the values of variables in 0.0 to 2.0 to find a better function for the target wetland. Based on the monitored variables, FCIs for the wetland functions were estimated and the functions of dynamic surface and subsurface water storage, spatial structure of habitat, and maintaining the distribution and abundance of vertebrates in Imjin riverine wetland as a target wetland showed better FCIs than those of Hwapo which is a reference. This means that MHGM reflects an actual change in FCI, leading to a more favorable evaluation of the target compared to the reference wetland. This indicates that MHGM considers actual functional progress of wetlands by improving HGM's limitations in assessing change.","author":[{"dropping-particle":"","family":"Kim","given":"Jungwook","non-dropping-particle":"","parse-names":false,"suffix":""},{"dropping-particle":"","family":"Kim","given":"Jae Geun","non-dropping-particle":"","parse-names":false,"suffix":""},{"dropping-particle":"","family":"Jung","given":"Jaewon","non-dropping-particle":"","parse-names":false,"suffix":""},{"dropping-particle":"","family":"Han","given":"Daegun","non-dropping-particle":"","parse-names":false,"suffix":""},{"dropping-particle":"","family":"Choi","given":"Changhyun","non-dropping-particle":"","parse-names":false,"suffix":""},{"dropping-particle":"","family":"Kim","given":"Hung Soo","non-dropping-particle":"","parse-names":false,"suffix":""}],"container-title":"Ecological Engineering","id":"ITEM-1","issued":{"date-parts":[["2020","6","1"]]},"page":"105876","publisher":"Elsevier B.V.","title":"Modified hydrogeomorphic approach for estimating quantitative change of riverine wetland functions","type":"article-journal","volume":"152"},"uris":["http://www.mendeley.com/documents/?uuid=252c0f00-d867-34e6-bed5-0ee5b528bfc8"]}],"mendeley":{"formattedCitation":"[3]","plainTextFormattedCitation":"[3]","previouslyFormattedCitation":"[3]"},"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[3]</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que possuem vegetação e solos adaptados à influência da água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{"citationItems":[{"id":"ITEM-1","itemData":{"ISSN":"1316-6832","abstract":"The connections between the state of the wetlands, the services they provide and the benefits for the population, have ecological, socio-cultural and economic values, which are decisive for decision-making in the management of the conservation of wetlands. The Convention on Biological Diversity (CBD) and the Ramsar Convention have done a fundamental job in the assessment of wetlands, in the context of programs on incentive measures. The valuation of the Urama wetland is based on the guidelines offered by the Ramsar Convention in its technical reports. It is classified in five (05) stages with the description of the methods for the evaluation and evaluation of the services of the wetlands. The methodology is with the method of Impact Evaluation, obtaining an integrated value of its components, whose result reaches a value equal to 2.029 US dollars ha/year at market prices of 2014, in an area of 2.131 hectares, a value that it is below the referential world rank equal to 3.300 US dollars ha year, which is a function of the identification of the components and services that allow the contribution of the wetland in terms of net benefits to the local, national and global economy.","author":[{"dropping-particle":"","family":"López","given":"Nereida","non-dropping-particle":"","parse-names":false,"suffix":""},{"dropping-particle":"","family":"Guevara Pérez","given":"Edilberto","non-dropping-particle":"","parse-names":false,"suffix":""}],"container-title":"Revista Ingeniería UC","id":"ITEM-1","issue":"3","issued":{"date-parts":[["2017"]]},"number-of-pages":"279-289","publisher":"Universidad de Carabobo","title":"Environmental assessment of the Urama Wetland, Venezuela","type":"report","volume":"24"},"uris":["http://www.mendeley.com/documents/?uuid=b8b10762-ed33-36ab-a93e-3ae98d63cfcc"]}],"mendeley":{"formattedCitation":"[4]","plainTextFormattedCitation":"[4]","previouslyFormattedCitation":"[4]"},"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[4]</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w:t>
      </w:r>
    </w:p>
    <w:p w14:paraId="3E3EC792" w14:textId="77777777" w:rsidR="0066103D" w:rsidRDefault="0066103D" w:rsidP="00853F65">
      <w:pPr>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 xml:space="preserve">Estes ecossistemas fornecem múltiplos serviços ambientais à sociedade, incluindo regulação climática, abastecimento de água, amortecimento hidráulico para controle de inundações, proteção da biodiversidade, diversidade da paisagem, sumidouro de carbono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{"citationItems":[{"id":"ITEM-1","itemData":{"DOI":"10.1016/j.sajb.2019.04.028","ISSN":"02546299","abstract":"Classification and description of wetland vegetation provides an understanding of the wetland vegetation–environment relationships, as well as their spatial variation and information for water resource management and biodiversity conservation. In this study, the montane palustrine wetland vegetation types of the Maloti-Drakensberg region and surrounding areas are discussed based on a phytosociological approach. The montane subset of the National Wetland Vegetation Database of South Africa was selected and supplemented with the new data collected from the Lesotho component of the Maloti-Drakensberg region. This montane subset was collected using the Braun-Blanquet method for vegetation and recommended methods for wetland environmental data. The new vegetation data from Lesotho were collected using the same methods used for the historical data. The combined data were then analysed mainly by means of clustering and ordination techniques. Forty-two wetland plant communities were obtained from the cluster analysis and these were summarised into sixteen community groups. These community groups are diverse in terms of species richness and also exhibit significant variation along the altitudinal gradient, mainly due to variations in environmental conditions that include temperature, parent material and the amount of precipitation, among other factors. The ordination revealed that the variation in the wetland vegetation is mainly explained by altitude, longitude, latitude, nitrogen content, soil depth, inundation depth and electrical conductivity, but slope, pH, sodium content, total organic carbon, soil texture and degree of wetness are also important. In terms of species composition, high altitude plant communities were distinctively different from those at low altitudes. Regarding distribution, montane wetland vegetation was found to be more concentrated in the Maloti-Drakensberg region than the rest of the region, although some community groups also occurred in the lowlands of Lesotho and all the provinces of South Africa. The diversity exhibited by these wetlands, coupled with their restricted distribution at high altitudes, capacity to support endemic species, their role in water resources and provision of other ecosystem services, point to the high conservation value associated with these ecosystems.","author":[{"dropping-particle":"","family":"Chatanga","given":"P.","non-dropping-particle":"","parse-names":false,"suffix":""},{"dropping-particle":"","family":"Kotze","given":"D. C.","non-dropping-particle":"","parse-names":false,"suffix":""},{"dropping-particle":"","family":</w:instrText>
      </w:r>
      <w:r w:rsidRPr="0066103D">
        <w:rPr>
          <w:rFonts w:ascii="Arial" w:eastAsiaTheme="minorHAnsi" w:hAnsi="Arial" w:cs="Arial"/>
          <w:noProof/>
          <w:sz w:val="22"/>
          <w:szCs w:val="22"/>
          <w:lang w:eastAsia="en-US"/>
        </w:rPr>
        <w:instrText>"Janks","given":"M.","non-dropping-particle":"","parse-names":false,"suffix":""},{"dropping-particle":"","family":"Sieben","given":"E. J.J.","non-dropping-particle":"","parse-names":false,"suffix":""}],"container-title":"South African Journal of Botany","id":"ITEM-1","issued":{"date-parts":[["2019","9","1"]]},"page":"221-233","publisher":"Elsevier B.V.","title":"Classification, description and environmental factors of montane wetland vegetation of the Maloti-Drakensberg region and the surrounding areas","type":"article-journal","volume":"125"},"uris":["http://www.mendeley.com/documents/?uuid=bb1a1993-d919-3791-bba2-83a1464ed659"]},{"id":"ITEM-2","itemData":{"DOI":"10.1016/j.jhydrol.2020.125038","ISSN":"00221694","abstract":"Hydrology is a critical environmental condition for the evolution of wetland ecosystems. The effects of hydrological changes on wetland cover are of great importance for preserving its ecological functions. In this study, the hydrological influences on wetland cover distribution and transition in a large complex lake–floodplain system, Poyang Lake (China), were investigated. Utilizing time-series satellite remote sensing observations, wetland cover types in Poyang Lake during 2000–2009, including water, mudflat, and the major vegetation communities, were extracted and related to the wetland hydrological characteristics calculated by the hydrodynamic simulations. The statistical results of annual inundation conditions for different wetland cover types indicated that vegetation communities were preferential to hydrological environments with shorter annual inundation than water and mudflats, and different vegetation communities were distributed in areas with considerable variations in annual inundation, which suggested a substantial hydrological influence on the distribution of wetland cover in Poyang Lake. Furthermore, this study investigated the impact of hydrological changes on the wetland cover transitions between typical dry and wet years. The results showed that hydrological fluctuations had various degrees of influences on different types of wetland cover transformation. The spatial analysis indicated that hydrological changes were probably the dominant factor for the wetland cover evolution in the floodplain areas of the northern and central parts of Poyang Lake, but not the unique determined factor for wetland cover transitions in the shallow floodplains near the sink of the inflows in the eastern and southwestern parts of Poyang Lake. This study provides a practical reference for the effects of hydrological regulation in the protection and restoration of Poyang Lake wetland.","author":[{"dropping-particle":"","family":"Liang","given":"Dong","non-dropping-particle":"","parse-names":false,"suffix":""},{"dropping-particle":"","family":"Lu","given":"Jianzhong","non-dropping-particle":"","parse-names":false,"suffix":""},{"dropping-particle":"","family":"Chen","given":"Xiaoling","non-dropping-particle":"","parse-names":false,"suffix":""},{"dropping-particle":"","family":"Liu","given":"Chun","non-dropping-particle":"","parse-names":false,"suffix":""},{"dropping-particle":"","family":"Lin","given":"Jingjing","non-dropping-particle":"","parse-names":false,"suffix":""}],"container-title":"Journal of Hydrology","id":"ITEM-2","issued":{"date-parts":[["2020","8","1"]]},"page":"125038","publisher":"Elsevier BV","title":"An investigation of the hydrological influence on the distribution and transition of wetland cover in a complex lake–floodplain system using time-series remote sensing and hydrodynamic simulation","type":"article-journal","volume":"587"},"uris":["http://www.mendeley.com/documents/?uuid=70be36c3-71bd-316a-b960-4ce373c61e84"]},{"id":"ITEM-3","itemData":{"DOI":"10.1016/j.ecolind.2019.04.019","ISSN":"1470160X","abstract":"We present the methodological development of a surveying and accounting tool created in response to a lack of appropriate data for modelling ecosystem services in tropical wetlands in East Africa. The survey provides a practical field methodology for quickly characterising the environmental, vegetation, soil and hydrological properties of a wetland using a nested sample site and sub-plot procedure. The accounting procedure provides simple calculations for combing these survey data with literature values to estimate ecosystem services provided by the wetland. The wetland ecosystem service assessment is based on per unit area estimates by land cover type, and scaled by areal extent of each land cover. The tool was tested and deployed in 60 locations within the Kashambya wetland complex, southwest Uganda. Results of the survey and accounting procedure are presented along with data on wetland soil, vegetation and hydrological properties. Our results, showing standard errors, demonstrate that while the Kashambya wetland has been extensively modified by anthropogenic influences, it remains a large store of water (7.0 ± 1.3 m3) and carbon (0.5 ± 0.04 M t). The wetland is a large source of water vapour (40 ± 180 k m3 y−1) and sink for carbon (3 ± 4 k t y−1). The high uncertainty of flux estimates demonstrate the need for further biophysical modelling based upon the data captured by the survey tool. The wetland provides food production services valued as US$ 1 ± 0.1 M y−1. Our results show that ecosystem services provided by wetlands change significantly under different land cover, but high heterogeneity of ecosystem service provision exists w</w:instrText>
      </w:r>
      <w:r w:rsidRPr="0066103D">
        <w:rPr>
          <w:rFonts w:ascii="Arial" w:eastAsiaTheme="minorHAnsi" w:hAnsi="Arial" w:cs="Arial"/>
          <w:noProof/>
          <w:sz w:val="22"/>
          <w:szCs w:val="22"/>
          <w:lang w:val="pt-BR" w:eastAsia="en-US"/>
        </w:rPr>
        <w:instrText>ithin land cover classes. Greater understanding of spatial dynamics is required to improve accuracy of wetland ecosystem service assessments, and to examine the implications of land management and climate change on wetland ecosystem services.","author":[{"dropping-particle":"","family":"Langan","given":"Charlie","non-dropping-particle":"","parse-names":false,"suffix":""},{"dropping-particle":"","family":"Farmer","given":"Jenny","non-dropping-particle":"","parse-names":false,"suffix":""},{"dropping-particle":"","family":"Rivington","given":"Mike","non-dropping-particle":"","parse-names":false,"suffix":""},{"dropping-particle":"","family":"Novo","given":"Paula","non-dropping-particle":"","parse-names":false,"suffix":""},{"dropping-particle":"","family":"Smith","given":"Jo U.","non-dropping-particle":"","parse-names":false,"suffix":""}],"container-title":"Ecological Indicators","id":"ITEM-3","issued":{"date-parts":[["2019","8","1"]]},"page":"434-445","publisher":"Elsevier B.V.","title":"A wetland ecosystem service assessment tool; Development and application in a tropical peatland in Uganda","type":"article-journal","volume":"103"},"uris":["http://www.mendeley.com/documents/?uuid=76b00ec8-a43a-36ca-921b-06633741a2b7"]}],"mendeley":{"formattedCitation":"[6], [7], [16]","plainTextFormattedCitation":"[6], [7], [16]","previouslyFormattedCitation":"[6], [7], [16]"},"properties":{"noteIndex":0},"schema":"https://github.com/citation-style-language/schema/raw/master/csl-citation.json"}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[6], [7], [16]</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e contribuem para a função estratégica do desenvolvimento socioeconômico sustentável na área de influência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{"citationItems":[{"id":"ITEM-1","itemData":{"DOI":"10.1016/j.jenvman.2020.110956","ISSN":"10958630","PMID":"32778270","abstract":"Present study has attempted to measure Water Richness (WR) and Wetland Habitat Suitability (WHS) in deltaic environment and assessed their spatial linkages. Water richness exhibits availability of water in wetland and its dynamicity, whereas wetland habitat suitability depicts physical habitat ambiance of a wetland toward vibrant ecosystem. Both the components are very essential and should be measured to explore ecosystem service and environmental heath of a region. For investigating water richness of the wetland six water availability indicating parameters have been chosen and for assessing wetland habitat suitability four additional parameters have been taken into consideration. Four widely used and recognised machine learning algorithms like Reduced Error Pruning (REP) tree, Random forest, Artificial Neural Network (ANN) and Support Vector Machine (SVM) have been employed here in order to develop suitable model at two phases. Results reveal that very high water rich zone is found over 200–215 km2 wetland area followed by high water rich zone over 125–140 km2 wetland area in both the phases. Wetland habitat suitability assessment shows only 100–150 km2 of the wetland having very high suitability and 110–120 km2 of wetland having high suitability. Field investigation and accuracy assessment support the validity and acceptability of the results. Spatial linkage between water richness and habitat suitability demonstrates that 30–40% very high water rich zone represents very high habitat suitability figuring out importance of both the models. Therefore, results recommend that only water richness of the wetlands of the wetlands is not enough to represent the habitat suitability in the densely populated riparian flood plain region.","author":[{"dropping-particle":"","family":"Debanshi","given":"Sandipta","non-dropping-particle":"","parse-names":false,"suffix":""},{"dropping-particle":"","family":"Pal","given":"Swades","non-dropping-particle":"","parse-names":false,"suffix":""}],"container-title":"Journal of Environmental Management","id":"ITEM-1","issued":{"date-parts":[["2020","10","1"]]},"page":"110956","publisher":"Academic Press","title":"Modelling water richness and habitat suitability of the wetlands and measuring their spatial linkages in mature Ganges delta of India","type":"article-journal","volume":"271"},"uris":["http://www.mendeley.com/documents/?uuid=09d0d57f-639d-33d8-9ec7-acefa9e96cb3"]}],"mendeley":{"formattedCitation":"[5]","plainTextFormattedCitation":"[5]","previouslyFormattedCitation":"[5]"},"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[5]</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w:t>
      </w:r>
    </w:p>
    <w:p w14:paraId="395CD1B2" w14:textId="77777777" w:rsidR="009C11B4" w:rsidRDefault="009C11B4" w:rsidP="00853F65">
      <w:pPr>
        <w:jc w:val="both"/>
        <w:rPr>
          <w:rFonts w:ascii="Arial" w:eastAsiaTheme="minorHAnsi" w:hAnsi="Arial" w:cs="Arial"/>
          <w:noProof/>
          <w:sz w:val="22"/>
          <w:szCs w:val="22"/>
          <w:lang w:val="pt-BR" w:eastAsia="en-US"/>
        </w:rPr>
      </w:pPr>
    </w:p>
    <w:p w14:paraId="59A59635" w14:textId="77777777" w:rsidR="009C11B4" w:rsidRDefault="009C11B4" w:rsidP="00853F65">
      <w:pPr>
        <w:jc w:val="both"/>
        <w:rPr>
          <w:rFonts w:ascii="Arial" w:eastAsiaTheme="minorHAnsi" w:hAnsi="Arial" w:cs="Arial"/>
          <w:noProof/>
          <w:sz w:val="22"/>
          <w:szCs w:val="22"/>
          <w:lang w:val="pt-BR" w:eastAsia="en-US"/>
        </w:rPr>
      </w:pPr>
    </w:p>
    <w:p w14:paraId="20741B05" w14:textId="77777777" w:rsidR="00853F65" w:rsidRPr="0066103D" w:rsidRDefault="00853F65" w:rsidP="00853F65">
      <w:pPr>
        <w:jc w:val="both"/>
        <w:rPr>
          <w:rFonts w:ascii="Arial" w:eastAsiaTheme="minorHAnsi" w:hAnsi="Arial" w:cs="Arial"/>
          <w:noProof/>
          <w:sz w:val="22"/>
          <w:szCs w:val="22"/>
          <w:lang w:val="pt-BR" w:eastAsia="en-US"/>
        </w:rPr>
      </w:pPr>
    </w:p>
    <w:p w14:paraId="097B0043" w14:textId="77777777" w:rsidR="0066103D" w:rsidRPr="0066103D" w:rsidRDefault="0066103D" w:rsidP="0066103D">
      <w:pPr>
        <w:spacing w:after="160"/>
        <w:jc w:val="both"/>
        <w:rPr>
          <w:rFonts w:ascii="Arial" w:eastAsiaTheme="minorHAnsi" w:hAnsi="Arial" w:cs="Arial"/>
          <w:b/>
          <w:noProof/>
          <w:sz w:val="22"/>
          <w:szCs w:val="22"/>
          <w:lang w:val="pt-BR" w:eastAsia="en-US"/>
        </w:rPr>
      </w:pPr>
      <w:r w:rsidRPr="0066103D">
        <w:rPr>
          <w:rFonts w:ascii="Arial" w:eastAsiaTheme="minorHAnsi" w:hAnsi="Arial" w:cs="Arial"/>
          <w:b/>
          <w:noProof/>
          <w:sz w:val="22"/>
          <w:szCs w:val="22"/>
          <w:lang w:val="pt-BR" w:eastAsia="en-US"/>
        </w:rPr>
        <w:lastRenderedPageBreak/>
        <w:t>Fatores que afetam a recarga de água internacionalmente</w:t>
      </w:r>
    </w:p>
    <w:p w14:paraId="4EC5C41C" w14:textId="77777777" w:rsidR="0066103D" w:rsidRPr="0066103D" w:rsidRDefault="0066103D" w:rsidP="00853F65">
      <w:pPr>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 xml:space="preserve">O monitoramento de áreas úmidas está ligado a mudanças no uso da terra e na cobertura vegetal nos ecossistemas, o que mostra que o status ecológico das áreas úmidas pode ser alterado pelo corte de áreas florestais, grandes áreas agrícolas e fazendas de gado </w:t>
      </w:r>
      <w:r w:rsidRPr="0066103D">
        <w:rPr>
          <w:rFonts w:ascii="Arial" w:eastAsiaTheme="minorHAnsi" w:hAnsi="Arial" w:cs="Arial"/>
          <w:noProof/>
          <w:sz w:val="22"/>
          <w:szCs w:val="22"/>
          <w:lang w:val="es-ES"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{"citationItems":[{"id":"ITEM-1","itemData":{"DOI":"10.3856/vol42-issue5-fulltext-1","ISSN":"0718560X","abstract":"We review in this article the 2004-2014 scientific information on the Río Cruces wetland ecosystem, Valdivia, Chile. This information is used in the generation of a conceptual ecosystem model, which is used in turn to generate a synthetic hypothesis about the regime shift during 2004/2005. The model is based on the concentration of suspended solids in the wetland as controlling variable, affected by watershed processes (e.g., clear-cut forestry) and re-suspension of sediments in the wetland affected by the presence or absence of macrophytes.","author":[{"dropping-particle":"","family":"Delgado","given":"Luisa E.","non-dropping-particle":"","parse-names":false,"suffix":""},{"dropping-particle":"","family":"Tironi","given":"Antonio","non-dropping-particle":"","parse-names":false,"suffix":""},{"dropping-particle":"","family":"Vila","given":"Irma","non-dropping-particle":"","parse-names":false,"suffix":""},{"dropping-particle":"","family":"Verardi","given":"Gabriela","non-dropping-particle":"","parse-names":false,"suffix":""},{"dropping-particle":"","family":"Ibáñez","given":"Carlos","non-dropping-particle":"","parse-names":false,"suffix":""},{"dropping-particle":"","family":"Agüero","given":"Belén","non-dropping-particle":"","parse-names":false,"suffix":""},{"dropping-particle":"","family":"Marín","given":"Víctor H.","non-dropping-particle":"","parse-names":false,"suffix":""}],"container-title":"Latin American Journal of Aquatic Research","id":"ITEM-1","issue":"5","issued":{"date-parts":[["2014"]]},"page":"937-949","title":"El humedal del Río Cruces, Valdivia, Chile: Una síntesis ecosistémica","type":"article-journal","volume":"42"},"uris":["http://www.mendeley.com/documents/?uuid=e17f86dc-b70a-4390-b760-c86ea8a38de8"]},{"id":"ITEM-2","itemData":{"DOI":"10.1016/j.ecolind.2019.04.019","ISSN":"1470160X","abstract":"We present the methodological development of a surveying and accounting tool created in response to a lack of appropriate data for modelling ecosystem services in tropical wetlands in East Africa. The survey provides a practical field methodology for quickly characterising the environmental, vegetation, soil and hydrological properties of a wetland using a nested sample site and sub-plot procedure. The accounting procedure provides simple calculations for combing these survey data with literature values to estimate ecosystem services provided by the wetland. The wetland ecosystem service assessment is based on per unit area estimates by land cover type, and scaled by areal extent of each land cover. The tool was tested and deployed in 60 locations within the Kashambya wetland complex, southwest Uganda. Results of the survey and accounting procedure are presented along with data on wetland soil, vegetation and hydrological properties. Our results, showing standard errors, demonstrate that while the Kashambya wetland has been extensively modified by anthropogenic influences, it remains a large store of water (7.0 ± 1.3 m3) and carbon (0.5 ± 0.04 M t). The wetland is a large source of water vapour (40 ± 180 k m3 y−1) and sink for carbon (3 ± 4 k t y−1). The high uncertainty of flux estimates demonstrate the need for further biophysical modelling based upon the data captured by the survey tool. The wetland provides food production services valued as US$ 1 ± 0.1 M y−1. Our results show that ecosystem services provided by wetlands change significantly under different land cover, but high heterogeneity of ecosystem service provision exists within land cover classes. Greater understanding of spatial dynamics is required to improve accuracy of wetland ecosystem service assessments, and to examine the implications of land management and climate change on wetland ecosystem services.","author":[{"dropping-particle":"","family":"Langan","given":"Charlie","non-dropping-particle":"","parse-names":false,"suffix":""},{"dropping-particle":"","family":"Farmer","given":"Jenny","non-dropping-particle":"","parse-names":false,"suffix":""},{"dropping-particle":"","family":"Rivington","given":"Mike","non-dropping-particle":"","parse-names":false,"suffix":""},{"dropping-particle":"","family":"Novo","given":"Paula","non-dropping-particle":"","parse-names":false,"suffix":""},{"dropping-particle":"","family":"Smith","given":"Jo U.","non-dropping-particle":"","parse-names":false,"suffix":""}],"container-title":"Ecological Indicators","id":"ITEM-2","issued":{"date-parts":[["2019","8","1"]]},"page":"434-445","publisher":"Elsevier B.V.","title":"A wetland ecosystem service assessment tool; Development and application in a tropical peatland in Uganda","type":"article-journal","volume":"103"},"uris":["http://www.mendeley.com/documents/?uuid=76b00ec8-a43a-36ca-921b-06633741a2b7"]}],"mendeley":{"formattedCitation":"[16], [17]","plainTextFormattedCitation":"[16], [17]","previouslyFormattedCitation":"[16], [19]"},"properties":{"noteIndex":0},"schema":"https://github.com/citation-style-language/schema/raw/master/csl-citation.json"}</w:instrText>
      </w:r>
      <w:r w:rsidRPr="0066103D">
        <w:rPr>
          <w:rFonts w:ascii="Arial" w:eastAsiaTheme="minorHAnsi" w:hAnsi="Arial" w:cs="Arial"/>
          <w:noProof/>
          <w:sz w:val="22"/>
          <w:szCs w:val="22"/>
          <w:lang w:val="es-ES" w:eastAsia="en-US"/>
        </w:rPr>
        <w:fldChar w:fldCharType="separate"/>
      </w:r>
      <w:r w:rsidRPr="0066103D">
        <w:rPr>
          <w:rFonts w:ascii="Arial" w:eastAsiaTheme="minorHAnsi" w:hAnsi="Arial" w:cs="Arial"/>
          <w:noProof/>
          <w:sz w:val="22"/>
          <w:szCs w:val="22"/>
          <w:lang w:val="pt-BR" w:eastAsia="en-US"/>
        </w:rPr>
        <w:t>[16], [17]</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w:t>
      </w:r>
    </w:p>
    <w:p w14:paraId="140141BD" w14:textId="77777777" w:rsidR="0066103D" w:rsidRPr="0066103D" w:rsidRDefault="0066103D" w:rsidP="00853F65">
      <w:pPr>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 xml:space="preserve">Portanto, as ações antropogênicas causam pressões sobre as áreas úmidas, incluindo impactos causados pela mudança climática que levam à perda de resiliência, modificando suas funções e estruturas, resultando em uma diminuição dos serviços ecossistêmicos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{"citationItems":[{"id":"ITEM-1","itemData":{"DOI":"10.1016/j.ocecoaman.2018.12.009","ISSN":"09645691","abstract":"Climate change is globally recognized as one of the key drivers of degradation of coastal wetland ecosystems, causing considerable alteration of services provided by these habitats. Quantifying the physical impacts of climate change on these services is therefore of utmost importance. Yet, practical work in this field is fragmented and scarce in current literature, especially in developing countries which are likely to suffer most from the adverse climate change impacts. Using a coherent scenario-based approach that combines assessment of physical impacts with economic valuation techniques, here we quantify potential climate change driven losses in the value of wetland ecosystems services due to relative sea-level rise (RSLR)-induced inundation in the vulnerable Western coastal area of Bangladesh in 2100. The results show a small inundation area in 2100 under the three IPCC climate scenarios of RCP2.6 (with 0.25 m of RSLR), RCP6.0 (with 1.18 m of RSLR), and RCP8.5 (with 1.77 m of RSLR) for the coastal wetland ecosystems including the Sundarbans mangrove forest, neritic system and aquaculture ponds. In all scenarios, RSLR will drive a loss in the total value of ecosystem services such as provision of raw materials, and food provision, ranging from US$ 0–1 million to US$ 16.5–20 million, respectively. The outcomes of this study reveal that RSLR-induced inundation on its own, is unlikely to be a major threat to the wetland ecosystems in Western coast of Bangladesh. This would suggest that other climate change impacts such as coastal erosion, increase in frequency of cyclone events, and sea temperature rise might be the likely primary drivers of change in the value of wetland ecosystems services in this area.","author":[{"dropping-particle":"","family":"Mehvar","given":"Seyedabdolhossein","non-dropping-particle":"","parse-names":false,"suffix":""},{"dropping-particle":"","family":"Filatova","given":"Tatiana","non-dropping-particle":"","parse-names":false,"suffix":""},{"dropping-particle":"","family":"Sarker","given":"Motaleb Hossain","non-dropping-particle":"","parse-names":false,"suffix":""},{"dropping-particle":"","family":"Dastgheib","given":"Ali","non-dropping-particle":"","parse-names":false,"suffix":""},{"dropping-particle":"","family":"Ranasinghe","given":"Roshanka","non-dropping-particle":"","parse-names":false,"suffix":""}],"container-title":"Ocean and Coastal Management","id":"ITEM-1","issued":{"date-parts":[["2019","3","1"]]},"page":"273-283","publisher":"Elsevier Ltd","title":"Climate change-driven losses in ecosystem services of coastal wetlands: A case st</w:instrText>
      </w:r>
      <w:r w:rsidRPr="0066103D">
        <w:rPr>
          <w:rFonts w:ascii="Arial" w:eastAsiaTheme="minorHAnsi" w:hAnsi="Arial" w:cs="Arial"/>
          <w:noProof/>
          <w:sz w:val="22"/>
          <w:szCs w:val="22"/>
          <w:lang w:eastAsia="en-US"/>
        </w:rPr>
        <w:instrText>udy in the West coast of Bangladesh","type":"article-journal","volume":"169"},"uris":["http://www.mendeley.com/documents/?uuid=84c2e892-6a2c-3885-a23b-bee32e976119"]},{"id":"ITEM-2","itemData":{"DOI":"10.14483/udistrital.jour.colomb.for.2017.2.a07","ISSN":"0120-0739","abstract":"Los humedales desempeñan un papel fundamental desde una perspectiva ecológica y socioeconómica. Contrario a la idea ya obsoleta de lugares insalubres y de poca productividad, hoy son considerados ecosistemas estratégicos, amortiguadores de crecientes, sitios especiales de conservación de biota y cruciales por los servicios ecosistémicos que prestan. Partiendo de una revisión bibliográfica referente al estado ecológico de los humedales en Colombia en los últimos 15 años, se analizó cuáles son los factores, problemáticas e impactos más frecuentes y comunes que se presentan en 29 humedales colombianos. Se aplicó una metodología prospectiva, mediante el software MICMAC®, con el fin de conocer y priorizar los factores que son más sensibles a la transformaci</w:instrText>
      </w:r>
      <w:r w:rsidRPr="0066103D">
        <w:rPr>
          <w:rFonts w:ascii="Arial" w:eastAsiaTheme="minorHAnsi" w:hAnsi="Arial" w:cs="Arial"/>
          <w:noProof/>
          <w:sz w:val="22"/>
          <w:szCs w:val="22"/>
          <w:lang w:val="pt-BR" w:eastAsia="en-US"/>
        </w:rPr>
        <w:instrText>ón del ecosistema y sobre los cuales habría que tomar acciones de mitigación, preservación y/o conservación. Se encontró que los procesos urbanísticos son un factor de alto impacto en el deterioro del humedal. Se pudo comprobar la potencialidad y robustez del software MICMAC® como herramienta de análisis prospectivo, lo cual podría ser usado por las autoridades ambientales para mejorar la toma de decisiones respecto a qué hacer, cómo actuar y qué esperar de los factores y problemáticas que se presentan en los humedales.","author":[{"dropping-particle":"","family":"Rodríguez","given":"Juan Pablo","non-dropping-particle":"","parse-names":false,"suffix":""},{"dropping-particle":"","family":"Senhadji-Navarro","given":"Karim Karim","non-dropping-particle":"","parse-names":false,"suffix":""},{"dropping-particle":"","family":"Ruiz Ochoa","given":"Mauricio Andres","non-dropping-particle":"","parse-names":false,"suffix":""}],"container-title":"Colombia Forestal","id":"ITEM-2","issue":"2","issued":{"date-parts":[["2017","6","21"]]},"page":"181","title":"Estado ecológico de algunos humedales colombianos en los últimos 15 años: Una evaluación prospectiva","type":"article-journal","volume":"20"},"uris":["http://www.mendeley.com/documents/?uuid=e1479b26-1d60-3868-b716-a32e2b5b8e5f"]}],"mendeley":{"formattedCitation":"[14], [19]","plainTextFormattedCitation":"[14], [19]"},"properties":{"noteIndex":0},"schema":"https://github.com/citation-style-language/schema/raw/master/csl-citation.json"}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[14], [19]</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Eles também sofreram uma dramática degradação e fragmentação, levando a um aumento no número e tamanho de manchas, bem como a diferenças nas estruturas ecológicas, causadas pela diminuição dos corpos d'água </w:t>
      </w:r>
      <w:r w:rsidRPr="0066103D">
        <w:rPr>
          <w:rFonts w:ascii="Arial" w:eastAsiaTheme="minorHAnsi" w:hAnsi="Arial" w:cs="Arial"/>
          <w:noProof/>
          <w:sz w:val="22"/>
          <w:szCs w:val="22"/>
          <w:lang w:val="es-ES" w:eastAsia="en-US"/>
        </w:rPr>
        <w:fldChar w:fldCharType="begin" w:fldLock="1"/>
      </w:r>
      <w:r w:rsidRPr="0066103D">
        <w:rPr>
          <w:rFonts w:ascii="Arial" w:eastAsiaTheme="minorHAnsi" w:hAnsi="Arial" w:cs="Arial"/>
          <w:noProof/>
          <w:sz w:val="22"/>
          <w:szCs w:val="22"/>
          <w:lang w:val="pt-BR" w:eastAsia="en-US"/>
        </w:rPr>
        <w:instrText>ADDIN CSL_CITATION {"citationItems":[{"id":"ITEM-1","itemData":{"ISSN":"0120548X","abstract":"The dynamics of Juan Amarillos' wetland were analyzed during 55 year between 1950 and 2005. The results showed that the landscape configuration of the ecosystems has dramatically changed within a trend to increase in number, size, and patch type. Likewise, important structural differences came up between the various periods in question; such differences appear to be related to the reduction and disappearance of the pond and the significant increase of the non native kikuyo grass (Pennisetum clandestinum). Regarding the spatial arrangement of the landscape elements, there were no significant changes in spatial distribution patterns. According to the fractal dimension and complexity, the landscape elements showed two trends: non native and man-made elements are more complex in shape, whereas native elements showed more regular shapes. Finally, the wetland dynamics were modelled with the aim of construing how the multiple interactions of the landscape elements have influenced the wetland configuration over time.","author":[{"dropping-particle":"","family":"Bejarano Mora","given":"Patricia Andrea","non-dropping-particle":"","parse-names":false,"suffix":""},{"dropping-particle":"","fa</w:instrText>
      </w:r>
      <w:r w:rsidRPr="0066103D">
        <w:rPr>
          <w:rFonts w:ascii="Arial" w:eastAsiaTheme="minorHAnsi" w:hAnsi="Arial" w:cs="Arial"/>
          <w:noProof/>
          <w:sz w:val="22"/>
          <w:szCs w:val="22"/>
          <w:lang w:val="es-ES" w:eastAsia="en-US"/>
        </w:rPr>
        <w:instrText>mily":"Bonilla","given":"María Argenis","non-dropping-particle":"","parse-names":false,"suffix":""}],"container-title":"Acta Biologica Colombiana","id":"ITEM-1","issue":"1","issued":{"date-parts":[["2009"]]},"page":"87-106","title":"Dinámica espacio-temporal del humedal Juan Amarillo entre 1950-2005","type":"article-journal","volume":"14"},"uris":["http://www.mendeley.com/documents/?uuid=8cc7a9b4-c951-44b2-8460-48fd30336936"]},{"id":"ITEM-2","itemData":{"DOI":"10.1016/j.rse.2019.111467","ISSN":"00344257","abstract":"Land conversion and fragmentation threaten the resilience and biodiversity of wetland ecosystems which makes the future of their services to humans uncertain. Remote sensing can provide frequent and consistent data to facilitate wetland monitoring from regional to national scales and support their conservation and adaptive management. However, unique characteristics of wetlands, particularly land cover heterogeneity and background reflectance from soil, water and dead biomass, limit the efficacy of remote-sensing based metrics developed for terrestrial ecosystems. To identify the factors impacting satellite-based measurements of wetland greenness, we tested how six spectral vegetation indices responded to the land surface characteristics and regional climatic and edaphic context of 1,138 wetlands sites surveyed by the U.S EPA's National Wetland Condition Assessment. Spectral vegetation indices (SVIs) were estimated using all cloud-free surface reflectance data captured in 2011 by Landsat 5 TM and 7 ETM+. We tested two annually aggregated metrics —maximum and median greenness— for each SVI to facilitate the analysis of such a large dataset of satellite images. Using univariate and multivariate ordinary least square regression, we assessed how the annual maximum and median of each SVI responded to indicators of vegetation structure and composition, presence of dead biomass, open water, bare soil, and climatic/edaphic variables. Results show that, in the full national-scale dataset, the normalized difference vegetation index (NDVI) and the green normalized difference vegetation index (GNDVI) were most responsive to field-based metrics of vegetation structure and composition. However, the responses of SVIs differed significantly among wetland types, suggesting that their use should be tailored</w:instrText>
      </w:r>
      <w:r w:rsidRPr="0066103D">
        <w:rPr>
          <w:rFonts w:ascii="Arial" w:eastAsiaTheme="minorHAnsi" w:hAnsi="Arial" w:cs="Arial"/>
          <w:noProof/>
          <w:sz w:val="22"/>
          <w:szCs w:val="22"/>
          <w:lang w:val="pt-BR" w:eastAsia="en-US"/>
        </w:rPr>
        <w:instrText xml:space="preserve"> to the specific characteristics of the monitored wetlands. Annually aggregated metrics showed different sensitivity in multivariate models, with median greenness being more sensitive to structure and composition, but also to confounding site variables including litter, open water, and bare soil. This study represents a first-time effort to study relationships between the on-site properties of wetlands and their spectral characteristics at a national scale.","author":[{"dropping-particle":"","family":"Taddeo","given":"Sophie","non-dropping-particle":"","parse-names":false,"suffix":""},{"dropping-particle":"","family":"Dronova","given":"Iryna","non-dropping-particle":"","parse-names":false,"suffix":""},{"dropping-particle":"","family":"Depsky","given":"Nicholas","non-dropping-particle":"","parse-names":false,"suffix":""}],"container-title":"Remote Sensing of Environment","id":"ITEM-2","issued":{"date-parts":[["2019","12","1"]]},"page":"111467","publisher":"Elsevier Inc.","title":"Spectral vegetation indices of wetland greenness: Responses to vegetation structure, composition, and spatial distribution","type":"article-journal","volume":"234"},"uris":["http://www.mendeley.com/documents/?uuid=613f8351-6338-3100-a533-85c06afd374e"]}],"mendeley":{"formattedCitation":"[20], [21]","plainTextFormattedCitation":"[20], [21]","previouslyFormattedCitation":"[22], [23]"},"properties":{"noteIndex":0},"schema":"https://github.com/citation-style-language/schema/raw/master/csl-citation.json"}</w:instrText>
      </w:r>
      <w:r w:rsidRPr="0066103D">
        <w:rPr>
          <w:rFonts w:ascii="Arial" w:eastAsiaTheme="minorHAnsi" w:hAnsi="Arial" w:cs="Arial"/>
          <w:noProof/>
          <w:sz w:val="22"/>
          <w:szCs w:val="22"/>
          <w:lang w:val="es-ES" w:eastAsia="en-US"/>
        </w:rPr>
        <w:fldChar w:fldCharType="separate"/>
      </w:r>
      <w:r w:rsidRPr="0066103D">
        <w:rPr>
          <w:rFonts w:ascii="Arial" w:eastAsiaTheme="minorHAnsi" w:hAnsi="Arial" w:cs="Arial"/>
          <w:noProof/>
          <w:sz w:val="22"/>
          <w:szCs w:val="22"/>
          <w:lang w:val="pt-BR" w:eastAsia="en-US"/>
        </w:rPr>
        <w:t>[20], [21]</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w:t>
      </w:r>
    </w:p>
    <w:p w14:paraId="0F43A1CA" w14:textId="77777777" w:rsidR="0066103D" w:rsidRPr="0066103D" w:rsidRDefault="0066103D" w:rsidP="00853F65">
      <w:pPr>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 xml:space="preserve">Atualmente, as zonas úmidas ao redor do mundo enfrentam principalmente o fenômeno da "expansão urbana" ou "peri-urbanização"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{"citationItems":[{"id":"ITEM-1","itemData":{"DOI":"10.4067/s0718-34022015000200010","ISSN":"03798682","abstract":"Urbanization of the Metropolitan region of Concepción (36°S) in the last decades has impacted on the ecological value of areas such as wetlands and lagoons. Here, we analyse the disturbance to biodiversity indicators in six urban wetlands. Three measures are proposed: a naturalness indicator and two Macrolepidoptera plant indicators of species richness. Multiple regression models were developed for the assessment of indicators. Results show that the wetlands with the lowest degree of human interference are located in a protected area and surrounded by a matrix of semi-natural landscapes, whereas the more disturbed wetlands are those closer to areas of urbanization. Results indicate that macrolepidopterans richness is more affected by the distance to roads, in contrast with the richness of plants, which is affected by housing density. We generated a tool for the assessment of urbanization effects in urban wetlands.","author":[{"dropping-particle":"","family":"Rojas","given":"Carolina","non-dropping-particle":"","parse-names":false,"suffix":""},{"dropping-particle":"","family":"Sepúlveda-Zúñiga","given":"Einer","non-dropping-particle":"","parse-names":false,"suffix":""},{"dropping-particle":"","family":"Barbosa","given":"Olga","non-dropping-particle":"","parse-names":false,"suffix":""},{"dropping-particle":"","family":"Rojas","given":"Octavio","non-dropping-particle":"","parse-names":false,"suffix":""},{"dropping-particle":"","family":"Martínez","given":"Carolina","non-dropping-particle":"","parse-names":false,"suffix":""}],"container-title":"Revista de Geografia Norte Grande","id":"ITEM-1","issue":"61","issued":{"date-parts":[["2015"]]},"page":"181-204","title":"Patrones de urbanización en la biodiversidad de humedales urbanos en Concepción metropolitano","type":"article-journal"},"uris":["http://www.mendeley.com/documents/?uuid=2a46bdae-6162-4a79-b27b-cc744402db2a"]},{"id":"ITEM-2","itemData":{"DOI":"10.14198/ingeo2017.68.09","ISSN":"0213-4691","abstract":"La periurbanización se ha considerado como motor del cambio de uso del suelo y de la pérdida de ecosistemas y de biodiversidad. A partir de esta premisa, la investigación plantea el seguimiento, desde una doble perspectiva, histórica y predictiva, de los cambios en la superficie de los humedales y en la deforestación progresiva entorno a Villahermosa, la urbe más importante de la cuenca del río Grijalva, en el Estado de Tabasco (México). Se han utilizado diferentes métodos: el análisis bibliográfico para el periodo desde la fundación de la ciudad hasta el último tercio del siglo XX, la verificación de fotografías aéreas entre 1984 y 2008 y la modelización de escenarios futuros, entre 2020 y 2040. Desde el periodo colonial hasta mediados del</w:instrText>
      </w:r>
      <w:r w:rsidRPr="0066103D">
        <w:rPr>
          <w:rFonts w:ascii="Arial" w:eastAsiaTheme="minorHAnsi" w:hAnsi="Arial" w:cs="Arial"/>
          <w:noProof/>
          <w:sz w:val="22"/>
          <w:szCs w:val="22"/>
          <w:lang w:eastAsia="en-US"/>
        </w:rPr>
        <w:instrText xml:space="preserve"> siglo veinte, las inundaciones y la insalubridad dificultaron el crecimiento de la ciudad pese a la transformación de la red hídrica superficial en la cuenca, iniciada mediante la construcción de diques en el siglo XVII. Posteriormente, las elevadas tasas de pérdida de humedales y deforestación (-0.50 y -4.63 %) se incrementaron por la urbanización y el impacto de los programas de producción agropecuaria y petrolización. En los últimos 40 años, el desarrollo periurbano oca</w:instrText>
      </w:r>
      <w:r w:rsidRPr="0066103D">
        <w:rPr>
          <w:rFonts w:ascii="Arial" w:eastAsiaTheme="minorHAnsi" w:hAnsi="Arial" w:cs="Arial"/>
          <w:noProof/>
          <w:sz w:val="22"/>
          <w:szCs w:val="22"/>
          <w:lang w:val="pt-BR" w:eastAsia="en-US"/>
        </w:rPr>
        <w:instrText>sionó la pérdida de 4.008 ha de vegetación arbórea y 289 ha de humedales, con una tendencia a desaparecer 1.449 y 356 ha adicionales respectivamente en el futuro 2040. Estos resultados resaltan la necesidad de rediseñar un programa metropolitano, transdisciplinario y sustentable que respete y actualice las reservas territoriales para regular la periurbanización.","author":[{"dropping-particle":"","family":"Palomeque de la Cruz","given":"Miguel Ángel","non-dropping-particle":"","parse-names":false,"suffix":""},{"dropping-particle":"","family":"Galindo Alcántara","given":"Adalberto","non-dropping-particle":"","parse-names":false,"suffix":""},{"dropping-particle":"","family":"Sánchez","given":"Alberto J","non-dropping-particle":"","parse-names":false,"suffix":""},{"dropping-particle":"","family":"Escalona Maurice","given":"Miguel Jorge","non-dropping-particle":"","parse-names":false,"suffix":""}],"container-title":"Investigaciones Geográficas","id":"ITEM-2","issue":"68","issued":{"date-parts":[["2017"]]},"page":"151-172","title":"Pérdida de humedales y vegetación por urbanización en la cuenca del río Grijalva, México","type":"article-journal"},"uris":["http://www.mendeley.com/documents/?uuid=f25d0739-bb20-39b5-b21c-2717a8652908"]}],"mendeley":{"formattedCitation":"[13], [22]","plainTextFormattedCitation":"[13], [22]","previouslyFormattedCitation":"[13], [24]"},"properties":{"noteIndex":0},"schema":"https://github.com/citation-style-language/schema/raw/master/csl-citation.json"}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[13], [22]</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onde o padrão de crescimento populacional está se expandindo em direção às áreas periféricas das cidades, degradando os solos e exercendo pressão sobre espaços naturais frágeis, como as zonas úmidas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{"citationItems":[{"id":"ITEM-1","itemData":{"DOI":"10.15446/rcdg.v27n1.60584","ISSN":"22565442","abstract":"Wetlands are ecosystems that have played a fundamental role in the development of communities due to their close relation to water. In Bogotá D.C., the distribution of wetlands corresponds to a broad altitudinal gradient and it is ordered according to the District’s Main Ecological Structure. The article carries out a reflection on the importance of evaluating landscape studies for the environmental ordering of Bogotá, with an emphasis on the wetland fragments found in the city. At the landscape level, wetlands are strategic ecosystems that allow for the ecosystemic connectivity of a land cover mosaic, and they are represented as protected natural areas of the District in an ever-developing urban matrix that jeopardizes their preservation.","author":[{"dropping-particle":"","family":"Cortés Ballén","given":"Lorena Andrea","non-dropping-particle":"","parse-names":false,"suffix":""}],"container-title":"Cuadernos de Geografia: Revista Colombiana de Geografia","id":"ITEM-1","issue":"1","issued":{"date-parts":[["2018"]]},"page":"118-130","title":"Aproximación al paisaje de los humedales urbanos de Bogotá dentro de la estructura ecológica principal de la ciudad","type":"article-journal","volume":"27"},"uris":["http://www.mendeley.com/documents/?uuid=77be64cd-0342-37c0-ad73-086bac7a0553"]}],"mendeley":{"formattedCitation":"[23]","plainTextFormattedCitation":"[23]","previouslyFormattedCitation":"[25]"},"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[23]</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Da mesma forma, são desenvolvidas atividades agrícolas e pecuárias que deterioram a cobertura vegetal, que está associada a vários usos do solo devido ao pastoreio intensivo e à remoção de biomassa pelos animais, o que, influencia as características do solo, o que por sua vez modifica as condições da água e a circulação de nutrientes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{"citationItems":[{"id":"ITEM-1","itemData":{"DOI":"10.14483/udistrital.jour.colomb.for.2015.2.a06","ISSN":"2256-201X","abstract":"Con el objetivo de evaluar los efectos del uso del suelo sobre la cuenca del caño Camoa, Meta, se cuantificó el contenido de materia orgánica edáfica (CMOE), la densidad aparente y el contenido de agua en condiciones de campo y capacidad de campo. Para ello se extrajeron núcleos de suelo de bosques y pastizales riparios con diferente productividad de hojarasca y se evaluó la relación entre el CMOE y el volumen deficitario de agua mediante regresiones. Así mismo, se identificó mediante trampas de caída la organización trófica de los artrópodos de la superficie del suelo. Debido a sus CMOE superiores al 5%, los suelos con mayor cantidad de hojarasca (alta productividad) presentaron contenidos de agua superiores a los de bosques menos productivos y de pastizales (p &lt; 0.05 en ambos casos). Las diferencias en el contenido de agua de los suelos de las distintas coberturas evaluadas sugieren que el papel de la escorrentía superficial en los bosques ha sido subestimado. El manejo de cuencas debe propender por el establecimiento de bosques productivos que generen CMOE superiores al 5%, para promover la continuidad y el v</w:instrText>
      </w:r>
      <w:r w:rsidRPr="0066103D">
        <w:rPr>
          <w:rFonts w:ascii="Arial" w:eastAsiaTheme="minorHAnsi" w:hAnsi="Arial" w:cs="Arial"/>
          <w:noProof/>
          <w:sz w:val="22"/>
          <w:szCs w:val="22"/>
          <w:lang w:eastAsia="en-US"/>
        </w:rPr>
        <w:instrText>olumen en la oferta hídrica de los ríos al generar flujos constantes de agua subsuperficial y al regular flujos esporádicos superficiales. La variedad de funciones e interacciones tróficas que cumplen los artrópodos del suelo en los bosques indica que una estructuración óptima de esta comunidad favorecería la conversión de compuestos simples y complejos en humus y por lo tanto la capacidad de retención de agua.","author":[{"dropping-particle":"","family":"Sánchez Núñez","given":"David Alejandro","non-dropping-particle":"","parse-names":false,"suffix":""},{"dropping-particle":"","family":"Pinilla Agudelo","given":"Gabriel Antonio","non-dropping-particle":"","parse-names":false,"suffix":""},{"dropping-particle":"","family":"Mancera Pineda","given":"Jose Ernesto","non-dropping-particle":"","parse-names":false,"suffix":""}],"container-title":"Colombia Forestal","id":"ITEM-1","issue":"2","issued":{"date-parts":[["2015"]]},"page":"255-272","title":"Efectos del uso del suelo en las propiedades edáficas y la escorrentía superficial en una cuenca de la Orinoquia Colombiana","type":"article-journal","volume":"18"},"uris":["http://www.mendeley.com/documents/?uuid=7c567182-92fb-472e-b1d9-a90666d07013"]},{"id":"ITEM-2","itemData":{"DOI":"10.1016/j.agee.2013.04.017","ISSN":"01678809","abstract":"Prairie wetlands are considered valuable habitat for plants, birds, and wildlife. Livestock use of these wetlands can create conflicts with conservation issues. To achieve proper management, patterns and processes induced by grazing livestock need to be understood. In this study, we examined interactions of livestock use, soil and vegetation of depressional prairie wetlands in British Columbia, Canada. Plant community composition, biomass, and soil properties (bulk density, salinity, nitrogen and carbon content) were sampled on transects in marsh and wet meadow vegetation zones of wetlands along a grazing intensity gradient. Grime's CSR-strategies were used to calibrate strategy signatures, which indicate the importance of competition, stress and disturbance. Heavily grazed sites had higher salinity, less biomass, and proportionally less belowground biomass. Differences concerning strategies between vegetation zones were only apparent in un/lightly grazed sites, where stress was higher in marsh and competition higher in wet meadow zones. Livestock use and nitrogen were positively correlated with ruderal abun</w:instrText>
      </w:r>
      <w:r w:rsidRPr="0066103D">
        <w:rPr>
          <w:rFonts w:ascii="Arial" w:eastAsiaTheme="minorHAnsi" w:hAnsi="Arial" w:cs="Arial"/>
          <w:noProof/>
          <w:sz w:val="22"/>
          <w:szCs w:val="22"/>
          <w:lang w:val="pt-BR" w:eastAsia="en-US"/>
        </w:rPr>
        <w:instrText>dance and negatively correlated with competitors and stress-tolerators. Livestock use was identified to be most influential on plant strategies. Our results indicate that heavy livestock use significantly alters vegetation patterns and processes in prairie wetlands and may have negative impact on valuable habitat. Management decisions should consider reduced livestock access and incorporate conservation issues in grazing schemes. © 2013 Elsevier B.V.","author":[{"dropping-particle":"","family":"Teuber","given":"Laurenz M.","non-dropping-particle":"","parse-names":false,"suffix":""},{"dropping-particle":"","family":"Hölzel","given":"Norbert","non-dropping-particle":"","parse-names":false,"suffix":""},{"dropping-particle":"","family":"Fraser","given":"Lauchlan H.","non-dropping-particle":"","parse-names":false,"suffix":""}],"container-title":"Agriculture, Ecosystems and Environment","id":"ITEM-2","issued":{"date-parts":[["2013","8","1"]]},"page":"21-28","publisher":"Elsevier","title":"Livestock grazing in intermountain depressional wetlands-Effects on plant strategies, soil characteristics and biomass","type":"article-journal","volume":"175"},"uris":["http://www.mendeley.com/documents/?uuid=f57fa5fd-a58d-3feb-8301-b9228562c63a"]}],"mendeley":{"formattedCitation":"[24], [25]","plainTextFormattedCitation":"[24], [25]","previouslyFormattedCitation":"[26], [27]"},"properties":{"noteIndex":0},"schema":"https://github.com/citation-style-language/schema/raw/master/csl-citation.json"}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[24], [25]</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w:t>
      </w:r>
    </w:p>
    <w:p w14:paraId="30A289B7" w14:textId="77777777" w:rsidR="0066103D" w:rsidRPr="0066103D" w:rsidRDefault="0066103D" w:rsidP="00853F65">
      <w:pPr>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 xml:space="preserve">Em outras palavras, a mudança na cobertura vegetal causada pelas ações antrópicas, os ecossistemas mudam das transições naturais para os sistemas agrícolas, o que altera as funções do solo, pois sua vocação não é levada em conta, excedendo a capacidade de carga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{"citationItems":[{"id":"ITEM-1","itemData":{"DOI":"10.18041/entramado.2018v14n1.27141","author":[{"dropping-particle":"","family":"Aguirre-forero","given":"Sonia Esperanza","non-dropping-particle":"","parse-names":false,"suffix":""},{"dropping-particle":"","family":"Piraneque-gambasica","given":"Nelson Virgilio","non-dropping-particle":"","parse-names":false,"suffix":""},{"dropping-particle":"","family":"Vásquez-polo","given":"José Rafael","non-dropping-particle":"","parse-names":false,"suffix":""}],"container-title":"Entramado","id":"ITEM-1","issue":"1","issued":{"date-parts":[["2018"]]},"page":"242-250","title":"Características edáficas y su relación con usos del suelo en Santa Marta, Colombia","type":"article-journal","volume":"14"},"uris":["http://www.mendeley.com/documents/?uuid=94832fa4-fd9a-4b3e-b0f8-c0aea479145b"]}],"mendeley":{"formattedCitation":"[26]","plainTextFormattedCitation":"[26]","previouslyFormattedCitation":"[28]"},"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[26]</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consequentemente, os processos hidrológicos entre a cobertura vegetal e a estrutura do solo são afetados, reduzindo significativamente a infiltração e, portanto, a recarga de água da área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 xml:space="preserve">ADDIN CSL_CITATION {"citationItems":[{"id":"ITEM-1","itemData":{"DOI":"10.1016/j.ecolind.2020.106150","ISSN":"1470160X","abstract":"Coastal wetlands play an important role in regional and even continental sustainable development because of their valuable ecosystem services. The coupling mechanism among hydrology, edaphic factors, and vegetation is the key to coastal wetland management. The current study conducted in the Yellow River Delta used an improved-comprehensive hydrological connectivity structure index, Topographic Over Field Capacity Index (TOFCI), based on both soil water conditions (SWC) and topography to highlight the role of hydrological connectivity on intertidal flat (IF), tidal marsh (TM), semi-artificial pond (AP) and riverside intermittent flooded (RS) wetland classes among other environmental variables. The results showed plant community distributions and structures among wetland classes differed from each other significantly, and hydrological connectivity structure is one of the driving factors. The results provided three pieces of evidence for this inference: 1) according to PCA results, the contribution of TOFCI is the highest among all environmental variables; 2) TOFCI values show significant difference among different plant communities; 3) TOFCI is also significantly correlated to species composition and distribution according to the CCA and RDA results. TOFCI values are positively linearly correlated to </w:instrText>
      </w:r>
      <w:r w:rsidRPr="0066103D">
        <w:rPr>
          <w:rFonts w:ascii="Arial" w:eastAsiaTheme="minorHAnsi" w:hAnsi="Arial" w:cs="Arial"/>
          <w:noProof/>
          <w:sz w:val="22"/>
          <w:szCs w:val="22"/>
          <w:lang w:eastAsia="en-US"/>
        </w:rPr>
        <w:instrText>the plant coverage and biomass in intertidal flat wetlands according to linear regression analysis. Furthermore, salinity, soil total nitrogen and soil total phosphorus also influence plant community distribution and species composition. Finally, simple parameters for soil water conditions or topographic characteristics do not show significant explanatory power to hydrology-vegetation interaction. The results of the current study provide a new perspective for coastal wetland conservation and restoration.","author":[{"dropping-particle":"","family":"Liu","given":"Jiakai","non-dropping-particle":"","parse-names":false,"suffix":""},{"dropping-particle":"","family":"Engel","given":"Bernard A.","non-dropping-particle":"","parse-names":false,"suffix":""},{"dropping-particle":"","family":"Zhang","given":"Guifang","non-dropping-particle":"","parse-names":false,"suffix":""},{"dropping-particle":"","family":"Wang","given":"Yu","non-dropping-particle":"","parse-names":false,"suffix":""},{"dropping-particle":"","family":"Wu","given":"Yanan","non-dropping-particle":"","parse-names":false,"suffix":""},{"dropping-particle":"","family":"Zhang","given":"Mingxiang","non-dropping-particle":"","parse-names":false,"suffix":""},{"dropping-particle":"","family":"Zhang","given":"Zhenming","non-dropping-particle":"","parse-names":false,"suffix":""}],"container-title":"Ecological Indicators","id":"ITEM-1","issued":{"date-parts":[["2020","5","1"]]},"page":"106150","publisher":"Elsevier B.V.","title":"Hydrological connectivity: One of the driving factors of plant communities in the Yellow River Delta","type":"article-journal","volume":"112"},"uris":["http://www.mendeley.com/documents/?uuid=710f3cb4-dc4c-3267-a427-2b0a1cb69dc5"]},{"id":"ITEM-2","itemData":{"DOI":"10.1016/j.scitotenv.2019.135452","ISSN":"18791026","PMID":"31810688","abstract":"Wetlands are interconnected with the larger surrounding landscape through the hydrological cycling of water and waterborne substances. Therefore, the borders of individual wetlands may not be appropriate landscape system boundaries for understanding large-scale functions and ecosystem services of wetlandscapes (wetland network – landscape systems), and how these can be impacted by climate and land-use changes. Recognizing that such large-scale behaviours may not be easily predicted by simple extrapolation of individual wetland behaviours, we here investigate properties of 15 Swedish wetlandscapes in the extensive (22 650 km2) Norrström drainage basin (NDB) comprising as many as 1699 wetlands. Results based on wetland survey data in combination with GIS-based ecohydrological analyses showed that wetlands located in wetlandscapes above a certain size (in the NDB: ~250 km2) consistently formed networks with characteristics required to support key ecosystem services such as nutrient/pollutant retention and biodiversity support. This was in contrast to smaller wetlandscapes (&lt;250 km2), which had smaller and less diverse wetlands with insufficient throughflow to significantly impact large-scale flows of water and nutrients/pollutants. The existence of such wetlandscape-size thresholds is consistent with scale-dependent flow ac</w:instrText>
      </w:r>
      <w:r w:rsidRPr="0066103D">
        <w:rPr>
          <w:rFonts w:ascii="Arial" w:eastAsiaTheme="minorHAnsi" w:hAnsi="Arial" w:cs="Arial"/>
          <w:noProof/>
          <w:sz w:val="22"/>
          <w:szCs w:val="22"/>
          <w:lang w:val="pt-BR" w:eastAsia="en-US"/>
        </w:rPr>
        <w:instrText>cumulation patterns in catchments, suggesting likely transferability of this result also to other regions.","author":[{"dropping-particle":"","family":"Åhlén","given":"Imenne","non-dropping-particle":"","parse-names":false,"suffix":""},{"dropping-particle":"","family":"Hambäck","given":"Peter","non-dropping-particle":"","parse-names":false,"suffix":""},{"dropping-particle":"","family":"Thorslund","given":"Josefin","non-dropping-particle":"","parse-names":false,"suffix":""},{"dropping-particle":"","family":"Frampton","given":"Andrew","non-dropping-particle":"","parse-names":false,"suffix":""},{"dropping-particle":"","family":"Destouni","given":"Georgia","non-dropping-particle":"","parse-names":false,"suffix":""},{"dropping-particle":"","family":"Jarsjö","given":"Jerker","non-dropping-particle":"","parse-names":false,"suffix":""}],"container-title":"Science of the Total Environment","id":"ITEM-2","issued":{"date-parts":[["2020","2","20"]]},"page":"135452","publisher":"Elsevier B.V.","title":"Wetlandscape size thresholds for ecosystem service delivery: Evidence from the Norrström drainage basin, Sweden","type":"article-journal","volume":"704"},"uris":["http://www.mendeley.com/documents/?uuid=8546d16e-16d5-3660-944c-67d47a7586a1"]}],"mendeley":{"formattedCitation":"[27], [28]","plainTextFormattedCitation":"[27], [28]","previouslyFormattedCitation":"[18], [29]"},"properties":{"noteIndex":0},"schema":"https://github.com/citation-style-language/schema/raw/master/csl-citation.json"}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[27], [28]</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w:t>
      </w:r>
    </w:p>
    <w:p w14:paraId="668A0852" w14:textId="77777777" w:rsidR="0066103D" w:rsidRPr="0066103D" w:rsidRDefault="0066103D" w:rsidP="00853F65">
      <w:pPr>
        <w:jc w:val="both"/>
        <w:rPr>
          <w:rFonts w:ascii="Arial" w:eastAsiaTheme="minorHAnsi" w:hAnsi="Arial" w:cs="Arial"/>
          <w:noProof/>
          <w:sz w:val="22"/>
          <w:szCs w:val="22"/>
          <w:lang w:val="pt-BR" w:eastAsia="en-US"/>
        </w:rPr>
      </w:pPr>
      <w:r w:rsidRPr="0066103D">
        <w:rPr>
          <w:rFonts w:ascii="Arial" w:eastAsiaTheme="minorHAnsi" w:hAnsi="Arial" w:cs="Arial"/>
          <w:noProof/>
          <w:sz w:val="22"/>
          <w:szCs w:val="22"/>
          <w:lang w:val="pt-BR" w:eastAsia="en-US"/>
        </w:rPr>
        <w:t xml:space="preserve">Por outro lado, os sistemas de zonas úmidas estão sendo afetados por processos climáticos devido a períodos alternados de chuvas e intensidade do déficit hídrico, acelerando a perda e mudança das propriedades hídricas do solo e, consequentemente, das características das zonas úmidas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{"citationItems":[{"id":"ITEM-1","itemData":{"DOI":"10.1016/j.ecolind.2020.106941","ISSN":"1470160X","abstract":"Geographically Isolated Wetlands (GIWs) are essential ecological and ecosystem entities that are vulnerable to climate change. The water storage volume (WSV) of GIWs is an important indicator to monitor their health and ecosystem services. Therefore, the projection of changes in future WSV of GIWs is crucial for conservation policies that are typically set at the regional scale. A limiting factor for the extended spatial projection of WSV of GIWs is the lack of data on their geometry, bathymetry, and the complexity of hydrologic relation to the surrounding drainage basin and the climate at a regional scale. In this study, we developed a hybrid Machine Learning (ML) – hydrologic modelling approach, from which a number of indices and variables derived to assess WSV of GIWs. We projected future changes in WSV of about a hundred thousand GIWs across 17 large river basins in western Canada, using a nine-model ensemble climate simulations under two greenhouse gas emissions scenarios (i.e., RCP 2.6 and RCP 8.5). We estimated the baseline WSV by developing ML models using water depth measurements and geographical information features from 234 surveyed GIWs across the study area. Future WSV was quantified using a three-step procedure, where water balance simulations were facilitated through the Soil and Water Assessment Tool (SWAT) for the 2018–2034 period, and GIW specific mass-balance components were adapted using remote sensing data. The spatiotemporal analysis of the WSV offers new insights, and reveals (1) a baseline provincial WSV of 550 million m3, with an average of 5,508 m3 per GIW, (2) a decreasing future WSV at annual rates of −2.58 and −2.62 million m3 for RCP 2.6 and RCP 8.5, respectively, and (3) the minimum and maximum WSV loss rates occurring during October and February, respectively, and (4) a diverse trend and magnitude of changes in WSV across 17 river basins. Finally, we state that while a group of hydrologic, climatic, and geographic processes and factors drives WSV of GIWs, the dominating driving force in WSV trends might be spatially and temporally different depending on the environmental conditions and characteristics of river basins and their associated GIWs. This study facilitates a better understanding of the connections between the WSV of GIWs and watershed-scale hydrology and climate change across multiple spatial scales.","author":[{"dropping-particle":"","family":"Cui","given":"Quan","non-dropping-particle":"","parse-names":false,"suffix":""},{"dropping-particle":"","family":"Ammar","given":"Mohamed E.","non-droppin</w:instrText>
      </w:r>
      <w:r w:rsidRPr="0066103D">
        <w:rPr>
          <w:rFonts w:ascii="Arial" w:eastAsiaTheme="minorHAnsi" w:hAnsi="Arial" w:cs="Arial"/>
          <w:noProof/>
          <w:sz w:val="22"/>
          <w:szCs w:val="22"/>
          <w:lang w:eastAsia="en-US"/>
        </w:rPr>
        <w:instrText>g-particle":"","parse-names":false,"suffix":""},{"dropping-particle":"","family":"Iravani","given":"Majid","non-dropping-particle":"","parse-names":false,"suffix":""},{"dropping-particle":"","family":"Kariyeva","given":"Jahan","non-dropping-particle":"","parse-names":false,"suffix":""},{"dropping-particle":"","family":"Faramarzi","given":"Monireh","non-dropping-particle":"","parse-names":false,"suffix":""}],"container-title":"Ecological Indicators","id":"ITEM-1","issued":{"date-parts":[["2021","1","1"]]},"page":"106941","publisher":"Elsevier B.V.","title":"Regional wetland water storage changes: The influence of future climate on geographically isolated wetlands","type":"article-journal","volume":"120"},"uris":["http://www.mendeley.com/documents/?uuid=c97bd99a-c919-3bac-9556-3336ba69450d"]},{"id":"ITEM-2","itemData":{"DOI":"10.1007/s00027-011-0232-5","ISSN":"10151621","abstract":"The condition of many wetlands across Australia has deteriorated due to increased water regulation and the expansion and intensification of agriculture and increased urban and industrial expansion. Despite this situation, a comprehensive overview of the distribution and condition of wetlands across Australia is not available. Regional analyses exist and several exemplary mapping and monitoring exercises have been maintained to complement the more general information sets. It is expected that global climate change will exacerbate the pressures on inland wetlands, while sea level rises will adversely affect coastal wetlands. It is also expected that the exacerbation of these pressures will increase the potential for near-irreversible changes in the ecological state of some wetlands. Concerted institutional responses to such pressures have in the past proven difficult to sustain, although there is some evidence that a more balanced approach to water use and agriculture is being developed with the provision of increasing funds to purchase water for environmental flows being one example. We identify examples from around Australia that illustrate the impacts on wetlands of long-term climate change from palaeoecological records (south-eastern Australia); water allocation (Murray-Darling Basin); dryland salinisation (south-western Australia); and coastal salinisation (northern Australia). These are provided to illustrate both the extent of change in wetlands and the complexity of differentiati</w:instrText>
      </w:r>
      <w:r w:rsidRPr="0066103D">
        <w:rPr>
          <w:rFonts w:ascii="Arial" w:eastAsiaTheme="minorHAnsi" w:hAnsi="Arial" w:cs="Arial"/>
          <w:noProof/>
          <w:sz w:val="22"/>
          <w:szCs w:val="22"/>
          <w:lang w:val="pt-BR" w:eastAsia="en-US"/>
        </w:rPr>
        <w:instrText>ng the specific effects of climate change. An appraisal of the main policy responses by government to climate change is provided as a basis for further considering the opportunities for mitigation and adaptation to climate change. © 2011 Springer Basel AG.","author":[{"dropping-particle":"","family":"Finlayson","given":"C. M.","non-dropping-particle":"","parse-names":false,"suffix":""},{"dropping-particle":"","family":"Davis","given":"J. A.","non-dropping-particle":"","parse-names":false,"suffix":""},{"dropping-particle":"","family":"Gell","given":"P. A.","non-dropping-particle":"","parse-names":false,"suffix":""},{"dropping-particle":"","family":"Kingsford","given":"R. T.","non-dropping-particle":"","parse-names":false,"suffix":""},{"dropping-particle":"","family":"Parton","given":"K. A.","non-dropping-particle":"","parse-names":false,"suffix":""}],"container-title":"Aquatic Sciences","id":"ITEM-2","issue":"1","issued":{"date-parts":[["2013","1","10"]]},"page":"73-93","publisher":"Springer","title":"The status of wetlands and the predicted effects of global climate change: The situation in Australia","type":"article-journal","volume":"75"},"uris":["http://www.mendeley.com/documents/?uuid=6241f363-619f-33fb-bece-15d28c47c11c"]}],"mendeley":{"formattedCitation":"[29], [30]","plainTextFormattedCitation":"[29], [30]","previouslyFormattedCitation":"[30], [31]"},"properties":{"noteIndex":0},"schema":"https://github.com/citation-style-language/schema/raw/master/csl-citation.json"}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[29], [30]</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Da mesma forma, a fragilidade dos ecossistemas está associada a períodos de seca, pois eles estão ligados à presença do recurso em uma base perene ou temporária para manter a integridade ecológica e continuar a prestar serviços ambientais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 xml:space="preserve">ADDIN CSL_CITATION {"citationItems":[{"id":"ITEM-1","itemData":{"DOI":"10.5194/hess-21-6289-2017","ISSN":"16077938","abstract":"The southeastern United States hosts extensive forested wetlands, providing ecosystem services including carbon sequestration, water quality improvement, groundwater recharge, and wildlife habitat. However, these wetland ecosystems are dependent on local climate and hydrology, and are therefore at risk due to climate and land use change. This study develops site-specific empirical hydrologic models for five forested wetlands with different characteristics by analyzing long-term observed meteorological and hydrological data. These wetlands represent typical cypress ponds/swamps, Carolina bays, pine flatwoods, drained pocosins, and natural bottomland hardwood ecosystems. The validated empirical models are then applied at each wetland to predict future water table changes using climate projections from 20 general circulation models (GCMs) participating in Coupled Model Inter-comparison Project 5 (CMIP5) under the Representative Concentration Pathways (RCPs) 4.5 and 8.5 scenarios. We show that combined future changes in precipitation and potential evapotranspiration would significantly alter wetland hydrology including </w:instrText>
      </w:r>
      <w:r w:rsidRPr="0066103D">
        <w:rPr>
          <w:rFonts w:ascii="Arial" w:eastAsiaTheme="minorHAnsi" w:hAnsi="Arial" w:cs="Arial"/>
          <w:noProof/>
          <w:sz w:val="22"/>
          <w:szCs w:val="22"/>
          <w:lang w:eastAsia="en-US"/>
        </w:rPr>
        <w:instrText>groundwater dynamics by the end of the 21st century. Compared to the historical period, all five wetlands are predicted to become drier over time. The mean water table depth is predicted to drop by 4 to 22â cm in response to the decrease in water availability (i.e., precipitation minus potential evapotranspiration) by the year 2100. Among the five examined wetlands, the depressional wetland in hot and humid Florida appears to be most vulnerable to future climate change. This study provides quantitative information on the potential magnitude of wetland hydrological response to future climate change in typical forested wetlands in the southeastern US.","author":[{"dropping-particle":"","family":"Zhu","given":"Jie","non-dropping-particle":"","parse-names":false,"suffix":""},{"dropping-particle":"","family":"Sun","given":"Ge","non-dropping-particle":"","parse-names":false,"suffix":""},{"dropping-particle":"","family":"Li","given":"Wenhong","non-dropping-particle":"","parse-names":false,"suffix":""},{"dropping-pa</w:instrText>
      </w:r>
      <w:r w:rsidRPr="0066103D">
        <w:rPr>
          <w:rFonts w:ascii="Arial" w:eastAsiaTheme="minorHAnsi" w:hAnsi="Arial" w:cs="Arial"/>
          <w:noProof/>
          <w:sz w:val="22"/>
          <w:szCs w:val="22"/>
          <w:lang w:val="pt-BR" w:eastAsia="en-US"/>
        </w:rPr>
        <w:instrText>rticle":"","family":"Zhang","given":"Yu","non-dropping-particle":"","parse-names":false,"suffix":""},{"dropping-particle":"","family":"Miao","given":"Guofang","non-dropping-particle":"","parse-names":false,"suffix":""},{"dropping-particle":"","family":"Noormets","given":"Asko","non-dropping-particle":"","parse-names":false,"suffix":""},{"dropping-particle":"","family":"McNulty","given":"Steve G.","non-dropping-particle":"","parse-names":false,"suffix":""},{"dropping-particle":"","family":"King","given":"John S.","non-dropping-particle":"","parse-names":false,"suffix":""},{"dropping-particle":"","family":"Kumar","given":"Mukesh","non-dropping-particle":"","parse-names":false,"suffix":""},{"dropping-particle":"","family":"Wang","given":"Xuan","non-dropping-particle":"","parse-names":false,"suffix":""}],"container-title":"Hydrology and Earth System Sciences","id":"ITEM-1","issue":"12","issued":{"date-parts":[["2017","12","13"]]},"page":"6289-6305","publisher":"Copernicus GmbH","title":"Modeling the potential impacts of climate change on the water table level of selected forested wetlands in the southeastern United States","type":"article-journal","volume":"21"},"uris":["http://www.mendeley.com/documents/?uuid=7d3c2a26-e005-37b6-8826-0dc2f10a4884"]}],"mendeley":{"formattedCitation":"[31]","plainTextFormattedCitation":"[31]","previouslyFormattedCitation":"[32]"},"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val="pt-BR" w:eastAsia="en-US"/>
        </w:rPr>
        <w:t>[31]</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w:t>
      </w:r>
    </w:p>
    <w:p w14:paraId="586E1FA2" w14:textId="77777777" w:rsidR="0066103D" w:rsidRDefault="0066103D" w:rsidP="00853F65">
      <w:pPr>
        <w:jc w:val="both"/>
        <w:rPr>
          <w:rFonts w:ascii="Arial" w:eastAsiaTheme="minorHAnsi" w:hAnsi="Arial" w:cs="Arial"/>
          <w:noProof/>
          <w:sz w:val="22"/>
          <w:szCs w:val="22"/>
          <w:lang w:eastAsia="en-US"/>
        </w:rPr>
      </w:pPr>
      <w:r w:rsidRPr="0066103D">
        <w:rPr>
          <w:rFonts w:ascii="Arial" w:eastAsiaTheme="minorHAnsi" w:hAnsi="Arial" w:cs="Arial"/>
          <w:noProof/>
          <w:sz w:val="22"/>
          <w:szCs w:val="22"/>
          <w:lang w:val="pt-BR" w:eastAsia="en-US"/>
        </w:rPr>
        <w:t xml:space="preserve">Entretanto, as atividades antropogênicas contribuíram significativamente para o desequilíbrio dos processos ecohidrológicos nas zonas úmidas </w:t>
      </w:r>
      <w:r w:rsidRPr="0066103D">
        <w:rPr>
          <w:rFonts w:ascii="Arial" w:eastAsiaTheme="minorHAnsi" w:hAnsi="Arial" w:cs="Arial"/>
          <w:noProof/>
          <w:sz w:val="22"/>
          <w:szCs w:val="22"/>
          <w:lang w:val="es-ES"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{"citationItems":[{"id":"ITEM-1","itemData":{"DOI":"10.1002/2017WR021975","ISSN":"19447973","abstract":"During the last century, we have observed a warming climate with more intense precipitation extremes in some regions, likely due to increases in the atmosphere's water holding capacity. Traditionally, infrastructure design and rainfall-triggered landslide models rely on the notion of stationarity, which assumes that the statistics of extremes do not change significantly over time. However, in a warming climate, infrastructures and natural slopes will likely face more severe climatic conditions, with potential human and socioeconomical consequences. Here we outline a framework for quantifying climate change impacts based on the magnitude and frequency of extreme rainfall events using bias corrected historical and multimodel projected precipitation extremes. The approach evaluates changes in rainfall Intensity-Duration-Frequency (IDF) curves and their uncertainty bounds using a nonstationary model based on Bayesian inference. We show that highly populated areas across the United States may experience extreme precipitation events up to 20% more intense and twice as frequent, relative to historical records, despite the expectation of unchanged annual mean precipitation. Since IDF curves are widely used for infrastructure design and risk assessment, the proposed framework offers an avenue for assessing resilience of infrastructure and landslide hazard in a warming climate.","author":[{"dropping-particle":"","family":"Ragno","given":"Elisa","non-dropping-particle":"","parse-names":false,"suffix":""},{"dropping-particle":"","family":"AghaKouchak","given":"Amir","non-dropping-particle":"","parse-names":false,"suffix":""},{"dropping-particle":"","family":"Love","given":"Charlotte A.","non-dropping-particle":"","parse-names":false,"suffix":""},{"dropping-particle":"","family":"Cheng","given":"Linyin","non-dropping-particle":"","parse-names":false,"suffix":""},{"dropping-particle":"","family":"Vahedifard","given":"Farshid","non-dropping-particle":"","parse-names":false,"suffix":""},{"dropping-particle":"","family":"Lima","given":"Carlos H.R.","non-dropping-particle":"","parse-names":false,"suffix":""}],"container-title":"Water Resources Research","id":"ITEM-1","issue":"3","issued":{"date-parts":[["2018","3","10"]]},"page":"1751-1764","publisher":"Blackwell Publishing Ltd","title":"Quantifying Changes in Future Intensity-Duration-Frequency Curves Using Multimodel Ensemble Simulations","type":"article-journal","volume":"54"},"uris":["http://www.mendeley.com/documents/?uuid=71e31419-70f5-3782-b08a-e0fdf4f19798"]},{"id":"ITEM-2","itemData":{"DOI":"10.1088/1748-9326/ab7465","ISSN":"17489326","abstract":"The Prairie Pothole Region (PPR), located in central North America, is an important region hydrologic</w:instrText>
      </w:r>
      <w:r w:rsidRPr="0066103D">
        <w:rPr>
          <w:rFonts w:ascii="Arial" w:eastAsiaTheme="minorHAnsi" w:hAnsi="Arial" w:cs="Arial"/>
          <w:noProof/>
          <w:sz w:val="22"/>
          <w:szCs w:val="22"/>
          <w:lang w:val="es-ES" w:eastAsia="en-US"/>
        </w:rPr>
        <w:instrText>ally and ecologically. Millions of wetlands, many containing ponds, are located here, and they serve as habitats for various biota and breeding grounds for waterfowl. They also provide carbon sequestration, sediment and nutrient attenuation, and floodwater storage. Land modification and climate change are threatening the PPR, and water and wildlife managers face important conservation decisions due to these threats. We developed predictive, multisite forecasting models using canonical correlation analysis (CCA) for pond counts in the southeast PPR, the portion located within the United States, to aid in these important decisions. These forecast models predict spring (May) and summer (July) pond counts for each region (stratum) of the United States Fish and Wildlife Service's pond and waterfowl surveys using a suite of antecedent, large-scale climate variables and indices including 500 millibar heights, sea surface temperatures (SSTs), and Palmer Drought Severity Index (PDSI). Models were developed to issue forecasts at the start of all preceding months beginning on March 1st. The models were evaluated for their performance in a predictive mode by leave-one-out cross-validation. The models exhibited good performance (R values above 0.6 for May forecasts and 0.4 for July forecasts), with performance increasing as lead</w:instrText>
      </w:r>
      <w:r w:rsidRPr="0066103D">
        <w:rPr>
          <w:rFonts w:ascii="Arial" w:eastAsiaTheme="minorHAnsi" w:hAnsi="Arial" w:cs="Arial"/>
          <w:noProof/>
          <w:sz w:val="22"/>
          <w:szCs w:val="22"/>
          <w:lang w:val="pt-BR" w:eastAsia="en-US"/>
        </w:rPr>
        <w:instrText xml:space="preserve"> time decreased. This simple and versatile modeling approach offers a robust tool for efficient management and sustainability of ecology and natural resources. It demonstrates the ability to use large-scale climate variables to predict a local variable in a skilful way and could serve as an example to develop similar models for use in management and conservation decisions in other regions and sectors of the environment.","author":[{"dropping-particle":"","family":"Abel","given":"Benjamin D.","non-dropping-particle":"","parse-names":false,"suffix":""},{"dropping-particle":"","family":"Rajagopalan","given":"Balaji","non-dropping-particle":"","parse-names":false,"suffix":""},{"dropping-particle":"","family":"Ray","given":"Andrea J.","non-dropping-particle":"","parse-names":false,"suffix":""}],"container-title":"Environmental Research Letters","id":"ITEM-2","issue":"4","issued":{"date-parts":[["2020","4","1"]]},"page":"044019","publisher":"Institute of Physics Publishing","title":"A predictive model for seasonal pond counts in the United States Prairie Pothole Region using large-scale climate connections","type":"article-journal","volume":"15"},"uris":["http://www.mendeley.com/documents/?uuid=ba5efbe0-b8d2-3f84-a6c7-89f7e5293242"]}],"mendeley":{"formattedCitation":"[32], [33]","plainTextFormattedCitation":"[32], [33]","previouslyFormattedCitation":"[33], [34]"},"properties":{"noteIndex":0},"schema":"https://github.com/citation-style-language/schema/raw/master/csl-citation.json"}</w:instrText>
      </w:r>
      <w:r w:rsidRPr="0066103D">
        <w:rPr>
          <w:rFonts w:ascii="Arial" w:eastAsiaTheme="minorHAnsi" w:hAnsi="Arial" w:cs="Arial"/>
          <w:noProof/>
          <w:sz w:val="22"/>
          <w:szCs w:val="22"/>
          <w:lang w:val="es-ES" w:eastAsia="en-US"/>
        </w:rPr>
        <w:fldChar w:fldCharType="separate"/>
      </w:r>
      <w:r w:rsidRPr="0066103D">
        <w:rPr>
          <w:rFonts w:ascii="Arial" w:eastAsiaTheme="minorHAnsi" w:hAnsi="Arial" w:cs="Arial"/>
          <w:noProof/>
          <w:sz w:val="22"/>
          <w:szCs w:val="22"/>
          <w:lang w:val="pt-BR" w:eastAsia="en-US"/>
        </w:rPr>
        <w:t>[32], [33]</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val="pt-BR" w:eastAsia="en-US"/>
        </w:rPr>
        <w:t xml:space="preserve">. Não obstante, a quantidade, distribuição temporal e espacial dos regimes de precipitação não é o único fator decisivo e influente, pois existem cenários em que ela é alterada pela recarga de água relacionada aos padrões de precipitação que afetam diretamente o escoamento e a descarga nos corpos d'água para o pântano </w:t>
      </w:r>
      <w:r w:rsidRPr="0066103D">
        <w:rPr>
          <w:rFonts w:ascii="Arial" w:eastAsiaTheme="minorHAnsi" w:hAnsi="Arial" w:cs="Arial"/>
          <w:noProof/>
          <w:sz w:val="22"/>
          <w:szCs w:val="22"/>
          <w:lang w:eastAsia="en-US"/>
        </w:rPr>
        <w:fldChar w:fldCharType="begin" w:fldLock="1"/>
      </w:r>
      <w:r w:rsidRPr="0066103D">
        <w:rPr>
          <w:rFonts w:ascii="Arial" w:eastAsiaTheme="minorHAnsi" w:hAnsi="Arial" w:cs="Arial"/>
          <w:noProof/>
          <w:sz w:val="22"/>
          <w:szCs w:val="22"/>
          <w:lang w:val="pt-BR" w:eastAsia="en-US"/>
        </w:rPr>
        <w:instrText>ADDIN CSL_CITATION {"citationItems":[{"id":"ITEM-1","itemData":{"DOI":"10.15517/rbt.v66i4.31477","ISSN":"0034-7744","abstract":"The geomorphological, climatological and hydrological characteristics of the high Andean wetlands of the Chirripó National Park (PNCh) are analyzed. The PNCh is located in south-central Costa Rica, Central America. This analysis includes a geomorphological survey on a 1: 25 000 scale of the relief forms and processes, particularly those of glacial origin. The National Wetland Inventory carried out by the Wetlands Project (UNDP-SINAC-GEF) was also used, along with different climate change projections corresponding to the scenarios for the 2039-2059 and 2079-2099 horizons. The main objective is to characterize the current state of these ecosystems, to explain how and why they are formed, as well as to assess the possible implications in the hydrological cycle and the water supply of these wetlands due to future climate variations. The results showed the relevance of these natural reservoirs in maintaining the ecological dynamics of the PNCh. We also studied the services of water provision and regulation of the hydrological cycle in the basins</w:instrText>
      </w:r>
      <w:r w:rsidRPr="0066103D">
        <w:rPr>
          <w:rFonts w:ascii="Arial" w:eastAsiaTheme="minorHAnsi" w:hAnsi="Arial" w:cs="Arial"/>
          <w:noProof/>
          <w:sz w:val="22"/>
          <w:szCs w:val="22"/>
          <w:lang w:eastAsia="en-US"/>
        </w:rPr>
        <w:instrText xml:space="preserve"> that compose this protected area.","author":[{"dropping-particle":"","family":"Veas-Ayala","given":"Néstor","non-dropping-particle":"","parse-names":false,"suffix":""},{"dropping-particle":"","family":"Quesada-Román","given":"Adolfo","non-dropping-particle":"","parse-names":false,"suffix":""},{"dropping-particle":"","family":"Hidalgo","given":"Hugo G.","non-dropping-particle":"","parse-names":false,"suffix":""},{"dropping-particle":"","family":"Alfaro","given":"Eric J.","non-dropping-particle":"","parse-names":false,"suffix":""}],"container-title":"Revista de Biología Tropical","id":"ITEM-1","issue":"4","issued":{"date-parts":[["2018"]]},"page":"1436","title":"Humedales del Parque Nacional Chirripó, Costa Rica: características, relaciones geomorfológicas y escenarios de cambio climático","type":"article-journal","volume":"66"},"uris":["http://www.mendeley.com/documents/?uuid=4e025165-c064-30d5-9218-710dfde84c5a"]},{"id":"ITEM-2","itemData":{"DOI":"10.15517/rgac.v0i23.8579","ISSN":"2215-261X","abstract":"Para estimar la recarga de los acu</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feros en Costa Rica, se han realizado varios trabajos de tesis\\nutilizando la distribuci</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n de precipitaci</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n y de infiltraci</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n b</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sica de los suelos, donde se analizaron bandas pluviogr</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ficas\\ny se obtuvieron las intensidades de lluvia, que fueron comparadas con los diferentes valores de infiltraci</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n\\nb</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sica, separando la lluvia en escorrent</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a superficial e infiltraci</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n potencial. Asign</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ndole a la escorrent</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a\\nel valor del exceso de intensidad de lluvia mayor que el valor de infiltraci</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n b</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sica obtenida en el campo.\\nA la infiltraci</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n potencial, se asignaron aquellos mil</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metros de intensidad de lluvia menores que el valor de\\ninfiltraci</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n b</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sica analizado. De esta forma se obtiene la cantidad de agua que infiltra potencialmente durante\\nel mes, para cada valor de infiltraci</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n b</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sica utilizado. Los an</w:instrText>
      </w:r>
      <w:r w:rsidRPr="0066103D">
        <w:rPr>
          <w:rFonts w:ascii="Tahoma" w:eastAsiaTheme="minorHAnsi" w:hAnsi="Tahoma" w:cs="Tahoma"/>
          <w:noProof/>
          <w:sz w:val="22"/>
          <w:szCs w:val="22"/>
          <w:lang w:eastAsia="en-US"/>
        </w:rPr>
        <w:instrText>�</w:instrText>
      </w:r>
      <w:r w:rsidRPr="0066103D">
        <w:rPr>
          <w:rFonts w:ascii="Arial" w:eastAsiaTheme="minorHAnsi" w:hAnsi="Arial" w:cs="Arial"/>
          <w:noProof/>
          <w:sz w:val="22"/>
          <w:szCs w:val="22"/>
          <w:lang w:eastAsia="en-US"/>
        </w:rPr>
        <w:instrText>lisis de bandas que se realizaron en los trabajos","author":[{"dropping-particle":"","family":"Schosinsky","given":"Gunther","non-dropping-particle":"","parse-names":false,"suffix":""},{"dropping-particle":"","family":"Losilla","given":"Marcelino","non-dropping-particle":"","parse-names":false,"suffix":""}],"container-title":"Revista Geológica de América Central","id":"ITEM-2","issue":"23","issued":{"date-parts":[["2011","6","1"]]},"page":"43-55","publisher":"Universidad de Costa Rica","title":"Modelo analítico para determinar la infiltración con base en la lluvia mensual","type":"article-journal"},"uris":["http://www.mendeley.com/documents/?uuid=43fc5a49-1441-319e-bac1-bae0c3aea3e7"]}],"mendeley":{"formattedCitation":"[34], [35]","plainTextFormattedCitation":"[34], [35]","previouslyFormattedCitation":"[35], [36]"},"properties":{"noteIndex":0},"schema":"https://github.com/citation-style-language/schema/raw/master/csl-citation.json"}</w:instrText>
      </w:r>
      <w:r w:rsidRPr="0066103D">
        <w:rPr>
          <w:rFonts w:ascii="Arial" w:eastAsiaTheme="minorHAnsi" w:hAnsi="Arial" w:cs="Arial"/>
          <w:noProof/>
          <w:sz w:val="22"/>
          <w:szCs w:val="22"/>
          <w:lang w:eastAsia="en-US"/>
        </w:rPr>
        <w:fldChar w:fldCharType="separate"/>
      </w:r>
      <w:r w:rsidRPr="0066103D">
        <w:rPr>
          <w:rFonts w:ascii="Arial" w:eastAsiaTheme="minorHAnsi" w:hAnsi="Arial" w:cs="Arial"/>
          <w:noProof/>
          <w:sz w:val="22"/>
          <w:szCs w:val="22"/>
          <w:lang w:eastAsia="en-US"/>
        </w:rPr>
        <w:t>[34], [35]</w:t>
      </w:r>
      <w:r w:rsidRPr="0066103D">
        <w:rPr>
          <w:rFonts w:ascii="Arial" w:eastAsiaTheme="minorHAnsi" w:hAnsi="Arial" w:cs="Arial"/>
          <w:noProof/>
          <w:sz w:val="22"/>
          <w:szCs w:val="22"/>
          <w:lang w:eastAsia="en-US"/>
        </w:rPr>
        <w:fldChar w:fldCharType="end"/>
      </w:r>
      <w:r w:rsidRPr="0066103D">
        <w:rPr>
          <w:rFonts w:ascii="Arial" w:eastAsiaTheme="minorHAnsi" w:hAnsi="Arial" w:cs="Arial"/>
          <w:noProof/>
          <w:sz w:val="22"/>
          <w:szCs w:val="22"/>
          <w:lang w:eastAsia="en-US"/>
        </w:rPr>
        <w:t xml:space="preserve">. </w:t>
      </w:r>
    </w:p>
    <w:p w14:paraId="7120E377" w14:textId="77777777" w:rsidR="00853F65" w:rsidRPr="0066103D" w:rsidRDefault="00853F65" w:rsidP="00853F65">
      <w:pPr>
        <w:jc w:val="both"/>
        <w:rPr>
          <w:rFonts w:ascii="Arial" w:eastAsiaTheme="minorHAnsi" w:hAnsi="Arial" w:cs="Arial"/>
          <w:noProof/>
          <w:sz w:val="22"/>
          <w:szCs w:val="22"/>
          <w:lang w:eastAsia="en-US"/>
        </w:rPr>
      </w:pPr>
    </w:p>
    <w:p w14:paraId="023B4646" w14:textId="42E9F184" w:rsidR="00192ECB" w:rsidRPr="00192ECB" w:rsidRDefault="00192ECB" w:rsidP="00192ECB">
      <w:pPr>
        <w:tabs>
          <w:tab w:val="left" w:pos="0"/>
        </w:tabs>
        <w:rPr>
          <w:rFonts w:ascii="Arial" w:eastAsia="Arial" w:hAnsi="Arial" w:cs="Arial"/>
          <w:b/>
          <w:sz w:val="22"/>
          <w:szCs w:val="22"/>
          <w:lang w:val="pt-BR"/>
        </w:rPr>
      </w:pPr>
      <w:r w:rsidRPr="00192ECB">
        <w:rPr>
          <w:rFonts w:ascii="Arial" w:eastAsia="Arial" w:hAnsi="Arial" w:cs="Arial"/>
          <w:b/>
          <w:sz w:val="22"/>
          <w:szCs w:val="22"/>
          <w:lang w:val="pt-BR"/>
        </w:rPr>
        <w:t>Conclusões</w:t>
      </w:r>
    </w:p>
    <w:p w14:paraId="413848CE" w14:textId="3703A713" w:rsidR="00FC426F" w:rsidRPr="00192ECB" w:rsidRDefault="00FC426F">
      <w:pPr>
        <w:tabs>
          <w:tab w:val="left" w:pos="0"/>
        </w:tabs>
        <w:jc w:val="both"/>
        <w:rPr>
          <w:rFonts w:ascii="Arial" w:eastAsia="Arial" w:hAnsi="Arial" w:cs="Arial"/>
          <w:b/>
          <w:sz w:val="22"/>
          <w:szCs w:val="22"/>
          <w:lang w:val="pt-BR"/>
        </w:rPr>
      </w:pPr>
    </w:p>
    <w:p w14:paraId="361193B4" w14:textId="034D1CF5" w:rsidR="00192ECB" w:rsidRPr="00192ECB" w:rsidRDefault="00000000" w:rsidP="00192ECB">
      <w:pPr>
        <w:tabs>
          <w:tab w:val="left" w:pos="426"/>
        </w:tabs>
        <w:jc w:val="both"/>
        <w:rPr>
          <w:rFonts w:ascii="Arial" w:eastAsia="Arial" w:hAnsi="Arial" w:cs="Arial"/>
          <w:bCs/>
          <w:sz w:val="22"/>
          <w:szCs w:val="22"/>
          <w:lang w:val="pt-BR"/>
        </w:rPr>
      </w:pPr>
      <w:r w:rsidRPr="00192ECB">
        <w:rPr>
          <w:rFonts w:ascii="Arial" w:eastAsia="Arial" w:hAnsi="Arial" w:cs="Arial"/>
          <w:sz w:val="22"/>
          <w:szCs w:val="22"/>
          <w:lang w:val="pt-BR"/>
        </w:rPr>
        <w:tab/>
      </w:r>
      <w:r w:rsidR="00192ECB" w:rsidRPr="00192ECB">
        <w:rPr>
          <w:rFonts w:ascii="Arial" w:eastAsia="Arial" w:hAnsi="Arial" w:cs="Arial"/>
          <w:bCs/>
          <w:sz w:val="22"/>
          <w:szCs w:val="22"/>
          <w:lang w:val="pt-BR"/>
        </w:rPr>
        <w:t xml:space="preserve">A construção da análise bibliométrica e a revisão da literatura sobre os fatores que afetam a recarga de água em áreas úmidas levou à conclusão de que o mapa de co-ocorrência e os diagramas estratégicos mostraram como os eixos temáticos evoluíram em relação às variáveis climáticas, atividades antrópicas e processos ecológicos analisados em vários pontos do campo científico, seja sob a perspectiva de riscos, serviços e metodologias de monitoramento e avaliação de ecossistemas. </w:t>
      </w:r>
    </w:p>
    <w:p w14:paraId="5B5C27A5" w14:textId="405C834C" w:rsidR="00192ECB" w:rsidRPr="00192ECB" w:rsidRDefault="00192ECB" w:rsidP="00192ECB">
      <w:pPr>
        <w:tabs>
          <w:tab w:val="left" w:pos="426"/>
        </w:tabs>
        <w:jc w:val="both"/>
        <w:rPr>
          <w:rFonts w:ascii="Arial" w:eastAsia="Arial" w:hAnsi="Arial" w:cs="Arial"/>
          <w:bCs/>
          <w:sz w:val="22"/>
          <w:szCs w:val="22"/>
          <w:lang w:val="pt-BR"/>
        </w:rPr>
      </w:pPr>
      <w:r w:rsidRPr="00192ECB">
        <w:rPr>
          <w:rFonts w:ascii="Arial" w:eastAsia="Arial" w:hAnsi="Arial" w:cs="Arial"/>
          <w:bCs/>
          <w:sz w:val="22"/>
          <w:szCs w:val="22"/>
          <w:lang w:val="pt-BR"/>
        </w:rPr>
        <w:tab/>
      </w:r>
      <w:r w:rsidRPr="00192ECB">
        <w:rPr>
          <w:rFonts w:ascii="Arial" w:eastAsia="Arial" w:hAnsi="Arial" w:cs="Arial"/>
          <w:bCs/>
          <w:sz w:val="22"/>
          <w:szCs w:val="22"/>
          <w:lang w:val="pt-BR"/>
        </w:rPr>
        <w:t xml:space="preserve">Além disso, os fatores com maior impacto na dinâmica da recarga de água em áreas úmidas foram a variabilidade climática que se desenvolveu nas últimas décadas, impulsionada principalmente por atividades antrópicas, sendo um dos motores das mudanças nos </w:t>
      </w:r>
      <w:r w:rsidRPr="00192ECB">
        <w:rPr>
          <w:rFonts w:ascii="Arial" w:eastAsia="Arial" w:hAnsi="Arial" w:cs="Arial"/>
          <w:bCs/>
          <w:sz w:val="22"/>
          <w:szCs w:val="22"/>
          <w:lang w:val="pt-BR"/>
        </w:rPr>
        <w:lastRenderedPageBreak/>
        <w:t>ecossistemas devido à expansão da fronteira agrícola e ao crescimento populacional não planejado, apontando para a lacuna de conhecimento na gestão ambiental adequada para a conservação destes ecossistemas.</w:t>
      </w:r>
    </w:p>
    <w:p w14:paraId="7969DB2D" w14:textId="700F8863" w:rsidR="00192ECB" w:rsidRPr="00192ECB" w:rsidRDefault="00192ECB" w:rsidP="00192ECB">
      <w:pPr>
        <w:tabs>
          <w:tab w:val="left" w:pos="426"/>
        </w:tabs>
        <w:jc w:val="both"/>
        <w:rPr>
          <w:rFonts w:ascii="Arial" w:eastAsia="Arial" w:hAnsi="Arial" w:cs="Arial"/>
          <w:bCs/>
          <w:sz w:val="22"/>
          <w:szCs w:val="22"/>
          <w:lang w:val="pt-BR"/>
        </w:rPr>
      </w:pPr>
      <w:r w:rsidRPr="00192ECB">
        <w:rPr>
          <w:rFonts w:ascii="Arial" w:eastAsia="Arial" w:hAnsi="Arial" w:cs="Arial"/>
          <w:bCs/>
          <w:sz w:val="22"/>
          <w:szCs w:val="22"/>
          <w:lang w:val="pt-BR"/>
        </w:rPr>
        <w:tab/>
      </w:r>
      <w:r w:rsidRPr="00192ECB">
        <w:rPr>
          <w:rFonts w:ascii="Arial" w:eastAsia="Arial" w:hAnsi="Arial" w:cs="Arial"/>
          <w:bCs/>
          <w:sz w:val="22"/>
          <w:szCs w:val="22"/>
          <w:lang w:val="pt-BR"/>
        </w:rPr>
        <w:t xml:space="preserve">Finalmente, as áreas úmidas internacionalmente mostram </w:t>
      </w:r>
      <w:r w:rsidRPr="00192ECB">
        <w:rPr>
          <w:rFonts w:ascii="Arial" w:eastAsia="Arial" w:hAnsi="Arial" w:cs="Arial"/>
          <w:bCs/>
          <w:sz w:val="22"/>
          <w:szCs w:val="22"/>
          <w:lang w:val="pt-BR"/>
        </w:rPr>
        <w:t>muita</w:t>
      </w:r>
      <w:r w:rsidRPr="00192ECB">
        <w:rPr>
          <w:rFonts w:ascii="Arial" w:eastAsia="Arial" w:hAnsi="Arial" w:cs="Arial"/>
          <w:bCs/>
          <w:sz w:val="22"/>
          <w:szCs w:val="22"/>
          <w:lang w:val="pt-BR"/>
        </w:rPr>
        <w:t xml:space="preserve"> vulnerabilidade, diminuindo sua resiliência, bem como os serviços ambientais que prestam. É importante estabelecer diretrizes para o desenvolvimento econômico sustentável das regiões periféricas das zonas úmidas, através do planejamento de políticas inclusivas baseadas em estudos científicos para a proteção ambiental e para alcançar a conservação dos ecossistemas naturais. </w:t>
      </w:r>
    </w:p>
    <w:p w14:paraId="5F94BC2C" w14:textId="77777777" w:rsidR="00FC426F" w:rsidRPr="00192ECB" w:rsidRDefault="00FC426F">
      <w:pPr>
        <w:tabs>
          <w:tab w:val="left" w:pos="426"/>
        </w:tabs>
        <w:jc w:val="both"/>
        <w:rPr>
          <w:rFonts w:ascii="Arial" w:eastAsia="Arial" w:hAnsi="Arial" w:cs="Arial"/>
          <w:sz w:val="22"/>
          <w:szCs w:val="22"/>
          <w:lang w:val="pt-BR"/>
        </w:rPr>
      </w:pPr>
    </w:p>
    <w:p w14:paraId="00958A5E" w14:textId="0BEDDC1F" w:rsidR="00192ECB" w:rsidRPr="00192ECB" w:rsidRDefault="00192ECB" w:rsidP="00192ECB">
      <w:pPr>
        <w:tabs>
          <w:tab w:val="left" w:pos="0"/>
        </w:tabs>
        <w:jc w:val="both"/>
        <w:rPr>
          <w:rFonts w:ascii="Arial" w:eastAsia="Arial" w:hAnsi="Arial" w:cs="Arial"/>
          <w:b/>
          <w:bCs/>
          <w:sz w:val="22"/>
          <w:szCs w:val="22"/>
          <w:lang w:val="pt-BR"/>
        </w:rPr>
      </w:pPr>
      <w:r w:rsidRPr="00192ECB">
        <w:rPr>
          <w:rFonts w:ascii="Arial" w:eastAsia="Arial" w:hAnsi="Arial" w:cs="Arial"/>
          <w:b/>
          <w:bCs/>
          <w:sz w:val="22"/>
          <w:szCs w:val="22"/>
          <w:lang w:val="pt-BR"/>
        </w:rPr>
        <w:t>Referências</w:t>
      </w:r>
    </w:p>
    <w:p w14:paraId="39187CCB" w14:textId="77777777" w:rsidR="00FC426F" w:rsidRPr="00192ECB" w:rsidRDefault="00FC426F">
      <w:pPr>
        <w:tabs>
          <w:tab w:val="left" w:pos="0"/>
        </w:tabs>
        <w:jc w:val="both"/>
        <w:rPr>
          <w:rFonts w:ascii="Arial" w:eastAsia="Arial" w:hAnsi="Arial" w:cs="Arial"/>
          <w:sz w:val="22"/>
          <w:szCs w:val="22"/>
          <w:lang w:val="pt-BR"/>
        </w:rPr>
      </w:pPr>
    </w:p>
    <w:p w14:paraId="48799226"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eastAsia="en-US"/>
        </w:rPr>
      </w:pPr>
      <w:r w:rsidRPr="009C11B4">
        <w:rPr>
          <w:rFonts w:ascii="Arial" w:eastAsiaTheme="minorHAnsi" w:hAnsi="Arial" w:cs="Arial"/>
          <w:sz w:val="22"/>
          <w:szCs w:val="22"/>
          <w:lang w:eastAsia="en-US"/>
        </w:rPr>
        <w:fldChar w:fldCharType="begin" w:fldLock="1"/>
      </w:r>
      <w:r w:rsidRPr="009C11B4">
        <w:rPr>
          <w:rFonts w:ascii="Arial" w:eastAsiaTheme="minorHAnsi" w:hAnsi="Arial" w:cs="Arial"/>
          <w:sz w:val="22"/>
          <w:szCs w:val="22"/>
          <w:lang w:eastAsia="en-US"/>
        </w:rPr>
        <w:instrText xml:space="preserve">ADDIN Mendeley Bibliography CSL_BIBLIOGRAPHY </w:instrText>
      </w:r>
      <w:r w:rsidRPr="009C11B4">
        <w:rPr>
          <w:rFonts w:ascii="Arial" w:eastAsiaTheme="minorHAnsi" w:hAnsi="Arial" w:cs="Arial"/>
          <w:sz w:val="22"/>
          <w:szCs w:val="22"/>
          <w:lang w:eastAsia="en-US"/>
        </w:rPr>
        <w:fldChar w:fldCharType="separate"/>
      </w:r>
      <w:r w:rsidRPr="009C11B4">
        <w:rPr>
          <w:rFonts w:ascii="Arial" w:eastAsiaTheme="minorHAnsi" w:hAnsi="Arial" w:cs="Arial"/>
          <w:noProof/>
          <w:sz w:val="22"/>
          <w:szCs w:val="22"/>
          <w:lang w:eastAsia="en-US"/>
        </w:rPr>
        <w:t>[1]</w:t>
      </w:r>
      <w:r w:rsidRPr="009C11B4">
        <w:rPr>
          <w:rFonts w:ascii="Arial" w:eastAsiaTheme="minorHAnsi" w:hAnsi="Arial" w:cs="Arial"/>
          <w:noProof/>
          <w:sz w:val="22"/>
          <w:szCs w:val="22"/>
          <w:lang w:eastAsia="en-US"/>
        </w:rPr>
        <w:tab/>
        <w:t xml:space="preserve">D. M. Rodríguez Lugo and P. Pérez Álvarez, “Determinación de la recarga hídrica potencial en la cuenca hidrográfica Guara, de Cuba,” </w:t>
      </w:r>
      <w:r w:rsidRPr="009C11B4">
        <w:rPr>
          <w:rFonts w:ascii="Arial" w:eastAsiaTheme="minorHAnsi" w:hAnsi="Arial" w:cs="Arial"/>
          <w:i/>
          <w:iCs/>
          <w:noProof/>
          <w:sz w:val="22"/>
          <w:szCs w:val="22"/>
          <w:lang w:eastAsia="en-US"/>
        </w:rPr>
        <w:t>Aqua-LAC</w:t>
      </w:r>
      <w:r w:rsidRPr="009C11B4">
        <w:rPr>
          <w:rFonts w:ascii="Arial" w:eastAsiaTheme="minorHAnsi" w:hAnsi="Arial" w:cs="Arial"/>
          <w:noProof/>
          <w:sz w:val="22"/>
          <w:szCs w:val="22"/>
          <w:lang w:eastAsia="en-US"/>
        </w:rPr>
        <w:t>, vol. 6, no. 2, pp. 58–70, 2014.</w:t>
      </w:r>
    </w:p>
    <w:p w14:paraId="7AE8A47A"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eastAsia="en-US"/>
        </w:rPr>
      </w:pPr>
      <w:r w:rsidRPr="009C11B4">
        <w:rPr>
          <w:rFonts w:ascii="Arial" w:eastAsiaTheme="minorHAnsi" w:hAnsi="Arial" w:cs="Arial"/>
          <w:noProof/>
          <w:sz w:val="22"/>
          <w:szCs w:val="22"/>
          <w:lang w:eastAsia="en-US"/>
        </w:rPr>
        <w:t>[2]</w:t>
      </w:r>
      <w:r w:rsidRPr="009C11B4">
        <w:rPr>
          <w:rFonts w:ascii="Arial" w:eastAsiaTheme="minorHAnsi" w:hAnsi="Arial" w:cs="Arial"/>
          <w:noProof/>
          <w:sz w:val="22"/>
          <w:szCs w:val="22"/>
          <w:lang w:eastAsia="en-US"/>
        </w:rPr>
        <w:tab/>
        <w:t xml:space="preserve">T. Betancur, E. Bocanegraq, E. Custodio, M. Manzano, and G. Cardoso da Silva, “Estado y factores de cambio de los servicios ecosistémicos de aprovisionamiento en humedales relacionados con aguas sunterráneas en Iberoamérica y España,” </w:t>
      </w:r>
      <w:r w:rsidRPr="009C11B4">
        <w:rPr>
          <w:rFonts w:ascii="Arial" w:eastAsiaTheme="minorHAnsi" w:hAnsi="Arial" w:cs="Arial"/>
          <w:i/>
          <w:iCs/>
          <w:noProof/>
          <w:sz w:val="22"/>
          <w:szCs w:val="22"/>
          <w:lang w:eastAsia="en-US"/>
        </w:rPr>
        <w:t>Biota Colomb.</w:t>
      </w:r>
      <w:r w:rsidRPr="009C11B4">
        <w:rPr>
          <w:rFonts w:ascii="Arial" w:eastAsiaTheme="minorHAnsi" w:hAnsi="Arial" w:cs="Arial"/>
          <w:noProof/>
          <w:sz w:val="22"/>
          <w:szCs w:val="22"/>
          <w:lang w:eastAsia="en-US"/>
        </w:rPr>
        <w:t>, vol. 16, no. 3, pp. 106–119, Jun. 2016, doi: 10.21068/c2016s01a06.</w:t>
      </w:r>
    </w:p>
    <w:p w14:paraId="49FAD302"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[3]</w:t>
      </w:r>
      <w:r w:rsidRPr="009C11B4">
        <w:rPr>
          <w:rFonts w:ascii="Arial" w:eastAsiaTheme="minorHAnsi" w:hAnsi="Arial" w:cs="Arial"/>
          <w:noProof/>
          <w:sz w:val="22"/>
          <w:szCs w:val="22"/>
          <w:lang w:val="en-US" w:eastAsia="en-US"/>
        </w:rPr>
        <w:tab/>
        <w:t xml:space="preserve">J. Kim, J. G. Kim, J. Jung, D. Han, C. Choi, and H. S. Kim, “Modified hydrogeomorphic approach for estimating quantitative change of riverine wetland functions,” </w:t>
      </w:r>
      <w:r w:rsidRPr="009C11B4">
        <w:rPr>
          <w:rFonts w:ascii="Arial" w:eastAsiaTheme="minorHAnsi" w:hAnsi="Arial" w:cs="Arial"/>
          <w:i/>
          <w:iCs/>
          <w:noProof/>
          <w:sz w:val="22"/>
          <w:szCs w:val="22"/>
          <w:lang w:val="en-US" w:eastAsia="en-US"/>
        </w:rPr>
        <w:t>Ecol. Eng.</w:t>
      </w:r>
      <w:r w:rsidRPr="009C11B4">
        <w:rPr>
          <w:rFonts w:ascii="Arial" w:eastAsiaTheme="minorHAnsi" w:hAnsi="Arial" w:cs="Arial"/>
          <w:noProof/>
          <w:sz w:val="22"/>
          <w:szCs w:val="22"/>
          <w:lang w:val="en-US" w:eastAsia="en-US"/>
        </w:rPr>
        <w:t>, vol. 152, p. 105876, Jun. 2020, doi: 10.1016/j.ecoleng.2020.105876.</w:t>
      </w:r>
    </w:p>
    <w:p w14:paraId="367DC2C7"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[4]</w:t>
      </w:r>
      <w:r w:rsidRPr="009C11B4">
        <w:rPr>
          <w:rFonts w:ascii="Arial" w:eastAsiaTheme="minorHAnsi" w:hAnsi="Arial" w:cs="Arial"/>
          <w:noProof/>
          <w:sz w:val="22"/>
          <w:szCs w:val="22"/>
          <w:lang w:val="en-US" w:eastAsia="en-US"/>
        </w:rPr>
        <w:tab/>
        <w:t>N. López and E. Guevara Pérez, “Environmental assessment of the Urama Wetland, Venezuela,” Universidad de Carabobo, 2017.</w:t>
      </w:r>
    </w:p>
    <w:p w14:paraId="11A617F9"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[5]</w:t>
      </w:r>
      <w:r w:rsidRPr="009C11B4">
        <w:rPr>
          <w:rFonts w:ascii="Arial" w:eastAsiaTheme="minorHAnsi" w:hAnsi="Arial" w:cs="Arial"/>
          <w:noProof/>
          <w:sz w:val="22"/>
          <w:szCs w:val="22"/>
          <w:lang w:val="en-US" w:eastAsia="en-US"/>
        </w:rPr>
        <w:tab/>
        <w:t xml:space="preserve">S. Debanshi and S. Pal, “Modelling water richness and habitat suitability of the wetlands and measuring their spatial linkages in mature Ganges delta of India,” </w:t>
      </w:r>
      <w:r w:rsidRPr="009C11B4">
        <w:rPr>
          <w:rFonts w:ascii="Arial" w:eastAsiaTheme="minorHAnsi" w:hAnsi="Arial" w:cs="Arial"/>
          <w:i/>
          <w:iCs/>
          <w:noProof/>
          <w:sz w:val="22"/>
          <w:szCs w:val="22"/>
          <w:lang w:val="en-US" w:eastAsia="en-US"/>
        </w:rPr>
        <w:t>J. Environ. Manage.</w:t>
      </w:r>
      <w:r w:rsidRPr="009C11B4">
        <w:rPr>
          <w:rFonts w:ascii="Arial" w:eastAsiaTheme="minorHAnsi" w:hAnsi="Arial" w:cs="Arial"/>
          <w:noProof/>
          <w:sz w:val="22"/>
          <w:szCs w:val="22"/>
          <w:lang w:val="en-US" w:eastAsia="en-US"/>
        </w:rPr>
        <w:t>, vol. 271, p. 110956, Oct. 2020, doi: 10.1016/j.jenvman.2020.110956.</w:t>
      </w:r>
    </w:p>
    <w:p w14:paraId="2BF27078"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[6]</w:t>
      </w:r>
      <w:r w:rsidRPr="009C11B4">
        <w:rPr>
          <w:rFonts w:ascii="Arial" w:eastAsiaTheme="minorHAnsi" w:hAnsi="Arial" w:cs="Arial"/>
          <w:noProof/>
          <w:sz w:val="22"/>
          <w:szCs w:val="22"/>
          <w:lang w:val="en-US" w:eastAsia="en-US"/>
        </w:rPr>
        <w:tab/>
        <w:t xml:space="preserve">D. Liang, J. Lu, X. Chen, C. Liu, and J. Lin, “An investigation of the hydrological influence on the distribution and transition of wetland cover in a complex lake–floodplain system using time-series remote sensing and hydrodynamic simulation,” </w:t>
      </w:r>
      <w:r w:rsidRPr="009C11B4">
        <w:rPr>
          <w:rFonts w:ascii="Arial" w:eastAsiaTheme="minorHAnsi" w:hAnsi="Arial" w:cs="Arial"/>
          <w:i/>
          <w:iCs/>
          <w:noProof/>
          <w:sz w:val="22"/>
          <w:szCs w:val="22"/>
          <w:lang w:val="en-US" w:eastAsia="en-US"/>
        </w:rPr>
        <w:t>J. Hydrol.</w:t>
      </w:r>
      <w:r w:rsidRPr="009C11B4">
        <w:rPr>
          <w:rFonts w:ascii="Arial" w:eastAsiaTheme="minorHAnsi" w:hAnsi="Arial" w:cs="Arial"/>
          <w:noProof/>
          <w:sz w:val="22"/>
          <w:szCs w:val="22"/>
          <w:lang w:val="en-US" w:eastAsia="en-US"/>
        </w:rPr>
        <w:t>, vol. 587, p. 125038, Aug. 2020, doi: 10.1016/j.jhydrol.2020.125038.</w:t>
      </w:r>
    </w:p>
    <w:p w14:paraId="0ED16A3D"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[7]</w:t>
      </w:r>
      <w:r w:rsidRPr="009C11B4">
        <w:rPr>
          <w:rFonts w:ascii="Arial" w:eastAsiaTheme="minorHAnsi" w:hAnsi="Arial" w:cs="Arial"/>
          <w:noProof/>
          <w:sz w:val="22"/>
          <w:szCs w:val="22"/>
          <w:lang w:val="en-US" w:eastAsia="en-US"/>
        </w:rPr>
        <w:tab/>
        <w:t xml:space="preserve">P. Chatanga, D. C. Kotze, M. Janks, and E. J. J. Sieben, “Classification, description and environmental factors of montane wetland vegetation of the Maloti-Drakensberg region and the surrounding areas,” </w:t>
      </w:r>
      <w:r w:rsidRPr="009C11B4">
        <w:rPr>
          <w:rFonts w:ascii="Arial" w:eastAsiaTheme="minorHAnsi" w:hAnsi="Arial" w:cs="Arial"/>
          <w:i/>
          <w:iCs/>
          <w:noProof/>
          <w:sz w:val="22"/>
          <w:szCs w:val="22"/>
          <w:lang w:val="en-US" w:eastAsia="en-US"/>
        </w:rPr>
        <w:t>South African J. Bot.</w:t>
      </w:r>
      <w:r w:rsidRPr="009C11B4">
        <w:rPr>
          <w:rFonts w:ascii="Arial" w:eastAsiaTheme="minorHAnsi" w:hAnsi="Arial" w:cs="Arial"/>
          <w:noProof/>
          <w:sz w:val="22"/>
          <w:szCs w:val="22"/>
          <w:lang w:val="en-US" w:eastAsia="en-US"/>
        </w:rPr>
        <w:t>, vol. 125, pp. 221–233, Sep. 2019, doi: 10.1016/j.sajb.2019.04.028.</w:t>
      </w:r>
    </w:p>
    <w:p w14:paraId="12E553F2"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[8]</w:t>
      </w:r>
      <w:r w:rsidRPr="009C11B4">
        <w:rPr>
          <w:rFonts w:ascii="Arial" w:eastAsiaTheme="minorHAnsi" w:hAnsi="Arial" w:cs="Arial"/>
          <w:noProof/>
          <w:sz w:val="22"/>
          <w:szCs w:val="22"/>
          <w:lang w:val="en-US" w:eastAsia="en-US"/>
        </w:rPr>
        <w:tab/>
        <w:t xml:space="preserve">S. Pal and R. Sarda, “Damming effects on the degree of hydrological alteration and stability of wetland in lower Atreyee River basin,” </w:t>
      </w:r>
      <w:r w:rsidRPr="009C11B4">
        <w:rPr>
          <w:rFonts w:ascii="Arial" w:eastAsiaTheme="minorHAnsi" w:hAnsi="Arial" w:cs="Arial"/>
          <w:i/>
          <w:iCs/>
          <w:noProof/>
          <w:sz w:val="22"/>
          <w:szCs w:val="22"/>
          <w:lang w:val="en-US" w:eastAsia="en-US"/>
        </w:rPr>
        <w:t>Ecol. Indic.</w:t>
      </w:r>
      <w:r w:rsidRPr="009C11B4">
        <w:rPr>
          <w:rFonts w:ascii="Arial" w:eastAsiaTheme="minorHAnsi" w:hAnsi="Arial" w:cs="Arial"/>
          <w:noProof/>
          <w:sz w:val="22"/>
          <w:szCs w:val="22"/>
          <w:lang w:val="en-US" w:eastAsia="en-US"/>
        </w:rPr>
        <w:t>, vol. 116, p. 106542, Sep. 2020, doi: 10.1016/j.ecolind.2020.106542.</w:t>
      </w:r>
    </w:p>
    <w:p w14:paraId="02D21DB8"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[9]</w:t>
      </w:r>
      <w:r w:rsidRPr="009C11B4">
        <w:rPr>
          <w:rFonts w:ascii="Arial" w:eastAsiaTheme="minorHAnsi" w:hAnsi="Arial" w:cs="Arial"/>
          <w:noProof/>
          <w:sz w:val="22"/>
          <w:szCs w:val="22"/>
          <w:lang w:val="en-US" w:eastAsia="en-US"/>
        </w:rPr>
        <w:tab/>
        <w:t xml:space="preserve">X. Li, G. Lei, Y. Li, Y. Wang, and Z. Tan, “Assessing hydrodynamic effects of ecological restoration scenarios for a tidal-dominated wetland in Liaodong Bay (China),” </w:t>
      </w:r>
      <w:r w:rsidRPr="009C11B4">
        <w:rPr>
          <w:rFonts w:ascii="Arial" w:eastAsiaTheme="minorHAnsi" w:hAnsi="Arial" w:cs="Arial"/>
          <w:i/>
          <w:iCs/>
          <w:noProof/>
          <w:sz w:val="22"/>
          <w:szCs w:val="22"/>
          <w:lang w:val="en-US" w:eastAsia="en-US"/>
        </w:rPr>
        <w:t>Sci. Total Environ.</w:t>
      </w:r>
      <w:r w:rsidRPr="009C11B4">
        <w:rPr>
          <w:rFonts w:ascii="Arial" w:eastAsiaTheme="minorHAnsi" w:hAnsi="Arial" w:cs="Arial"/>
          <w:noProof/>
          <w:sz w:val="22"/>
          <w:szCs w:val="22"/>
          <w:lang w:val="en-US" w:eastAsia="en-US"/>
        </w:rPr>
        <w:t>, vol. 752, p. 142339, Jan. 2021, doi: 10.1016/j.scitotenv.2020.142339.</w:t>
      </w:r>
    </w:p>
    <w:p w14:paraId="51CAD52A"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[10]</w:t>
      </w:r>
      <w:r w:rsidRPr="009C11B4">
        <w:rPr>
          <w:rFonts w:ascii="Arial" w:eastAsiaTheme="minorHAnsi" w:hAnsi="Arial" w:cs="Arial"/>
          <w:noProof/>
          <w:sz w:val="22"/>
          <w:szCs w:val="22"/>
          <w:lang w:val="en-US" w:eastAsia="en-US"/>
        </w:rPr>
        <w:tab/>
        <w:t xml:space="preserve">C. A. M. De Souza, S. L. C. Daza, J. A. de Lima Filho, P. R. A. Campos, and V. M. de Oliveira, “Effect of dynamic fragmentation on biodiversity in a heterogeneous environment,” </w:t>
      </w:r>
      <w:r w:rsidRPr="009C11B4">
        <w:rPr>
          <w:rFonts w:ascii="Arial" w:eastAsiaTheme="minorHAnsi" w:hAnsi="Arial" w:cs="Arial"/>
          <w:i/>
          <w:iCs/>
          <w:noProof/>
          <w:sz w:val="22"/>
          <w:szCs w:val="22"/>
          <w:lang w:val="en-US" w:eastAsia="en-US"/>
        </w:rPr>
        <w:t>Phys. Lett. Sect. A Gen. At. Solid State Phys.</w:t>
      </w:r>
      <w:r w:rsidRPr="009C11B4">
        <w:rPr>
          <w:rFonts w:ascii="Arial" w:eastAsiaTheme="minorHAnsi" w:hAnsi="Arial" w:cs="Arial"/>
          <w:noProof/>
          <w:sz w:val="22"/>
          <w:szCs w:val="22"/>
          <w:lang w:val="en-US" w:eastAsia="en-US"/>
        </w:rPr>
        <w:t>, vol. 384, no. 22, p. 126542, Aug. 2020, doi: 10.1016/j.physleta.2020.126542.</w:t>
      </w:r>
    </w:p>
    <w:p w14:paraId="6D608460"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[11]</w:t>
      </w:r>
      <w:r w:rsidRPr="009C11B4">
        <w:rPr>
          <w:rFonts w:ascii="Arial" w:eastAsiaTheme="minorHAnsi" w:hAnsi="Arial" w:cs="Arial"/>
          <w:noProof/>
          <w:sz w:val="22"/>
          <w:szCs w:val="22"/>
          <w:lang w:val="en-US" w:eastAsia="en-US"/>
        </w:rPr>
        <w:tab/>
        <w:t xml:space="preserve">R. Valois </w:t>
      </w:r>
      <w:r w:rsidRPr="009C11B4">
        <w:rPr>
          <w:rFonts w:ascii="Arial" w:eastAsiaTheme="minorHAnsi" w:hAnsi="Arial" w:cs="Arial"/>
          <w:i/>
          <w:iCs/>
          <w:noProof/>
          <w:sz w:val="22"/>
          <w:szCs w:val="22"/>
          <w:lang w:val="en-US" w:eastAsia="en-US"/>
        </w:rPr>
        <w:t>et al.</w:t>
      </w:r>
      <w:r w:rsidRPr="009C11B4">
        <w:rPr>
          <w:rFonts w:ascii="Arial" w:eastAsiaTheme="minorHAnsi" w:hAnsi="Arial" w:cs="Arial"/>
          <w:noProof/>
          <w:sz w:val="22"/>
          <w:szCs w:val="22"/>
          <w:lang w:val="en-US" w:eastAsia="en-US"/>
        </w:rPr>
        <w:t xml:space="preserve">, “Characterizing the water storage capacity and hydrological role of mountain peatlands in the arid andes of North-Central Chile,” </w:t>
      </w:r>
      <w:r w:rsidRPr="009C11B4">
        <w:rPr>
          <w:rFonts w:ascii="Arial" w:eastAsiaTheme="minorHAnsi" w:hAnsi="Arial" w:cs="Arial"/>
          <w:i/>
          <w:iCs/>
          <w:noProof/>
          <w:sz w:val="22"/>
          <w:szCs w:val="22"/>
          <w:lang w:val="en-US" w:eastAsia="en-US"/>
        </w:rPr>
        <w:t>Water</w:t>
      </w:r>
      <w:r w:rsidRPr="009C11B4">
        <w:rPr>
          <w:rFonts w:ascii="Arial" w:eastAsiaTheme="minorHAnsi" w:hAnsi="Arial" w:cs="Arial"/>
          <w:noProof/>
          <w:sz w:val="22"/>
          <w:szCs w:val="22"/>
          <w:lang w:val="en-US" w:eastAsia="en-US"/>
        </w:rPr>
        <w:t>, vol. 12, no. 4, p. 1071, Apr. 2020, doi: 10.3390/W12041071.</w:t>
      </w:r>
    </w:p>
    <w:p w14:paraId="2AC338BC"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[12]</w:t>
      </w:r>
      <w:r w:rsidRPr="009C11B4">
        <w:rPr>
          <w:rFonts w:ascii="Arial" w:eastAsiaTheme="minorHAnsi" w:hAnsi="Arial" w:cs="Arial"/>
          <w:noProof/>
          <w:sz w:val="22"/>
          <w:szCs w:val="22"/>
          <w:lang w:val="en-US" w:eastAsia="en-US"/>
        </w:rPr>
        <w:tab/>
        <w:t xml:space="preserve">M. C. Roa-García and S. Brown, “Characterization of carbon storage in small Andean Wetlands of the upper Río Barbas Watershed (Quindío, Colombia),” </w:t>
      </w:r>
      <w:r w:rsidRPr="009C11B4">
        <w:rPr>
          <w:rFonts w:ascii="Arial" w:eastAsiaTheme="minorHAnsi" w:hAnsi="Arial" w:cs="Arial"/>
          <w:i/>
          <w:iCs/>
          <w:noProof/>
          <w:sz w:val="22"/>
          <w:szCs w:val="22"/>
          <w:lang w:val="en-US" w:eastAsia="en-US"/>
        </w:rPr>
        <w:t>Caldasia</w:t>
      </w:r>
      <w:r w:rsidRPr="009C11B4">
        <w:rPr>
          <w:rFonts w:ascii="Arial" w:eastAsiaTheme="minorHAnsi" w:hAnsi="Arial" w:cs="Arial"/>
          <w:noProof/>
          <w:sz w:val="22"/>
          <w:szCs w:val="22"/>
          <w:lang w:val="en-US" w:eastAsia="en-US"/>
        </w:rPr>
        <w:t>, vol. 38, no. 1, pp. 117–136, 2016, doi: 10.15446/caldasia.v38n1.57833.</w:t>
      </w:r>
    </w:p>
    <w:p w14:paraId="1E644077"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eastAsia="en-US"/>
        </w:rPr>
      </w:pPr>
      <w:r w:rsidRPr="009C11B4">
        <w:rPr>
          <w:rFonts w:ascii="Arial" w:eastAsiaTheme="minorHAnsi" w:hAnsi="Arial" w:cs="Arial"/>
          <w:noProof/>
          <w:sz w:val="22"/>
          <w:szCs w:val="22"/>
          <w:lang w:eastAsia="en-US"/>
        </w:rPr>
        <w:lastRenderedPageBreak/>
        <w:t>[13]</w:t>
      </w:r>
      <w:r w:rsidRPr="009C11B4">
        <w:rPr>
          <w:rFonts w:ascii="Arial" w:eastAsiaTheme="minorHAnsi" w:hAnsi="Arial" w:cs="Arial"/>
          <w:noProof/>
          <w:sz w:val="22"/>
          <w:szCs w:val="22"/>
          <w:lang w:eastAsia="en-US"/>
        </w:rPr>
        <w:tab/>
        <w:t xml:space="preserve">M. Á. Palomeque de la Cruz, A. Galindo Alcántara, A. J. Sánchez, and M. J. Escalona Maurice, “Pérdida de humedales y vegetación por urbanización en la cuenca del río Grijalva, México,” </w:t>
      </w:r>
      <w:r w:rsidRPr="009C11B4">
        <w:rPr>
          <w:rFonts w:ascii="Arial" w:eastAsiaTheme="minorHAnsi" w:hAnsi="Arial" w:cs="Arial"/>
          <w:i/>
          <w:iCs/>
          <w:noProof/>
          <w:sz w:val="22"/>
          <w:szCs w:val="22"/>
          <w:lang w:eastAsia="en-US"/>
        </w:rPr>
        <w:t>Investig. Geográficas</w:t>
      </w:r>
      <w:r w:rsidRPr="009C11B4">
        <w:rPr>
          <w:rFonts w:ascii="Arial" w:eastAsiaTheme="minorHAnsi" w:hAnsi="Arial" w:cs="Arial"/>
          <w:noProof/>
          <w:sz w:val="22"/>
          <w:szCs w:val="22"/>
          <w:lang w:eastAsia="en-US"/>
        </w:rPr>
        <w:t>, no. 68, pp. 151–172, 2017, doi: 10.14198/ingeo2017.68.09.</w:t>
      </w:r>
    </w:p>
    <w:p w14:paraId="0709E99B"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eastAsia="en-US"/>
        </w:rPr>
        <w:t>[14]</w:t>
      </w:r>
      <w:r w:rsidRPr="009C11B4">
        <w:rPr>
          <w:rFonts w:ascii="Arial" w:eastAsiaTheme="minorHAnsi" w:hAnsi="Arial" w:cs="Arial"/>
          <w:noProof/>
          <w:sz w:val="22"/>
          <w:szCs w:val="22"/>
          <w:lang w:eastAsia="en-US"/>
        </w:rPr>
        <w:tab/>
        <w:t xml:space="preserve">J. P. Rodríguez, K. K. Senhadji-Navarro, and M. A. Ruiz Ochoa, “Estado ecológico de algunos humedales colombianos en los últimos 15 años: Una evaluación prospectiva,” </w:t>
      </w:r>
      <w:r w:rsidRPr="009C11B4">
        <w:rPr>
          <w:rFonts w:ascii="Arial" w:eastAsiaTheme="minorHAnsi" w:hAnsi="Arial" w:cs="Arial"/>
          <w:i/>
          <w:iCs/>
          <w:noProof/>
          <w:sz w:val="22"/>
          <w:szCs w:val="22"/>
          <w:lang w:eastAsia="en-US"/>
        </w:rPr>
        <w:t xml:space="preserve">Colomb. </w:t>
      </w:r>
      <w:r w:rsidRPr="009C11B4">
        <w:rPr>
          <w:rFonts w:ascii="Arial" w:eastAsiaTheme="minorHAnsi" w:hAnsi="Arial" w:cs="Arial"/>
          <w:i/>
          <w:iCs/>
          <w:noProof/>
          <w:sz w:val="22"/>
          <w:szCs w:val="22"/>
          <w:lang w:val="en-US" w:eastAsia="en-US"/>
        </w:rPr>
        <w:t>For.</w:t>
      </w:r>
      <w:r w:rsidRPr="009C11B4">
        <w:rPr>
          <w:rFonts w:ascii="Arial" w:eastAsiaTheme="minorHAnsi" w:hAnsi="Arial" w:cs="Arial"/>
          <w:noProof/>
          <w:sz w:val="22"/>
          <w:szCs w:val="22"/>
          <w:lang w:val="en-US" w:eastAsia="en-US"/>
        </w:rPr>
        <w:t>, vol. 20, no. 2, p. 181, Jun. 2017, doi: 10.14483/udistrital.jour.colomb.for.2017.2.a07.</w:t>
      </w:r>
    </w:p>
    <w:p w14:paraId="225380A7"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[15]</w:t>
      </w:r>
      <w:r w:rsidRPr="009C11B4">
        <w:rPr>
          <w:rFonts w:ascii="Arial" w:eastAsiaTheme="minorHAnsi" w:hAnsi="Arial" w:cs="Arial"/>
          <w:noProof/>
          <w:sz w:val="22"/>
          <w:szCs w:val="22"/>
          <w:lang w:val="en-US" w:eastAsia="en-US"/>
        </w:rPr>
        <w:tab/>
        <w:t xml:space="preserve">M. J. Cohen </w:t>
      </w:r>
      <w:r w:rsidRPr="009C11B4">
        <w:rPr>
          <w:rFonts w:ascii="Arial" w:eastAsiaTheme="minorHAnsi" w:hAnsi="Arial" w:cs="Arial"/>
          <w:i/>
          <w:iCs/>
          <w:noProof/>
          <w:sz w:val="22"/>
          <w:szCs w:val="22"/>
          <w:lang w:val="en-US" w:eastAsia="en-US"/>
        </w:rPr>
        <w:t>et al.</w:t>
      </w:r>
      <w:r w:rsidRPr="009C11B4">
        <w:rPr>
          <w:rFonts w:ascii="Arial" w:eastAsiaTheme="minorHAnsi" w:hAnsi="Arial" w:cs="Arial"/>
          <w:noProof/>
          <w:sz w:val="22"/>
          <w:szCs w:val="22"/>
          <w:lang w:val="en-US" w:eastAsia="en-US"/>
        </w:rPr>
        <w:t xml:space="preserve">, “Do geographically isolated wetlands influence landscape functions?,” </w:t>
      </w:r>
      <w:r w:rsidRPr="009C11B4">
        <w:rPr>
          <w:rFonts w:ascii="Arial" w:eastAsiaTheme="minorHAnsi" w:hAnsi="Arial" w:cs="Arial"/>
          <w:i/>
          <w:iCs/>
          <w:noProof/>
          <w:sz w:val="22"/>
          <w:szCs w:val="22"/>
          <w:lang w:val="en-US" w:eastAsia="en-US"/>
        </w:rPr>
        <w:t>Proceedings of the National Academy of Sciences of the United States of America</w:t>
      </w:r>
      <w:r w:rsidRPr="009C11B4">
        <w:rPr>
          <w:rFonts w:ascii="Arial" w:eastAsiaTheme="minorHAnsi" w:hAnsi="Arial" w:cs="Arial"/>
          <w:noProof/>
          <w:sz w:val="22"/>
          <w:szCs w:val="22"/>
          <w:lang w:val="en-US" w:eastAsia="en-US"/>
        </w:rPr>
        <w:t>, vol. 113, no. 8. National Academy of Sciences, pp. 1978–1986, 23-Feb-2016, doi: 10.1073/pnas.1512650113.</w:t>
      </w:r>
    </w:p>
    <w:p w14:paraId="787B59FC"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eastAsia="en-US"/>
        </w:rPr>
      </w:pPr>
      <w:r w:rsidRPr="009C11B4">
        <w:rPr>
          <w:rFonts w:ascii="Arial" w:eastAsiaTheme="minorHAnsi" w:hAnsi="Arial" w:cs="Arial"/>
          <w:noProof/>
          <w:sz w:val="22"/>
          <w:szCs w:val="22"/>
          <w:lang w:val="en-US" w:eastAsia="en-US"/>
        </w:rPr>
        <w:t>[16]</w:t>
      </w:r>
      <w:r w:rsidRPr="009C11B4">
        <w:rPr>
          <w:rFonts w:ascii="Arial" w:eastAsiaTheme="minorHAnsi" w:hAnsi="Arial" w:cs="Arial"/>
          <w:noProof/>
          <w:sz w:val="22"/>
          <w:szCs w:val="22"/>
          <w:lang w:val="en-US" w:eastAsia="en-US"/>
        </w:rPr>
        <w:tab/>
        <w:t xml:space="preserve">C. Langan, J. Farmer, M. Rivington, P. Novo, and J. U. Smith, “A wetland ecosystem service assessment tool; Development and application in a tropical peatland in Uganda,” </w:t>
      </w:r>
      <w:r w:rsidRPr="009C11B4">
        <w:rPr>
          <w:rFonts w:ascii="Arial" w:eastAsiaTheme="minorHAnsi" w:hAnsi="Arial" w:cs="Arial"/>
          <w:i/>
          <w:iCs/>
          <w:noProof/>
          <w:sz w:val="22"/>
          <w:szCs w:val="22"/>
          <w:lang w:val="en-US" w:eastAsia="en-US"/>
        </w:rPr>
        <w:t xml:space="preserve">Ecol. </w:t>
      </w:r>
      <w:r w:rsidRPr="009C11B4">
        <w:rPr>
          <w:rFonts w:ascii="Arial" w:eastAsiaTheme="minorHAnsi" w:hAnsi="Arial" w:cs="Arial"/>
          <w:i/>
          <w:iCs/>
          <w:noProof/>
          <w:sz w:val="22"/>
          <w:szCs w:val="22"/>
          <w:lang w:eastAsia="en-US"/>
        </w:rPr>
        <w:t>Indic.</w:t>
      </w:r>
      <w:r w:rsidRPr="009C11B4">
        <w:rPr>
          <w:rFonts w:ascii="Arial" w:eastAsiaTheme="minorHAnsi" w:hAnsi="Arial" w:cs="Arial"/>
          <w:noProof/>
          <w:sz w:val="22"/>
          <w:szCs w:val="22"/>
          <w:lang w:eastAsia="en-US"/>
        </w:rPr>
        <w:t>, vol. 103, pp. 434–445, Aug. 2019, doi: 10.1016/j.ecolind.2019.04.019.</w:t>
      </w:r>
    </w:p>
    <w:p w14:paraId="2F381827"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eastAsia="en-US"/>
        </w:rPr>
        <w:t>[17]</w:t>
      </w:r>
      <w:r w:rsidRPr="009C11B4">
        <w:rPr>
          <w:rFonts w:ascii="Arial" w:eastAsiaTheme="minorHAnsi" w:hAnsi="Arial" w:cs="Arial"/>
          <w:noProof/>
          <w:sz w:val="22"/>
          <w:szCs w:val="22"/>
          <w:lang w:eastAsia="en-US"/>
        </w:rPr>
        <w:tab/>
        <w:t xml:space="preserve">L. E. Delgado </w:t>
      </w:r>
      <w:r w:rsidRPr="009C11B4">
        <w:rPr>
          <w:rFonts w:ascii="Arial" w:eastAsiaTheme="minorHAnsi" w:hAnsi="Arial" w:cs="Arial"/>
          <w:i/>
          <w:iCs/>
          <w:noProof/>
          <w:sz w:val="22"/>
          <w:szCs w:val="22"/>
          <w:lang w:eastAsia="en-US"/>
        </w:rPr>
        <w:t>et al.</w:t>
      </w:r>
      <w:r w:rsidRPr="009C11B4">
        <w:rPr>
          <w:rFonts w:ascii="Arial" w:eastAsiaTheme="minorHAnsi" w:hAnsi="Arial" w:cs="Arial"/>
          <w:noProof/>
          <w:sz w:val="22"/>
          <w:szCs w:val="22"/>
          <w:lang w:eastAsia="en-US"/>
        </w:rPr>
        <w:t xml:space="preserve">, “El humedal del Río Cruces, Valdivia, Chile: Una síntesis ecosistémica,” </w:t>
      </w:r>
      <w:r w:rsidRPr="009C11B4">
        <w:rPr>
          <w:rFonts w:ascii="Arial" w:eastAsiaTheme="minorHAnsi" w:hAnsi="Arial" w:cs="Arial"/>
          <w:i/>
          <w:iCs/>
          <w:noProof/>
          <w:sz w:val="22"/>
          <w:szCs w:val="22"/>
          <w:lang w:eastAsia="en-US"/>
        </w:rPr>
        <w:t xml:space="preserve">Lat. Am. J. Aquat. </w:t>
      </w:r>
      <w:r w:rsidRPr="009C11B4">
        <w:rPr>
          <w:rFonts w:ascii="Arial" w:eastAsiaTheme="minorHAnsi" w:hAnsi="Arial" w:cs="Arial"/>
          <w:i/>
          <w:iCs/>
          <w:noProof/>
          <w:sz w:val="22"/>
          <w:szCs w:val="22"/>
          <w:lang w:val="en-US" w:eastAsia="en-US"/>
        </w:rPr>
        <w:t>Res.</w:t>
      </w:r>
      <w:r w:rsidRPr="009C11B4">
        <w:rPr>
          <w:rFonts w:ascii="Arial" w:eastAsiaTheme="minorHAnsi" w:hAnsi="Arial" w:cs="Arial"/>
          <w:noProof/>
          <w:sz w:val="22"/>
          <w:szCs w:val="22"/>
          <w:lang w:val="en-US" w:eastAsia="en-US"/>
        </w:rPr>
        <w:t>, vol. 42, no. 5, pp. 937–949, 2014, doi: 10.3856/vol42-issue5-fulltext-1.</w:t>
      </w:r>
    </w:p>
    <w:p w14:paraId="16035089"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[18]</w:t>
      </w:r>
      <w:r w:rsidRPr="009C11B4">
        <w:rPr>
          <w:rFonts w:ascii="Arial" w:eastAsiaTheme="minorHAnsi" w:hAnsi="Arial" w:cs="Arial"/>
          <w:noProof/>
          <w:sz w:val="22"/>
          <w:szCs w:val="22"/>
          <w:lang w:val="en-US" w:eastAsia="en-US"/>
        </w:rPr>
        <w:tab/>
        <w:t xml:space="preserve">A. Watson, J. Miller, M. Fleischer, and W. de Clercq, “Estimation of groundwater recharge via percolation outputs from a rainfall/runoff model for the Verlorenvlei estuarine system, west coast, South Africa,” </w:t>
      </w:r>
      <w:r w:rsidRPr="009C11B4">
        <w:rPr>
          <w:rFonts w:ascii="Arial" w:eastAsiaTheme="minorHAnsi" w:hAnsi="Arial" w:cs="Arial"/>
          <w:i/>
          <w:iCs/>
          <w:noProof/>
          <w:sz w:val="22"/>
          <w:szCs w:val="22"/>
          <w:lang w:val="en-US" w:eastAsia="en-US"/>
        </w:rPr>
        <w:t>J. Hydrol.</w:t>
      </w:r>
      <w:r w:rsidRPr="009C11B4">
        <w:rPr>
          <w:rFonts w:ascii="Arial" w:eastAsiaTheme="minorHAnsi" w:hAnsi="Arial" w:cs="Arial"/>
          <w:noProof/>
          <w:sz w:val="22"/>
          <w:szCs w:val="22"/>
          <w:lang w:val="en-US" w:eastAsia="en-US"/>
        </w:rPr>
        <w:t>, vol. 558, pp. 238–254, Mar. 2018, doi: 10.1016/j.jhydrol.2018.01.028.</w:t>
      </w:r>
    </w:p>
    <w:p w14:paraId="18354C5F"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eastAsia="en-US"/>
        </w:rPr>
      </w:pPr>
      <w:r w:rsidRPr="009C11B4">
        <w:rPr>
          <w:rFonts w:ascii="Arial" w:eastAsiaTheme="minorHAnsi" w:hAnsi="Arial" w:cs="Arial"/>
          <w:noProof/>
          <w:sz w:val="22"/>
          <w:szCs w:val="22"/>
          <w:lang w:val="en-US" w:eastAsia="en-US"/>
        </w:rPr>
        <w:t>[19]</w:t>
      </w:r>
      <w:r w:rsidRPr="009C11B4">
        <w:rPr>
          <w:rFonts w:ascii="Arial" w:eastAsiaTheme="minorHAnsi" w:hAnsi="Arial" w:cs="Arial"/>
          <w:noProof/>
          <w:sz w:val="22"/>
          <w:szCs w:val="22"/>
          <w:lang w:val="en-US" w:eastAsia="en-US"/>
        </w:rPr>
        <w:tab/>
        <w:t xml:space="preserve">S. Mehvar, T. Filatova, M. H. Sarker, A. Dastgheib, and R. Ranasinghe, “Climate change-driven losses in ecosystem services of coastal wetlands: A case study in the West coast of Bangladesh,” </w:t>
      </w:r>
      <w:r w:rsidRPr="009C11B4">
        <w:rPr>
          <w:rFonts w:ascii="Arial" w:eastAsiaTheme="minorHAnsi" w:hAnsi="Arial" w:cs="Arial"/>
          <w:i/>
          <w:iCs/>
          <w:noProof/>
          <w:sz w:val="22"/>
          <w:szCs w:val="22"/>
          <w:lang w:val="en-US" w:eastAsia="en-US"/>
        </w:rPr>
        <w:t xml:space="preserve">Ocean Coast. </w:t>
      </w:r>
      <w:r w:rsidRPr="009C11B4">
        <w:rPr>
          <w:rFonts w:ascii="Arial" w:eastAsiaTheme="minorHAnsi" w:hAnsi="Arial" w:cs="Arial"/>
          <w:i/>
          <w:iCs/>
          <w:noProof/>
          <w:sz w:val="22"/>
          <w:szCs w:val="22"/>
          <w:lang w:eastAsia="en-US"/>
        </w:rPr>
        <w:t>Manag.</w:t>
      </w:r>
      <w:r w:rsidRPr="009C11B4">
        <w:rPr>
          <w:rFonts w:ascii="Arial" w:eastAsiaTheme="minorHAnsi" w:hAnsi="Arial" w:cs="Arial"/>
          <w:noProof/>
          <w:sz w:val="22"/>
          <w:szCs w:val="22"/>
          <w:lang w:eastAsia="en-US"/>
        </w:rPr>
        <w:t>, vol. 169, pp. 273–283, Mar. 2019, doi: 10.1016/j.ocecoaman.2018.12.009.</w:t>
      </w:r>
    </w:p>
    <w:p w14:paraId="4FBF9F9E"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eastAsia="en-US"/>
        </w:rPr>
        <w:t>[20]</w:t>
      </w:r>
      <w:r w:rsidRPr="009C11B4">
        <w:rPr>
          <w:rFonts w:ascii="Arial" w:eastAsiaTheme="minorHAnsi" w:hAnsi="Arial" w:cs="Arial"/>
          <w:noProof/>
          <w:sz w:val="22"/>
          <w:szCs w:val="22"/>
          <w:lang w:eastAsia="en-US"/>
        </w:rPr>
        <w:tab/>
        <w:t xml:space="preserve">P. A. Bejarano Mora and M. A. Bonilla, “Dinámica espacio-temporal del humedal Juan Amarillo entre 1950-2005,” </w:t>
      </w:r>
      <w:r w:rsidRPr="009C11B4">
        <w:rPr>
          <w:rFonts w:ascii="Arial" w:eastAsiaTheme="minorHAnsi" w:hAnsi="Arial" w:cs="Arial"/>
          <w:i/>
          <w:iCs/>
          <w:noProof/>
          <w:sz w:val="22"/>
          <w:szCs w:val="22"/>
          <w:lang w:eastAsia="en-US"/>
        </w:rPr>
        <w:t xml:space="preserve">Acta Biol. </w:t>
      </w:r>
      <w:r w:rsidRPr="009C11B4">
        <w:rPr>
          <w:rFonts w:ascii="Arial" w:eastAsiaTheme="minorHAnsi" w:hAnsi="Arial" w:cs="Arial"/>
          <w:i/>
          <w:iCs/>
          <w:noProof/>
          <w:sz w:val="22"/>
          <w:szCs w:val="22"/>
          <w:lang w:val="en-US" w:eastAsia="en-US"/>
        </w:rPr>
        <w:t>Colomb.</w:t>
      </w:r>
      <w:r w:rsidRPr="009C11B4">
        <w:rPr>
          <w:rFonts w:ascii="Arial" w:eastAsiaTheme="minorHAnsi" w:hAnsi="Arial" w:cs="Arial"/>
          <w:noProof/>
          <w:sz w:val="22"/>
          <w:szCs w:val="22"/>
          <w:lang w:val="en-US" w:eastAsia="en-US"/>
        </w:rPr>
        <w:t>, vol. 14, no. 1, pp. 87–106, 2009.</w:t>
      </w:r>
    </w:p>
    <w:p w14:paraId="055B58B4"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[21]</w:t>
      </w:r>
      <w:r w:rsidRPr="009C11B4">
        <w:rPr>
          <w:rFonts w:ascii="Arial" w:eastAsiaTheme="minorHAnsi" w:hAnsi="Arial" w:cs="Arial"/>
          <w:noProof/>
          <w:sz w:val="22"/>
          <w:szCs w:val="22"/>
          <w:lang w:val="en-US" w:eastAsia="en-US"/>
        </w:rPr>
        <w:tab/>
        <w:t xml:space="preserve">S. Taddeo, I. Dronova, and N. Depsky, “Spectral vegetation indices of wetland greenness: Responses to vegetation structure, composition, and spatial distribution,” </w:t>
      </w:r>
      <w:r w:rsidRPr="009C11B4">
        <w:rPr>
          <w:rFonts w:ascii="Arial" w:eastAsiaTheme="minorHAnsi" w:hAnsi="Arial" w:cs="Arial"/>
          <w:i/>
          <w:iCs/>
          <w:noProof/>
          <w:sz w:val="22"/>
          <w:szCs w:val="22"/>
          <w:lang w:val="en-US" w:eastAsia="en-US"/>
        </w:rPr>
        <w:t>Remote Sens. Environ.</w:t>
      </w:r>
      <w:r w:rsidRPr="009C11B4">
        <w:rPr>
          <w:rFonts w:ascii="Arial" w:eastAsiaTheme="minorHAnsi" w:hAnsi="Arial" w:cs="Arial"/>
          <w:noProof/>
          <w:sz w:val="22"/>
          <w:szCs w:val="22"/>
          <w:lang w:val="en-US" w:eastAsia="en-US"/>
        </w:rPr>
        <w:t>, vol. 234, p. 111467, Dec. 2019, doi: 10.1016/j.rse.2019.111467.</w:t>
      </w:r>
    </w:p>
    <w:p w14:paraId="1C669EE0"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eastAsia="en-US"/>
        </w:rPr>
      </w:pPr>
      <w:r w:rsidRPr="009C11B4">
        <w:rPr>
          <w:rFonts w:ascii="Arial" w:eastAsiaTheme="minorHAnsi" w:hAnsi="Arial" w:cs="Arial"/>
          <w:noProof/>
          <w:sz w:val="22"/>
          <w:szCs w:val="22"/>
          <w:lang w:eastAsia="en-US"/>
        </w:rPr>
        <w:t>[22]</w:t>
      </w:r>
      <w:r w:rsidRPr="009C11B4">
        <w:rPr>
          <w:rFonts w:ascii="Arial" w:eastAsiaTheme="minorHAnsi" w:hAnsi="Arial" w:cs="Arial"/>
          <w:noProof/>
          <w:sz w:val="22"/>
          <w:szCs w:val="22"/>
          <w:lang w:eastAsia="en-US"/>
        </w:rPr>
        <w:tab/>
        <w:t xml:space="preserve">C. Rojas, E. Sepúlveda-Zúñiga, O. Barbosa, O. Rojas, and C. Martínez, “Patrones de urbanización en la biodiversidad de humedales urbanos en Concepción metropolitano,” </w:t>
      </w:r>
      <w:r w:rsidRPr="009C11B4">
        <w:rPr>
          <w:rFonts w:ascii="Arial" w:eastAsiaTheme="minorHAnsi" w:hAnsi="Arial" w:cs="Arial"/>
          <w:i/>
          <w:iCs/>
          <w:noProof/>
          <w:sz w:val="22"/>
          <w:szCs w:val="22"/>
          <w:lang w:eastAsia="en-US"/>
        </w:rPr>
        <w:t>Rev. Geogr. Norte Gd.</w:t>
      </w:r>
      <w:r w:rsidRPr="009C11B4">
        <w:rPr>
          <w:rFonts w:ascii="Arial" w:eastAsiaTheme="minorHAnsi" w:hAnsi="Arial" w:cs="Arial"/>
          <w:noProof/>
          <w:sz w:val="22"/>
          <w:szCs w:val="22"/>
          <w:lang w:eastAsia="en-US"/>
        </w:rPr>
        <w:t>, no. 61, pp. 181–204, 2015, doi: 10.4067/s0718-34022015000200010.</w:t>
      </w:r>
    </w:p>
    <w:p w14:paraId="27E9B4AB"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pt-BR" w:eastAsia="en-US"/>
        </w:rPr>
      </w:pPr>
      <w:r w:rsidRPr="009C11B4">
        <w:rPr>
          <w:rFonts w:ascii="Arial" w:eastAsiaTheme="minorHAnsi" w:hAnsi="Arial" w:cs="Arial"/>
          <w:noProof/>
          <w:sz w:val="22"/>
          <w:szCs w:val="22"/>
          <w:lang w:eastAsia="en-US"/>
        </w:rPr>
        <w:t>[23]</w:t>
      </w:r>
      <w:r w:rsidRPr="009C11B4">
        <w:rPr>
          <w:rFonts w:ascii="Arial" w:eastAsiaTheme="minorHAnsi" w:hAnsi="Arial" w:cs="Arial"/>
          <w:noProof/>
          <w:sz w:val="22"/>
          <w:szCs w:val="22"/>
          <w:lang w:eastAsia="en-US"/>
        </w:rPr>
        <w:tab/>
        <w:t xml:space="preserve">L. A. Cortés Ballén, “Aproximación al paisaje de los humedales urbanos de Bogotá dentro de la estructura ecológica principal de la ciudad,” </w:t>
      </w:r>
      <w:r w:rsidRPr="009C11B4">
        <w:rPr>
          <w:rFonts w:ascii="Arial" w:eastAsiaTheme="minorHAnsi" w:hAnsi="Arial" w:cs="Arial"/>
          <w:i/>
          <w:iCs/>
          <w:noProof/>
          <w:sz w:val="22"/>
          <w:szCs w:val="22"/>
          <w:lang w:eastAsia="en-US"/>
        </w:rPr>
        <w:t xml:space="preserve">Cuad. </w:t>
      </w:r>
      <w:r w:rsidRPr="009C11B4">
        <w:rPr>
          <w:rFonts w:ascii="Arial" w:eastAsiaTheme="minorHAnsi" w:hAnsi="Arial" w:cs="Arial"/>
          <w:i/>
          <w:iCs/>
          <w:noProof/>
          <w:sz w:val="22"/>
          <w:szCs w:val="22"/>
          <w:lang w:val="pt-BR" w:eastAsia="en-US"/>
        </w:rPr>
        <w:t>Geogr. Rev. Colomb. Geogr.</w:t>
      </w:r>
      <w:r w:rsidRPr="009C11B4">
        <w:rPr>
          <w:rFonts w:ascii="Arial" w:eastAsiaTheme="minorHAnsi" w:hAnsi="Arial" w:cs="Arial"/>
          <w:noProof/>
          <w:sz w:val="22"/>
          <w:szCs w:val="22"/>
          <w:lang w:val="pt-BR" w:eastAsia="en-US"/>
        </w:rPr>
        <w:t>, vol. 27, no. 1, pp. 118–130, 2018, doi: 10.15446/rcdg.v27n1.60584.</w:t>
      </w:r>
    </w:p>
    <w:p w14:paraId="4BC4CDED"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eastAsia="en-US"/>
        </w:rPr>
        <w:t>[24]</w:t>
      </w:r>
      <w:r w:rsidRPr="009C11B4">
        <w:rPr>
          <w:rFonts w:ascii="Arial" w:eastAsiaTheme="minorHAnsi" w:hAnsi="Arial" w:cs="Arial"/>
          <w:noProof/>
          <w:sz w:val="22"/>
          <w:szCs w:val="22"/>
          <w:lang w:eastAsia="en-US"/>
        </w:rPr>
        <w:tab/>
        <w:t xml:space="preserve">D. A. Sánchez Núñez, G. A. Pinilla Agudelo, and J. E. Mancera Pineda, “Efectos del uso del suelo en las propiedades edáficas y la escorrentía superficial en una cuenca de la Orinoquia Colombiana,” </w:t>
      </w:r>
      <w:r w:rsidRPr="009C11B4">
        <w:rPr>
          <w:rFonts w:ascii="Arial" w:eastAsiaTheme="minorHAnsi" w:hAnsi="Arial" w:cs="Arial"/>
          <w:i/>
          <w:iCs/>
          <w:noProof/>
          <w:sz w:val="22"/>
          <w:szCs w:val="22"/>
          <w:lang w:eastAsia="en-US"/>
        </w:rPr>
        <w:t xml:space="preserve">Colomb. </w:t>
      </w:r>
      <w:r w:rsidRPr="009C11B4">
        <w:rPr>
          <w:rFonts w:ascii="Arial" w:eastAsiaTheme="minorHAnsi" w:hAnsi="Arial" w:cs="Arial"/>
          <w:i/>
          <w:iCs/>
          <w:noProof/>
          <w:sz w:val="22"/>
          <w:szCs w:val="22"/>
          <w:lang w:val="en-US" w:eastAsia="en-US"/>
        </w:rPr>
        <w:t>For.</w:t>
      </w:r>
      <w:r w:rsidRPr="009C11B4">
        <w:rPr>
          <w:rFonts w:ascii="Arial" w:eastAsiaTheme="minorHAnsi" w:hAnsi="Arial" w:cs="Arial"/>
          <w:noProof/>
          <w:sz w:val="22"/>
          <w:szCs w:val="22"/>
          <w:lang w:val="en-US" w:eastAsia="en-US"/>
        </w:rPr>
        <w:t>, vol. 18, no. 2, pp. 255–272, 2015, doi: 10.14483/udistrital.jour.colomb.for.2015.2.a06.</w:t>
      </w:r>
    </w:p>
    <w:p w14:paraId="581CD3B7"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eastAsia="en-US"/>
        </w:rPr>
      </w:pPr>
      <w:r w:rsidRPr="009C11B4">
        <w:rPr>
          <w:rFonts w:ascii="Arial" w:eastAsiaTheme="minorHAnsi" w:hAnsi="Arial" w:cs="Arial"/>
          <w:noProof/>
          <w:sz w:val="22"/>
          <w:szCs w:val="22"/>
          <w:lang w:val="en-US" w:eastAsia="en-US"/>
        </w:rPr>
        <w:t>[25]</w:t>
      </w:r>
      <w:r w:rsidRPr="009C11B4">
        <w:rPr>
          <w:rFonts w:ascii="Arial" w:eastAsiaTheme="minorHAnsi" w:hAnsi="Arial" w:cs="Arial"/>
          <w:noProof/>
          <w:sz w:val="22"/>
          <w:szCs w:val="22"/>
          <w:lang w:val="en-US" w:eastAsia="en-US"/>
        </w:rPr>
        <w:tab/>
        <w:t xml:space="preserve">L. M. Teuber, N. Hölzel, and L. H. Fraser, “Livestock grazing in intermountain depressional wetlands-Effects on plant strategies, soil characteristics and biomass,” </w:t>
      </w:r>
      <w:r w:rsidRPr="009C11B4">
        <w:rPr>
          <w:rFonts w:ascii="Arial" w:eastAsiaTheme="minorHAnsi" w:hAnsi="Arial" w:cs="Arial"/>
          <w:i/>
          <w:iCs/>
          <w:noProof/>
          <w:sz w:val="22"/>
          <w:szCs w:val="22"/>
          <w:lang w:val="en-US" w:eastAsia="en-US"/>
        </w:rPr>
        <w:t xml:space="preserve">Agric. </w:t>
      </w:r>
      <w:r w:rsidRPr="009C11B4">
        <w:rPr>
          <w:rFonts w:ascii="Arial" w:eastAsiaTheme="minorHAnsi" w:hAnsi="Arial" w:cs="Arial"/>
          <w:i/>
          <w:iCs/>
          <w:noProof/>
          <w:sz w:val="22"/>
          <w:szCs w:val="22"/>
          <w:lang w:eastAsia="en-US"/>
        </w:rPr>
        <w:t>Ecosyst. Environ.</w:t>
      </w:r>
      <w:r w:rsidRPr="009C11B4">
        <w:rPr>
          <w:rFonts w:ascii="Arial" w:eastAsiaTheme="minorHAnsi" w:hAnsi="Arial" w:cs="Arial"/>
          <w:noProof/>
          <w:sz w:val="22"/>
          <w:szCs w:val="22"/>
          <w:lang w:eastAsia="en-US"/>
        </w:rPr>
        <w:t>, vol. 175, pp. 21–28, Aug. 2013, doi: 10.1016/j.agee.2013.04.017.</w:t>
      </w:r>
    </w:p>
    <w:p w14:paraId="64F2EC6B"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eastAsia="en-US"/>
        </w:rPr>
      </w:pPr>
      <w:r w:rsidRPr="009C11B4">
        <w:rPr>
          <w:rFonts w:ascii="Arial" w:eastAsiaTheme="minorHAnsi" w:hAnsi="Arial" w:cs="Arial"/>
          <w:noProof/>
          <w:sz w:val="22"/>
          <w:szCs w:val="22"/>
          <w:lang w:eastAsia="en-US"/>
        </w:rPr>
        <w:t>[26]</w:t>
      </w:r>
      <w:r w:rsidRPr="009C11B4">
        <w:rPr>
          <w:rFonts w:ascii="Arial" w:eastAsiaTheme="minorHAnsi" w:hAnsi="Arial" w:cs="Arial"/>
          <w:noProof/>
          <w:sz w:val="22"/>
          <w:szCs w:val="22"/>
          <w:lang w:eastAsia="en-US"/>
        </w:rPr>
        <w:tab/>
        <w:t xml:space="preserve">S. E. Aguirre-forero, N. V. Piraneque-gambasica, and J. R. Vásquez-polo, “Características edáficas y su relación con usos del suelo en Santa Marta, Colombia,” </w:t>
      </w:r>
      <w:r w:rsidRPr="009C11B4">
        <w:rPr>
          <w:rFonts w:ascii="Arial" w:eastAsiaTheme="minorHAnsi" w:hAnsi="Arial" w:cs="Arial"/>
          <w:i/>
          <w:iCs/>
          <w:noProof/>
          <w:sz w:val="22"/>
          <w:szCs w:val="22"/>
          <w:lang w:eastAsia="en-US"/>
        </w:rPr>
        <w:t>Entramado</w:t>
      </w:r>
      <w:r w:rsidRPr="009C11B4">
        <w:rPr>
          <w:rFonts w:ascii="Arial" w:eastAsiaTheme="minorHAnsi" w:hAnsi="Arial" w:cs="Arial"/>
          <w:noProof/>
          <w:sz w:val="22"/>
          <w:szCs w:val="22"/>
          <w:lang w:eastAsia="en-US"/>
        </w:rPr>
        <w:t>, vol. 14, no. 1, pp. 242–250, 2018, doi: 10.18041/entramado.2018v14n1.27141.</w:t>
      </w:r>
    </w:p>
    <w:p w14:paraId="5664B603"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[27]</w:t>
      </w:r>
      <w:r w:rsidRPr="009C11B4">
        <w:rPr>
          <w:rFonts w:ascii="Arial" w:eastAsiaTheme="minorHAnsi" w:hAnsi="Arial" w:cs="Arial"/>
          <w:noProof/>
          <w:sz w:val="22"/>
          <w:szCs w:val="22"/>
          <w:lang w:val="en-US" w:eastAsia="en-US"/>
        </w:rPr>
        <w:tab/>
        <w:t xml:space="preserve">J. Liu </w:t>
      </w:r>
      <w:r w:rsidRPr="009C11B4">
        <w:rPr>
          <w:rFonts w:ascii="Arial" w:eastAsiaTheme="minorHAnsi" w:hAnsi="Arial" w:cs="Arial"/>
          <w:i/>
          <w:iCs/>
          <w:noProof/>
          <w:sz w:val="22"/>
          <w:szCs w:val="22"/>
          <w:lang w:val="en-US" w:eastAsia="en-US"/>
        </w:rPr>
        <w:t>et al.</w:t>
      </w:r>
      <w:r w:rsidRPr="009C11B4">
        <w:rPr>
          <w:rFonts w:ascii="Arial" w:eastAsiaTheme="minorHAnsi" w:hAnsi="Arial" w:cs="Arial"/>
          <w:noProof/>
          <w:sz w:val="22"/>
          <w:szCs w:val="22"/>
          <w:lang w:val="en-US" w:eastAsia="en-US"/>
        </w:rPr>
        <w:t xml:space="preserve">, “Hydrological connectivity: One of the driving factors of plant communities in </w:t>
      </w:r>
      <w:r w:rsidRPr="009C11B4">
        <w:rPr>
          <w:rFonts w:ascii="Arial" w:eastAsiaTheme="minorHAnsi" w:hAnsi="Arial" w:cs="Arial"/>
          <w:noProof/>
          <w:sz w:val="22"/>
          <w:szCs w:val="22"/>
          <w:lang w:val="en-US" w:eastAsia="en-US"/>
        </w:rPr>
        <w:lastRenderedPageBreak/>
        <w:t xml:space="preserve">the Yellow River Delta,” </w:t>
      </w:r>
      <w:r w:rsidRPr="009C11B4">
        <w:rPr>
          <w:rFonts w:ascii="Arial" w:eastAsiaTheme="minorHAnsi" w:hAnsi="Arial" w:cs="Arial"/>
          <w:i/>
          <w:iCs/>
          <w:noProof/>
          <w:sz w:val="22"/>
          <w:szCs w:val="22"/>
          <w:lang w:val="en-US" w:eastAsia="en-US"/>
        </w:rPr>
        <w:t>Ecol. Indic.</w:t>
      </w:r>
      <w:r w:rsidRPr="009C11B4">
        <w:rPr>
          <w:rFonts w:ascii="Arial" w:eastAsiaTheme="minorHAnsi" w:hAnsi="Arial" w:cs="Arial"/>
          <w:noProof/>
          <w:sz w:val="22"/>
          <w:szCs w:val="22"/>
          <w:lang w:val="en-US" w:eastAsia="en-US"/>
        </w:rPr>
        <w:t>, vol. 112, p. 106150, May 2020, doi: 10.1016/j.ecolind.2020.106150.</w:t>
      </w:r>
    </w:p>
    <w:p w14:paraId="70A77591"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[28]</w:t>
      </w:r>
      <w:r w:rsidRPr="009C11B4">
        <w:rPr>
          <w:rFonts w:ascii="Arial" w:eastAsiaTheme="minorHAnsi" w:hAnsi="Arial" w:cs="Arial"/>
          <w:noProof/>
          <w:sz w:val="22"/>
          <w:szCs w:val="22"/>
          <w:lang w:val="en-US" w:eastAsia="en-US"/>
        </w:rPr>
        <w:tab/>
        <w:t xml:space="preserve">I. Åhlén, P. Hambäck, J. Thorslund, A. Frampton, G. Destouni, and J. Jarsjö, “Wetlandscape size thresholds for ecosystem service delivery: Evidence from the Norrström drainage basin, Sweden,” </w:t>
      </w:r>
      <w:r w:rsidRPr="009C11B4">
        <w:rPr>
          <w:rFonts w:ascii="Arial" w:eastAsiaTheme="minorHAnsi" w:hAnsi="Arial" w:cs="Arial"/>
          <w:i/>
          <w:iCs/>
          <w:noProof/>
          <w:sz w:val="22"/>
          <w:szCs w:val="22"/>
          <w:lang w:val="en-US" w:eastAsia="en-US"/>
        </w:rPr>
        <w:t>Sci. Total Environ.</w:t>
      </w:r>
      <w:r w:rsidRPr="009C11B4">
        <w:rPr>
          <w:rFonts w:ascii="Arial" w:eastAsiaTheme="minorHAnsi" w:hAnsi="Arial" w:cs="Arial"/>
          <w:noProof/>
          <w:sz w:val="22"/>
          <w:szCs w:val="22"/>
          <w:lang w:val="en-US" w:eastAsia="en-US"/>
        </w:rPr>
        <w:t>, vol. 704, p. 135452, Feb. 2020, doi: 10.1016/j.scitotenv.2019.135452.</w:t>
      </w:r>
    </w:p>
    <w:p w14:paraId="63562BC4"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[29]</w:t>
      </w:r>
      <w:r w:rsidRPr="009C11B4">
        <w:rPr>
          <w:rFonts w:ascii="Arial" w:eastAsiaTheme="minorHAnsi" w:hAnsi="Arial" w:cs="Arial"/>
          <w:noProof/>
          <w:sz w:val="22"/>
          <w:szCs w:val="22"/>
          <w:lang w:val="en-US" w:eastAsia="en-US"/>
        </w:rPr>
        <w:tab/>
        <w:t xml:space="preserve">Q. Cui, M. E. Ammar, M. Iravani, J. Kariyeva, and M. Faramarzi, “Regional wetland water storage changes: The influence of future climate on geographically isolated wetlands,” </w:t>
      </w:r>
      <w:r w:rsidRPr="009C11B4">
        <w:rPr>
          <w:rFonts w:ascii="Arial" w:eastAsiaTheme="minorHAnsi" w:hAnsi="Arial" w:cs="Arial"/>
          <w:i/>
          <w:iCs/>
          <w:noProof/>
          <w:sz w:val="22"/>
          <w:szCs w:val="22"/>
          <w:lang w:val="en-US" w:eastAsia="en-US"/>
        </w:rPr>
        <w:t>Ecol. Indic.</w:t>
      </w:r>
      <w:r w:rsidRPr="009C11B4">
        <w:rPr>
          <w:rFonts w:ascii="Arial" w:eastAsiaTheme="minorHAnsi" w:hAnsi="Arial" w:cs="Arial"/>
          <w:noProof/>
          <w:sz w:val="22"/>
          <w:szCs w:val="22"/>
          <w:lang w:val="en-US" w:eastAsia="en-US"/>
        </w:rPr>
        <w:t>, vol. 120, p. 106941, Jan. 2021, doi: 10.1016/j.ecolind.2020.106941.</w:t>
      </w:r>
    </w:p>
    <w:p w14:paraId="7BD9F436"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[30]</w:t>
      </w:r>
      <w:r w:rsidRPr="009C11B4">
        <w:rPr>
          <w:rFonts w:ascii="Arial" w:eastAsiaTheme="minorHAnsi" w:hAnsi="Arial" w:cs="Arial"/>
          <w:noProof/>
          <w:sz w:val="22"/>
          <w:szCs w:val="22"/>
          <w:lang w:val="en-US" w:eastAsia="en-US"/>
        </w:rPr>
        <w:tab/>
        <w:t xml:space="preserve">C. M. Finlayson, J. A. Davis, P. A. Gell, R. T. Kingsford, and K. A. Parton, “The status of wetlands and the predicted effects of global climate change: The situation in Australia,” </w:t>
      </w:r>
      <w:r w:rsidRPr="009C11B4">
        <w:rPr>
          <w:rFonts w:ascii="Arial" w:eastAsiaTheme="minorHAnsi" w:hAnsi="Arial" w:cs="Arial"/>
          <w:i/>
          <w:iCs/>
          <w:noProof/>
          <w:sz w:val="22"/>
          <w:szCs w:val="22"/>
          <w:lang w:val="en-US" w:eastAsia="en-US"/>
        </w:rPr>
        <w:t>Aquat. Sci.</w:t>
      </w:r>
      <w:r w:rsidRPr="009C11B4">
        <w:rPr>
          <w:rFonts w:ascii="Arial" w:eastAsiaTheme="minorHAnsi" w:hAnsi="Arial" w:cs="Arial"/>
          <w:noProof/>
          <w:sz w:val="22"/>
          <w:szCs w:val="22"/>
          <w:lang w:val="en-US" w:eastAsia="en-US"/>
        </w:rPr>
        <w:t>, vol. 75, no. 1, pp. 73–93, Jan. 2013, doi: 10.1007/s00027-011-0232-5.</w:t>
      </w:r>
    </w:p>
    <w:p w14:paraId="737ABF0A"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[31]</w:t>
      </w:r>
      <w:r w:rsidRPr="009C11B4">
        <w:rPr>
          <w:rFonts w:ascii="Arial" w:eastAsiaTheme="minorHAnsi" w:hAnsi="Arial" w:cs="Arial"/>
          <w:noProof/>
          <w:sz w:val="22"/>
          <w:szCs w:val="22"/>
          <w:lang w:val="en-US" w:eastAsia="en-US"/>
        </w:rPr>
        <w:tab/>
        <w:t xml:space="preserve">J. Zhu </w:t>
      </w:r>
      <w:r w:rsidRPr="009C11B4">
        <w:rPr>
          <w:rFonts w:ascii="Arial" w:eastAsiaTheme="minorHAnsi" w:hAnsi="Arial" w:cs="Arial"/>
          <w:i/>
          <w:iCs/>
          <w:noProof/>
          <w:sz w:val="22"/>
          <w:szCs w:val="22"/>
          <w:lang w:val="en-US" w:eastAsia="en-US"/>
        </w:rPr>
        <w:t>et al.</w:t>
      </w:r>
      <w:r w:rsidRPr="009C11B4">
        <w:rPr>
          <w:rFonts w:ascii="Arial" w:eastAsiaTheme="minorHAnsi" w:hAnsi="Arial" w:cs="Arial"/>
          <w:noProof/>
          <w:sz w:val="22"/>
          <w:szCs w:val="22"/>
          <w:lang w:val="en-US" w:eastAsia="en-US"/>
        </w:rPr>
        <w:t xml:space="preserve">, “Modeling the potential impacts of climate change on the water table level of selected forested wetlands in the southeastern United States,” </w:t>
      </w:r>
      <w:r w:rsidRPr="009C11B4">
        <w:rPr>
          <w:rFonts w:ascii="Arial" w:eastAsiaTheme="minorHAnsi" w:hAnsi="Arial" w:cs="Arial"/>
          <w:i/>
          <w:iCs/>
          <w:noProof/>
          <w:sz w:val="22"/>
          <w:szCs w:val="22"/>
          <w:lang w:val="en-US" w:eastAsia="en-US"/>
        </w:rPr>
        <w:t>Hydrol. Earth Syst. Sci.</w:t>
      </w:r>
      <w:r w:rsidRPr="009C11B4">
        <w:rPr>
          <w:rFonts w:ascii="Arial" w:eastAsiaTheme="minorHAnsi" w:hAnsi="Arial" w:cs="Arial"/>
          <w:noProof/>
          <w:sz w:val="22"/>
          <w:szCs w:val="22"/>
          <w:lang w:val="en-US" w:eastAsia="en-US"/>
        </w:rPr>
        <w:t>, vol. 21, no. 12, pp. 6289–6305, Dec. 2017, doi: 10.5194/hess-21-6289-2017.</w:t>
      </w:r>
    </w:p>
    <w:p w14:paraId="46FFD38D"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[32]</w:t>
      </w:r>
      <w:r w:rsidRPr="009C11B4">
        <w:rPr>
          <w:rFonts w:ascii="Arial" w:eastAsiaTheme="minorHAnsi" w:hAnsi="Arial" w:cs="Arial"/>
          <w:noProof/>
          <w:sz w:val="22"/>
          <w:szCs w:val="22"/>
          <w:lang w:val="en-US" w:eastAsia="en-US"/>
        </w:rPr>
        <w:tab/>
        <w:t xml:space="preserve">E. Ragno, A. AghaKouchak, C. A. Love, L. Cheng, F. Vahedifard, and C. H. R. Lima, “Quantifying Changes in Future Intensity-Duration-Frequency Curves Using Multimodel Ensemble Simulations,” </w:t>
      </w:r>
      <w:r w:rsidRPr="009C11B4">
        <w:rPr>
          <w:rFonts w:ascii="Arial" w:eastAsiaTheme="minorHAnsi" w:hAnsi="Arial" w:cs="Arial"/>
          <w:i/>
          <w:iCs/>
          <w:noProof/>
          <w:sz w:val="22"/>
          <w:szCs w:val="22"/>
          <w:lang w:val="en-US" w:eastAsia="en-US"/>
        </w:rPr>
        <w:t>Water Resour. Res.</w:t>
      </w:r>
      <w:r w:rsidRPr="009C11B4">
        <w:rPr>
          <w:rFonts w:ascii="Arial" w:eastAsiaTheme="minorHAnsi" w:hAnsi="Arial" w:cs="Arial"/>
          <w:noProof/>
          <w:sz w:val="22"/>
          <w:szCs w:val="22"/>
          <w:lang w:val="en-US" w:eastAsia="en-US"/>
        </w:rPr>
        <w:t>, vol. 54, no. 3, pp. 1751–1764, Mar. 2018, doi: 10.1002/2017WR021975.</w:t>
      </w:r>
    </w:p>
    <w:p w14:paraId="5F6397DF"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[33]</w:t>
      </w:r>
      <w:r w:rsidRPr="009C11B4">
        <w:rPr>
          <w:rFonts w:ascii="Arial" w:eastAsiaTheme="minorHAnsi" w:hAnsi="Arial" w:cs="Arial"/>
          <w:noProof/>
          <w:sz w:val="22"/>
          <w:szCs w:val="22"/>
          <w:lang w:val="en-US" w:eastAsia="en-US"/>
        </w:rPr>
        <w:tab/>
        <w:t xml:space="preserve">B. D. Abel, B. Rajagopalan, and A. J. Ray, “A predictive model for seasonal pond counts in the United States Prairie Pothole Region using large-scale climate connections,” </w:t>
      </w:r>
      <w:r w:rsidRPr="009C11B4">
        <w:rPr>
          <w:rFonts w:ascii="Arial" w:eastAsiaTheme="minorHAnsi" w:hAnsi="Arial" w:cs="Arial"/>
          <w:i/>
          <w:iCs/>
          <w:noProof/>
          <w:sz w:val="22"/>
          <w:szCs w:val="22"/>
          <w:lang w:val="en-US" w:eastAsia="en-US"/>
        </w:rPr>
        <w:t>Environ. Res. Lett.</w:t>
      </w:r>
      <w:r w:rsidRPr="009C11B4">
        <w:rPr>
          <w:rFonts w:ascii="Arial" w:eastAsiaTheme="minorHAnsi" w:hAnsi="Arial" w:cs="Arial"/>
          <w:noProof/>
          <w:sz w:val="22"/>
          <w:szCs w:val="22"/>
          <w:lang w:val="en-US" w:eastAsia="en-US"/>
        </w:rPr>
        <w:t>, vol. 15, no. 4, p. 044019, Apr. 2020, doi: 10.1088/1748-9326/ab7465.</w:t>
      </w:r>
    </w:p>
    <w:p w14:paraId="0AC62314"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eastAsia="en-US"/>
        </w:rPr>
      </w:pPr>
      <w:r w:rsidRPr="009C11B4">
        <w:rPr>
          <w:rFonts w:ascii="Arial" w:eastAsiaTheme="minorHAnsi" w:hAnsi="Arial" w:cs="Arial"/>
          <w:noProof/>
          <w:sz w:val="22"/>
          <w:szCs w:val="22"/>
          <w:lang w:val="en-US" w:eastAsia="en-US"/>
        </w:rPr>
        <w:t>[34]</w:t>
      </w:r>
      <w:r w:rsidRPr="009C11B4">
        <w:rPr>
          <w:rFonts w:ascii="Arial" w:eastAsiaTheme="minorHAnsi" w:hAnsi="Arial" w:cs="Arial"/>
          <w:noProof/>
          <w:sz w:val="22"/>
          <w:szCs w:val="22"/>
          <w:lang w:val="en-US" w:eastAsia="en-US"/>
        </w:rPr>
        <w:tab/>
        <w:t xml:space="preserve">N. Veas-Ayala, A. Quesada-Román, H. G. Hidalgo, and E. J. Alfaro, “Humedales del Parque Nacional Chirripó, Costa Rica: características, relaciones geomorfológicas y escenarios de cambio climático,” </w:t>
      </w:r>
      <w:r w:rsidRPr="009C11B4">
        <w:rPr>
          <w:rFonts w:ascii="Arial" w:eastAsiaTheme="minorHAnsi" w:hAnsi="Arial" w:cs="Arial"/>
          <w:i/>
          <w:iCs/>
          <w:noProof/>
          <w:sz w:val="22"/>
          <w:szCs w:val="22"/>
          <w:lang w:val="en-US" w:eastAsia="en-US"/>
        </w:rPr>
        <w:t xml:space="preserve">Rev. Biol. </w:t>
      </w:r>
      <w:r w:rsidRPr="009C11B4">
        <w:rPr>
          <w:rFonts w:ascii="Arial" w:eastAsiaTheme="minorHAnsi" w:hAnsi="Arial" w:cs="Arial"/>
          <w:i/>
          <w:iCs/>
          <w:noProof/>
          <w:sz w:val="22"/>
          <w:szCs w:val="22"/>
          <w:lang w:eastAsia="en-US"/>
        </w:rPr>
        <w:t>Trop.</w:t>
      </w:r>
      <w:r w:rsidRPr="009C11B4">
        <w:rPr>
          <w:rFonts w:ascii="Arial" w:eastAsiaTheme="minorHAnsi" w:hAnsi="Arial" w:cs="Arial"/>
          <w:noProof/>
          <w:sz w:val="22"/>
          <w:szCs w:val="22"/>
          <w:lang w:eastAsia="en-US"/>
        </w:rPr>
        <w:t>, vol. 66, no. 4, p. 1436, 2018, doi: 10.15517/rbt.v66i4.31477.</w:t>
      </w:r>
    </w:p>
    <w:p w14:paraId="6E3C5A4E"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eastAsia="en-US"/>
        </w:rPr>
      </w:pPr>
      <w:r w:rsidRPr="009C11B4">
        <w:rPr>
          <w:rFonts w:ascii="Arial" w:eastAsiaTheme="minorHAnsi" w:hAnsi="Arial" w:cs="Arial"/>
          <w:noProof/>
          <w:sz w:val="22"/>
          <w:szCs w:val="22"/>
          <w:lang w:eastAsia="en-US"/>
        </w:rPr>
        <w:t>[35]</w:t>
      </w:r>
      <w:r w:rsidRPr="009C11B4">
        <w:rPr>
          <w:rFonts w:ascii="Arial" w:eastAsiaTheme="minorHAnsi" w:hAnsi="Arial" w:cs="Arial"/>
          <w:noProof/>
          <w:sz w:val="22"/>
          <w:szCs w:val="22"/>
          <w:lang w:eastAsia="en-US"/>
        </w:rPr>
        <w:tab/>
        <w:t xml:space="preserve">G. Schosinsky and M. Losilla, “Modelo analítico para determinar la infiltración con base en la lluvia mensual,” </w:t>
      </w:r>
      <w:r w:rsidRPr="009C11B4">
        <w:rPr>
          <w:rFonts w:ascii="Arial" w:eastAsiaTheme="minorHAnsi" w:hAnsi="Arial" w:cs="Arial"/>
          <w:i/>
          <w:iCs/>
          <w:noProof/>
          <w:sz w:val="22"/>
          <w:szCs w:val="22"/>
          <w:lang w:eastAsia="en-US"/>
        </w:rPr>
        <w:t>Rev. Geológica América Cent.</w:t>
      </w:r>
      <w:r w:rsidRPr="009C11B4">
        <w:rPr>
          <w:rFonts w:ascii="Arial" w:eastAsiaTheme="minorHAnsi" w:hAnsi="Arial" w:cs="Arial"/>
          <w:noProof/>
          <w:sz w:val="22"/>
          <w:szCs w:val="22"/>
          <w:lang w:eastAsia="en-US"/>
        </w:rPr>
        <w:t>, no. 23, pp. 43–55, Jun. 2011, doi: 10.15517/rgac.v0i23.8579.</w:t>
      </w:r>
    </w:p>
    <w:p w14:paraId="1C614A57"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[36]</w:t>
      </w:r>
      <w:r w:rsidRPr="009C11B4">
        <w:rPr>
          <w:rFonts w:ascii="Arial" w:eastAsiaTheme="minorHAnsi" w:hAnsi="Arial" w:cs="Arial"/>
          <w:noProof/>
          <w:sz w:val="22"/>
          <w:szCs w:val="22"/>
          <w:lang w:val="en-US" w:eastAsia="en-US"/>
        </w:rPr>
        <w:tab/>
        <w:t>Scopus, “SciVerse Scopus,” 2020.</w:t>
      </w:r>
    </w:p>
    <w:p w14:paraId="5B6DA393"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[37]</w:t>
      </w:r>
      <w:r w:rsidRPr="009C11B4">
        <w:rPr>
          <w:rFonts w:ascii="Arial" w:eastAsiaTheme="minorHAnsi" w:hAnsi="Arial" w:cs="Arial"/>
          <w:noProof/>
          <w:sz w:val="22"/>
          <w:szCs w:val="22"/>
          <w:lang w:val="en-US" w:eastAsia="en-US"/>
        </w:rPr>
        <w:tab/>
        <w:t xml:space="preserve">M. J. Cobo, A. G. Lõpez-Herrera, E. Herrera-Viedma, and F. Herrera, “SciMAT: A new science mapping analysis software tool,” </w:t>
      </w:r>
      <w:r w:rsidRPr="009C11B4">
        <w:rPr>
          <w:rFonts w:ascii="Arial" w:eastAsiaTheme="minorHAnsi" w:hAnsi="Arial" w:cs="Arial"/>
          <w:i/>
          <w:iCs/>
          <w:noProof/>
          <w:sz w:val="22"/>
          <w:szCs w:val="22"/>
          <w:lang w:val="en-US" w:eastAsia="en-US"/>
        </w:rPr>
        <w:t>J. Am. Soc. Inf. Sci. Technol.</w:t>
      </w:r>
      <w:r w:rsidRPr="009C11B4">
        <w:rPr>
          <w:rFonts w:ascii="Arial" w:eastAsiaTheme="minorHAnsi" w:hAnsi="Arial" w:cs="Arial"/>
          <w:noProof/>
          <w:sz w:val="22"/>
          <w:szCs w:val="22"/>
          <w:lang w:val="en-US" w:eastAsia="en-US"/>
        </w:rPr>
        <w:t>, vol. 63, no. 8, pp. 1609–1630, Aug. 2012, doi: 10.1002/asi.22688.</w:t>
      </w:r>
    </w:p>
    <w:p w14:paraId="1829328B"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[38]</w:t>
      </w:r>
      <w:r w:rsidRPr="009C11B4">
        <w:rPr>
          <w:rFonts w:ascii="Arial" w:eastAsiaTheme="minorHAnsi" w:hAnsi="Arial" w:cs="Arial"/>
          <w:noProof/>
          <w:sz w:val="22"/>
          <w:szCs w:val="22"/>
          <w:lang w:val="en-US" w:eastAsia="en-US"/>
        </w:rPr>
        <w:tab/>
        <w:t xml:space="preserve">J. Montero-Díaz, M. J. Cobo, M. Gutiérrez-Salcedo, F. Segado-Boj, and E. Herrera-Viedma, “A science mapping analysis of ‘Communication’ WoS subject category (1980-2013),” </w:t>
      </w:r>
      <w:r w:rsidRPr="009C11B4">
        <w:rPr>
          <w:rFonts w:ascii="Arial" w:eastAsiaTheme="minorHAnsi" w:hAnsi="Arial" w:cs="Arial"/>
          <w:i/>
          <w:iCs/>
          <w:noProof/>
          <w:sz w:val="22"/>
          <w:szCs w:val="22"/>
          <w:lang w:val="en-US" w:eastAsia="en-US"/>
        </w:rPr>
        <w:t>Comunicar</w:t>
      </w:r>
      <w:r w:rsidRPr="009C11B4">
        <w:rPr>
          <w:rFonts w:ascii="Arial" w:eastAsiaTheme="minorHAnsi" w:hAnsi="Arial" w:cs="Arial"/>
          <w:noProof/>
          <w:sz w:val="22"/>
          <w:szCs w:val="22"/>
          <w:lang w:val="en-US" w:eastAsia="en-US"/>
        </w:rPr>
        <w:t>, vol. 26, no. 55, pp. 81–91, 2018, doi: 10.3916/C55-2018-08.</w:t>
      </w:r>
    </w:p>
    <w:p w14:paraId="7F84C6CC"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eastAsia="en-US"/>
        </w:rPr>
        <w:t>[39]</w:t>
      </w:r>
      <w:r w:rsidRPr="009C11B4">
        <w:rPr>
          <w:rFonts w:ascii="Arial" w:eastAsiaTheme="minorHAnsi" w:hAnsi="Arial" w:cs="Arial"/>
          <w:noProof/>
          <w:sz w:val="22"/>
          <w:szCs w:val="22"/>
          <w:lang w:eastAsia="en-US"/>
        </w:rPr>
        <w:tab/>
        <w:t xml:space="preserve">A. Álvarez-Marin, M. Castillo-Vergara, and C. Geldes-González, “Análisis Bibliométrico de la Realidad Aumentada y su Relación con la Administración de Negocios,” </w:t>
      </w:r>
      <w:r w:rsidRPr="009C11B4">
        <w:rPr>
          <w:rFonts w:ascii="Arial" w:eastAsiaTheme="minorHAnsi" w:hAnsi="Arial" w:cs="Arial"/>
          <w:i/>
          <w:iCs/>
          <w:noProof/>
          <w:sz w:val="22"/>
          <w:szCs w:val="22"/>
          <w:lang w:eastAsia="en-US"/>
        </w:rPr>
        <w:t xml:space="preserve">Inf. </w:t>
      </w:r>
      <w:r w:rsidRPr="009C11B4">
        <w:rPr>
          <w:rFonts w:ascii="Arial" w:eastAsiaTheme="minorHAnsi" w:hAnsi="Arial" w:cs="Arial"/>
          <w:i/>
          <w:iCs/>
          <w:noProof/>
          <w:sz w:val="22"/>
          <w:szCs w:val="22"/>
          <w:lang w:val="en-US" w:eastAsia="en-US"/>
        </w:rPr>
        <w:t>Tecnol.</w:t>
      </w:r>
      <w:r w:rsidRPr="009C11B4">
        <w:rPr>
          <w:rFonts w:ascii="Arial" w:eastAsiaTheme="minorHAnsi" w:hAnsi="Arial" w:cs="Arial"/>
          <w:noProof/>
          <w:sz w:val="22"/>
          <w:szCs w:val="22"/>
          <w:lang w:val="en-US" w:eastAsia="en-US"/>
        </w:rPr>
        <w:t>, vol. 28, no. 4, pp. 57–66, 2017, doi: 10.4067/S0718-07642017000400008.</w:t>
      </w:r>
    </w:p>
    <w:p w14:paraId="23CB8B2E"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[40]</w:t>
      </w:r>
      <w:r w:rsidRPr="009C11B4">
        <w:rPr>
          <w:rFonts w:ascii="Arial" w:eastAsiaTheme="minorHAnsi" w:hAnsi="Arial" w:cs="Arial"/>
          <w:noProof/>
          <w:sz w:val="22"/>
          <w:szCs w:val="22"/>
          <w:lang w:val="en-US" w:eastAsia="en-US"/>
        </w:rPr>
        <w:tab/>
        <w:t xml:space="preserve">N. J. Van Eck and L. Waltman, “Software survey: VOSviewer, a computer program for bibliometric mapping,” </w:t>
      </w:r>
      <w:r w:rsidRPr="009C11B4">
        <w:rPr>
          <w:rFonts w:ascii="Arial" w:eastAsiaTheme="minorHAnsi" w:hAnsi="Arial" w:cs="Arial"/>
          <w:i/>
          <w:iCs/>
          <w:noProof/>
          <w:sz w:val="22"/>
          <w:szCs w:val="22"/>
          <w:lang w:val="en-US" w:eastAsia="en-US"/>
        </w:rPr>
        <w:t>Scientometrics</w:t>
      </w:r>
      <w:r w:rsidRPr="009C11B4">
        <w:rPr>
          <w:rFonts w:ascii="Arial" w:eastAsiaTheme="minorHAnsi" w:hAnsi="Arial" w:cs="Arial"/>
          <w:noProof/>
          <w:sz w:val="22"/>
          <w:szCs w:val="22"/>
          <w:lang w:val="en-US" w:eastAsia="en-US"/>
        </w:rPr>
        <w:t>, vol. 84, no. 2, pp. 523–538, 2010, doi: 10.1007/s11192-009-0146-3.</w:t>
      </w:r>
    </w:p>
    <w:p w14:paraId="52A71BFB"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[41]</w:t>
      </w:r>
      <w:r w:rsidRPr="009C11B4">
        <w:rPr>
          <w:rFonts w:ascii="Arial" w:eastAsiaTheme="minorHAnsi" w:hAnsi="Arial" w:cs="Arial"/>
          <w:noProof/>
          <w:sz w:val="22"/>
          <w:szCs w:val="22"/>
          <w:lang w:val="en-US" w:eastAsia="en-US"/>
        </w:rPr>
        <w:tab/>
        <w:t xml:space="preserve">N. J. Van Eck, L. Waltman, J. van den Berg, and U. Kaymak, “Visualizing the computational intelligence field,” </w:t>
      </w:r>
      <w:r w:rsidRPr="009C11B4">
        <w:rPr>
          <w:rFonts w:ascii="Arial" w:eastAsiaTheme="minorHAnsi" w:hAnsi="Arial" w:cs="Arial"/>
          <w:i/>
          <w:iCs/>
          <w:noProof/>
          <w:sz w:val="22"/>
          <w:szCs w:val="22"/>
          <w:lang w:val="en-US" w:eastAsia="en-US"/>
        </w:rPr>
        <w:t>IEEE Comput. Intell. Mag.</w:t>
      </w:r>
      <w:r w:rsidRPr="009C11B4">
        <w:rPr>
          <w:rFonts w:ascii="Arial" w:eastAsiaTheme="minorHAnsi" w:hAnsi="Arial" w:cs="Arial"/>
          <w:noProof/>
          <w:sz w:val="22"/>
          <w:szCs w:val="22"/>
          <w:lang w:val="en-US" w:eastAsia="en-US"/>
        </w:rPr>
        <w:t>, vol. 1, no. 4, pp. 6–10, Mar. 2006, doi: 10.1109/mci.2006.329702.</w:t>
      </w:r>
    </w:p>
    <w:p w14:paraId="6FE955D4"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[42]</w:t>
      </w:r>
      <w:r w:rsidRPr="009C11B4">
        <w:rPr>
          <w:rFonts w:ascii="Arial" w:eastAsiaTheme="minorHAnsi" w:hAnsi="Arial" w:cs="Arial"/>
          <w:noProof/>
          <w:sz w:val="22"/>
          <w:szCs w:val="22"/>
          <w:lang w:val="en-US" w:eastAsia="en-US"/>
        </w:rPr>
        <w:tab/>
        <w:t xml:space="preserve">N. Mueller </w:t>
      </w:r>
      <w:r w:rsidRPr="009C11B4">
        <w:rPr>
          <w:rFonts w:ascii="Arial" w:eastAsiaTheme="minorHAnsi" w:hAnsi="Arial" w:cs="Arial"/>
          <w:i/>
          <w:iCs/>
          <w:noProof/>
          <w:sz w:val="22"/>
          <w:szCs w:val="22"/>
          <w:lang w:val="en-US" w:eastAsia="en-US"/>
        </w:rPr>
        <w:t>et al.</w:t>
      </w:r>
      <w:r w:rsidRPr="009C11B4">
        <w:rPr>
          <w:rFonts w:ascii="Arial" w:eastAsiaTheme="minorHAnsi" w:hAnsi="Arial" w:cs="Arial"/>
          <w:noProof/>
          <w:sz w:val="22"/>
          <w:szCs w:val="22"/>
          <w:lang w:val="en-US" w:eastAsia="en-US"/>
        </w:rPr>
        <w:t xml:space="preserve">, “Water observations from space: Mapping surface water from 25years of Landsat imagery across Australia,” </w:t>
      </w:r>
      <w:r w:rsidRPr="009C11B4">
        <w:rPr>
          <w:rFonts w:ascii="Arial" w:eastAsiaTheme="minorHAnsi" w:hAnsi="Arial" w:cs="Arial"/>
          <w:i/>
          <w:iCs/>
          <w:noProof/>
          <w:sz w:val="22"/>
          <w:szCs w:val="22"/>
          <w:lang w:val="en-US" w:eastAsia="en-US"/>
        </w:rPr>
        <w:t>Remote Sens. Environ.</w:t>
      </w:r>
      <w:r w:rsidRPr="009C11B4">
        <w:rPr>
          <w:rFonts w:ascii="Arial" w:eastAsiaTheme="minorHAnsi" w:hAnsi="Arial" w:cs="Arial"/>
          <w:noProof/>
          <w:sz w:val="22"/>
          <w:szCs w:val="22"/>
          <w:lang w:val="en-US" w:eastAsia="en-US"/>
        </w:rPr>
        <w:t>, vol. 174, pp. 341–352, Mar. 2016, doi: 10.1016/j.rse.2015.11.003.</w:t>
      </w:r>
    </w:p>
    <w:p w14:paraId="658EAA90"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[43]</w:t>
      </w:r>
      <w:r w:rsidRPr="009C11B4">
        <w:rPr>
          <w:rFonts w:ascii="Arial" w:eastAsiaTheme="minorHAnsi" w:hAnsi="Arial" w:cs="Arial"/>
          <w:noProof/>
          <w:sz w:val="22"/>
          <w:szCs w:val="22"/>
          <w:lang w:val="en-US" w:eastAsia="en-US"/>
        </w:rPr>
        <w:tab/>
        <w:t xml:space="preserve">Y. Natuhara, “Ecosystem services by paddy fields as substitutes of natural wetlands in </w:t>
      </w:r>
      <w:r w:rsidRPr="009C11B4">
        <w:rPr>
          <w:rFonts w:ascii="Arial" w:eastAsiaTheme="minorHAnsi" w:hAnsi="Arial" w:cs="Arial"/>
          <w:noProof/>
          <w:sz w:val="22"/>
          <w:szCs w:val="22"/>
          <w:lang w:val="en-US" w:eastAsia="en-US"/>
        </w:rPr>
        <w:lastRenderedPageBreak/>
        <w:t xml:space="preserve">Japan,” </w:t>
      </w:r>
      <w:r w:rsidRPr="009C11B4">
        <w:rPr>
          <w:rFonts w:ascii="Arial" w:eastAsiaTheme="minorHAnsi" w:hAnsi="Arial" w:cs="Arial"/>
          <w:i/>
          <w:iCs/>
          <w:noProof/>
          <w:sz w:val="22"/>
          <w:szCs w:val="22"/>
          <w:lang w:val="en-US" w:eastAsia="en-US"/>
        </w:rPr>
        <w:t>Ecol. Eng.</w:t>
      </w:r>
      <w:r w:rsidRPr="009C11B4">
        <w:rPr>
          <w:rFonts w:ascii="Arial" w:eastAsiaTheme="minorHAnsi" w:hAnsi="Arial" w:cs="Arial"/>
          <w:noProof/>
          <w:sz w:val="22"/>
          <w:szCs w:val="22"/>
          <w:lang w:val="en-US" w:eastAsia="en-US"/>
        </w:rPr>
        <w:t>, vol. 56, pp. 97–106, Jul. 2013, doi: 10.1016/j.ecoleng.2012.04.026.</w:t>
      </w:r>
    </w:p>
    <w:p w14:paraId="2D323C97"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[44]</w:t>
      </w:r>
      <w:r w:rsidRPr="009C11B4">
        <w:rPr>
          <w:rFonts w:ascii="Arial" w:eastAsiaTheme="minorHAnsi" w:hAnsi="Arial" w:cs="Arial"/>
          <w:noProof/>
          <w:sz w:val="22"/>
          <w:szCs w:val="22"/>
          <w:lang w:val="en-US" w:eastAsia="en-US"/>
        </w:rPr>
        <w:tab/>
        <w:t xml:space="preserve">S. Dogramaci, G. Skrzypek, W. Dodson, and P. F. Grierson, “Stable isotope and hydrochemical evolution of groundwater in the semi-arid Hamersley Basin of subtropical northwest Australia,” </w:t>
      </w:r>
      <w:r w:rsidRPr="009C11B4">
        <w:rPr>
          <w:rFonts w:ascii="Arial" w:eastAsiaTheme="minorHAnsi" w:hAnsi="Arial" w:cs="Arial"/>
          <w:i/>
          <w:iCs/>
          <w:noProof/>
          <w:sz w:val="22"/>
          <w:szCs w:val="22"/>
          <w:lang w:val="en-US" w:eastAsia="en-US"/>
        </w:rPr>
        <w:t>J. Hydrol.</w:t>
      </w:r>
      <w:r w:rsidRPr="009C11B4">
        <w:rPr>
          <w:rFonts w:ascii="Arial" w:eastAsiaTheme="minorHAnsi" w:hAnsi="Arial" w:cs="Arial"/>
          <w:noProof/>
          <w:sz w:val="22"/>
          <w:szCs w:val="22"/>
          <w:lang w:val="en-US" w:eastAsia="en-US"/>
        </w:rPr>
        <w:t>, vol. 475, pp. 281–293, Dec. 2012, doi: 10.1016/j.jhydrol.2012.10.004.</w:t>
      </w:r>
    </w:p>
    <w:p w14:paraId="7B4B445E"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[45]</w:t>
      </w:r>
      <w:r w:rsidRPr="009C11B4">
        <w:rPr>
          <w:rFonts w:ascii="Arial" w:eastAsiaTheme="minorHAnsi" w:hAnsi="Arial" w:cs="Arial"/>
          <w:noProof/>
          <w:sz w:val="22"/>
          <w:szCs w:val="22"/>
          <w:lang w:val="en-US" w:eastAsia="en-US"/>
        </w:rPr>
        <w:tab/>
        <w:t xml:space="preserve">Y. Liu and T. Yamanaka, “Tracing groundwater recharge sources in a mountain-plain transitional area using stable isotopes and hydrochemistry,” </w:t>
      </w:r>
      <w:r w:rsidRPr="009C11B4">
        <w:rPr>
          <w:rFonts w:ascii="Arial" w:eastAsiaTheme="minorHAnsi" w:hAnsi="Arial" w:cs="Arial"/>
          <w:i/>
          <w:iCs/>
          <w:noProof/>
          <w:sz w:val="22"/>
          <w:szCs w:val="22"/>
          <w:lang w:val="en-US" w:eastAsia="en-US"/>
        </w:rPr>
        <w:t>J. Hydrol.</w:t>
      </w:r>
      <w:r w:rsidRPr="009C11B4">
        <w:rPr>
          <w:rFonts w:ascii="Arial" w:eastAsiaTheme="minorHAnsi" w:hAnsi="Arial" w:cs="Arial"/>
          <w:noProof/>
          <w:sz w:val="22"/>
          <w:szCs w:val="22"/>
          <w:lang w:val="en-US" w:eastAsia="en-US"/>
        </w:rPr>
        <w:t>, vol. 464–465, pp. 116–126, Sep. 2012, doi: 10.1016/j.jhydrol.2012.06.053.</w:t>
      </w:r>
    </w:p>
    <w:p w14:paraId="118AD059"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[46]</w:t>
      </w:r>
      <w:r w:rsidRPr="009C11B4">
        <w:rPr>
          <w:rFonts w:ascii="Arial" w:eastAsiaTheme="minorHAnsi" w:hAnsi="Arial" w:cs="Arial"/>
          <w:noProof/>
          <w:sz w:val="22"/>
          <w:szCs w:val="22"/>
          <w:lang w:val="en-US" w:eastAsia="en-US"/>
        </w:rPr>
        <w:tab/>
        <w:t xml:space="preserve">H. H. Gerke, S. Koszinski, T. Kalettka, and M. Sommer, “Structures and hydrologic function of soil landscapes with kettle holes using an integrated hydropedological approach,” </w:t>
      </w:r>
      <w:r w:rsidRPr="009C11B4">
        <w:rPr>
          <w:rFonts w:ascii="Arial" w:eastAsiaTheme="minorHAnsi" w:hAnsi="Arial" w:cs="Arial"/>
          <w:i/>
          <w:iCs/>
          <w:noProof/>
          <w:sz w:val="22"/>
          <w:szCs w:val="22"/>
          <w:lang w:val="en-US" w:eastAsia="en-US"/>
        </w:rPr>
        <w:t>J. Hydrol.</w:t>
      </w:r>
      <w:r w:rsidRPr="009C11B4">
        <w:rPr>
          <w:rFonts w:ascii="Arial" w:eastAsiaTheme="minorHAnsi" w:hAnsi="Arial" w:cs="Arial"/>
          <w:noProof/>
          <w:sz w:val="22"/>
          <w:szCs w:val="22"/>
          <w:lang w:val="en-US" w:eastAsia="en-US"/>
        </w:rPr>
        <w:t>, vol. 393, no. 1–2, pp. 123–132, Oct. 2010, doi: 10.1016/j.jhydrol.2009.12.047.</w:t>
      </w:r>
    </w:p>
    <w:p w14:paraId="1567A619"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[47]</w:t>
      </w:r>
      <w:r w:rsidRPr="009C11B4">
        <w:rPr>
          <w:rFonts w:ascii="Arial" w:eastAsiaTheme="minorHAnsi" w:hAnsi="Arial" w:cs="Arial"/>
          <w:noProof/>
          <w:sz w:val="22"/>
          <w:szCs w:val="22"/>
          <w:lang w:val="en-US" w:eastAsia="en-US"/>
        </w:rPr>
        <w:tab/>
        <w:t xml:space="preserve">G. Acharya, “Approaches to valuing the hidden hydrological services of wetland ecosystems,” </w:t>
      </w:r>
      <w:r w:rsidRPr="009C11B4">
        <w:rPr>
          <w:rFonts w:ascii="Arial" w:eastAsiaTheme="minorHAnsi" w:hAnsi="Arial" w:cs="Arial"/>
          <w:i/>
          <w:iCs/>
          <w:noProof/>
          <w:sz w:val="22"/>
          <w:szCs w:val="22"/>
          <w:lang w:val="en-US" w:eastAsia="en-US"/>
        </w:rPr>
        <w:t>Ecol. Econ.</w:t>
      </w:r>
      <w:r w:rsidRPr="009C11B4">
        <w:rPr>
          <w:rFonts w:ascii="Arial" w:eastAsiaTheme="minorHAnsi" w:hAnsi="Arial" w:cs="Arial"/>
          <w:noProof/>
          <w:sz w:val="22"/>
          <w:szCs w:val="22"/>
          <w:lang w:val="en-US" w:eastAsia="en-US"/>
        </w:rPr>
        <w:t>, vol. 35, no. 1, pp. 63–74, Oct. 2000, doi: 10.1016/S0921-8009(00)00168-3.</w:t>
      </w:r>
    </w:p>
    <w:p w14:paraId="445BD6A9"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[48]</w:t>
      </w:r>
      <w:r w:rsidRPr="009C11B4">
        <w:rPr>
          <w:rFonts w:ascii="Arial" w:eastAsiaTheme="minorHAnsi" w:hAnsi="Arial" w:cs="Arial"/>
          <w:noProof/>
          <w:sz w:val="22"/>
          <w:szCs w:val="22"/>
          <w:lang w:val="en-US" w:eastAsia="en-US"/>
        </w:rPr>
        <w:tab/>
        <w:t xml:space="preserve">N. H. Euliss, L. M. Smith, D. A. Wilcox, and B. A. Browne, “Linking ecosystem processes with wetland management goals: Charting a course for a sustainable future,” </w:t>
      </w:r>
      <w:r w:rsidRPr="009C11B4">
        <w:rPr>
          <w:rFonts w:ascii="Arial" w:eastAsiaTheme="minorHAnsi" w:hAnsi="Arial" w:cs="Arial"/>
          <w:i/>
          <w:iCs/>
          <w:noProof/>
          <w:sz w:val="22"/>
          <w:szCs w:val="22"/>
          <w:lang w:val="en-US" w:eastAsia="en-US"/>
        </w:rPr>
        <w:t>Wetlands</w:t>
      </w:r>
      <w:r w:rsidRPr="009C11B4">
        <w:rPr>
          <w:rFonts w:ascii="Arial" w:eastAsiaTheme="minorHAnsi" w:hAnsi="Arial" w:cs="Arial"/>
          <w:noProof/>
          <w:sz w:val="22"/>
          <w:szCs w:val="22"/>
          <w:lang w:val="en-US" w:eastAsia="en-US"/>
        </w:rPr>
        <w:t>, vol. 28, no. 3, pp. 553–562, Sep. 2008, doi: 10.1672/07-154.1.</w:t>
      </w:r>
    </w:p>
    <w:p w14:paraId="1246F979"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[49]</w:t>
      </w:r>
      <w:r w:rsidRPr="009C11B4">
        <w:rPr>
          <w:rFonts w:ascii="Arial" w:eastAsiaTheme="minorHAnsi" w:hAnsi="Arial" w:cs="Arial"/>
          <w:noProof/>
          <w:sz w:val="22"/>
          <w:szCs w:val="22"/>
          <w:lang w:val="en-US" w:eastAsia="en-US"/>
        </w:rPr>
        <w:tab/>
        <w:t xml:space="preserve">M. D. B. Watanabe and E. Ortega, “Dynamic emergy accounting of water and carbon ecosystem services: A model to simulate the impacts of land-use change,” </w:t>
      </w:r>
      <w:r w:rsidRPr="009C11B4">
        <w:rPr>
          <w:rFonts w:ascii="Arial" w:eastAsiaTheme="minorHAnsi" w:hAnsi="Arial" w:cs="Arial"/>
          <w:i/>
          <w:iCs/>
          <w:noProof/>
          <w:sz w:val="22"/>
          <w:szCs w:val="22"/>
          <w:lang w:val="en-US" w:eastAsia="en-US"/>
        </w:rPr>
        <w:t>Ecol. Modell.</w:t>
      </w:r>
      <w:r w:rsidRPr="009C11B4">
        <w:rPr>
          <w:rFonts w:ascii="Arial" w:eastAsiaTheme="minorHAnsi" w:hAnsi="Arial" w:cs="Arial"/>
          <w:noProof/>
          <w:sz w:val="22"/>
          <w:szCs w:val="22"/>
          <w:lang w:val="en-US" w:eastAsia="en-US"/>
        </w:rPr>
        <w:t>, vol. 271, pp. 113–131, Jan. 2014, doi: 10.1016/j.ecolmodel.2013.03.006.</w:t>
      </w:r>
    </w:p>
    <w:p w14:paraId="47DD55E6"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[50]</w:t>
      </w:r>
      <w:r w:rsidRPr="009C11B4">
        <w:rPr>
          <w:rFonts w:ascii="Arial" w:eastAsiaTheme="minorHAnsi" w:hAnsi="Arial" w:cs="Arial"/>
          <w:noProof/>
          <w:sz w:val="22"/>
          <w:szCs w:val="22"/>
          <w:lang w:val="en-US" w:eastAsia="en-US"/>
        </w:rPr>
        <w:tab/>
        <w:t xml:space="preserve">J. Choi and J. W. Harvey, “Quantifying time-varying ground-water discharge and recharge in wetlands of the northern Florida Everglades,” </w:t>
      </w:r>
      <w:r w:rsidRPr="009C11B4">
        <w:rPr>
          <w:rFonts w:ascii="Arial" w:eastAsiaTheme="minorHAnsi" w:hAnsi="Arial" w:cs="Arial"/>
          <w:i/>
          <w:iCs/>
          <w:noProof/>
          <w:sz w:val="22"/>
          <w:szCs w:val="22"/>
          <w:lang w:val="en-US" w:eastAsia="en-US"/>
        </w:rPr>
        <w:t>Wetlands</w:t>
      </w:r>
      <w:r w:rsidRPr="009C11B4">
        <w:rPr>
          <w:rFonts w:ascii="Arial" w:eastAsiaTheme="minorHAnsi" w:hAnsi="Arial" w:cs="Arial"/>
          <w:noProof/>
          <w:sz w:val="22"/>
          <w:szCs w:val="22"/>
          <w:lang w:val="en-US" w:eastAsia="en-US"/>
        </w:rPr>
        <w:t>, vol. 20, no. 3, pp. 500–511, Jul. 2000, doi: 10.1672/0277-5212(2000)020&lt;0500:QTGDAR&gt;2.0.CO;2.</w:t>
      </w:r>
    </w:p>
    <w:p w14:paraId="11352236"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[51]</w:t>
      </w:r>
      <w:r w:rsidRPr="009C11B4">
        <w:rPr>
          <w:rFonts w:ascii="Arial" w:eastAsiaTheme="minorHAnsi" w:hAnsi="Arial" w:cs="Arial"/>
          <w:noProof/>
          <w:sz w:val="22"/>
          <w:szCs w:val="22"/>
          <w:lang w:val="en-US" w:eastAsia="en-US"/>
        </w:rPr>
        <w:tab/>
        <w:t xml:space="preserve">J. W. Harvey, S. L. Krupa, and J. M. Krest, “Ground water recharge and discharge in the central everglades,” </w:t>
      </w:r>
      <w:r w:rsidRPr="009C11B4">
        <w:rPr>
          <w:rFonts w:ascii="Arial" w:eastAsiaTheme="minorHAnsi" w:hAnsi="Arial" w:cs="Arial"/>
          <w:i/>
          <w:iCs/>
          <w:noProof/>
          <w:sz w:val="22"/>
          <w:szCs w:val="22"/>
          <w:lang w:val="en-US" w:eastAsia="en-US"/>
        </w:rPr>
        <w:t>Ground Water</w:t>
      </w:r>
      <w:r w:rsidRPr="009C11B4">
        <w:rPr>
          <w:rFonts w:ascii="Arial" w:eastAsiaTheme="minorHAnsi" w:hAnsi="Arial" w:cs="Arial"/>
          <w:noProof/>
          <w:sz w:val="22"/>
          <w:szCs w:val="22"/>
          <w:lang w:val="en-US" w:eastAsia="en-US"/>
        </w:rPr>
        <w:t>, vol. 42, no. 7, pp. 1090–1102, Dec. 2004, doi: 10.1111/j.1745-6584.2004.tb02646.x.</w:t>
      </w:r>
    </w:p>
    <w:p w14:paraId="3E6E3A4C" w14:textId="77777777" w:rsidR="009C11B4" w:rsidRPr="009C11B4" w:rsidRDefault="009C11B4" w:rsidP="009C11B4">
      <w:pPr>
        <w:widowControl w:val="0"/>
        <w:autoSpaceDE w:val="0"/>
        <w:autoSpaceDN w:val="0"/>
        <w:adjustRightInd w:val="0"/>
        <w:ind w:left="640" w:hanging="640"/>
        <w:jc w:val="both"/>
        <w:rPr>
          <w:rFonts w:ascii="Arial" w:eastAsiaTheme="minorHAnsi" w:hAnsi="Arial" w:cs="Arial"/>
          <w:noProof/>
          <w:sz w:val="22"/>
          <w:szCs w:val="22"/>
          <w:lang w:val="en-US" w:eastAsia="en-US"/>
        </w:rPr>
      </w:pPr>
      <w:r w:rsidRPr="009C11B4">
        <w:rPr>
          <w:rFonts w:ascii="Arial" w:eastAsiaTheme="minorHAnsi" w:hAnsi="Arial" w:cs="Arial"/>
          <w:noProof/>
          <w:sz w:val="22"/>
          <w:szCs w:val="22"/>
          <w:lang w:val="en-US" w:eastAsia="en-US"/>
        </w:rPr>
        <w:t>[52]</w:t>
      </w:r>
      <w:r w:rsidRPr="009C11B4">
        <w:rPr>
          <w:rFonts w:ascii="Arial" w:eastAsiaTheme="minorHAnsi" w:hAnsi="Arial" w:cs="Arial"/>
          <w:noProof/>
          <w:sz w:val="22"/>
          <w:szCs w:val="22"/>
          <w:lang w:val="en-US" w:eastAsia="en-US"/>
        </w:rPr>
        <w:tab/>
        <w:t xml:space="preserve">D. D. S. Price, “A general theory of bibliometric and other cumulative advantage processes,” </w:t>
      </w:r>
      <w:r w:rsidRPr="009C11B4">
        <w:rPr>
          <w:rFonts w:ascii="Arial" w:eastAsiaTheme="minorHAnsi" w:hAnsi="Arial" w:cs="Arial"/>
          <w:i/>
          <w:iCs/>
          <w:noProof/>
          <w:sz w:val="22"/>
          <w:szCs w:val="22"/>
          <w:lang w:val="en-US" w:eastAsia="en-US"/>
        </w:rPr>
        <w:t>J. Am. Soc. Inf. Sci.</w:t>
      </w:r>
      <w:r w:rsidRPr="009C11B4">
        <w:rPr>
          <w:rFonts w:ascii="Arial" w:eastAsiaTheme="minorHAnsi" w:hAnsi="Arial" w:cs="Arial"/>
          <w:noProof/>
          <w:sz w:val="22"/>
          <w:szCs w:val="22"/>
          <w:lang w:val="en-US" w:eastAsia="en-US"/>
        </w:rPr>
        <w:t>, vol. 27, no. 5, pp. 292–306, Sep. 1976, doi: 10.1002/asi.4630270505.</w:t>
      </w:r>
    </w:p>
    <w:p w14:paraId="25BF56CB" w14:textId="77777777" w:rsidR="009C11B4" w:rsidRPr="009C11B4" w:rsidRDefault="009C11B4" w:rsidP="009C11B4">
      <w:pPr>
        <w:spacing w:after="160"/>
        <w:jc w:val="both"/>
        <w:rPr>
          <w:rFonts w:ascii="Times New Roman" w:eastAsiaTheme="minorHAnsi" w:hAnsi="Times New Roman" w:cs="Times New Roman"/>
          <w:sz w:val="22"/>
          <w:szCs w:val="22"/>
          <w:lang w:val="en-US" w:eastAsia="en-US"/>
        </w:rPr>
      </w:pPr>
      <w:r w:rsidRPr="009C11B4">
        <w:rPr>
          <w:rFonts w:ascii="Arial" w:eastAsiaTheme="minorHAnsi" w:hAnsi="Arial" w:cs="Arial"/>
          <w:sz w:val="22"/>
          <w:szCs w:val="22"/>
          <w:lang w:eastAsia="en-US"/>
        </w:rPr>
        <w:fldChar w:fldCharType="end"/>
      </w:r>
    </w:p>
    <w:p w14:paraId="7B78588D" w14:textId="0B098707" w:rsidR="009C11B4" w:rsidRPr="009C11B4" w:rsidRDefault="009C11B4" w:rsidP="009C11B4">
      <w:pPr>
        <w:tabs>
          <w:tab w:val="left" w:pos="426"/>
        </w:tabs>
        <w:jc w:val="both"/>
        <w:rPr>
          <w:rFonts w:ascii="Verdana" w:eastAsia="Verdana" w:hAnsi="Verdana" w:cs="Verdana"/>
          <w:sz w:val="22"/>
          <w:szCs w:val="22"/>
          <w:lang w:val="en-US"/>
        </w:rPr>
      </w:pPr>
    </w:p>
    <w:p w14:paraId="7806D18D" w14:textId="4080426D" w:rsidR="00FC426F" w:rsidRPr="009C11B4" w:rsidRDefault="00FC426F">
      <w:pPr>
        <w:tabs>
          <w:tab w:val="left" w:pos="0"/>
        </w:tabs>
        <w:jc w:val="both"/>
        <w:rPr>
          <w:rFonts w:ascii="Verdana" w:eastAsia="Verdana" w:hAnsi="Verdana" w:cs="Verdana"/>
          <w:sz w:val="22"/>
          <w:szCs w:val="22"/>
          <w:lang w:val="en-US"/>
        </w:rPr>
      </w:pPr>
    </w:p>
    <w:sectPr w:rsidR="00FC426F" w:rsidRPr="009C11B4">
      <w:headerReference w:type="even" r:id="rId18"/>
      <w:headerReference w:type="default" r:id="rId19"/>
      <w:footerReference w:type="even" r:id="rId20"/>
      <w:footerReference w:type="default" r:id="rId21"/>
      <w:headerReference w:type="first" r:id="rId22"/>
      <w:footerReference w:type="first" r:id="rId23"/>
      <w:pgSz w:w="12240" w:h="15840"/>
      <w:pgMar w:top="1701" w:right="1418" w:bottom="1588" w:left="1418"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F30FE8" w14:textId="77777777" w:rsidR="00DA1AC2" w:rsidRDefault="00DA1AC2">
      <w:r>
        <w:separator/>
      </w:r>
    </w:p>
  </w:endnote>
  <w:endnote w:type="continuationSeparator" w:id="0">
    <w:p w14:paraId="19602A9B" w14:textId="77777777" w:rsidR="00DA1AC2" w:rsidRDefault="00DA1A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9BF2D" w14:textId="77777777" w:rsidR="00FC426F" w:rsidRDefault="00FC426F">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11E87" w14:textId="77777777" w:rsidR="00FC426F" w:rsidRDefault="00000000">
    <w:pPr>
      <w:pBdr>
        <w:top w:val="nil"/>
        <w:left w:val="nil"/>
        <w:bottom w:val="nil"/>
        <w:right w:val="nil"/>
        <w:between w:val="nil"/>
      </w:pBdr>
      <w:tabs>
        <w:tab w:val="center" w:pos="4680"/>
        <w:tab w:val="right" w:pos="9360"/>
      </w:tabs>
      <w:jc w:val="center"/>
      <w:rPr>
        <w:rFonts w:ascii="Arial" w:eastAsia="Arial" w:hAnsi="Arial" w:cs="Arial"/>
        <w:smallCaps/>
        <w:color w:val="000000"/>
        <w:sz w:val="26"/>
        <w:szCs w:val="26"/>
      </w:rPr>
    </w:pPr>
    <w:r>
      <w:rPr>
        <w:rFonts w:ascii="Arial" w:eastAsia="Arial" w:hAnsi="Arial" w:cs="Arial"/>
        <w:smallCaps/>
        <w:color w:val="000000"/>
        <w:sz w:val="26"/>
        <w:szCs w:val="26"/>
      </w:rPr>
      <w:fldChar w:fldCharType="begin"/>
    </w:r>
    <w:r>
      <w:rPr>
        <w:rFonts w:ascii="Arial" w:eastAsia="Arial" w:hAnsi="Arial" w:cs="Arial"/>
        <w:smallCaps/>
        <w:color w:val="000000"/>
        <w:sz w:val="26"/>
        <w:szCs w:val="26"/>
      </w:rPr>
      <w:instrText>PAGE</w:instrText>
    </w:r>
    <w:r>
      <w:rPr>
        <w:rFonts w:ascii="Arial" w:eastAsia="Arial" w:hAnsi="Arial" w:cs="Arial"/>
        <w:smallCaps/>
        <w:color w:val="000000"/>
        <w:sz w:val="26"/>
        <w:szCs w:val="26"/>
      </w:rPr>
      <w:fldChar w:fldCharType="separate"/>
    </w:r>
    <w:r w:rsidR="00AD2A1E">
      <w:rPr>
        <w:rFonts w:ascii="Arial" w:eastAsia="Arial" w:hAnsi="Arial" w:cs="Arial"/>
        <w:smallCaps/>
        <w:noProof/>
        <w:color w:val="000000"/>
        <w:sz w:val="26"/>
        <w:szCs w:val="26"/>
      </w:rPr>
      <w:t>2</w:t>
    </w:r>
    <w:r>
      <w:rPr>
        <w:rFonts w:ascii="Arial" w:eastAsia="Arial" w:hAnsi="Arial" w:cs="Arial"/>
        <w:smallCaps/>
        <w:color w:val="000000"/>
        <w:sz w:val="26"/>
        <w:szCs w:val="26"/>
      </w:rPr>
      <w:fldChar w:fldCharType="end"/>
    </w:r>
  </w:p>
  <w:p w14:paraId="593CF4D0" w14:textId="77777777" w:rsidR="00FC426F" w:rsidRDefault="00FC426F">
    <w:pPr>
      <w:pBdr>
        <w:top w:val="nil"/>
        <w:left w:val="nil"/>
        <w:bottom w:val="nil"/>
        <w:right w:val="nil"/>
        <w:between w:val="nil"/>
      </w:pBdr>
      <w:tabs>
        <w:tab w:val="center" w:pos="4680"/>
        <w:tab w:val="right" w:pos="936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9EA51" w14:textId="0745E968" w:rsidR="00FC426F" w:rsidRPr="002E41C8" w:rsidRDefault="00000000">
    <w:pPr>
      <w:pBdr>
        <w:top w:val="nil"/>
        <w:left w:val="nil"/>
        <w:bottom w:val="nil"/>
        <w:right w:val="nil"/>
        <w:between w:val="nil"/>
      </w:pBdr>
      <w:tabs>
        <w:tab w:val="center" w:pos="4680"/>
        <w:tab w:val="right" w:pos="9360"/>
      </w:tabs>
      <w:rPr>
        <w:rFonts w:ascii="Arial" w:eastAsia="Arial" w:hAnsi="Arial" w:cs="Arial"/>
        <w:color w:val="0070C0"/>
        <w:sz w:val="18"/>
        <w:szCs w:val="18"/>
        <w:u w:val="single"/>
        <w:lang w:val="pt-BR"/>
      </w:rPr>
    </w:pPr>
    <w:r w:rsidRPr="002E41C8">
      <w:rPr>
        <w:rFonts w:ascii="Arial" w:eastAsia="Arial" w:hAnsi="Arial" w:cs="Arial"/>
        <w:color w:val="000000"/>
        <w:sz w:val="18"/>
        <w:szCs w:val="18"/>
        <w:lang w:val="pt-BR"/>
      </w:rPr>
      <w:t xml:space="preserve">Contacto: </w:t>
    </w:r>
    <w:r w:rsidR="002E41C8" w:rsidRPr="002E41C8">
      <w:rPr>
        <w:rFonts w:ascii="Arial" w:eastAsia="Arial" w:hAnsi="Arial" w:cs="Arial"/>
        <w:color w:val="000000"/>
        <w:sz w:val="18"/>
        <w:szCs w:val="18"/>
        <w:lang w:val="pt-BR"/>
      </w:rPr>
      <w:t>Rossember</w:t>
    </w:r>
    <w:r w:rsidRPr="002E41C8">
      <w:rPr>
        <w:rFonts w:ascii="Arial" w:eastAsia="Arial" w:hAnsi="Arial" w:cs="Arial"/>
        <w:color w:val="000000"/>
        <w:sz w:val="18"/>
        <w:szCs w:val="18"/>
        <w:lang w:val="pt-BR"/>
      </w:rPr>
      <w:t xml:space="preserve">. </w:t>
    </w:r>
    <w:r w:rsidR="002E41C8">
      <w:rPr>
        <w:rFonts w:ascii="Arial" w:eastAsia="Arial" w:hAnsi="Arial" w:cs="Arial"/>
        <w:color w:val="000000"/>
        <w:sz w:val="18"/>
        <w:szCs w:val="18"/>
        <w:lang w:val="pt-BR"/>
      </w:rPr>
      <w:t xml:space="preserve">Saldaña-Escorcia, </w:t>
    </w:r>
    <w:r w:rsidR="002E41C8">
      <w:rPr>
        <w:rFonts w:ascii="Arial" w:eastAsia="Arial" w:hAnsi="Arial" w:cs="Arial"/>
        <w:color w:val="0563C1"/>
        <w:sz w:val="18"/>
        <w:szCs w:val="18"/>
        <w:u w:val="single"/>
        <w:lang w:val="pt-BR"/>
      </w:rPr>
      <w:t>rsaldanae@unicesar.edu.co</w:t>
    </w:r>
  </w:p>
  <w:p w14:paraId="424F04CF" w14:textId="77777777" w:rsidR="00FC426F" w:rsidRPr="002E41C8" w:rsidRDefault="00FC426F">
    <w:pPr>
      <w:pBdr>
        <w:top w:val="nil"/>
        <w:left w:val="nil"/>
        <w:bottom w:val="nil"/>
        <w:right w:val="nil"/>
        <w:between w:val="nil"/>
      </w:pBdr>
      <w:tabs>
        <w:tab w:val="center" w:pos="4680"/>
        <w:tab w:val="right" w:pos="9360"/>
      </w:tabs>
      <w:jc w:val="center"/>
      <w:rPr>
        <w:rFonts w:ascii="Arial" w:eastAsia="Arial" w:hAnsi="Arial" w:cs="Arial"/>
        <w:color w:val="000000"/>
        <w:sz w:val="18"/>
        <w:szCs w:val="18"/>
        <w:lang w:val="pt-BR"/>
      </w:rPr>
    </w:pPr>
  </w:p>
  <w:p w14:paraId="6C785BCD" w14:textId="77777777" w:rsidR="00FC426F" w:rsidRDefault="00000000">
    <w:pPr>
      <w:pBdr>
        <w:top w:val="nil"/>
        <w:left w:val="nil"/>
        <w:bottom w:val="nil"/>
        <w:right w:val="nil"/>
        <w:between w:val="nil"/>
      </w:pBdr>
      <w:tabs>
        <w:tab w:val="center" w:pos="4680"/>
        <w:tab w:val="right" w:pos="9360"/>
      </w:tabs>
      <w:jc w:val="center"/>
      <w:rPr>
        <w:rFonts w:ascii="Arial" w:eastAsia="Arial" w:hAnsi="Arial" w:cs="Arial"/>
        <w:color w:val="000000"/>
        <w:sz w:val="26"/>
        <w:szCs w:val="26"/>
      </w:rPr>
    </w:pPr>
    <w:r>
      <w:rPr>
        <w:rFonts w:ascii="Arial" w:eastAsia="Arial" w:hAnsi="Arial" w:cs="Arial"/>
        <w:color w:val="000000"/>
        <w:sz w:val="26"/>
        <w:szCs w:val="26"/>
      </w:rPr>
      <w:t>1</w:t>
    </w:r>
  </w:p>
  <w:p w14:paraId="6066C92C" w14:textId="77777777" w:rsidR="00FC426F" w:rsidRDefault="00FC426F">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EA0311" w14:textId="77777777" w:rsidR="00DA1AC2" w:rsidRDefault="00DA1AC2">
      <w:r>
        <w:separator/>
      </w:r>
    </w:p>
  </w:footnote>
  <w:footnote w:type="continuationSeparator" w:id="0">
    <w:p w14:paraId="1F07BC46" w14:textId="77777777" w:rsidR="00DA1AC2" w:rsidRDefault="00DA1A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09D04A" w14:textId="77777777" w:rsidR="00FC426F" w:rsidRDefault="00FC426F">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86730" w14:textId="77777777" w:rsidR="00FC426F" w:rsidRPr="00AD2A1E" w:rsidRDefault="00000000">
    <w:pPr>
      <w:pBdr>
        <w:top w:val="nil"/>
        <w:left w:val="nil"/>
        <w:bottom w:val="nil"/>
        <w:right w:val="nil"/>
        <w:between w:val="nil"/>
      </w:pBdr>
      <w:tabs>
        <w:tab w:val="center" w:pos="4680"/>
        <w:tab w:val="right" w:pos="9360"/>
      </w:tabs>
      <w:rPr>
        <w:color w:val="000000"/>
        <w:lang w:val="pt-BR"/>
      </w:rPr>
    </w:pPr>
    <w:r w:rsidRPr="00AD2A1E">
      <w:rPr>
        <w:rFonts w:ascii="Arial" w:eastAsia="Arial" w:hAnsi="Arial" w:cs="Arial"/>
        <w:color w:val="000000"/>
        <w:sz w:val="18"/>
        <w:szCs w:val="18"/>
        <w:lang w:val="pt-BR"/>
      </w:rPr>
      <w:t xml:space="preserve">EDITORIAL SOPHIC 2021, DOI: </w:t>
    </w:r>
    <w:r w:rsidRPr="00AD2A1E">
      <w:rPr>
        <w:rFonts w:ascii="Arial" w:eastAsia="Arial" w:hAnsi="Arial" w:cs="Arial"/>
        <w:color w:val="0070C0"/>
        <w:sz w:val="18"/>
        <w:szCs w:val="18"/>
        <w:u w:val="single"/>
        <w:lang w:val="pt-BR"/>
      </w:rPr>
      <w:t>doi.asignado.en.zenodo-01234</w:t>
    </w:r>
    <w:r>
      <w:rPr>
        <w:noProof/>
      </w:rPr>
      <w:drawing>
        <wp:inline distT="0" distB="0" distL="0" distR="0" wp14:anchorId="6401F7EC" wp14:editId="3A911185">
          <wp:extent cx="1041924" cy="396973"/>
          <wp:effectExtent l="0" t="0" r="0" b="0"/>
          <wp:docPr id="1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1041924" cy="396973"/>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4E12D" w14:textId="77777777" w:rsidR="00FC426F" w:rsidRDefault="00000000">
    <w:pPr>
      <w:pBdr>
        <w:top w:val="nil"/>
        <w:left w:val="nil"/>
        <w:bottom w:val="nil"/>
        <w:right w:val="nil"/>
        <w:between w:val="nil"/>
      </w:pBdr>
      <w:tabs>
        <w:tab w:val="center" w:pos="4680"/>
        <w:tab w:val="right" w:pos="9360"/>
      </w:tabs>
      <w:jc w:val="center"/>
      <w:rPr>
        <w:color w:val="000000"/>
      </w:rPr>
    </w:pPr>
    <w:r>
      <w:rPr>
        <w:noProof/>
      </w:rPr>
      <w:drawing>
        <wp:inline distT="0" distB="0" distL="0" distR="0" wp14:anchorId="6A59EDA9" wp14:editId="16FF5E23">
          <wp:extent cx="1880566" cy="716497"/>
          <wp:effectExtent l="0" t="0" r="0" b="0"/>
          <wp:docPr id="1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1880566" cy="716497"/>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7E47A4"/>
    <w:multiLevelType w:val="multilevel"/>
    <w:tmpl w:val="3E5488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4F27DA2"/>
    <w:multiLevelType w:val="multilevel"/>
    <w:tmpl w:val="E3DCF0BA"/>
    <w:lvl w:ilvl="0">
      <w:start w:val="1"/>
      <w:numFmt w:val="bullet"/>
      <w:lvlText w:val="●"/>
      <w:lvlJc w:val="left"/>
      <w:pPr>
        <w:ind w:left="1146" w:hanging="360"/>
      </w:pPr>
      <w:rPr>
        <w:rFonts w:ascii="Noto Sans Symbols" w:eastAsia="Noto Sans Symbols" w:hAnsi="Noto Sans Symbols" w:cs="Noto Sans Symbols"/>
      </w:rPr>
    </w:lvl>
    <w:lvl w:ilvl="1">
      <w:start w:val="1"/>
      <w:numFmt w:val="bullet"/>
      <w:lvlText w:val="o"/>
      <w:lvlJc w:val="left"/>
      <w:pPr>
        <w:ind w:left="1866" w:hanging="360"/>
      </w:pPr>
      <w:rPr>
        <w:rFonts w:ascii="Courier New" w:eastAsia="Courier New" w:hAnsi="Courier New" w:cs="Courier New"/>
      </w:rPr>
    </w:lvl>
    <w:lvl w:ilvl="2">
      <w:start w:val="1"/>
      <w:numFmt w:val="bullet"/>
      <w:lvlText w:val="▪"/>
      <w:lvlJc w:val="left"/>
      <w:pPr>
        <w:ind w:left="2586" w:hanging="360"/>
      </w:pPr>
      <w:rPr>
        <w:rFonts w:ascii="Noto Sans Symbols" w:eastAsia="Noto Sans Symbols" w:hAnsi="Noto Sans Symbols" w:cs="Noto Sans Symbols"/>
      </w:rPr>
    </w:lvl>
    <w:lvl w:ilvl="3">
      <w:start w:val="1"/>
      <w:numFmt w:val="bullet"/>
      <w:lvlText w:val="●"/>
      <w:lvlJc w:val="left"/>
      <w:pPr>
        <w:ind w:left="3306" w:hanging="360"/>
      </w:pPr>
      <w:rPr>
        <w:rFonts w:ascii="Noto Sans Symbols" w:eastAsia="Noto Sans Symbols" w:hAnsi="Noto Sans Symbols" w:cs="Noto Sans Symbols"/>
      </w:rPr>
    </w:lvl>
    <w:lvl w:ilvl="4">
      <w:start w:val="1"/>
      <w:numFmt w:val="bullet"/>
      <w:lvlText w:val="o"/>
      <w:lvlJc w:val="left"/>
      <w:pPr>
        <w:ind w:left="4026" w:hanging="360"/>
      </w:pPr>
      <w:rPr>
        <w:rFonts w:ascii="Courier New" w:eastAsia="Courier New" w:hAnsi="Courier New" w:cs="Courier New"/>
      </w:rPr>
    </w:lvl>
    <w:lvl w:ilvl="5">
      <w:start w:val="1"/>
      <w:numFmt w:val="bullet"/>
      <w:lvlText w:val="▪"/>
      <w:lvlJc w:val="left"/>
      <w:pPr>
        <w:ind w:left="4746" w:hanging="360"/>
      </w:pPr>
      <w:rPr>
        <w:rFonts w:ascii="Noto Sans Symbols" w:eastAsia="Noto Sans Symbols" w:hAnsi="Noto Sans Symbols" w:cs="Noto Sans Symbols"/>
      </w:rPr>
    </w:lvl>
    <w:lvl w:ilvl="6">
      <w:start w:val="1"/>
      <w:numFmt w:val="bullet"/>
      <w:lvlText w:val="●"/>
      <w:lvlJc w:val="left"/>
      <w:pPr>
        <w:ind w:left="5466" w:hanging="360"/>
      </w:pPr>
      <w:rPr>
        <w:rFonts w:ascii="Noto Sans Symbols" w:eastAsia="Noto Sans Symbols" w:hAnsi="Noto Sans Symbols" w:cs="Noto Sans Symbols"/>
      </w:rPr>
    </w:lvl>
    <w:lvl w:ilvl="7">
      <w:start w:val="1"/>
      <w:numFmt w:val="bullet"/>
      <w:lvlText w:val="o"/>
      <w:lvlJc w:val="left"/>
      <w:pPr>
        <w:ind w:left="6186" w:hanging="360"/>
      </w:pPr>
      <w:rPr>
        <w:rFonts w:ascii="Courier New" w:eastAsia="Courier New" w:hAnsi="Courier New" w:cs="Courier New"/>
      </w:rPr>
    </w:lvl>
    <w:lvl w:ilvl="8">
      <w:start w:val="1"/>
      <w:numFmt w:val="bullet"/>
      <w:lvlText w:val="▪"/>
      <w:lvlJc w:val="left"/>
      <w:pPr>
        <w:ind w:left="6906" w:hanging="360"/>
      </w:pPr>
      <w:rPr>
        <w:rFonts w:ascii="Noto Sans Symbols" w:eastAsia="Noto Sans Symbols" w:hAnsi="Noto Sans Symbols" w:cs="Noto Sans Symbols"/>
      </w:rPr>
    </w:lvl>
  </w:abstractNum>
  <w:num w:numId="1" w16cid:durableId="1676690838">
    <w:abstractNumId w:val="1"/>
  </w:num>
  <w:num w:numId="2" w16cid:durableId="153800489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5"/>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426F"/>
    <w:rsid w:val="00192ECB"/>
    <w:rsid w:val="002E41C8"/>
    <w:rsid w:val="0066103D"/>
    <w:rsid w:val="00853F65"/>
    <w:rsid w:val="009C11B4"/>
    <w:rsid w:val="00AD2A1E"/>
    <w:rsid w:val="00DA1AC2"/>
    <w:rsid w:val="00DA41A5"/>
    <w:rsid w:val="00FC426F"/>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9EF11B"/>
  <w15:docId w15:val="{9A0B98CD-3E63-494B-9DB6-93AF192A52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1758"/>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Piedepgina">
    <w:name w:val="footer"/>
    <w:basedOn w:val="Normal"/>
    <w:link w:val="PiedepginaCar"/>
    <w:uiPriority w:val="99"/>
    <w:unhideWhenUsed/>
    <w:rsid w:val="00207D64"/>
    <w:pPr>
      <w:tabs>
        <w:tab w:val="center" w:pos="4680"/>
        <w:tab w:val="right" w:pos="9360"/>
      </w:tabs>
    </w:pPr>
    <w:rPr>
      <w:rFonts w:asciiTheme="minorHAnsi" w:eastAsiaTheme="minorEastAsia" w:hAnsiTheme="minorHAnsi" w:cs="Times New Roman"/>
      <w:sz w:val="22"/>
      <w:szCs w:val="22"/>
    </w:rPr>
  </w:style>
  <w:style w:type="character" w:customStyle="1" w:styleId="PiedepginaCar">
    <w:name w:val="Pie de página Car"/>
    <w:basedOn w:val="Fuentedeprrafopredeter"/>
    <w:link w:val="Piedepgina"/>
    <w:uiPriority w:val="99"/>
    <w:rsid w:val="00207D64"/>
    <w:rPr>
      <w:rFonts w:eastAsiaTheme="minorEastAsia" w:cs="Times New Roman"/>
      <w:lang w:eastAsia="es-CO"/>
    </w:rPr>
  </w:style>
  <w:style w:type="character" w:styleId="Hipervnculo">
    <w:name w:val="Hyperlink"/>
    <w:basedOn w:val="Fuentedeprrafopredeter"/>
    <w:uiPriority w:val="99"/>
    <w:unhideWhenUsed/>
    <w:rsid w:val="00B31ECF"/>
    <w:rPr>
      <w:color w:val="0563C1" w:themeColor="hyperlink"/>
      <w:u w:val="single"/>
    </w:rPr>
  </w:style>
  <w:style w:type="character" w:styleId="Mencinsinresolver">
    <w:name w:val="Unresolved Mention"/>
    <w:basedOn w:val="Fuentedeprrafopredeter"/>
    <w:uiPriority w:val="99"/>
    <w:semiHidden/>
    <w:unhideWhenUsed/>
    <w:rsid w:val="00B31ECF"/>
    <w:rPr>
      <w:color w:val="808080"/>
      <w:shd w:val="clear" w:color="auto" w:fill="E6E6E6"/>
    </w:rPr>
  </w:style>
  <w:style w:type="paragraph" w:styleId="Prrafodelista">
    <w:name w:val="List Paragraph"/>
    <w:basedOn w:val="Normal"/>
    <w:uiPriority w:val="34"/>
    <w:qFormat/>
    <w:rsid w:val="003E6077"/>
    <w:pPr>
      <w:ind w:left="720"/>
      <w:contextualSpacing/>
    </w:pPr>
  </w:style>
  <w:style w:type="character" w:styleId="Textodelmarcadordeposicin">
    <w:name w:val="Placeholder Text"/>
    <w:basedOn w:val="Fuentedeprrafopredeter"/>
    <w:uiPriority w:val="99"/>
    <w:semiHidden/>
    <w:rsid w:val="001325BE"/>
    <w:rPr>
      <w:color w:val="808080"/>
    </w:rPr>
  </w:style>
  <w:style w:type="paragraph" w:styleId="Descripcin">
    <w:name w:val="caption"/>
    <w:basedOn w:val="Normal"/>
    <w:next w:val="Normal"/>
    <w:uiPriority w:val="35"/>
    <w:unhideWhenUsed/>
    <w:qFormat/>
    <w:rsid w:val="000160CB"/>
    <w:pPr>
      <w:spacing w:after="200"/>
      <w:jc w:val="center"/>
    </w:pPr>
    <w:rPr>
      <w:rFonts w:ascii="Arial" w:hAnsi="Arial"/>
      <w:iCs/>
      <w:color w:val="000000" w:themeColor="text1"/>
      <w:sz w:val="20"/>
      <w:szCs w:val="18"/>
    </w:rPr>
  </w:style>
  <w:style w:type="table" w:styleId="Tablaconcuadrcula">
    <w:name w:val="Table Grid"/>
    <w:basedOn w:val="Tablanormal"/>
    <w:uiPriority w:val="39"/>
    <w:rsid w:val="00AB2C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normal2">
    <w:name w:val="Plain Table 2"/>
    <w:basedOn w:val="Tablanormal"/>
    <w:uiPriority w:val="42"/>
    <w:rsid w:val="00AB2C4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anormal"/>
    <w:tblPr>
      <w:tblStyleRowBandSize w:val="1"/>
      <w:tblStyleColBandSize w:val="1"/>
    </w:tblPr>
    <w:tblStylePr w:type="firstRow">
      <w:rPr>
        <w:b/>
      </w:rPr>
      <w:tblPr/>
      <w:tcPr>
        <w:tcBorders>
          <w:bottom w:val="single" w:sz="4" w:space="0" w:color="7F7F7F"/>
        </w:tcBorders>
      </w:tcPr>
    </w:tblStylePr>
    <w:tblStylePr w:type="lastRow">
      <w:rPr>
        <w:b/>
      </w:rPr>
      <w:tblPr/>
      <w:tcPr>
        <w:tcBorders>
          <w:top w:val="single" w:sz="4" w:space="0" w:color="7F7F7F"/>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lanormal21">
    <w:name w:val="Tabla normal 21"/>
    <w:basedOn w:val="Tablanormal"/>
    <w:next w:val="Tablanormal2"/>
    <w:uiPriority w:val="42"/>
    <w:rsid w:val="0066103D"/>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orcid.org/my-orcid?orcid=0000-0002-5290-7072" TargetMode="External"/><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0.jpg"/></Relationships>
</file>

<file path=word/_rels/header3.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2Ia104Y2LOTLWT0GSFnhASmFKaQ==">AMUW2mXKiiO3w2/lfDev8ZiDSizB8udbneCeOAX6RSUrjaqjgcrfqdr3pMBYafLelrsg8WCWUzIanvSy1zmPHwEDVYDXyg7FUCz32tYKRPoh8+7tFFGfwsNwvUQt/npEmLMMdp0H+wTjM5aZ/1oQ7RVGPrv4wYv7yLkwPgAuGaV8q9elkL479gU=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15</Pages>
  <Words>37030</Words>
  <Characters>203669</Characters>
  <Application>Microsoft Office Word</Application>
  <DocSecurity>0</DocSecurity>
  <Lines>1697</Lines>
  <Paragraphs>480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240219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Diego Fernando Ramirez Guerrero</dc:creator>
  <cp:lastModifiedBy>Rossember Saldaña Escorcia</cp:lastModifiedBy>
  <cp:revision>6</cp:revision>
  <dcterms:created xsi:type="dcterms:W3CDTF">2021-08-23T01:11:00Z</dcterms:created>
  <dcterms:modified xsi:type="dcterms:W3CDTF">2023-08-02T14:40:00Z</dcterms:modified>
</cp:coreProperties>
</file>