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5D3E2B" w14:textId="15D133F5" w:rsidR="00FB6412" w:rsidRDefault="00FB6412" w:rsidP="00FB6412">
      <w:pPr>
        <w:spacing w:line="360" w:lineRule="auto"/>
        <w:contextualSpacing/>
        <w:jc w:val="center"/>
        <w:rPr>
          <w:rFonts w:ascii="Times New Roman" w:eastAsia="Times New Roman" w:hAnsi="Times New Roman" w:cs="Times New Roman"/>
          <w:b/>
          <w:sz w:val="24"/>
          <w:szCs w:val="24"/>
        </w:rPr>
      </w:pPr>
      <w:bookmarkStart w:id="0" w:name="_Hlk120030470"/>
      <w:bookmarkEnd w:id="0"/>
      <w:r>
        <w:rPr>
          <w:rFonts w:ascii="Times New Roman" w:eastAsia="Times New Roman" w:hAnsi="Times New Roman" w:cs="Times New Roman"/>
          <w:b/>
          <w:sz w:val="24"/>
          <w:szCs w:val="24"/>
        </w:rPr>
        <w:t>Supplementary Online Content</w:t>
      </w:r>
    </w:p>
    <w:p w14:paraId="1BB02D44" w14:textId="22C068FE" w:rsidR="00CF2DD4" w:rsidRPr="00173604" w:rsidRDefault="00FB6412" w:rsidP="00CF2DD4">
      <w:pPr>
        <w:spacing w:line="240" w:lineRule="auto"/>
        <w:contextualSpacing/>
        <w:rPr>
          <w:rFonts w:ascii="Times New Roman" w:eastAsia="Times New Roman" w:hAnsi="Times New Roman" w:cs="Times New Roman"/>
          <w:bCs/>
          <w:sz w:val="24"/>
          <w:szCs w:val="24"/>
        </w:rPr>
      </w:pPr>
      <w:r w:rsidRPr="00323777">
        <w:rPr>
          <w:rFonts w:ascii="Times New Roman" w:eastAsia="Times New Roman" w:hAnsi="Times New Roman" w:cs="Times New Roman"/>
          <w:bCs/>
          <w:sz w:val="24"/>
          <w:szCs w:val="24"/>
          <w:lang w:val="en-US"/>
        </w:rPr>
        <w:t xml:space="preserve">Amine I, </w:t>
      </w:r>
      <w:proofErr w:type="spellStart"/>
      <w:r w:rsidRPr="00323777">
        <w:rPr>
          <w:rFonts w:ascii="Times New Roman" w:eastAsia="Times New Roman" w:hAnsi="Times New Roman" w:cs="Times New Roman"/>
          <w:bCs/>
          <w:sz w:val="24"/>
          <w:szCs w:val="24"/>
          <w:lang w:val="en-US"/>
        </w:rPr>
        <w:t>Guillien</w:t>
      </w:r>
      <w:proofErr w:type="spellEnd"/>
      <w:r w:rsidRPr="00323777">
        <w:rPr>
          <w:rFonts w:ascii="Times New Roman" w:eastAsia="Times New Roman" w:hAnsi="Times New Roman" w:cs="Times New Roman"/>
          <w:bCs/>
          <w:sz w:val="24"/>
          <w:szCs w:val="24"/>
          <w:lang w:val="en-US"/>
        </w:rPr>
        <w:t xml:space="preserve"> A, </w:t>
      </w:r>
      <w:proofErr w:type="spellStart"/>
      <w:r w:rsidRPr="00323777">
        <w:rPr>
          <w:rFonts w:ascii="Times New Roman" w:eastAsia="Times New Roman" w:hAnsi="Times New Roman" w:cs="Times New Roman"/>
          <w:bCs/>
          <w:sz w:val="24"/>
          <w:szCs w:val="24"/>
          <w:lang w:val="en-US"/>
        </w:rPr>
        <w:t>Phili</w:t>
      </w:r>
      <w:r w:rsidR="00FD72DA" w:rsidRPr="00323777">
        <w:rPr>
          <w:rFonts w:ascii="Times New Roman" w:eastAsia="Times New Roman" w:hAnsi="Times New Roman" w:cs="Times New Roman"/>
          <w:bCs/>
          <w:sz w:val="24"/>
          <w:szCs w:val="24"/>
          <w:lang w:val="en-US"/>
        </w:rPr>
        <w:t>p</w:t>
      </w:r>
      <w:r w:rsidRPr="00323777">
        <w:rPr>
          <w:rFonts w:ascii="Times New Roman" w:eastAsia="Times New Roman" w:hAnsi="Times New Roman" w:cs="Times New Roman"/>
          <w:bCs/>
          <w:sz w:val="24"/>
          <w:szCs w:val="24"/>
          <w:lang w:val="en-US"/>
        </w:rPr>
        <w:t>pat</w:t>
      </w:r>
      <w:proofErr w:type="spellEnd"/>
      <w:r w:rsidRPr="00323777">
        <w:rPr>
          <w:rFonts w:ascii="Times New Roman" w:eastAsia="Times New Roman" w:hAnsi="Times New Roman" w:cs="Times New Roman"/>
          <w:bCs/>
          <w:sz w:val="24"/>
          <w:szCs w:val="24"/>
          <w:lang w:val="en-US"/>
        </w:rPr>
        <w:t xml:space="preserve"> C, et al. </w:t>
      </w:r>
      <w:r w:rsidR="00966211" w:rsidRPr="00FB6412">
        <w:rPr>
          <w:rFonts w:ascii="Times New Roman" w:eastAsia="Times New Roman" w:hAnsi="Times New Roman" w:cs="Times New Roman"/>
          <w:bCs/>
          <w:sz w:val="24"/>
          <w:szCs w:val="24"/>
        </w:rPr>
        <w:t xml:space="preserve">Multiple environmental exposures in early-life and </w:t>
      </w:r>
      <w:r w:rsidR="00A235D0">
        <w:rPr>
          <w:rFonts w:ascii="Times New Roman" w:eastAsia="Times New Roman" w:hAnsi="Times New Roman" w:cs="Times New Roman"/>
          <w:bCs/>
          <w:sz w:val="24"/>
          <w:szCs w:val="24"/>
        </w:rPr>
        <w:t>general</w:t>
      </w:r>
      <w:r w:rsidR="00966211" w:rsidRPr="00FB6412">
        <w:rPr>
          <w:rFonts w:ascii="Times New Roman" w:eastAsia="Times New Roman" w:hAnsi="Times New Roman" w:cs="Times New Roman"/>
          <w:bCs/>
          <w:sz w:val="24"/>
          <w:szCs w:val="24"/>
        </w:rPr>
        <w:t xml:space="preserve"> health in childhood</w:t>
      </w:r>
      <w:r w:rsidR="00173604">
        <w:rPr>
          <w:rFonts w:ascii="Times New Roman" w:eastAsia="Times New Roman" w:hAnsi="Times New Roman" w:cs="Times New Roman"/>
          <w:bCs/>
          <w:sz w:val="24"/>
          <w:szCs w:val="24"/>
        </w:rPr>
        <w:t xml:space="preserve">. </w:t>
      </w:r>
    </w:p>
    <w:p w14:paraId="47FBD257" w14:textId="22C11DF0" w:rsidR="00274376" w:rsidRDefault="00274376" w:rsidP="00CF2DD4">
      <w:pPr>
        <w:spacing w:line="240" w:lineRule="auto"/>
        <w:contextualSpacing/>
        <w:rPr>
          <w:rFonts w:ascii="Times New Roman" w:eastAsia="Times New Roman" w:hAnsi="Times New Roman" w:cs="Times New Roman"/>
          <w:bCs/>
          <w:sz w:val="24"/>
          <w:szCs w:val="24"/>
        </w:rPr>
      </w:pPr>
    </w:p>
    <w:sdt>
      <w:sdtPr>
        <w:rPr>
          <w:rFonts w:ascii="Calibri" w:eastAsia="Calibri" w:hAnsi="Calibri" w:cs="Calibri"/>
          <w:b w:val="0"/>
          <w:bCs w:val="0"/>
          <w:sz w:val="22"/>
          <w:lang w:val="en-GB"/>
        </w:rPr>
        <w:id w:val="1305048862"/>
        <w:docPartObj>
          <w:docPartGallery w:val="Table of Contents"/>
          <w:docPartUnique/>
        </w:docPartObj>
      </w:sdtPr>
      <w:sdtEndPr>
        <w:rPr>
          <w:rFonts w:ascii="Times New Roman" w:hAnsi="Times New Roman" w:cs="Times New Roman"/>
          <w:sz w:val="16"/>
          <w:szCs w:val="16"/>
        </w:rPr>
      </w:sdtEndPr>
      <w:sdtContent>
        <w:p w14:paraId="65E1C8F3" w14:textId="7F2B7986" w:rsidR="00274376" w:rsidRDefault="00274376">
          <w:pPr>
            <w:pStyle w:val="En-ttedetabledesmatires"/>
          </w:pPr>
          <w:r>
            <w:t>Table of contents</w:t>
          </w:r>
        </w:p>
        <w:p w14:paraId="5A0BAE2E" w14:textId="56F80761" w:rsidR="00A6506A" w:rsidRPr="00A6506A" w:rsidRDefault="00274376">
          <w:pPr>
            <w:pStyle w:val="TM1"/>
            <w:tabs>
              <w:tab w:val="right" w:leader="dot" w:pos="8494"/>
            </w:tabs>
            <w:rPr>
              <w:rFonts w:asciiTheme="minorHAnsi" w:eastAsiaTheme="minorEastAsia" w:hAnsiTheme="minorHAnsi" w:cstheme="minorBidi"/>
              <w:b w:val="0"/>
              <w:bCs w:val="0"/>
              <w:i w:val="0"/>
              <w:iCs w:val="0"/>
              <w:noProof/>
              <w:sz w:val="20"/>
              <w:szCs w:val="20"/>
              <w:lang w:val="fr-FR"/>
            </w:rPr>
          </w:pPr>
          <w:r w:rsidRPr="00A6506A">
            <w:rPr>
              <w:rFonts w:ascii="Times New Roman" w:hAnsi="Times New Roman" w:cs="Times New Roman"/>
              <w:sz w:val="14"/>
              <w:szCs w:val="14"/>
            </w:rPr>
            <w:fldChar w:fldCharType="begin"/>
          </w:r>
          <w:r w:rsidRPr="00A6506A">
            <w:rPr>
              <w:rFonts w:ascii="Times New Roman" w:hAnsi="Times New Roman" w:cs="Times New Roman"/>
              <w:sz w:val="14"/>
              <w:szCs w:val="14"/>
            </w:rPr>
            <w:instrText xml:space="preserve"> TOC \o "1-3" \h \z \u </w:instrText>
          </w:r>
          <w:r w:rsidRPr="00A6506A">
            <w:rPr>
              <w:rFonts w:ascii="Times New Roman" w:hAnsi="Times New Roman" w:cs="Times New Roman"/>
              <w:sz w:val="14"/>
              <w:szCs w:val="14"/>
            </w:rPr>
            <w:fldChar w:fldCharType="separate"/>
          </w:r>
          <w:hyperlink w:anchor="_Toc132271576" w:history="1">
            <w:r w:rsidR="00A6506A" w:rsidRPr="00A6506A">
              <w:rPr>
                <w:rStyle w:val="Lienhypertexte"/>
                <w:noProof/>
                <w:sz w:val="22"/>
                <w:szCs w:val="22"/>
              </w:rPr>
              <w:t>eMethods 1. Health outcomes assessment</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_Toc132271576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3</w:t>
            </w:r>
            <w:r w:rsidR="00A6506A" w:rsidRPr="00A6506A">
              <w:rPr>
                <w:noProof/>
                <w:webHidden/>
                <w:sz w:val="22"/>
                <w:szCs w:val="22"/>
              </w:rPr>
              <w:fldChar w:fldCharType="end"/>
            </w:r>
          </w:hyperlink>
        </w:p>
        <w:p w14:paraId="0D260F4E" w14:textId="708E0A49"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77" w:history="1">
            <w:r w:rsidR="00A6506A" w:rsidRPr="00A6506A">
              <w:rPr>
                <w:rStyle w:val="Lienhypertexte"/>
                <w:noProof/>
                <w:sz w:val="22"/>
                <w:szCs w:val="22"/>
              </w:rPr>
              <w:t>eMethods 2. Urban exposure assessment methods (extracted from Maitre</w:t>
            </w:r>
            <w:r w:rsidR="00A6506A" w:rsidRPr="00A6506A">
              <w:rPr>
                <w:rStyle w:val="Lienhypertexte"/>
                <w:noProof/>
                <w:sz w:val="22"/>
                <w:szCs w:val="22"/>
                <w:vertAlign w:val="superscript"/>
              </w:rPr>
              <w:t>12</w:t>
            </w:r>
            <w:r w:rsidR="00A6506A" w:rsidRPr="00A6506A">
              <w:rPr>
                <w:rStyle w:val="Lienhypertexte"/>
                <w:noProof/>
                <w:sz w:val="22"/>
                <w:szCs w:val="22"/>
              </w:rPr>
              <w:t>)</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_Toc132271577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5</w:t>
            </w:r>
            <w:r w:rsidR="00A6506A" w:rsidRPr="00A6506A">
              <w:rPr>
                <w:noProof/>
                <w:webHidden/>
                <w:sz w:val="22"/>
                <w:szCs w:val="22"/>
              </w:rPr>
              <w:fldChar w:fldCharType="end"/>
            </w:r>
          </w:hyperlink>
        </w:p>
        <w:p w14:paraId="0825C8BB" w14:textId="28BE1AB8"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78" w:history="1">
            <w:r w:rsidR="00A6506A" w:rsidRPr="00A6506A">
              <w:rPr>
                <w:rStyle w:val="Lienhypertexte"/>
                <w:noProof/>
                <w:sz w:val="22"/>
                <w:szCs w:val="22"/>
              </w:rPr>
              <w:t>eMethods 3. Assessment methods for lifestyle factors and other (extracted from Maitre</w:t>
            </w:r>
            <w:r w:rsidR="00A6506A" w:rsidRPr="00A6506A">
              <w:rPr>
                <w:rStyle w:val="Lienhypertexte"/>
                <w:noProof/>
                <w:sz w:val="22"/>
                <w:szCs w:val="22"/>
                <w:vertAlign w:val="superscript"/>
              </w:rPr>
              <w:t>12</w:t>
            </w:r>
            <w:r w:rsidR="00A6506A" w:rsidRPr="00A6506A">
              <w:rPr>
                <w:rStyle w:val="Lienhypertexte"/>
                <w:noProof/>
                <w:sz w:val="22"/>
                <w:szCs w:val="22"/>
              </w:rPr>
              <w:t>)</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_Toc132271578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9</w:t>
            </w:r>
            <w:r w:rsidR="00A6506A" w:rsidRPr="00A6506A">
              <w:rPr>
                <w:noProof/>
                <w:webHidden/>
                <w:sz w:val="22"/>
                <w:szCs w:val="22"/>
              </w:rPr>
              <w:fldChar w:fldCharType="end"/>
            </w:r>
          </w:hyperlink>
        </w:p>
        <w:p w14:paraId="2C92538D" w14:textId="31DBA424"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79" w:history="1">
            <w:r w:rsidR="00A6506A" w:rsidRPr="00A6506A">
              <w:rPr>
                <w:rStyle w:val="Lienhypertexte"/>
                <w:noProof/>
                <w:sz w:val="22"/>
                <w:szCs w:val="22"/>
              </w:rPr>
              <w:t>eMethods 4. Biomarker assessment methods (extracted from Maitre</w:t>
            </w:r>
            <w:r w:rsidR="00A6506A" w:rsidRPr="00A6506A">
              <w:rPr>
                <w:rStyle w:val="Lienhypertexte"/>
                <w:noProof/>
                <w:sz w:val="22"/>
                <w:szCs w:val="22"/>
                <w:vertAlign w:val="superscript"/>
              </w:rPr>
              <w:t>12</w:t>
            </w:r>
            <w:r w:rsidR="00A6506A" w:rsidRPr="00A6506A">
              <w:rPr>
                <w:rStyle w:val="Lienhypertexte"/>
                <w:noProof/>
                <w:sz w:val="22"/>
                <w:szCs w:val="22"/>
              </w:rPr>
              <w:t>)</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_Toc132271579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11</w:t>
            </w:r>
            <w:r w:rsidR="00A6506A" w:rsidRPr="00A6506A">
              <w:rPr>
                <w:noProof/>
                <w:webHidden/>
                <w:sz w:val="22"/>
                <w:szCs w:val="22"/>
              </w:rPr>
              <w:fldChar w:fldCharType="end"/>
            </w:r>
          </w:hyperlink>
        </w:p>
        <w:p w14:paraId="049C02BF" w14:textId="4FEB71D9"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80" w:history="1">
            <w:r w:rsidR="00A6506A" w:rsidRPr="00A6506A">
              <w:rPr>
                <w:rStyle w:val="Lienhypertexte"/>
                <w:noProof/>
                <w:sz w:val="22"/>
                <w:szCs w:val="22"/>
              </w:rPr>
              <w:t>eMethods 5. Creation of the general health score</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_Toc132271580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14</w:t>
            </w:r>
            <w:r w:rsidR="00A6506A" w:rsidRPr="00A6506A">
              <w:rPr>
                <w:noProof/>
                <w:webHidden/>
                <w:sz w:val="22"/>
                <w:szCs w:val="22"/>
              </w:rPr>
              <w:fldChar w:fldCharType="end"/>
            </w:r>
          </w:hyperlink>
        </w:p>
        <w:p w14:paraId="7022078A" w14:textId="283E5A69"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81" w:history="1">
            <w:r w:rsidR="00A6506A" w:rsidRPr="00A6506A">
              <w:rPr>
                <w:rStyle w:val="Lienhypertexte"/>
                <w:noProof/>
                <w:sz w:val="22"/>
                <w:szCs w:val="22"/>
              </w:rPr>
              <w:t>eMethods 6. Data pre-processing</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_Toc132271581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15</w:t>
            </w:r>
            <w:r w:rsidR="00A6506A" w:rsidRPr="00A6506A">
              <w:rPr>
                <w:noProof/>
                <w:webHidden/>
                <w:sz w:val="22"/>
                <w:szCs w:val="22"/>
              </w:rPr>
              <w:fldChar w:fldCharType="end"/>
            </w:r>
          </w:hyperlink>
        </w:p>
        <w:p w14:paraId="64883523" w14:textId="160EEDB1"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82" w:history="1">
            <w:r w:rsidR="00A6506A" w:rsidRPr="00A6506A">
              <w:rPr>
                <w:rStyle w:val="Lienhypertexte"/>
                <w:noProof/>
                <w:sz w:val="22"/>
                <w:szCs w:val="22"/>
              </w:rPr>
              <w:t>eMethods 7. Exposome-health association study</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_Toc132271582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16</w:t>
            </w:r>
            <w:r w:rsidR="00A6506A" w:rsidRPr="00A6506A">
              <w:rPr>
                <w:noProof/>
                <w:webHidden/>
                <w:sz w:val="22"/>
                <w:szCs w:val="22"/>
              </w:rPr>
              <w:fldChar w:fldCharType="end"/>
            </w:r>
          </w:hyperlink>
        </w:p>
        <w:p w14:paraId="586B713B" w14:textId="6CDB2107"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83" w:history="1">
            <w:r w:rsidR="00A6506A" w:rsidRPr="00A6506A">
              <w:rPr>
                <w:rStyle w:val="Lienhypertexte"/>
                <w:noProof/>
                <w:sz w:val="22"/>
                <w:szCs w:val="22"/>
                <w:shd w:val="clear" w:color="auto" w:fill="FFFFFF"/>
                <w:lang w:val="en-US"/>
              </w:rPr>
              <w:t>eTable 1. Collection time points of health parameters in childhood (mean, SD)</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_Toc132271583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17</w:t>
            </w:r>
            <w:r w:rsidR="00A6506A" w:rsidRPr="00A6506A">
              <w:rPr>
                <w:noProof/>
                <w:webHidden/>
                <w:sz w:val="22"/>
                <w:szCs w:val="22"/>
              </w:rPr>
              <w:fldChar w:fldCharType="end"/>
            </w:r>
          </w:hyperlink>
        </w:p>
        <w:p w14:paraId="2CE3C564" w14:textId="52AE907D"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84" w:history="1">
            <w:r w:rsidR="00A6506A" w:rsidRPr="00A6506A">
              <w:rPr>
                <w:rStyle w:val="Lienhypertexte"/>
                <w:rFonts w:eastAsia="Times New Roman"/>
                <w:noProof/>
                <w:sz w:val="22"/>
                <w:szCs w:val="22"/>
              </w:rPr>
              <w:t>eTable 2. Biological matrices of maternal and child samples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_Toc132271584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18</w:t>
            </w:r>
            <w:r w:rsidR="00A6506A" w:rsidRPr="00A6506A">
              <w:rPr>
                <w:noProof/>
                <w:webHidden/>
                <w:sz w:val="22"/>
                <w:szCs w:val="22"/>
              </w:rPr>
              <w:fldChar w:fldCharType="end"/>
            </w:r>
          </w:hyperlink>
        </w:p>
        <w:p w14:paraId="391868D1" w14:textId="6DA87D7D"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85" w:history="1">
            <w:r w:rsidR="00A6506A" w:rsidRPr="00A6506A">
              <w:rPr>
                <w:rStyle w:val="Lienhypertexte"/>
                <w:rFonts w:eastAsia="Times New Roman"/>
                <w:noProof/>
                <w:sz w:val="22"/>
                <w:szCs w:val="22"/>
                <w:lang w:val="en-US"/>
              </w:rPr>
              <w:t>eTable 3. Collection time points of prenatal exposures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_Toc132271585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19</w:t>
            </w:r>
            <w:r w:rsidR="00A6506A" w:rsidRPr="00A6506A">
              <w:rPr>
                <w:noProof/>
                <w:webHidden/>
                <w:sz w:val="22"/>
                <w:szCs w:val="22"/>
              </w:rPr>
              <w:fldChar w:fldCharType="end"/>
            </w:r>
          </w:hyperlink>
        </w:p>
        <w:p w14:paraId="7879EB72" w14:textId="58C7EEEA"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86" w:history="1">
            <w:r w:rsidR="00A6506A" w:rsidRPr="00A6506A">
              <w:rPr>
                <w:rStyle w:val="Lienhypertexte"/>
                <w:noProof/>
                <w:sz w:val="22"/>
                <w:szCs w:val="22"/>
                <w:shd w:val="clear" w:color="auto" w:fill="FFFFFF"/>
                <w:lang w:val="en-US"/>
              </w:rPr>
              <w:t>eTable 4. Collection time points of maternal blood and urine samples (mean, SD)</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_Toc132271586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20</w:t>
            </w:r>
            <w:r w:rsidR="00A6506A" w:rsidRPr="00A6506A">
              <w:rPr>
                <w:noProof/>
                <w:webHidden/>
                <w:sz w:val="22"/>
                <w:szCs w:val="22"/>
              </w:rPr>
              <w:fldChar w:fldCharType="end"/>
            </w:r>
          </w:hyperlink>
        </w:p>
        <w:p w14:paraId="784A663A" w14:textId="53F121D2"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87" w:history="1">
            <w:r w:rsidR="00A6506A" w:rsidRPr="00A6506A">
              <w:rPr>
                <w:rStyle w:val="Lienhypertexte"/>
                <w:rFonts w:eastAsia="Times New Roman"/>
                <w:noProof/>
                <w:sz w:val="22"/>
                <w:szCs w:val="22"/>
              </w:rPr>
              <w:t>eTable 5. Standardization of the cardiometabolic parameters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_Toc132271587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21</w:t>
            </w:r>
            <w:r w:rsidR="00A6506A" w:rsidRPr="00A6506A">
              <w:rPr>
                <w:noProof/>
                <w:webHidden/>
                <w:sz w:val="22"/>
                <w:szCs w:val="22"/>
              </w:rPr>
              <w:fldChar w:fldCharType="end"/>
            </w:r>
          </w:hyperlink>
        </w:p>
        <w:p w14:paraId="5940BBF9" w14:textId="2EB206C3"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88" w:history="1">
            <w:r w:rsidR="00A6506A" w:rsidRPr="00A6506A">
              <w:rPr>
                <w:rStyle w:val="Lienhypertexte"/>
                <w:rFonts w:eastAsia="Times New Roman"/>
                <w:noProof/>
                <w:sz w:val="22"/>
                <w:szCs w:val="22"/>
              </w:rPr>
              <w:t>eTable 6. Standardization of the mental and cognitive parameters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_Toc132271588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22</w:t>
            </w:r>
            <w:r w:rsidR="00A6506A" w:rsidRPr="00A6506A">
              <w:rPr>
                <w:noProof/>
                <w:webHidden/>
                <w:sz w:val="22"/>
                <w:szCs w:val="22"/>
              </w:rPr>
              <w:fldChar w:fldCharType="end"/>
            </w:r>
          </w:hyperlink>
        </w:p>
        <w:p w14:paraId="237837DE" w14:textId="63F57434"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89" w:history="1">
            <w:r w:rsidR="00A6506A" w:rsidRPr="00A6506A">
              <w:rPr>
                <w:rStyle w:val="Lienhypertexte"/>
                <w:rFonts w:eastAsia="Times New Roman"/>
                <w:noProof/>
                <w:sz w:val="22"/>
                <w:szCs w:val="22"/>
              </w:rPr>
              <w:t>eTable 7. Factor analysis on respiratory and allergy-related parameters – Dimension 1</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_Toc132271589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23</w:t>
            </w:r>
            <w:r w:rsidR="00A6506A" w:rsidRPr="00A6506A">
              <w:rPr>
                <w:noProof/>
                <w:webHidden/>
                <w:sz w:val="22"/>
                <w:szCs w:val="22"/>
              </w:rPr>
              <w:fldChar w:fldCharType="end"/>
            </w:r>
          </w:hyperlink>
        </w:p>
        <w:p w14:paraId="56041584" w14:textId="20E323D3"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90" w:history="1">
            <w:r w:rsidR="00A6506A" w:rsidRPr="00A6506A">
              <w:rPr>
                <w:rStyle w:val="Lienhypertexte"/>
                <w:rFonts w:eastAsia="Times New Roman"/>
                <w:noProof/>
                <w:sz w:val="22"/>
                <w:szCs w:val="22"/>
              </w:rPr>
              <w:t>eTable 8. Factor analysis on mental and cognitive parameters – Dimension 1</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_Toc132271590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24</w:t>
            </w:r>
            <w:r w:rsidR="00A6506A" w:rsidRPr="00A6506A">
              <w:rPr>
                <w:noProof/>
                <w:webHidden/>
                <w:sz w:val="22"/>
                <w:szCs w:val="22"/>
              </w:rPr>
              <w:fldChar w:fldCharType="end"/>
            </w:r>
          </w:hyperlink>
        </w:p>
        <w:p w14:paraId="75BA48EF" w14:textId="377094B9"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91" w:history="1">
            <w:r w:rsidR="00A6506A" w:rsidRPr="00A6506A">
              <w:rPr>
                <w:rStyle w:val="Lienhypertexte"/>
                <w:rFonts w:eastAsia="Times New Roman"/>
                <w:noProof/>
                <w:sz w:val="22"/>
                <w:szCs w:val="22"/>
              </w:rPr>
              <w:t>eTable 9. Transformation applied to continuous postnatal exposures and IQR</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_Toc132271591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25</w:t>
            </w:r>
            <w:r w:rsidR="00A6506A" w:rsidRPr="00A6506A">
              <w:rPr>
                <w:noProof/>
                <w:webHidden/>
                <w:sz w:val="22"/>
                <w:szCs w:val="22"/>
              </w:rPr>
              <w:fldChar w:fldCharType="end"/>
            </w:r>
          </w:hyperlink>
        </w:p>
        <w:p w14:paraId="068CECD1" w14:textId="18FA4BE1"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92" w:history="1">
            <w:r w:rsidR="00A6506A" w:rsidRPr="00A6506A">
              <w:rPr>
                <w:rStyle w:val="Lienhypertexte"/>
                <w:rFonts w:eastAsia="Times New Roman"/>
                <w:noProof/>
                <w:sz w:val="22"/>
                <w:szCs w:val="22"/>
              </w:rPr>
              <w:t>eTable 10. Description of transformed urban exposures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_Toc132271592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27</w:t>
            </w:r>
            <w:r w:rsidR="00A6506A" w:rsidRPr="00A6506A">
              <w:rPr>
                <w:noProof/>
                <w:webHidden/>
                <w:sz w:val="22"/>
                <w:szCs w:val="22"/>
              </w:rPr>
              <w:fldChar w:fldCharType="end"/>
            </w:r>
          </w:hyperlink>
        </w:p>
        <w:p w14:paraId="6765C84B" w14:textId="0819E976"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93" w:history="1">
            <w:r w:rsidR="00A6506A" w:rsidRPr="00A6506A">
              <w:rPr>
                <w:rStyle w:val="Lienhypertexte"/>
                <w:rFonts w:eastAsia="Times New Roman"/>
                <w:noProof/>
                <w:sz w:val="22"/>
                <w:szCs w:val="22"/>
              </w:rPr>
              <w:t>eTable 11. Description of exposures regarding the lifestyle</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_Toc132271593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30</w:t>
            </w:r>
            <w:r w:rsidR="00A6506A" w:rsidRPr="00A6506A">
              <w:rPr>
                <w:noProof/>
                <w:webHidden/>
                <w:sz w:val="22"/>
                <w:szCs w:val="22"/>
              </w:rPr>
              <w:fldChar w:fldCharType="end"/>
            </w:r>
          </w:hyperlink>
        </w:p>
        <w:p w14:paraId="46C1D231" w14:textId="3111A1D8"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94" w:history="1">
            <w:r w:rsidR="00A6506A" w:rsidRPr="00A6506A">
              <w:rPr>
                <w:rStyle w:val="Lienhypertexte"/>
                <w:rFonts w:eastAsia="Times New Roman"/>
                <w:noProof/>
                <w:sz w:val="22"/>
                <w:szCs w:val="22"/>
              </w:rPr>
              <w:t>eTable 12. Description of biomarkers in the Helix population</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_Toc132271594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33</w:t>
            </w:r>
            <w:r w:rsidR="00A6506A" w:rsidRPr="00A6506A">
              <w:rPr>
                <w:noProof/>
                <w:webHidden/>
                <w:sz w:val="22"/>
                <w:szCs w:val="22"/>
              </w:rPr>
              <w:fldChar w:fldCharType="end"/>
            </w:r>
          </w:hyperlink>
        </w:p>
        <w:p w14:paraId="14A97FB0" w14:textId="75353546"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95" w:history="1">
            <w:r w:rsidR="00A6506A" w:rsidRPr="00A6506A">
              <w:rPr>
                <w:rStyle w:val="Lienhypertexte"/>
                <w:rFonts w:eastAsia="Times New Roman"/>
                <w:noProof/>
                <w:sz w:val="22"/>
                <w:szCs w:val="22"/>
              </w:rPr>
              <w:t>eTable 13. Description of the health parameters considered</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_Toc132271595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36</w:t>
            </w:r>
            <w:r w:rsidR="00A6506A" w:rsidRPr="00A6506A">
              <w:rPr>
                <w:noProof/>
                <w:webHidden/>
                <w:sz w:val="22"/>
                <w:szCs w:val="22"/>
              </w:rPr>
              <w:fldChar w:fldCharType="end"/>
            </w:r>
          </w:hyperlink>
        </w:p>
        <w:p w14:paraId="45944D44" w14:textId="1DD8DC46"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96" w:history="1">
            <w:r w:rsidR="00A6506A" w:rsidRPr="00A6506A">
              <w:rPr>
                <w:rStyle w:val="Lienhypertexte"/>
                <w:rFonts w:eastAsia="Times New Roman"/>
                <w:noProof/>
                <w:sz w:val="22"/>
                <w:szCs w:val="22"/>
              </w:rPr>
              <w:t>eTable 14. Correlations between the three sub-scores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_Toc132271596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37</w:t>
            </w:r>
            <w:r w:rsidR="00A6506A" w:rsidRPr="00A6506A">
              <w:rPr>
                <w:noProof/>
                <w:webHidden/>
                <w:sz w:val="22"/>
                <w:szCs w:val="22"/>
              </w:rPr>
              <w:fldChar w:fldCharType="end"/>
            </w:r>
          </w:hyperlink>
        </w:p>
        <w:p w14:paraId="65650ABC" w14:textId="74AC71F2"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97" w:history="1">
            <w:r w:rsidR="00A6506A" w:rsidRPr="00A6506A">
              <w:rPr>
                <w:rStyle w:val="Lienhypertexte"/>
                <w:rFonts w:eastAsia="Times New Roman"/>
                <w:noProof/>
                <w:sz w:val="22"/>
                <w:szCs w:val="22"/>
              </w:rPr>
              <w:t>eTable 15. Description of the general health score by covariates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_Toc132271597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38</w:t>
            </w:r>
            <w:r w:rsidR="00A6506A" w:rsidRPr="00A6506A">
              <w:rPr>
                <w:noProof/>
                <w:webHidden/>
                <w:sz w:val="22"/>
                <w:szCs w:val="22"/>
              </w:rPr>
              <w:fldChar w:fldCharType="end"/>
            </w:r>
          </w:hyperlink>
        </w:p>
        <w:p w14:paraId="7059B0C0" w14:textId="03CA5C95"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98" w:history="1">
            <w:r w:rsidR="00A6506A" w:rsidRPr="00A6506A">
              <w:rPr>
                <w:rStyle w:val="Lienhypertexte"/>
                <w:noProof/>
                <w:sz w:val="22"/>
                <w:szCs w:val="22"/>
              </w:rPr>
              <w:t>eTable 16. Description of the general health score divided in terciles with health parameters and sub-scores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_Toc132271598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39</w:t>
            </w:r>
            <w:r w:rsidR="00A6506A" w:rsidRPr="00A6506A">
              <w:rPr>
                <w:noProof/>
                <w:webHidden/>
                <w:sz w:val="22"/>
                <w:szCs w:val="22"/>
              </w:rPr>
              <w:fldChar w:fldCharType="end"/>
            </w:r>
          </w:hyperlink>
        </w:p>
        <w:p w14:paraId="3BDEA984" w14:textId="4473F94C"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599" w:history="1">
            <w:r w:rsidR="00A6506A" w:rsidRPr="00A6506A">
              <w:rPr>
                <w:rStyle w:val="Lienhypertexte"/>
                <w:rFonts w:eastAsia="Times New Roman"/>
                <w:noProof/>
                <w:sz w:val="22"/>
                <w:szCs w:val="22"/>
              </w:rPr>
              <w:t>eTable 17. Complete results of the ExWAS on prenatal exposures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_Toc132271599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40</w:t>
            </w:r>
            <w:r w:rsidR="00A6506A" w:rsidRPr="00A6506A">
              <w:rPr>
                <w:noProof/>
                <w:webHidden/>
                <w:sz w:val="22"/>
                <w:szCs w:val="22"/>
              </w:rPr>
              <w:fldChar w:fldCharType="end"/>
            </w:r>
          </w:hyperlink>
        </w:p>
        <w:p w14:paraId="6819F8DA" w14:textId="50269F9F"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00" w:history="1">
            <w:r w:rsidR="00A6506A" w:rsidRPr="00A6506A">
              <w:rPr>
                <w:rStyle w:val="Lienhypertexte"/>
                <w:rFonts w:eastAsia="Times New Roman"/>
                <w:noProof/>
                <w:sz w:val="22"/>
                <w:szCs w:val="22"/>
              </w:rPr>
              <w:t>eTable 18. Complete results of the ExWAS on postnatal exposures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_Toc132271600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42</w:t>
            </w:r>
            <w:r w:rsidR="00A6506A" w:rsidRPr="00A6506A">
              <w:rPr>
                <w:noProof/>
                <w:webHidden/>
                <w:sz w:val="22"/>
                <w:szCs w:val="22"/>
              </w:rPr>
              <w:fldChar w:fldCharType="end"/>
            </w:r>
          </w:hyperlink>
        </w:p>
        <w:p w14:paraId="476CC379" w14:textId="2DC27C6F"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01" w:history="1">
            <w:r w:rsidR="00A6506A" w:rsidRPr="00A6506A">
              <w:rPr>
                <w:rStyle w:val="Lienhypertexte"/>
                <w:rFonts w:eastAsia="Times New Roman"/>
                <w:noProof/>
                <w:sz w:val="22"/>
                <w:szCs w:val="22"/>
              </w:rPr>
              <w:t xml:space="preserve">eTable 19. </w:t>
            </w:r>
            <w:r w:rsidR="00A6506A" w:rsidRPr="00A6506A">
              <w:rPr>
                <w:rStyle w:val="Lienhypertexte"/>
                <w:noProof/>
                <w:sz w:val="22"/>
                <w:szCs w:val="22"/>
              </w:rPr>
              <w:t>Final multivariable models with and without fish consumption as a confounder (results for postnatal PFOA).</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_Toc132271601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45</w:t>
            </w:r>
            <w:r w:rsidR="00A6506A" w:rsidRPr="00A6506A">
              <w:rPr>
                <w:noProof/>
                <w:webHidden/>
                <w:sz w:val="22"/>
                <w:szCs w:val="22"/>
              </w:rPr>
              <w:fldChar w:fldCharType="end"/>
            </w:r>
          </w:hyperlink>
        </w:p>
        <w:p w14:paraId="3293D199" w14:textId="33387EE7"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02" w:history="1">
            <w:r w:rsidR="00A6506A" w:rsidRPr="00A6506A">
              <w:rPr>
                <w:rStyle w:val="Lienhypertexte"/>
                <w:noProof/>
                <w:sz w:val="22"/>
                <w:szCs w:val="22"/>
              </w:rPr>
              <w:t>eFigure 1. Variable plot - Mixed Factorial Analysis on standardized variables of mental health (Helix subcohort, n=1278 with mental health data)</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_Toc132271602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46</w:t>
            </w:r>
            <w:r w:rsidR="00A6506A" w:rsidRPr="00A6506A">
              <w:rPr>
                <w:noProof/>
                <w:webHidden/>
                <w:sz w:val="22"/>
                <w:szCs w:val="22"/>
              </w:rPr>
              <w:fldChar w:fldCharType="end"/>
            </w:r>
          </w:hyperlink>
        </w:p>
        <w:p w14:paraId="6BDCAFD9" w14:textId="728258EB"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03" w:history="1">
            <w:r w:rsidR="00A6506A" w:rsidRPr="00A6506A">
              <w:rPr>
                <w:rStyle w:val="Lienhypertexte"/>
                <w:noProof/>
                <w:sz w:val="22"/>
                <w:szCs w:val="22"/>
              </w:rPr>
              <w:t>eFigure 2. Variable plots - Mixed Factorial Analysis on standardized variables of respiratory health and allergies (Helix subcohort, n=1009 with respiratory and allergic data)</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_Toc132271603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47</w:t>
            </w:r>
            <w:r w:rsidR="00A6506A" w:rsidRPr="00A6506A">
              <w:rPr>
                <w:noProof/>
                <w:webHidden/>
                <w:sz w:val="22"/>
                <w:szCs w:val="22"/>
              </w:rPr>
              <w:fldChar w:fldCharType="end"/>
            </w:r>
          </w:hyperlink>
        </w:p>
        <w:p w14:paraId="0C530CCC" w14:textId="117D412F"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04" w:history="1">
            <w:r w:rsidR="00A6506A" w:rsidRPr="00A6506A">
              <w:rPr>
                <w:rStyle w:val="Lienhypertexte"/>
                <w:rFonts w:eastAsia="Times New Roman"/>
                <w:noProof/>
                <w:sz w:val="22"/>
                <w:szCs w:val="22"/>
              </w:rPr>
              <w:t>eFigure 3. Distribution of each sub-score by cohort</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_Toc132271604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48</w:t>
            </w:r>
            <w:r w:rsidR="00A6506A" w:rsidRPr="00A6506A">
              <w:rPr>
                <w:noProof/>
                <w:webHidden/>
                <w:sz w:val="22"/>
                <w:szCs w:val="22"/>
              </w:rPr>
              <w:fldChar w:fldCharType="end"/>
            </w:r>
          </w:hyperlink>
        </w:p>
        <w:p w14:paraId="691EB66A" w14:textId="6CFFBB1A"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05" w:history="1">
            <w:r w:rsidR="00A6506A" w:rsidRPr="00A6506A">
              <w:rPr>
                <w:rStyle w:val="Lienhypertexte"/>
                <w:noProof/>
                <w:sz w:val="22"/>
                <w:szCs w:val="22"/>
              </w:rPr>
              <w:t>eFigure 4. Multi-exposure model on postnatal exposures stratified on the terciles of z-BMI.</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_Toc132271605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49</w:t>
            </w:r>
            <w:r w:rsidR="00A6506A" w:rsidRPr="00A6506A">
              <w:rPr>
                <w:noProof/>
                <w:webHidden/>
                <w:sz w:val="22"/>
                <w:szCs w:val="22"/>
              </w:rPr>
              <w:fldChar w:fldCharType="end"/>
            </w:r>
          </w:hyperlink>
        </w:p>
        <w:p w14:paraId="5A48E536" w14:textId="05899D04"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06" w:history="1">
            <w:r w:rsidR="00A6506A" w:rsidRPr="00A6506A">
              <w:rPr>
                <w:rStyle w:val="Lienhypertexte"/>
                <w:rFonts w:eastAsia="Times New Roman"/>
                <w:noProof/>
                <w:sz w:val="22"/>
                <w:szCs w:val="22"/>
              </w:rPr>
              <w:t>eFigure 5. Multi-exposure model on prenatal exposures stratified on sex</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_Toc132271606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50</w:t>
            </w:r>
            <w:r w:rsidR="00A6506A" w:rsidRPr="00A6506A">
              <w:rPr>
                <w:noProof/>
                <w:webHidden/>
                <w:sz w:val="22"/>
                <w:szCs w:val="22"/>
              </w:rPr>
              <w:fldChar w:fldCharType="end"/>
            </w:r>
          </w:hyperlink>
        </w:p>
        <w:p w14:paraId="398E2741" w14:textId="13BFDACE"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07" w:history="1">
            <w:r w:rsidR="00A6506A" w:rsidRPr="00A6506A">
              <w:rPr>
                <w:rStyle w:val="Lienhypertexte"/>
                <w:rFonts w:eastAsia="Times New Roman"/>
                <w:noProof/>
                <w:sz w:val="22"/>
                <w:szCs w:val="22"/>
              </w:rPr>
              <w:t>eFigure 6. Multi-exposure model on postnatal exposures stratified on sex</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_Toc132271607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51</w:t>
            </w:r>
            <w:r w:rsidR="00A6506A" w:rsidRPr="00A6506A">
              <w:rPr>
                <w:noProof/>
                <w:webHidden/>
                <w:sz w:val="22"/>
                <w:szCs w:val="22"/>
              </w:rPr>
              <w:fldChar w:fldCharType="end"/>
            </w:r>
          </w:hyperlink>
        </w:p>
        <w:p w14:paraId="1D84ABE7" w14:textId="3A111284"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08" w:history="1">
            <w:r w:rsidR="00A6506A" w:rsidRPr="00A6506A">
              <w:rPr>
                <w:rStyle w:val="Lienhypertexte"/>
                <w:rFonts w:eastAsia="Times New Roman"/>
                <w:noProof/>
                <w:sz w:val="22"/>
                <w:szCs w:val="22"/>
              </w:rPr>
              <w:t>eFigure 7. Multi-exposure model on postnatal exposures stratified on cohorts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_Toc132271608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52</w:t>
            </w:r>
            <w:r w:rsidR="00A6506A" w:rsidRPr="00A6506A">
              <w:rPr>
                <w:noProof/>
                <w:webHidden/>
                <w:sz w:val="22"/>
                <w:szCs w:val="22"/>
              </w:rPr>
              <w:fldChar w:fldCharType="end"/>
            </w:r>
          </w:hyperlink>
        </w:p>
        <w:p w14:paraId="05C374BE" w14:textId="4D5FDDA6"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09" w:history="1">
            <w:r w:rsidR="00A6506A" w:rsidRPr="00A6506A">
              <w:rPr>
                <w:rStyle w:val="Lienhypertexte"/>
                <w:rFonts w:eastAsia="Times New Roman"/>
                <w:noProof/>
                <w:sz w:val="22"/>
                <w:szCs w:val="22"/>
              </w:rPr>
              <w:t>eFigure 8. Multi-exposure model on postnatal exposures stratified on cohorts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_Toc132271609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53</w:t>
            </w:r>
            <w:r w:rsidR="00A6506A" w:rsidRPr="00A6506A">
              <w:rPr>
                <w:noProof/>
                <w:webHidden/>
                <w:sz w:val="22"/>
                <w:szCs w:val="22"/>
              </w:rPr>
              <w:fldChar w:fldCharType="end"/>
            </w:r>
          </w:hyperlink>
        </w:p>
        <w:p w14:paraId="36625CDD" w14:textId="0CCFFCF6"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10" w:history="1">
            <w:r w:rsidR="00A6506A" w:rsidRPr="00A6506A">
              <w:rPr>
                <w:rStyle w:val="Lienhypertexte"/>
                <w:noProof/>
                <w:sz w:val="22"/>
                <w:szCs w:val="22"/>
                <w:lang w:val="en-US"/>
              </w:rPr>
              <w:t>eFigure 9. GAM estimated curve for postnatal selected exposures by LASSO</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_Toc132271610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54</w:t>
            </w:r>
            <w:r w:rsidR="00A6506A" w:rsidRPr="00A6506A">
              <w:rPr>
                <w:noProof/>
                <w:webHidden/>
                <w:sz w:val="22"/>
                <w:szCs w:val="22"/>
              </w:rPr>
              <w:fldChar w:fldCharType="end"/>
            </w:r>
          </w:hyperlink>
        </w:p>
        <w:p w14:paraId="76915AD4" w14:textId="5FFF28C5"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11" w:history="1">
            <w:r w:rsidR="00A6506A" w:rsidRPr="00A6506A">
              <w:rPr>
                <w:rStyle w:val="Lienhypertexte"/>
                <w:rFonts w:eastAsia="Times New Roman"/>
                <w:noProof/>
                <w:sz w:val="22"/>
                <w:szCs w:val="22"/>
              </w:rPr>
              <w:t>eFigure 10. Multi-exposure model without the 4% most extreme values for the general health score</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_Toc132271611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55</w:t>
            </w:r>
            <w:r w:rsidR="00A6506A" w:rsidRPr="00A6506A">
              <w:rPr>
                <w:noProof/>
                <w:webHidden/>
                <w:sz w:val="22"/>
                <w:szCs w:val="22"/>
              </w:rPr>
              <w:fldChar w:fldCharType="end"/>
            </w:r>
          </w:hyperlink>
        </w:p>
        <w:p w14:paraId="41568155" w14:textId="37AD7DC6" w:rsidR="00A6506A" w:rsidRPr="00A6506A" w:rsidRDefault="006434B3">
          <w:pPr>
            <w:pStyle w:val="TM1"/>
            <w:tabs>
              <w:tab w:val="right" w:leader="dot" w:pos="8494"/>
            </w:tabs>
            <w:rPr>
              <w:rFonts w:asciiTheme="minorHAnsi" w:eastAsiaTheme="minorEastAsia" w:hAnsiTheme="minorHAnsi" w:cstheme="minorBidi"/>
              <w:b w:val="0"/>
              <w:bCs w:val="0"/>
              <w:i w:val="0"/>
              <w:iCs w:val="0"/>
              <w:noProof/>
              <w:sz w:val="20"/>
              <w:szCs w:val="20"/>
              <w:lang w:val="fr-FR"/>
            </w:rPr>
          </w:pPr>
          <w:hyperlink w:anchor="_Toc132271612" w:history="1">
            <w:r w:rsidR="00A6506A" w:rsidRPr="00A6506A">
              <w:rPr>
                <w:rStyle w:val="Lienhypertexte"/>
                <w:noProof/>
                <w:sz w:val="22"/>
                <w:szCs w:val="22"/>
                <w:lang w:val="en-US"/>
              </w:rPr>
              <w:t>eReferences</w:t>
            </w:r>
            <w:r w:rsidR="00A6506A" w:rsidRPr="00A6506A">
              <w:rPr>
                <w:noProof/>
                <w:webHidden/>
                <w:sz w:val="22"/>
                <w:szCs w:val="22"/>
              </w:rPr>
              <w:tab/>
            </w:r>
            <w:r w:rsidR="00A6506A" w:rsidRPr="00A6506A">
              <w:rPr>
                <w:noProof/>
                <w:webHidden/>
                <w:sz w:val="22"/>
                <w:szCs w:val="22"/>
              </w:rPr>
              <w:fldChar w:fldCharType="begin"/>
            </w:r>
            <w:r w:rsidR="00A6506A" w:rsidRPr="00A6506A">
              <w:rPr>
                <w:noProof/>
                <w:webHidden/>
                <w:sz w:val="22"/>
                <w:szCs w:val="22"/>
              </w:rPr>
              <w:instrText xml:space="preserve"> PAGEREF _Toc132271612 \h </w:instrText>
            </w:r>
            <w:r w:rsidR="00A6506A" w:rsidRPr="00A6506A">
              <w:rPr>
                <w:noProof/>
                <w:webHidden/>
                <w:sz w:val="22"/>
                <w:szCs w:val="22"/>
              </w:rPr>
            </w:r>
            <w:r w:rsidR="00A6506A" w:rsidRPr="00A6506A">
              <w:rPr>
                <w:noProof/>
                <w:webHidden/>
                <w:sz w:val="22"/>
                <w:szCs w:val="22"/>
              </w:rPr>
              <w:fldChar w:fldCharType="separate"/>
            </w:r>
            <w:r w:rsidR="00A6506A" w:rsidRPr="00A6506A">
              <w:rPr>
                <w:noProof/>
                <w:webHidden/>
                <w:sz w:val="22"/>
                <w:szCs w:val="22"/>
              </w:rPr>
              <w:t>56</w:t>
            </w:r>
            <w:r w:rsidR="00A6506A" w:rsidRPr="00A6506A">
              <w:rPr>
                <w:noProof/>
                <w:webHidden/>
                <w:sz w:val="22"/>
                <w:szCs w:val="22"/>
              </w:rPr>
              <w:fldChar w:fldCharType="end"/>
            </w:r>
          </w:hyperlink>
        </w:p>
        <w:p w14:paraId="21E704A8" w14:textId="2EAC7FB5" w:rsidR="00274376" w:rsidRPr="00A6506A" w:rsidRDefault="00274376">
          <w:pPr>
            <w:rPr>
              <w:rFonts w:ascii="Times New Roman" w:hAnsi="Times New Roman" w:cs="Times New Roman"/>
              <w:sz w:val="16"/>
              <w:szCs w:val="16"/>
            </w:rPr>
          </w:pPr>
          <w:r w:rsidRPr="00A6506A">
            <w:rPr>
              <w:rFonts w:ascii="Times New Roman" w:hAnsi="Times New Roman" w:cs="Times New Roman"/>
              <w:b/>
              <w:bCs/>
              <w:sz w:val="14"/>
              <w:szCs w:val="14"/>
            </w:rPr>
            <w:fldChar w:fldCharType="end"/>
          </w:r>
        </w:p>
      </w:sdtContent>
    </w:sdt>
    <w:p w14:paraId="51C64718" w14:textId="2505DA6A" w:rsidR="00274376" w:rsidRPr="00C4431A" w:rsidRDefault="00274376" w:rsidP="00D573B8">
      <w:pPr>
        <w:pStyle w:val="Titre1"/>
        <w:rPr>
          <w:sz w:val="20"/>
          <w:szCs w:val="20"/>
        </w:rPr>
      </w:pPr>
      <w:bookmarkStart w:id="1" w:name="_Toc126332677"/>
      <w:bookmarkStart w:id="2" w:name="_Toc127358148"/>
      <w:bookmarkStart w:id="3" w:name="_Hlk126576859"/>
      <w:bookmarkStart w:id="4" w:name="_Hlk127366995"/>
    </w:p>
    <w:p w14:paraId="605DDEF5" w14:textId="77777777" w:rsidR="00274376" w:rsidRDefault="00274376" w:rsidP="00D573B8">
      <w:pPr>
        <w:pStyle w:val="Titre1"/>
      </w:pPr>
      <w:r w:rsidRPr="00C4431A">
        <w:rPr>
          <w:sz w:val="20"/>
          <w:szCs w:val="20"/>
        </w:rPr>
        <w:br w:type="page"/>
      </w:r>
    </w:p>
    <w:p w14:paraId="0709E17A" w14:textId="403C322E" w:rsidR="00D573B8" w:rsidRPr="001310CB" w:rsidRDefault="00D573B8" w:rsidP="00D573B8">
      <w:pPr>
        <w:pStyle w:val="Titre1"/>
      </w:pPr>
      <w:bookmarkStart w:id="5" w:name="_Toc132271576"/>
      <w:proofErr w:type="spellStart"/>
      <w:r w:rsidRPr="001310CB">
        <w:lastRenderedPageBreak/>
        <w:t>eMethods</w:t>
      </w:r>
      <w:proofErr w:type="spellEnd"/>
      <w:r w:rsidRPr="001310CB">
        <w:t xml:space="preserve"> </w:t>
      </w:r>
      <w:r>
        <w:t>1</w:t>
      </w:r>
      <w:r w:rsidR="004120E3">
        <w:t>.</w:t>
      </w:r>
      <w:r w:rsidRPr="001310CB">
        <w:t xml:space="preserve"> </w:t>
      </w:r>
      <w:r w:rsidRPr="001E4B45">
        <w:rPr>
          <w:b w:val="0"/>
          <w:bCs w:val="0"/>
        </w:rPr>
        <w:t>Health outcomes assessment</w:t>
      </w:r>
      <w:bookmarkEnd w:id="1"/>
      <w:bookmarkEnd w:id="2"/>
      <w:bookmarkEnd w:id="5"/>
    </w:p>
    <w:p w14:paraId="211BC696" w14:textId="77777777" w:rsidR="00D573B8" w:rsidRDefault="00D573B8" w:rsidP="00D573B8">
      <w:pPr>
        <w:pStyle w:val="Corpsdetexte"/>
        <w:rPr>
          <w:i/>
          <w:iCs/>
        </w:rPr>
      </w:pPr>
      <w:bookmarkStart w:id="6" w:name="_Toc126332678"/>
      <w:bookmarkEnd w:id="3"/>
      <w:bookmarkEnd w:id="4"/>
    </w:p>
    <w:p w14:paraId="419E23FC" w14:textId="108B02BC" w:rsidR="00D573B8" w:rsidRDefault="00D573B8" w:rsidP="00D573B8">
      <w:pPr>
        <w:pStyle w:val="Corpsdetexte"/>
        <w:rPr>
          <w:i/>
          <w:iCs/>
        </w:rPr>
      </w:pPr>
      <w:r w:rsidRPr="001310CB">
        <w:rPr>
          <w:i/>
          <w:iCs/>
        </w:rPr>
        <w:t>Cardiometabolic outcomes</w:t>
      </w:r>
      <w:bookmarkEnd w:id="6"/>
      <w:r w:rsidRPr="001310CB">
        <w:rPr>
          <w:i/>
          <w:iCs/>
        </w:rPr>
        <w:t xml:space="preserve"> </w:t>
      </w:r>
      <w:r w:rsidRPr="001310CB">
        <w:rPr>
          <w:i/>
          <w:iCs/>
        </w:rPr>
        <w:fldChar w:fldCharType="begin"/>
      </w:r>
      <w:r w:rsidR="00DD0DC1">
        <w:rPr>
          <w:i/>
          <w:iCs/>
        </w:rPr>
        <w:instrText xml:space="preserve"> ADDIN ZOTERO_ITEM CSL_CITATION {"citationID":"Pj2N5q30","properties":{"unsorted":true,"formattedCitation":"\\super 1,2\\nosupersub{}","plainCitation":"1,2","noteIndex":0},"citationItems":[{"id":105,"uris":["http://zotero.org/users/9798320/items/RCDNP42N"],"itemData":{"id":105,"type":"article-journal","abstract":"BACKGROUND: Growing evidence exists about the fetal and environmental origins of hypertension, but mainly limited to single-exposure studies. The exposome has been proposed as a more holistic approach by studying many exposures simultaneously.\nOBJECTIVES: This study aims to evaluate the association between a wide range of prenatal and postnatal exposures and blood pressure (BP) in children.\nMETHODS: Systolic and diastolic BP were measured among 1,277 children from the European HELIX (Human Early-Life Exposome) cohort aged 6 to 11 years. Prenatal (n = 89) and postnatal (n = 128) exposures include air pollution, built environment, meteorology, natural spaces, traffic, noise, chemicals, and lifestyles. Two methods adjusted for confounders were applied: an exposome-wide association study considering the exposures independently, and the deletion-substitution-addition algorithm considering all the exposures simultaneously.\nRESULTS: Decreases in systolic BP were observed with facility density (β change for an interquartile-range increase in exposure: -1.7 mm Hg [95% confidence interval (CI): -2.5 to -0.8 mm Hg]), maternal concentrations of polychlorinated biphenyl 118 (-1.4 mm Hg [95% CI: -2.6 to -0.2 mm Hg]) and child concentrations of dichlorodiphenyldichloroethylene (DDE: -1.6 mm Hg [95% CI: -2.4 to -0.7 mm Hg]), hexachlorobenzene (-1.5 mm Hg [95% CI: -2.4 to -0.6 mm Hg]), and mono-benzyl phthalate (-0.7 mm Hg [95% CI: -1.3 to -0.1 mm Hg]), whereas increases in systolic BP were observed with outdoor temperature during pregnancy (1.6 mm Hg [95% CI: 0.2 to 2.9 mm Hg]), high fish intake during pregnancy (2.0 mm Hg [95% CI: 0.4 to 3.5 mm Hg]), maternal cotinine concentrations (1.2 mm Hg [95% CI: -0.3 to 2.8 mm Hg]), and child perfluorooctanoate concentrations (0.9 mm Hg [95% CI: 0.1 to 1.6 mm Hg]). Decreases in diastolic BP were observed with outdoor temperature at examination (-1.4 mm Hg [95% CI: -2.3 to -0.5 mm Hg]) and child DDE concentrations (-1.1 mm Hg [95% CI: -1.9 to -0.3 mm Hg]), whereas increases in diastolic BP were observed with maternal bisphenol-A concentrations (0.7 mm Hg [95% CI: 0.1 to 1.4 mm Hg]), high fish intake during pregnancy (1.2 mm Hg [95% CI: -0.2 to 2.7 mm Hg]), and child copper concentrations (0.9 mm Hg [95% CI: 0.3 to 1.6 mm Hg]).\nCONCLUSIONS: This study suggests that early-life exposure to several chemicals, as well as built environment and meteorological factors, may affect BP in children.","container-title":"Journal of the American College of Cardiology","DOI":"10.1016/j.jacc.2019.06.069","ISSN":"1558-3597","issue":"10","journalAbbreviation":"J Am Coll Cardiol","language":"eng","note":"PMID: 31488269\nPMCID: PMC8713646","page":"1317-1328","source":"PubMed","title":"Early-Life Environmental Exposures and Blood Pressure in Children","volume":"74","author":[{"family":"Warembourg","given":"Charline"},{"family":"Maitre","given":"Léa"},{"family":"Tamayo-Uria","given":"Ibon"},{"family":"Fossati","given":"Serena"},{"family":"Roumeliotaki","given":"Theano"},{"family":"Aasvang","given":"Gunn Marit"},{"family":"Andrusaityte","given":"Sandra"},{"family":"Casas","given":"Maribel"},{"family":"Cequier","given":"Enrique"},{"family":"Chatzi","given":"Lida"},{"family":"Dedele","given":"Audrius"},{"family":"Gonzalez","given":"Juan-Ramon"},{"family":"Gražulevičienė","given":"Regina"},{"family":"Haug","given":"Line Smastuen"},{"family":"Hernandez-Ferrer","given":"Carles"},{"family":"Heude","given":"Barbara"},{"family":"Karachaliou","given":"Marianna"},{"family":"Krog","given":"Norun Hjertager"},{"family":"McEachan","given":"Rosemary"},{"family":"Nieuwenhuijsen","given":"Mark"},{"family":"Petraviciene","given":"Inga"},{"family":"Quentin","given":"Joane"},{"family":"Robinson","given":"Oliver"},{"family":"Sakhi","given":"Amrit Kaur"},{"family":"Slama","given":"Rémy"},{"family":"Thomsen","given":"Cathrine"},{"family":"Urquiza","given":"Jose"},{"family":"Vafeiadi","given":"Marina"},{"family":"West","given":"Jane"},{"family":"Wright","given":"John"},{"family":"Vrijheid","given":"Martine"},{"family":"Basagaña","given":"Xavier"}],"issued":{"date-parts":[["2019",9,10]]}}},{"id":52,"uris":["http://zotero.org/users/9798320/items/TRKLAUDN"],"itemData":{"id":52,"type":"article-journal","abstract":"BACKGROUND: Chemical and nonchemical environmental exposures are increasingly suspected to influence the development of obesity, especially during early life, but studies mostly consider single exposure groups.\nOBJECTIVES: Our study aimed to systematically assess the association between a wide array of early-life environmental exposures and childhood obesity, using an exposome-wide approach.\nMETHODS: The HELIX (Human Early Life Exposome) study measured child body mass index (BMI), waist circumference, skinfold thickness, and body fat mass in 1,301 children from six European birth cohorts age 6-11 y. We estimated 77 prenatal exposures and 96 childhood exposures (cross-sectionally), including indoor and outdoor air pollutants, built environment, green spaces, tobacco smoking, and biomarkers of chemical pollutants (persistent organic pollutants, metals, phthalates, phenols, and pesticides). We used an exposure-wide association study (ExWAS) to screen all exposure-outcome associations independently and used the deletion-substitution-addition (DSA) variable selection algorithm to build a final multiexposure model.\nRESULTS: The prevalence of overweight and obesity combined was 28.8%. Maternal smoking was the only prenatal exposure variable associated with higher child BMI (z-score increase of 0.28, 95% confidence interval: 0.09, 0.48, for active vs. no smoking). For childhood exposures, the multiexposure model identified particulate and nitrogen dioxide air pollution inside the home, urine cotinine levels indicative of secondhand smoke exposure, and residence in more densely populated areas and in areas with fewer facilities to be associated with increased child BMI. Child blood levels of copper and cesium were associated with higher BMI, and levels of organochlorine pollutants, cobalt, and molybdenum were associated with lower BMI. Similar results were found for the other adiposity outcomes.\nDISCUSSION: This first comprehensive and systematic analysis of many suspected environmental obesogens strengthens evidence for an association of smoking, air pollution exposure, and characteristics of the built environment with childhood obesity risk. Cross-sectional biomarker results may suffer from reverse causality bias, whereby obesity status influenced the biomarker concentration. https://doi.org/10.1289/EHP5975.","container-title":"Environmental Health Perspectives","DOI":"10.1289/EHP5975","ISSN":"1552-9924","issue":"6","journalAbbreviation":"Environ Health Perspect","language":"eng","note":"PMID: 32579081\nPMCID: PMC7313401","page":"67009","source":"PubMed","title":"Early-Life Environmental Exposures and Childhood Obesity: An Exposome-Wide Approach","title-short":"Early-Life Environmental Exposures and Childhood Obesity","volume":"128","author":[{"family":"Vrijheid","given":"Martine"},{"family":"Fossati","given":"Serena"},{"family":"Maitre","given":"Léa"},{"family":"Márquez","given":"Sandra"},{"family":"Roumeliotaki","given":"Theano"},{"family":"Agier","given":"Lydiane"},{"family":"Andrusaityte","given":"Sandra"},{"family":"Cadiou","given":"Solène"},{"family":"Casas","given":"Maribel"},{"family":"Castro","given":"Montserrat","non-dropping-particle":"de"},{"family":"Dedele","given":"Audrius"},{"family":"Donaire-Gonzalez","given":"David"},{"family":"Grazuleviciene","given":"Regina"},{"family":"Haug","given":"Line S."},{"family":"McEachan","given":"Rosemary"},{"family":"Meltzer","given":"Helle Margrete"},{"family":"Papadopouplou","given":"Eleni"},{"family":"Robinson","given":"Oliver"},{"family":"Sakhi","given":"Amrit K."},{"family":"Siroux","given":"Valerie"},{"family":"Sunyer","given":"Jordi"},{"family":"Schwarze","given":"Per E."},{"family":"Tamayo-Uria","given":"Ibon"},{"family":"Urquiza","given":"Jose"},{"family":"Vafeiadi","given":"Marina"},{"family":"Valentin","given":"Antonia"},{"family":"Warembourg","given":"Charline"},{"family":"Wright","given":"John"},{"family":"Nieuwenhuijsen","given":"Mark J."},{"family":"Thomsen","given":"Cathrine"},{"family":"Basagaña","given":"Xavier"},{"family":"Slama","given":"Rémy"},{"family":"Chatzi","given":"Leda"}],"issued":{"date-parts":[["2020",6]]}}}],"schema":"https://github.com/citation-style-language/schema/raw/master/csl-citation.json"} </w:instrText>
      </w:r>
      <w:r w:rsidRPr="001310CB">
        <w:rPr>
          <w:i/>
          <w:iCs/>
        </w:rPr>
        <w:fldChar w:fldCharType="separate"/>
      </w:r>
      <w:r w:rsidR="00DD0DC1" w:rsidRPr="00DD0DC1">
        <w:rPr>
          <w:szCs w:val="24"/>
          <w:vertAlign w:val="superscript"/>
        </w:rPr>
        <w:t>1,2</w:t>
      </w:r>
      <w:r w:rsidRPr="001310CB">
        <w:rPr>
          <w:i/>
          <w:iCs/>
        </w:rPr>
        <w:fldChar w:fldCharType="end"/>
      </w:r>
    </w:p>
    <w:p w14:paraId="6AD75CED" w14:textId="77777777" w:rsidR="00D573B8" w:rsidRPr="00D77749" w:rsidRDefault="00D573B8" w:rsidP="00D573B8">
      <w:pPr>
        <w:pStyle w:val="Corpsdetexte"/>
        <w:rPr>
          <w:i/>
          <w:iCs/>
        </w:rPr>
      </w:pPr>
      <w:r w:rsidRPr="00674923">
        <w:rPr>
          <w:rFonts w:eastAsia="Times New Roman"/>
        </w:rPr>
        <w:t xml:space="preserve">Blood pressure was measured during the clinical examination using a standardized protocol: after 5 minutes of rest in sitting position, 3 consecutive measurements were taken by </w:t>
      </w:r>
      <w:proofErr w:type="spellStart"/>
      <w:r w:rsidRPr="00674923">
        <w:rPr>
          <w:rFonts w:eastAsia="Times New Roman"/>
        </w:rPr>
        <w:t>oscillometric</w:t>
      </w:r>
      <w:proofErr w:type="spellEnd"/>
      <w:r w:rsidRPr="00674923">
        <w:rPr>
          <w:rFonts w:eastAsia="Times New Roman"/>
        </w:rPr>
        <w:t xml:space="preserve"> device (OMRON 705-CPII) with one-minute time intervals between them, in a predefined posture and in preference in the right arm. Adequate cuff sizes were chosen with respect to each child’s arm length and circumference. Systolic (SBP) and diastolic (DBP) blood pressures from each measurement have been recorded and the mean of the second and the third measurements was calculated and used in </w:t>
      </w:r>
      <w:r>
        <w:rPr>
          <w:rFonts w:eastAsia="Times New Roman"/>
        </w:rPr>
        <w:t>this</w:t>
      </w:r>
      <w:r w:rsidRPr="00674923">
        <w:rPr>
          <w:rFonts w:eastAsia="Times New Roman"/>
        </w:rPr>
        <w:t xml:space="preserve"> analysis.</w:t>
      </w:r>
    </w:p>
    <w:p w14:paraId="6314DCE4" w14:textId="38413250" w:rsidR="00D573B8" w:rsidRDefault="00D573B8" w:rsidP="00D573B8">
      <w:pPr>
        <w:spacing w:after="0" w:line="240" w:lineRule="auto"/>
        <w:jc w:val="both"/>
        <w:rPr>
          <w:rFonts w:ascii="Times New Roman" w:eastAsia="Times New Roman" w:hAnsi="Times New Roman" w:cs="Times New Roman"/>
          <w:sz w:val="20"/>
          <w:szCs w:val="20"/>
        </w:rPr>
      </w:pPr>
      <w:r w:rsidRPr="00E13EBA">
        <w:rPr>
          <w:rFonts w:ascii="Times New Roman" w:eastAsia="Times New Roman" w:hAnsi="Times New Roman" w:cs="Times New Roman"/>
          <w:sz w:val="20"/>
          <w:szCs w:val="20"/>
        </w:rPr>
        <w:t xml:space="preserve">During the </w:t>
      </w:r>
      <w:proofErr w:type="spellStart"/>
      <w:r w:rsidRPr="00E13EBA">
        <w:rPr>
          <w:rFonts w:ascii="Times New Roman" w:eastAsia="Times New Roman" w:hAnsi="Times New Roman" w:cs="Times New Roman"/>
          <w:sz w:val="20"/>
          <w:szCs w:val="20"/>
        </w:rPr>
        <w:t>subcohort</w:t>
      </w:r>
      <w:proofErr w:type="spellEnd"/>
      <w:r w:rsidRPr="00E13EBA">
        <w:rPr>
          <w:rFonts w:ascii="Times New Roman" w:eastAsia="Times New Roman" w:hAnsi="Times New Roman" w:cs="Times New Roman"/>
          <w:sz w:val="20"/>
          <w:szCs w:val="20"/>
        </w:rPr>
        <w:t xml:space="preserve"> examination, </w:t>
      </w:r>
      <w:r>
        <w:rPr>
          <w:rFonts w:ascii="Times New Roman" w:eastAsia="Times New Roman" w:hAnsi="Times New Roman" w:cs="Times New Roman"/>
          <w:sz w:val="20"/>
          <w:szCs w:val="20"/>
        </w:rPr>
        <w:t xml:space="preserve">the </w:t>
      </w:r>
      <w:r w:rsidRPr="00E13EBA">
        <w:rPr>
          <w:rFonts w:ascii="Times New Roman" w:eastAsia="Times New Roman" w:hAnsi="Times New Roman" w:cs="Times New Roman"/>
          <w:sz w:val="20"/>
          <w:szCs w:val="20"/>
        </w:rPr>
        <w:t xml:space="preserve">waist circumference </w:t>
      </w:r>
      <w:r>
        <w:rPr>
          <w:rFonts w:ascii="Times New Roman" w:eastAsia="Times New Roman" w:hAnsi="Times New Roman" w:cs="Times New Roman"/>
          <w:sz w:val="20"/>
          <w:szCs w:val="20"/>
        </w:rPr>
        <w:t xml:space="preserve">was measured </w:t>
      </w:r>
      <w:r w:rsidRPr="00E13EBA">
        <w:rPr>
          <w:rFonts w:ascii="Times New Roman" w:eastAsia="Times New Roman" w:hAnsi="Times New Roman" w:cs="Times New Roman"/>
          <w:sz w:val="20"/>
          <w:szCs w:val="20"/>
        </w:rPr>
        <w:t>as an indicator of visceral fat in duplicate to the nearest 0:1 cm in a standing position, at the high point of the iliac crest at the end of a gentle expiration, with the use of a measuring tape (</w:t>
      </w:r>
      <w:proofErr w:type="spellStart"/>
      <w:r w:rsidRPr="00E13EBA">
        <w:rPr>
          <w:rFonts w:ascii="Times New Roman" w:eastAsia="Times New Roman" w:hAnsi="Times New Roman" w:cs="Times New Roman"/>
          <w:sz w:val="20"/>
          <w:szCs w:val="20"/>
        </w:rPr>
        <w:t>Seca</w:t>
      </w:r>
      <w:proofErr w:type="spellEnd"/>
      <w:r w:rsidRPr="00E13EBA">
        <w:rPr>
          <w:rFonts w:ascii="Times New Roman" w:eastAsia="Times New Roman" w:hAnsi="Times New Roman" w:cs="Times New Roman"/>
          <w:sz w:val="20"/>
          <w:szCs w:val="20"/>
        </w:rPr>
        <w:t xml:space="preserve"> 201; </w:t>
      </w:r>
      <w:proofErr w:type="spellStart"/>
      <w:r w:rsidRPr="00E13EBA">
        <w:rPr>
          <w:rFonts w:ascii="Times New Roman" w:eastAsia="Times New Roman" w:hAnsi="Times New Roman" w:cs="Times New Roman"/>
          <w:sz w:val="20"/>
          <w:szCs w:val="20"/>
        </w:rPr>
        <w:t>Seca</w:t>
      </w:r>
      <w:proofErr w:type="spellEnd"/>
      <w:r w:rsidRPr="00E13EBA">
        <w:rPr>
          <w:rFonts w:ascii="Times New Roman" w:eastAsia="Times New Roman" w:hAnsi="Times New Roman" w:cs="Times New Roman"/>
          <w:sz w:val="20"/>
          <w:szCs w:val="20"/>
        </w:rPr>
        <w:t xml:space="preserve"> Corporation).</w:t>
      </w:r>
      <w:r>
        <w:rPr>
          <w:rFonts w:ascii="Times New Roman" w:eastAsia="Times New Roman" w:hAnsi="Times New Roman" w:cs="Times New Roman"/>
          <w:sz w:val="20"/>
          <w:szCs w:val="20"/>
        </w:rPr>
        <w:t xml:space="preserve"> Also, </w:t>
      </w:r>
      <w:r w:rsidRPr="00E13EBA">
        <w:rPr>
          <w:rFonts w:ascii="Times New Roman" w:eastAsia="Times New Roman" w:hAnsi="Times New Roman" w:cs="Times New Roman"/>
          <w:sz w:val="20"/>
          <w:szCs w:val="20"/>
        </w:rPr>
        <w:t>height and weight were measured using regularly calibrated instruments</w:t>
      </w:r>
      <w:r>
        <w:rPr>
          <w:rFonts w:ascii="Times New Roman" w:eastAsia="Times New Roman" w:hAnsi="Times New Roman" w:cs="Times New Roman"/>
          <w:sz w:val="20"/>
          <w:szCs w:val="20"/>
        </w:rPr>
        <w:t xml:space="preserve">. In complementary analysis, we used </w:t>
      </w:r>
      <w:r w:rsidRPr="00E13EBA">
        <w:rPr>
          <w:rFonts w:ascii="Times New Roman" w:eastAsia="Times New Roman" w:hAnsi="Times New Roman" w:cs="Times New Roman"/>
          <w:sz w:val="20"/>
          <w:szCs w:val="20"/>
        </w:rPr>
        <w:t>BMI age-and-sex–standardized z-scores (</w:t>
      </w:r>
      <w:proofErr w:type="spellStart"/>
      <w:r w:rsidRPr="00E13EBA">
        <w:rPr>
          <w:rFonts w:ascii="Times New Roman" w:eastAsia="Times New Roman" w:hAnsi="Times New Roman" w:cs="Times New Roman"/>
          <w:sz w:val="20"/>
          <w:szCs w:val="20"/>
        </w:rPr>
        <w:t>zBMI</w:t>
      </w:r>
      <w:proofErr w:type="spellEnd"/>
      <w:r w:rsidRPr="00E13EBA">
        <w:rPr>
          <w:rFonts w:ascii="Times New Roman" w:eastAsia="Times New Roman" w:hAnsi="Times New Roman" w:cs="Times New Roman"/>
          <w:sz w:val="20"/>
          <w:szCs w:val="20"/>
        </w:rPr>
        <w:t xml:space="preserve">) using the international World Health Organization (WHO) reference curves </w:t>
      </w:r>
      <w:r>
        <w:rPr>
          <w:rFonts w:ascii="Times New Roman" w:eastAsia="Times New Roman" w:hAnsi="Times New Roman" w:cs="Times New Roman"/>
          <w:sz w:val="20"/>
          <w:szCs w:val="20"/>
        </w:rPr>
        <w:fldChar w:fldCharType="begin"/>
      </w:r>
      <w:r w:rsidR="00DD0DC1">
        <w:rPr>
          <w:rFonts w:ascii="Times New Roman" w:eastAsia="Times New Roman" w:hAnsi="Times New Roman" w:cs="Times New Roman"/>
          <w:sz w:val="20"/>
          <w:szCs w:val="20"/>
        </w:rPr>
        <w:instrText xml:space="preserve"> ADDIN ZOTERO_ITEM CSL_CITATION {"citationID":"dFK0zQwy","properties":{"formattedCitation":"\\super 3\\nosupersub{}","plainCitation":"3","noteIndex":0},"citationItems":[{"id":1029,"uris":["http://zotero.org/users/9798320/items/RFFC4RCP"],"itemData":{"id":1029,"type":"article-journal","abstract":"OBJECTIVE: To construct growth curves for school-aged children and adolescents that accord with the WHO Child Growth Standards for preschool children and the body mass index (BMI) cut-offs for adults.\nMETHODS: Data from the 1977 National Center for Health Statistics (NCHS)/WHO growth reference (1-24 years) were merged with data from the under-fives growth standards' cross-sectional sample (18-71 months) to smooth the transition between the two samples. State-of-the-art statistical methods used to construct the WHO Child Growth Standards (0-5 years), i.e. the Box-Cox power exponential (BCPE) method with appropriate diagnostic tools for the selection of best models, were applied to this combined sample.\nFINDINGS: The merged data sets resulted in a smooth transition at 5 years for height-for-age, weight-for-age and BMI-for-age. For BMI-for-age across all centiles the magnitude of the difference between the two curves at age 5 years is mostly 0.0 kg/m(2) to 0.1 kg/m(2). At 19 years, the new BMI values at +1 standard deviation (SD) are 25.4 kg/m(2) for boys and 25.0 kg/m(2) for girls. These values are equivalent to the overweight cut-off for adults (&gt; or = 25.0 kg/m(2)). Similarly, the +2 SD value (29.7 kg/m(2) for both sexes) compares closely with the cut-off for obesity (&gt; or = 30.0 kg/m(2)).\nCONCLUSION: The new curves are closely aligned with the WHO Child Growth Standards at 5 years, and the recommended adult cut-offs for overweight and obesity at 19 years. They fill the gap in growth curves and provide an appropriate reference for the 5 to 19 years age group.","container-title":"Bulletin of the World Health Organization","DOI":"10.2471/blt.07.043497","ISSN":"0042-9686","issue":"9","journalAbbreviation":"Bull World Health Organ","language":"eng","note":"PMID: 18026621\nPMCID: PMC2636412","page":"660-667","source":"PubMed","title":"Development of a WHO growth reference for school-aged children and adolescents","volume":"85","author":[{"family":"Onis","given":"Mercedes","non-dropping-particle":"de"},{"family":"Onyango","given":"Adelheid W."},{"family":"Borghi","given":"Elaine"},{"family":"Siyam","given":"Amani"},{"family":"Nishida","given":"Chizuru"},{"family":"Siekmann","given":"Jonathan"}],"issued":{"date-parts":[["2007",9]]}}}],"schema":"https://github.com/citation-style-language/schema/raw/master/csl-citation.json"} </w:instrText>
      </w:r>
      <w:r>
        <w:rPr>
          <w:rFonts w:ascii="Times New Roman" w:eastAsia="Times New Roman" w:hAnsi="Times New Roman" w:cs="Times New Roman"/>
          <w:sz w:val="20"/>
          <w:szCs w:val="20"/>
        </w:rPr>
        <w:fldChar w:fldCharType="separate"/>
      </w:r>
      <w:r w:rsidR="00DD0DC1" w:rsidRPr="00DD0DC1">
        <w:rPr>
          <w:rFonts w:ascii="Times New Roman" w:hAnsi="Times New Roman" w:cs="Times New Roman"/>
          <w:sz w:val="20"/>
          <w:szCs w:val="24"/>
          <w:vertAlign w:val="superscript"/>
        </w:rPr>
        <w:t>3</w:t>
      </w:r>
      <w:r>
        <w:rPr>
          <w:rFonts w:ascii="Times New Roman" w:eastAsia="Times New Roman" w:hAnsi="Times New Roman" w:cs="Times New Roman"/>
          <w:sz w:val="20"/>
          <w:szCs w:val="20"/>
        </w:rPr>
        <w:fldChar w:fldCharType="end"/>
      </w:r>
      <w:r w:rsidRPr="00E13EBA">
        <w:rPr>
          <w:rFonts w:ascii="Times New Roman" w:eastAsia="Times New Roman" w:hAnsi="Times New Roman" w:cs="Times New Roman"/>
          <w:sz w:val="20"/>
          <w:szCs w:val="20"/>
        </w:rPr>
        <w:t xml:space="preserve">. For all measures, we used common standardized protocols and the same instruments across the cohorts. </w:t>
      </w:r>
    </w:p>
    <w:p w14:paraId="326B0D24" w14:textId="77777777" w:rsidR="00D573B8" w:rsidRDefault="00D573B8" w:rsidP="00D573B8">
      <w:pPr>
        <w:spacing w:after="0" w:line="240" w:lineRule="auto"/>
        <w:jc w:val="both"/>
        <w:rPr>
          <w:rFonts w:ascii="Times New Roman" w:eastAsia="Times New Roman" w:hAnsi="Times New Roman" w:cs="Times New Roman"/>
          <w:sz w:val="20"/>
          <w:szCs w:val="20"/>
        </w:rPr>
      </w:pPr>
      <w:r w:rsidRPr="00E419CF">
        <w:rPr>
          <w:rFonts w:ascii="Times New Roman" w:eastAsia="Times New Roman" w:hAnsi="Times New Roman" w:cs="Times New Roman"/>
          <w:sz w:val="20"/>
          <w:szCs w:val="20"/>
        </w:rPr>
        <w:t xml:space="preserve"> </w:t>
      </w:r>
    </w:p>
    <w:p w14:paraId="4FE3F0A6" w14:textId="11DA0EFE" w:rsidR="00D573B8" w:rsidRPr="00E419CF" w:rsidRDefault="00D573B8" w:rsidP="00D573B8">
      <w:pPr>
        <w:spacing w:after="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Concentrations (mg/dL)</w:t>
      </w:r>
      <w:r w:rsidRPr="00E419CF">
        <w:rPr>
          <w:rFonts w:ascii="Times New Roman" w:eastAsia="Times New Roman" w:hAnsi="Times New Roman" w:cs="Times New Roman"/>
          <w:sz w:val="20"/>
          <w:szCs w:val="20"/>
        </w:rPr>
        <w:t xml:space="preserve"> of triglycerides</w:t>
      </w:r>
      <w:r>
        <w:rPr>
          <w:rFonts w:ascii="Times New Roman" w:eastAsia="Times New Roman" w:hAnsi="Times New Roman" w:cs="Times New Roman"/>
          <w:sz w:val="20"/>
          <w:szCs w:val="20"/>
        </w:rPr>
        <w:t xml:space="preserve"> and </w:t>
      </w:r>
      <w:r w:rsidRPr="00E419CF">
        <w:rPr>
          <w:rFonts w:ascii="Times New Roman" w:eastAsia="Times New Roman" w:hAnsi="Times New Roman" w:cs="Times New Roman"/>
          <w:sz w:val="20"/>
          <w:szCs w:val="20"/>
        </w:rPr>
        <w:t xml:space="preserve">high-density lipoprotein (HDL) cholesterol </w:t>
      </w:r>
      <w:r>
        <w:rPr>
          <w:rFonts w:ascii="Times New Roman" w:eastAsia="Times New Roman" w:hAnsi="Times New Roman" w:cs="Times New Roman"/>
          <w:sz w:val="20"/>
          <w:szCs w:val="20"/>
        </w:rPr>
        <w:t xml:space="preserve">was measured </w:t>
      </w:r>
      <w:r w:rsidRPr="00E419CF">
        <w:rPr>
          <w:rFonts w:ascii="Times New Roman" w:eastAsia="Times New Roman" w:hAnsi="Times New Roman" w:cs="Times New Roman"/>
          <w:sz w:val="20"/>
          <w:szCs w:val="20"/>
        </w:rPr>
        <w:t>in</w:t>
      </w:r>
      <w:r>
        <w:rPr>
          <w:rFonts w:ascii="Times New Roman" w:eastAsia="Times New Roman" w:hAnsi="Times New Roman" w:cs="Times New Roman"/>
          <w:sz w:val="20"/>
          <w:szCs w:val="20"/>
        </w:rPr>
        <w:t xml:space="preserve"> child </w:t>
      </w:r>
      <w:proofErr w:type="spellStart"/>
      <w:r>
        <w:rPr>
          <w:rFonts w:ascii="Times New Roman" w:eastAsia="Times New Roman" w:hAnsi="Times New Roman" w:cs="Times New Roman"/>
          <w:sz w:val="20"/>
          <w:szCs w:val="20"/>
        </w:rPr>
        <w:t>nonfasting</w:t>
      </w:r>
      <w:proofErr w:type="spellEnd"/>
      <w:r w:rsidRPr="00E419CF">
        <w:rPr>
          <w:rFonts w:ascii="Times New Roman" w:eastAsia="Times New Roman" w:hAnsi="Times New Roman" w:cs="Times New Roman"/>
          <w:sz w:val="20"/>
          <w:szCs w:val="20"/>
        </w:rPr>
        <w:t xml:space="preserve"> serum using homogeneous enzymatic colorimetric methods </w:t>
      </w:r>
      <w:r w:rsidRPr="000E7A42">
        <w:rPr>
          <w:rFonts w:ascii="Times New Roman" w:eastAsia="Times New Roman" w:hAnsi="Times New Roman" w:cs="Times New Roman"/>
          <w:sz w:val="20"/>
          <w:szCs w:val="20"/>
        </w:rPr>
        <w:t xml:space="preserve">on a Modular Analytics System from Roche Diagnostics GmbH Mannheim </w:t>
      </w:r>
      <w:r>
        <w:rPr>
          <w:rFonts w:ascii="Times New Roman" w:eastAsia="Times New Roman" w:hAnsi="Times New Roman" w:cs="Times New Roman"/>
          <w:sz w:val="20"/>
          <w:szCs w:val="20"/>
        </w:rPr>
        <w:t xml:space="preserve">and </w:t>
      </w:r>
      <w:r w:rsidRPr="00E419CF">
        <w:rPr>
          <w:rFonts w:ascii="Times New Roman" w:eastAsia="Times New Roman" w:hAnsi="Times New Roman" w:cs="Times New Roman"/>
          <w:sz w:val="20"/>
          <w:szCs w:val="20"/>
        </w:rPr>
        <w:t xml:space="preserve">according to the manufacturer’s instructions </w:t>
      </w:r>
      <w:r w:rsidRPr="00E419CF">
        <w:rPr>
          <w:rFonts w:ascii="Times New Roman" w:eastAsia="Times New Roman" w:hAnsi="Times New Roman" w:cs="Times New Roman"/>
          <w:sz w:val="20"/>
          <w:szCs w:val="20"/>
        </w:rPr>
        <w:fldChar w:fldCharType="begin"/>
      </w:r>
      <w:r w:rsidR="00DD0DC1">
        <w:rPr>
          <w:rFonts w:ascii="Times New Roman" w:eastAsia="Times New Roman" w:hAnsi="Times New Roman" w:cs="Times New Roman"/>
          <w:sz w:val="20"/>
          <w:szCs w:val="20"/>
        </w:rPr>
        <w:instrText xml:space="preserve"> ADDIN ZOTERO_ITEM CSL_CITATION {"citationID":"Wcnu4DQ3","properties":{"formattedCitation":"\\super 4\\nosupersub{}","plainCitation":"4","noteIndex":0},"citationItems":[{"id":242,"uris":["http://zotero.org/users/9798320/items/KVCK664G"],"itemData":{"id":242,"type":"article-journal","abstract":"MODULAR ANALYTICS (Roche Diagnostics) (MODULAR\nANALYTICS, Elecsys and Cobas Integra are trademarks of a member of the Roche Group) represents a new approach to automation for the clinical chemistry laboratory. It consists of a control unit, a core unit with a bidirectional multitrack rack\ntransportation system, and three distinct kinds of analytical modules: an ISE module, a P800 module (44 photometric tests, throughput of up to 800 tests/h), and a D2400 module (16 photometric tests, throughput up to 2400 tests/h). MODULAR ANALYTICS allows customised configurations for various laboratory workloads. The performance and practicability of MODULAR ANALYTICS were evaluated in an international multicentre study at 16 sites. Studies included precision, accuracy, analytical range, carry-over, and workflow assessment. More than 700 000 results were obtained during the course of the study. Median between-day CVs were typically less\nthan 3% for clinical chemistries and less than 6% for homogeneous immunoassays. Median recoveries for nearly all standardised reference materials were within 5% of assigned values. Method comparisons versus current existing routine\ninstrumentation were clinically acceptable in all cases. During the workflow studies, the work from three to four single workstations was transferred to MODULAR ANALYTICS, which offered over 100 possible methods, with reduction in sample\nsplitting, handling errors, and turnaround time. Typical sample processing time on MODULAR ANALYTICS was less than 30 minutes, an improvement from the current laboratory systems. By combining multiple analytic units in flexible ways, MODULAR ANALYTICS met diverse laboratory needs and offered\nimprovement in workflow over current laboratory situations. It increased overall efficiency while maintaining (or improving) quality.","container-title":"Journal of automated methods &amp; management in chemistry","DOI":"10.1155/JAMMC.2005.8","journalAbbreviation":"Journal of automated methods &amp; management in chemistry","page":"8-25","source":"ResearchGate","title":"MODULAR ANALYTICS: A new approach to automation in the clinical laboratory","title-short":"MODULAR ANALYTICS","volume":"2005","author":[{"family":"Horowitz","given":"Gary"},{"family":"Zaman","given":"Zahur"},{"family":"Blanckaert","given":"Norbert"},{"family":"Chan","given":"Daniel"},{"family":"Dubois","given":"Jeffrey"},{"family":"Golaz","given":"Olivier"},{"family":"Mensi","given":"Noury"},{"family":"Keller","given":"Franz"},{"family":"Stolz","given":"Herbert"},{"family":"Klingler","given":"Karl"},{"family":"Marocchi","given":"Alessandro"},{"family":"Prencipe","given":"Lorenzo"},{"family":"Mclawhon","given":"Ronald"},{"family":"Nilsen","given":"Olaug"},{"family":"Oellerich","given":"Michael"},{"family":"Luthe","given":"Hilmar"},{"family":"Orsonneau","given":"Jean-Luc"},{"family":"Richeux","given":"Gérard"},{"family":"Recio","given":"Fernando"},{"family":"Stockmann","given":"Wolfgang"}],"issued":{"date-parts":[["2005",2,1]]}}}],"schema":"https://github.com/citation-style-language/schema/raw/master/csl-citation.json"} </w:instrText>
      </w:r>
      <w:r w:rsidRPr="00E419CF">
        <w:rPr>
          <w:rFonts w:ascii="Times New Roman" w:eastAsia="Times New Roman" w:hAnsi="Times New Roman" w:cs="Times New Roman"/>
          <w:sz w:val="20"/>
          <w:szCs w:val="20"/>
        </w:rPr>
        <w:fldChar w:fldCharType="separate"/>
      </w:r>
      <w:r w:rsidR="00DD0DC1" w:rsidRPr="00DD0DC1">
        <w:rPr>
          <w:rFonts w:ascii="Times New Roman" w:hAnsi="Times New Roman" w:cs="Times New Roman"/>
          <w:sz w:val="20"/>
          <w:szCs w:val="24"/>
          <w:vertAlign w:val="superscript"/>
        </w:rPr>
        <w:t>4</w:t>
      </w:r>
      <w:r w:rsidRPr="00E419CF">
        <w:rPr>
          <w:rFonts w:ascii="Times New Roman" w:eastAsia="Times New Roman" w:hAnsi="Times New Roman" w:cs="Times New Roman"/>
          <w:sz w:val="20"/>
          <w:szCs w:val="20"/>
        </w:rPr>
        <w:fldChar w:fldCharType="end"/>
      </w:r>
      <w:r w:rsidRPr="00E419CF">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 </w:t>
      </w:r>
      <w:r w:rsidRPr="00E419CF">
        <w:rPr>
          <w:rFonts w:ascii="Times New Roman" w:eastAsia="Times New Roman" w:hAnsi="Times New Roman" w:cs="Times New Roman"/>
          <w:sz w:val="20"/>
          <w:szCs w:val="20"/>
        </w:rPr>
        <w:t>Insulin levels were measured in serum using human adipokine 15-plex magnetic panels</w:t>
      </w:r>
      <w:r>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fldChar w:fldCharType="begin"/>
      </w:r>
      <w:r w:rsidR="00DD0DC1">
        <w:rPr>
          <w:rFonts w:ascii="Times New Roman" w:eastAsia="Times New Roman" w:hAnsi="Times New Roman" w:cs="Times New Roman"/>
          <w:sz w:val="20"/>
          <w:szCs w:val="20"/>
        </w:rPr>
        <w:instrText xml:space="preserve"> ADDIN ZOTERO_ITEM CSL_CITATION {"citationID":"aa9duhUu","properties":{"formattedCitation":"\\super 5\\nosupersub{}","plainCitation":"5","noteIndex":0},"citationItems":[{"id":120,"uris":["http://zotero.org/users/9798320/items/YFKCBAXC"],"itemData":{"id":120,"type":"article-journal","abstract":"Importance: The balance of mercury risk and nutritional benefit from fish intake during pregnancy for the metabolic health of offspring to date is unknown.\nObjective: To assess the associations of fish intake and mercury exposure during pregnancy with metabolic syndrome in children and alterations in biomarkers of inflammation in children.\nDesign, Setting, and Participants: This population-based prospective birth cohort study used data from studies performed in 5 European countries (France, Greece, Norway, Spain, and the UK) between April 1, 2003, and February 26, 2016, as part of the Human Early Life Exposome (HELIX) project. Mothers and their singleton offspring were followed up until the children were aged 6 to 12 years. Data were analyzed between March 1 and August 2, 2019.\nExposures: Maternal fish intake during pregnancy (measured in times per week) was assessed using validated food frequency questionnaires, and maternal mercury concentration (measured in micrograms per liter) was assessed using maternal whole blood and cord blood samples.\nMain Outcomes and Measures: An aggregate metabolic syndrome score for children was calculated using the z scores of waist circumference, systolic and diastolic blood pressures, and levels of triglyceride, high-density lipoprotein cholesterol, and insulin. A higher metabolic syndrome score (score range, -4.9 to 7.5) indicated a poorer metabolic profile. Three protein panels were used to measure several cytokines and adipokines in the plasma of children.\nResults: The study included 805 mothers and their singleton children. Among mothers, the mean (SD) age at cohort inclusion or delivery of their infant was 31.3 (4.6) years. A total of 400 women (49.7%) had a high educational level, and 432 women (53.7%) were multiparous. Among children, the mean (SD) age was 8.4 (1.5) years (age range, 6-12 years). A total of 453 children (56.3%) were boys, and 734 children (91.2%) were of white race/ethnicity. Fish intake consistent with health recommendations (1 to 3 times per week) during pregnancy was associated with a 1-U decrease in metabolic syndrome score in children (β = -0.96; 95% CI, -1.49 to -0.42) compared with low fish consumption (&lt;1 time per week) after adjusting for maternal mercury levels and other covariates. No further benefit was observed with fish intake of more than 3 times per week. A higher maternal mercury concentration was independently associated with an increase in the metabolic syndrome score of their offspring (β per 2-fold increase in mercury concentration = 0.18; 95% CI, 0.01-0.34). Compared with low fish intake, moderate and high fish intake during pregnancy were associated with reduced levels of proinflammatory cytokines and adipokines in children. An integrated analysis identified a cluster of children with increased susceptibility to metabolic disease, which was characterized by low fish consumption during pregnancy, high maternal mercury levels, decreased levels of adiponectin in children, and increased levels of leptin, tumor necrosis factor α, and the cytokines interleukin 6 and interleukin 1β in children.\nConclusions and Relevance: Results of this study suggest that moderate fish intake consistent with current health recommendations during pregnancy was associated with improvements in the metabolic health of children, while high maternal mercury exposure was associated with an unfavorable metabolic profile in children.","container-title":"JAMA network open","DOI":"10.1001/jamanetworkopen.2020.1007","ISSN":"2574-3805","issue":"3","journalAbbreviation":"JAMA Netw Open","language":"eng","note":"PMID: 32176304\nPMCID: PMC7076335","page":"e201007","source":"PubMed","title":"Association of Fish Consumption and Mercury Exposure During Pregnancy With Metabolic Health and Inflammatory Biomarkers in Children","volume":"3","author":[{"family":"Stratakis","given":"Nikos"},{"family":"Conti","given":"David V."},{"family":"Borras","given":"Eva"},{"family":"Sabido","given":"Eduardo"},{"family":"Roumeliotaki","given":"Theano"},{"family":"Papadopoulou","given":"Eleni"},{"family":"Agier","given":"Lydiane"},{"family":"Basagana","given":"Xavier"},{"family":"Bustamante","given":"Mariona"},{"family":"Casas","given":"Maribel"},{"family":"Farzan","given":"Shohreh F."},{"family":"Fossati","given":"Serena"},{"family":"Gonzalez","given":"Juan R."},{"family":"Grazuleviciene","given":"Regina"},{"family":"Heude","given":"Barbara"},{"family":"Maitre","given":"Lea"},{"family":"McEachan","given":"Rosemary R. C."},{"family":"Theologidis","given":"Ioannis"},{"family":"Urquiza","given":"Jose"},{"family":"Vafeiadi","given":"Marina"},{"family":"West","given":"Jane"},{"family":"Wright","given":"John"},{"family":"McConnell","given":"Rob"},{"family":"Brantsaeter","given":"Anne-Lise"},{"family":"Meltzer","given":"Helle-Margrete"},{"family":"Vrijheid","given":"Martine"},{"family":"Chatzi","given":"Leda"}],"issued":{"date-parts":[["2020",3,2]]}}}],"schema":"https://github.com/citation-style-language/schema/raw/master/csl-citation.json"} </w:instrText>
      </w:r>
      <w:r>
        <w:rPr>
          <w:rFonts w:ascii="Times New Roman" w:eastAsia="Times New Roman" w:hAnsi="Times New Roman" w:cs="Times New Roman"/>
          <w:sz w:val="20"/>
          <w:szCs w:val="20"/>
        </w:rPr>
        <w:fldChar w:fldCharType="separate"/>
      </w:r>
      <w:r w:rsidR="00DD0DC1" w:rsidRPr="00DD0DC1">
        <w:rPr>
          <w:rFonts w:ascii="Times New Roman" w:hAnsi="Times New Roman" w:cs="Times New Roman"/>
          <w:sz w:val="20"/>
          <w:szCs w:val="24"/>
          <w:vertAlign w:val="superscript"/>
        </w:rPr>
        <w:t>5</w:t>
      </w:r>
      <w:r>
        <w:rPr>
          <w:rFonts w:ascii="Times New Roman" w:eastAsia="Times New Roman" w:hAnsi="Times New Roman" w:cs="Times New Roman"/>
          <w:sz w:val="20"/>
          <w:szCs w:val="20"/>
        </w:rPr>
        <w:fldChar w:fldCharType="end"/>
      </w:r>
      <w:r w:rsidRPr="00E419CF">
        <w:rPr>
          <w:rFonts w:ascii="Times New Roman" w:eastAsia="Times New Roman" w:hAnsi="Times New Roman" w:cs="Times New Roman"/>
          <w:sz w:val="20"/>
          <w:szCs w:val="20"/>
        </w:rPr>
        <w:t xml:space="preserve">. </w:t>
      </w:r>
    </w:p>
    <w:p w14:paraId="7693F096" w14:textId="77777777" w:rsidR="00D573B8" w:rsidRPr="00E419CF" w:rsidRDefault="00D573B8" w:rsidP="00D573B8">
      <w:pPr>
        <w:spacing w:after="0" w:line="240" w:lineRule="auto"/>
        <w:jc w:val="both"/>
        <w:rPr>
          <w:rFonts w:ascii="Times New Roman" w:eastAsia="Times New Roman" w:hAnsi="Times New Roman" w:cs="Times New Roman"/>
          <w:sz w:val="20"/>
          <w:szCs w:val="20"/>
        </w:rPr>
      </w:pPr>
    </w:p>
    <w:p w14:paraId="248193FE" w14:textId="6832573C" w:rsidR="00D573B8" w:rsidRPr="001310CB" w:rsidRDefault="00D573B8" w:rsidP="00D573B8">
      <w:pPr>
        <w:pStyle w:val="Corpsdetexte"/>
        <w:rPr>
          <w:i/>
          <w:iCs/>
        </w:rPr>
      </w:pPr>
      <w:bookmarkStart w:id="7" w:name="_Toc126332679"/>
      <w:bookmarkStart w:id="8" w:name="_Hlk126576876"/>
      <w:r w:rsidRPr="001310CB">
        <w:rPr>
          <w:i/>
          <w:iCs/>
        </w:rPr>
        <w:t>Respiratory and allergic outcomes</w:t>
      </w:r>
      <w:bookmarkEnd w:id="7"/>
      <w:r w:rsidRPr="001310CB">
        <w:rPr>
          <w:i/>
          <w:iCs/>
        </w:rPr>
        <w:t xml:space="preserve"> </w:t>
      </w:r>
      <w:r>
        <w:rPr>
          <w:i/>
          <w:iCs/>
        </w:rPr>
        <w:fldChar w:fldCharType="begin"/>
      </w:r>
      <w:r w:rsidR="00DD0DC1">
        <w:rPr>
          <w:i/>
          <w:iCs/>
        </w:rPr>
        <w:instrText xml:space="preserve"> ADDIN ZOTERO_ITEM CSL_CITATION {"citationID":"rWXXfwHM","properties":{"formattedCitation":"\\super 6,7\\nosupersub{}","plainCitation":"6,7","noteIndex":0},"citationItems":[{"id":109,"uris":["http://zotero.org/users/9798320/items/X9FWZY6I"],"itemData":{"id":109,"type":"article-journal","abstract":"BACKGROUND: Several single-exposure studies have documented possible effects of environmental factors on lung function, but none has relied on an exposome approach. We aimed to evaluate the association between a broad range of prenatal and postnatal lifestyle and environmental exposures and lung function in children.\nMETHODS: In this analysis, we used data from 1033 mother-child pairs from the European Human Early-Life Exposome (HELIX) cohort (consisting of six existing longitudinal birth cohorts in France, Greece, Lithuania, Norway, Spain, and the UK of children born between 2003 and 2009) for whom a valid spirometry test was recorded for the child. 85 prenatal and 125 postnatal exposures relating to outdoor, indoor, chemical, and lifestyle factors were assessed, and lung function was measured by spirometry in children at age 6-12 years. Two agnostic linear regression methods, a deletion-substitution-addition (DSA) algorithm considering all exposures simultaneously, and an exposome-wide association study (ExWAS) considering exposures independently, were applied to test the association with forced expiratory volume in 1 s percent predicted values (FEV1%). We tested for two-way interaction between exposures and corrected for confounding by co-exposures.\nFINDINGS: In the 1033 children (median age 8·1 years, IQR 6·5-9·0), mean FEV1% was 98·8% (SD 13·2). In the ExWAS, prenatal perfluorononanoate (p=0·034) and perfluorooctanoate (p=0·030) exposures were associated with lower FEV1%, and inverse distance to nearest road during pregnancy (p=0·030) was associated with higher FEV1%. Nine postnatal exposures were associated with lower FEV1%: copper (p=0·041), ethyl-paraben (p=0·029), five phthalate metabolites (mono-2-ethyl 5-carboxypentyl phthalate [p=0·016], mono-2-ethyl-5-hydroxyhexyl phthalate [p=0·023], mono-2-ethyl-5-oxohexyl phthalate [p=0·0085], mono-4-methyl-7-oxooctyl phthalate [p=0·040], and the sum of di-ethylhexyl phthalate metabolites [p=0·014]), house crowding (p=0·015), and facility density around schools (p=0·027). However, no exposure passed the significance threshold when corrected for multiple testing in ExWAS, and none was selected with the DSA algorithm, including when testing for exposure interactions.\nINTERPRETATION: Our systematic exposome approach identified several environmental exposures, mainly chemicals, that might be associated with lung function. Reducing exposure to these ubiquitous chemicals could help to prevent the development of chronic respiratory disease.\nFUNDING: European Community's Seventh Framework Programme (HELIX project).","container-title":"The Lancet. Planetary Health","DOI":"10.1016/S2542-5196(19)30010-5","ISSN":"2542-5196","issue":"2","journalAbbreviation":"Lancet Planet Health","language":"eng","note":"PMID: 30737192","page":"e81-e92","source":"PubMed","title":"Early-life exposome and lung function in children in Europe: an analysis of data from the longitudinal, population-based HELIX cohort","title-short":"Early-life exposome and lung function in children in Europe","volume":"3","author":[{"family":"Agier","given":"Lydiane"},{"family":"Basagaña","given":"Xavier"},{"family":"Maitre","given":"Lea"},{"family":"Granum","given":"Berit"},{"family":"Bird","given":"Philippa K."},{"family":"Casas","given":"Maribel"},{"family":"Oftedal","given":"Bente"},{"family":"Wright","given":"John"},{"family":"Andrusaityte","given":"Sandra"},{"family":"Castro","given":"Montserrat","non-dropping-particle":"de"},{"family":"Cequier","given":"Enrique"},{"family":"Chatzi","given":"Leda"},{"family":"Donaire-Gonzalez","given":"David"},{"family":"Grazuleviciene","given":"Regina"},{"family":"Haug","given":"Line S."},{"family":"Sakhi","given":"Amrit K."},{"family":"Leventakou","given":"Vasiliki"},{"family":"McEachan","given":"Rosemary"},{"family":"Nieuwenhuijsen","given":"Mark"},{"family":"Petraviciene","given":"Inga"},{"family":"Robinson","given":"Oliver"},{"family":"Roumeliotaki","given":"Theano"},{"family":"Sunyer","given":"Jordi"},{"family":"Tamayo-Uria","given":"Ibon"},{"family":"Thomsen","given":"Cathrine"},{"family":"Urquiza","given":"Jose"},{"family":"Valentin","given":"Antonia"},{"family":"Slama","given":"Rémy"},{"family":"Vrijheid","given":"Martine"},{"family":"Siroux","given":"Valérie"}],"issued":{"date-parts":[["2019",2]]}}},{"id":98,"uris":["http://zotero.org/users/9798320/items/QJPQYAYU"],"itemData":{"id":98,"type":"article-journal","abstract":"INTRODUCTION: Early onset and high prevalence of allergic diseases result in high individual and socio-economic burdens. Several studies provide evidence for possible effects of environmental factors on allergic diseases, but these are mainly single-exposure studies. The exposome provides a novel holistic approach by simultaneously studying a large set of exposures. The aim of the study was to evaluate the association between a broad range of prenatal and childhood environmental exposures and allergy-related outcomes in children.\nMATERIAL AND METHODS: Analyses of associations between 90 prenatal and 107 childhood exposures and allergy-related outcomes (last 12 months: rhinitis and itchy rash; ever: doctor-diagnosed eczema and food allergy) in 6-11 years old children (n = 1270) from the European Human Early-Life Exposome cohort were performed. Initially, we used an exposome-wide association study (ExWAS) considering the exposures independently, followed by a deletion-substitution-addition selection (DSA) algorithm considering all exposures simultaneously. All the exposure variables selected in the DSA were included in a final multi-exposure model using binomial general linear model (GLM).\nRESULTS: In ExWAS, no exposures were associated with the outcomes after correction for multiple comparison. In multi-exposure models for prenatal exposures, lower distance of residence to nearest road and higher di-iso-nonyl phthalate level were associated with increased risk of rhinitis, and particulate matter absorbance (PMabs) was associated with a decreased risk. Furthermore, traffic density on nearest road was associated with increased risk of itchy rash and diethyl phthalate with a reduced risk. DSA selected no associations of childhood exposures, or between prenatal exposures and eczema or food allergy.\nDISCUSSION: This first comprehensive and systematic analysis of many environmental exposures suggests that prenatal exposure to traffic-related variables, PMabs and phthalates are associated with rhinitis and itchy rash.","container-title":"Environment International","DOI":"10.1016/j.envint.2020.106038","ISSN":"1873-6750","journalAbbreviation":"Environ Int","language":"eng","note":"PMID: 32854059\nPMCID: PMC8768577","page":"106038","source":"PubMed","title":"Multiple environmental exposures in early-life and allergy-related outcomes in childhood","volume":"144","author":[{"family":"Granum","given":"Berit"},{"family":"Oftedal","given":"Bente"},{"family":"Agier","given":"Lydiane"},{"family":"Siroux","given":"Valerie"},{"family":"Bird","given":"Philippa"},{"family":"Casas","given":"Maribel"},{"family":"Warembourg","given":"Charline"},{"family":"Wright","given":"John"},{"family":"Chatzi","given":"Leda"},{"family":"Castro","given":"Montserrat","non-dropping-particle":"de"},{"family":"Donaire","given":"David"},{"family":"Grazuleviciene","given":"Regina"},{"family":"Småstuen Haug","given":"Line"},{"family":"Maitre","given":"Lea"},{"family":"Robinson","given":"Oliver"},{"family":"Tamayo-Uria","given":"Ibon"},{"family":"Urquiza","given":"Jose"},{"family":"Nieuwenhuijsen","given":"Mark"},{"family":"Slama","given":"Remy"},{"family":"Thomsen","given":"Cathrine"},{"family":"Vrijheid","given":"Martine"}],"issued":{"date-parts":[["2020",11]]}}}],"schema":"https://github.com/citation-style-language/schema/raw/master/csl-citation.json"} </w:instrText>
      </w:r>
      <w:r>
        <w:rPr>
          <w:i/>
          <w:iCs/>
        </w:rPr>
        <w:fldChar w:fldCharType="separate"/>
      </w:r>
      <w:r w:rsidR="00DD0DC1" w:rsidRPr="00DD0DC1">
        <w:rPr>
          <w:szCs w:val="24"/>
          <w:vertAlign w:val="superscript"/>
        </w:rPr>
        <w:t>6,7</w:t>
      </w:r>
      <w:r>
        <w:rPr>
          <w:i/>
          <w:iCs/>
        </w:rPr>
        <w:fldChar w:fldCharType="end"/>
      </w:r>
    </w:p>
    <w:bookmarkEnd w:id="8"/>
    <w:p w14:paraId="1A174786" w14:textId="77777777" w:rsidR="00D573B8" w:rsidRPr="006E17E9" w:rsidRDefault="00D573B8" w:rsidP="00D573B8">
      <w:pPr>
        <w:spacing w:after="0" w:line="240" w:lineRule="auto"/>
        <w:jc w:val="both"/>
        <w:rPr>
          <w:rFonts w:ascii="Times New Roman" w:eastAsia="Times New Roman" w:hAnsi="Times New Roman" w:cs="Times New Roman"/>
          <w:sz w:val="20"/>
          <w:szCs w:val="20"/>
        </w:rPr>
      </w:pPr>
      <w:r w:rsidRPr="00980219">
        <w:rPr>
          <w:rFonts w:ascii="Times New Roman" w:eastAsia="Times New Roman" w:hAnsi="Times New Roman" w:cs="Times New Roman"/>
          <w:sz w:val="20"/>
          <w:szCs w:val="20"/>
        </w:rPr>
        <w:t>Lung function was measured by a spirometry test (</w:t>
      </w:r>
      <w:proofErr w:type="spellStart"/>
      <w:r w:rsidRPr="00980219">
        <w:rPr>
          <w:rFonts w:ascii="Times New Roman" w:eastAsia="Times New Roman" w:hAnsi="Times New Roman" w:cs="Times New Roman"/>
          <w:sz w:val="20"/>
          <w:szCs w:val="20"/>
        </w:rPr>
        <w:t>EasyOne</w:t>
      </w:r>
      <w:proofErr w:type="spellEnd"/>
      <w:r w:rsidRPr="00980219">
        <w:rPr>
          <w:rFonts w:ascii="Times New Roman" w:eastAsia="Times New Roman" w:hAnsi="Times New Roman" w:cs="Times New Roman"/>
          <w:sz w:val="20"/>
          <w:szCs w:val="20"/>
        </w:rPr>
        <w:t xml:space="preserve"> spirometer; NDD [New Diagnostic Design], Zurich, Switzerland), by trained research technicians using a standardised protocol. The child, sitting straight and equipped with a nose clip, was asked to perform at</w:t>
      </w:r>
      <w:r>
        <w:rPr>
          <w:rFonts w:ascii="Times New Roman" w:eastAsia="Times New Roman" w:hAnsi="Times New Roman" w:cs="Times New Roman"/>
          <w:sz w:val="20"/>
          <w:szCs w:val="20"/>
        </w:rPr>
        <w:t xml:space="preserve"> l</w:t>
      </w:r>
      <w:r w:rsidRPr="00980219">
        <w:rPr>
          <w:rFonts w:ascii="Times New Roman" w:eastAsia="Times New Roman" w:hAnsi="Times New Roman" w:cs="Times New Roman"/>
          <w:sz w:val="20"/>
          <w:szCs w:val="20"/>
        </w:rPr>
        <w:t xml:space="preserve">east six manoeuvres (if possible). Data from unacceptable manoeuvres as a result of errors, including hesitation or false starts, cough, variable efforts, glottis closure, early termination, and leaks, were not retained by the technicians. The protocol required that at least three acceptable manoeuvres were obtained, and that they were reproducible, defined as a difference of less than 200 mL between the two highest values for forced vital capacity (FVC) and </w:t>
      </w:r>
      <w:r w:rsidRPr="00E419CF">
        <w:rPr>
          <w:rFonts w:ascii="Times New Roman" w:eastAsia="Times New Roman" w:hAnsi="Times New Roman" w:cs="Times New Roman"/>
          <w:sz w:val="20"/>
          <w:szCs w:val="20"/>
        </w:rPr>
        <w:t xml:space="preserve">Forced Expiratory Volume in one second </w:t>
      </w:r>
      <w:r>
        <w:rPr>
          <w:rFonts w:ascii="Times New Roman" w:eastAsia="Times New Roman" w:hAnsi="Times New Roman" w:cs="Times New Roman"/>
          <w:sz w:val="20"/>
          <w:szCs w:val="20"/>
        </w:rPr>
        <w:t>(</w:t>
      </w:r>
      <w:r w:rsidRPr="00980219">
        <w:rPr>
          <w:rFonts w:ascii="Times New Roman" w:eastAsia="Times New Roman" w:hAnsi="Times New Roman" w:cs="Times New Roman"/>
          <w:sz w:val="20"/>
          <w:szCs w:val="20"/>
        </w:rPr>
        <w:t>FEV₁</w:t>
      </w:r>
      <w:r>
        <w:rPr>
          <w:rFonts w:ascii="Times New Roman" w:eastAsia="Times New Roman" w:hAnsi="Times New Roman" w:cs="Times New Roman"/>
          <w:sz w:val="20"/>
          <w:szCs w:val="20"/>
        </w:rPr>
        <w:t>)</w:t>
      </w:r>
      <w:r w:rsidRPr="00980219">
        <w:rPr>
          <w:rFonts w:ascii="Times New Roman" w:eastAsia="Times New Roman" w:hAnsi="Times New Roman" w:cs="Times New Roman"/>
          <w:sz w:val="20"/>
          <w:szCs w:val="20"/>
        </w:rPr>
        <w:t xml:space="preserve"> taken from the acceptable manoeuvres.</w:t>
      </w:r>
      <w:r>
        <w:rPr>
          <w:rFonts w:ascii="Times New Roman" w:eastAsia="Times New Roman" w:hAnsi="Times New Roman" w:cs="Times New Roman"/>
          <w:sz w:val="20"/>
          <w:szCs w:val="20"/>
        </w:rPr>
        <w:t xml:space="preserve"> </w:t>
      </w:r>
      <w:r w:rsidRPr="006E17E9">
        <w:rPr>
          <w:rFonts w:ascii="Times New Roman" w:eastAsia="Times New Roman" w:hAnsi="Times New Roman" w:cs="Times New Roman"/>
          <w:sz w:val="20"/>
          <w:szCs w:val="20"/>
        </w:rPr>
        <w:t>We then applied the following validation criteria on the spirometer curves retained by the technicians. We defined a manoeuvre as acceptable if there was no hesitation or false start (defined as a ratio of backward extrapolated volume [BEV] to FVC of &lt;5% or a BEV of &lt;100 mL if FVC was &lt;1000 mL) and if the forced expiratory time was in an acceptable range (&gt;1·5 s and &lt;10 s). The two highest values for FEV₁ taken from acceptable forced expiratory manoeuvres could not vary by more than 150 mL or by more than 5% from the second FEV₁. To address the efficiency of the FEV₁ data cleaning, the 243 examinations from the INMA cohort (185 of which were included in the HELIX study) were further investigated by trained investigators who looked at the shape of the curves; for 192 (79%) of the 243 examinations, the same curve was selected, and for the remaining 51 (21%), the Pearson correlation between the FEV₁ of the two different curves was 0·96. We used the reference equations estimated by the Global Lung Initiative22 for computing the FEV₁ percent predicted values (</w:t>
      </w:r>
      <w:proofErr w:type="spellStart"/>
      <w:r w:rsidRPr="006E17E9">
        <w:rPr>
          <w:rFonts w:ascii="Times New Roman" w:eastAsia="Times New Roman" w:hAnsi="Times New Roman" w:cs="Times New Roman"/>
          <w:sz w:val="20"/>
          <w:szCs w:val="20"/>
        </w:rPr>
        <w:t>ie</w:t>
      </w:r>
      <w:proofErr w:type="spellEnd"/>
      <w:r w:rsidRPr="006E17E9">
        <w:rPr>
          <w:rFonts w:ascii="Times New Roman" w:eastAsia="Times New Roman" w:hAnsi="Times New Roman" w:cs="Times New Roman"/>
          <w:sz w:val="20"/>
          <w:szCs w:val="20"/>
        </w:rPr>
        <w:t>, values standardised by age, height, sex, and ethnicity of the patient) and FEV₁ Z scores. After excluding extreme values (</w:t>
      </w:r>
      <w:proofErr w:type="spellStart"/>
      <w:r w:rsidRPr="006E17E9">
        <w:rPr>
          <w:rFonts w:ascii="Times New Roman" w:eastAsia="Times New Roman" w:hAnsi="Times New Roman" w:cs="Times New Roman"/>
          <w:sz w:val="20"/>
          <w:szCs w:val="20"/>
        </w:rPr>
        <w:t>ie</w:t>
      </w:r>
      <w:proofErr w:type="spellEnd"/>
      <w:r w:rsidRPr="006E17E9">
        <w:rPr>
          <w:rFonts w:ascii="Times New Roman" w:eastAsia="Times New Roman" w:hAnsi="Times New Roman" w:cs="Times New Roman"/>
          <w:sz w:val="20"/>
          <w:szCs w:val="20"/>
        </w:rPr>
        <w:t>, FEV₁ &lt;60% or &gt;140%, which were probably due to measurement error in our young population), we selected the greatest FEV₁ value at an individual level among all accepted curves, hereafter referred to as FEV₁%.</w:t>
      </w:r>
      <w:r>
        <w:rPr>
          <w:rFonts w:ascii="Times New Roman" w:eastAsia="Times New Roman" w:hAnsi="Times New Roman" w:cs="Times New Roman"/>
          <w:sz w:val="20"/>
          <w:szCs w:val="20"/>
        </w:rPr>
        <w:t xml:space="preserve"> For this analysis, we used </w:t>
      </w:r>
      <w:r w:rsidRPr="006E17E9">
        <w:rPr>
          <w:rFonts w:ascii="Times New Roman" w:eastAsia="Times New Roman" w:hAnsi="Times New Roman" w:cs="Times New Roman"/>
          <w:sz w:val="20"/>
          <w:szCs w:val="20"/>
        </w:rPr>
        <w:t>FEV₁%.</w:t>
      </w:r>
      <w:r>
        <w:rPr>
          <w:rFonts w:ascii="Times New Roman" w:eastAsia="Times New Roman" w:hAnsi="Times New Roman" w:cs="Times New Roman"/>
          <w:sz w:val="20"/>
          <w:szCs w:val="20"/>
        </w:rPr>
        <w:t xml:space="preserve"> as our main measure of the lung function.</w:t>
      </w:r>
    </w:p>
    <w:p w14:paraId="0A1FA7C4" w14:textId="77777777" w:rsidR="00D573B8" w:rsidRPr="006E17E9" w:rsidRDefault="00D573B8" w:rsidP="00D573B8">
      <w:pPr>
        <w:spacing w:after="0" w:line="240" w:lineRule="auto"/>
        <w:jc w:val="both"/>
        <w:rPr>
          <w:rFonts w:ascii="Times New Roman" w:eastAsia="Times New Roman" w:hAnsi="Times New Roman" w:cs="Times New Roman"/>
          <w:sz w:val="20"/>
          <w:szCs w:val="20"/>
          <w:lang w:val="en-US"/>
        </w:rPr>
      </w:pPr>
    </w:p>
    <w:p w14:paraId="7B73B3A3" w14:textId="16830EB7" w:rsidR="00D573B8" w:rsidRDefault="00D573B8" w:rsidP="00D573B8">
      <w:pPr>
        <w:spacing w:after="0" w:line="240" w:lineRule="auto"/>
        <w:jc w:val="both"/>
        <w:rPr>
          <w:rFonts w:ascii="Times New Roman" w:eastAsia="Times New Roman" w:hAnsi="Times New Roman" w:cs="Times New Roman"/>
          <w:sz w:val="20"/>
          <w:szCs w:val="20"/>
          <w:lang w:val="en-US"/>
        </w:rPr>
      </w:pPr>
      <w:r w:rsidRPr="00D47752">
        <w:rPr>
          <w:rFonts w:ascii="Times New Roman" w:eastAsia="Times New Roman" w:hAnsi="Times New Roman" w:cs="Times New Roman"/>
          <w:sz w:val="20"/>
          <w:szCs w:val="20"/>
          <w:lang w:val="en-US"/>
        </w:rPr>
        <w:t xml:space="preserve">Information on the </w:t>
      </w:r>
      <w:r>
        <w:rPr>
          <w:rFonts w:ascii="Times New Roman" w:eastAsia="Times New Roman" w:hAnsi="Times New Roman" w:cs="Times New Roman"/>
          <w:sz w:val="20"/>
          <w:szCs w:val="20"/>
          <w:lang w:val="en-US"/>
        </w:rPr>
        <w:t xml:space="preserve">asthma and </w:t>
      </w:r>
      <w:r w:rsidRPr="00D47752">
        <w:rPr>
          <w:rFonts w:ascii="Times New Roman" w:eastAsia="Times New Roman" w:hAnsi="Times New Roman" w:cs="Times New Roman"/>
          <w:sz w:val="20"/>
          <w:szCs w:val="20"/>
          <w:lang w:val="en-US"/>
        </w:rPr>
        <w:t xml:space="preserve">allergy-related outcomes were obtained through questions adapted from the International Study on Asthma and Allergy in Childhood (ISAAC) </w:t>
      </w:r>
      <w:r w:rsidRPr="00E419CF">
        <w:rPr>
          <w:rFonts w:ascii="Times New Roman" w:eastAsia="Times New Roman" w:hAnsi="Times New Roman" w:cs="Times New Roman"/>
          <w:sz w:val="20"/>
          <w:szCs w:val="20"/>
        </w:rPr>
        <w:fldChar w:fldCharType="begin"/>
      </w:r>
      <w:r w:rsidR="00DD0DC1">
        <w:rPr>
          <w:rFonts w:ascii="Times New Roman" w:eastAsia="Times New Roman" w:hAnsi="Times New Roman" w:cs="Times New Roman"/>
          <w:sz w:val="20"/>
          <w:szCs w:val="20"/>
          <w:lang w:val="en-US"/>
        </w:rPr>
        <w:instrText xml:space="preserve"> ADDIN ZOTERO_ITEM CSL_CITATION {"citationID":"I7jhAlir","properties":{"formattedCitation":"\\super 8\\nosupersub{}","plainCitation":"8","noteIndex":0},"citationItems":[{"id":243,"uris":["http://zotero.org/users/9798320/items/GQMST5Y2"],"itemData":{"id":243,"type":"article-journal","abstract":"The aetiology of asthma and allergic disease remains poorly understood, despite considerable research. The International Study of Asthma and Allergies in Childhood (ISAAC), was founded to maximize the value of epidemiological research into asthma and allergic disease, by establishing a standardized methodology and facilitating international collaboration. Its specific aims are: 1) to describe the prevalence and severity of asthma, rhinitis and eczema in children living in different centres, and to make comparisons within and between countries; 2) to obtain baseline measures for assessment of future trends in the prevalence and severity of these diseases; and 3) to provide a framework for further aetiological research into genetic, lifestyle, environmental, and medical care factors affecting these diseases. The ISAAC design comprises three phases. Phase 1 uses core questionnaires designed to assess the prevalence and severity of asthma and allergic disease in defined populations. Phase 2 will investigate possible aetiological factors, particularly those suggested by the findings of Phase 1. Phase 3 will be a repetition of Phase 1 to assess trends in prevalence.","container-title":"The European Respiratory Journal","DOI":"10.1183/09031936.95.08030483","ISSN":"0903-1936","issue":"3","journalAbbreviation":"Eur Respir J","language":"eng","note":"PMID: 7789502","page":"483-491","source":"PubMed","title":"International Study of Asthma and Allergies in Childhood (ISAAC): rationale and methods","title-short":"International Study of Asthma and Allergies in Childhood (ISAAC)","volume":"8","author":[{"family":"Asher","given":"M. I."},{"family":"Keil","given":"U."},{"family":"Anderson","given":"H. R."},{"family":"Beasley","given":"R."},{"family":"Crane","given":"J."},{"family":"Martinez","given":"F."},{"family":"Mitchell","given":"E. A."},{"family":"Pearce","given":"N."},{"family":"Sibbald","given":"B."},{"family":"Stewart","given":"A. W."}],"issued":{"date-parts":[["1995",3]]}}}],"schema":"https://github.com/citation-style-language/schema/raw/master/csl-citation.json"} </w:instrText>
      </w:r>
      <w:r w:rsidRPr="00E419CF">
        <w:rPr>
          <w:rFonts w:ascii="Times New Roman" w:eastAsia="Times New Roman" w:hAnsi="Times New Roman" w:cs="Times New Roman"/>
          <w:sz w:val="20"/>
          <w:szCs w:val="20"/>
        </w:rPr>
        <w:fldChar w:fldCharType="separate"/>
      </w:r>
      <w:r w:rsidR="00DD0DC1" w:rsidRPr="00DD0DC1">
        <w:rPr>
          <w:rFonts w:ascii="Times New Roman" w:hAnsi="Times New Roman" w:cs="Times New Roman"/>
          <w:sz w:val="20"/>
          <w:szCs w:val="24"/>
          <w:vertAlign w:val="superscript"/>
        </w:rPr>
        <w:t>8</w:t>
      </w:r>
      <w:r w:rsidRPr="00E419CF">
        <w:rPr>
          <w:rFonts w:ascii="Times New Roman" w:eastAsia="Times New Roman" w:hAnsi="Times New Roman" w:cs="Times New Roman"/>
          <w:sz w:val="20"/>
          <w:szCs w:val="20"/>
        </w:rPr>
        <w:fldChar w:fldCharType="end"/>
      </w:r>
      <w:r w:rsidRPr="00E419CF">
        <w:rPr>
          <w:rFonts w:ascii="Times New Roman" w:eastAsia="Times New Roman" w:hAnsi="Times New Roman" w:cs="Times New Roman"/>
          <w:sz w:val="20"/>
          <w:szCs w:val="20"/>
        </w:rPr>
        <w:t xml:space="preserve"> </w:t>
      </w:r>
      <w:r w:rsidRPr="00D47752">
        <w:rPr>
          <w:rFonts w:ascii="Times New Roman" w:eastAsia="Times New Roman" w:hAnsi="Times New Roman" w:cs="Times New Roman"/>
          <w:sz w:val="20"/>
          <w:szCs w:val="20"/>
          <w:lang w:val="en-US"/>
        </w:rPr>
        <w:t>during the interview with the mother at the follow-up examination</w:t>
      </w:r>
      <w:r>
        <w:rPr>
          <w:rFonts w:ascii="Times New Roman" w:eastAsia="Times New Roman" w:hAnsi="Times New Roman" w:cs="Times New Roman"/>
          <w:sz w:val="20"/>
          <w:szCs w:val="20"/>
          <w:lang w:val="en-US"/>
        </w:rPr>
        <w:t xml:space="preserve">. </w:t>
      </w:r>
      <w:r w:rsidRPr="00D47752">
        <w:rPr>
          <w:rFonts w:ascii="Times New Roman" w:eastAsia="Times New Roman" w:hAnsi="Times New Roman" w:cs="Times New Roman"/>
          <w:sz w:val="20"/>
          <w:szCs w:val="20"/>
          <w:lang w:val="en-US"/>
        </w:rPr>
        <w:t xml:space="preserve">“Has your child ever been diagnosed by a doctor as having </w:t>
      </w:r>
      <w:r>
        <w:rPr>
          <w:rFonts w:ascii="Times New Roman" w:eastAsia="Times New Roman" w:hAnsi="Times New Roman" w:cs="Times New Roman"/>
          <w:sz w:val="20"/>
          <w:szCs w:val="20"/>
          <w:lang w:val="en-US"/>
        </w:rPr>
        <w:t>asthma</w:t>
      </w:r>
      <w:r w:rsidRPr="00D47752">
        <w:rPr>
          <w:rFonts w:ascii="Times New Roman" w:eastAsia="Times New Roman" w:hAnsi="Times New Roman" w:cs="Times New Roman"/>
          <w:sz w:val="20"/>
          <w:szCs w:val="20"/>
          <w:lang w:val="en-US"/>
        </w:rPr>
        <w:t>?”</w:t>
      </w:r>
      <w:r>
        <w:rPr>
          <w:rFonts w:ascii="Times New Roman" w:eastAsia="Times New Roman" w:hAnsi="Times New Roman" w:cs="Times New Roman"/>
          <w:sz w:val="20"/>
          <w:szCs w:val="20"/>
          <w:lang w:val="en-US"/>
        </w:rPr>
        <w:t xml:space="preserve"> (</w:t>
      </w:r>
      <w:proofErr w:type="gramStart"/>
      <w:r>
        <w:rPr>
          <w:rFonts w:ascii="Times New Roman" w:eastAsia="Times New Roman" w:hAnsi="Times New Roman" w:cs="Times New Roman"/>
          <w:sz w:val="20"/>
          <w:szCs w:val="20"/>
          <w:lang w:val="en-US"/>
        </w:rPr>
        <w:t>hereafter</w:t>
      </w:r>
      <w:proofErr w:type="gramEnd"/>
      <w:r>
        <w:rPr>
          <w:rFonts w:ascii="Times New Roman" w:eastAsia="Times New Roman" w:hAnsi="Times New Roman" w:cs="Times New Roman"/>
          <w:sz w:val="20"/>
          <w:szCs w:val="20"/>
          <w:lang w:val="en-US"/>
        </w:rPr>
        <w:t xml:space="preserve"> called asthma); </w:t>
      </w:r>
      <w:r w:rsidRPr="00D47752">
        <w:rPr>
          <w:rFonts w:ascii="Times New Roman" w:eastAsia="Times New Roman" w:hAnsi="Times New Roman" w:cs="Times New Roman"/>
          <w:sz w:val="20"/>
          <w:szCs w:val="20"/>
          <w:lang w:val="en-US"/>
        </w:rPr>
        <w:t>“Has your child ever been diagnosed by a doctor as having eczema or atopic dermatitis or neurodermatitis?” (</w:t>
      </w:r>
      <w:proofErr w:type="gramStart"/>
      <w:r w:rsidRPr="00D47752">
        <w:rPr>
          <w:rFonts w:ascii="Times New Roman" w:eastAsia="Times New Roman" w:hAnsi="Times New Roman" w:cs="Times New Roman"/>
          <w:sz w:val="20"/>
          <w:szCs w:val="20"/>
          <w:lang w:val="en-US"/>
        </w:rPr>
        <w:t>hereafter</w:t>
      </w:r>
      <w:proofErr w:type="gramEnd"/>
      <w:r w:rsidRPr="00D47752">
        <w:rPr>
          <w:rFonts w:ascii="Times New Roman" w:eastAsia="Times New Roman" w:hAnsi="Times New Roman" w:cs="Times New Roman"/>
          <w:sz w:val="20"/>
          <w:szCs w:val="20"/>
          <w:lang w:val="en-US"/>
        </w:rPr>
        <w:t xml:space="preserve"> called eczema); “Has your child ever had an allergic reaction to food, diagnosed by a doctor?” (</w:t>
      </w:r>
      <w:proofErr w:type="gramStart"/>
      <w:r w:rsidRPr="00D47752">
        <w:rPr>
          <w:rFonts w:ascii="Times New Roman" w:eastAsia="Times New Roman" w:hAnsi="Times New Roman" w:cs="Times New Roman"/>
          <w:sz w:val="20"/>
          <w:szCs w:val="20"/>
          <w:lang w:val="en-US"/>
        </w:rPr>
        <w:t>hereafter</w:t>
      </w:r>
      <w:proofErr w:type="gramEnd"/>
      <w:r w:rsidRPr="00D47752">
        <w:rPr>
          <w:rFonts w:ascii="Times New Roman" w:eastAsia="Times New Roman" w:hAnsi="Times New Roman" w:cs="Times New Roman"/>
          <w:sz w:val="20"/>
          <w:szCs w:val="20"/>
          <w:lang w:val="en-US"/>
        </w:rPr>
        <w:t xml:space="preserve"> called food allergy)</w:t>
      </w:r>
      <w:r>
        <w:rPr>
          <w:rFonts w:ascii="Times New Roman" w:eastAsia="Times New Roman" w:hAnsi="Times New Roman" w:cs="Times New Roman"/>
          <w:sz w:val="20"/>
          <w:szCs w:val="20"/>
          <w:lang w:val="en-US"/>
        </w:rPr>
        <w:t xml:space="preserve">; </w:t>
      </w:r>
      <w:r w:rsidRPr="00D47752">
        <w:rPr>
          <w:rFonts w:ascii="Times New Roman" w:eastAsia="Times New Roman" w:hAnsi="Times New Roman" w:cs="Times New Roman"/>
          <w:sz w:val="20"/>
          <w:szCs w:val="20"/>
          <w:lang w:val="en-US"/>
        </w:rPr>
        <w:t>“In the last year, has your child had problems with sneezing, or a runny, or blocked nose when he/she did not have a cold or the flu?” (</w:t>
      </w:r>
      <w:proofErr w:type="gramStart"/>
      <w:r w:rsidRPr="00D47752">
        <w:rPr>
          <w:rFonts w:ascii="Times New Roman" w:eastAsia="Times New Roman" w:hAnsi="Times New Roman" w:cs="Times New Roman"/>
          <w:sz w:val="20"/>
          <w:szCs w:val="20"/>
          <w:lang w:val="en-US"/>
        </w:rPr>
        <w:t>hereafter</w:t>
      </w:r>
      <w:proofErr w:type="gramEnd"/>
      <w:r w:rsidRPr="00D47752">
        <w:rPr>
          <w:rFonts w:ascii="Times New Roman" w:eastAsia="Times New Roman" w:hAnsi="Times New Roman" w:cs="Times New Roman"/>
          <w:sz w:val="20"/>
          <w:szCs w:val="20"/>
          <w:lang w:val="en-US"/>
        </w:rPr>
        <w:t xml:space="preserve"> called rhinitis)</w:t>
      </w:r>
      <w:r>
        <w:rPr>
          <w:rFonts w:ascii="Times New Roman" w:eastAsia="Times New Roman" w:hAnsi="Times New Roman" w:cs="Times New Roman"/>
          <w:sz w:val="20"/>
          <w:szCs w:val="20"/>
          <w:lang w:val="en-US"/>
        </w:rPr>
        <w:t>.</w:t>
      </w:r>
      <w:bookmarkStart w:id="9" w:name="_Toc126332680"/>
      <w:bookmarkStart w:id="10" w:name="_Hlk126576890"/>
    </w:p>
    <w:p w14:paraId="20BF5F37" w14:textId="77777777" w:rsidR="00D573B8" w:rsidRPr="00D77749" w:rsidRDefault="00D573B8" w:rsidP="00D573B8">
      <w:pPr>
        <w:spacing w:after="0" w:line="240" w:lineRule="auto"/>
        <w:jc w:val="both"/>
        <w:rPr>
          <w:rFonts w:ascii="Times New Roman" w:eastAsia="Times New Roman" w:hAnsi="Times New Roman" w:cs="Times New Roman"/>
          <w:sz w:val="20"/>
          <w:szCs w:val="20"/>
          <w:lang w:val="en-US"/>
        </w:rPr>
      </w:pPr>
    </w:p>
    <w:p w14:paraId="68B48324" w14:textId="77777777" w:rsidR="00D573B8" w:rsidRPr="00D77749" w:rsidRDefault="00D573B8" w:rsidP="00D573B8">
      <w:pPr>
        <w:pStyle w:val="Corpsdetexte"/>
        <w:rPr>
          <w:i/>
          <w:iCs/>
        </w:rPr>
      </w:pPr>
      <w:r w:rsidRPr="00D77749">
        <w:rPr>
          <w:i/>
          <w:iCs/>
        </w:rPr>
        <w:t>Mental outcomes</w:t>
      </w:r>
      <w:bookmarkEnd w:id="9"/>
    </w:p>
    <w:bookmarkEnd w:id="10"/>
    <w:p w14:paraId="7017E4D3" w14:textId="33791B46" w:rsidR="00D573B8" w:rsidRDefault="00D573B8" w:rsidP="00D573B8">
      <w:pPr>
        <w:spacing w:after="0" w:line="240" w:lineRule="auto"/>
        <w:contextualSpacing/>
        <w:jc w:val="both"/>
        <w:rPr>
          <w:rFonts w:ascii="Times New Roman" w:eastAsia="Times New Roman" w:hAnsi="Times New Roman" w:cs="Times New Roman"/>
          <w:sz w:val="20"/>
          <w:szCs w:val="20"/>
        </w:rPr>
      </w:pPr>
      <w:r w:rsidRPr="00260BF2">
        <w:rPr>
          <w:rFonts w:ascii="Times New Roman" w:eastAsia="Times New Roman" w:hAnsi="Times New Roman" w:cs="Times New Roman"/>
          <w:sz w:val="20"/>
          <w:szCs w:val="20"/>
        </w:rPr>
        <w:t xml:space="preserve">Trained fieldwork technicians measured </w:t>
      </w:r>
      <w:r>
        <w:rPr>
          <w:rFonts w:ascii="Times New Roman" w:eastAsia="Times New Roman" w:hAnsi="Times New Roman" w:cs="Times New Roman"/>
          <w:sz w:val="20"/>
          <w:szCs w:val="20"/>
        </w:rPr>
        <w:t>the fluid intelligence</w:t>
      </w:r>
      <w:r w:rsidRPr="00260BF2">
        <w:rPr>
          <w:rFonts w:ascii="Times New Roman" w:eastAsia="Times New Roman" w:hAnsi="Times New Roman" w:cs="Times New Roman"/>
          <w:sz w:val="20"/>
          <w:szCs w:val="20"/>
        </w:rPr>
        <w:t xml:space="preserve"> using </w:t>
      </w:r>
      <w:r w:rsidRPr="00E419CF">
        <w:rPr>
          <w:rFonts w:ascii="Times New Roman" w:eastAsia="Times New Roman" w:hAnsi="Times New Roman" w:cs="Times New Roman"/>
          <w:sz w:val="20"/>
          <w:szCs w:val="20"/>
        </w:rPr>
        <w:t>a computer-based test which is the Raven Colour Progressive Matrix</w:t>
      </w:r>
      <w:r w:rsidRPr="00E419CF">
        <w:rPr>
          <w:rFonts w:ascii="Times New Roman" w:hAnsi="Times New Roman" w:cs="Times New Roman"/>
          <w:sz w:val="20"/>
          <w:szCs w:val="20"/>
        </w:rPr>
        <w:t>™</w:t>
      </w:r>
      <w:r w:rsidRPr="00E419CF">
        <w:rPr>
          <w:rFonts w:ascii="Times New Roman" w:eastAsia="Times New Roman" w:hAnsi="Times New Roman" w:cs="Times New Roman"/>
          <w:sz w:val="20"/>
          <w:szCs w:val="20"/>
        </w:rPr>
        <w:t xml:space="preserve"> </w:t>
      </w:r>
      <w:r w:rsidRPr="00E419CF">
        <w:rPr>
          <w:rFonts w:ascii="Times New Roman" w:eastAsia="Times New Roman" w:hAnsi="Times New Roman" w:cs="Times New Roman"/>
          <w:sz w:val="20"/>
          <w:szCs w:val="20"/>
        </w:rPr>
        <w:fldChar w:fldCharType="begin"/>
      </w:r>
      <w:r w:rsidR="00DD0DC1">
        <w:rPr>
          <w:rFonts w:ascii="Times New Roman" w:eastAsia="Times New Roman" w:hAnsi="Times New Roman" w:cs="Times New Roman"/>
          <w:sz w:val="20"/>
          <w:szCs w:val="20"/>
        </w:rPr>
        <w:instrText xml:space="preserve"> ADDIN ZOTERO_ITEM CSL_CITATION {"citationID":"ZfbLDOsc","properties":{"formattedCitation":"\\super 9\\nosupersub{}","plainCitation":"9","noteIndex":0},"citationItems":[{"id":878,"uris":["http://zotero.org/users/9798320/items/RKIQ4BPV"],"itemData":{"id":878,"type":"article-journal","container-title":"Paris: Centre de Psychologie Appliquée.","title":"Progressive matrices couleur/colored progressive matrices.","author":[{"family":"Raven","given":"J. C."},{"family":"Raven","given":"J"}],"issued":{"date-parts":[["1998"]]}}}],"schema":"https://github.com/citation-style-language/schema/raw/master/csl-citation.json"} </w:instrText>
      </w:r>
      <w:r w:rsidRPr="00E419CF">
        <w:rPr>
          <w:rFonts w:ascii="Times New Roman" w:eastAsia="Times New Roman" w:hAnsi="Times New Roman" w:cs="Times New Roman"/>
          <w:sz w:val="20"/>
          <w:szCs w:val="20"/>
        </w:rPr>
        <w:fldChar w:fldCharType="separate"/>
      </w:r>
      <w:r w:rsidR="00DD0DC1" w:rsidRPr="00DD0DC1">
        <w:rPr>
          <w:rFonts w:ascii="Times New Roman" w:hAnsi="Times New Roman" w:cs="Times New Roman"/>
          <w:sz w:val="20"/>
          <w:szCs w:val="24"/>
          <w:vertAlign w:val="superscript"/>
        </w:rPr>
        <w:t>9</w:t>
      </w:r>
      <w:r w:rsidRPr="00E419CF">
        <w:rPr>
          <w:rFonts w:ascii="Times New Roman" w:eastAsia="Times New Roman" w:hAnsi="Times New Roman" w:cs="Times New Roman"/>
          <w:sz w:val="20"/>
          <w:szCs w:val="20"/>
        </w:rPr>
        <w:fldChar w:fldCharType="end"/>
      </w:r>
      <w:r>
        <w:rPr>
          <w:rFonts w:ascii="Times New Roman" w:eastAsia="Times New Roman" w:hAnsi="Times New Roman" w:cs="Times New Roman"/>
          <w:sz w:val="20"/>
          <w:szCs w:val="20"/>
        </w:rPr>
        <w:t xml:space="preserve"> (CPM)</w:t>
      </w:r>
      <w:r w:rsidRPr="00260BF2">
        <w:rPr>
          <w:rFonts w:ascii="Times New Roman" w:eastAsia="Times New Roman" w:hAnsi="Times New Roman" w:cs="Times New Roman"/>
          <w:sz w:val="20"/>
          <w:szCs w:val="20"/>
        </w:rPr>
        <w:t xml:space="preserve">. The CPM comprised a total of 36 items and we used the total </w:t>
      </w:r>
      <w:r w:rsidRPr="00260BF2">
        <w:rPr>
          <w:rFonts w:ascii="Times New Roman" w:eastAsia="Times New Roman" w:hAnsi="Times New Roman" w:cs="Times New Roman"/>
          <w:sz w:val="20"/>
          <w:szCs w:val="20"/>
        </w:rPr>
        <w:lastRenderedPageBreak/>
        <w:t>number</w:t>
      </w:r>
      <w:r>
        <w:rPr>
          <w:rFonts w:ascii="Times New Roman" w:eastAsia="Times New Roman" w:hAnsi="Times New Roman" w:cs="Times New Roman"/>
          <w:sz w:val="20"/>
          <w:szCs w:val="20"/>
        </w:rPr>
        <w:t xml:space="preserve"> </w:t>
      </w:r>
      <w:r w:rsidRPr="00260BF2">
        <w:rPr>
          <w:rFonts w:ascii="Times New Roman" w:eastAsia="Times New Roman" w:hAnsi="Times New Roman" w:cs="Times New Roman"/>
          <w:sz w:val="20"/>
          <w:szCs w:val="20"/>
        </w:rPr>
        <w:t>of correct responses as the outcome. A higher CPM scoring indicates</w:t>
      </w:r>
      <w:r>
        <w:rPr>
          <w:rFonts w:ascii="Times New Roman" w:eastAsia="Times New Roman" w:hAnsi="Times New Roman" w:cs="Times New Roman"/>
          <w:sz w:val="20"/>
          <w:szCs w:val="20"/>
        </w:rPr>
        <w:t xml:space="preserve"> </w:t>
      </w:r>
      <w:r w:rsidRPr="00260BF2">
        <w:rPr>
          <w:rFonts w:ascii="Times New Roman" w:eastAsia="Times New Roman" w:hAnsi="Times New Roman" w:cs="Times New Roman"/>
          <w:sz w:val="20"/>
          <w:szCs w:val="20"/>
        </w:rPr>
        <w:t>better fluid intelligence. Fluid intelligence is the ability to solve novel reasoning problems and depends only minimally on prior learning.</w:t>
      </w:r>
      <w:r>
        <w:rPr>
          <w:rFonts w:ascii="Times New Roman" w:eastAsia="Times New Roman" w:hAnsi="Times New Roman" w:cs="Times New Roman"/>
          <w:sz w:val="20"/>
          <w:szCs w:val="20"/>
        </w:rPr>
        <w:t xml:space="preserve"> </w:t>
      </w:r>
      <w:r w:rsidRPr="00260BF2">
        <w:rPr>
          <w:rFonts w:ascii="Times New Roman" w:eastAsia="Times New Roman" w:hAnsi="Times New Roman" w:cs="Times New Roman"/>
          <w:sz w:val="20"/>
          <w:szCs w:val="20"/>
        </w:rPr>
        <w:t>All examiners were previously trained following a standardized assessment protocol by the study expert psychologist. Furthermore, during the pilot phase, a coordinator visited each cohort site and checked for any potential error committed by the previously trained examiners</w:t>
      </w:r>
      <w:r>
        <w:rPr>
          <w:rFonts w:ascii="Times New Roman" w:eastAsia="Times New Roman" w:hAnsi="Times New Roman" w:cs="Times New Roman"/>
          <w:sz w:val="20"/>
          <w:szCs w:val="20"/>
        </w:rPr>
        <w:t>.</w:t>
      </w:r>
    </w:p>
    <w:p w14:paraId="5FB2704E" w14:textId="77777777" w:rsidR="00D573B8" w:rsidRDefault="00D573B8" w:rsidP="00D573B8">
      <w:pPr>
        <w:spacing w:after="0" w:line="240" w:lineRule="auto"/>
        <w:contextualSpacing/>
        <w:jc w:val="both"/>
        <w:rPr>
          <w:rFonts w:ascii="Times New Roman" w:eastAsia="Times New Roman" w:hAnsi="Times New Roman" w:cs="Times New Roman"/>
          <w:sz w:val="20"/>
          <w:szCs w:val="20"/>
        </w:rPr>
      </w:pPr>
    </w:p>
    <w:p w14:paraId="336D5669" w14:textId="128956DA" w:rsidR="00755B26" w:rsidRDefault="00D573B8" w:rsidP="00755B26">
      <w:pPr>
        <w:spacing w:line="240" w:lineRule="auto"/>
        <w:contextualSpacing/>
        <w:jc w:val="both"/>
        <w:rPr>
          <w:rFonts w:ascii="Times New Roman" w:eastAsia="Times New Roman" w:hAnsi="Times New Roman" w:cs="Times New Roman"/>
          <w:sz w:val="20"/>
          <w:szCs w:val="20"/>
        </w:rPr>
      </w:pPr>
      <w:r w:rsidRPr="00107A3A">
        <w:rPr>
          <w:rFonts w:ascii="Times New Roman" w:eastAsia="Times New Roman" w:hAnsi="Times New Roman" w:cs="Times New Roman"/>
          <w:sz w:val="20"/>
          <w:szCs w:val="20"/>
        </w:rPr>
        <w:t>Parents completed questionnaires related to child’s behavio</w:t>
      </w:r>
      <w:r>
        <w:rPr>
          <w:rFonts w:ascii="Times New Roman" w:eastAsia="Times New Roman" w:hAnsi="Times New Roman" w:cs="Times New Roman"/>
          <w:sz w:val="20"/>
          <w:szCs w:val="20"/>
        </w:rPr>
        <w:t>u</w:t>
      </w:r>
      <w:r w:rsidRPr="00107A3A">
        <w:rPr>
          <w:rFonts w:ascii="Times New Roman" w:eastAsia="Times New Roman" w:hAnsi="Times New Roman" w:cs="Times New Roman"/>
          <w:sz w:val="20"/>
          <w:szCs w:val="20"/>
        </w:rPr>
        <w:t>r, including the child behavio</w:t>
      </w:r>
      <w:r>
        <w:rPr>
          <w:rFonts w:ascii="Times New Roman" w:eastAsia="Times New Roman" w:hAnsi="Times New Roman" w:cs="Times New Roman"/>
          <w:sz w:val="20"/>
          <w:szCs w:val="20"/>
        </w:rPr>
        <w:t>u</w:t>
      </w:r>
      <w:r w:rsidRPr="00107A3A">
        <w:rPr>
          <w:rFonts w:ascii="Times New Roman" w:eastAsia="Times New Roman" w:hAnsi="Times New Roman" w:cs="Times New Roman"/>
          <w:sz w:val="20"/>
          <w:szCs w:val="20"/>
        </w:rPr>
        <w:t>r checklist</w:t>
      </w:r>
      <w:r w:rsidR="00843804">
        <w:rPr>
          <w:rFonts w:ascii="Times New Roman" w:eastAsia="Times New Roman" w:hAnsi="Times New Roman" w:cs="Times New Roman"/>
          <w:sz w:val="20"/>
          <w:szCs w:val="20"/>
        </w:rPr>
        <w:t xml:space="preserve"> (CBCL) and the </w:t>
      </w:r>
      <w:r w:rsidR="00843804" w:rsidRPr="00107A3A">
        <w:rPr>
          <w:rFonts w:ascii="Times New Roman" w:eastAsia="Times New Roman" w:hAnsi="Times New Roman" w:cs="Times New Roman"/>
          <w:sz w:val="20"/>
          <w:szCs w:val="20"/>
        </w:rPr>
        <w:t>Conner rating scale’s</w:t>
      </w:r>
      <w:r w:rsidRPr="00107A3A">
        <w:rPr>
          <w:rFonts w:ascii="Times New Roman" w:eastAsia="Times New Roman" w:hAnsi="Times New Roman" w:cs="Times New Roman"/>
          <w:sz w:val="20"/>
          <w:szCs w:val="20"/>
        </w:rPr>
        <w:t>, within a week before the follow-up visit at 6–1</w:t>
      </w:r>
      <w:r>
        <w:rPr>
          <w:rFonts w:ascii="Times New Roman" w:eastAsia="Times New Roman" w:hAnsi="Times New Roman" w:cs="Times New Roman"/>
          <w:sz w:val="20"/>
          <w:szCs w:val="20"/>
        </w:rPr>
        <w:t>2</w:t>
      </w:r>
      <w:r w:rsidRPr="00107A3A">
        <w:rPr>
          <w:rFonts w:ascii="Times New Roman" w:eastAsia="Times New Roman" w:hAnsi="Times New Roman" w:cs="Times New Roman"/>
          <w:sz w:val="20"/>
          <w:szCs w:val="20"/>
        </w:rPr>
        <w:t xml:space="preserve"> years of age. The 99-item CBCL/6–18 version for school children was used to obtain standardized parent reports of children’s problem behaviours, translated and validated in each native language of the participating six cohort populations</w:t>
      </w:r>
      <w:r>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fldChar w:fldCharType="begin"/>
      </w:r>
      <w:r w:rsidR="00DD0DC1">
        <w:rPr>
          <w:rFonts w:ascii="Times New Roman" w:eastAsia="Times New Roman" w:hAnsi="Times New Roman" w:cs="Times New Roman"/>
          <w:sz w:val="20"/>
          <w:szCs w:val="20"/>
        </w:rPr>
        <w:instrText xml:space="preserve"> ADDIN ZOTERO_ITEM CSL_CITATION {"citationID":"aGuufpBV","properties":{"formattedCitation":"\\super 10\\nosupersub{}","plainCitation":"10","noteIndex":0},"citationItems":[{"id":835,"uris":["http://zotero.org/users/9798320/items/2ZUVF5UW"],"itemData":{"id":835,"type":"book","event-place":"Burlington, VT: University of Vermont, Research Center for Children, Youth and Families.","note":"(See page 74)","publisher-place":"Burlington, VT: University of Vermont, Research Center for Children, Youth and Families.","title":"Manual for the ASEBA School-Age Forms and Profiles. An Integrated System of Multi-informant Assessment.","author":[{"family":"Achenbach","given":"TM"},{"family":"Rescorla","given":"LA"}],"issued":{"date-parts":[["2001"]]}}}],"schema":"https://github.com/citation-style-language/schema/raw/master/csl-citation.json"} </w:instrText>
      </w:r>
      <w:r>
        <w:rPr>
          <w:rFonts w:ascii="Times New Roman" w:eastAsia="Times New Roman" w:hAnsi="Times New Roman" w:cs="Times New Roman"/>
          <w:sz w:val="20"/>
          <w:szCs w:val="20"/>
        </w:rPr>
        <w:fldChar w:fldCharType="separate"/>
      </w:r>
      <w:r w:rsidR="00DD0DC1" w:rsidRPr="00DD0DC1">
        <w:rPr>
          <w:rFonts w:ascii="Times New Roman" w:hAnsi="Times New Roman" w:cs="Times New Roman"/>
          <w:sz w:val="20"/>
          <w:szCs w:val="24"/>
          <w:vertAlign w:val="superscript"/>
        </w:rPr>
        <w:t>10</w:t>
      </w:r>
      <w:r>
        <w:rPr>
          <w:rFonts w:ascii="Times New Roman" w:eastAsia="Times New Roman" w:hAnsi="Times New Roman" w:cs="Times New Roman"/>
          <w:sz w:val="20"/>
          <w:szCs w:val="20"/>
        </w:rPr>
        <w:fldChar w:fldCharType="end"/>
      </w:r>
      <w:r>
        <w:rPr>
          <w:rFonts w:ascii="Times New Roman" w:eastAsia="Times New Roman" w:hAnsi="Times New Roman" w:cs="Times New Roman"/>
          <w:sz w:val="20"/>
          <w:szCs w:val="20"/>
        </w:rPr>
        <w:t xml:space="preserve">. </w:t>
      </w:r>
      <w:r w:rsidRPr="00107A3A">
        <w:rPr>
          <w:rFonts w:ascii="Times New Roman" w:eastAsia="Times New Roman" w:hAnsi="Times New Roman" w:cs="Times New Roman"/>
          <w:sz w:val="20"/>
          <w:szCs w:val="20"/>
        </w:rPr>
        <w:t>The parents responded along a 3-point scale with the code of 0 if the item is not true of the child, 1 for sometimes true, and 2 for often true. The internalizing score includes the subscales of emotionally reactive and anxious/depressed symptoms, as well as somatic complaints and symptoms of being withdrawn. The externalizing score includes attention problems and aggressive behavio</w:t>
      </w:r>
      <w:r>
        <w:rPr>
          <w:rFonts w:ascii="Times New Roman" w:eastAsia="Times New Roman" w:hAnsi="Times New Roman" w:cs="Times New Roman"/>
          <w:sz w:val="20"/>
          <w:szCs w:val="20"/>
        </w:rPr>
        <w:t>u</w:t>
      </w:r>
      <w:r w:rsidRPr="00107A3A">
        <w:rPr>
          <w:rFonts w:ascii="Times New Roman" w:eastAsia="Times New Roman" w:hAnsi="Times New Roman" w:cs="Times New Roman"/>
          <w:sz w:val="20"/>
          <w:szCs w:val="20"/>
        </w:rPr>
        <w:t>rs. In addition, an ADHD index based on the short form of the Conners’ rating scales of 27 items provided information on inattention and hyperactivity symptoms</w:t>
      </w:r>
      <w:r>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fldChar w:fldCharType="begin"/>
      </w:r>
      <w:r w:rsidR="00DD0DC1">
        <w:rPr>
          <w:rFonts w:ascii="Times New Roman" w:eastAsia="Times New Roman" w:hAnsi="Times New Roman" w:cs="Times New Roman"/>
          <w:sz w:val="20"/>
          <w:szCs w:val="20"/>
        </w:rPr>
        <w:instrText xml:space="preserve"> ADDIN ZOTERO_ITEM CSL_CITATION {"citationID":"lrOI1luy","properties":{"formattedCitation":"\\super 11\\nosupersub{}","plainCitation":"11","noteIndex":0},"citationItems":[{"id":232,"uris":["http://zotero.org/users/9798320/items/X6D688RV"],"itemData":{"id":232,"type":"chapter","container-title":"Encyclopedia of Child Behavior and Development","event-place":"Boston, MA","ISBN":"978-0-387-79061-9","language":"en","note":"DOI: 10.1007/978-0-387-79061-9_670","page":"404-405","publisher":"Springer US","publisher-place":"Boston, MA","source":"Springer Link","title":"Conners’ Parent Rating Scales – Revised","URL":"https://doi.org/10.1007/978-0-387-79061-9_670","author":[{"family":"Gurley","given":"Jessica R."}],"editor":[{"family":"Goldstein","given":"Sam"},{"family":"Naglieri","given":"Jack A."}],"accessed":{"date-parts":[["2022",9,9]]},"issued":{"date-parts":[["2011"]]}}}],"schema":"https://github.com/citation-style-language/schema/raw/master/csl-citation.json"} </w:instrText>
      </w:r>
      <w:r>
        <w:rPr>
          <w:rFonts w:ascii="Times New Roman" w:eastAsia="Times New Roman" w:hAnsi="Times New Roman" w:cs="Times New Roman"/>
          <w:sz w:val="20"/>
          <w:szCs w:val="20"/>
        </w:rPr>
        <w:fldChar w:fldCharType="separate"/>
      </w:r>
      <w:r w:rsidR="00DD0DC1" w:rsidRPr="00DD0DC1">
        <w:rPr>
          <w:rFonts w:ascii="Times New Roman" w:hAnsi="Times New Roman" w:cs="Times New Roman"/>
          <w:sz w:val="20"/>
          <w:szCs w:val="24"/>
          <w:vertAlign w:val="superscript"/>
        </w:rPr>
        <w:t>11</w:t>
      </w:r>
      <w:r>
        <w:rPr>
          <w:rFonts w:ascii="Times New Roman" w:eastAsia="Times New Roman" w:hAnsi="Times New Roman" w:cs="Times New Roman"/>
          <w:sz w:val="20"/>
          <w:szCs w:val="20"/>
        </w:rPr>
        <w:fldChar w:fldCharType="end"/>
      </w:r>
      <w:r>
        <w:rPr>
          <w:rFonts w:ascii="Times New Roman" w:eastAsia="Times New Roman" w:hAnsi="Times New Roman" w:cs="Times New Roman"/>
          <w:sz w:val="20"/>
          <w:szCs w:val="20"/>
        </w:rPr>
        <w:t xml:space="preserve">. </w:t>
      </w:r>
      <w:r w:rsidRPr="00107A3A">
        <w:rPr>
          <w:rFonts w:ascii="Times New Roman" w:eastAsia="Times New Roman" w:hAnsi="Times New Roman" w:cs="Times New Roman"/>
          <w:sz w:val="20"/>
          <w:szCs w:val="20"/>
        </w:rPr>
        <w:t xml:space="preserve">The internal consistency (Cronbach’s alpha) of each of the study scales was &gt;0.80. All outcomes were </w:t>
      </w:r>
      <w:proofErr w:type="spellStart"/>
      <w:r w:rsidRPr="00107A3A">
        <w:rPr>
          <w:rFonts w:ascii="Times New Roman" w:eastAsia="Times New Roman" w:hAnsi="Times New Roman" w:cs="Times New Roman"/>
          <w:sz w:val="20"/>
          <w:szCs w:val="20"/>
        </w:rPr>
        <w:t>analyzed</w:t>
      </w:r>
      <w:proofErr w:type="spellEnd"/>
      <w:r w:rsidRPr="00107A3A">
        <w:rPr>
          <w:rFonts w:ascii="Times New Roman" w:eastAsia="Times New Roman" w:hAnsi="Times New Roman" w:cs="Times New Roman"/>
          <w:sz w:val="20"/>
          <w:szCs w:val="20"/>
        </w:rPr>
        <w:t xml:space="preserve"> as raw count scores.</w:t>
      </w:r>
    </w:p>
    <w:p w14:paraId="45CA5426" w14:textId="3215D05D" w:rsidR="002A5B71" w:rsidRPr="00D573B8" w:rsidRDefault="002A5B71">
      <w:pPr>
        <w:rPr>
          <w:rFonts w:ascii="Times New Roman" w:eastAsia="Times New Roman" w:hAnsi="Times New Roman" w:cs="Times New Roman"/>
          <w:sz w:val="20"/>
          <w:szCs w:val="20"/>
        </w:rPr>
      </w:pPr>
      <w:r>
        <w:br w:type="page"/>
      </w:r>
    </w:p>
    <w:p w14:paraId="15218766" w14:textId="56048055" w:rsidR="008A5C48" w:rsidRPr="001E4B45" w:rsidRDefault="001672AC" w:rsidP="001310CB">
      <w:pPr>
        <w:pStyle w:val="Titre1"/>
        <w:rPr>
          <w:b w:val="0"/>
          <w:bCs w:val="0"/>
        </w:rPr>
      </w:pPr>
      <w:bookmarkStart w:id="11" w:name="_Toc127358149"/>
      <w:bookmarkStart w:id="12" w:name="_Toc132271577"/>
      <w:bookmarkStart w:id="13" w:name="_Hlk127366986"/>
      <w:proofErr w:type="spellStart"/>
      <w:r w:rsidRPr="001672AC">
        <w:lastRenderedPageBreak/>
        <w:t>eMethods</w:t>
      </w:r>
      <w:proofErr w:type="spellEnd"/>
      <w:r w:rsidRPr="001672AC">
        <w:t xml:space="preserve"> </w:t>
      </w:r>
      <w:r w:rsidR="00755B26">
        <w:t>2</w:t>
      </w:r>
      <w:r w:rsidR="004120E3">
        <w:t>.</w:t>
      </w:r>
      <w:r w:rsidRPr="001672AC">
        <w:t xml:space="preserve"> </w:t>
      </w:r>
      <w:r w:rsidRPr="001E4B45">
        <w:rPr>
          <w:b w:val="0"/>
          <w:bCs w:val="0"/>
        </w:rPr>
        <w:t>Urban exposure assessment methods</w:t>
      </w:r>
      <w:r w:rsidR="00DD0DC1" w:rsidRPr="001E4B45">
        <w:rPr>
          <w:b w:val="0"/>
          <w:bCs w:val="0"/>
        </w:rPr>
        <w:t xml:space="preserve"> (extracted from Maitre</w:t>
      </w:r>
      <w:r w:rsidR="00DD0DC1" w:rsidRPr="001E4B45">
        <w:rPr>
          <w:b w:val="0"/>
          <w:bCs w:val="0"/>
        </w:rPr>
        <w:fldChar w:fldCharType="begin"/>
      </w:r>
      <w:r w:rsidR="00DD0DC1" w:rsidRPr="001E4B45">
        <w:rPr>
          <w:b w:val="0"/>
          <w:bCs w:val="0"/>
        </w:rPr>
        <w:instrText xml:space="preserve"> ADDIN ZOTERO_ITEM CSL_CITATION {"citationID":"ej07maB6","properties":{"formattedCitation":"\\super 12\\nosupersub{}","plainCitation":"12","noteIndex":0},"citationItems":[{"id":97,"uris":["http://zotero.org/users/9798320/items/S6TH5MPU"],"itemData":{"id":97,"type":"article-journal","abstract":"BACKGROUND: Environmental exposures in early life influence the development of behavioral outcomes in children, but research has not considered multiple exposures. We therefore aimed to investigate the impact of a broad spectrum of pre- and postnatal environmental exposures on child behavior.\nMETHODS AND FINDINGS: We used data from the HELIX (Human Early Life Exposome) project, which was based on six longitudinal population-based birth cohorts in Europe. At 6-11 years, children underwent a follow-up to characterize their exposures and assess behavioral problems. We measured 88 prenatal and 123 childhood environmental factors, including outdoor, indoor, chemical, lifestyle and social exposures. Parent-reported behavioral problems included (1) internalizing, (2) externalizing scores, using the child behavior checklist (CBCL), and (3) the Conner's Attention Deficit Hyperactivity Disorder (ADHD) index, all outcomes being discrete raw counts. We applied LASSO penalized negative binomial regression models to identify which exposures were associated with the outcomes, while adjusting for co-exposures. In the 1287 children (mean age 8.0 years), 7.3% had a neuropsychiatric medical diagnosis according to parent's reports. During pregnancy, smoking and car traffic showing the strongest associations (e.g. smoking with ADHD index, aMR:1.31 [1.09; 1.59]) among the 13 exposures selected by LASSO, for at least one of the outcomes. During childhood, longer sleep duration, healthy diet and higher family social capital were associated with reduced scores whereas higher exposure to lead, copper, indoor air pollution, unhealthy diet were associated with increased scores. Unexpected decreases in behavioral scores were found with polychlorinated biphenyls (PCBs) and organophosphate (OP) pesticides.\nCONCLUSIONS: Our systematic exposome approach identified several environmental contaminants and healthy lifestyle habits that may influence behavioral problems in children. Modifying environmental exposures early in life may limit lifetime mental health risk.","container-title":"Environment International","DOI":"10.1016/j.envint.2021.106523","ISSN":"1873-6750","journalAbbreviation":"Environ Int","language":"eng","note":"PMID: 33773142\nPMCID: PMC8140407","page":"106523","source":"PubMed","title":"Early-life environmental exposure determinants of child behavior in Europe: A longitudinal, population-based study","title-short":"Early-life environmental exposure determinants of child behavior in Europe","volume":"153","author":[{"family":"Maitre","given":"Léa"},{"family":"Julvez","given":"Jordi"},{"family":"López-Vicente","given":"Monica"},{"family":"Warembourg","given":"Charline"},{"family":"Tamayo-Uria","given":"Ibon"},{"family":"Philippat","given":"Claire"},{"family":"Gützkow","given":"Kristine B."},{"family":"Guxens","given":"Monica"},{"family":"Andrusaityte","given":"Sandra"},{"family":"Basagaña","given":"Xavier"},{"family":"Casas","given":"Maribel"},{"family":"Castro","given":"Montserrat","non-dropping-particle":"de"},{"family":"Chatzi","given":"Leda"},{"family":"Evandt","given":"Jorunn"},{"family":"Gonzalez","given":"Juan R."},{"family":"Gražulevičienė","given":"Regina"},{"family":"Smastuen Haug","given":"Line"},{"family":"Heude","given":"Barbara"},{"family":"Hernandez-Ferrer","given":"Carles"},{"family":"Kampouri","given":"Mariza"},{"family":"Manson","given":"Dan"},{"family":"Marquez","given":"Sandra"},{"family":"McEachan","given":"Rosie"},{"family":"Nieuwenhuijsen","given":"Mark"},{"family":"Robinson","given":"Oliver"},{"family":"Slama","given":"Remy"},{"family":"Thomsen","given":"Cathrine"},{"family":"Urquiza","given":"Jose"},{"family":"Vafeidi","given":"Marina"},{"family":"Wright","given":"John"},{"family":"Vrijheid","given":"Martine"}],"issued":{"date-parts":[["2021",8]]}}}],"schema":"https://github.com/citation-style-language/schema/raw/master/csl-citation.json"} </w:instrText>
      </w:r>
      <w:r w:rsidR="00DD0DC1" w:rsidRPr="001E4B45">
        <w:rPr>
          <w:b w:val="0"/>
          <w:bCs w:val="0"/>
        </w:rPr>
        <w:fldChar w:fldCharType="separate"/>
      </w:r>
      <w:r w:rsidR="00DD0DC1" w:rsidRPr="001E4B45">
        <w:rPr>
          <w:b w:val="0"/>
          <w:bCs w:val="0"/>
          <w:szCs w:val="24"/>
          <w:vertAlign w:val="superscript"/>
        </w:rPr>
        <w:t>12</w:t>
      </w:r>
      <w:r w:rsidR="00DD0DC1" w:rsidRPr="001E4B45">
        <w:rPr>
          <w:b w:val="0"/>
          <w:bCs w:val="0"/>
        </w:rPr>
        <w:fldChar w:fldCharType="end"/>
      </w:r>
      <w:r w:rsidR="00DD0DC1" w:rsidRPr="001E4B45">
        <w:rPr>
          <w:b w:val="0"/>
          <w:bCs w:val="0"/>
        </w:rPr>
        <w:t>)</w:t>
      </w:r>
      <w:bookmarkEnd w:id="11"/>
      <w:bookmarkEnd w:id="12"/>
    </w:p>
    <w:bookmarkEnd w:id="13"/>
    <w:p w14:paraId="4ADC10B3" w14:textId="77777777" w:rsidR="00741368" w:rsidRPr="00741368" w:rsidRDefault="00741368" w:rsidP="00741368"/>
    <w:p w14:paraId="4EFDDB02" w14:textId="6FB3AC3A" w:rsidR="00921D72" w:rsidRDefault="00966211" w:rsidP="00FB6412">
      <w:pPr>
        <w:pBdr>
          <w:top w:val="nil"/>
          <w:left w:val="nil"/>
          <w:bottom w:val="nil"/>
          <w:right w:val="nil"/>
          <w:between w:val="nil"/>
        </w:pBdr>
        <w:shd w:val="clear" w:color="auto" w:fill="FFFFFF"/>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Outdoor and urban exposures were assessed in the following exposure groups: Atmospheric pollutants, ultraviolet (UV) radiation, surrounding natural space, meteorological measures, built environment, traffic, road traffic noise, water disinfection by-products and indoor air pollutants. Except for the last two groups, exposure assessment was conducted within the PostgreSQL (copyright © 1996-2017 The PostgreSQL Global Development Group), </w:t>
      </w:r>
      <w:proofErr w:type="spellStart"/>
      <w:r w:rsidRPr="008A5C48">
        <w:rPr>
          <w:rFonts w:ascii="Times New Roman" w:eastAsia="Times New Roman" w:hAnsi="Times New Roman" w:cs="Times New Roman"/>
          <w:color w:val="000000"/>
          <w:sz w:val="20"/>
          <w:szCs w:val="20"/>
        </w:rPr>
        <w:t>PostGIS</w:t>
      </w:r>
      <w:proofErr w:type="spellEnd"/>
      <w:r w:rsidRPr="008A5C48">
        <w:rPr>
          <w:rFonts w:ascii="Times New Roman" w:eastAsia="Times New Roman" w:hAnsi="Times New Roman" w:cs="Times New Roman"/>
          <w:color w:val="000000"/>
          <w:sz w:val="20"/>
          <w:szCs w:val="20"/>
        </w:rPr>
        <w:t xml:space="preserve"> (Creative Commons Attribution-Share Alike 3.0 License http://postgis.net) and QGIS (QGIS Development Team, 2016. QGIS Geographic Information System) platforms. For the pregnancy period, exposure was assessed at the geocoded residential address of each woman. For each woman, assessment of exposure during pregnancy at the geocoded residential address at recruitment was made. For the childhood period, exposure was assessed at the geocoded residential and school addresses of each child as reported at the time of the </w:t>
      </w:r>
      <w:proofErr w:type="spellStart"/>
      <w:r w:rsidRPr="008A5C48">
        <w:rPr>
          <w:rFonts w:ascii="Times New Roman" w:eastAsia="Times New Roman" w:hAnsi="Times New Roman" w:cs="Times New Roman"/>
          <w:color w:val="000000"/>
          <w:sz w:val="20"/>
          <w:szCs w:val="20"/>
        </w:rPr>
        <w:t>subcohort</w:t>
      </w:r>
      <w:proofErr w:type="spellEnd"/>
      <w:r w:rsidRPr="008A5C48">
        <w:rPr>
          <w:rFonts w:ascii="Times New Roman" w:eastAsia="Times New Roman" w:hAnsi="Times New Roman" w:cs="Times New Roman"/>
          <w:color w:val="000000"/>
          <w:sz w:val="20"/>
          <w:szCs w:val="20"/>
        </w:rPr>
        <w:t xml:space="preserve"> visit. In case of multiple addresses, results were averaged by mother or child.</w:t>
      </w:r>
    </w:p>
    <w:p w14:paraId="3A47CDEC" w14:textId="11822DA5" w:rsidR="00921D72" w:rsidRDefault="00921D72" w:rsidP="00FB6412">
      <w:pPr>
        <w:pBdr>
          <w:top w:val="nil"/>
          <w:left w:val="nil"/>
          <w:bottom w:val="nil"/>
          <w:right w:val="nil"/>
          <w:between w:val="nil"/>
        </w:pBdr>
        <w:shd w:val="clear" w:color="auto" w:fill="FFFFFF"/>
        <w:spacing w:after="0" w:line="240" w:lineRule="auto"/>
        <w:contextualSpacing/>
        <w:jc w:val="both"/>
        <w:rPr>
          <w:rFonts w:ascii="Times New Roman" w:eastAsia="Times New Roman" w:hAnsi="Times New Roman" w:cs="Times New Roman"/>
          <w:color w:val="000000"/>
          <w:sz w:val="20"/>
          <w:szCs w:val="20"/>
        </w:rPr>
      </w:pPr>
    </w:p>
    <w:p w14:paraId="3A1D0C0E" w14:textId="6B04E5A0" w:rsidR="00921D72" w:rsidRPr="003D38B7" w:rsidRDefault="00921D72" w:rsidP="003D38B7">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Pr>
          <w:rFonts w:ascii="Times New Roman" w:eastAsia="Times New Roman" w:hAnsi="Times New Roman" w:cs="Times New Roman"/>
          <w:bCs/>
          <w:i/>
          <w:sz w:val="20"/>
          <w:szCs w:val="20"/>
        </w:rPr>
        <w:t>Exposures selected</w:t>
      </w:r>
    </w:p>
    <w:p w14:paraId="059A7719" w14:textId="3B816BC4" w:rsidR="00921D72" w:rsidRPr="00921D72" w:rsidRDefault="00921D72" w:rsidP="00921D72">
      <w:pPr>
        <w:numPr>
          <w:ilvl w:val="0"/>
          <w:numId w:val="10"/>
        </w:numPr>
        <w:spacing w:after="0" w:line="240" w:lineRule="auto"/>
        <w:contextualSpacing/>
        <w:rPr>
          <w:rFonts w:ascii="Times New Roman" w:eastAsia="Times New Roman" w:hAnsi="Times New Roman" w:cs="Times New Roman"/>
          <w:color w:val="000000"/>
          <w:sz w:val="20"/>
          <w:szCs w:val="20"/>
        </w:rPr>
      </w:pPr>
      <w:r>
        <w:rPr>
          <w:rFonts w:ascii="Times New Roman" w:eastAsia="Times New Roman" w:hAnsi="Times New Roman" w:cs="Times New Roman"/>
          <w:sz w:val="20"/>
          <w:szCs w:val="20"/>
        </w:rPr>
        <w:t>Noise levels were removed because</w:t>
      </w:r>
      <w:r w:rsidRPr="008A5C48">
        <w:rPr>
          <w:rFonts w:ascii="Times New Roman" w:eastAsia="Times New Roman" w:hAnsi="Times New Roman" w:cs="Times New Roman"/>
          <w:sz w:val="20"/>
          <w:szCs w:val="20"/>
        </w:rPr>
        <w:t xml:space="preserve"> missing in at least 2 entire cohorts and/or for more than 30% of the total Helix population before imputation.</w:t>
      </w:r>
    </w:p>
    <w:p w14:paraId="11D7BAF9" w14:textId="77777777" w:rsidR="00921D72" w:rsidRPr="008A5C48" w:rsidRDefault="00921D72" w:rsidP="00921D72">
      <w:pPr>
        <w:numPr>
          <w:ilvl w:val="0"/>
          <w:numId w:val="10"/>
        </w:numPr>
        <w:pBdr>
          <w:top w:val="nil"/>
          <w:left w:val="nil"/>
          <w:bottom w:val="nil"/>
          <w:right w:val="nil"/>
          <w:between w:val="nil"/>
        </w:pBdr>
        <w:spacing w:after="0"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For sets of variables that measure a very similar exposure and that exhibit correlations higher than 0.9, only one exposure representative of the group was included in the list of exposome variables. For example, this was the case for different UV variables or variables in the built environment calculated for different spatial buffers.</w:t>
      </w:r>
    </w:p>
    <w:p w14:paraId="773B6F94" w14:textId="252AE910" w:rsidR="00921D72" w:rsidRDefault="00921D72" w:rsidP="00921D72">
      <w:pPr>
        <w:numPr>
          <w:ilvl w:val="0"/>
          <w:numId w:val="10"/>
        </w:num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Home-school correlations were checked and for some exposures (air pollution, humidity, temperature, UV), if the correlation was over 0.9 th</w:t>
      </w:r>
      <w:r w:rsidR="00B01C37">
        <w:rPr>
          <w:rFonts w:ascii="Times New Roman" w:eastAsia="Times New Roman" w:hAnsi="Times New Roman" w:cs="Times New Roman"/>
          <w:color w:val="000000"/>
          <w:sz w:val="20"/>
          <w:szCs w:val="20"/>
        </w:rPr>
        <w:t>e</w:t>
      </w:r>
      <w:r w:rsidRPr="008A5C48">
        <w:rPr>
          <w:rFonts w:ascii="Times New Roman" w:eastAsia="Times New Roman" w:hAnsi="Times New Roman" w:cs="Times New Roman"/>
          <w:color w:val="000000"/>
          <w:sz w:val="20"/>
          <w:szCs w:val="20"/>
        </w:rPr>
        <w:t>n school exposures were removed.</w:t>
      </w:r>
    </w:p>
    <w:p w14:paraId="05C51C34" w14:textId="1E9BD43C" w:rsidR="003D38B7" w:rsidRPr="003D38B7" w:rsidRDefault="003D38B7" w:rsidP="003D38B7">
      <w:pPr>
        <w:numPr>
          <w:ilvl w:val="0"/>
          <w:numId w:val="10"/>
        </w:num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Some exposure variables were calculated for different time windows as described below </w:t>
      </w:r>
      <w:r w:rsidRPr="008A5C48">
        <w:rPr>
          <w:rFonts w:ascii="Times New Roman" w:eastAsia="Times New Roman" w:hAnsi="Times New Roman" w:cs="Times New Roman"/>
          <w:sz w:val="20"/>
          <w:szCs w:val="20"/>
        </w:rPr>
        <w:t>(</w:t>
      </w:r>
      <w:proofErr w:type="gramStart"/>
      <w:r w:rsidRPr="008A5C48">
        <w:rPr>
          <w:rFonts w:ascii="Times New Roman" w:eastAsia="Times New Roman" w:hAnsi="Times New Roman" w:cs="Times New Roman"/>
          <w:sz w:val="20"/>
          <w:szCs w:val="20"/>
        </w:rPr>
        <w:t>e.g.</w:t>
      </w:r>
      <w:proofErr w:type="gramEnd"/>
      <w:r w:rsidRPr="008A5C48">
        <w:rPr>
          <w:rFonts w:ascii="Times New Roman" w:eastAsia="Times New Roman" w:hAnsi="Times New Roman" w:cs="Times New Roman"/>
          <w:sz w:val="20"/>
          <w:szCs w:val="20"/>
        </w:rPr>
        <w:t xml:space="preserve"> atmospheric pollutants average for the day, week, and year before the </w:t>
      </w:r>
      <w:proofErr w:type="spellStart"/>
      <w:r w:rsidRPr="008A5C48">
        <w:rPr>
          <w:rFonts w:ascii="Times New Roman" w:eastAsia="Times New Roman" w:hAnsi="Times New Roman" w:cs="Times New Roman"/>
          <w:sz w:val="20"/>
          <w:szCs w:val="20"/>
        </w:rPr>
        <w:t>subcohort</w:t>
      </w:r>
      <w:proofErr w:type="spellEnd"/>
      <w:r w:rsidRPr="008A5C48">
        <w:rPr>
          <w:rFonts w:ascii="Times New Roman" w:eastAsia="Times New Roman" w:hAnsi="Times New Roman" w:cs="Times New Roman"/>
          <w:sz w:val="20"/>
          <w:szCs w:val="20"/>
        </w:rPr>
        <w:t xml:space="preserve"> follow-up visit); for this paper we always used the longest available time period.</w:t>
      </w:r>
    </w:p>
    <w:p w14:paraId="5823B35F" w14:textId="77777777" w:rsidR="00921D72" w:rsidRDefault="00921D72" w:rsidP="00FB6412">
      <w:pPr>
        <w:pBdr>
          <w:top w:val="nil"/>
          <w:left w:val="nil"/>
          <w:bottom w:val="nil"/>
          <w:right w:val="nil"/>
          <w:between w:val="nil"/>
        </w:pBdr>
        <w:shd w:val="clear" w:color="auto" w:fill="FFFFFF"/>
        <w:spacing w:after="0" w:line="240" w:lineRule="auto"/>
        <w:contextualSpacing/>
        <w:jc w:val="both"/>
        <w:rPr>
          <w:rFonts w:ascii="Times New Roman" w:eastAsia="Times New Roman" w:hAnsi="Times New Roman" w:cs="Times New Roman"/>
          <w:color w:val="000000"/>
          <w:sz w:val="20"/>
          <w:szCs w:val="20"/>
        </w:rPr>
      </w:pPr>
    </w:p>
    <w:p w14:paraId="1E6B37C4" w14:textId="77777777" w:rsidR="00262C01" w:rsidRPr="001672AC"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1672AC">
        <w:rPr>
          <w:rFonts w:ascii="Times New Roman" w:eastAsia="Times New Roman" w:hAnsi="Times New Roman" w:cs="Times New Roman"/>
          <w:bCs/>
          <w:i/>
          <w:sz w:val="20"/>
          <w:szCs w:val="20"/>
        </w:rPr>
        <w:t>Atmospheric pollutants</w:t>
      </w:r>
    </w:p>
    <w:p w14:paraId="1247218A" w14:textId="661AAF1A" w:rsidR="00262C01" w:rsidRDefault="00262C01" w:rsidP="00262C01">
      <w:pP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The following atmospheric pollutants were assessed: nitrogen dioxide (NO</w:t>
      </w:r>
      <w:r w:rsidRPr="008A5C48">
        <w:rPr>
          <w:rFonts w:ascii="Times New Roman" w:eastAsia="Times New Roman" w:hAnsi="Times New Roman" w:cs="Times New Roman"/>
          <w:color w:val="000000"/>
          <w:sz w:val="20"/>
          <w:szCs w:val="20"/>
          <w:vertAlign w:val="subscript"/>
        </w:rPr>
        <w:t>2</w:t>
      </w:r>
      <w:r w:rsidRPr="008A5C48">
        <w:rPr>
          <w:rFonts w:ascii="Times New Roman" w:eastAsia="Times New Roman" w:hAnsi="Times New Roman" w:cs="Times New Roman"/>
          <w:color w:val="000000"/>
          <w:sz w:val="20"/>
          <w:szCs w:val="20"/>
        </w:rPr>
        <w:t xml:space="preserve">), particulate matter with an aerodynamic diameter of less than 2.5 </w:t>
      </w:r>
      <w:proofErr w:type="spellStart"/>
      <w:r w:rsidRPr="008A5C48">
        <w:rPr>
          <w:rFonts w:ascii="Times New Roman" w:eastAsia="Times New Roman" w:hAnsi="Times New Roman" w:cs="Times New Roman"/>
          <w:color w:val="000000"/>
          <w:sz w:val="20"/>
          <w:szCs w:val="20"/>
        </w:rPr>
        <w:t>μm</w:t>
      </w:r>
      <w:proofErr w:type="spellEnd"/>
      <w:r w:rsidRPr="008A5C48">
        <w:rPr>
          <w:rFonts w:ascii="Times New Roman" w:eastAsia="Times New Roman" w:hAnsi="Times New Roman" w:cs="Times New Roman"/>
          <w:color w:val="000000"/>
          <w:sz w:val="20"/>
          <w:szCs w:val="20"/>
        </w:rPr>
        <w:t xml:space="preserve"> (PM</w:t>
      </w:r>
      <w:r w:rsidRPr="008A5C48">
        <w:rPr>
          <w:rFonts w:ascii="Times New Roman" w:eastAsia="Times New Roman" w:hAnsi="Times New Roman" w:cs="Times New Roman"/>
          <w:color w:val="000000"/>
          <w:sz w:val="20"/>
          <w:szCs w:val="20"/>
          <w:vertAlign w:val="subscript"/>
        </w:rPr>
        <w:t>2.5</w:t>
      </w:r>
      <w:r w:rsidRPr="008A5C48">
        <w:rPr>
          <w:rFonts w:ascii="Times New Roman" w:eastAsia="Times New Roman" w:hAnsi="Times New Roman" w:cs="Times New Roman"/>
          <w:color w:val="000000"/>
          <w:sz w:val="20"/>
          <w:szCs w:val="20"/>
        </w:rPr>
        <w:t>) and of less than 10 µm (PM</w:t>
      </w:r>
      <w:r w:rsidRPr="008A5C48">
        <w:rPr>
          <w:rFonts w:ascii="Times New Roman" w:eastAsia="Times New Roman" w:hAnsi="Times New Roman" w:cs="Times New Roman"/>
          <w:color w:val="000000"/>
          <w:sz w:val="20"/>
          <w:szCs w:val="20"/>
          <w:vertAlign w:val="subscript"/>
        </w:rPr>
        <w:t>10</w:t>
      </w:r>
      <w:r w:rsidRPr="008A5C48">
        <w:rPr>
          <w:rFonts w:ascii="Times New Roman" w:eastAsia="Times New Roman" w:hAnsi="Times New Roman" w:cs="Times New Roman"/>
          <w:color w:val="000000"/>
          <w:sz w:val="20"/>
          <w:szCs w:val="20"/>
        </w:rPr>
        <w:t>), and absorbance of PM</w:t>
      </w:r>
      <w:r w:rsidRPr="008A5C48">
        <w:rPr>
          <w:rFonts w:ascii="Times New Roman" w:eastAsia="Times New Roman" w:hAnsi="Times New Roman" w:cs="Times New Roman"/>
          <w:color w:val="000000"/>
          <w:sz w:val="20"/>
          <w:szCs w:val="20"/>
          <w:vertAlign w:val="subscript"/>
        </w:rPr>
        <w:t>2.5</w:t>
      </w:r>
      <w:r w:rsidRPr="008A5C48">
        <w:rPr>
          <w:rFonts w:ascii="Times New Roman" w:eastAsia="Times New Roman" w:hAnsi="Times New Roman" w:cs="Times New Roman"/>
          <w:color w:val="000000"/>
          <w:sz w:val="20"/>
          <w:szCs w:val="20"/>
        </w:rPr>
        <w:t xml:space="preserve"> filters (</w:t>
      </w:r>
      <w:proofErr w:type="spellStart"/>
      <w:r w:rsidRPr="008A5C48">
        <w:rPr>
          <w:rFonts w:ascii="Times New Roman" w:eastAsia="Times New Roman" w:hAnsi="Times New Roman" w:cs="Times New Roman"/>
          <w:color w:val="000000"/>
          <w:sz w:val="20"/>
          <w:szCs w:val="20"/>
        </w:rPr>
        <w:t>PM</w:t>
      </w:r>
      <w:r w:rsidRPr="008A5C48">
        <w:rPr>
          <w:rFonts w:ascii="Times New Roman" w:eastAsia="Times New Roman" w:hAnsi="Times New Roman" w:cs="Times New Roman"/>
          <w:color w:val="000000"/>
          <w:sz w:val="20"/>
          <w:szCs w:val="20"/>
          <w:vertAlign w:val="subscript"/>
        </w:rPr>
        <w:t>abs</w:t>
      </w:r>
      <w:proofErr w:type="spellEnd"/>
      <w:r w:rsidRPr="008A5C48">
        <w:rPr>
          <w:rFonts w:ascii="Times New Roman" w:eastAsia="Times New Roman" w:hAnsi="Times New Roman" w:cs="Times New Roman"/>
          <w:color w:val="000000"/>
          <w:sz w:val="20"/>
          <w:szCs w:val="20"/>
        </w:rPr>
        <w:t>). These were assessed using land use regression (LUR) or dispersion models, temporally adjusted to measurements made in local background monitoring stations and averaged over the periods of interest. In most cases we used site-specific LUR models developed in the context of the European Study of Cohorts for Air Pollution Effects (ESCAPE) project</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DD0DC1">
        <w:rPr>
          <w:rFonts w:ascii="Times New Roman" w:eastAsia="Times New Roman" w:hAnsi="Times New Roman" w:cs="Times New Roman"/>
          <w:color w:val="000000"/>
          <w:sz w:val="20"/>
          <w:szCs w:val="20"/>
        </w:rPr>
        <w:instrText xml:space="preserve"> ADDIN ZOTERO_ITEM CSL_CITATION {"citationID":"1BAx244G","properties":{"formattedCitation":"\\super 13\\uc0\\u8211{}15,16(p201),17\\nosupersub{}","plainCitation":"13–15,16(p201),17","noteIndex":0},"citationItems":[{"id":210,"uris":["http://zotero.org/users/9798320/items/GJK8F3AX"],"itemData":{"id":210,"type":"article-journal","abstract":"BACKGROUND: There is a need to understand much more about the geographic variation of air pollutants. This requires the ability to extrapolate from monitoring stations to unsampled locations. The aim was to assess methods to develop accurate and high resolution maps of background air pollution across the EU.\nMETHODS: We compared the validity of ordinary kriging, universal kriging and regression mapping in developing EU-wide maps of air pollution on a 1x1 km resolution. Predictions were made for the year 2001 for nitrogen dioxide (NO(2)), fine particles &lt;10 microm (PM(10)), ozone (O(3)), sulphur dioxide (SO(2)) and carbon monoxide (CO) using routine monitoring data in Airbase. Predictor variables from EU-wide databases were land use, road traffic, population density, meteorology, altitude, topography and distance to sea. Models were developed for the global, rural and urban scale separately. The best method to model concentrations was selected on the basis of predefined performance measures (R(2), Root Mean Square Error (RMSE)).\nRESULTS: For NO(2), PM(10) and O(3) universal kriging performed better than regression mapping and ordinary kriging. Validation of the final universal kriging estimates with results from all validation sites gave R(2)-values and RMSE-values of 0.61 and 6.73 microg/m(3) for NO(2); 0.45 and 5.19 microg/m(3) for PM(10); and 0.70 and 7.69 microg/m(3) for O(3). For SO(2) and CO none of the three methods was able to provide a satisfactory prediction.\nCONCLUSION: Reasonable prediction models were developed for NO(2), PM(10) and O(3) on an EU-wide scale. Our study illustrates that it is possible to develop detailed maps of background air pollution using EU-wide databases.","container-title":"The Science of the Total Environment","DOI":"10.1016/j.scitotenv.2008.11.048","ISSN":"0048-9697","issue":"6","journalAbbreviation":"Sci Total Environ","language":"eng","note":"PMID: 19152957","page":"1852-1867","source":"PubMed","title":"Mapping of background air pollution at a fine spatial scale across the European Union","volume":"407","author":[{"family":"Beelen","given":"Rob"},{"family":"Hoek","given":"Gerard"},{"family":"Pebesma","given":"Edzer"},{"family":"Vienneau","given":"Danielle"},{"family":"Hoogh","given":"Kees","non-dropping-particle":"de"},{"family":"Briggs","given":"David J."}],"issued":{"date-parts":[["2009",3,1]]}}},{"id":209,"uris":["http://zotero.org/users/9798320/items/K2QX6CPR"],"itemData":{"id":209,"type":"article-journal","abstract":"The ESCAPE study (European Study of Cohorts for Air Pollution Effects) investigates long-term effects of exposure to air pollution on human health in Europe. This paper documents the spatial variation of measured NO2 and NOx concentrations between and within 36 ESCAPE study areas across Europe. In all study areas NO2 and NOx were measured using standardized methods between October 2008 and April 2011. On average, 41 sites were selected per study area, including regional and urban background as well as street sites. The measurements were conducted in three different seasons, using Ogawa badges. Average concentrations for each site were calculated after adjustment for temporal variation using data obtained from a routine monitor background site. Substantial spatial variability was found in NO2 and NOx concentrations between and within study areas; 40% of the overall NO2 variance was attributable to the variability between study areas and 60% to variability within study areas. The corresponding values for NOx were 30% and 70%. The within-area spatial variability was mostly determined by differences between street and urban background concentrations. The street/urban background concentration ratio for NO2 varied between 1.09 and 3.16 across areas. The highest median concentrations were observed in Southern Europe, the lowest in Northern Europe. In conclusion, we found significant contrasts in annual average NO2 and NOx concentrations between and especially within 36 study areas across Europe. Epidemiological long-term studies should therefore consider different approaches for better characterization of the intra-urban contrasts, either by increasing of the number of monitors or by modelling.","container-title":"Atmospheric Environment","DOI":"10.1016/j.atmosenv.2012.07.080","ISSN":"1352-2310","journalAbbreviation":"Atmospheric Environment","language":"en","page":"374-390","source":"ScienceDirect","title":"Variation of NO2 and NOx concentrations between and within 36 European study areas: Results from the ESCAPE study","title-short":"Variation of NO2 and NOx concentrations between and within 36 European study areas","volume":"62","author":[{"family":"Cyrys","given":"Josef"},{"family":"Eeftens","given":"Marloes"},{"family":"Heinrich","given":"Joachim"},{"family":"Ampe","given":"Christophe"},{"family":"Armengaud","given":"Alexandre"},{"family":"Beelen","given":"Rob"},{"family":"Bellander","given":"Tom"},{"family":"Beregszaszi","given":"Timea"},{"family":"Birk","given":"Matthias"},{"family":"Cesaroni","given":"Giulia"},{"family":"Cirach","given":"Marta"},{"family":"Hoogh","given":"Kees","non-dropping-particle":"de"},{"family":"De Nazelle","given":"Audrey"},{"family":"Vocht","given":"Frank","non-dropping-particle":"de"},{"family":"Declercq","given":"Christophe"},{"family":"Dėdelė","given":"Audrius"},{"family":"Dimakopoulou","given":"Konstantina"},{"family":"Eriksen","given":"Kirsten"},{"family":"Galassi","given":"Claudia"},{"family":"Grąulevičienė","given":"Regina"},{"family":"Grivas","given":"Georgios"},{"family":"Gruzieva","given":"Olena"},{"family":"Gustafsson","given":"Annika Hagenbjörk"},{"family":"Hoffmann","given":"Barbara"},{"family":"Iakovides","given":"Minas"},{"family":"Ineichen","given":"Alex"},{"family":"Krämer","given":"Ursula"},{"family":"Lanki","given":"Timo"},{"family":"Lozano","given":"Patricia"},{"family":"Madsen","given":"Christian"},{"family":"Meliefste","given":"Kees"},{"family":"Modig","given":"Lars"},{"family":"Mölter","given":"Anna"},{"family":"Mosler","given":"Gioia"},{"family":"Nieuwenhuijsen","given":"Mark"},{"family":"Nonnemacher","given":"Michael"},{"family":"Oldenwening","given":"Marieke"},{"family":"Peters","given":"Annette"},{"family":"Pontet","given":"Sabrina"},{"family":"Probst-Hensch","given":"Nicole"},{"family":"Quass","given":"Ulrich"},{"family":"Raaschou-Nielsen","given":"Ole"},{"family":"Ranzi","given":"Andrea"},{"family":"Sugiri","given":"Dorothee"},{"family":"Stephanou","given":"Euripides G."},{"family":"Taimisto","given":"Pekka"},{"family":"Tsai","given":"Ming-Yi"},{"family":"Vaskövi","given":"Éva"},{"family":"Villani","given":"Simona"},{"family":"Wang","given":"Meng"},{"family":"Brunekreef","given":"Bert"},{"family":"Hoek","given":"Gerard"}],"issued":{"date-parts":[["2012",12,1]]}}},{"id":37,"uris":["http://zotero.org/users/9798320/items/F8WSW6DE"],"itemData":{"id":37,"type":"article-journal","abstract":"The ESCAPE study (European Study of Cohorts for Air Pollution Effects) investigates relationships between long-term exposure to outdoor air pollution and health using cohort studies across Europe. This paper analyses the spatial variation of PM2.5, PM2.5 absorbance, PM10 and PMcoarse concentrations between and within 20 study areas across Europe. We measured NO2, NOx, PM2.5, PM2.5 absorbance and PM10 between October 2008 and April 2011 using standardized methods. PMcoarse was determined as the difference between PM10 and PM2.5. In each of the twenty study areas, we selected twenty PM monitoring sites to represent the variability in important air quality predictors, including population density, traffic intensity and altitude. Each site was monitored over three 14-day periods spread over a year, using Harvard impactors. Results for each site were averaged after correcting for temporal variation using data obtained from a reference site, which was operated year-round. Substantial concentration differences were observed between and within study areas. Concentrations for all components were higher in Southern Europe than in Western and Northern Europe, but the pattern differed per component with the highest average PM2.5 concentrations found in Turin and the highest PMcoarse in Heraklion. Street/urban background concentration ratios for PMcoarse (mean ratio 1.42) were as large as for PM2.5 absorbance (mean ratio 1.38) and higher than those for PM2.5 (1.14) and PM10 (1.23), documenting the importance of non-tailpipe emissions. Correlations between components varied between areas, but were generally high between NO2 and PM2.5 absorbance (average R2 = 0.80). Correlations between PM2.5 and PMcoarse were lower (average R2 = 0.39). Despite high correlations, concentration ratios between components varied, e.g. the NO2/PM2.5 ratio varied between 0.67 and 3.06. In conclusion, substantial variability was found in spatial patterns of PM2.5, PM2.5 absorbance, PM10 and PMcoarse. The highly standardized measurement of particle concentrations across Europe will contribute to a consistent assessment of health effects across Europe.","container-title":"Atmospheric Environment","DOI":"10.1016/j.atmosenv.2012.08.038","ISSN":"1352-2310","journalAbbreviation":"Atmospheric Environment","language":"en","page":"303-317","source":"ScienceDirect","title":"Spatial variation of PM2.5, PM10, PM2.5 absorbance and PMcoarse concentrations between and within 20 European study areas and the relationship with NO2 – Results of the ESCAPE project","volume":"62","author":[{"family":"Eeftens","given":"Marloes"},{"family":"Tsai","given":"Ming-Yi"},{"family":"Ampe","given":"Christophe"},{"family":"Anwander","given":"Bernhard"},{"family":"Beelen","given":"Rob"},{"family":"Bellander","given":"Tom"},{"family":"Cesaroni","given":"Giulia"},{"family":"Cirach","given":"Marta"},{"family":"Cyrys","given":"Josef"},{"family":"Hoogh","given":"Kees","non-dropping-particle":"de"},{"family":"De Nazelle","given":"Audrey"},{"family":"Vocht","given":"Frank","non-dropping-particle":"de"},{"family":"Declercq","given":"Christophe"},{"family":"Dėdelė","given":"Audrius"},{"family":"Eriksen","given":"Kirsten"},{"family":"Galassi","given":"Claudia"},{"family":"Gražulevičienė","given":"Regina"},{"family":"Grivas","given":"Georgios"},{"family":"Heinrich","given":"Joachim"},{"family":"Hoffmann","given":"Barbara"},{"family":"Iakovides","given":"Minas"},{"family":"Ineichen","given":"Alex"},{"family":"Katsouyanni","given":"Klea"},{"family":"Korek","given":"Michal"},{"family":"Krämer","given":"Ursula"},{"family":"Kuhlbusch","given":"Thomas"},{"family":"Lanki","given":"Timo"},{"family":"Madsen","given":"Christian"},{"family":"Meliefste","given":"Kees"},{"family":"Mölter","given":"Anna"},{"family":"Mosler","given":"Gioia"},{"family":"Nieuwenhuijsen","given":"Mark"},{"family":"Oldenwening","given":"Marieke"},{"family":"Pennanen","given":"Arto"},{"family":"Probst-Hensch","given":"Nicole"},{"family":"Quass","given":"Ulrich"},{"family":"Raaschou-Nielsen","given":"Ole"},{"family":"Ranzi","given":"Andrea"},{"family":"Stephanou","given":"Euripides"},{"family":"Sugiri","given":"Dorothee"},{"family":"Udvardy","given":"Orsolya"},{"family":"Vaskövi","given":"Éva"},{"family":"Weinmayr","given":"Gudrun"},{"family":"Brunekreef","given":"Bert"},{"family":"Hoek","given":"Gerard"}],"issued":{"date-parts":[["2012",12,1]]}}},{"id":205,"uris":["http://zotero.org/users/9798320/items/JU6MCHMZ"],"itemData":{"id":205,"type":"article-journal","abstract":"Estimating within-city variability in air pollution concentrations is important. Land use regression (LUR) models are able to explain such small-scale within-city variations. Transparency in LUR model development methods is important to facilitate comparison of methods between different studies. We therefore developed LUR models in a standardized way in 36 study areas in Europe for the ESCAPE (European Study of Cohorts for Air Pollution Effects) project. Nitrogen dioxide (NO2) and nitrogen oxides (NOx) were measured with Ogawa passive samplers at 40 or 80 sites in each of the 36 study areas. The spatial variation in each area was explained by LUR modelling. Centrally and locally available Geographic Information System (GIS) variables were used as potential predictors. A leave-one out cross-validation procedure was used to evaluate the model performance. There was substantial contrast in annual average NO2 and NOx concentrations within the study areas. The model explained variances (R2) of the LUR models ranged from 55% to 92% (median 82%) for NO2 and from 49% to 91% (median 78%) for NOx. For most areas the cross-validation R2 was less than 10% lower than the model R2. Small-scale traffic and population/household density were the most common predictors. The magnitude of the explained variance depended on the contrast in measured concentrations as well as availability of GIS predictors, especially traffic intensity data were important. In an additional evaluation, models in which local traffic intensity was not offered had 10% lower R2 compared to models in the same areas in which these variables were offered. Within the ESCAPE project it was possible to develop LUR models that explained a large fraction of the spatial variance in measured annual average NO2 and NOx concentrations. These LUR models are being used to estimate outdoor concentrations at the home addresses of participants in over 30 cohort studies.","container-title":"Atmospheric Environment","DOI":"10.1016/j.atmosenv.2013.02.037","ISSN":"1352-2310","journalAbbreviation":"Atmospheric Environment","language":"en","page":"10-23","source":"ScienceDirect","title":"Development of NO2 and NOx land use regression models for estimating air pollution exposure in 36 study areas in Europe – The ESCAPE project","volume":"72","author":[{"family":"Beelen","given":"Rob"},{"family":"Hoek","given":"Gerard"},{"family":"Vienneau","given":"Danielle"},{"family":"Eeftens","given":"Marloes"},{"family":"Dimakopoulou","given":"Konstantina"},{"family":"Pedeli","given":"Xanthi"},{"family":"Tsai","given":"Ming-Yi"},{"family":"Künzli","given":"Nino"},{"family":"Schikowski","given":"Tamara"},{"family":"Marcon","given":"Alessandro"},{"family":"Eriksen","given":"Kirsten T."},{"family":"Raaschou-Nielsen","given":"Ole"},{"family":"Stephanou","given":"Euripides"},{"family":"Patelarou","given":"Evridiki"},{"family":"Lanki","given":"Timo"},{"family":"Yli-Tuomi","given":"Tarja"},{"family":"Declercq","given":"Christophe"},{"family":"Falq","given":"Grégoire"},{"family":"Stempfelet","given":"Morgane"},{"family":"Birk","given":"Matthias"},{"family":"Cyrys","given":"Josef"},{"family":"Klot","given":"Stephanie","non-dropping-particle":"von"},{"family":"Nádor","given":"Gizella"},{"family":"Varró","given":"Mihály János"},{"family":"Dėdelė","given":"Audrius"},{"family":"Gražulevičienė","given":"Regina"},{"family":"Mölter","given":"Anna"},{"family":"Lindley","given":"Sarah"},{"family":"Madsen","given":"Christian"},{"family":"Cesaroni","given":"Giulia"},{"family":"Ranzi","given":"Andrea"},{"family":"Badaloni","given":"Chiara"},{"family":"Hoffmann","given":"Barbara"},{"family":"Nonnemacher","given":"Michael"},{"family":"Krämer","given":"Ursula"},{"family":"Kuhlbusch","given":"Thomas"},{"family":"Cirach","given":"Marta"},{"family":"Nazelle","given":"Audrey","non-dropping-particle":"de"},{"family":"Nieuwenhuijsen","given":"Mark"},{"family":"Bellander","given":"Tom"},{"family":"Korek","given":"Michal"},{"family":"Olsson","given":"David"},{"family":"Strömgren","given":"Magnus"},{"family":"Dons","given":"Evi"},{"family":"Jerrett","given":"Michael"},{"family":"Fischer","given":"Paul"},{"family":"Wang","given":"Meng"},{"family":"Brunekreef","given":"Bert"},{"family":"Hoogh","given":"Kees","non-dropping-particle":"de"}],"issued":{"date-parts":[["2013",6,1]]}},"locator":"201"},{"id":207,"uris":["http://zotero.org/users/9798320/items/88WTAYD7"],"itemData":{"id":207,"type":"article-journal","abstract":"Land Use Regression (LUR) models have been used increasingly for modeling small-scale spatial variation in air pollution concentrations and estimating individual exposure for participants of cohort studies. Within the ESCAPE project, concentrations of PM2.5, PM2.5 absorbance, PM10, and PMcoarse were measured in 20 European study areas at 20 sites per area. GIS-derived predictor variables (e.g., traffic intensity, population, and land-use) were evaluated to model spatial variation of annual average concentrations for each study area. The median model explained variance (R2) was 71% for PM2.5 (range across study areas 35–94%). Model R2 was higher for PM2.5 absorbance (median 89%, range 56–97%) and lower for PMcoarse (median 68%, range 32– 81%). Models included between two and five predictor variables, with various traffic indicators as the most common predictors. Lower R2 was related to small concentration variability or limited availability of predictor variables, especially traffic intensity. Cross validation R2 results were on average 8–11% lower than model R2. Careful selection of monitoring sites, examination of influential observations and skewed variable distributions were essential for developing stable LUR models. The final LUR models are used to estimate air pollution concentrations at the home addresses of participants in the health studies involved in ESCAPE.","container-title":"Environmental Science &amp; Technology","DOI":"10.1021/es301948k","ISSN":"0013-936X","issue":"20","journalAbbreviation":"Environ. Sci. Technol.","note":"publisher: American Chemical Society","page":"11195-11205","source":"ACS Publications","title":"Development of Land Use Regression Models for PM2.5, PM2.5 Absorbance, PM10 and PMcoarse in 20 European Study Areas; Results of the ESCAPE Project","volume":"46","author":[{"family":"Eeftens","given":"Marloes"},{"family":"Beelen","given":"Rob"},{"family":"Hoogh","given":"Kees","non-dropping-particle":"de"},{"family":"Bellander","given":"Tom"},{"family":"Cesaroni","given":"Giulia"},{"family":"Cirach","given":"Marta"},{"family":"Declercq","given":"Christophe"},{"family":"Dėdelė","given":"Audrius"},{"family":"Dons","given":"Evi"},{"family":"Nazelle","given":"Audrey","non-dropping-particle":"de"},{"family":"Dimakopoulou","given":"Konstantina"},{"family":"Eriksen","given":"Kirsten"},{"family":"Falq","given":"Grégoire"},{"family":"Fischer","given":"Paul"},{"family":"Galassi","given":"Claudia"},{"family":"Gražulevičienė","given":"Regina"},{"family":"Heinrich","given":"Joachim"},{"family":"Hoffmann","given":"Barbara"},{"family":"Jerrett","given":"Michael"},{"family":"Keidel","given":"Dirk"},{"family":"Korek","given":"Michal"},{"family":"Lanki","given":"Timo"},{"family":"Lindley","given":"Sarah"},{"family":"Madsen","given":"Christian"},{"family":"Mölter","given":"Anna"},{"family":"Nádor","given":"Gizella"},{"family":"Nieuwenhuijsen","given":"Mark"},{"family":"Nonnemacher","given":"Michael"},{"family":"Pedeli","given":"Xanthi"},{"family":"Raaschou-Nielsen","given":"Ole"},{"family":"Patelarou","given":"Evridiki"},{"family":"Quass","given":"Ulrich"},{"family":"Ranzi","given":"Andrea"},{"family":"Schindler","given":"Christian"},{"family":"Stempfelet","given":"Morgane"},{"family":"Stephanou","given":"Euripides"},{"family":"Sugiri","given":"Dorothea"},{"family":"Tsai","given":"Ming-Yi"},{"family":"Yli-Tuomi","given":"Tarja"},{"family":"Varró","given":"Mihály J"},{"family":"Vienneau","given":"Danielle"},{"family":"Klot","given":"Stephanie","dropping-particle":"von"},{"family":"Wolf","given":"Kathrin"},{"family":"Brunekreef","given":"Bert"},{"family":"Hoek","given":"Gerard"}],"issued":{"date-parts":[["2012",10,16]]}}}],"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DD0DC1" w:rsidRPr="00DD0DC1">
        <w:rPr>
          <w:rFonts w:ascii="Times New Roman" w:hAnsi="Times New Roman" w:cs="Times New Roman"/>
          <w:sz w:val="20"/>
          <w:szCs w:val="24"/>
          <w:vertAlign w:val="superscript"/>
        </w:rPr>
        <w:t>13–15,16(p201),17</w:t>
      </w:r>
      <w:r>
        <w:rPr>
          <w:rFonts w:ascii="Times New Roman" w:eastAsia="Times New Roman" w:hAnsi="Times New Roman" w:cs="Times New Roman"/>
          <w:color w:val="000000"/>
          <w:sz w:val="20"/>
          <w:szCs w:val="20"/>
        </w:rPr>
        <w:fldChar w:fldCharType="end"/>
      </w:r>
      <w:r w:rsidRPr="00810CC4">
        <w:rPr>
          <w:rFonts w:ascii="Times New Roman" w:eastAsia="Times New Roman" w:hAnsi="Times New Roman" w:cs="Times New Roman"/>
          <w:color w:val="000000"/>
          <w:sz w:val="20"/>
          <w:szCs w:val="20"/>
          <w:lang w:val="en-US"/>
        </w:rPr>
        <w:t xml:space="preserve">. </w:t>
      </w:r>
      <w:r w:rsidRPr="008A5C48">
        <w:rPr>
          <w:rFonts w:ascii="Times New Roman" w:eastAsia="Times New Roman" w:hAnsi="Times New Roman" w:cs="Times New Roman"/>
          <w:color w:val="000000"/>
          <w:sz w:val="20"/>
          <w:szCs w:val="20"/>
        </w:rPr>
        <w:t xml:space="preserve">For </w:t>
      </w:r>
      <w:proofErr w:type="spellStart"/>
      <w:r w:rsidRPr="008A5C48">
        <w:rPr>
          <w:rFonts w:ascii="Times New Roman" w:eastAsia="Times New Roman" w:hAnsi="Times New Roman" w:cs="Times New Roman"/>
          <w:color w:val="000000"/>
          <w:sz w:val="20"/>
          <w:szCs w:val="20"/>
        </w:rPr>
        <w:t>BiB</w:t>
      </w:r>
      <w:proofErr w:type="spellEnd"/>
      <w:r w:rsidRPr="008A5C48">
        <w:rPr>
          <w:rFonts w:ascii="Times New Roman" w:eastAsia="Times New Roman" w:hAnsi="Times New Roman" w:cs="Times New Roman"/>
          <w:color w:val="000000"/>
          <w:sz w:val="20"/>
          <w:szCs w:val="20"/>
        </w:rPr>
        <w:t>, assessment for PM</w:t>
      </w:r>
      <w:r w:rsidRPr="008A5C48">
        <w:rPr>
          <w:rFonts w:ascii="Times New Roman" w:eastAsia="Times New Roman" w:hAnsi="Times New Roman" w:cs="Times New Roman"/>
          <w:color w:val="000000"/>
          <w:sz w:val="20"/>
          <w:szCs w:val="20"/>
          <w:vertAlign w:val="subscript"/>
        </w:rPr>
        <w:t>2.5</w:t>
      </w:r>
      <w:r w:rsidRPr="008A5C48">
        <w:rPr>
          <w:rFonts w:ascii="Times New Roman" w:eastAsia="Times New Roman" w:hAnsi="Times New Roman" w:cs="Times New Roman"/>
          <w:color w:val="000000"/>
          <w:sz w:val="20"/>
          <w:szCs w:val="20"/>
        </w:rPr>
        <w:t xml:space="preserve"> and PM</w:t>
      </w:r>
      <w:r w:rsidRPr="008A5C48">
        <w:rPr>
          <w:rFonts w:ascii="Times New Roman" w:eastAsia="Times New Roman" w:hAnsi="Times New Roman" w:cs="Times New Roman"/>
          <w:color w:val="000000"/>
          <w:sz w:val="20"/>
          <w:szCs w:val="20"/>
          <w:vertAlign w:val="subscript"/>
        </w:rPr>
        <w:t>10</w:t>
      </w:r>
      <w:r w:rsidRPr="008A5C48">
        <w:rPr>
          <w:rFonts w:ascii="Times New Roman" w:eastAsia="Times New Roman" w:hAnsi="Times New Roman" w:cs="Times New Roman"/>
          <w:color w:val="000000"/>
          <w:sz w:val="20"/>
          <w:szCs w:val="20"/>
        </w:rPr>
        <w:t xml:space="preserve"> was made based on the ESCAPE LUR model developed in London/Oxford (UK) and adjusted for background PM levels from monitoring stations in Bradford </w:t>
      </w:r>
      <w:r>
        <w:rPr>
          <w:rFonts w:ascii="Times New Roman" w:eastAsia="Times New Roman" w:hAnsi="Times New Roman" w:cs="Times New Roman"/>
          <w:color w:val="000000"/>
          <w:sz w:val="20"/>
          <w:szCs w:val="20"/>
        </w:rPr>
        <w:fldChar w:fldCharType="begin"/>
      </w:r>
      <w:r w:rsidR="00DD0DC1">
        <w:rPr>
          <w:rFonts w:ascii="Times New Roman" w:eastAsia="Times New Roman" w:hAnsi="Times New Roman" w:cs="Times New Roman"/>
          <w:color w:val="000000"/>
          <w:sz w:val="20"/>
          <w:szCs w:val="20"/>
        </w:rPr>
        <w:instrText xml:space="preserve"> ADDIN ZOTERO_ITEM CSL_CITATION {"citationID":"J3bJk4oO","properties":{"formattedCitation":"\\super 18\\nosupersub{}","plainCitation":"18","noteIndex":0},"citationItems":[{"id":1110,"uris":["http://zotero.org/users/9798320/items/QKS4WQ52"],"itemData":{"id":1110,"type":"article-journal","abstract":"Background\n\nExposure to ambient air pollution has been associated with reduced size of newborns; however, the modifying effect of maternal ethnicity remains little explored among South Asians.\n\nObjectives\n\nWe investigated ethnic differences in the association between ambient air pollution and newborn’s size.\n\nMethod\n\nPregnant women were recruited between 2007 and 2010 for the Born in Bradford cohort study, in England. Exposures to particulate matter (≤ 10 μm, PM10; ≤ 2.5 μm, PM2.5), PM2.5 absorbance, and nitrogen oxides (NOx, NO2) were estimated using land-use regressions models. Using multivariate linear regression models, we evaluated effect modification by maternal ethnicity (“white British” or “Pakistani origin,” self-reported) on the associations of air pollution and birth weight, head circumference, and triceps and subscapular skinfold thickness.\n\nResults\n\nA 5-μg/m3 increase in mean third trimester PM2.5 was associated with significantly lower birth weight and smaller head circumference in children of white British mothers (–43 g; 95% CI: –76, –10 and –0.28 cm; 95% CI: –0.39, –0.17, respectively), but not in children of Pakistani origin (9 g; 95% CI: –17, 35 and –0.08 cm; 95% CI: –0.17, 0.01, respectively) (pint = 0.03 and &lt; 0.001). In contrast, PM2.5 was associated with significantly larger triceps and subscapular skinfold thicknesses in children of Pakistani origin (0.17 mm; 95% CI: 0.08, 0.25 and 0.21 mm; 95% CI: 0.12, 0.29, respectively), but not in white British children (–0.02 mm; 95% CI: –0.14, 0.01 and 0.06 mm; 95% CI: –0.06, 0.18, respectively) (pint = 0.06 and 0.11). Patterns of associations for PM10 and PM2.5 absorbance according to ethnicity were similar to those for PM2.5, but associations of the outcomes with NO2 and NOx were mostly nonsignificant in both ethnic groups.\n\nConclusions\n\nOur results suggest that associations of ambient PM exposures with newborn size and adiposity differ between white British and Pakistani origin infants.\n\nCitation\n\nSchembari A, de Hoogh K, Pedersen M, Dadvand P, Martinez D, Hoek G, Petherick ES, Wright J, Nieuwenhuijsen MJ. 2015. Ambient air pollution and newborn size and adiposity at birth: differences by maternal ethnicity (the Born in Bradford study cohort). Environ Health Perspect 123:1208–1215;  http://dx.doi.org/10.1289/ehp.1408675","container-title":"Environmental Health Perspectives","DOI":"10.1289/ehp.1408675","issue":"11","note":"publisher: Environmental Health Perspectives","page":"1208-1215","source":"ehp.niehs.nih.gov (Atypon)","title":"Ambient Air Pollution and Newborn Size and Adiposity at Birth: Differences by Maternal Ethnicity (the Born in Bradford Study Cohort)","title-short":"Ambient Air Pollution and Newborn Size and Adiposity at Birth","volume":"123","author":[{"family":"Schembari","given":"Anna"},{"family":"de","given":"Hoogh Kees"},{"family":"Pedersen","given":"Marie"},{"family":"Dadvand","given":"Payam"},{"family":"Martinez","given":"David"},{"family":"Hoek","given":"Gerard"},{"family":"Petherick","given":"Emily S."},{"family":"Wright","given":"John"},{"family":"Nieuwenhuijsen","given":"Mark J."}],"issued":{"date-parts":[["2015",11]]}}}],"schema":"https://github.com/citation-style-language/schema/raw/master/csl-citation.json"}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DD0DC1" w:rsidRPr="00DD0DC1">
        <w:rPr>
          <w:rFonts w:ascii="Times New Roman" w:hAnsi="Times New Roman" w:cs="Times New Roman"/>
          <w:sz w:val="20"/>
          <w:szCs w:val="24"/>
          <w:vertAlign w:val="superscript"/>
        </w:rPr>
        <w:t>18</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sz w:val="20"/>
          <w:szCs w:val="20"/>
        </w:rPr>
        <w:t>.</w:t>
      </w:r>
      <w:r w:rsidRPr="008A5C48">
        <w:rPr>
          <w:rFonts w:ascii="Times New Roman" w:eastAsia="Times New Roman" w:hAnsi="Times New Roman" w:cs="Times New Roman"/>
          <w:color w:val="000000"/>
          <w:sz w:val="20"/>
          <w:szCs w:val="20"/>
        </w:rPr>
        <w:t xml:space="preserve"> For EDEN, the ESCAPE European-wide LUR model was applied for PM</w:t>
      </w:r>
      <w:r w:rsidRPr="008A5C48">
        <w:rPr>
          <w:rFonts w:ascii="Times New Roman" w:eastAsia="Times New Roman" w:hAnsi="Times New Roman" w:cs="Times New Roman"/>
          <w:color w:val="000000"/>
          <w:sz w:val="20"/>
          <w:szCs w:val="20"/>
          <w:vertAlign w:val="subscript"/>
        </w:rPr>
        <w:t xml:space="preserve">2.5 </w:t>
      </w:r>
      <w:r>
        <w:rPr>
          <w:rFonts w:ascii="Times New Roman" w:eastAsia="Times New Roman" w:hAnsi="Times New Roman" w:cs="Times New Roman"/>
          <w:color w:val="000000"/>
          <w:sz w:val="20"/>
          <w:szCs w:val="20"/>
          <w:vertAlign w:val="subscript"/>
        </w:rPr>
        <w:fldChar w:fldCharType="begin"/>
      </w:r>
      <w:r w:rsidR="00DD0DC1">
        <w:rPr>
          <w:rFonts w:ascii="Times New Roman" w:eastAsia="Times New Roman" w:hAnsi="Times New Roman" w:cs="Times New Roman"/>
          <w:color w:val="000000"/>
          <w:sz w:val="20"/>
          <w:szCs w:val="20"/>
          <w:vertAlign w:val="subscript"/>
        </w:rPr>
        <w:instrText xml:space="preserve"> ADDIN ZOTERO_ITEM CSL_CITATION {"citationID":"BErD0OMx","properties":{"formattedCitation":"\\super 19\\nosupersub{}","plainCitation":"19","noteIndex":0},"citationItems":[{"id":1132,"uris":["http://zotero.org/users/9798320/items/BEXQ3QJE"],"itemData":{"id":1132,"type":"article-journal","abstract":"Background: Land use regression (LUR) models have been developed mostly to explain intraurban variations in air pollution based on often small local monitoring campaigns. Transferability of LUR models from city to city has been investigated, but little is known about the performance of models based on large numbers of monitoring sites covering a large area.\n\nObjectives: We aimed to develop European and regional LUR models and to examine their transferability to areas not used for model development.\n\nMethods: We evaluated LUR models for nitrogen dioxide (NO2) and particulate matter (PM; PM2.5, PM2.5 absorbance) by combining standardized measurement data from 17 (PM) and 23 (NO2) ESCAPE (European Study of Cohorts for Air Pollution Effects) study areas across 14 European countries for PM and NO2. Models were evaluated with cross-validation (CV) and hold-out validation (HV). We investigated the transferability of the models by successively excluding each study area from model building.\n\nResults: The European model explained 56% of the concentration variability across all sites for NO2, 86% for PM2.5, and 70% for PM2.5 absorbance. The HV R2s were only slightly lower than the model R2 (NO2, 54%; PM2.5, 80%; PM2.5 absorbance, 70%). The European NO2, PM2.5, and PM2.5 absorbance models explained a median of 59%, 48%, and 70% of within-area variability in individual areas. The transferred models predicted a modest-to-large fraction of variability in areas that were excluded from model building (median R2: NO2, 59%; PM2.5, 42%; PM2.5 absorbance, 67%).\n\nConclusions: Using a large data set from 23 European study areas, we were able to develop LUR models for NO2 and PM metrics that predicted measurements made at independent sites and areas reasonably well. This finding is useful for assessing exposure in health studies conducted in areas where no measurements were conducted.\n\nCitation: Wang M, Beelen R, Bellander T, Birk M, Cesaroni G, Cirach M, Cyrys J, de Hoogh K, Declercq C, Dimakopoulou K, Eeftens M, Eriksen KT, Forastiere F, Galassi C, Grivas G, Heinrich J, Hoffmann B, Ineichen A, Korek M, Lanki T, Lindley S, Modig L, Mölter A, Nafstad P, Nieuwenhuijsen MJ, Nystad W, Olsson D, Raaschou-Nielsen O, Ragettli M, Ranzi A, Stempfelet M, Sugiri D, Tsai MY, Udvardy O, Varró MJ, Vienneau D, Weinmayr G, Wolf K, Yli-Tuomi T, Hoek G, Brunekreef B. 2014. Performance of multi-city land use regression models for nitrogen dioxide and fine particles. Environ Health Perspect 122:843–849;  http://dx.doi.org/10.1289/ehp.1307271","container-title":"Environmental Health Perspectives","DOI":"10.1289/ehp.1307271","issue":"8","note":"publisher: Environmental Health Perspectives","page":"843-849","source":"ehp.niehs.nih.gov (Atypon)","title":"Performance of Multi-City Land Use Regression Models for Nitrogen Dioxide and Fine Particles","volume":"122","author":[{"family":"Wang","given":"Meng"},{"family":"Beelen","given":"Rob"},{"family":"Bellander","given":"Tom"},{"family":"Birk","given":"Matthias"},{"family":"Cesaroni","given":"Giulia"},{"family":"Cirach","given":"Marta"},{"family":"Cyrys","given":"Josef"},{"family":"de","given":"Hoogh Kees"},{"family":"Declercq","given":"Christophe"},{"family":"Dimakopoulou","given":"Konstantina"},{"family":"Eeftens","given":"Marloes"},{"family":"Eriksen","given":"Kirsten T."},{"family":"Forastiere","given":"Francesco"},{"family":"Galassi","given":"Claudia"},{"family":"Grivas","given":"Georgios"},{"family":"Heinrich","given":"Joachim"},{"family":"Hoffmann","given":"Barbara"},{"family":"Ineichen","given":"Alex"},{"family":"Korek","given":"Michal"},{"family":"Lanki","given":"Timo"},{"family":"Lindley","given":"Sarah"},{"family":"Modig","given":"Lars"},{"family":"M","given":"ölter Anna"},{"family":"Nafstad","given":"Per"},{"family":"Nieuwenhuijsen","given":"Mark J."},{"family":"Nystad","given":"Wenche"},{"family":"Olsson","given":"David"},{"family":"Raaschou","given":"-Nielsen Ole"},{"family":"Ragettli","given":"Martina"},{"family":"Ranzi","given":"Andrea"},{"family":"Stempfelet","given":"Morgane"},{"family":"Sugiri","given":"Dorothea"},{"family":"Tsai","given":"Ming-Yi"},{"family":"Udvardy","given":"Orsolya"},{"family":"Varr","given":"ó Mihaly J."},{"family":"Vienneau","given":"Danielle"},{"family":"Weinmayr","given":"Gudrun"},{"family":"Wolf","given":"Kathrin"},{"family":"Yli","given":"-Tuomi Tarja"},{"family":"Hoek","given":"Gerard"},{"family":"Brunekreef","given":"Bert"}],"issued":{"date-parts":[["2014",8]]}}}],"schema":"https://github.com/citation-style-language/schema/raw/master/csl-citation.json"} </w:instrText>
      </w:r>
      <w:r>
        <w:rPr>
          <w:rFonts w:ascii="Times New Roman" w:eastAsia="Times New Roman" w:hAnsi="Times New Roman" w:cs="Times New Roman"/>
          <w:color w:val="000000"/>
          <w:sz w:val="20"/>
          <w:szCs w:val="20"/>
          <w:vertAlign w:val="subscript"/>
        </w:rPr>
        <w:fldChar w:fldCharType="separate"/>
      </w:r>
      <w:r w:rsidR="00DD0DC1" w:rsidRPr="00DD0DC1">
        <w:rPr>
          <w:rFonts w:ascii="Times New Roman" w:hAnsi="Times New Roman" w:cs="Times New Roman"/>
          <w:sz w:val="20"/>
          <w:szCs w:val="24"/>
          <w:vertAlign w:val="superscript"/>
        </w:rPr>
        <w:t>19</w:t>
      </w:r>
      <w:r>
        <w:rPr>
          <w:rFonts w:ascii="Times New Roman" w:eastAsia="Times New Roman" w:hAnsi="Times New Roman" w:cs="Times New Roman"/>
          <w:color w:val="000000"/>
          <w:sz w:val="20"/>
          <w:szCs w:val="20"/>
          <w:vertAlign w:val="subscript"/>
        </w:rPr>
        <w:fldChar w:fldCharType="end"/>
      </w:r>
      <w:r>
        <w:rPr>
          <w:rFonts w:ascii="Times New Roman" w:eastAsia="Times New Roman" w:hAnsi="Times New Roman" w:cs="Times New Roman"/>
          <w:sz w:val="20"/>
          <w:szCs w:val="20"/>
        </w:rPr>
        <w:t>,</w:t>
      </w:r>
      <w:r w:rsidRPr="008A5C48">
        <w:rPr>
          <w:rFonts w:ascii="Times New Roman" w:eastAsia="Times New Roman" w:hAnsi="Times New Roman" w:cs="Times New Roman"/>
          <w:color w:val="000000"/>
          <w:sz w:val="20"/>
          <w:szCs w:val="20"/>
        </w:rPr>
        <w:t xml:space="preserve"> and dispersion models were used to assess NO</w:t>
      </w:r>
      <w:r w:rsidRPr="008A5C48">
        <w:rPr>
          <w:rFonts w:ascii="Times New Roman" w:eastAsia="Times New Roman" w:hAnsi="Times New Roman" w:cs="Times New Roman"/>
          <w:color w:val="000000"/>
          <w:sz w:val="20"/>
          <w:szCs w:val="20"/>
          <w:vertAlign w:val="subscript"/>
        </w:rPr>
        <w:t>2</w:t>
      </w:r>
      <w:r w:rsidRPr="008A5C48">
        <w:rPr>
          <w:rFonts w:ascii="Times New Roman" w:eastAsia="Times New Roman" w:hAnsi="Times New Roman" w:cs="Times New Roman"/>
          <w:color w:val="000000"/>
          <w:sz w:val="20"/>
          <w:szCs w:val="20"/>
        </w:rPr>
        <w:t xml:space="preserve"> and PM</w:t>
      </w:r>
      <w:r w:rsidRPr="008A5C48">
        <w:rPr>
          <w:rFonts w:ascii="Times New Roman" w:eastAsia="Times New Roman" w:hAnsi="Times New Roman" w:cs="Times New Roman"/>
          <w:color w:val="000000"/>
          <w:sz w:val="20"/>
          <w:szCs w:val="20"/>
          <w:vertAlign w:val="subscript"/>
        </w:rPr>
        <w:t>10</w:t>
      </w:r>
      <w:r w:rsidRPr="008A5C48">
        <w:rPr>
          <w:rFonts w:ascii="Times New Roman" w:eastAsia="Times New Roman" w:hAnsi="Times New Roman" w:cs="Times New Roman"/>
          <w:color w:val="000000"/>
          <w:sz w:val="20"/>
          <w:szCs w:val="20"/>
        </w:rPr>
        <w:t xml:space="preserve"> exposure (the latter only for the pregnancy period) </w:t>
      </w:r>
      <w:r>
        <w:rPr>
          <w:rFonts w:ascii="Times New Roman" w:eastAsia="Times New Roman" w:hAnsi="Times New Roman" w:cs="Times New Roman"/>
          <w:color w:val="000000"/>
          <w:sz w:val="20"/>
          <w:szCs w:val="20"/>
        </w:rPr>
        <w:fldChar w:fldCharType="begin"/>
      </w:r>
      <w:r w:rsidR="00DD0DC1">
        <w:rPr>
          <w:rFonts w:ascii="Times New Roman" w:eastAsia="Times New Roman" w:hAnsi="Times New Roman" w:cs="Times New Roman"/>
          <w:color w:val="000000"/>
          <w:sz w:val="20"/>
          <w:szCs w:val="20"/>
        </w:rPr>
        <w:instrText xml:space="preserve"> ADDIN ZOTERO_ITEM CSL_CITATION {"citationID":"eE7hJmUQ","properties":{"formattedCitation":"\\super 20\\nosupersub{}","plainCitation":"20","noteIndex":0},"citationItems":[{"id":202,"uris":["http://zotero.org/users/9798320/items/3RIS4HGZ"],"itemData":{"id":202,"type":"article-journal","abstract":"BACKGROUND: Epidemiologic studies suggest an association between air pollution exposure and foetal growth. The possible underlying biological mechanisms have little been studied in humans, but animal studies suggest an impact of atmospheric pollutants on placental function.\nOBJECTIVES: Our aim was to investigate the association between exposure to atmospheric pollutants' levels during pregnancy and placental weight, birth weight and the placental to foetal weights ratio (PFR). For comparison purposes, the effects of active smoking on the same measures at birth have also been estimated.\nMETHODS: The study relies on women from Eden mother-child cohort recruited in the middle-sized cities of Poitiers and Nancy (France). Nitrogen dioxide (NO(2)) and particulate matter with diameter &lt;10 μm (PM10) home address levels during pregnancy were assessed using ADMS-Urban dispersion model. We characterized associations of NO(2), PM10 levels and active smoking with placental, birth weights and PFR by distinct linear regression models.\nRESULTS: Air pollution levels were higher and had greater variability in Nancy (5th-95th centiles, 19.9-27.9 μg/m(3) for PM10) than in Poitiers (5th-95th centiles, 14.3-17.8 μg/m(3)). Associations differed by study area: in Nancy (355 births), air pollution levels were associated with decreased placental weight and PFR, while in Poitiers (446 births), opposite or null associations were observed. Cigarette smoking was not associated with placental weight while it was associated with a decrease in birth weight and an increase in PFR.\nCONCLUSION: Results regarding air pollution estimated effects were not similar in both study areas and should therefore be taken with caution. The placental weight decrease observed with air pollutants in the more polluted area of Nancy is consistent with a recent epidemiological study. In this area, maternal active smoking and PM10 levels tended to have opposite effects on the PFR, suggesting different mechanisms of action of both pollutants on foetal growth.","container-title":"Environment International","DOI":"10.1016/j.envint.2012.06.013","ISSN":"1873-6750","journalAbbreviation":"Environ Int","language":"eng","note":"PMID: 22836169","page":"47-55","source":"PubMed","title":"Pregnancy exposure to atmospheric pollutants and placental weight: an approach relying on a dispersion model","title-short":"Pregnancy exposure to atmospheric pollutants and placental weight","volume":"48","author":[{"family":"Rahmalia","given":"Annisa"},{"family":"Giorgis-Allemand","given":"Lise"},{"family":"Lepeule","given":"Johanna"},{"family":"Philippat","given":"Claire"},{"family":"Galineau","given":"Julien"},{"family":"Hulin","given":"Agnes"},{"family":"Charles","given":"Marie-Aline"},{"family":"Slama","given":"Rémy"},{"literal":"EDEN Mother-Child Cohort Study group"}],"issued":{"date-parts":[["2012",11,1]]}}}],"schema":"https://github.com/citation-style-language/schema/raw/master/csl-citation.json"}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DD0DC1" w:rsidRPr="00DD0DC1">
        <w:rPr>
          <w:rFonts w:ascii="Times New Roman" w:hAnsi="Times New Roman" w:cs="Times New Roman"/>
          <w:sz w:val="20"/>
          <w:szCs w:val="24"/>
          <w:vertAlign w:val="superscript"/>
        </w:rPr>
        <w:t>20</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sz w:val="20"/>
          <w:szCs w:val="20"/>
        </w:rPr>
        <w:t>.</w:t>
      </w:r>
      <w:r w:rsidRPr="008A5C48">
        <w:rPr>
          <w:rFonts w:ascii="Times New Roman" w:eastAsia="Times New Roman" w:hAnsi="Times New Roman" w:cs="Times New Roman"/>
          <w:color w:val="000000"/>
          <w:sz w:val="20"/>
          <w:szCs w:val="20"/>
        </w:rPr>
        <w:t xml:space="preserve"> Data on daily background concentrations of air pollutants for temporal adjustment were obtained from routine background stations active during the whole study period. Back-extrapolation based on other available pollutants was used when data on a pollutant were not available. In particular, daily PM</w:t>
      </w:r>
      <w:r w:rsidRPr="008A5C48">
        <w:rPr>
          <w:rFonts w:ascii="Times New Roman" w:eastAsia="Times New Roman" w:hAnsi="Times New Roman" w:cs="Times New Roman"/>
          <w:color w:val="000000"/>
          <w:sz w:val="20"/>
          <w:szCs w:val="20"/>
          <w:vertAlign w:val="subscript"/>
        </w:rPr>
        <w:t xml:space="preserve">10 </w:t>
      </w:r>
      <w:r w:rsidRPr="008A5C48">
        <w:rPr>
          <w:rFonts w:ascii="Times New Roman" w:eastAsia="Times New Roman" w:hAnsi="Times New Roman" w:cs="Times New Roman"/>
          <w:color w:val="000000"/>
          <w:sz w:val="20"/>
          <w:szCs w:val="20"/>
        </w:rPr>
        <w:t>was used to adjust NO</w:t>
      </w:r>
      <w:r w:rsidRPr="008A5C48">
        <w:rPr>
          <w:rFonts w:ascii="Times New Roman" w:eastAsia="Times New Roman" w:hAnsi="Times New Roman" w:cs="Times New Roman"/>
          <w:color w:val="000000"/>
          <w:sz w:val="20"/>
          <w:szCs w:val="20"/>
          <w:vertAlign w:val="subscript"/>
        </w:rPr>
        <w:t>2</w:t>
      </w:r>
      <w:r w:rsidRPr="008A5C48">
        <w:rPr>
          <w:rFonts w:ascii="Times New Roman" w:eastAsia="Times New Roman" w:hAnsi="Times New Roman" w:cs="Times New Roman"/>
          <w:color w:val="000000"/>
          <w:sz w:val="20"/>
          <w:szCs w:val="20"/>
        </w:rPr>
        <w:t>; daily NO</w:t>
      </w:r>
      <w:r w:rsidRPr="008A5C48">
        <w:rPr>
          <w:rFonts w:ascii="Times New Roman" w:eastAsia="Times New Roman" w:hAnsi="Times New Roman" w:cs="Times New Roman"/>
          <w:color w:val="000000"/>
          <w:sz w:val="20"/>
          <w:szCs w:val="20"/>
          <w:vertAlign w:val="subscript"/>
        </w:rPr>
        <w:t>2</w:t>
      </w:r>
      <w:r w:rsidRPr="008A5C48">
        <w:rPr>
          <w:rFonts w:ascii="Times New Roman" w:eastAsia="Times New Roman" w:hAnsi="Times New Roman" w:cs="Times New Roman"/>
          <w:color w:val="000000"/>
          <w:sz w:val="20"/>
          <w:szCs w:val="20"/>
        </w:rPr>
        <w:t xml:space="preserve"> or PM</w:t>
      </w:r>
      <w:r w:rsidRPr="008A5C48">
        <w:rPr>
          <w:rFonts w:ascii="Times New Roman" w:eastAsia="Times New Roman" w:hAnsi="Times New Roman" w:cs="Times New Roman"/>
          <w:color w:val="000000"/>
          <w:sz w:val="20"/>
          <w:szCs w:val="20"/>
          <w:vertAlign w:val="subscript"/>
        </w:rPr>
        <w:t>10</w:t>
      </w:r>
      <w:r w:rsidRPr="008A5C48">
        <w:rPr>
          <w:rFonts w:ascii="Times New Roman" w:eastAsia="Times New Roman" w:hAnsi="Times New Roman" w:cs="Times New Roman"/>
          <w:color w:val="000000"/>
          <w:sz w:val="20"/>
          <w:szCs w:val="20"/>
        </w:rPr>
        <w:t xml:space="preserve"> factors to adjust PM</w:t>
      </w:r>
      <w:r w:rsidRPr="008A5C48">
        <w:rPr>
          <w:rFonts w:ascii="Times New Roman" w:eastAsia="Times New Roman" w:hAnsi="Times New Roman" w:cs="Times New Roman"/>
          <w:color w:val="000000"/>
          <w:sz w:val="20"/>
          <w:szCs w:val="20"/>
          <w:vertAlign w:val="subscript"/>
        </w:rPr>
        <w:t>2.5</w:t>
      </w:r>
      <w:r w:rsidRPr="008A5C48">
        <w:rPr>
          <w:rFonts w:ascii="Times New Roman" w:eastAsia="Times New Roman" w:hAnsi="Times New Roman" w:cs="Times New Roman"/>
          <w:color w:val="000000"/>
          <w:sz w:val="20"/>
          <w:szCs w:val="20"/>
        </w:rPr>
        <w:t>; daily NO</w:t>
      </w:r>
      <w:r w:rsidRPr="008A5C48">
        <w:rPr>
          <w:rFonts w:ascii="Times New Roman" w:eastAsia="Times New Roman" w:hAnsi="Times New Roman" w:cs="Times New Roman"/>
          <w:color w:val="000000"/>
          <w:sz w:val="20"/>
          <w:szCs w:val="20"/>
          <w:vertAlign w:val="subscript"/>
        </w:rPr>
        <w:t>2</w:t>
      </w:r>
      <w:r w:rsidRPr="008A5C48">
        <w:rPr>
          <w:rFonts w:ascii="Times New Roman" w:eastAsia="Times New Roman" w:hAnsi="Times New Roman" w:cs="Times New Roman"/>
          <w:color w:val="000000"/>
          <w:sz w:val="20"/>
          <w:szCs w:val="20"/>
        </w:rPr>
        <w:t xml:space="preserve"> to adjust PM</w:t>
      </w:r>
      <w:r w:rsidRPr="008A5C48">
        <w:rPr>
          <w:rFonts w:ascii="Times New Roman" w:eastAsia="Times New Roman" w:hAnsi="Times New Roman" w:cs="Times New Roman"/>
          <w:color w:val="000000"/>
          <w:sz w:val="20"/>
          <w:szCs w:val="20"/>
          <w:vertAlign w:val="subscript"/>
        </w:rPr>
        <w:t>10</w:t>
      </w:r>
      <w:r w:rsidRPr="008A5C48">
        <w:rPr>
          <w:rFonts w:ascii="Times New Roman" w:eastAsia="Times New Roman" w:hAnsi="Times New Roman" w:cs="Times New Roman"/>
          <w:color w:val="000000"/>
          <w:sz w:val="20"/>
          <w:szCs w:val="20"/>
        </w:rPr>
        <w:t>; and daily NO</w:t>
      </w:r>
      <w:r w:rsidRPr="008A5C48">
        <w:rPr>
          <w:rFonts w:ascii="Times New Roman" w:eastAsia="Times New Roman" w:hAnsi="Times New Roman" w:cs="Times New Roman"/>
          <w:color w:val="000000"/>
          <w:sz w:val="20"/>
          <w:szCs w:val="20"/>
          <w:vertAlign w:val="subscript"/>
        </w:rPr>
        <w:t>x</w:t>
      </w:r>
      <w:r w:rsidRPr="008A5C48">
        <w:rPr>
          <w:rFonts w:ascii="Times New Roman" w:eastAsia="Times New Roman" w:hAnsi="Times New Roman" w:cs="Times New Roman"/>
          <w:color w:val="000000"/>
          <w:sz w:val="20"/>
          <w:szCs w:val="20"/>
        </w:rPr>
        <w:t xml:space="preserve"> to adjust </w:t>
      </w:r>
      <w:proofErr w:type="spellStart"/>
      <w:r w:rsidRPr="008A5C48">
        <w:rPr>
          <w:rFonts w:ascii="Times New Roman" w:eastAsia="Times New Roman" w:hAnsi="Times New Roman" w:cs="Times New Roman"/>
          <w:color w:val="000000"/>
          <w:sz w:val="20"/>
          <w:szCs w:val="20"/>
        </w:rPr>
        <w:t>PM</w:t>
      </w:r>
      <w:r w:rsidRPr="008A5C48">
        <w:rPr>
          <w:rFonts w:ascii="Times New Roman" w:eastAsia="Times New Roman" w:hAnsi="Times New Roman" w:cs="Times New Roman"/>
          <w:color w:val="000000"/>
          <w:sz w:val="20"/>
          <w:szCs w:val="20"/>
          <w:vertAlign w:val="subscript"/>
        </w:rPr>
        <w:t>abs</w:t>
      </w:r>
      <w:proofErr w:type="spellEnd"/>
      <w:r w:rsidRPr="008A5C48">
        <w:rPr>
          <w:rFonts w:ascii="Times New Roman" w:eastAsia="Times New Roman" w:hAnsi="Times New Roman" w:cs="Times New Roman"/>
          <w:color w:val="000000"/>
          <w:sz w:val="20"/>
          <w:szCs w:val="20"/>
        </w:rPr>
        <w:t xml:space="preserve">. For the pregnancy period the exposure estimates were calculated for the three pregnancy trimesters and as the mean of whole pregnancy period. For this manuscript, the </w:t>
      </w:r>
      <w:r w:rsidRPr="001672AC">
        <w:rPr>
          <w:rFonts w:ascii="Times New Roman" w:eastAsia="Times New Roman" w:hAnsi="Times New Roman" w:cs="Times New Roman"/>
          <w:bCs/>
          <w:color w:val="000000"/>
          <w:sz w:val="20"/>
          <w:szCs w:val="20"/>
        </w:rPr>
        <w:t xml:space="preserve">pregnancy period </w:t>
      </w:r>
      <w:r w:rsidRPr="008A5C48">
        <w:rPr>
          <w:rFonts w:ascii="Times New Roman" w:eastAsia="Times New Roman" w:hAnsi="Times New Roman" w:cs="Times New Roman"/>
          <w:color w:val="000000"/>
          <w:sz w:val="20"/>
          <w:szCs w:val="20"/>
        </w:rPr>
        <w:t xml:space="preserve">was selected as the main exposure variable. For childhood period, exposure calculated as the average over one day, one week and one year before the date of the </w:t>
      </w:r>
      <w:proofErr w:type="spellStart"/>
      <w:r w:rsidRPr="008A5C48">
        <w:rPr>
          <w:rFonts w:ascii="Times New Roman" w:eastAsia="Times New Roman" w:hAnsi="Times New Roman" w:cs="Times New Roman"/>
          <w:color w:val="000000"/>
          <w:sz w:val="20"/>
          <w:szCs w:val="20"/>
        </w:rPr>
        <w:t>subcohort</w:t>
      </w:r>
      <w:proofErr w:type="spellEnd"/>
      <w:r w:rsidRPr="008A5C48">
        <w:rPr>
          <w:rFonts w:ascii="Times New Roman" w:eastAsia="Times New Roman" w:hAnsi="Times New Roman" w:cs="Times New Roman"/>
          <w:color w:val="000000"/>
          <w:sz w:val="20"/>
          <w:szCs w:val="20"/>
        </w:rPr>
        <w:t xml:space="preserve"> follow-up examination of the child; this was done for the home address and school address. The </w:t>
      </w:r>
      <w:r w:rsidRPr="001672AC">
        <w:rPr>
          <w:rFonts w:ascii="Times New Roman" w:eastAsia="Times New Roman" w:hAnsi="Times New Roman" w:cs="Times New Roman"/>
          <w:bCs/>
          <w:color w:val="000000"/>
          <w:sz w:val="20"/>
          <w:szCs w:val="20"/>
        </w:rPr>
        <w:t>day and the year before examination at home address</w:t>
      </w:r>
      <w:r w:rsidRPr="008A5C48">
        <w:rPr>
          <w:rFonts w:ascii="Times New Roman" w:eastAsia="Times New Roman" w:hAnsi="Times New Roman" w:cs="Times New Roman"/>
          <w:b/>
          <w:color w:val="000000"/>
          <w:sz w:val="20"/>
          <w:szCs w:val="20"/>
        </w:rPr>
        <w:t xml:space="preserve"> </w:t>
      </w:r>
      <w:r w:rsidRPr="008A5C48">
        <w:rPr>
          <w:rFonts w:ascii="Times New Roman" w:eastAsia="Times New Roman" w:hAnsi="Times New Roman" w:cs="Times New Roman"/>
          <w:color w:val="000000"/>
          <w:sz w:val="20"/>
          <w:szCs w:val="20"/>
        </w:rPr>
        <w:t>were selected as the main exposures for this manuscript.</w:t>
      </w:r>
    </w:p>
    <w:p w14:paraId="4DDE5B9C" w14:textId="77777777" w:rsidR="00262C01" w:rsidRDefault="00262C01" w:rsidP="00262C01">
      <w:pPr>
        <w:spacing w:after="0" w:line="240" w:lineRule="auto"/>
        <w:contextualSpacing/>
        <w:jc w:val="both"/>
        <w:rPr>
          <w:rFonts w:ascii="Times New Roman" w:eastAsia="Times New Roman" w:hAnsi="Times New Roman" w:cs="Times New Roman"/>
          <w:color w:val="000000"/>
          <w:sz w:val="20"/>
          <w:szCs w:val="20"/>
        </w:rPr>
      </w:pPr>
    </w:p>
    <w:p w14:paraId="666D5D84" w14:textId="77777777" w:rsidR="00262C01" w:rsidRPr="001672AC"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sz w:val="20"/>
          <w:szCs w:val="20"/>
        </w:rPr>
      </w:pPr>
      <w:r w:rsidRPr="001672AC">
        <w:rPr>
          <w:rFonts w:ascii="Times New Roman" w:eastAsia="Times New Roman" w:hAnsi="Times New Roman" w:cs="Times New Roman"/>
          <w:bCs/>
          <w:i/>
          <w:sz w:val="20"/>
          <w:szCs w:val="20"/>
        </w:rPr>
        <w:t>Surrounding natural space</w:t>
      </w:r>
    </w:p>
    <w:p w14:paraId="0CA975BC" w14:textId="4100CEC2" w:rsidR="00262C01" w:rsidRDefault="00262C01" w:rsidP="00262C01">
      <w:pP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We followed the PHENOTYPE protocol</w:t>
      </w:r>
      <w:r>
        <w:rPr>
          <w:rFonts w:ascii="Times New Roman" w:eastAsia="Times New Roman" w:hAnsi="Times New Roman" w:cs="Times New Roman"/>
          <w:color w:val="000000"/>
          <w:sz w:val="20"/>
          <w:szCs w:val="20"/>
        </w:rPr>
        <w:fldChar w:fldCharType="begin"/>
      </w:r>
      <w:r w:rsidR="00DD0DC1">
        <w:rPr>
          <w:rFonts w:ascii="Times New Roman" w:eastAsia="Times New Roman" w:hAnsi="Times New Roman" w:cs="Times New Roman"/>
          <w:color w:val="000000"/>
          <w:sz w:val="20"/>
          <w:szCs w:val="20"/>
        </w:rPr>
        <w:instrText xml:space="preserve"> ADDIN ZOTERO_ITEM CSL_CITATION {"citationID":"Y9GoVj6W","properties":{"formattedCitation":"\\super 21\\nosupersub{}","plainCitation":"21","noteIndex":0},"citationItems":[{"id":201,"uris":["http://zotero.org/users/9798320/items/7QWPMJY5"],"itemData":{"id":201,"type":"article-journal","abstract":"Introduction Growing evidence suggests that close contact with nature brings benefits to human health and well-being, but the proposed mechanisms are still not well understood and the associations with health remain uncertain. The Positive Health Effects of the Natural Outdoor environment in Typical Populations in different regions in Europe (PHENOTYPE) project investigates the interconnections between natural outdoor environments and better human health and well-being.\nAims and methods The PHENOTYPE project explores the proposed underlying mechanisms at work (stress reduction/restorative function, physical activity, social interaction, exposure to environmental hazards) and examines the associations with health outcomes for different population groups. It implements conventional and new innovative high-tech methods to characterise the natural environment in terms of quality and quantity. Preventive as well as therapeutic effects of contact with the natural environment are being covered. PHENOTYPE further addresses implications for land-use planning and green space management. The main innovative part of the study is the evaluation of possible short-term and long-term associations of green space and health and the possible underlying mechanisms in four different countries (each with quite a different type of green space and a different use), using the same methodology, in one research programme. This type of holistic approach has not been undertaken before. Furthermore there are technological innovations such as the use of remote sensing and smartphones in the assessment of green space.\nConclusions The project will produce a more robust evidence base on links between exposure to natural outdoor environment and human health and well-being, in addition to a better integration of human health needs into land-use planning and green space management in rural as well as urban areas.","container-title":"BMJ Open","DOI":"10.1136/bmjopen-2014-004951","ISSN":"2044-6055, 2044-6055","issue":"4","language":"en","license":"Published by the BMJ Publishing Group Limited. For permission to use (where not already granted under a licence) please go to http://group.bmj.com/group/rights-licensing/permissions.  This is an Open Access article distributed in accordance with the Creative Commons Attribution Non Commercial (CC BY-NC 4.0) license, which permits others to distribute, remix, adapt, build upon this work non-commercially, and license their derivative works on different terms, provided the original work is properly cited and the use is non-commercial. See: http://creativecommons.org/licenses/by-nc/4.0/","note":"publisher: British Medical Journal Publishing Group\nsection: Public health\nPMID: 24740979","page":"e004951","source":"bmjopen.bmj.com","title":"Positive health effects of the natural outdoor environment in typical populations in different regions in Europe (PHENOTYPE): a study programme protocol","title-short":"Positive health effects of the natural outdoor environment in typical populations in different regions in Europe (PHENOTYPE)","volume":"4","author":[{"family":"Nieuwenhuijsen","given":"Mark J."},{"family":"Kruize","given":"Hanneke"},{"family":"Gidlow","given":"Christopher"},{"family":"Andrusaityte","given":"Sandra"},{"family":"Antó","given":"Josep Maria"},{"family":"Basagaña","given":"Xavier"},{"family":"Cirach","given":"Marta"},{"family":"Dadvand","given":"Payam"},{"family":"Danileviciute","given":"Asta"},{"family":"Donaire-Gonzalez","given":"David"},{"family":"Garcia","given":"Judith"},{"family":"Jerrett","given":"Michael"},{"family":"Jones","given":"Marc"},{"family":"Julvez","given":"Jordi"},{"family":"Kempen","given":"Elise","dropping-particle":"van"},{"family":"Kamp","given":"Irene","dropping-particle":"van"},{"family":"Maas","given":"Jolanda"},{"family":"Seto","given":"Edmund"},{"family":"Smith","given":"Graham"},{"family":"Triguero","given":"Margarita"},{"family":"Wendel-Vos","given":"Wanda"},{"family":"Wright","given":"John"},{"family":"Zufferey","given":"Joris"},{"family":"Hazel","given":"Peter Jan","dropping-particle":"van den"},{"family":"Lawrence","given":"Roderick"},{"family":"Grazuleviciene","given":"Regina"}],"issued":{"date-parts":[["2014",4,1]]}}}],"schema":"https://github.com/citation-style-language/schema/raw/master/csl-citation.json"}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DD0DC1" w:rsidRPr="00DD0DC1">
        <w:rPr>
          <w:rFonts w:ascii="Times New Roman" w:hAnsi="Times New Roman" w:cs="Times New Roman"/>
          <w:sz w:val="20"/>
          <w:szCs w:val="24"/>
          <w:vertAlign w:val="superscript"/>
        </w:rPr>
        <w:t>21</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to measure the surrounding greenness, i.e. trees, shrubs and parkland, and applied the Normalized Difference Vegetation Index (NDVI)</w:t>
      </w:r>
      <w:r w:rsidR="00A52898">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{"citationID":"bJaTcnI7","properties":{"formattedCitation":"\\super 22\\nosupersub{}","plainCitation":"22","noteIndex":0},"citationItems":[{"id":1068,"uris":["http://zotero.org/users/9798320/items/UT2LDP2Q"],"itemData":{"id":1068,"type":"webpage","title":"Weier, J. and Herring, D. (2000) Measuring Vegetation (NDVI &amp; EVI). NASA Earth Observatory, Washington DC. - References - Scientific Research Publishing","URL":"https://scirp.org/reference/referencespapers.aspx?referenceid=2089851","accessed":{"date-parts":[["2023",2,3]]}}}],"schema":"https://github.com/citation-style-language/schema/raw/master/csl-citation.json"} </w:instrText>
      </w:r>
      <w:r w:rsidR="00A52898">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22</w:t>
      </w:r>
      <w:r w:rsidR="00A52898">
        <w:rPr>
          <w:rFonts w:ascii="Times New Roman" w:eastAsia="Times New Roman" w:hAnsi="Times New Roman" w:cs="Times New Roman"/>
          <w:color w:val="000000"/>
          <w:sz w:val="20"/>
          <w:szCs w:val="20"/>
        </w:rPr>
        <w:fldChar w:fldCharType="end"/>
      </w:r>
      <w:r w:rsidR="00A52898">
        <w:rPr>
          <w:rFonts w:ascii="Times New Roman" w:eastAsia="Times New Roman" w:hAnsi="Times New Roman" w:cs="Times New Roman"/>
          <w:sz w:val="20"/>
          <w:szCs w:val="20"/>
        </w:rPr>
        <w:t xml:space="preserve"> </w:t>
      </w:r>
      <w:r w:rsidRPr="008A5C48">
        <w:rPr>
          <w:rFonts w:ascii="Times New Roman" w:eastAsia="Times New Roman" w:hAnsi="Times New Roman" w:cs="Times New Roman"/>
          <w:color w:val="000000"/>
          <w:sz w:val="20"/>
          <w:szCs w:val="20"/>
        </w:rPr>
        <w:t xml:space="preserve">derived from the Landsat 4–5 Thematic Mapper (TM), Landsat 7 Enhanced Thematic Mapper Plus (ETM+), and Landsat 8 Operational Land Imager (OLI)/Thermal Infrared Sensor (TIRS) with 30m × 30m resolution (courtesy of the  U.S. Geology Survey). NDVI quantifies greenness by measuring the difference between near-infrared (which vegetation strongly reflects) and red light (which vegetation absorbs). NDVI values range from +1.0 to -1.0, with higher numbers indicating more greenness. To achieve maximum exposure contrast, we used available cloud-free Landsat images during the period between May and August for years relevant to our period of study and calculated greenness within </w:t>
      </w:r>
      <w:proofErr w:type="gramStart"/>
      <w:r w:rsidRPr="008A5C48">
        <w:rPr>
          <w:rFonts w:ascii="Times New Roman" w:eastAsia="Times New Roman" w:hAnsi="Times New Roman" w:cs="Times New Roman"/>
          <w:color w:val="000000"/>
          <w:sz w:val="20"/>
          <w:szCs w:val="20"/>
        </w:rPr>
        <w:t>100, 300 and 500 meter</w:t>
      </w:r>
      <w:proofErr w:type="gramEnd"/>
      <w:r w:rsidRPr="008A5C48">
        <w:rPr>
          <w:rFonts w:ascii="Times New Roman" w:eastAsia="Times New Roman" w:hAnsi="Times New Roman" w:cs="Times New Roman"/>
          <w:color w:val="000000"/>
          <w:sz w:val="20"/>
          <w:szCs w:val="20"/>
        </w:rPr>
        <w:t xml:space="preserve"> buffers around each address. Furthermore, an indicator for “residential proximity to major green spaces” was created, as it covers </w:t>
      </w:r>
      <w:r w:rsidRPr="008A5C48">
        <w:rPr>
          <w:rFonts w:ascii="Times New Roman" w:eastAsia="Times New Roman" w:hAnsi="Times New Roman" w:cs="Times New Roman"/>
          <w:color w:val="000000"/>
          <w:sz w:val="20"/>
          <w:szCs w:val="20"/>
        </w:rPr>
        <w:lastRenderedPageBreak/>
        <w:t xml:space="preserve">different aspects of natural space exposure, </w:t>
      </w:r>
      <w:proofErr w:type="gramStart"/>
      <w:r w:rsidRPr="008A5C48">
        <w:rPr>
          <w:rFonts w:ascii="Times New Roman" w:eastAsia="Times New Roman" w:hAnsi="Times New Roman" w:cs="Times New Roman"/>
          <w:color w:val="000000"/>
          <w:sz w:val="20"/>
          <w:szCs w:val="20"/>
        </w:rPr>
        <w:t>i.e.</w:t>
      </w:r>
      <w:proofErr w:type="gramEnd"/>
      <w:r w:rsidRPr="008A5C48">
        <w:rPr>
          <w:rFonts w:ascii="Times New Roman" w:eastAsia="Times New Roman" w:hAnsi="Times New Roman" w:cs="Times New Roman"/>
          <w:color w:val="000000"/>
          <w:sz w:val="20"/>
          <w:szCs w:val="20"/>
        </w:rPr>
        <w:t xml:space="preserve"> easy access to recreational space. We calculated access to major green spaces (parks or countryside) and major blue spaces (bodies of water) as the straight-line distance from the home or school to nearest blue or green space with an area greater than 5000 m</w:t>
      </w:r>
      <w:r w:rsidRPr="008A5C48">
        <w:rPr>
          <w:rFonts w:ascii="Times New Roman" w:eastAsia="Times New Roman" w:hAnsi="Times New Roman" w:cs="Times New Roman"/>
          <w:color w:val="000000"/>
          <w:sz w:val="20"/>
          <w:szCs w:val="20"/>
          <w:vertAlign w:val="superscript"/>
        </w:rPr>
        <w:t>2</w:t>
      </w:r>
      <w:r w:rsidRPr="008A5C48">
        <w:rPr>
          <w:rFonts w:ascii="Times New Roman" w:eastAsia="Times New Roman" w:hAnsi="Times New Roman" w:cs="Times New Roman"/>
          <w:color w:val="000000"/>
          <w:sz w:val="20"/>
          <w:szCs w:val="20"/>
        </w:rPr>
        <w:t xml:space="preserve"> from topographical maps </w:t>
      </w:r>
      <w:r>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{"citationID":"Y3bVk1Fl","properties":{"unsorted":true,"formattedCitation":"\\super 23,24\\nosupersub{}","plainCitation":"23,24","noteIndex":0},"citationItems":[{"id":1144,"uris":["http://zotero.org/users/9798320/items/D8UR6MTT"],"itemData":{"id":1144,"type":"webpage","abstract":"The Urban Atlas is providing pan-European comparable land use and land cover data for Large Urban Zones with more than 100.000 inhabitants as defined by the Urban Audit. The GIS data can be downloaded together with a map for each urban area covered and a report with the metadata.","genre":"Data","language":"en","license":"EEA standard re-use policy: unless otherwise indicated, re-use of content on the EEA website for commercial or non-commercial purposes is permitted free of charge, provided that the source is acknowledged (https://www.eea.europa.eu/legal/copyright). Copyright holder: Directorate-General Enterprise and Industry (DG-ENTR), Directorate-General for Regional Policy.","title":"Urban Atlas — European Environment Agency","URL":"https://www.eea.europa.eu/data-and-maps/data/urban-atlas","accessed":{"date-parts":[["2023",2,3]]}}},{"id":200,"uris":["http://zotero.org/users/9798320/items/L86WP2V6"],"itemData":{"id":200,"type":"article-journal","abstract":"Background: Little attention has been paid to how heat-related health effects vary with the micro-urban variation of outdoor temperatures. This study explored whether people located in micro-urban heat islands are at higher risk of mortality during hot summer days.\nMethods: Data used included (1) daily mortality for Montreal (Canada) for June–August 1990–2003, (2) daily mean ambient outdoor temperatures at the local international airport and (3) two thermal surface images (Landsat satellites, infrared wavelengths). A city-wide temperature versus daily mortality function was established on the basis of a case-crossover design; this function was stratified according to the surface temperature at decedents’ place of death.\nResults: The risk of death on warm summer days in areas with higher surface temperatures was greater than in areas with lower surface temperatures.\nConclusions: This study suggests that measures aimed at reducing the temperature in micro-urban heat islands (eg, urban greening activities) may reduce the health impact of hot temperatures. Further studies are needed to document the variation of heat-related risks within cities and to evaluate the health benefits of measures aimed at reducing the temperature in micro-urban heat islands.","container-title":"Journal of Epidemiology &amp; Community Health","DOI":"10.1136/jech.2008.078147","ISSN":"0143-005X, 1470-2738","issue":"8","language":"en","license":"© Smargiassi et al 2009. This is an open-access article distributed under the terms of the Creative Commons Attribution Non-commercial License, which permits unrestricted use, distribution, and reproduction in any medium, provided the original work is properly cited.","note":"publisher: BMJ Publishing Group Ltd\nsection: Research report\nPMID: 19366997","page":"659-664","source":"jech.bmj.com","title":"Variation of daily warm season mortality as a function of micro-urban heat islands","volume":"63","author":[{"family":"Smargiassi","given":"A."},{"family":"Goldberg","given":"M. S."},{"family":"Plante","given":"C."},{"family":"Fournier","given":"M."},{"family":"Baudouin","given":"Y."},{"family":"Kosatsky","given":"T."}],"issued":{"date-parts":[["2009",8,1]]}}}],"schema":"https://github.com/citation-style-language/schema/raw/master/csl-citation.json"} </w:instrText>
      </w:r>
      <w:r>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23,24</w:t>
      </w:r>
      <w:r>
        <w:rPr>
          <w:rFonts w:ascii="Times New Roman" w:eastAsia="Times New Roman" w:hAnsi="Times New Roman" w:cs="Times New Roman"/>
          <w:sz w:val="20"/>
          <w:szCs w:val="20"/>
        </w:rPr>
        <w:fldChar w:fldCharType="end"/>
      </w:r>
      <w:r w:rsidRPr="00810CC4">
        <w:rPr>
          <w:rFonts w:ascii="Times New Roman" w:eastAsia="Times New Roman" w:hAnsi="Times New Roman" w:cs="Times New Roman"/>
          <w:color w:val="000000"/>
          <w:sz w:val="20"/>
          <w:szCs w:val="20"/>
          <w:lang w:val="en-US"/>
        </w:rPr>
        <w:t xml:space="preserve"> or local sources. </w:t>
      </w:r>
      <w:r w:rsidRPr="00FB6412">
        <w:rPr>
          <w:rFonts w:ascii="Times New Roman" w:eastAsia="Times New Roman" w:hAnsi="Times New Roman" w:cs="Times New Roman"/>
          <w:color w:val="000000"/>
          <w:sz w:val="20"/>
          <w:szCs w:val="20"/>
        </w:rPr>
        <w:t xml:space="preserve">We also created a dichotomous variable to define whether a major green or blue space was present or not within a buffer of 300 m. For the pregnancy period the presence of a major blue or green space, and NDVI within a </w:t>
      </w:r>
      <w:proofErr w:type="gramStart"/>
      <w:r w:rsidRPr="00FB6412">
        <w:rPr>
          <w:rFonts w:ascii="Times New Roman" w:eastAsia="Times New Roman" w:hAnsi="Times New Roman" w:cs="Times New Roman"/>
          <w:color w:val="000000"/>
          <w:sz w:val="20"/>
          <w:szCs w:val="20"/>
        </w:rPr>
        <w:t>100 meter</w:t>
      </w:r>
      <w:proofErr w:type="gramEnd"/>
      <w:r w:rsidRPr="00FB6412">
        <w:rPr>
          <w:rFonts w:ascii="Times New Roman" w:eastAsia="Times New Roman" w:hAnsi="Times New Roman" w:cs="Times New Roman"/>
          <w:color w:val="000000"/>
          <w:sz w:val="20"/>
          <w:szCs w:val="20"/>
        </w:rPr>
        <w:t xml:space="preserve"> buffer, were selected as the main exposure variables. For the childhood period, we selected the presence of a major blue or green space and NDVI in a </w:t>
      </w:r>
      <w:proofErr w:type="gramStart"/>
      <w:r w:rsidRPr="00FB6412">
        <w:rPr>
          <w:rFonts w:ascii="Times New Roman" w:eastAsia="Times New Roman" w:hAnsi="Times New Roman" w:cs="Times New Roman"/>
          <w:color w:val="000000"/>
          <w:sz w:val="20"/>
          <w:szCs w:val="20"/>
        </w:rPr>
        <w:t>100 meter</w:t>
      </w:r>
      <w:proofErr w:type="gramEnd"/>
      <w:r w:rsidRPr="00FB6412">
        <w:rPr>
          <w:rFonts w:ascii="Times New Roman" w:eastAsia="Times New Roman" w:hAnsi="Times New Roman" w:cs="Times New Roman"/>
          <w:color w:val="000000"/>
          <w:sz w:val="20"/>
          <w:szCs w:val="20"/>
        </w:rPr>
        <w:t xml:space="preserve"> buffer (at home and at school).</w:t>
      </w:r>
    </w:p>
    <w:p w14:paraId="5C166C89" w14:textId="77777777" w:rsidR="00262C01" w:rsidRPr="008A5C48" w:rsidRDefault="00262C01" w:rsidP="00262C01">
      <w:pPr>
        <w:spacing w:after="0" w:line="240" w:lineRule="auto"/>
        <w:contextualSpacing/>
        <w:jc w:val="both"/>
        <w:rPr>
          <w:rFonts w:ascii="Times New Roman" w:eastAsia="Times New Roman" w:hAnsi="Times New Roman" w:cs="Times New Roman"/>
          <w:color w:val="000000"/>
          <w:sz w:val="20"/>
          <w:szCs w:val="20"/>
        </w:rPr>
      </w:pPr>
    </w:p>
    <w:p w14:paraId="634EA94C" w14:textId="77777777" w:rsidR="00262C01" w:rsidRPr="001672AC"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1672AC">
        <w:rPr>
          <w:rFonts w:ascii="Times New Roman" w:eastAsia="Times New Roman" w:hAnsi="Times New Roman" w:cs="Times New Roman"/>
          <w:bCs/>
          <w:i/>
          <w:sz w:val="20"/>
          <w:szCs w:val="20"/>
        </w:rPr>
        <w:t>Meteorological variables</w:t>
      </w:r>
    </w:p>
    <w:p w14:paraId="5BC1A72B" w14:textId="77777777" w:rsidR="00262C01"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We used meteorological stations in the study area to obtain data on temporal variability in temperature. Daily measurements of temperature and humidity were obtained from a local weather station in each study area and averaged over each period of interest. Atmospheric pressure data were obtained from the ESCAPE project, and were available only for pregnancy trimesters and the entire pregnancy period </w:t>
      </w:r>
      <w:r w:rsidRPr="001672AC">
        <w:rPr>
          <w:rFonts w:ascii="Times New Roman" w:eastAsia="Times New Roman" w:hAnsi="Times New Roman" w:cs="Times New Roman"/>
          <w:color w:val="000000"/>
          <w:sz w:val="20"/>
          <w:szCs w:val="20"/>
        </w:rPr>
        <w:t>(pregnancy mean</w:t>
      </w:r>
      <w:r w:rsidRPr="008A5C48">
        <w:rPr>
          <w:rFonts w:ascii="Times New Roman" w:eastAsia="Times New Roman" w:hAnsi="Times New Roman" w:cs="Times New Roman"/>
          <w:color w:val="000000"/>
          <w:sz w:val="20"/>
          <w:szCs w:val="20"/>
        </w:rPr>
        <w:t xml:space="preserve"> was selected as main exposure), not for the childhood period. During the childhood period temperature and humidity were estimated for the home and school address. Daily, weekly and monthly measurements of UV radiation (as erythemal UV, </w:t>
      </w:r>
      <w:proofErr w:type="spellStart"/>
      <w:r w:rsidRPr="008A5C48">
        <w:rPr>
          <w:rFonts w:ascii="Times New Roman" w:eastAsia="Times New Roman" w:hAnsi="Times New Roman" w:cs="Times New Roman"/>
          <w:color w:val="000000"/>
          <w:sz w:val="20"/>
          <w:szCs w:val="20"/>
        </w:rPr>
        <w:t>Viamin</w:t>
      </w:r>
      <w:proofErr w:type="spellEnd"/>
      <w:r w:rsidRPr="008A5C48">
        <w:rPr>
          <w:rFonts w:ascii="Times New Roman" w:eastAsia="Times New Roman" w:hAnsi="Times New Roman" w:cs="Times New Roman"/>
          <w:color w:val="000000"/>
          <w:sz w:val="20"/>
          <w:szCs w:val="20"/>
        </w:rPr>
        <w:t xml:space="preserve">-D and DNA damaging UV) at home and at school at 0.5 x </w:t>
      </w:r>
      <w:proofErr w:type="gramStart"/>
      <w:r w:rsidRPr="008A5C48">
        <w:rPr>
          <w:rFonts w:ascii="Times New Roman" w:eastAsia="Times New Roman" w:hAnsi="Times New Roman" w:cs="Times New Roman"/>
          <w:color w:val="000000"/>
          <w:sz w:val="20"/>
          <w:szCs w:val="20"/>
        </w:rPr>
        <w:t>0.5 degree</w:t>
      </w:r>
      <w:proofErr w:type="gramEnd"/>
      <w:r w:rsidRPr="008A5C48">
        <w:rPr>
          <w:rFonts w:ascii="Times New Roman" w:eastAsia="Times New Roman" w:hAnsi="Times New Roman" w:cs="Times New Roman"/>
          <w:color w:val="000000"/>
          <w:sz w:val="20"/>
          <w:szCs w:val="20"/>
        </w:rPr>
        <w:t xml:space="preserve"> resolution were obtained from the Global Ozone Monitoring Experiment onboard the ERS-2 (European Remote Sensing) satellite (</w:t>
      </w:r>
      <w:proofErr w:type="spellStart"/>
      <w:r w:rsidRPr="008A5C48">
        <w:rPr>
          <w:rFonts w:ascii="Times New Roman" w:eastAsia="Times New Roman" w:hAnsi="Times New Roman" w:cs="Times New Roman"/>
          <w:color w:val="000000"/>
          <w:sz w:val="20"/>
          <w:szCs w:val="20"/>
        </w:rPr>
        <w:t>Temis</w:t>
      </w:r>
      <w:proofErr w:type="spellEnd"/>
      <w:r w:rsidRPr="008A5C48">
        <w:rPr>
          <w:rFonts w:ascii="Times New Roman" w:eastAsia="Times New Roman" w:hAnsi="Times New Roman" w:cs="Times New Roman"/>
          <w:color w:val="000000"/>
          <w:sz w:val="20"/>
          <w:szCs w:val="20"/>
        </w:rPr>
        <w:t xml:space="preserve">), and averaged over the day, week and month before the </w:t>
      </w:r>
      <w:proofErr w:type="spellStart"/>
      <w:r w:rsidRPr="008A5C48">
        <w:rPr>
          <w:rFonts w:ascii="Times New Roman" w:eastAsia="Times New Roman" w:hAnsi="Times New Roman" w:cs="Times New Roman"/>
          <w:color w:val="000000"/>
          <w:sz w:val="20"/>
          <w:szCs w:val="20"/>
        </w:rPr>
        <w:t>subcohort</w:t>
      </w:r>
      <w:proofErr w:type="spellEnd"/>
      <w:r w:rsidRPr="008A5C48">
        <w:rPr>
          <w:rFonts w:ascii="Times New Roman" w:eastAsia="Times New Roman" w:hAnsi="Times New Roman" w:cs="Times New Roman"/>
          <w:color w:val="000000"/>
          <w:sz w:val="20"/>
          <w:szCs w:val="20"/>
        </w:rPr>
        <w:t xml:space="preserve"> follow-up examination. For the childhood period, monthly UV-vit D at home address was selected as main exposure variable. For the pregnancy period, estimates were not available.</w:t>
      </w:r>
    </w:p>
    <w:p w14:paraId="2F36FF4E" w14:textId="77777777" w:rsidR="00262C01" w:rsidRPr="008A5C48"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6BED0F47" w14:textId="77777777" w:rsidR="00262C01" w:rsidRPr="001672AC"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1672AC">
        <w:rPr>
          <w:rFonts w:ascii="Times New Roman" w:eastAsia="Times New Roman" w:hAnsi="Times New Roman" w:cs="Times New Roman"/>
          <w:bCs/>
          <w:i/>
          <w:sz w:val="20"/>
          <w:szCs w:val="20"/>
        </w:rPr>
        <w:t>Built environment</w:t>
      </w:r>
    </w:p>
    <w:p w14:paraId="006FFCA0" w14:textId="1E3D6D14" w:rsidR="00262C01"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Topological maps for the following built environment indicators were obtained from local authorities or from Europe wide sources</w:t>
      </w:r>
      <w:r w:rsidR="001672AC">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Building density was calculated within </w:t>
      </w:r>
      <w:proofErr w:type="gramStart"/>
      <w:r w:rsidRPr="008A5C48">
        <w:rPr>
          <w:rFonts w:ascii="Times New Roman" w:eastAsia="Times New Roman" w:hAnsi="Times New Roman" w:cs="Times New Roman"/>
          <w:color w:val="000000"/>
          <w:sz w:val="20"/>
          <w:szCs w:val="20"/>
        </w:rPr>
        <w:t>100 and 300 meters</w:t>
      </w:r>
      <w:proofErr w:type="gramEnd"/>
      <w:r w:rsidRPr="008A5C48">
        <w:rPr>
          <w:rFonts w:ascii="Times New Roman" w:eastAsia="Times New Roman" w:hAnsi="Times New Roman" w:cs="Times New Roman"/>
          <w:color w:val="000000"/>
          <w:sz w:val="20"/>
          <w:szCs w:val="20"/>
        </w:rPr>
        <w:t xml:space="preserve"> buffer by dividing the area of building cover (m</w:t>
      </w:r>
      <w:r w:rsidRPr="008A5C48">
        <w:rPr>
          <w:rFonts w:ascii="Times New Roman" w:eastAsia="Times New Roman" w:hAnsi="Times New Roman" w:cs="Times New Roman"/>
          <w:color w:val="000000"/>
          <w:sz w:val="20"/>
          <w:szCs w:val="20"/>
          <w:vertAlign w:val="superscript"/>
        </w:rPr>
        <w:t>2</w:t>
      </w:r>
      <w:r w:rsidRPr="008A5C48">
        <w:rPr>
          <w:rFonts w:ascii="Times New Roman" w:eastAsia="Times New Roman" w:hAnsi="Times New Roman" w:cs="Times New Roman"/>
          <w:color w:val="000000"/>
          <w:sz w:val="20"/>
          <w:szCs w:val="20"/>
        </w:rPr>
        <w:t>) by the area of each buffer (km</w:t>
      </w:r>
      <w:r w:rsidRPr="008A5C48">
        <w:rPr>
          <w:rFonts w:ascii="Times New Roman" w:eastAsia="Times New Roman" w:hAnsi="Times New Roman" w:cs="Times New Roman"/>
          <w:color w:val="000000"/>
          <w:sz w:val="20"/>
          <w:szCs w:val="20"/>
          <w:vertAlign w:val="superscript"/>
        </w:rPr>
        <w:t>2</w:t>
      </w:r>
      <w:r w:rsidRPr="008A5C48">
        <w:rPr>
          <w:rFonts w:ascii="Times New Roman" w:eastAsia="Times New Roman" w:hAnsi="Times New Roman" w:cs="Times New Roman"/>
          <w:color w:val="000000"/>
          <w:sz w:val="20"/>
          <w:szCs w:val="20"/>
        </w:rPr>
        <w:t>). Population density was calculated as the number of inhabitants per km</w:t>
      </w:r>
      <w:r w:rsidRPr="008A5C48">
        <w:rPr>
          <w:rFonts w:ascii="Times New Roman" w:eastAsia="Times New Roman" w:hAnsi="Times New Roman" w:cs="Times New Roman"/>
          <w:color w:val="000000"/>
          <w:sz w:val="20"/>
          <w:szCs w:val="20"/>
          <w:vertAlign w:val="superscript"/>
        </w:rPr>
        <w:t>2</w:t>
      </w:r>
      <w:r w:rsidRPr="008A5C48">
        <w:rPr>
          <w:rFonts w:ascii="Times New Roman" w:eastAsia="Times New Roman" w:hAnsi="Times New Roman" w:cs="Times New Roman"/>
          <w:color w:val="000000"/>
          <w:sz w:val="20"/>
          <w:szCs w:val="20"/>
        </w:rPr>
        <w:t xml:space="preserve"> surrounding the home address. Street connectivity was calculated as the number of street intersections inside </w:t>
      </w:r>
      <w:proofErr w:type="gramStart"/>
      <w:r w:rsidRPr="008A5C48">
        <w:rPr>
          <w:rFonts w:ascii="Times New Roman" w:eastAsia="Times New Roman" w:hAnsi="Times New Roman" w:cs="Times New Roman"/>
          <w:color w:val="000000"/>
          <w:sz w:val="20"/>
          <w:szCs w:val="20"/>
        </w:rPr>
        <w:t>100 and 300 meters</w:t>
      </w:r>
      <w:proofErr w:type="gramEnd"/>
      <w:r w:rsidRPr="008A5C48">
        <w:rPr>
          <w:rFonts w:ascii="Times New Roman" w:eastAsia="Times New Roman" w:hAnsi="Times New Roman" w:cs="Times New Roman"/>
          <w:color w:val="000000"/>
          <w:sz w:val="20"/>
          <w:szCs w:val="20"/>
        </w:rPr>
        <w:t xml:space="preserve"> buffer, divided by the area (km</w:t>
      </w:r>
      <w:r w:rsidRPr="008A5C48">
        <w:rPr>
          <w:rFonts w:ascii="Times New Roman" w:eastAsia="Times New Roman" w:hAnsi="Times New Roman" w:cs="Times New Roman"/>
          <w:color w:val="000000"/>
          <w:sz w:val="20"/>
          <w:szCs w:val="20"/>
          <w:vertAlign w:val="superscript"/>
        </w:rPr>
        <w:t>2</w:t>
      </w:r>
      <w:r w:rsidRPr="008A5C48">
        <w:rPr>
          <w:rFonts w:ascii="Times New Roman" w:eastAsia="Times New Roman" w:hAnsi="Times New Roman" w:cs="Times New Roman"/>
          <w:color w:val="000000"/>
          <w:sz w:val="20"/>
          <w:szCs w:val="20"/>
        </w:rPr>
        <w:t>) of each buffer. Facility richness index was calculated as the number of different facility types present divided by the maximum potential number of facility types specified, in a buffer of 300 meters, giving a score of 0 to 1. Facility density index was calculated as the number of facilities present divided by the area of the 300 meters buffer (number of facilities/km</w:t>
      </w:r>
      <w:r w:rsidRPr="008A5C48">
        <w:rPr>
          <w:rFonts w:ascii="Times New Roman" w:eastAsia="Times New Roman" w:hAnsi="Times New Roman" w:cs="Times New Roman"/>
          <w:color w:val="000000"/>
          <w:sz w:val="20"/>
          <w:szCs w:val="20"/>
          <w:vertAlign w:val="superscript"/>
        </w:rPr>
        <w:t>2</w:t>
      </w:r>
      <w:r w:rsidRPr="008A5C48">
        <w:rPr>
          <w:rFonts w:ascii="Times New Roman" w:eastAsia="Times New Roman" w:hAnsi="Times New Roman" w:cs="Times New Roman"/>
          <w:color w:val="000000"/>
          <w:sz w:val="20"/>
          <w:szCs w:val="20"/>
        </w:rPr>
        <w:t xml:space="preserve">). A higher value indicates a more availability of different facility types. </w:t>
      </w:r>
      <w:proofErr w:type="spellStart"/>
      <w:r w:rsidRPr="008A5C48">
        <w:rPr>
          <w:rFonts w:ascii="Times New Roman" w:eastAsia="Times New Roman" w:hAnsi="Times New Roman" w:cs="Times New Roman"/>
          <w:color w:val="000000"/>
          <w:sz w:val="20"/>
          <w:szCs w:val="20"/>
        </w:rPr>
        <w:t>Landuse</w:t>
      </w:r>
      <w:proofErr w:type="spellEnd"/>
      <w:r w:rsidRPr="008A5C48">
        <w:rPr>
          <w:rFonts w:ascii="Times New Roman" w:eastAsia="Times New Roman" w:hAnsi="Times New Roman" w:cs="Times New Roman"/>
          <w:color w:val="000000"/>
          <w:sz w:val="20"/>
          <w:szCs w:val="20"/>
        </w:rPr>
        <w:t xml:space="preserve"> Shannon's Evenness Index (SEI) was calculated to provide the proportional abundance of each type of land use in a buffer of 300 meters, giving a score between 0 and 1 </w:t>
      </w:r>
      <w:r w:rsidRPr="008A5C48">
        <w:rPr>
          <w:rFonts w:ascii="Times New Roman" w:eastAsia="Times New Roman" w:hAnsi="Times New Roman" w:cs="Times New Roman"/>
          <w:sz w:val="20"/>
          <w:szCs w:val="20"/>
        </w:rPr>
        <w:t>(Shannon and E. 2001)</w:t>
      </w:r>
      <w:r w:rsidRPr="008A5C48">
        <w:rPr>
          <w:rFonts w:ascii="Times New Roman" w:eastAsia="Times New Roman" w:hAnsi="Times New Roman" w:cs="Times New Roman"/>
          <w:color w:val="000000"/>
          <w:sz w:val="20"/>
          <w:szCs w:val="20"/>
        </w:rPr>
        <w:t>. It was calculated by multiplying each proportion of land use type by its logarithm and dividing the sum of all land use type products by the logarithm of the total possible land use types. We developed an indicator of walkability, adapted from the previous walkability indexes</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{"citationID":"dTSo4kPO","properties":{"formattedCitation":"\\super 25\\uc0\\u8211{}27\\nosupersub{}","plainCitation":"25–27","noteIndex":0},"citationItems":[{"id":197,"uris":["http://zotero.org/users/9798320/items/KFRQ36NM"],"itemData":{"id":197,"type":"article-journal","abstract":"Neighborhood walkability can influence physical activity. We evaluated the validity of Walk Score® for assessing neighborhood walkability based on GIS (objective) indicators of neighborhood walkability with addresses from four US metropolitan areas with several street network buffer distances (i.e., 400-, 800-, and 1,600-meters). Address data come from the YMCA-Harvard After School Food and Fitness Project, an obesity prevention intervention involving children aged 5–11 years and their families participating in YMCA-administered, after-school programs located in four geographically diverse metropolitan areas in the US (n = 733). GIS data were used to measure multiple objective indicators of neighborhood walkability. Walk Scores were also obtained for the participant’s residential addresses. Spearman correlations between Walk Scores and the GIS neighborhood walkability indicators were calculated as well as Spearman correlations accounting for spatial autocorrelation. There were many significant moderate correlations between Walk Scores and the GIS neighborhood walkability indicators such as density of retail destinations and intersection density (p &lt; 0.05). The magnitude varied by the GIS indicator of neighborhood walkability. Correlations generally became stronger with a larger spatial scale, and there were some geographic differences. Walk Score® is free and publicly available for public health researchers and practitioners. Results from our study suggest that Walk Score® is a valid measure of estimating certain aspects of neighborhood walkability, particularly at the 1600-meter buffer. As such, our study confirms and extends the generalizability of previous findings demonstrating that Walk Score is a valid measure of estimating neighborhood walkability in multiple geographic locations and at multiple spatial scales.","container-title":"International Journal of Environmental Research and Public Health","DOI":"10.3390/ijerph8114160","ISSN":"1660-4601","issue":"11","language":"en","license":"http://creativecommons.org/licenses/by/3.0/","note":"number: 11\npublisher: Molecular Diversity Preservation International","page":"4160-4179","source":"www.mdpi.com","title":"Validation of Walk Score® for Estimating Neighborhood Walkability: An Analysis of Four US Metropolitan Areas","title-short":"Validation of Walk Score® for Estimating Neighborhood Walkability","volume":"8","author":[{"family":"Duncan","given":"Dustin T."},{"family":"Aldstadt","given":"Jared"},{"family":"Whalen","given":"John"},{"family":"Melly","given":"Steven J."},{"family":"Gortmaker","given":"Steven L."}],"issued":{"date-parts":[["2011",11]]}}},{"id":196,"uris":["http://zotero.org/users/9798320/items/FUNV2QPN"],"itemData":{"id":196,"type":"article-journal","abstract":"The literature shows single-use, low-density land development and disconnected street networks to be positively associated with auto dependence and negatively associated with walking and transit use. These factors in turn appear to affect health by influencing physical activity, obesity, and emissions of air pollutants. We evaluated the association between a single index of walkability that incorporated land use mix, street connectivity, net residential density, and retail floor area ratios, with health-related outcomes in King County, Washington. We found a 5% increase in walkability to be associated with a per capita 32.1% increase in time spent in physically active travel, a 0.23-point reduction in body mass index, 6.5% fewer vehicle miles traveled, 5.6% fewer grams of oxides of nitrogen (NOx) emitted, and 5.5% fewer grams of volatile organic compounds (VOC) emitted. These results connect development patterns with factors that affect several prevalent chronic diseases.","container-title":"Journal of the American Planning Association","DOI":"10.1080/01944360608976725","ISSN":"0194-4363","issue":"1","note":"publisher: Routledge\n_eprint: https://doi.org/10.1080/01944360608976725","page":"75-87","source":"Taylor and Francis+NEJM","title":"Many Pathways from Land Use to Health: Associations between Neighborhood Walkability and Active Transportation, Body Mass Index, and Air Quality","title-short":"Many Pathways from Land Use to Health","volume":"72","author":[{"family":"Frank","given":"Lawrence D."},{"family":"Sallis","given":"James F."},{"family":"Conway","given":"Terry L."},{"family":"Chapman","given":"James E."},{"family":"Saelens","given":"Brian E."},{"family":"Bachman","given":"William"}],"issued":{"date-parts":[["2006",3,31]]}}},{"id":1142,"uris":["http://zotero.org/users/9798320/items/Q8QXCN6I"],"itemData":{"id":1142,"type":"webpage","title":"Walk Score Terms of Use","URL":"https://www.walkscore.com/terms-of-use.shtml","accessed":{"date-parts":[["2023",2,3]]}}}],"schema":"https://github.com/citation-style-language/schema/raw/master/csl-citation.json"}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25–27</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xml:space="preserve">, calculated as the mean and sum of the deciles of population density, street connectivity, facility richness index and land use SEI within 300 meters buffers, giving a walkability score ranging from 0 to 1. Accessibility was measured by BST (bus public transport) lines and stops were obtained from local authorities of each study area and from Open Street Maps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{"citationID":"WR9aIxMx","properties":{"formattedCitation":"\\super 28\\nosupersub{}","plainCitation":"28","noteIndex":0},"citationItems":[{"id":1146,"uris":["http://zotero.org/users/9798320/items/PL52HXER"],"itemData":{"id":1146,"type":"webpage","abstract":"OpenStreetMap est une carte du monde, créée par des gens comme vous et libre d’utilisation sous licence libre.","container-title":"OpenStreetMap","language":"fr","title":"OpenStreetMap","URL":"https://www.openstreetmap.org/","accessed":{"date-parts":[["2023",2,3]]}}}],"schema":"https://github.com/citation-style-language/schema/raw/master/csl-citation.json"}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28</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where local layers were not available. BST lines density was calculated as meters of BST lines inside </w:t>
      </w:r>
      <w:proofErr w:type="gramStart"/>
      <w:r w:rsidRPr="008A5C48">
        <w:rPr>
          <w:rFonts w:ascii="Times New Roman" w:eastAsia="Times New Roman" w:hAnsi="Times New Roman" w:cs="Times New Roman"/>
          <w:color w:val="000000"/>
          <w:sz w:val="20"/>
          <w:szCs w:val="20"/>
        </w:rPr>
        <w:t xml:space="preserve">100, </w:t>
      </w:r>
      <w:r w:rsidRPr="003A2A54">
        <w:rPr>
          <w:rFonts w:ascii="Times New Roman" w:eastAsia="Times New Roman" w:hAnsi="Times New Roman" w:cs="Times New Roman"/>
          <w:color w:val="000000"/>
          <w:sz w:val="20"/>
          <w:szCs w:val="20"/>
        </w:rPr>
        <w:t>300 and 500 meters</w:t>
      </w:r>
      <w:proofErr w:type="gramEnd"/>
      <w:r w:rsidRPr="003A2A54">
        <w:rPr>
          <w:rFonts w:ascii="Times New Roman" w:eastAsia="Times New Roman" w:hAnsi="Times New Roman" w:cs="Times New Roman"/>
          <w:color w:val="000000"/>
          <w:sz w:val="20"/>
          <w:szCs w:val="20"/>
        </w:rPr>
        <w:t xml:space="preserve"> buffer, divided by the buffer area in square </w:t>
      </w:r>
      <w:proofErr w:type="spellStart"/>
      <w:r w:rsidRPr="003A2A54">
        <w:rPr>
          <w:rFonts w:ascii="Times New Roman" w:eastAsia="Times New Roman" w:hAnsi="Times New Roman" w:cs="Times New Roman"/>
          <w:color w:val="000000"/>
          <w:sz w:val="20"/>
          <w:szCs w:val="20"/>
        </w:rPr>
        <w:t>kilometers</w:t>
      </w:r>
      <w:proofErr w:type="spellEnd"/>
      <w:r w:rsidRPr="003A2A54">
        <w:rPr>
          <w:rFonts w:ascii="Times New Roman" w:eastAsia="Times New Roman" w:hAnsi="Times New Roman" w:cs="Times New Roman"/>
          <w:color w:val="000000"/>
          <w:sz w:val="20"/>
          <w:szCs w:val="20"/>
        </w:rPr>
        <w:t xml:space="preserve">. BST stop density was calculated as number of BST inside </w:t>
      </w:r>
      <w:proofErr w:type="gramStart"/>
      <w:r w:rsidRPr="003A2A54">
        <w:rPr>
          <w:rFonts w:ascii="Times New Roman" w:eastAsia="Times New Roman" w:hAnsi="Times New Roman" w:cs="Times New Roman"/>
          <w:color w:val="000000"/>
          <w:sz w:val="20"/>
          <w:szCs w:val="20"/>
        </w:rPr>
        <w:t>100, 300 and 500 meters</w:t>
      </w:r>
      <w:proofErr w:type="gramEnd"/>
      <w:r w:rsidRPr="003A2A54">
        <w:rPr>
          <w:rFonts w:ascii="Times New Roman" w:eastAsia="Times New Roman" w:hAnsi="Times New Roman" w:cs="Times New Roman"/>
          <w:color w:val="000000"/>
          <w:sz w:val="20"/>
          <w:szCs w:val="20"/>
        </w:rPr>
        <w:t xml:space="preserve"> buffer, divided by the buffer area in square </w:t>
      </w:r>
      <w:proofErr w:type="spellStart"/>
      <w:r w:rsidRPr="003A2A54">
        <w:rPr>
          <w:rFonts w:ascii="Times New Roman" w:eastAsia="Times New Roman" w:hAnsi="Times New Roman" w:cs="Times New Roman"/>
          <w:color w:val="000000"/>
          <w:sz w:val="20"/>
          <w:szCs w:val="20"/>
        </w:rPr>
        <w:t>kilometers</w:t>
      </w:r>
      <w:proofErr w:type="spellEnd"/>
      <w:r w:rsidRPr="003A2A54">
        <w:rPr>
          <w:rFonts w:ascii="Times New Roman" w:eastAsia="Times New Roman" w:hAnsi="Times New Roman" w:cs="Times New Roman"/>
          <w:color w:val="000000"/>
          <w:sz w:val="20"/>
          <w:szCs w:val="20"/>
        </w:rPr>
        <w:t xml:space="preserve">. For the current manuscript, we selected the </w:t>
      </w:r>
      <w:proofErr w:type="gramStart"/>
      <w:r w:rsidRPr="003A2A54">
        <w:rPr>
          <w:rFonts w:ascii="Times New Roman" w:eastAsia="Times New Roman" w:hAnsi="Times New Roman" w:cs="Times New Roman"/>
          <w:color w:val="000000"/>
          <w:sz w:val="20"/>
          <w:szCs w:val="20"/>
        </w:rPr>
        <w:t>300 meter</w:t>
      </w:r>
      <w:proofErr w:type="gramEnd"/>
      <w:r w:rsidRPr="003A2A54">
        <w:rPr>
          <w:rFonts w:ascii="Times New Roman" w:eastAsia="Times New Roman" w:hAnsi="Times New Roman" w:cs="Times New Roman"/>
          <w:color w:val="000000"/>
          <w:sz w:val="20"/>
          <w:szCs w:val="20"/>
        </w:rPr>
        <w:t xml:space="preserve"> buffer at home and school address as main exposure during pregnancy and childhood periods.</w:t>
      </w:r>
    </w:p>
    <w:p w14:paraId="633B33E8" w14:textId="77777777" w:rsidR="00262C01" w:rsidRPr="008A5C48"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highlight w:val="cyan"/>
        </w:rPr>
      </w:pPr>
    </w:p>
    <w:p w14:paraId="71432472" w14:textId="77777777" w:rsidR="00262C01" w:rsidRPr="001672AC"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1672AC">
        <w:rPr>
          <w:rFonts w:ascii="Times New Roman" w:eastAsia="Times New Roman" w:hAnsi="Times New Roman" w:cs="Times New Roman"/>
          <w:bCs/>
          <w:i/>
          <w:sz w:val="20"/>
          <w:szCs w:val="20"/>
        </w:rPr>
        <w:t>Road traffic</w:t>
      </w:r>
    </w:p>
    <w:p w14:paraId="37DA1490" w14:textId="4144153C" w:rsidR="00262C01"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Traffic density indicators (traffic density on nearest road, traffic load on all and major roads within 100 m buffer and inverse distance to nearest road) were calculated from road network maps following the ESCAPE protocol </w:t>
      </w:r>
      <w:r>
        <w:rPr>
          <w:rFonts w:ascii="Times New Roman" w:eastAsia="Times New Roman" w:hAnsi="Times New Roman" w:cs="Times New Roman"/>
          <w:color w:val="000000"/>
          <w:sz w:val="20"/>
          <w:szCs w:val="20"/>
        </w:rPr>
        <w:fldChar w:fldCharType="begin"/>
      </w:r>
      <w:r w:rsidR="00DD0DC1">
        <w:rPr>
          <w:rFonts w:ascii="Times New Roman" w:eastAsia="Times New Roman" w:hAnsi="Times New Roman" w:cs="Times New Roman"/>
          <w:color w:val="000000"/>
          <w:sz w:val="20"/>
          <w:szCs w:val="20"/>
        </w:rPr>
        <w:instrText xml:space="preserve"> ADDIN ZOTERO_ITEM CSL_CITATION {"citationID":"Vhqgicct","properties":{"formattedCitation":"\\super 16,17\\nosupersub{}","plainCitation":"16,17","noteIndex":0},"citationItems":[{"id":205,"uris":["http://zotero.org/users/9798320/items/JU6MCHMZ"],"itemData":{"id":205,"type":"article-journal","abstract":"Estimating within-city variability in air pollution concentrations is important. Land use regression (LUR) models are able to explain such small-scale within-city variations. Transparency in LUR model development methods is important to facilitate comparison of methods between different studies. We therefore developed LUR models in a standardized way in 36 study areas in Europe for the ESCAPE (European Study of Cohorts for Air Pollution Effects) project. Nitrogen dioxide (NO2) and nitrogen oxides (NOx) were measured with Ogawa passive samplers at 40 or 80 sites in each of the 36 study areas. The spatial variation in each area was explained by LUR modelling. Centrally and locally available Geographic Information System (GIS) variables were used as potential predictors. A leave-one out cross-validation procedure was used to evaluate the model performance. There was substantial contrast in annual average NO2 and NOx concentrations within the study areas. The model explained variances (R2) of the LUR models ranged from 55% to 92% (median 82%) for NO2 and from 49% to 91% (median 78%) for NOx. For most areas the cross-validation R2 was less than 10% lower than the model R2. Small-scale traffic and population/household density were the most common predictors. The magnitude of the explained variance depended on the contrast in measured concentrations as well as availability of GIS predictors, especially traffic intensity data were important. In an additional evaluation, models in which local traffic intensity was not offered had 10% lower R2 compared to models in the same areas in which these variables were offered. Within the ESCAPE project it was possible to develop LUR models that explained a large fraction of the spatial variance in measured annual average NO2 and NOx concentrations. These LUR models are being used to estimate outdoor concentrations at the home addresses of participants in over 30 cohort studies.","container-title":"Atmospheric Environment","DOI":"10.1016/j.atmosenv.2013.02.037","ISSN":"1352-2310","journalAbbreviation":"Atmospheric Environment","language":"en","page":"10-23","source":"ScienceDirect","title":"Development of NO2 and NOx land use regression models for estimating air pollution exposure in 36 study areas in Europe – The ESCAPE project","volume":"72","author":[{"family":"Beelen","given":"Rob"},{"family":"Hoek","given":"Gerard"},{"family":"Vienneau","given":"Danielle"},{"family":"Eeftens","given":"Marloes"},{"family":"Dimakopoulou","given":"Konstantina"},{"family":"Pedeli","given":"Xanthi"},{"family":"Tsai","given":"Ming-Yi"},{"family":"Künzli","given":"Nino"},{"family":"Schikowski","given":"Tamara"},{"family":"Marcon","given":"Alessandro"},{"family":"Eriksen","given":"Kirsten T."},{"family":"Raaschou-Nielsen","given":"Ole"},{"family":"Stephanou","given":"Euripides"},{"family":"Patelarou","given":"Evridiki"},{"family":"Lanki","given":"Timo"},{"family":"Yli-Tuomi","given":"Tarja"},{"family":"Declercq","given":"Christophe"},{"family":"Falq","given":"Grégoire"},{"family":"Stempfelet","given":"Morgane"},{"family":"Birk","given":"Matthias"},{"family":"Cyrys","given":"Josef"},{"family":"Klot","given":"Stephanie","non-dropping-particle":"von"},{"family":"Nádor","given":"Gizella"},{"family":"Varró","given":"Mihály János"},{"family":"Dėdelė","given":"Audrius"},{"family":"Gražulevičienė","given":"Regina"},{"family":"Mölter","given":"Anna"},{"family":"Lindley","given":"Sarah"},{"family":"Madsen","given":"Christian"},{"family":"Cesaroni","given":"Giulia"},{"family":"Ranzi","given":"Andrea"},{"family":"Badaloni","given":"Chiara"},{"family":"Hoffmann","given":"Barbara"},{"family":"Nonnemacher","given":"Michael"},{"family":"Krämer","given":"Ursula"},{"family":"Kuhlbusch","given":"Thomas"},{"family":"Cirach","given":"Marta"},{"family":"Nazelle","given":"Audrey","non-dropping-particle":"de"},{"family":"Nieuwenhuijsen","given":"Mark"},{"family":"Bellander","given":"Tom"},{"family":"Korek","given":"Michal"},{"family":"Olsson","given":"David"},{"family":"Strömgren","given":"Magnus"},{"family":"Dons","given":"Evi"},{"family":"Jerrett","given":"Michael"},{"family":"Fischer","given":"Paul"},{"family":"Wang","given":"Meng"},{"family":"Brunekreef","given":"Bert"},{"family":"Hoogh","given":"Kees","non-dropping-particle":"de"}],"issued":{"date-parts":[["2013",6,1]]}}},{"id":207,"uris":["http://zotero.org/users/9798320/items/88WTAYD7"],"itemData":{"id":207,"type":"article-journal","abstract":"Land Use Regression (LUR) models have been used increasingly for modeling small-scale spatial variation in air pollution concentrations and estimating individual exposure for participants of cohort studies. Within the ESCAPE project, concentrations of PM2.5, PM2.5 absorbance, PM10, and PMcoarse were measured in 20 European study areas at 20 sites per area. GIS-derived predictor variables (e.g., traffic intensity, population, and land-use) were evaluated to model spatial variation of annual average concentrations for each study area. The median model explained variance (R2) was 71% for PM2.5 (range across study areas 35–94%). Model R2 was higher for PM2.5 absorbance (median 89%, range 56–97%) and lower for PMcoarse (median 68%, range 32– 81%). Models included between two and five predictor variables, with various traffic indicators as the most common predictors. Lower R2 was related to small concentration variability or limited availability of predictor variables, especially traffic intensity. Cross validation R2 results were on average 8–11% lower than model R2. Careful selection of monitoring sites, examination of influential observations and skewed variable distributions were essential for developing stable LUR models. The final LUR models are used to estimate air pollution concentrations at the home addresses of participants in the health studies involved in ESCAPE.","container-title":"Environmental Science &amp; Technology","DOI":"10.1021/es301948k","ISSN":"0013-936X","issue":"20","journalAbbreviation":"Environ. Sci. Technol.","note":"publisher: American Chemical Society","page":"11195-11205","source":"ACS Publications","title":"Development of Land Use Regression Models for PM2.5, PM2.5 Absorbance, PM10 and PMcoarse in 20 European Study Areas; Results of the ESCAPE Project","volume":"46","author":[{"family":"Eeftens","given":"Marloes"},{"family":"Beelen","given":"Rob"},{"family":"Hoogh","given":"Kees","non-dropping-particle":"de"},{"family":"Bellander","given":"Tom"},{"family":"Cesaroni","given":"Giulia"},{"family":"Cirach","given":"Marta"},{"family":"Declercq","given":"Christophe"},{"family":"Dėdelė","given":"Audrius"},{"family":"Dons","given":"Evi"},{"family":"Nazelle","given":"Audrey","non-dropping-particle":"de"},{"family":"Dimakopoulou","given":"Konstantina"},{"family":"Eriksen","given":"Kirsten"},{"family":"Falq","given":"Grégoire"},{"family":"Fischer","given":"Paul"},{"family":"Galassi","given":"Claudia"},{"family":"Gražulevičienė","given":"Regina"},{"family":"Heinrich","given":"Joachim"},{"family":"Hoffmann","given":"Barbara"},{"family":"Jerrett","given":"Michael"},{"family":"Keidel","given":"Dirk"},{"family":"Korek","given":"Michal"},{"family":"Lanki","given":"Timo"},{"family":"Lindley","given":"Sarah"},{"family":"Madsen","given":"Christian"},{"family":"Mölter","given":"Anna"},{"family":"Nádor","given":"Gizella"},{"family":"Nieuwenhuijsen","given":"Mark"},{"family":"Nonnemacher","given":"Michael"},{"family":"Pedeli","given":"Xanthi"},{"family":"Raaschou-Nielsen","given":"Ole"},{"family":"Patelarou","given":"Evridiki"},{"family":"Quass","given":"Ulrich"},{"family":"Ranzi","given":"Andrea"},{"family":"Schindler","given":"Christian"},{"family":"Stempfelet","given":"Morgane"},{"family":"Stephanou","given":"Euripides"},{"family":"Sugiri","given":"Dorothea"},{"family":"Tsai","given":"Ming-Yi"},{"family":"Yli-Tuomi","given":"Tarja"},{"family":"Varró","given":"Mihály J"},{"family":"Vienneau","given":"Danielle"},{"family":"Klot","given":"Stephanie","dropping-particle":"von"},{"family":"Wolf","given":"Kathrin"},{"family":"Brunekreef","given":"Bert"},{"family":"Hoek","given":"Gerard"}],"issued":{"date-parts":[["2012",10,16]]}}}],"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DD0DC1" w:rsidRPr="00DD0DC1">
        <w:rPr>
          <w:rFonts w:ascii="Times New Roman" w:hAnsi="Times New Roman" w:cs="Times New Roman"/>
          <w:sz w:val="20"/>
          <w:szCs w:val="24"/>
          <w:vertAlign w:val="superscript"/>
        </w:rPr>
        <w:t>16,17</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xml:space="preserve">. A fieldwork campaign was conducted in Heraklion during 2015, to assess multiple exposures as previously described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{"citationID":"z5P0TuOW","properties":{"formattedCitation":"\\super 29\\nosupersub{}","plainCitation":"29","noteIndex":0},"citationItems":[{"id":193,"uris":["http://zotero.org/users/9798320/items/5BEWJJ28"],"itemData":{"id":193,"type":"article-journal","abstract":"Long-term ultrafine particle (UFP) exposure estimates at a fine spatial scale are needed for epidemiological studies. Land use regression (LUR) models were developed and evaluated for six European areas based on repeated 30 min monitoring following standardized protocols. In each area; Basel (Switzerland), Heraklion (Greece), Amsterdam, Maastricht, and Utrecht (“The Netherlands”), Norwich (United Kingdom), Sabadell (Spain), and Turin (Italy), 160–240 sites were monitored to develop LUR models by supervised stepwise selection of GIS predictors. For each area and all areas combined, 10 models were developed in stratified random selections of 90% of sites. UFP prediction robustness was evaluated with the intraclass correlation coefficient (ICC) at 31–50 external sites per area. Models from Basel and The Netherlands were validated against repeated 24 h outdoor measurements. Structure and model R2 of local models were similar within, but varied between areas (e.g., 38–43% Turin; 25–31% Sabadell). Robustness of predictions within areas was high (ICC 0.73–0.98). External validation R2 was 53% in Basel and 50% in The Netherlands. Combined area models were robust (ICC 0.93–1.00) and explained UFP variation almost equally well as local models. In conclusion, robust UFP LUR models could be developed on short-term monitoring, explaining around 50% of spatial variance in longer-term measurements.","container-title":"Environmental Science &amp; Technology","DOI":"10.1021/acs.est.6b05920","ISSN":"0013-936X","issue":"6","journalAbbreviation":"Environ. Sci. Technol.","note":"publisher: American Chemical Society","page":"3336-3345","source":"ACS Publications","title":"Land Use Regression Models for Ultrafine Particles in Six European Areas","volume":"51","author":[{"family":"Nunen","given":"Erik","non-dropping-particle":"van"},{"family":"Vermeulen","given":"Roel"},{"family":"Tsai","given":"Ming-Yi"},{"family":"Probst-Hensch","given":"Nicole"},{"family":"Ineichen","given":"Alex"},{"family":"Davey","given":"Mark"},{"family":"Imboden","given":"Medea"},{"family":"Ducret-Stich","given":"Regina"},{"family":"Naccarati","given":"Alessio"},{"family":"Raffaele","given":"Daniela"},{"family":"Ranzi","given":"Andrea"},{"family":"Ivaldi","given":"Cristiana"},{"family":"Galassi","given":"Claudia"},{"family":"Nieuwenhuijsen","given":"Mark"},{"family":"Curto","given":"Ariadna"},{"family":"Donaire-Gonzalez","given":"David"},{"family":"Cirach","given":"Marta"},{"family":"Chatzi","given":"Leda"},{"family":"Kampouri","given":"Mariza"},{"family":"Vlaanderen","given":"Jelle"},{"family":"Meliefste","given":"Kees"},{"family":"Buijtenhuijs","given":"Daan"},{"family":"Brunekreef","given":"Bert"},{"family":"Morley","given":"David"},{"family":"Vineis","given":"Paolo"},{"family":"Gulliver","given":"John"},{"family":"Hoek","given":"Gerard"}],"issued":{"date-parts":[["2017",3,21]]}}}],"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29</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sz w:val="20"/>
          <w:szCs w:val="20"/>
        </w:rPr>
        <w:t xml:space="preserve">. </w:t>
      </w:r>
      <w:r w:rsidRPr="008A5C48">
        <w:rPr>
          <w:rFonts w:ascii="Times New Roman" w:eastAsia="Times New Roman" w:hAnsi="Times New Roman" w:cs="Times New Roman"/>
          <w:color w:val="000000"/>
          <w:sz w:val="20"/>
          <w:szCs w:val="20"/>
        </w:rPr>
        <w:t>Briefly, measurements of manual traffic counts of light and heavy vehicles over 15 minutes, and of noise, averaged over 30 minutes monitoring (Sonometer SC160, CESVA monitors -Spain</w:t>
      </w:r>
      <w:proofErr w:type="gramStart"/>
      <w:r w:rsidRPr="008A5C48">
        <w:rPr>
          <w:rFonts w:ascii="Times New Roman" w:eastAsia="Times New Roman" w:hAnsi="Times New Roman" w:cs="Times New Roman"/>
          <w:color w:val="000000"/>
          <w:sz w:val="20"/>
          <w:szCs w:val="20"/>
        </w:rPr>
        <w:t>),  were</w:t>
      </w:r>
      <w:proofErr w:type="gramEnd"/>
      <w:r w:rsidRPr="008A5C48">
        <w:rPr>
          <w:rFonts w:ascii="Times New Roman" w:eastAsia="Times New Roman" w:hAnsi="Times New Roman" w:cs="Times New Roman"/>
          <w:color w:val="000000"/>
          <w:sz w:val="20"/>
          <w:szCs w:val="20"/>
        </w:rPr>
        <w:t xml:space="preserve"> made in 160 sites around the city. Sites were chosen representing multiple types (</w:t>
      </w:r>
      <w:proofErr w:type="gramStart"/>
      <w:r w:rsidRPr="008A5C48">
        <w:rPr>
          <w:rFonts w:ascii="Times New Roman" w:eastAsia="Times New Roman" w:hAnsi="Times New Roman" w:cs="Times New Roman"/>
          <w:color w:val="000000"/>
          <w:sz w:val="20"/>
          <w:szCs w:val="20"/>
        </w:rPr>
        <w:t>e.g.</w:t>
      </w:r>
      <w:proofErr w:type="gramEnd"/>
      <w:r w:rsidRPr="008A5C48">
        <w:rPr>
          <w:rFonts w:ascii="Times New Roman" w:eastAsia="Times New Roman" w:hAnsi="Times New Roman" w:cs="Times New Roman"/>
          <w:color w:val="000000"/>
          <w:sz w:val="20"/>
          <w:szCs w:val="20"/>
        </w:rPr>
        <w:t xml:space="preserve"> traffic, urban background, urban green etc.). During the campaign each monitoring site was measured three times in different seasons (summer, winter and autumn). We applied the LUR methods and GIS predictor variables used within the ESCAPE project and described in </w:t>
      </w:r>
      <w:proofErr w:type="spellStart"/>
      <w:r w:rsidRPr="008A5C48">
        <w:rPr>
          <w:rFonts w:ascii="Times New Roman" w:eastAsia="Times New Roman" w:hAnsi="Times New Roman" w:cs="Times New Roman"/>
          <w:color w:val="000000"/>
          <w:sz w:val="20"/>
          <w:szCs w:val="20"/>
        </w:rPr>
        <w:t>Eftens</w:t>
      </w:r>
      <w:proofErr w:type="spellEnd"/>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DD0DC1">
        <w:rPr>
          <w:rFonts w:ascii="Times New Roman" w:eastAsia="Times New Roman" w:hAnsi="Times New Roman" w:cs="Times New Roman"/>
          <w:color w:val="000000"/>
          <w:sz w:val="20"/>
          <w:szCs w:val="20"/>
        </w:rPr>
        <w:instrText xml:space="preserve"> ADDIN ZOTERO_ITEM CSL_CITATION {"citationID":"cx3sqEDn","properties":{"formattedCitation":"\\super 17\\nosupersub{}","plainCitation":"17","noteIndex":0},"citationItems":[{"id":207,"uris":["http://zotero.org/users/9798320/items/88WTAYD7"],"itemData":{"id":207,"type":"article-journal","abstract":"Land Use Regression (LUR) models have been used increasingly for modeling small-scale spatial variation in air pollution concentrations and estimating individual exposure for participants of cohort studies. Within the ESCAPE project, concentrations of PM2.5, PM2.5 absorbance, PM10, and PMcoarse were measured in 20 European study areas at 20 sites per area. GIS-derived predictor variables (e.g., traffic intensity, population, and land-use) were evaluated to model spatial variation of annual average concentrations for each study area. The median model explained variance (R2) was 71% for PM2.5 (range across study areas 35–94%). Model R2 was higher for PM2.5 absorbance (median 89%, range 56–97%) and lower for PMcoarse (median 68%, range 32– 81%). Models included between two and five predictor variables, with various traffic indicators as the most common predictors. Lower R2 was related to small concentration variability or limited availability of predictor variables, especially traffic intensity. Cross validation R2 results were on average 8–11% lower than model R2. Careful selection of monitoring sites, examination of influential observations and skewed variable distributions were essential for developing stable LUR models. The final LUR models are used to estimate air pollution concentrations at the home addresses of participants in the health studies involved in ESCAPE.","container-title":"Environmental Science &amp; Technology","DOI":"10.1021/es301948k","ISSN":"0013-936X","issue":"20","journalAbbreviation":"Environ. Sci. Technol.","note":"publisher: American Chemical Society","page":"11195-11205","source":"ACS Publications","title":"Development of Land Use Regression Models for PM2.5, PM2.5 Absorbance, PM10 and PMcoarse in 20 European Study Areas; Results of the ESCAPE Project","volume":"46","author":[{"family":"Eeftens","given":"Marloes"},{"family":"Beelen","given":"Rob"},{"family":"Hoogh","given":"Kees","non-dropping-particle":"de"},{"family":"Bellander","given":"Tom"},{"family":"Cesaroni","given":"Giulia"},{"family":"Cirach","given":"Marta"},{"family":"Declercq","given":"Christophe"},{"family":"Dėdelė","given":"Audrius"},{"family":"Dons","given":"Evi"},{"family":"Nazelle","given":"Audrey","non-dropping-particle":"de"},{"family":"Dimakopoulou","given":"Konstantina"},{"family":"Eriksen","given":"Kirsten"},{"family":"Falq","given":"Grégoire"},{"family":"Fischer","given":"Paul"},{"family":"Galassi","given":"Claudia"},{"family":"Gražulevičienė","given":"Regina"},{"family":"Heinrich","given":"Joachim"},{"family":"Hoffmann","given":"Barbara"},{"family":"Jerrett","given":"Michael"},{"family":"Keidel","given":"Dirk"},{"family":"Korek","given":"Michal"},{"family":"Lanki","given":"Timo"},{"family":"Lindley","given":"Sarah"},{"family":"Madsen","given":"Christian"},{"family":"Mölter","given":"Anna"},{"family":"Nádor","given":"Gizella"},{"family":"Nieuwenhuijsen","given":"Mark"},{"family":"Nonnemacher","given":"Michael"},{"family":"Pedeli","given":"Xanthi"},{"family":"Raaschou-Nielsen","given":"Ole"},{"family":"Patelarou","given":"Evridiki"},{"family":"Quass","given":"Ulrich"},{"family":"Ranzi","given":"Andrea"},{"family":"Schindler","given":"Christian"},{"family":"Stempfelet","given":"Morgane"},{"family":"Stephanou","given":"Euripides"},{"family":"Sugiri","given":"Dorothea"},{"family":"Tsai","given":"Ming-Yi"},{"family":"Yli-Tuomi","given":"Tarja"},{"family":"Varró","given":"Mihály J"},{"family":"Vienneau","given":"Danielle"},{"family":"Klot","given":"Stephanie","dropping-particle":"von"},{"family":"Wolf","given":"Kathrin"},{"family":"Brunekreef","given":"Bert"},{"family":"Hoek","given":"Gerard"}],"issued":{"date-parts":[["2012",10,16]]}}}],"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DD0DC1" w:rsidRPr="00DD0DC1">
        <w:rPr>
          <w:rFonts w:ascii="Times New Roman" w:hAnsi="Times New Roman" w:cs="Times New Roman"/>
          <w:sz w:val="20"/>
          <w:szCs w:val="24"/>
          <w:vertAlign w:val="superscript"/>
        </w:rPr>
        <w:t>17</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develop LUR models of traffic count and road traffic noise</w:t>
      </w:r>
      <w:r w:rsidR="001672AC">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For the analyses in this manuscript, we selected, the total traffic load on major roads in a 100 m buffer (home and school), the total traffic load on all roads in a 100 m buffer (pregnancy and home), traffic density on nearest road (pregnancy and home), and inverse distance to nearest road (pregnancy and home). </w:t>
      </w:r>
    </w:p>
    <w:p w14:paraId="22EE4A98" w14:textId="77777777" w:rsidR="001672AC" w:rsidRPr="008A5C48" w:rsidRDefault="001672AC"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4453A890" w14:textId="77777777" w:rsidR="00262C01" w:rsidRPr="001672AC"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1672AC">
        <w:rPr>
          <w:rFonts w:ascii="Times New Roman" w:eastAsia="Times New Roman" w:hAnsi="Times New Roman" w:cs="Times New Roman"/>
          <w:bCs/>
          <w:i/>
          <w:sz w:val="20"/>
          <w:szCs w:val="20"/>
        </w:rPr>
        <w:t>Road traffic noise</w:t>
      </w:r>
    </w:p>
    <w:p w14:paraId="58766464" w14:textId="58974D6D" w:rsidR="00262C01"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Noise levels, </w:t>
      </w:r>
      <w:proofErr w:type="gramStart"/>
      <w:r w:rsidRPr="008A5C48">
        <w:rPr>
          <w:rFonts w:ascii="Times New Roman" w:eastAsia="Times New Roman" w:hAnsi="Times New Roman" w:cs="Times New Roman"/>
          <w:color w:val="000000"/>
          <w:sz w:val="20"/>
          <w:szCs w:val="20"/>
        </w:rPr>
        <w:t>i.e.</w:t>
      </w:r>
      <w:proofErr w:type="gramEnd"/>
      <w:r w:rsidRPr="008A5C48">
        <w:rPr>
          <w:rFonts w:ascii="Times New Roman" w:eastAsia="Times New Roman" w:hAnsi="Times New Roman" w:cs="Times New Roman"/>
          <w:color w:val="000000"/>
          <w:sz w:val="20"/>
          <w:szCs w:val="20"/>
        </w:rPr>
        <w:t xml:space="preserve"> </w:t>
      </w:r>
      <w:proofErr w:type="spellStart"/>
      <w:r w:rsidRPr="008A5C48">
        <w:rPr>
          <w:rFonts w:ascii="Times New Roman" w:eastAsia="Times New Roman" w:hAnsi="Times New Roman" w:cs="Times New Roman"/>
          <w:color w:val="000000"/>
          <w:sz w:val="20"/>
          <w:szCs w:val="20"/>
        </w:rPr>
        <w:t>Lden</w:t>
      </w:r>
      <w:proofErr w:type="spellEnd"/>
      <w:r w:rsidRPr="008A5C48">
        <w:rPr>
          <w:rFonts w:ascii="Times New Roman" w:eastAsia="Times New Roman" w:hAnsi="Times New Roman" w:cs="Times New Roman"/>
          <w:color w:val="000000"/>
          <w:sz w:val="20"/>
          <w:szCs w:val="20"/>
        </w:rPr>
        <w:t xml:space="preserve"> (annual average sound pressure level of 24h period: day, evening and) and Ln (annual average sound pressure level of night period) were derived from noise maps produced in each local municipality under the European Noise Directive (EC Directive 2002/49/EC </w:t>
      </w:r>
      <w:r w:rsidRPr="008A5C48">
        <w:rPr>
          <w:rFonts w:ascii="Times New Roman" w:eastAsia="Times New Roman" w:hAnsi="Times New Roman" w:cs="Times New Roman"/>
          <w:sz w:val="20"/>
          <w:szCs w:val="20"/>
        </w:rPr>
        <w:t>(EUR-Lex, n.d.)</w:t>
      </w:r>
      <w:r w:rsidRPr="008A5C48">
        <w:rPr>
          <w:rFonts w:ascii="Times New Roman" w:eastAsia="Times New Roman" w:hAnsi="Times New Roman" w:cs="Times New Roman"/>
          <w:color w:val="000000"/>
          <w:sz w:val="20"/>
          <w:szCs w:val="20"/>
        </w:rPr>
        <w:t xml:space="preserve">). To improve comparability between </w:t>
      </w:r>
      <w:proofErr w:type="spellStart"/>
      <w:r w:rsidRPr="008A5C48">
        <w:rPr>
          <w:rFonts w:ascii="Times New Roman" w:eastAsia="Times New Roman" w:hAnsi="Times New Roman" w:cs="Times New Roman"/>
          <w:color w:val="000000"/>
          <w:sz w:val="20"/>
          <w:szCs w:val="20"/>
        </w:rPr>
        <w:t>centers</w:t>
      </w:r>
      <w:proofErr w:type="spellEnd"/>
      <w:r w:rsidRPr="008A5C48">
        <w:rPr>
          <w:rFonts w:ascii="Times New Roman" w:eastAsia="Times New Roman" w:hAnsi="Times New Roman" w:cs="Times New Roman"/>
          <w:color w:val="000000"/>
          <w:sz w:val="20"/>
          <w:szCs w:val="20"/>
        </w:rPr>
        <w:t xml:space="preserve">, the values were categorized into six categories (&lt;55; 55-59.9; 60-64.9; 65-69.9; 70-74.9; &gt;75) for analysis. For RHEA, estimates on noise were newly </w:t>
      </w:r>
      <w:proofErr w:type="spellStart"/>
      <w:r w:rsidRPr="008A5C48">
        <w:rPr>
          <w:rFonts w:ascii="Times New Roman" w:eastAsia="Times New Roman" w:hAnsi="Times New Roman" w:cs="Times New Roman"/>
          <w:color w:val="000000"/>
          <w:sz w:val="20"/>
          <w:szCs w:val="20"/>
        </w:rPr>
        <w:t>modeled</w:t>
      </w:r>
      <w:proofErr w:type="spellEnd"/>
      <w:r w:rsidRPr="008A5C48">
        <w:rPr>
          <w:rFonts w:ascii="Times New Roman" w:eastAsia="Times New Roman" w:hAnsi="Times New Roman" w:cs="Times New Roman"/>
          <w:color w:val="000000"/>
          <w:sz w:val="20"/>
          <w:szCs w:val="20"/>
        </w:rPr>
        <w:t xml:space="preserve"> following new fieldwork</w:t>
      </w:r>
      <w:r w:rsidR="001672AC">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For this manuscript, </w:t>
      </w:r>
      <w:r w:rsidR="00A52898">
        <w:rPr>
          <w:rFonts w:ascii="Times New Roman" w:eastAsia="Times New Roman" w:hAnsi="Times New Roman" w:cs="Times New Roman"/>
          <w:color w:val="000000"/>
          <w:sz w:val="20"/>
          <w:szCs w:val="20"/>
        </w:rPr>
        <w:t>noise levels were not used as missing data was above 30% before imputation.</w:t>
      </w:r>
      <w:r w:rsidRPr="008A5C48">
        <w:rPr>
          <w:rFonts w:ascii="Times New Roman" w:eastAsia="Times New Roman" w:hAnsi="Times New Roman" w:cs="Times New Roman"/>
          <w:color w:val="000000"/>
          <w:sz w:val="20"/>
          <w:szCs w:val="20"/>
        </w:rPr>
        <w:t xml:space="preserve"> </w:t>
      </w:r>
    </w:p>
    <w:p w14:paraId="50F6467D" w14:textId="77777777" w:rsidR="00262C01"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12FB1469" w14:textId="77777777" w:rsidR="00262C01" w:rsidRPr="001672AC"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1672AC">
        <w:rPr>
          <w:rFonts w:ascii="Times New Roman" w:eastAsia="Times New Roman" w:hAnsi="Times New Roman" w:cs="Times New Roman"/>
          <w:bCs/>
          <w:i/>
          <w:sz w:val="20"/>
          <w:szCs w:val="20"/>
        </w:rPr>
        <w:t>Water Disinfection By-Products (DBPs)</w:t>
      </w:r>
    </w:p>
    <w:p w14:paraId="454AC24E" w14:textId="1437753C" w:rsidR="00262C01" w:rsidRDefault="00262C01" w:rsidP="00262C01">
      <w:pPr>
        <w:spacing w:after="0"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We collected data on routine measurements of disinfection by-product (DBP) in water from water companies for the all cohorts for the pregn</w:t>
      </w:r>
      <w:r w:rsidR="00B169F7">
        <w:rPr>
          <w:rFonts w:ascii="Times New Roman" w:eastAsia="Times New Roman" w:hAnsi="Times New Roman" w:cs="Times New Roman"/>
          <w:sz w:val="20"/>
          <w:szCs w:val="20"/>
        </w:rPr>
        <w:t>a</w:t>
      </w:r>
      <w:r w:rsidRPr="008A5C48">
        <w:rPr>
          <w:rFonts w:ascii="Times New Roman" w:eastAsia="Times New Roman" w:hAnsi="Times New Roman" w:cs="Times New Roman"/>
          <w:sz w:val="20"/>
          <w:szCs w:val="20"/>
        </w:rPr>
        <w:t xml:space="preserve">ncy period. For KANC, </w:t>
      </w:r>
      <w:proofErr w:type="spellStart"/>
      <w:r w:rsidRPr="008A5C48">
        <w:rPr>
          <w:rFonts w:ascii="Times New Roman" w:eastAsia="Times New Roman" w:hAnsi="Times New Roman" w:cs="Times New Roman"/>
          <w:sz w:val="20"/>
          <w:szCs w:val="20"/>
        </w:rPr>
        <w:t>BiB</w:t>
      </w:r>
      <w:proofErr w:type="spellEnd"/>
      <w:r w:rsidRPr="008A5C48">
        <w:rPr>
          <w:rFonts w:ascii="Times New Roman" w:eastAsia="Times New Roman" w:hAnsi="Times New Roman" w:cs="Times New Roman"/>
          <w:sz w:val="20"/>
          <w:szCs w:val="20"/>
        </w:rPr>
        <w:t xml:space="preserve">, INMA and RHEA cohorts this was built on the </w:t>
      </w:r>
      <w:proofErr w:type="spellStart"/>
      <w:r w:rsidRPr="008A5C48">
        <w:rPr>
          <w:rFonts w:ascii="Times New Roman" w:eastAsia="Times New Roman" w:hAnsi="Times New Roman" w:cs="Times New Roman"/>
          <w:sz w:val="20"/>
          <w:szCs w:val="20"/>
        </w:rPr>
        <w:t>HiWate</w:t>
      </w:r>
      <w:proofErr w:type="spellEnd"/>
      <w:r w:rsidRPr="008A5C48">
        <w:rPr>
          <w:rFonts w:ascii="Times New Roman" w:eastAsia="Times New Roman" w:hAnsi="Times New Roman" w:cs="Times New Roman"/>
          <w:sz w:val="20"/>
          <w:szCs w:val="20"/>
        </w:rPr>
        <w:t xml:space="preserve"> project (Health Impacts of long-term exposure to disinfection by-products in drinking Water) </w:t>
      </w:r>
      <w:r>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{"citationID":"DdRMXfUw","properties":{"formattedCitation":"\\super 30\\nosupersub{}","plainCitation":"30","noteIndex":0},"citationItems":[{"id":1070,"uris":["http://zotero.org/users/9798320/items/ACVYXK46"],"itemData":{"id":1070,"type":"article-journal","abstract":"The HIWATE (Health Impacts of long-term exposure to disinfection byproducts in drinking WATEr) project was a systematic analysis that combined the epidemiology on adverse pregnancy outcomes and other health effects with long-term exposure to low levels of drinking water disinfection byproducts (DBPs) in the European Union. The present study focused on the relationship of the occurrence and concentration of DBPs with in vitro mammalian cell toxicity. Eleven drinking water samples were collected from five European countries. Each sampling location corresponded with an epidemiological study for the HIWATE program. Over 90 DBPs were identified; the range in the number of DBPs and their levels reflected the diverse collection sites, different disinfection processes, and the different characteristics of the source waters. For each sampling site, chronic mammalian cell cytotoxicity correlated highly with the numbers of DBPs identified and the levels of DBP chemical classes. Although there was a clear difference in the genotoxic responses among the drinking waters, these data did not correlate as well with the chemical analyses. Thus, the agents responsible for the genomic DNA damage observed in the HIWATE samples may be due to unresolved associations of combinations of identified DBPs, unknown emerging DBPs that were not identified, or other toxic water contaminants. This study represents the first to integrate quantitative in vitro toxicological data with analytical chemistry and human epidemiologic outcomes for drinking water DBPs.","container-title":"Environmental Science &amp; Technology","DOI":"10.1021/es3024226","ISSN":"0013-936X","issue":"21","journalAbbreviation":"Environ. Sci. Technol.","note":"publisher: American Chemical Society","page":"12120-12128","source":"ACS Publications","title":"Occurrence and Toxicity of Disinfection Byproducts in European Drinking Waters in Relation with the HIWATE Epidemiology Study","volume":"46","author":[{"family":"Jeong","given":"Clara H."},{"family":"Wagner","given":"Elizabeth D."},{"family":"Siebert","given":"Vincent R."},{"family":"Anduri","given":"Sridevi"},{"family":"Richardson","given":"Susan D."},{"family":"Daiber","given":"Eric J."},{"family":"McKague","given":"A. Bruce"},{"family":"Kogevinas","given":"Manolis"},{"family":"Villanueva","given":"Cristina M."},{"family":"Goslan","given":"Emma H."},{"family":"Luo","given":"Wentai"},{"family":"Isabelle","given":"Lorne M."},{"family":"Pankow","given":"James F."},{"family":"Grazuleviciene","given":"Regina"},{"family":"Cordier","given":"Sylvaine"},{"family":"Edwards","given":"Susan C."},{"family":"Righi","given":"Elena"},{"family":"Nieuwenhuijsen","given":"Mark J."},{"family":"Plewa","given":"Michael J."}],"issued":{"date-parts":[["2012",11,6]]}}}],"schema":"https://github.com/citation-style-language/schema/raw/master/csl-citation.json"} </w:instrText>
      </w:r>
      <w:r>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30</w:t>
      </w:r>
      <w:r>
        <w:rPr>
          <w:rFonts w:ascii="Times New Roman" w:eastAsia="Times New Roman" w:hAnsi="Times New Roman" w:cs="Times New Roman"/>
          <w:sz w:val="20"/>
          <w:szCs w:val="20"/>
        </w:rPr>
        <w:fldChar w:fldCharType="end"/>
      </w:r>
      <w:r w:rsidRPr="008A5C48">
        <w:rPr>
          <w:rFonts w:ascii="Times New Roman" w:eastAsia="Times New Roman" w:hAnsi="Times New Roman" w:cs="Times New Roman"/>
          <w:sz w:val="20"/>
          <w:szCs w:val="20"/>
        </w:rPr>
        <w:t xml:space="preserve"> that previously </w:t>
      </w:r>
      <w:proofErr w:type="spellStart"/>
      <w:r w:rsidRPr="008A5C48">
        <w:rPr>
          <w:rFonts w:ascii="Times New Roman" w:eastAsia="Times New Roman" w:hAnsi="Times New Roman" w:cs="Times New Roman"/>
          <w:sz w:val="20"/>
          <w:szCs w:val="20"/>
        </w:rPr>
        <w:t>modeled</w:t>
      </w:r>
      <w:proofErr w:type="spellEnd"/>
      <w:r w:rsidRPr="008A5C48">
        <w:rPr>
          <w:rFonts w:ascii="Times New Roman" w:eastAsia="Times New Roman" w:hAnsi="Times New Roman" w:cs="Times New Roman"/>
          <w:sz w:val="20"/>
          <w:szCs w:val="20"/>
        </w:rPr>
        <w:t xml:space="preserve"> exposure levels in the water supply of the residence of each participating mother-child pair. For </w:t>
      </w:r>
      <w:proofErr w:type="spellStart"/>
      <w:r w:rsidRPr="008A5C48">
        <w:rPr>
          <w:rFonts w:ascii="Times New Roman" w:eastAsia="Times New Roman" w:hAnsi="Times New Roman" w:cs="Times New Roman"/>
          <w:sz w:val="20"/>
          <w:szCs w:val="20"/>
        </w:rPr>
        <w:t>BiB</w:t>
      </w:r>
      <w:proofErr w:type="spellEnd"/>
      <w:r w:rsidRPr="008A5C48">
        <w:rPr>
          <w:rFonts w:ascii="Times New Roman" w:eastAsia="Times New Roman" w:hAnsi="Times New Roman" w:cs="Times New Roman"/>
          <w:sz w:val="20"/>
          <w:szCs w:val="20"/>
        </w:rPr>
        <w:t>, routine monitoring data on trihalomethanes (THMs) were obtained for the eight water supply zones covering the study area. Each zone was sampled nine times per year on average, giving 374 data points in total</w:t>
      </w:r>
      <w:r>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{"citationID":"tnqldTw7","properties":{"formattedCitation":"\\super 31\\nosupersub{}","plainCitation":"31","noteIndex":0},"citationItems":[{"id":1116,"uris":["http://zotero.org/users/9798320/items/ZNHGL5RP"],"itemData":{"id":1116,"type":"article-journal","abstract":"Background:\n\nEvidence for a relationship between trihalomethane (THM) or haloacetic acid (HAA) exposure and adverse fetal growth is inconsistent. Disinfection by-products exist as complex mixtures in water supplies, but THMs and HAAs have typically been examined separately.\n\nObjectives:\n\nWe investigated joint exposure at the individual level to THMs and HAAs in relation to birth weight in the multi-ethnic Born in Bradford birth cohort.\n\nMethods:\n\nPregnant women reported their water consumption and activities via questionnaire. These data were combined with area-level THM and HAA concentrations to estimate integrated uptake of THMs into blood and HAA ingestion, accounting for boiling/filtering. We examined the relationship between THM and HAA exposures and birth weight of up to 7,438 singleton term babies using multiple linear regression, stratified by ethnicity.\n\nResults:\n\nAmong Pakistani-origin infants, mean birth weight was significantly lower in association with the highest versus lowest tertiles of integrated THM uptake (e.g., –53.7 g; 95% CI: –89.9, –17.5 for ≥ 1.82 vs. &lt; 1.05 μg/day of total THM) and there were significant trends (p &lt; 0.01) across increasing tertiles, but there were no associations among white British infants. Neither ingestion of HAAs alone or jointly with THMs was associated with birth weight. Estimated THM uptake via showering, bathing, and swimming was significantly associated with lower birth weight in Pakistani-origin infants, when adjusting for THM and HAA ingestion via water consumption.\n\nConclusions:\n\nTo our knowledge, this is the largest DBP and fetal growth study to date with individual water use data, and the first to examine individual-level estimates of joint THM–HAA exposure. Our findings demonstrate associations between THM, but not HAA, exposure during pregnancy and reduced birth weight, but suggest this differs by ethnicity. This study suggests that THMs are not acting as a proxy for HAAs, or vice-versa.\n\nCitation:\n\nSmith RB, Edwards SC, Best N, Wright J, Nieuwenhuijsen MJ, Toledano MB. 2016. Birth weight, ethnicity, and exposure to trihalomethanes and haloacetic acids in drinking water during pregnancy in the Born in Bradford cohort. Environ Health Perspect 124:681–689; http://dx.doi.org/10.1289/ehp.1409480","container-title":"Environmental Health Perspectives","DOI":"10.1289/ehp.1409480","issue":"5","note":"publisher: Environmental Health Perspectives","page":"681-689","source":"ehp.niehs.nih.gov (Atypon)","title":"Birth Weight, Ethnicity, and Exposure to Trihalomethanes and Haloacetic Acids in Drinking Water during Pregnancy in the Born in Bradford Cohort","volume":"124","author":[{"family":"Smith","given":"Rachel B."},{"family":"Edwards","given":"Susan C."},{"family":"Best","given":"Nicky"},{"family":"Wright","given":"John"},{"family":"Nieuwenhuijsen","given":"Mark J."},{"family":"Toledano","given":"Mireille B."}],"issued":{"date-parts":[["2016",5]]}}}],"schema":"https://github.com/citation-style-language/schema/raw/master/csl-citation.json"} </w:instrText>
      </w:r>
      <w:r>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31</w:t>
      </w:r>
      <w:r>
        <w:rPr>
          <w:rFonts w:ascii="Times New Roman" w:eastAsia="Times New Roman" w:hAnsi="Times New Roman" w:cs="Times New Roman"/>
          <w:sz w:val="20"/>
          <w:szCs w:val="20"/>
        </w:rPr>
        <w:fldChar w:fldCharType="end"/>
      </w:r>
      <w:r>
        <w:rPr>
          <w:rFonts w:ascii="Times New Roman" w:eastAsia="Times New Roman" w:hAnsi="Times New Roman" w:cs="Times New Roman"/>
          <w:sz w:val="20"/>
          <w:szCs w:val="20"/>
        </w:rPr>
        <w:t xml:space="preserve">. </w:t>
      </w:r>
      <w:r w:rsidRPr="008A5C48">
        <w:rPr>
          <w:rFonts w:ascii="Times New Roman" w:eastAsia="Times New Roman" w:hAnsi="Times New Roman" w:cs="Times New Roman"/>
          <w:sz w:val="20"/>
          <w:szCs w:val="20"/>
        </w:rPr>
        <w:t xml:space="preserve">For INMA, levels of THMs were ascertained based on sampling campaigns and regulatory data from local authorities and water companies. Sampling locations were defined to be geographically representative of the study areas, and water samples were collected from taps with no filtration or other treatments that could affect THMs concentration. THMs were determined in 198 places </w:t>
      </w:r>
      <w:r>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{"citationID":"Zga2auJp","properties":{"formattedCitation":"\\super 32\\nosupersub{}","plainCitation":"32","noteIndex":0},"citationItems":[{"id":188,"uris":["http://zotero.org/users/9798320/items/2Y357RVP"],"itemData":{"id":188,"type":"article-journal","abstract":"BACKGROUND: Evidence associating exposure to water disinfection by-products with reduced birth weight and altered duration of gestation remains inconclusive.\nOBJECTIVE: We assessed exposure to trihalomethanes (THMs) during pregnancy through different water uses and evaluated the association with birth weight, small for gestational age (SGA), low birth weight (LBW), and preterm delivery.\nMETHODS: Mother-child cohorts set up in five Spanish areas during the years 2000-2008 contributed data on water ingestion, showering, bathing, and swimming in pools. We ascertained residential THM levels during pregnancy periods through ad hoc sampling campaigns (828 measurements) and regulatory data (264 measurements), which were modeled and combined with personal water use and uptake factors to estimate personal uptake. We defined outcomes following standard definitions and included 2,158 newborns in the analysis.\nRESULTS: Median residential THM ranged from 5.9 μg/L (Valencia) to 114.7 μg/L (Sabadell), and speciation differed across areas. We estimated that 89% of residential chloroform and 96% of brominated THM uptakes were from showering/bathing. The estimated change of birth weight for a 10% increase in residential uptake was -0.45 g (95% confidence interval: -1.36, 0.45 g) for chloroform and 0.16 g (-1.38, 1.70 g) for brominated THMs. Overall, THMs were not associated with SGA, LBW, or preterm delivery.\nCONCLUSIONS: Despite the high THM levels in some areas and the extensive exposure assessment, results suggest that residential THM exposure during pregnancy driven by inhalation and dermal contact routes is not associated with birth weight, SGA, LBW, or preterm delivery in Spain.","container-title":"Environmental Health Perspectives","DOI":"10.1289/ehp.1002425","ISSN":"1552-9924","issue":"12","journalAbbreviation":"Environ Health Perspect","language":"eng","note":"PMID: 21810554\nPMCID: PMC3261969","page":"1824-1830","source":"PubMed","title":"Exposure to trihalomethanes through different water uses and birth weight, small for gestational age, and preterm delivery in Spain","volume":"119","author":[{"family":"Villanueva","given":"Cristina M."},{"family":"Gracia-Lavedán","given":"Esther"},{"family":"Ibarluzea","given":"Jesús"},{"family":"Santa Marina","given":"Loreto"},{"family":"Ballester","given":"Ferran"},{"family":"Llop","given":"Sabrina"},{"family":"Tardón","given":"Adonina"},{"family":"Fernández","given":"Mariana F."},{"family":"Freire","given":"Carmen"},{"family":"Goñi","given":"Fernando"},{"family":"Basagaña","given":"Xavier"},{"family":"Kogevinas","given":"Manolis"},{"family":"Grimalt","given":"Joan O."},{"family":"Sunyer","given":"Jordi"},{"literal":"INMA (Infancia y Medio Ambiente) Project"}],"issued":{"date-parts":[["2011",12]]}}}],"schema":"https://github.com/citation-style-language/schema/raw/master/csl-citation.json"} </w:instrText>
      </w:r>
      <w:r>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32</w:t>
      </w:r>
      <w:r>
        <w:rPr>
          <w:rFonts w:ascii="Times New Roman" w:eastAsia="Times New Roman" w:hAnsi="Times New Roman" w:cs="Times New Roman"/>
          <w:sz w:val="20"/>
          <w:szCs w:val="20"/>
        </w:rPr>
        <w:fldChar w:fldCharType="end"/>
      </w:r>
      <w:r>
        <w:rPr>
          <w:rFonts w:ascii="Times New Roman" w:eastAsia="Times New Roman" w:hAnsi="Times New Roman" w:cs="Times New Roman"/>
          <w:sz w:val="20"/>
          <w:szCs w:val="20"/>
        </w:rPr>
        <w:t xml:space="preserve">. </w:t>
      </w:r>
      <w:r w:rsidRPr="008A5C48">
        <w:rPr>
          <w:rFonts w:ascii="Times New Roman" w:eastAsia="Times New Roman" w:hAnsi="Times New Roman" w:cs="Times New Roman"/>
          <w:sz w:val="20"/>
          <w:szCs w:val="20"/>
        </w:rPr>
        <w:t>For RHEA, the city was divided into six zones according to the source of underground water used in each area, corresponding to six different water treatment plants. In total, 18 sampling points were selected (12 areas in Heraklion and 6 in rural areas), which covered geographically the residences of participating mother-child pairs</w:t>
      </w:r>
      <w:r>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{"citationID":"84YXwC3e","properties":{"formattedCitation":"\\super 33\\nosupersub{}","plainCitation":"33","noteIndex":0},"citationItems":[{"id":187,"uris":["http://zotero.org/users/9798320/items/TV5DLQAT"],"itemData":{"id":187,"type":"article-journal","abstract":"Background: Water disinfection by-products have been associated with an increased cancer risk. Micronuclei (MN) frequency in lymphocytes is a marker of genomic damage and can predict adult cancer risk.\n\nObjective: We evaluated maternal exposure to drinking water brominated trihalomethanes (BTHM) in relation to MN frequency in maternal and cord blood lymphocytes.\n\nMethods: MN frequency was examined in 214 mothers and 223 newborns from the Rhea mother–child cohort in Crete, Greece, in 2007–2008. Residential BTHM water concentrations were estimated during pregnancy using tap water analyses and modeling. Questionnaires on water related habits were used to estimate BTHM exposure from all routes. Associations between BTHM and MN frequency were estimated using negative binomial regression.\n\nResults: BTHM concentrations in residential tap water during pregnancy ranged from 0.06 to 7.1 μg/L. MN frequency in maternal binucleated lymphocytes was found to increase with BTHM concentrations in residential water for exposure during the first [rate ratio (RR) for 1 μg/L = 1.05; 95% CI: 1.00, 1.11] and second trimesters (RR for 1 μg/L = 1.03; 95% CI: 1.00, 1.06), and through all routes of BTHM exposure during the first trimester (RR for 1 μg/week = 3.14; 95% CI: 1.16, 8.50).\n\nConclusions: These findings suggest that exposure to BTHM may increase the frequency of MN in maternal binucleated lymphocytes.\n\nCitation: Stayner LT, Pedersen M, Patelarou E, Decordier I, Vande Loock K, Chatzi L, Espinosa A, Fthenou E, Nieuwenhuijsen MJ, Gracia-Lavedan E, Stephanou EG, Kirsch-Volders M, Kogevinas M. 2014. Exposure to brominated trihalomethanes in water during pregnancy and micronuclei frequency in maternal and cord blood lymphocytes. Environ Health Perspect 122:100–106;  http://dx.doi.org/10.1289/ehp.1206434","container-title":"Environmental Health Perspectives","DOI":"10.1289/ehp.1206434","issue":"1","note":"publisher: Environmental Health Perspectives","page":"100-106","source":"ehp.niehs.nih.gov (Atypon)","title":"Exposure to Brominated Trihalomethanes in Water During Pregnancy and Micronuclei Frequency in Maternal and Cord Blood Lymphocytes","volume":"122","author":[{"family":"Stayner","given":"Leslie Thomas"},{"family":"Pedersen","given":"Marie"},{"family":"Patelarou","given":"Evridiki"},{"family":"Decordier","given":"Ilse"},{"family":"Vande","given":"Loock Kim"},{"family":"Chatzi","given":"Leda"},{"family":"Espinosa","given":"Ana"},{"family":"Fthenou","given":"Eleni"},{"family":"Nieuwenhuijsen","given":"Mark J."},{"family":"Gracia","given":"-Lavedan Esther"},{"family":"Stephanou","given":"Euripides G."},{"family":"Kirsch","given":"-Volders Micheline"},{"family":"Kogevinas","given":"Manolis"}],"issued":{"date-parts":[["2014",1]]}}}],"schema":"https://github.com/citation-style-language/schema/raw/master/csl-citation.json"} </w:instrText>
      </w:r>
      <w:r>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33</w:t>
      </w:r>
      <w:r>
        <w:rPr>
          <w:rFonts w:ascii="Times New Roman" w:eastAsia="Times New Roman" w:hAnsi="Times New Roman" w:cs="Times New Roman"/>
          <w:sz w:val="20"/>
          <w:szCs w:val="20"/>
        </w:rPr>
        <w:fldChar w:fldCharType="end"/>
      </w:r>
      <w:r w:rsidRPr="008A5C48">
        <w:rPr>
          <w:rFonts w:ascii="Times New Roman" w:eastAsia="Times New Roman" w:hAnsi="Times New Roman" w:cs="Times New Roman"/>
          <w:sz w:val="20"/>
          <w:szCs w:val="20"/>
        </w:rPr>
        <w:t xml:space="preserve">. For KANC, tap water THM concentration, derived as the average of quarterly sample values over the time that the pregnancy occurred from all sampling sites located in each distribution system, and geocoded maternal address at birth to assign the individual women’s residential exposure index </w:t>
      </w:r>
      <w:r>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{"citationID":"J1NTRSm5","properties":{"formattedCitation":"\\super 34\\nosupersub{}","plainCitation":"34","noteIndex":0},"citationItems":[{"id":186,"uris":["http://zotero.org/users/9798320/items/KVH9QQRV"],"itemData":{"id":186,"type":"article-journal","abstract":"Little is known about genetic susceptibility to individual trihalomethanes (THM) in relation to adverse pregnancy outcomes. We conducted a nested case-control study of 682 pregnant women in Kaunas (Lithuania) and, using individual information on drinking water, ingestion, showering and bathing, and uptake factors of THMs in blood, estimated an internal THM dose. We used logistic regression to evaluate the relationship between internal THM dose, birth outcomes and individual and joint (modifying) effects of metabolic gene polymorphisms. THM exposure during entire pregnancy and specific trimesters slightly increased low birth weight (LBW) risk. When considering both THM exposure and maternal genotypes, the largest associations were found for third trimester among total THM (TTHM) and chloroform-exposed women with the GSTM1–0 genotype (OR: 4.37; 95% CI: 1.36–14.08 and OR: 5.06; 95% CI: 1.50–17.05, respectively). A test of interaction between internal THM dose and GSTM1–0 genotype suggested a modifying effect of exposure to chloroform and bromodichloromethane on LBW risk. However, the effect on small for gestational age (SGA) was not statistically significant. These data suggest that THM internal dose may affect foetal growth and that maternal GSTM1 genotype modifies the THM exposure effects on LBW.","container-title":"International Journal of Environmental Research and Public Health","DOI":"10.3390/ijerph9124470","ISSN":"1660-4601","issue":"12","language":"en","license":"http://creativecommons.org/licenses/by/3.0/","note":"number: 12\npublisher: Multidisciplinary Digital Publishing Institute","page":"4470-4485","source":"www.mdpi.com","title":"Exposure to Drinking Water Trihalomethanes and Their Association with Low Birth Weight and Small for Gestational Age in Genetically Susceptible Women","volume":"9","author":[{"family":"Danileviciute","given":"Asta"},{"family":"Grazuleviciene","given":"Regina"},{"family":"Vencloviene","given":"Jone"},{"family":"Paulauskas","given":"Algimantas"},{"family":"Nieuwenhuijsen","given":"Mark J."}],"issued":{"date-parts":[["2012",12]]}}}],"schema":"https://github.com/citation-style-language/schema/raw/master/csl-citation.json"} </w:instrText>
      </w:r>
      <w:r>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34</w:t>
      </w:r>
      <w:r>
        <w:rPr>
          <w:rFonts w:ascii="Times New Roman" w:eastAsia="Times New Roman" w:hAnsi="Times New Roman" w:cs="Times New Roman"/>
          <w:sz w:val="20"/>
          <w:szCs w:val="20"/>
        </w:rPr>
        <w:fldChar w:fldCharType="end"/>
      </w:r>
      <w:r w:rsidRPr="008A5C48">
        <w:rPr>
          <w:rFonts w:ascii="Times New Roman" w:eastAsia="Times New Roman" w:hAnsi="Times New Roman" w:cs="Times New Roman"/>
          <w:sz w:val="20"/>
          <w:szCs w:val="20"/>
        </w:rPr>
        <w:t xml:space="preserve">. Routine DBP measurements were acquired for </w:t>
      </w:r>
      <w:proofErr w:type="spellStart"/>
      <w:r w:rsidRPr="008A5C48">
        <w:rPr>
          <w:rFonts w:ascii="Times New Roman" w:eastAsia="Times New Roman" w:hAnsi="Times New Roman" w:cs="Times New Roman"/>
          <w:sz w:val="20"/>
          <w:szCs w:val="20"/>
        </w:rPr>
        <w:t>MoBa</w:t>
      </w:r>
      <w:proofErr w:type="spellEnd"/>
      <w:r w:rsidRPr="008A5C48">
        <w:rPr>
          <w:rFonts w:ascii="Times New Roman" w:eastAsia="Times New Roman" w:hAnsi="Times New Roman" w:cs="Times New Roman"/>
          <w:sz w:val="20"/>
          <w:szCs w:val="20"/>
        </w:rPr>
        <w:t xml:space="preserve"> and EDEN cohorts as these cohorts were not part of the </w:t>
      </w:r>
      <w:proofErr w:type="spellStart"/>
      <w:r w:rsidRPr="008A5C48">
        <w:rPr>
          <w:rFonts w:ascii="Times New Roman" w:eastAsia="Times New Roman" w:hAnsi="Times New Roman" w:cs="Times New Roman"/>
          <w:sz w:val="20"/>
          <w:szCs w:val="20"/>
        </w:rPr>
        <w:t>HiWate</w:t>
      </w:r>
      <w:proofErr w:type="spellEnd"/>
      <w:r w:rsidRPr="008A5C48">
        <w:rPr>
          <w:rFonts w:ascii="Times New Roman" w:eastAsia="Times New Roman" w:hAnsi="Times New Roman" w:cs="Times New Roman"/>
          <w:sz w:val="20"/>
          <w:szCs w:val="20"/>
        </w:rPr>
        <w:t xml:space="preserve"> project. THMs exposure levels were </w:t>
      </w:r>
      <w:proofErr w:type="spellStart"/>
      <w:r w:rsidRPr="008A5C48">
        <w:rPr>
          <w:rFonts w:ascii="Times New Roman" w:eastAsia="Times New Roman" w:hAnsi="Times New Roman" w:cs="Times New Roman"/>
          <w:sz w:val="20"/>
          <w:szCs w:val="20"/>
        </w:rPr>
        <w:t>modeled</w:t>
      </w:r>
      <w:proofErr w:type="spellEnd"/>
      <w:r w:rsidRPr="008A5C48">
        <w:rPr>
          <w:rFonts w:ascii="Times New Roman" w:eastAsia="Times New Roman" w:hAnsi="Times New Roman" w:cs="Times New Roman"/>
          <w:sz w:val="20"/>
          <w:szCs w:val="20"/>
        </w:rPr>
        <w:t xml:space="preserve"> for each residence, following the protocol developed within </w:t>
      </w:r>
      <w:proofErr w:type="spellStart"/>
      <w:r w:rsidRPr="008A5C48">
        <w:rPr>
          <w:rFonts w:ascii="Times New Roman" w:eastAsia="Times New Roman" w:hAnsi="Times New Roman" w:cs="Times New Roman"/>
          <w:sz w:val="20"/>
          <w:szCs w:val="20"/>
        </w:rPr>
        <w:t>HiWate</w:t>
      </w:r>
      <w:proofErr w:type="spellEnd"/>
      <w:r w:rsidRPr="008A5C48">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{"citationID":"zFji0JNT","properties":{"formattedCitation":"\\super 30\\nosupersub{}","plainCitation":"30","noteIndex":0},"citationItems":[{"id":1070,"uris":["http://zotero.org/users/9798320/items/ACVYXK46"],"itemData":{"id":1070,"type":"article-journal","abstract":"The HIWATE (Health Impacts of long-term exposure to disinfection byproducts in drinking WATEr) project was a systematic analysis that combined the epidemiology on adverse pregnancy outcomes and other health effects with long-term exposure to low levels of drinking water disinfection byproducts (DBPs) in the European Union. The present study focused on the relationship of the occurrence and concentration of DBPs with in vitro mammalian cell toxicity. Eleven drinking water samples were collected from five European countries. Each sampling location corresponded with an epidemiological study for the HIWATE program. Over 90 DBPs were identified; the range in the number of DBPs and their levels reflected the diverse collection sites, different disinfection processes, and the different characteristics of the source waters. For each sampling site, chronic mammalian cell cytotoxicity correlated highly with the numbers of DBPs identified and the levels of DBP chemical classes. Although there was a clear difference in the genotoxic responses among the drinking waters, these data did not correlate as well with the chemical analyses. Thus, the agents responsible for the genomic DNA damage observed in the HIWATE samples may be due to unresolved associations of combinations of identified DBPs, unknown emerging DBPs that were not identified, or other toxic water contaminants. This study represents the first to integrate quantitative in vitro toxicological data with analytical chemistry and human epidemiologic outcomes for drinking water DBPs.","container-title":"Environmental Science &amp; Technology","DOI":"10.1021/es3024226","ISSN":"0013-936X","issue":"21","journalAbbreviation":"Environ. Sci. Technol.","note":"publisher: American Chemical Society","page":"12120-12128","source":"ACS Publications","title":"Occurrence and Toxicity of Disinfection Byproducts in European Drinking Waters in Relation with the HIWATE Epidemiology Study","volume":"46","author":[{"family":"Jeong","given":"Clara H."},{"family":"Wagner","given":"Elizabeth D."},{"family":"Siebert","given":"Vincent R."},{"family":"Anduri","given":"Sridevi"},{"family":"Richardson","given":"Susan D."},{"family":"Daiber","given":"Eric J."},{"family":"McKague","given":"A. Bruce"},{"family":"Kogevinas","given":"Manolis"},{"family":"Villanueva","given":"Cristina M."},{"family":"Goslan","given":"Emma H."},{"family":"Luo","given":"Wentai"},{"family":"Isabelle","given":"Lorne M."},{"family":"Pankow","given":"James F."},{"family":"Grazuleviciene","given":"Regina"},{"family":"Cordier","given":"Sylvaine"},{"family":"Edwards","given":"Susan C."},{"family":"Righi","given":"Elena"},{"family":"Nieuwenhuijsen","given":"Mark J."},{"family":"Plewa","given":"Michael J."}],"issued":{"date-parts":[["2012",11,6]]}}}],"schema":"https://github.com/citation-style-language/schema/raw/master/csl-citation.json"} </w:instrText>
      </w:r>
      <w:r>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30</w:t>
      </w:r>
      <w:r>
        <w:rPr>
          <w:rFonts w:ascii="Times New Roman" w:eastAsia="Times New Roman" w:hAnsi="Times New Roman" w:cs="Times New Roman"/>
          <w:sz w:val="20"/>
          <w:szCs w:val="20"/>
        </w:rPr>
        <w:fldChar w:fldCharType="end"/>
      </w:r>
      <w:r w:rsidRPr="008A5C48">
        <w:rPr>
          <w:rFonts w:ascii="Times New Roman" w:eastAsia="Times New Roman" w:hAnsi="Times New Roman" w:cs="Times New Roman"/>
          <w:sz w:val="20"/>
          <w:szCs w:val="20"/>
        </w:rPr>
        <w:t xml:space="preserve">. We estimated exposure to total THMs, and for chloroform and brominated THMs separately during each pregnancy and in the entire pregnancy; for the current manuscript, the pregnancy averages were used.  </w:t>
      </w:r>
    </w:p>
    <w:p w14:paraId="600D1316" w14:textId="77777777" w:rsidR="00262C01" w:rsidRPr="008A5C48" w:rsidRDefault="00262C01" w:rsidP="00262C01">
      <w:pPr>
        <w:spacing w:after="0" w:line="240" w:lineRule="auto"/>
        <w:contextualSpacing/>
        <w:jc w:val="both"/>
        <w:rPr>
          <w:rFonts w:ascii="Times New Roman" w:eastAsia="Times New Roman" w:hAnsi="Times New Roman" w:cs="Times New Roman"/>
          <w:sz w:val="20"/>
          <w:szCs w:val="20"/>
        </w:rPr>
      </w:pPr>
    </w:p>
    <w:p w14:paraId="70A20A48" w14:textId="77777777" w:rsidR="00262C01" w:rsidRPr="001672AC"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1672AC">
        <w:rPr>
          <w:rFonts w:ascii="Times New Roman" w:eastAsia="Times New Roman" w:hAnsi="Times New Roman" w:cs="Times New Roman"/>
          <w:bCs/>
          <w:i/>
          <w:sz w:val="20"/>
          <w:szCs w:val="20"/>
        </w:rPr>
        <w:t>Indoor Air Pollutants</w:t>
      </w:r>
    </w:p>
    <w:p w14:paraId="13715D73" w14:textId="77777777" w:rsidR="00262C01" w:rsidRPr="008A5C48" w:rsidRDefault="00262C01" w:rsidP="00262C01">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Indoor air concentrations of nitrogen dioxide (NO</w:t>
      </w:r>
      <w:r w:rsidRPr="008A5C48">
        <w:rPr>
          <w:rFonts w:ascii="Times New Roman" w:eastAsia="Times New Roman" w:hAnsi="Times New Roman" w:cs="Times New Roman"/>
          <w:color w:val="000000"/>
          <w:sz w:val="20"/>
          <w:szCs w:val="20"/>
          <w:vertAlign w:val="subscript"/>
        </w:rPr>
        <w:t>2</w:t>
      </w:r>
      <w:r w:rsidRPr="008A5C48">
        <w:rPr>
          <w:rFonts w:ascii="Times New Roman" w:eastAsia="Times New Roman" w:hAnsi="Times New Roman" w:cs="Times New Roman"/>
          <w:color w:val="000000"/>
          <w:sz w:val="20"/>
          <w:szCs w:val="20"/>
        </w:rPr>
        <w:t>), particulate matter &lt;2.5μm (PM</w:t>
      </w:r>
      <w:r w:rsidRPr="008A5C48">
        <w:rPr>
          <w:rFonts w:ascii="Times New Roman" w:eastAsia="Times New Roman" w:hAnsi="Times New Roman" w:cs="Times New Roman"/>
          <w:color w:val="000000"/>
          <w:sz w:val="20"/>
          <w:szCs w:val="20"/>
          <w:vertAlign w:val="subscript"/>
        </w:rPr>
        <w:t>2.5</w:t>
      </w:r>
      <w:r w:rsidRPr="008A5C48">
        <w:rPr>
          <w:rFonts w:ascii="Times New Roman" w:eastAsia="Times New Roman" w:hAnsi="Times New Roman" w:cs="Times New Roman"/>
          <w:color w:val="000000"/>
          <w:sz w:val="20"/>
          <w:szCs w:val="20"/>
        </w:rPr>
        <w:t>), particulate matter absorbance (</w:t>
      </w:r>
      <w:proofErr w:type="spellStart"/>
      <w:r w:rsidRPr="008A5C48">
        <w:rPr>
          <w:rFonts w:ascii="Times New Roman" w:eastAsia="Times New Roman" w:hAnsi="Times New Roman" w:cs="Times New Roman"/>
          <w:color w:val="000000"/>
          <w:sz w:val="20"/>
          <w:szCs w:val="20"/>
        </w:rPr>
        <w:t>PM</w:t>
      </w:r>
      <w:r w:rsidRPr="008A5C48">
        <w:rPr>
          <w:rFonts w:ascii="Times New Roman" w:eastAsia="Times New Roman" w:hAnsi="Times New Roman" w:cs="Times New Roman"/>
          <w:color w:val="000000"/>
          <w:sz w:val="20"/>
          <w:szCs w:val="20"/>
          <w:vertAlign w:val="subscript"/>
        </w:rPr>
        <w:t>abs</w:t>
      </w:r>
      <w:proofErr w:type="spellEnd"/>
      <w:r w:rsidRPr="008A5C48">
        <w:rPr>
          <w:rFonts w:ascii="Times New Roman" w:eastAsia="Times New Roman" w:hAnsi="Times New Roman" w:cs="Times New Roman"/>
          <w:color w:val="000000"/>
          <w:sz w:val="20"/>
          <w:szCs w:val="20"/>
        </w:rPr>
        <w:t xml:space="preserve">), benzene, and toluene, ethylbenzene, xylene (TEX) were estimated through a prediction model that combined measurements in the homes of a subgroup of children with questionnaire data from the </w:t>
      </w:r>
      <w:proofErr w:type="spellStart"/>
      <w:r w:rsidRPr="008A5C48">
        <w:rPr>
          <w:rFonts w:ascii="Times New Roman" w:eastAsia="Times New Roman" w:hAnsi="Times New Roman" w:cs="Times New Roman"/>
          <w:color w:val="000000"/>
          <w:sz w:val="20"/>
          <w:szCs w:val="20"/>
        </w:rPr>
        <w:t>subcohort</w:t>
      </w:r>
      <w:proofErr w:type="spellEnd"/>
      <w:r w:rsidRPr="008A5C48">
        <w:rPr>
          <w:rFonts w:ascii="Times New Roman" w:eastAsia="Times New Roman" w:hAnsi="Times New Roman" w:cs="Times New Roman"/>
          <w:color w:val="000000"/>
          <w:sz w:val="20"/>
          <w:szCs w:val="20"/>
        </w:rPr>
        <w:t xml:space="preserve">. </w:t>
      </w:r>
    </w:p>
    <w:p w14:paraId="7F1AD0D3" w14:textId="2E9931AD" w:rsidR="00262C01" w:rsidRPr="008A5C48" w:rsidRDefault="00262C01" w:rsidP="00262C01">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Measurements of indoor NO</w:t>
      </w:r>
      <w:r w:rsidRPr="008A5C48">
        <w:rPr>
          <w:rFonts w:ascii="Times New Roman" w:eastAsia="Times New Roman" w:hAnsi="Times New Roman" w:cs="Times New Roman"/>
          <w:color w:val="000000"/>
          <w:sz w:val="20"/>
          <w:szCs w:val="20"/>
          <w:vertAlign w:val="subscript"/>
        </w:rPr>
        <w:t>2</w:t>
      </w:r>
      <w:r w:rsidRPr="008A5C48">
        <w:rPr>
          <w:rFonts w:ascii="Times New Roman" w:eastAsia="Times New Roman" w:hAnsi="Times New Roman" w:cs="Times New Roman"/>
          <w:color w:val="000000"/>
          <w:sz w:val="20"/>
          <w:szCs w:val="20"/>
        </w:rPr>
        <w:t xml:space="preserve">, benzene and TEX were conducted in the homes of 157 participants as part of the child panel study, which was nested within the HELIX </w:t>
      </w:r>
      <w:proofErr w:type="spellStart"/>
      <w:r w:rsidRPr="008A5C48">
        <w:rPr>
          <w:rFonts w:ascii="Times New Roman" w:eastAsia="Times New Roman" w:hAnsi="Times New Roman" w:cs="Times New Roman"/>
          <w:color w:val="000000"/>
          <w:sz w:val="20"/>
          <w:szCs w:val="20"/>
        </w:rPr>
        <w:t>subcohort</w:t>
      </w:r>
      <w:proofErr w:type="spellEnd"/>
      <w:r w:rsidRPr="008A5C48">
        <w:rPr>
          <w:rFonts w:ascii="Times New Roman" w:eastAsia="Times New Roman" w:hAnsi="Times New Roman" w:cs="Times New Roman"/>
          <w:color w:val="000000"/>
          <w:sz w:val="20"/>
          <w:szCs w:val="20"/>
        </w:rPr>
        <w:t xml:space="preserve"> in all cohorts except </w:t>
      </w:r>
      <w:proofErr w:type="spellStart"/>
      <w:r w:rsidRPr="008A5C48">
        <w:rPr>
          <w:rFonts w:ascii="Times New Roman" w:eastAsia="Times New Roman" w:hAnsi="Times New Roman" w:cs="Times New Roman"/>
          <w:color w:val="000000"/>
          <w:sz w:val="20"/>
          <w:szCs w:val="20"/>
        </w:rPr>
        <w:t>MoBa</w:t>
      </w:r>
      <w:proofErr w:type="spellEnd"/>
      <w:r w:rsidRPr="008A5C48">
        <w:rPr>
          <w:rFonts w:ascii="Times New Roman" w:eastAsia="Times New Roman" w:hAnsi="Times New Roman" w:cs="Times New Roman"/>
          <w:color w:val="000000"/>
          <w:sz w:val="20"/>
          <w:szCs w:val="20"/>
        </w:rPr>
        <w:t>. PM</w:t>
      </w:r>
      <w:r w:rsidRPr="008A5C48">
        <w:rPr>
          <w:rFonts w:ascii="Times New Roman" w:eastAsia="Times New Roman" w:hAnsi="Times New Roman" w:cs="Times New Roman"/>
          <w:color w:val="000000"/>
          <w:sz w:val="20"/>
          <w:szCs w:val="20"/>
          <w:vertAlign w:val="subscript"/>
        </w:rPr>
        <w:t>2.5</w:t>
      </w:r>
      <w:r w:rsidRPr="008A5C48">
        <w:rPr>
          <w:rFonts w:ascii="Times New Roman" w:eastAsia="Times New Roman" w:hAnsi="Times New Roman" w:cs="Times New Roman"/>
          <w:color w:val="000000"/>
          <w:sz w:val="20"/>
          <w:szCs w:val="20"/>
        </w:rPr>
        <w:t xml:space="preserve"> and </w:t>
      </w:r>
      <w:proofErr w:type="spellStart"/>
      <w:r w:rsidRPr="008A5C48">
        <w:rPr>
          <w:rFonts w:ascii="Times New Roman" w:eastAsia="Times New Roman" w:hAnsi="Times New Roman" w:cs="Times New Roman"/>
          <w:color w:val="000000"/>
          <w:sz w:val="20"/>
          <w:szCs w:val="20"/>
        </w:rPr>
        <w:t>PM</w:t>
      </w:r>
      <w:r w:rsidRPr="008A5C48">
        <w:rPr>
          <w:rFonts w:ascii="Times New Roman" w:eastAsia="Times New Roman" w:hAnsi="Times New Roman" w:cs="Times New Roman"/>
          <w:color w:val="000000"/>
          <w:sz w:val="20"/>
          <w:szCs w:val="20"/>
          <w:vertAlign w:val="subscript"/>
        </w:rPr>
        <w:t>Abs</w:t>
      </w:r>
      <w:proofErr w:type="spellEnd"/>
      <w:r w:rsidRPr="008A5C48">
        <w:rPr>
          <w:rFonts w:ascii="Times New Roman" w:eastAsia="Times New Roman" w:hAnsi="Times New Roman" w:cs="Times New Roman"/>
          <w:color w:val="000000"/>
          <w:sz w:val="20"/>
          <w:szCs w:val="20"/>
        </w:rPr>
        <w:t xml:space="preserve"> were measured in INMA, </w:t>
      </w:r>
      <w:proofErr w:type="spellStart"/>
      <w:r w:rsidRPr="008A5C48">
        <w:rPr>
          <w:rFonts w:ascii="Times New Roman" w:eastAsia="Times New Roman" w:hAnsi="Times New Roman" w:cs="Times New Roman"/>
          <w:color w:val="000000"/>
          <w:sz w:val="20"/>
          <w:szCs w:val="20"/>
        </w:rPr>
        <w:t>BiB</w:t>
      </w:r>
      <w:proofErr w:type="spellEnd"/>
      <w:r w:rsidRPr="008A5C48">
        <w:rPr>
          <w:rFonts w:ascii="Times New Roman" w:eastAsia="Times New Roman" w:hAnsi="Times New Roman" w:cs="Times New Roman"/>
          <w:color w:val="000000"/>
          <w:sz w:val="20"/>
          <w:szCs w:val="20"/>
        </w:rPr>
        <w:t xml:space="preserve">, and EDEN. Participants in the child panel study were followed for one week in two seasons, and the last day of the first week coincided with the </w:t>
      </w:r>
      <w:proofErr w:type="spellStart"/>
      <w:r w:rsidRPr="008A5C48">
        <w:rPr>
          <w:rFonts w:ascii="Times New Roman" w:eastAsia="Times New Roman" w:hAnsi="Times New Roman" w:cs="Times New Roman"/>
          <w:color w:val="000000"/>
          <w:sz w:val="20"/>
          <w:szCs w:val="20"/>
        </w:rPr>
        <w:t>subcohort</w:t>
      </w:r>
      <w:proofErr w:type="spellEnd"/>
      <w:r w:rsidRPr="008A5C48">
        <w:rPr>
          <w:rFonts w:ascii="Times New Roman" w:eastAsia="Times New Roman" w:hAnsi="Times New Roman" w:cs="Times New Roman"/>
          <w:color w:val="000000"/>
          <w:sz w:val="20"/>
          <w:szCs w:val="20"/>
        </w:rPr>
        <w:t xml:space="preserve"> examination, including the completion the main HELIX questionnaire. NO2, benzene and TEX sampling lasted 7 days, and PM</w:t>
      </w:r>
      <w:r w:rsidRPr="008A5C48">
        <w:rPr>
          <w:rFonts w:ascii="Times New Roman" w:eastAsia="Times New Roman" w:hAnsi="Times New Roman" w:cs="Times New Roman"/>
          <w:color w:val="000000"/>
          <w:sz w:val="20"/>
          <w:szCs w:val="20"/>
          <w:vertAlign w:val="subscript"/>
        </w:rPr>
        <w:t>2.5</w:t>
      </w:r>
      <w:r w:rsidRPr="008A5C48">
        <w:rPr>
          <w:rFonts w:ascii="Times New Roman" w:eastAsia="Times New Roman" w:hAnsi="Times New Roman" w:cs="Times New Roman"/>
          <w:color w:val="000000"/>
          <w:sz w:val="20"/>
          <w:szCs w:val="20"/>
        </w:rPr>
        <w:t xml:space="preserve"> and </w:t>
      </w:r>
      <w:proofErr w:type="spellStart"/>
      <w:r w:rsidRPr="008A5C48">
        <w:rPr>
          <w:rFonts w:ascii="Times New Roman" w:eastAsia="Times New Roman" w:hAnsi="Times New Roman" w:cs="Times New Roman"/>
          <w:color w:val="000000"/>
          <w:sz w:val="20"/>
          <w:szCs w:val="20"/>
        </w:rPr>
        <w:t>PM</w:t>
      </w:r>
      <w:r w:rsidRPr="008A5C48">
        <w:rPr>
          <w:rFonts w:ascii="Times New Roman" w:eastAsia="Times New Roman" w:hAnsi="Times New Roman" w:cs="Times New Roman"/>
          <w:color w:val="000000"/>
          <w:sz w:val="20"/>
          <w:szCs w:val="20"/>
          <w:vertAlign w:val="subscript"/>
        </w:rPr>
        <w:t>Abs</w:t>
      </w:r>
      <w:proofErr w:type="spellEnd"/>
      <w:r w:rsidRPr="008A5C48">
        <w:rPr>
          <w:rFonts w:ascii="Times New Roman" w:eastAsia="Times New Roman" w:hAnsi="Times New Roman" w:cs="Times New Roman"/>
          <w:color w:val="000000"/>
          <w:sz w:val="20"/>
          <w:szCs w:val="20"/>
        </w:rPr>
        <w:t xml:space="preserve"> sampling lasted 24 hours. </w:t>
      </w:r>
    </w:p>
    <w:p w14:paraId="42CA3CDE" w14:textId="77777777" w:rsidR="00262C01" w:rsidRPr="008A5C48" w:rsidRDefault="00262C01" w:rsidP="00262C01">
      <w:pPr>
        <w:pBdr>
          <w:top w:val="nil"/>
          <w:left w:val="nil"/>
          <w:bottom w:val="nil"/>
          <w:right w:val="nil"/>
          <w:between w:val="nil"/>
        </w:pBdr>
        <w:spacing w:line="240" w:lineRule="auto"/>
        <w:contextualSpacing/>
        <w:jc w:val="both"/>
        <w:rPr>
          <w:rFonts w:ascii="Times New Roman" w:eastAsia="Times New Roman" w:hAnsi="Times New Roman" w:cs="Times New Roman"/>
          <w:color w:val="000000"/>
          <w:sz w:val="20"/>
          <w:szCs w:val="20"/>
          <w:u w:val="single"/>
        </w:rPr>
      </w:pPr>
      <w:r w:rsidRPr="008A5C48">
        <w:rPr>
          <w:rFonts w:ascii="Times New Roman" w:eastAsia="Times New Roman" w:hAnsi="Times New Roman" w:cs="Times New Roman"/>
          <w:color w:val="000000"/>
          <w:sz w:val="20"/>
          <w:szCs w:val="20"/>
        </w:rPr>
        <w:t>NO</w:t>
      </w:r>
      <w:r w:rsidRPr="008A5C48">
        <w:rPr>
          <w:rFonts w:ascii="Times New Roman" w:eastAsia="Times New Roman" w:hAnsi="Times New Roman" w:cs="Times New Roman"/>
          <w:color w:val="000000"/>
          <w:sz w:val="20"/>
          <w:szCs w:val="20"/>
          <w:vertAlign w:val="subscript"/>
        </w:rPr>
        <w:t>2</w:t>
      </w:r>
      <w:r w:rsidRPr="008A5C48">
        <w:rPr>
          <w:rFonts w:ascii="Times New Roman" w:eastAsia="Times New Roman" w:hAnsi="Times New Roman" w:cs="Times New Roman"/>
          <w:color w:val="000000"/>
          <w:sz w:val="20"/>
          <w:szCs w:val="20"/>
        </w:rPr>
        <w:t xml:space="preserve"> short-term diffusive </w:t>
      </w:r>
      <w:proofErr w:type="spellStart"/>
      <w:r w:rsidRPr="008A5C48">
        <w:rPr>
          <w:rFonts w:ascii="Times New Roman" w:eastAsia="Times New Roman" w:hAnsi="Times New Roman" w:cs="Times New Roman"/>
          <w:color w:val="000000"/>
          <w:sz w:val="20"/>
          <w:szCs w:val="20"/>
        </w:rPr>
        <w:t>Passam</w:t>
      </w:r>
      <w:proofErr w:type="spellEnd"/>
      <w:r w:rsidRPr="008A5C48">
        <w:rPr>
          <w:rFonts w:ascii="Times New Roman" w:eastAsia="Times New Roman" w:hAnsi="Times New Roman" w:cs="Times New Roman"/>
          <w:color w:val="000000"/>
          <w:sz w:val="20"/>
          <w:szCs w:val="20"/>
        </w:rPr>
        <w:t xml:space="preserve"> samplers were used to measure indoor NO</w:t>
      </w:r>
      <w:r w:rsidRPr="008A5C48">
        <w:rPr>
          <w:rFonts w:ascii="Times New Roman" w:eastAsia="Times New Roman" w:hAnsi="Times New Roman" w:cs="Times New Roman"/>
          <w:color w:val="000000"/>
          <w:sz w:val="20"/>
          <w:szCs w:val="20"/>
          <w:vertAlign w:val="subscript"/>
        </w:rPr>
        <w:t>2</w:t>
      </w:r>
      <w:r w:rsidRPr="008A5C48">
        <w:rPr>
          <w:rFonts w:ascii="Times New Roman" w:eastAsia="Times New Roman" w:hAnsi="Times New Roman" w:cs="Times New Roman"/>
          <w:color w:val="000000"/>
          <w:sz w:val="20"/>
          <w:szCs w:val="20"/>
        </w:rPr>
        <w:t xml:space="preserve"> concentrations. The samplers were composed of polypropylene housing with a 20 mm diameter opening, covered with a removable plastic cap and protected from wind disturbance by a </w:t>
      </w:r>
      <w:proofErr w:type="spellStart"/>
      <w:r w:rsidRPr="008A5C48">
        <w:rPr>
          <w:rFonts w:ascii="Times New Roman" w:eastAsia="Times New Roman" w:hAnsi="Times New Roman" w:cs="Times New Roman"/>
          <w:color w:val="000000"/>
          <w:sz w:val="20"/>
          <w:szCs w:val="20"/>
        </w:rPr>
        <w:t>teflon</w:t>
      </w:r>
      <w:proofErr w:type="spellEnd"/>
      <w:r w:rsidRPr="008A5C48">
        <w:rPr>
          <w:rFonts w:ascii="Times New Roman" w:eastAsia="Times New Roman" w:hAnsi="Times New Roman" w:cs="Times New Roman"/>
          <w:color w:val="000000"/>
          <w:sz w:val="20"/>
          <w:szCs w:val="20"/>
        </w:rPr>
        <w:t xml:space="preserve"> membrane. Triethanolamine was used as absorbent material inside the tube. NO</w:t>
      </w:r>
      <w:r w:rsidRPr="008A5C48">
        <w:rPr>
          <w:rFonts w:ascii="Times New Roman" w:eastAsia="Times New Roman" w:hAnsi="Times New Roman" w:cs="Times New Roman"/>
          <w:color w:val="000000"/>
          <w:sz w:val="20"/>
          <w:szCs w:val="20"/>
          <w:vertAlign w:val="subscript"/>
        </w:rPr>
        <w:t>2</w:t>
      </w:r>
      <w:r w:rsidRPr="008A5C48">
        <w:rPr>
          <w:rFonts w:ascii="Times New Roman" w:eastAsia="Times New Roman" w:hAnsi="Times New Roman" w:cs="Times New Roman"/>
          <w:color w:val="000000"/>
          <w:sz w:val="20"/>
          <w:szCs w:val="20"/>
        </w:rPr>
        <w:t xml:space="preserve"> was collected by molecular diffusion to the absorbent and its concentration was determined spectrophotometrically by the </w:t>
      </w:r>
      <w:proofErr w:type="spellStart"/>
      <w:r w:rsidRPr="008A5C48">
        <w:rPr>
          <w:rFonts w:ascii="Times New Roman" w:eastAsia="Times New Roman" w:hAnsi="Times New Roman" w:cs="Times New Roman"/>
          <w:color w:val="000000"/>
          <w:sz w:val="20"/>
          <w:szCs w:val="20"/>
        </w:rPr>
        <w:t>Saltzmann</w:t>
      </w:r>
      <w:proofErr w:type="spellEnd"/>
      <w:r w:rsidRPr="008A5C48">
        <w:rPr>
          <w:rFonts w:ascii="Times New Roman" w:eastAsia="Times New Roman" w:hAnsi="Times New Roman" w:cs="Times New Roman"/>
          <w:color w:val="000000"/>
          <w:sz w:val="20"/>
          <w:szCs w:val="20"/>
        </w:rPr>
        <w:t xml:space="preserve"> method. The detection limit (DL) for a week’s sampling for the NO</w:t>
      </w:r>
      <w:r w:rsidRPr="008A5C48">
        <w:rPr>
          <w:rFonts w:ascii="Times New Roman" w:eastAsia="Times New Roman" w:hAnsi="Times New Roman" w:cs="Times New Roman"/>
          <w:color w:val="000000"/>
          <w:sz w:val="20"/>
          <w:szCs w:val="20"/>
          <w:vertAlign w:val="subscript"/>
        </w:rPr>
        <w:t>2</w:t>
      </w:r>
      <w:r w:rsidRPr="008A5C48">
        <w:rPr>
          <w:rFonts w:ascii="Times New Roman" w:eastAsia="Times New Roman" w:hAnsi="Times New Roman" w:cs="Times New Roman"/>
          <w:color w:val="000000"/>
          <w:sz w:val="20"/>
          <w:szCs w:val="20"/>
        </w:rPr>
        <w:t xml:space="preserve"> sampler was 0.3 µg/m</w:t>
      </w:r>
      <w:r w:rsidRPr="008A5C48">
        <w:rPr>
          <w:rFonts w:ascii="Times New Roman" w:eastAsia="Times New Roman" w:hAnsi="Times New Roman" w:cs="Times New Roman"/>
          <w:color w:val="000000"/>
          <w:sz w:val="20"/>
          <w:szCs w:val="20"/>
          <w:vertAlign w:val="superscript"/>
        </w:rPr>
        <w:t>3</w:t>
      </w:r>
      <w:r w:rsidRPr="008A5C48">
        <w:rPr>
          <w:rFonts w:ascii="Times New Roman" w:eastAsia="Times New Roman" w:hAnsi="Times New Roman" w:cs="Times New Roman"/>
          <w:color w:val="000000"/>
          <w:sz w:val="20"/>
          <w:szCs w:val="20"/>
        </w:rPr>
        <w:t xml:space="preserve">. </w:t>
      </w:r>
      <w:proofErr w:type="spellStart"/>
      <w:r w:rsidRPr="008A5C48">
        <w:rPr>
          <w:rFonts w:ascii="Times New Roman" w:eastAsia="Times New Roman" w:hAnsi="Times New Roman" w:cs="Times New Roman"/>
          <w:color w:val="000000"/>
          <w:sz w:val="20"/>
          <w:szCs w:val="20"/>
        </w:rPr>
        <w:t>Passam</w:t>
      </w:r>
      <w:proofErr w:type="spellEnd"/>
      <w:r w:rsidRPr="008A5C48">
        <w:rPr>
          <w:rFonts w:ascii="Times New Roman" w:eastAsia="Times New Roman" w:hAnsi="Times New Roman" w:cs="Times New Roman"/>
          <w:color w:val="000000"/>
          <w:sz w:val="20"/>
          <w:szCs w:val="20"/>
        </w:rPr>
        <w:t xml:space="preserve"> ORSA5 diffusion tubes were used to measure indoor levels of benzene, toluene, ethylbenzene and ortho-, para- and </w:t>
      </w:r>
      <w:proofErr w:type="spellStart"/>
      <w:r w:rsidRPr="008A5C48">
        <w:rPr>
          <w:rFonts w:ascii="Times New Roman" w:eastAsia="Times New Roman" w:hAnsi="Times New Roman" w:cs="Times New Roman"/>
          <w:color w:val="000000"/>
          <w:sz w:val="20"/>
          <w:szCs w:val="20"/>
        </w:rPr>
        <w:t>metaxylenes</w:t>
      </w:r>
      <w:proofErr w:type="spellEnd"/>
      <w:r w:rsidRPr="008A5C48">
        <w:rPr>
          <w:rFonts w:ascii="Times New Roman" w:eastAsia="Times New Roman" w:hAnsi="Times New Roman" w:cs="Times New Roman"/>
          <w:color w:val="000000"/>
          <w:sz w:val="20"/>
          <w:szCs w:val="20"/>
        </w:rPr>
        <w:t>. The DL for a week’s sampling for each compound was 0.4 µg/m</w:t>
      </w:r>
      <w:r w:rsidRPr="008A5C48">
        <w:rPr>
          <w:rFonts w:ascii="Times New Roman" w:eastAsia="Times New Roman" w:hAnsi="Times New Roman" w:cs="Times New Roman"/>
          <w:color w:val="000000"/>
          <w:sz w:val="20"/>
          <w:szCs w:val="20"/>
          <w:vertAlign w:val="superscript"/>
        </w:rPr>
        <w:t>3</w:t>
      </w:r>
      <w:r w:rsidRPr="008A5C48">
        <w:rPr>
          <w:rFonts w:ascii="Times New Roman" w:eastAsia="Times New Roman" w:hAnsi="Times New Roman" w:cs="Times New Roman"/>
          <w:color w:val="000000"/>
          <w:sz w:val="20"/>
          <w:szCs w:val="20"/>
        </w:rPr>
        <w:t>. The samplers were placed in the living rooms of the participating homes, away from the sources of ventilation. After collection, the NO</w:t>
      </w:r>
      <w:r w:rsidRPr="008A5C48">
        <w:rPr>
          <w:rFonts w:ascii="Times New Roman" w:eastAsia="Times New Roman" w:hAnsi="Times New Roman" w:cs="Times New Roman"/>
          <w:color w:val="000000"/>
          <w:sz w:val="20"/>
          <w:szCs w:val="20"/>
          <w:vertAlign w:val="subscript"/>
        </w:rPr>
        <w:t>2</w:t>
      </w:r>
      <w:r w:rsidRPr="008A5C48">
        <w:rPr>
          <w:rFonts w:ascii="Times New Roman" w:eastAsia="Times New Roman" w:hAnsi="Times New Roman" w:cs="Times New Roman"/>
          <w:color w:val="000000"/>
          <w:sz w:val="20"/>
          <w:szCs w:val="20"/>
        </w:rPr>
        <w:t xml:space="preserve">, Benzene and TEX samplers were hermetically sealed and kept in zip-lock bags in boxes, in a cool and dark place and shipped to the </w:t>
      </w:r>
      <w:proofErr w:type="spellStart"/>
      <w:r w:rsidRPr="008A5C48">
        <w:rPr>
          <w:rFonts w:ascii="Times New Roman" w:eastAsia="Times New Roman" w:hAnsi="Times New Roman" w:cs="Times New Roman"/>
          <w:color w:val="000000"/>
          <w:sz w:val="20"/>
          <w:szCs w:val="20"/>
        </w:rPr>
        <w:t>analyzing</w:t>
      </w:r>
      <w:proofErr w:type="spellEnd"/>
      <w:r w:rsidRPr="008A5C48">
        <w:rPr>
          <w:rFonts w:ascii="Times New Roman" w:eastAsia="Times New Roman" w:hAnsi="Times New Roman" w:cs="Times New Roman"/>
          <w:color w:val="000000"/>
          <w:sz w:val="20"/>
          <w:szCs w:val="20"/>
        </w:rPr>
        <w:t xml:space="preserve"> laboratory within 3 months of the end of the sampling campaign. </w:t>
      </w:r>
    </w:p>
    <w:p w14:paraId="638DE132" w14:textId="77777777" w:rsidR="00262C01" w:rsidRPr="008A5C48" w:rsidRDefault="00262C01" w:rsidP="00262C01">
      <w:pPr>
        <w:pBdr>
          <w:top w:val="nil"/>
          <w:left w:val="nil"/>
          <w:bottom w:val="nil"/>
          <w:right w:val="nil"/>
          <w:between w:val="nil"/>
        </w:pBdr>
        <w:shd w:val="clear" w:color="auto" w:fill="FFFFFF"/>
        <w:spacing w:after="120"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For indoor PM </w:t>
      </w:r>
      <w:proofErr w:type="spellStart"/>
      <w:r w:rsidRPr="008A5C48">
        <w:rPr>
          <w:rFonts w:ascii="Times New Roman" w:eastAsia="Times New Roman" w:hAnsi="Times New Roman" w:cs="Times New Roman"/>
          <w:sz w:val="20"/>
          <w:szCs w:val="20"/>
        </w:rPr>
        <w:t>modeling</w:t>
      </w:r>
      <w:proofErr w:type="spellEnd"/>
      <w:r w:rsidRPr="008A5C48">
        <w:rPr>
          <w:rFonts w:ascii="Times New Roman" w:eastAsia="Times New Roman" w:hAnsi="Times New Roman" w:cs="Times New Roman"/>
          <w:sz w:val="20"/>
          <w:szCs w:val="20"/>
        </w:rPr>
        <w:t xml:space="preserve">, </w:t>
      </w:r>
      <w:r w:rsidRPr="008A5C48">
        <w:rPr>
          <w:rFonts w:ascii="Times New Roman" w:eastAsia="Times New Roman" w:hAnsi="Times New Roman" w:cs="Times New Roman"/>
          <w:color w:val="000000"/>
          <w:sz w:val="20"/>
          <w:szCs w:val="20"/>
        </w:rPr>
        <w:t>active PM</w:t>
      </w:r>
      <w:r w:rsidRPr="008A5C48">
        <w:rPr>
          <w:rFonts w:ascii="Times New Roman" w:eastAsia="Times New Roman" w:hAnsi="Times New Roman" w:cs="Times New Roman"/>
          <w:color w:val="000000"/>
          <w:sz w:val="20"/>
          <w:szCs w:val="20"/>
          <w:vertAlign w:val="subscript"/>
        </w:rPr>
        <w:t>2.5</w:t>
      </w:r>
      <w:r w:rsidRPr="008A5C48">
        <w:rPr>
          <w:rFonts w:ascii="Times New Roman" w:eastAsia="Times New Roman" w:hAnsi="Times New Roman" w:cs="Times New Roman"/>
          <w:color w:val="000000"/>
          <w:sz w:val="20"/>
          <w:szCs w:val="20"/>
        </w:rPr>
        <w:t xml:space="preserve"> cyclone pumps </w:t>
      </w:r>
      <w:r w:rsidRPr="008A5C48">
        <w:rPr>
          <w:rFonts w:ascii="Times New Roman" w:eastAsia="Times New Roman" w:hAnsi="Times New Roman" w:cs="Times New Roman"/>
          <w:sz w:val="20"/>
          <w:szCs w:val="20"/>
        </w:rPr>
        <w:t xml:space="preserve">were placed in the living room. After 24 hours the </w:t>
      </w:r>
      <w:proofErr w:type="spellStart"/>
      <w:r w:rsidRPr="008A5C48">
        <w:rPr>
          <w:rFonts w:ascii="Times New Roman" w:eastAsia="Times New Roman" w:hAnsi="Times New Roman" w:cs="Times New Roman"/>
          <w:sz w:val="20"/>
          <w:szCs w:val="20"/>
        </w:rPr>
        <w:t>samplers</w:t>
      </w:r>
      <w:proofErr w:type="spellEnd"/>
      <w:r w:rsidRPr="008A5C48">
        <w:rPr>
          <w:rFonts w:ascii="Times New Roman" w:eastAsia="Times New Roman" w:hAnsi="Times New Roman" w:cs="Times New Roman"/>
          <w:sz w:val="20"/>
          <w:szCs w:val="20"/>
        </w:rPr>
        <w:t xml:space="preserve"> were collected and sent to laboratory. </w:t>
      </w:r>
      <w:r w:rsidRPr="008A5C48">
        <w:rPr>
          <w:rFonts w:ascii="Times New Roman" w:eastAsia="Times New Roman" w:hAnsi="Times New Roman" w:cs="Times New Roman"/>
          <w:sz w:val="20"/>
          <w:szCs w:val="20"/>
          <w:highlight w:val="white"/>
        </w:rPr>
        <w:t>PM</w:t>
      </w:r>
      <w:r w:rsidRPr="008A5C48">
        <w:rPr>
          <w:rFonts w:ascii="Times New Roman" w:eastAsia="Times New Roman" w:hAnsi="Times New Roman" w:cs="Times New Roman"/>
          <w:sz w:val="20"/>
          <w:szCs w:val="20"/>
          <w:highlight w:val="white"/>
          <w:vertAlign w:val="subscript"/>
        </w:rPr>
        <w:t>2.5</w:t>
      </w:r>
      <w:r w:rsidRPr="008A5C48">
        <w:rPr>
          <w:rFonts w:ascii="Times New Roman" w:eastAsia="Times New Roman" w:hAnsi="Times New Roman" w:cs="Times New Roman"/>
          <w:sz w:val="20"/>
          <w:szCs w:val="20"/>
          <w:highlight w:val="white"/>
        </w:rPr>
        <w:t xml:space="preserve"> mass was collected gravimetrically using 37-mm Teflon filters held in a cyclone (model GK2.05 SH, BGI Inc., Waltham MA, USA) with an aerodynamic cut point of 2.5 µm and connected to a BGI/Mesa Labs A4004 pump working at 3.5L/min. Filter weighing and reflectance measurements were conducted with a microbalance of 1 µg accuracy (Model MX5, Mettler-</w:t>
      </w:r>
      <w:r w:rsidRPr="008A5C48">
        <w:rPr>
          <w:rFonts w:ascii="Times New Roman" w:eastAsia="Times New Roman" w:hAnsi="Times New Roman" w:cs="Times New Roman"/>
          <w:sz w:val="20"/>
          <w:szCs w:val="20"/>
          <w:highlight w:val="white"/>
        </w:rPr>
        <w:lastRenderedPageBreak/>
        <w:t>Toledo International Inc., Switzerland) and a Smoke Stain Reflectometer (SSR) (Model 43D, Diffusion Systems Ltd., UK), respectively. Measurement procedures, quality control, as well as PM</w:t>
      </w:r>
      <w:r w:rsidRPr="008A5C48">
        <w:rPr>
          <w:rFonts w:ascii="Times New Roman" w:eastAsia="Times New Roman" w:hAnsi="Times New Roman" w:cs="Times New Roman"/>
          <w:sz w:val="20"/>
          <w:szCs w:val="20"/>
          <w:highlight w:val="white"/>
          <w:vertAlign w:val="subscript"/>
        </w:rPr>
        <w:t>2.5</w:t>
      </w:r>
      <w:r w:rsidRPr="008A5C48">
        <w:rPr>
          <w:rFonts w:ascii="Times New Roman" w:eastAsia="Times New Roman" w:hAnsi="Times New Roman" w:cs="Times New Roman"/>
          <w:sz w:val="20"/>
          <w:szCs w:val="20"/>
          <w:highlight w:val="white"/>
        </w:rPr>
        <w:t xml:space="preserve"> mass concentration and absorbance estimations followed the ESCAPE project protocols (both available at </w:t>
      </w:r>
      <w:hyperlink r:id="rId9">
        <w:r w:rsidRPr="008A5C48">
          <w:rPr>
            <w:rFonts w:ascii="Times New Roman" w:eastAsia="Times New Roman" w:hAnsi="Times New Roman" w:cs="Times New Roman"/>
            <w:sz w:val="20"/>
            <w:szCs w:val="20"/>
            <w:u w:val="single"/>
          </w:rPr>
          <w:t>www.escapeproject.eu/manuals</w:t>
        </w:r>
      </w:hyperlink>
      <w:r w:rsidRPr="008A5C48">
        <w:rPr>
          <w:rFonts w:ascii="Times New Roman" w:eastAsia="Times New Roman" w:hAnsi="Times New Roman" w:cs="Times New Roman"/>
          <w:sz w:val="20"/>
          <w:szCs w:val="20"/>
          <w:highlight w:val="white"/>
        </w:rPr>
        <w:t>). </w:t>
      </w:r>
    </w:p>
    <w:p w14:paraId="55051F1E" w14:textId="2AA568E2" w:rsidR="00262C01" w:rsidRPr="008A5C48" w:rsidRDefault="00262C01" w:rsidP="00262C01">
      <w:pPr>
        <w:pBdr>
          <w:top w:val="nil"/>
          <w:left w:val="nil"/>
          <w:bottom w:val="nil"/>
          <w:right w:val="nil"/>
          <w:between w:val="nil"/>
        </w:pBdr>
        <w:spacing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Statistical analyses were performed separately for each of the exposure variables. A TEX variable was created by summing the concentrations of each TEX compound. The HELIX main questionnaire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{"citationID":"aqwIkAVX","properties":{"formattedCitation":"\\super 35\\nosupersub{}","plainCitation":"35","noteIndex":0},"citationItems":[{"id":110,"uris":["http://zotero.org/users/9798320/items/W8FS84B6"],"itemData":{"id":110,"type":"article-journal","abstract":"PURPOSE: Essential to exposome research is the collection of data on many environmental exposures from different domains in the same subjects. The aim of the Human Early Life Exposome (HELIX) study was to measure and describe multiple environmental exposures during early life (pregnancy and childhood) in a prospective cohort and associate these exposures with molecular omics signatures and child health outcomes. Here, we describe recruitment, measurements available and baseline data of the HELIX study populations.\nPARTICIPANTS: The HELIX study represents a collaborative project across six established and ongoing longitudinal population-based birth cohort studies in six European countries (France, Greece, Lithuania, Norway, Spain and the UK). HELIX used a multilevel study design with the entire study population totalling 31 472 mother-child pairs, recruited during pregnancy, in the six existing cohorts (first level); a subcohort of 1301 mother-child pairs where biomarkers, omics signatures and child health outcomes were measured at age 6-11 years (second level) and repeat-sampling panel studies with around 150 children and 150 pregnant women aimed at collecting personal exposure data (third level).\nFINDINGS TO DATE: Cohort data include urban environment, hazardous substances and lifestyle-related exposures for women during pregnancy and their offspring from birth until 6-11 years. Common, standardised protocols were used to collect biological samples, measure exposure biomarkers and omics signatures and assess child health across the six cohorts. Baseline data of the cohort show substantial variation in health outcomes and determinants between the six countries, for example, in family affluence levels, tobacco smoking, physical activity, dietary habits and prevalence of childhood obesity, asthma, allergies and attention deficit hyperactivity disorder.\nFUTURE PLANS: HELIX study results will inform on the early life exposome and its association with molecular omics signatures and child health outcomes. Cohort data are accessible for future research involving researchers external to the project.","container-title":"BMJ open","DOI":"10.1136/bmjopen-2017-021311","ISSN":"2044-6055","issue":"9","journalAbbreviation":"BMJ Open","language":"eng","note":"PMID: 30206078\nPMCID: PMC6144482","page":"e021311","source":"PubMed","title":"Human Early Life Exposome (HELIX) study: a European population-based exposome cohort","title-short":"Human Early Life Exposome (HELIX) study","volume":"8","author":[{"family":"Maitre","given":"Léa"},{"family":"Bont","given":"Jeroen","non-dropping-particle":"de"},{"family":"Casas","given":"Maribel"},{"family":"Robinson","given":"Oliver"},{"family":"Aasvang","given":"Gunn Marit"},{"family":"Agier","given":"Lydiane"},{"family":"Andrušaitytė","given":"Sandra"},{"family":"Ballester","given":"Ferran"},{"family":"Basagaña","given":"Xavier"},{"family":"Borràs","given":"Eva"},{"family":"Brochot","given":"Céline"},{"family":"Bustamante","given":"Mariona"},{"family":"Carracedo","given":"Angel"},{"family":"Castro","given":"Montserrat","non-dropping-particle":"de"},{"family":"Dedele","given":"Audrius"},{"family":"Donaire-Gonzalez","given":"David"},{"family":"Estivill","given":"Xavier"},{"family":"Evandt","given":"Jorunn"},{"family":"Fossati","given":"Serena"},{"family":"Giorgis-Allemand","given":"Lise"},{"family":"R Gonzalez","given":"Juan"},{"family":"Granum","given":"Berit"},{"family":"Grazuleviciene","given":"Regina"},{"family":"Bjerve Gützkow","given":"Kristine"},{"family":"Småstuen Haug","given":"Line"},{"family":"Hernandez-Ferrer","given":"Carles"},{"family":"Heude","given":"Barbara"},{"family":"Ibarluzea","given":"Jesus"},{"family":"Julvez","given":"Jordi"},{"family":"Karachaliou","given":"Marianna"},{"family":"Keun","given":"Hector C."},{"family":"Hjertager Krog","given":"Norun"},{"family":"Lau","given":"Chung-Ho E."},{"family":"Leventakou","given":"Vasiliki"},{"family":"Lyon-Caen","given":"Sarah"},{"family":"Manzano","given":"Cyntia"},{"family":"Mason","given":"Dan"},{"family":"McEachan","given":"Rosemary"},{"family":"Meltzer","given":"Helle Margrete"},{"family":"Petraviciene","given":"Inga"},{"family":"Quentin","given":"Joane"},{"family":"Roumeliotaki","given":"Theano"},{"family":"Sabido","given":"Eduard"},{"family":"Saulnier","given":"Pierre-Jean"},{"family":"Siskos","given":"Alexandros P."},{"family":"Siroux","given":"Valérie"},{"family":"Sunyer","given":"Jordi"},{"family":"Tamayo","given":"Ibon"},{"family":"Urquiza","given":"Jose"},{"family":"Vafeiadi","given":"Marina"},{"family":"Gent","given":"Diana","non-dropping-particle":"van"},{"family":"Vives-Usano","given":"Marta"},{"family":"Waiblinger","given":"Dagmar"},{"family":"Warembourg","given":"Charline"},{"family":"Chatzi","given":"Leda"},{"family":"Coen","given":"Muireann"},{"family":"Hazel","given":"Peter","non-dropping-particle":"van den"},{"family":"Nieuwenhuijsen","given":"Mark J."},{"family":"Slama","given":"Rémy"},{"family":"Thomsen","given":"Cathrine"},{"family":"Wright","given":"John"},{"family":"Vrijheid","given":"Martine"}],"issued":{"date-parts":[["2018",9,10]]}}}],"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35</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xml:space="preserve"> was used to identify housing and participant characteristics as input for the prediction model; these characteristics included: exposure to environmental tobacco smoke, cooking and heating methods at the home, cleaning products between others. </w:t>
      </w:r>
    </w:p>
    <w:p w14:paraId="4087A794" w14:textId="77777777" w:rsidR="00262C01" w:rsidRPr="008A5C48" w:rsidRDefault="00262C01" w:rsidP="00262C01">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After extracting potential predictor variables from the questionnaires, bivariate analyses were run by either Kruskal-Wallis or Wilcoxon rank sum tests, as all of the potential predictors were categorical and the exposure variables were not normally distributed. The variables that yielded a p value lower than 0.2 in bivariate analyses were selected to enter into the multiple linear regression models. Prior to that, univariate linear regressions were performed for each of the predictors selected in the bivariate analysis in order to assess the adjusted determination coefficient (adjusted R</w:t>
      </w:r>
      <w:r w:rsidRPr="008A5C48">
        <w:rPr>
          <w:rFonts w:ascii="Times New Roman" w:eastAsia="Times New Roman" w:hAnsi="Times New Roman" w:cs="Times New Roman"/>
          <w:color w:val="000000"/>
          <w:sz w:val="20"/>
          <w:szCs w:val="20"/>
          <w:vertAlign w:val="superscript"/>
        </w:rPr>
        <w:t>2</w:t>
      </w:r>
      <w:r w:rsidRPr="008A5C48">
        <w:rPr>
          <w:rFonts w:ascii="Times New Roman" w:eastAsia="Times New Roman" w:hAnsi="Times New Roman" w:cs="Times New Roman"/>
          <w:color w:val="000000"/>
          <w:sz w:val="20"/>
          <w:szCs w:val="20"/>
        </w:rPr>
        <w:t>) for each of them individually. To ensure normality of the distributions of the outcome variables, the univariate linear regression models and subsequent multiple linear regression models were built using log-transformed.</w:t>
      </w:r>
    </w:p>
    <w:p w14:paraId="2F349EE6" w14:textId="77777777" w:rsidR="00262C01" w:rsidRPr="008A5C48" w:rsidRDefault="00262C01" w:rsidP="00262C01">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Supervised forward stepwise procedure was employed to build multiple linear regression models. In all cases the starting point for the regression was the variable which yielded the highest adjusted R</w:t>
      </w:r>
      <w:r w:rsidRPr="008A5C48">
        <w:rPr>
          <w:rFonts w:ascii="Times New Roman" w:eastAsia="Times New Roman" w:hAnsi="Times New Roman" w:cs="Times New Roman"/>
          <w:color w:val="000000"/>
          <w:sz w:val="20"/>
          <w:szCs w:val="20"/>
          <w:vertAlign w:val="superscript"/>
        </w:rPr>
        <w:t>2</w:t>
      </w:r>
      <w:r w:rsidRPr="008A5C48">
        <w:rPr>
          <w:rFonts w:ascii="Times New Roman" w:eastAsia="Times New Roman" w:hAnsi="Times New Roman" w:cs="Times New Roman"/>
          <w:color w:val="000000"/>
          <w:sz w:val="20"/>
          <w:szCs w:val="20"/>
        </w:rPr>
        <w:t xml:space="preserve"> in the univariate linear regressions. Then the other predictors were added one-by-one and additional increase in the adjusted R</w:t>
      </w:r>
      <w:r w:rsidRPr="008A5C48">
        <w:rPr>
          <w:rFonts w:ascii="Times New Roman" w:eastAsia="Times New Roman" w:hAnsi="Times New Roman" w:cs="Times New Roman"/>
          <w:color w:val="000000"/>
          <w:sz w:val="20"/>
          <w:szCs w:val="20"/>
          <w:vertAlign w:val="superscript"/>
        </w:rPr>
        <w:t>2</w:t>
      </w:r>
      <w:r w:rsidRPr="008A5C48">
        <w:rPr>
          <w:rFonts w:ascii="Times New Roman" w:eastAsia="Times New Roman" w:hAnsi="Times New Roman" w:cs="Times New Roman"/>
          <w:color w:val="000000"/>
          <w:sz w:val="20"/>
          <w:szCs w:val="20"/>
        </w:rPr>
        <w:t xml:space="preserve"> was recorded. The variable which increased the adjusted R</w:t>
      </w:r>
      <w:r w:rsidRPr="008A5C48">
        <w:rPr>
          <w:rFonts w:ascii="Times New Roman" w:eastAsia="Times New Roman" w:hAnsi="Times New Roman" w:cs="Times New Roman"/>
          <w:color w:val="000000"/>
          <w:sz w:val="20"/>
          <w:szCs w:val="20"/>
          <w:vertAlign w:val="superscript"/>
        </w:rPr>
        <w:t>2</w:t>
      </w:r>
      <w:r w:rsidRPr="008A5C48">
        <w:rPr>
          <w:rFonts w:ascii="Times New Roman" w:eastAsia="Times New Roman" w:hAnsi="Times New Roman" w:cs="Times New Roman"/>
          <w:color w:val="000000"/>
          <w:sz w:val="20"/>
          <w:szCs w:val="20"/>
        </w:rPr>
        <w:t xml:space="preserve"> by a highest value was retained in the model and the procedure was repeated until none of the variables increased the adjusted R</w:t>
      </w:r>
      <w:r w:rsidRPr="008A5C48">
        <w:rPr>
          <w:rFonts w:ascii="Times New Roman" w:eastAsia="Times New Roman" w:hAnsi="Times New Roman" w:cs="Times New Roman"/>
          <w:color w:val="000000"/>
          <w:sz w:val="20"/>
          <w:szCs w:val="20"/>
          <w:vertAlign w:val="superscript"/>
        </w:rPr>
        <w:t>2</w:t>
      </w:r>
      <w:r w:rsidRPr="008A5C48">
        <w:rPr>
          <w:rFonts w:ascii="Times New Roman" w:eastAsia="Times New Roman" w:hAnsi="Times New Roman" w:cs="Times New Roman"/>
          <w:color w:val="000000"/>
          <w:sz w:val="20"/>
          <w:szCs w:val="20"/>
        </w:rPr>
        <w:t xml:space="preserve"> by at least 1%. In case any of the variables included into the model had individual p value equal or higher than 0.05, it was removed from the model. All statistical analyses were performed using R Statistic Software (version 3.4.1). </w:t>
      </w:r>
    </w:p>
    <w:p w14:paraId="10C0B7FF" w14:textId="39690D21" w:rsidR="00262C01" w:rsidRPr="00F9353B"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bCs/>
          <w:color w:val="000000"/>
          <w:sz w:val="20"/>
          <w:szCs w:val="20"/>
        </w:rPr>
      </w:pPr>
      <w:r w:rsidRPr="00F9353B">
        <w:rPr>
          <w:rFonts w:ascii="Times New Roman" w:eastAsia="Times New Roman" w:hAnsi="Times New Roman" w:cs="Times New Roman"/>
          <w:color w:val="000000"/>
          <w:sz w:val="20"/>
          <w:szCs w:val="20"/>
        </w:rPr>
        <w:t>The best explained pollutant was NO</w:t>
      </w:r>
      <w:r w:rsidRPr="00F9353B">
        <w:rPr>
          <w:rFonts w:ascii="Times New Roman" w:eastAsia="Times New Roman" w:hAnsi="Times New Roman" w:cs="Times New Roman"/>
          <w:color w:val="000000"/>
          <w:sz w:val="20"/>
          <w:szCs w:val="20"/>
          <w:vertAlign w:val="subscript"/>
        </w:rPr>
        <w:t>2</w:t>
      </w:r>
      <w:r w:rsidRPr="00F9353B">
        <w:rPr>
          <w:rFonts w:ascii="Times New Roman" w:eastAsia="Times New Roman" w:hAnsi="Times New Roman" w:cs="Times New Roman"/>
          <w:color w:val="000000"/>
          <w:sz w:val="20"/>
          <w:szCs w:val="20"/>
        </w:rPr>
        <w:t xml:space="preserve"> with an R</w:t>
      </w:r>
      <w:r w:rsidRPr="00F9353B">
        <w:rPr>
          <w:rFonts w:ascii="Times New Roman" w:eastAsia="Times New Roman" w:hAnsi="Times New Roman" w:cs="Times New Roman"/>
          <w:color w:val="000000"/>
          <w:sz w:val="20"/>
          <w:szCs w:val="20"/>
          <w:vertAlign w:val="superscript"/>
        </w:rPr>
        <w:t>2</w:t>
      </w:r>
      <w:r w:rsidRPr="00F9353B">
        <w:rPr>
          <w:rFonts w:ascii="Times New Roman" w:eastAsia="Times New Roman" w:hAnsi="Times New Roman" w:cs="Times New Roman"/>
          <w:color w:val="000000"/>
          <w:sz w:val="20"/>
          <w:szCs w:val="20"/>
        </w:rPr>
        <w:t xml:space="preserve"> of 57%, followed by </w:t>
      </w:r>
      <w:proofErr w:type="spellStart"/>
      <w:r w:rsidRPr="00F9353B">
        <w:rPr>
          <w:rFonts w:ascii="Times New Roman" w:eastAsia="Times New Roman" w:hAnsi="Times New Roman" w:cs="Times New Roman"/>
          <w:color w:val="000000"/>
          <w:sz w:val="20"/>
          <w:szCs w:val="20"/>
        </w:rPr>
        <w:t>PM</w:t>
      </w:r>
      <w:r w:rsidRPr="00F9353B">
        <w:rPr>
          <w:rFonts w:ascii="Times New Roman" w:eastAsia="Times New Roman" w:hAnsi="Times New Roman" w:cs="Times New Roman"/>
          <w:color w:val="000000"/>
          <w:sz w:val="20"/>
          <w:szCs w:val="20"/>
          <w:vertAlign w:val="subscript"/>
        </w:rPr>
        <w:t>Abs</w:t>
      </w:r>
      <w:proofErr w:type="spellEnd"/>
      <w:r w:rsidRPr="00F9353B">
        <w:rPr>
          <w:rFonts w:ascii="Times New Roman" w:eastAsia="Times New Roman" w:hAnsi="Times New Roman" w:cs="Times New Roman"/>
          <w:color w:val="000000"/>
          <w:sz w:val="20"/>
          <w:szCs w:val="20"/>
        </w:rPr>
        <w:t xml:space="preserve"> with 50%.  For </w:t>
      </w:r>
      <w:r w:rsidR="00B169F7" w:rsidRPr="00F9353B">
        <w:rPr>
          <w:rFonts w:ascii="Times New Roman" w:eastAsia="Times New Roman" w:hAnsi="Times New Roman" w:cs="Times New Roman"/>
          <w:color w:val="000000"/>
          <w:sz w:val="20"/>
          <w:szCs w:val="20"/>
        </w:rPr>
        <w:t>NO</w:t>
      </w:r>
      <w:r w:rsidR="00B169F7" w:rsidRPr="00F9353B">
        <w:rPr>
          <w:rFonts w:ascii="Times New Roman" w:eastAsia="Times New Roman" w:hAnsi="Times New Roman" w:cs="Times New Roman"/>
          <w:color w:val="000000"/>
          <w:sz w:val="20"/>
          <w:szCs w:val="20"/>
          <w:vertAlign w:val="subscript"/>
        </w:rPr>
        <w:t>2</w:t>
      </w:r>
      <w:r w:rsidRPr="00F9353B">
        <w:rPr>
          <w:rFonts w:ascii="Times New Roman" w:eastAsia="Times New Roman" w:hAnsi="Times New Roman" w:cs="Times New Roman"/>
          <w:color w:val="000000"/>
          <w:sz w:val="20"/>
          <w:szCs w:val="20"/>
        </w:rPr>
        <w:t xml:space="preserve">, cohort, natural gas oven, type of hob and boiler, butane in the living room, and the number of people living in the house, were the statistically significant variables in the model; all of these were positively correlated. The prediction models were then use to estimate these 5 indoor air pollutants in the entire </w:t>
      </w:r>
      <w:proofErr w:type="spellStart"/>
      <w:r w:rsidRPr="00F9353B">
        <w:rPr>
          <w:rFonts w:ascii="Times New Roman" w:eastAsia="Times New Roman" w:hAnsi="Times New Roman" w:cs="Times New Roman"/>
          <w:color w:val="000000"/>
          <w:sz w:val="20"/>
          <w:szCs w:val="20"/>
        </w:rPr>
        <w:t>subcohort</w:t>
      </w:r>
      <w:proofErr w:type="spellEnd"/>
      <w:r w:rsidRPr="00F9353B">
        <w:rPr>
          <w:rFonts w:ascii="Times New Roman" w:eastAsia="Times New Roman" w:hAnsi="Times New Roman" w:cs="Times New Roman"/>
          <w:color w:val="000000"/>
          <w:sz w:val="20"/>
          <w:szCs w:val="20"/>
        </w:rPr>
        <w:t xml:space="preserve">. </w:t>
      </w:r>
    </w:p>
    <w:p w14:paraId="33023FE3" w14:textId="5AE31093" w:rsidR="00FF08E5" w:rsidRDefault="00FF08E5" w:rsidP="00FB6412">
      <w:pPr>
        <w:spacing w:line="240" w:lineRule="auto"/>
        <w:contextualSpacing/>
        <w:rPr>
          <w:rFonts w:ascii="Times New Roman" w:eastAsia="Times New Roman" w:hAnsi="Times New Roman" w:cs="Times New Roman"/>
          <w:b/>
          <w:color w:val="000000"/>
          <w:sz w:val="20"/>
          <w:szCs w:val="20"/>
        </w:rPr>
      </w:pPr>
      <w:bookmarkStart w:id="14" w:name="_Hlk126576662"/>
    </w:p>
    <w:p w14:paraId="53FFB9A2" w14:textId="77777777" w:rsidR="00921D72" w:rsidRDefault="00921D72" w:rsidP="00FB6412">
      <w:pPr>
        <w:spacing w:line="240" w:lineRule="auto"/>
        <w:contextualSpacing/>
        <w:rPr>
          <w:rFonts w:ascii="Times New Roman" w:eastAsia="Times New Roman" w:hAnsi="Times New Roman" w:cs="Times New Roman"/>
          <w:b/>
          <w:color w:val="000000"/>
          <w:sz w:val="20"/>
          <w:szCs w:val="20"/>
        </w:rPr>
      </w:pPr>
    </w:p>
    <w:p w14:paraId="28FC505E" w14:textId="77777777" w:rsidR="005E717B" w:rsidRPr="008A5C48" w:rsidRDefault="00966211" w:rsidP="00FB6412">
      <w:pPr>
        <w:keepNext/>
        <w:keepLines/>
        <w:pBdr>
          <w:top w:val="nil"/>
          <w:left w:val="nil"/>
          <w:bottom w:val="nil"/>
          <w:right w:val="nil"/>
          <w:between w:val="nil"/>
        </w:pBdr>
        <w:spacing w:before="200" w:line="240" w:lineRule="auto"/>
        <w:contextualSpacing/>
        <w:rPr>
          <w:rFonts w:ascii="Times New Roman" w:eastAsia="Times New Roman" w:hAnsi="Times New Roman" w:cs="Times New Roman"/>
          <w:b/>
          <w:sz w:val="20"/>
          <w:szCs w:val="20"/>
        </w:rPr>
      </w:pPr>
      <w:bookmarkStart w:id="15" w:name="_heading=h.2jxsxqh" w:colFirst="0" w:colLast="0"/>
      <w:bookmarkEnd w:id="14"/>
      <w:bookmarkEnd w:id="15"/>
      <w:r w:rsidRPr="008A5C48">
        <w:rPr>
          <w:rFonts w:ascii="Times New Roman" w:hAnsi="Times New Roman" w:cs="Times New Roman"/>
          <w:sz w:val="20"/>
          <w:szCs w:val="20"/>
        </w:rPr>
        <w:br w:type="page"/>
      </w:r>
    </w:p>
    <w:p w14:paraId="179937BF" w14:textId="1D167321" w:rsidR="00C03B92" w:rsidRPr="00DD0DC1" w:rsidRDefault="00C03B92" w:rsidP="00A75847">
      <w:pPr>
        <w:pStyle w:val="Titre1"/>
      </w:pPr>
      <w:bookmarkStart w:id="16" w:name="_Toc127358150"/>
      <w:bookmarkStart w:id="17" w:name="_Toc132271578"/>
      <w:bookmarkStart w:id="18" w:name="_Hlk127366974"/>
      <w:proofErr w:type="spellStart"/>
      <w:r w:rsidRPr="001672AC">
        <w:lastRenderedPageBreak/>
        <w:t>eMethods</w:t>
      </w:r>
      <w:proofErr w:type="spellEnd"/>
      <w:r w:rsidRPr="001672AC">
        <w:t xml:space="preserve"> </w:t>
      </w:r>
      <w:r w:rsidR="00755B26">
        <w:t>3</w:t>
      </w:r>
      <w:r w:rsidR="004120E3">
        <w:t xml:space="preserve">. </w:t>
      </w:r>
      <w:r w:rsidRPr="001E4B45">
        <w:rPr>
          <w:b w:val="0"/>
          <w:bCs w:val="0"/>
        </w:rPr>
        <w:t xml:space="preserve">Assessment methods for lifestyle </w:t>
      </w:r>
      <w:r w:rsidR="000154BD">
        <w:rPr>
          <w:b w:val="0"/>
          <w:bCs w:val="0"/>
        </w:rPr>
        <w:t>factors</w:t>
      </w:r>
      <w:r w:rsidR="000154BD" w:rsidRPr="001E4B45">
        <w:rPr>
          <w:b w:val="0"/>
          <w:bCs w:val="0"/>
        </w:rPr>
        <w:t xml:space="preserve"> </w:t>
      </w:r>
      <w:r w:rsidRPr="001E4B45">
        <w:rPr>
          <w:b w:val="0"/>
          <w:bCs w:val="0"/>
        </w:rPr>
        <w:t>and other</w:t>
      </w:r>
      <w:r w:rsidR="00DD0DC1" w:rsidRPr="001E4B45">
        <w:rPr>
          <w:b w:val="0"/>
          <w:bCs w:val="0"/>
        </w:rPr>
        <w:t xml:space="preserve"> (extracted from Maitre</w:t>
      </w:r>
      <w:r w:rsidR="00DD0DC1" w:rsidRPr="001E4B45">
        <w:rPr>
          <w:b w:val="0"/>
          <w:bCs w:val="0"/>
        </w:rPr>
        <w:fldChar w:fldCharType="begin"/>
      </w:r>
      <w:r w:rsidR="001E1198" w:rsidRPr="001E4B45">
        <w:rPr>
          <w:b w:val="0"/>
          <w:bCs w:val="0"/>
        </w:rPr>
        <w:instrText xml:space="preserve"> ADDIN ZOTERO_ITEM CSL_CITATION {"citationID":"COfNILRY","properties":{"formattedCitation":"\\super 12\\nosupersub{}","plainCitation":"12","noteIndex":0},"citationItems":[{"id":97,"uris":["http://zotero.org/users/9798320/items/S6TH5MPU"],"itemData":{"id":97,"type":"article-journal","abstract":"BACKGROUND: Environmental exposures in early life influence the development of behavioral outcomes in children, but research has not considered multiple exposures. We therefore aimed to investigate the impact of a broad spectrum of pre- and postnatal environmental exposures on child behavior.\nMETHODS AND FINDINGS: We used data from the HELIX (Human Early Life Exposome) project, which was based on six longitudinal population-based birth cohorts in Europe. At 6-11 years, children underwent a follow-up to characterize their exposures and assess behavioral problems. We measured 88 prenatal and 123 childhood environmental factors, including outdoor, indoor, chemical, lifestyle and social exposures. Parent-reported behavioral problems included (1) internalizing, (2) externalizing scores, using the child behavior checklist (CBCL), and (3) the Conner's Attention Deficit Hyperactivity Disorder (ADHD) index, all outcomes being discrete raw counts. We applied LASSO penalized negative binomial regression models to identify which exposures were associated with the outcomes, while adjusting for co-exposures. In the 1287 children (mean age 8.0 years), 7.3% had a neuropsychiatric medical diagnosis according to parent's reports. During pregnancy, smoking and car traffic showing the strongest associations (e.g. smoking with ADHD index, aMR:1.31 [1.09; 1.59]) among the 13 exposures selected by LASSO, for at least one of the outcomes. During childhood, longer sleep duration, healthy diet and higher family social capital were associated with reduced scores whereas higher exposure to lead, copper, indoor air pollution, unhealthy diet were associated with increased scores. Unexpected decreases in behavioral scores were found with polychlorinated biphenyls (PCBs) and organophosphate (OP) pesticides.\nCONCLUSIONS: Our systematic exposome approach identified several environmental contaminants and healthy lifestyle habits that may influence behavioral problems in children. Modifying environmental exposures early in life may limit lifetime mental health risk.","container-title":"Environment International","DOI":"10.1016/j.envint.2021.106523","ISSN":"1873-6750","journalAbbreviation":"Environ Int","language":"eng","note":"PMID: 33773142\nPMCID: PMC8140407","page":"106523","source":"PubMed","title":"Early-life environmental exposure determinants of child behavior in Europe: A longitudinal, population-based study","title-short":"Early-life environmental exposure determinants of child behavior in Europe","volume":"153","author":[{"family":"Maitre","given":"Léa"},{"family":"Julvez","given":"Jordi"},{"family":"López-Vicente","given":"Monica"},{"family":"Warembourg","given":"Charline"},{"family":"Tamayo-Uria","given":"Ibon"},{"family":"Philippat","given":"Claire"},{"family":"Gützkow","given":"Kristine B."},{"family":"Guxens","given":"Monica"},{"family":"Andrusaityte","given":"Sandra"},{"family":"Basagaña","given":"Xavier"},{"family":"Casas","given":"Maribel"},{"family":"Castro","given":"Montserrat","non-dropping-particle":"de"},{"family":"Chatzi","given":"Leda"},{"family":"Evandt","given":"Jorunn"},{"family":"Gonzalez","given":"Juan R."},{"family":"Gražulevičienė","given":"Regina"},{"family":"Smastuen Haug","given":"Line"},{"family":"Heude","given":"Barbara"},{"family":"Hernandez-Ferrer","given":"Carles"},{"family":"Kampouri","given":"Mariza"},{"family":"Manson","given":"Dan"},{"family":"Marquez","given":"Sandra"},{"family":"McEachan","given":"Rosie"},{"family":"Nieuwenhuijsen","given":"Mark"},{"family":"Robinson","given":"Oliver"},{"family":"Slama","given":"Remy"},{"family":"Thomsen","given":"Cathrine"},{"family":"Urquiza","given":"Jose"},{"family":"Vafeidi","given":"Marina"},{"family":"Wright","given":"John"},{"family":"Vrijheid","given":"Martine"}],"issued":{"date-parts":[["2021",8]]}}}],"schema":"https://github.com/citation-style-language/schema/raw/master/csl-citation.json"} </w:instrText>
      </w:r>
      <w:r w:rsidR="00DD0DC1" w:rsidRPr="001E4B45">
        <w:rPr>
          <w:b w:val="0"/>
          <w:bCs w:val="0"/>
        </w:rPr>
        <w:fldChar w:fldCharType="separate"/>
      </w:r>
      <w:r w:rsidR="00DD0DC1" w:rsidRPr="001E4B45">
        <w:rPr>
          <w:b w:val="0"/>
          <w:bCs w:val="0"/>
          <w:szCs w:val="24"/>
          <w:vertAlign w:val="superscript"/>
        </w:rPr>
        <w:t>12</w:t>
      </w:r>
      <w:r w:rsidR="00DD0DC1" w:rsidRPr="001E4B45">
        <w:rPr>
          <w:b w:val="0"/>
          <w:bCs w:val="0"/>
        </w:rPr>
        <w:fldChar w:fldCharType="end"/>
      </w:r>
      <w:r w:rsidR="00DD0DC1" w:rsidRPr="001E4B45">
        <w:rPr>
          <w:b w:val="0"/>
          <w:bCs w:val="0"/>
        </w:rPr>
        <w:t>)</w:t>
      </w:r>
      <w:bookmarkEnd w:id="16"/>
      <w:bookmarkEnd w:id="17"/>
    </w:p>
    <w:bookmarkEnd w:id="18"/>
    <w:p w14:paraId="664C7D9F" w14:textId="77777777" w:rsidR="009A3716" w:rsidRPr="009A3716" w:rsidRDefault="009A3716" w:rsidP="009A3716">
      <w:pPr>
        <w:spacing w:after="0" w:line="240" w:lineRule="auto"/>
        <w:contextualSpacing/>
        <w:rPr>
          <w:rFonts w:ascii="Times New Roman" w:eastAsia="Times New Roman" w:hAnsi="Times New Roman" w:cs="Times New Roman"/>
          <w:color w:val="000000"/>
          <w:sz w:val="20"/>
          <w:szCs w:val="20"/>
        </w:rPr>
      </w:pPr>
    </w:p>
    <w:p w14:paraId="21626823" w14:textId="3C545FF8" w:rsidR="005E717B" w:rsidRPr="00C03B92" w:rsidRDefault="00966211" w:rsidP="00FB6412">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C03B92">
        <w:rPr>
          <w:rFonts w:ascii="Times New Roman" w:eastAsia="Times New Roman" w:hAnsi="Times New Roman" w:cs="Times New Roman"/>
          <w:bCs/>
          <w:i/>
          <w:sz w:val="20"/>
          <w:szCs w:val="20"/>
        </w:rPr>
        <w:t>Tobacco smoke</w:t>
      </w:r>
    </w:p>
    <w:p w14:paraId="5741C2A8" w14:textId="4BD05B6D" w:rsidR="005E717B" w:rsidRPr="008A5C48" w:rsidRDefault="00966211" w:rsidP="00FB6412">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Tobacco smoke exposure was assessed in pregnancy via questionnaire for active and passive smoking, as well as based on cotinine measurements</w:t>
      </w:r>
      <w:r w:rsidR="00C03B92">
        <w:rPr>
          <w:rFonts w:ascii="Times New Roman" w:eastAsia="Times New Roman" w:hAnsi="Times New Roman" w:cs="Times New Roman"/>
          <w:color w:val="000000"/>
          <w:sz w:val="20"/>
          <w:szCs w:val="20"/>
        </w:rPr>
        <w:t xml:space="preserve"> (see </w:t>
      </w:r>
      <w:proofErr w:type="spellStart"/>
      <w:r w:rsidR="00C03B92">
        <w:rPr>
          <w:rFonts w:ascii="Times New Roman" w:eastAsia="Times New Roman" w:hAnsi="Times New Roman" w:cs="Times New Roman"/>
          <w:color w:val="000000"/>
          <w:sz w:val="20"/>
          <w:szCs w:val="20"/>
        </w:rPr>
        <w:t>eMethods</w:t>
      </w:r>
      <w:proofErr w:type="spellEnd"/>
      <w:r w:rsidR="00C03B92">
        <w:rPr>
          <w:rFonts w:ascii="Times New Roman" w:eastAsia="Times New Roman" w:hAnsi="Times New Roman" w:cs="Times New Roman"/>
          <w:color w:val="000000"/>
          <w:sz w:val="20"/>
          <w:szCs w:val="20"/>
        </w:rPr>
        <w:t xml:space="preserve"> </w:t>
      </w:r>
      <w:r w:rsidR="00D573B8">
        <w:rPr>
          <w:rFonts w:ascii="Times New Roman" w:eastAsia="Times New Roman" w:hAnsi="Times New Roman" w:cs="Times New Roman"/>
          <w:color w:val="000000"/>
          <w:sz w:val="20"/>
          <w:szCs w:val="20"/>
        </w:rPr>
        <w:t>4</w:t>
      </w:r>
      <w:r w:rsidR="00C03B92">
        <w:rPr>
          <w:rFonts w:ascii="Times New Roman" w:eastAsia="Times New Roman" w:hAnsi="Times New Roman" w:cs="Times New Roman"/>
          <w:color w:val="000000"/>
          <w:sz w:val="20"/>
          <w:szCs w:val="20"/>
        </w:rPr>
        <w:t>)</w:t>
      </w:r>
      <w:r w:rsidRPr="008A5C48">
        <w:rPr>
          <w:rFonts w:ascii="Times New Roman" w:eastAsia="Times New Roman" w:hAnsi="Times New Roman" w:cs="Times New Roman"/>
          <w:color w:val="000000"/>
          <w:sz w:val="20"/>
          <w:szCs w:val="20"/>
        </w:rPr>
        <w:t>. Pregnancy questions on tobacco smoke from the cohorts were harmonized as part of the ESCAPE project. Tobacco smoke exposure of the mother at any point during pregnancy was categorised into: no exposure, only passive smoke exposure, active smoking. Active smoking was also measured by the number of cigarettes per day on average during pregnancy</w:t>
      </w:r>
    </w:p>
    <w:p w14:paraId="10D58CDD" w14:textId="77777777" w:rsidR="005E717B" w:rsidRPr="008A5C48" w:rsidRDefault="005E717B" w:rsidP="00FB6412">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6B89A7FD" w14:textId="0AF92386" w:rsidR="005E717B" w:rsidRPr="008A5C48" w:rsidRDefault="00966211" w:rsidP="00FB6412">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For children, in addition to the cotinine-based classification (</w:t>
      </w:r>
      <w:r w:rsidR="00C03B92">
        <w:rPr>
          <w:rFonts w:ascii="Times New Roman" w:eastAsia="Times New Roman" w:hAnsi="Times New Roman" w:cs="Times New Roman"/>
          <w:color w:val="000000"/>
          <w:sz w:val="20"/>
          <w:szCs w:val="20"/>
        </w:rPr>
        <w:t xml:space="preserve">see </w:t>
      </w:r>
      <w:proofErr w:type="spellStart"/>
      <w:r w:rsidR="00C03B92">
        <w:rPr>
          <w:rFonts w:ascii="Times New Roman" w:eastAsia="Times New Roman" w:hAnsi="Times New Roman" w:cs="Times New Roman"/>
          <w:color w:val="000000"/>
          <w:sz w:val="20"/>
          <w:szCs w:val="20"/>
        </w:rPr>
        <w:t>eMethods</w:t>
      </w:r>
      <w:proofErr w:type="spellEnd"/>
      <w:r w:rsidR="00C03B92">
        <w:rPr>
          <w:rFonts w:ascii="Times New Roman" w:eastAsia="Times New Roman" w:hAnsi="Times New Roman" w:cs="Times New Roman"/>
          <w:color w:val="000000"/>
          <w:sz w:val="20"/>
          <w:szCs w:val="20"/>
        </w:rPr>
        <w:t xml:space="preserve"> </w:t>
      </w:r>
      <w:r w:rsidR="00D573B8">
        <w:rPr>
          <w:rFonts w:ascii="Times New Roman" w:eastAsia="Times New Roman" w:hAnsi="Times New Roman" w:cs="Times New Roman"/>
          <w:color w:val="000000"/>
          <w:sz w:val="20"/>
          <w:szCs w:val="20"/>
        </w:rPr>
        <w:t>4</w:t>
      </w:r>
      <w:r w:rsidRPr="008A5C48">
        <w:rPr>
          <w:rFonts w:ascii="Times New Roman" w:eastAsia="Times New Roman" w:hAnsi="Times New Roman" w:cs="Times New Roman"/>
          <w:color w:val="000000"/>
          <w:sz w:val="20"/>
          <w:szCs w:val="20"/>
        </w:rPr>
        <w:t xml:space="preserve">), the following two variables were created based on the questionnaires completed by the parents: </w:t>
      </w:r>
    </w:p>
    <w:p w14:paraId="1AFE8D79" w14:textId="77777777" w:rsidR="005E717B" w:rsidRPr="008A5C48" w:rsidRDefault="00966211" w:rsidP="00FB6412">
      <w:pPr>
        <w:numPr>
          <w:ilvl w:val="0"/>
          <w:numId w:val="2"/>
        </w:num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The global exposure of the child to ETS with two categories: "no exposure", no exposure at home neither in other places; “exposure”: exposure in at least one place, at home or outside.</w:t>
      </w:r>
    </w:p>
    <w:p w14:paraId="32861879" w14:textId="1A2BCC75" w:rsidR="005E717B" w:rsidRDefault="00966211" w:rsidP="00FB6412">
      <w:pPr>
        <w:numPr>
          <w:ilvl w:val="0"/>
          <w:numId w:val="2"/>
        </w:num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Active smoking of the parents: “1” none of the parents, “2” one parent or “3” both parents. </w:t>
      </w:r>
    </w:p>
    <w:p w14:paraId="1D4F6013" w14:textId="77777777" w:rsidR="00262C01" w:rsidRPr="008A5C48"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5D65B8AA" w14:textId="77777777" w:rsidR="005E717B" w:rsidRPr="00C03B92" w:rsidRDefault="00966211" w:rsidP="00FB6412">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C03B92">
        <w:rPr>
          <w:rFonts w:ascii="Times New Roman" w:eastAsia="Times New Roman" w:hAnsi="Times New Roman" w:cs="Times New Roman"/>
          <w:bCs/>
          <w:i/>
          <w:sz w:val="20"/>
          <w:szCs w:val="20"/>
        </w:rPr>
        <w:t>Diet</w:t>
      </w:r>
    </w:p>
    <w:p w14:paraId="226A4261" w14:textId="1BBAEEB1" w:rsidR="005E717B" w:rsidRPr="008A5C48" w:rsidRDefault="00966211" w:rsidP="00FB6412">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Diet during pregnancy was assessed through food frequency questionnaires by each cohort and harmonized </w:t>
      </w:r>
      <w:r w:rsidRPr="008A5C48">
        <w:rPr>
          <w:rFonts w:ascii="Times New Roman" w:eastAsia="Times New Roman" w:hAnsi="Times New Roman" w:cs="Times New Roman"/>
          <w:i/>
          <w:color w:val="000000"/>
          <w:sz w:val="20"/>
          <w:szCs w:val="20"/>
        </w:rPr>
        <w:t>a posteriori</w:t>
      </w:r>
      <w:r w:rsidRPr="008A5C48">
        <w:rPr>
          <w:rFonts w:ascii="Times New Roman" w:eastAsia="Times New Roman" w:hAnsi="Times New Roman" w:cs="Times New Roman"/>
          <w:color w:val="000000"/>
          <w:sz w:val="20"/>
          <w:szCs w:val="20"/>
        </w:rPr>
        <w:t xml:space="preserve"> for the HELIX project. Harmonisation was possible for eight main food groups (average consumption in times/week) and folic acid supplementation intake (yes/no) in the first trimester for five of the six cohorts (KANC not available)</w:t>
      </w:r>
      <w:r w:rsidR="00D214EF">
        <w:rPr>
          <w:rFonts w:ascii="Times New Roman" w:eastAsia="Times New Roman" w:hAnsi="Times New Roman" w:cs="Times New Roman"/>
          <w:color w:val="000000"/>
          <w:sz w:val="20"/>
          <w:szCs w:val="20"/>
        </w:rPr>
        <w:t>.</w:t>
      </w:r>
    </w:p>
    <w:p w14:paraId="618136F0" w14:textId="77777777" w:rsidR="005E717B" w:rsidRPr="008A5C48" w:rsidRDefault="00966211" w:rsidP="00FB6412">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In early childhood years information about breastfeeding duration (in weeks) was collected by the cohorts and then harmonized as part of HELIX.</w:t>
      </w:r>
    </w:p>
    <w:p w14:paraId="279065C0" w14:textId="27879752" w:rsidR="00C03B92" w:rsidRPr="00D214EF" w:rsidRDefault="00966211" w:rsidP="00D214EF">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Information on the child’s diet was collected through the standardized HELIX </w:t>
      </w:r>
      <w:proofErr w:type="spellStart"/>
      <w:r w:rsidRPr="008A5C48">
        <w:rPr>
          <w:rFonts w:ascii="Times New Roman" w:eastAsia="Times New Roman" w:hAnsi="Times New Roman" w:cs="Times New Roman"/>
          <w:color w:val="000000"/>
          <w:sz w:val="20"/>
          <w:szCs w:val="20"/>
        </w:rPr>
        <w:t>subcohort</w:t>
      </w:r>
      <w:proofErr w:type="spellEnd"/>
      <w:r w:rsidRPr="008A5C48">
        <w:rPr>
          <w:rFonts w:ascii="Times New Roman" w:eastAsia="Times New Roman" w:hAnsi="Times New Roman" w:cs="Times New Roman"/>
          <w:color w:val="000000"/>
          <w:sz w:val="20"/>
          <w:szCs w:val="20"/>
        </w:rPr>
        <w:t xml:space="preserve"> questionnaire. The child’s diet was then summarized in 15 food groups (times/week)</w:t>
      </w:r>
      <w:r w:rsidR="00C03B92">
        <w:rPr>
          <w:rFonts w:ascii="Times New Roman" w:eastAsia="Times New Roman" w:hAnsi="Times New Roman" w:cs="Times New Roman"/>
          <w:color w:val="000000"/>
          <w:sz w:val="20"/>
          <w:szCs w:val="20"/>
        </w:rPr>
        <w:t xml:space="preserve">. Food groups collected during both pregnancy and childhood </w:t>
      </w:r>
      <w:r w:rsidR="00D214EF">
        <w:rPr>
          <w:rFonts w:ascii="Times New Roman" w:eastAsia="Times New Roman" w:hAnsi="Times New Roman" w:cs="Times New Roman"/>
          <w:color w:val="000000"/>
          <w:sz w:val="20"/>
          <w:szCs w:val="20"/>
        </w:rPr>
        <w:t>were</w:t>
      </w:r>
      <w:r w:rsidR="00C03B92">
        <w:rPr>
          <w:rFonts w:ascii="Times New Roman" w:eastAsia="Times New Roman" w:hAnsi="Times New Roman" w:cs="Times New Roman"/>
          <w:color w:val="000000"/>
          <w:sz w:val="20"/>
          <w:szCs w:val="20"/>
        </w:rPr>
        <w:t xml:space="preserve"> cereals, dairy products, fish and seafood, fruits, meat and vegetables. During pregnancy only, legumes intakes was also measured. During childhood, 10 other food groups were assessed: bakery products, breakfast cereals, bread (white and whole wheat), potatoes, sweets, yogurt and probiotics, processed meat, total added lipids (butter, margarine and vegetable oils), beverages (sodas, with or without sugar), caffeinated drinks. </w:t>
      </w:r>
      <w:r w:rsidR="00D214EF">
        <w:rPr>
          <w:rFonts w:ascii="Times New Roman" w:eastAsia="Times New Roman" w:hAnsi="Times New Roman" w:cs="Times New Roman"/>
          <w:color w:val="000000"/>
          <w:sz w:val="20"/>
          <w:szCs w:val="20"/>
        </w:rPr>
        <w:t xml:space="preserve">We also assessed </w:t>
      </w:r>
      <w:r w:rsidR="00D214EF" w:rsidRPr="008A5C48">
        <w:rPr>
          <w:rFonts w:ascii="Times New Roman" w:eastAsia="Times New Roman" w:hAnsi="Times New Roman" w:cs="Times New Roman"/>
          <w:color w:val="000000"/>
          <w:sz w:val="20"/>
          <w:szCs w:val="20"/>
        </w:rPr>
        <w:t>dietary habits</w:t>
      </w:r>
      <w:r w:rsidR="00D214EF">
        <w:rPr>
          <w:rFonts w:ascii="Times New Roman" w:eastAsia="Times New Roman" w:hAnsi="Times New Roman" w:cs="Times New Roman"/>
          <w:color w:val="000000"/>
          <w:sz w:val="20"/>
          <w:szCs w:val="20"/>
        </w:rPr>
        <w:t>, in particular,</w:t>
      </w:r>
      <w:r w:rsidR="00D214EF" w:rsidRPr="00D214EF">
        <w:rPr>
          <w:rFonts w:ascii="Times New Roman" w:eastAsia="Times New Roman" w:hAnsi="Times New Roman" w:cs="Times New Roman"/>
          <w:color w:val="000000"/>
          <w:sz w:val="20"/>
          <w:szCs w:val="20"/>
        </w:rPr>
        <w:t xml:space="preserve"> </w:t>
      </w:r>
      <w:r w:rsidR="00D214EF">
        <w:rPr>
          <w:rFonts w:ascii="Times New Roman" w:eastAsia="Times New Roman" w:hAnsi="Times New Roman" w:cs="Times New Roman"/>
          <w:color w:val="000000"/>
          <w:sz w:val="20"/>
          <w:szCs w:val="20"/>
        </w:rPr>
        <w:t>v</w:t>
      </w:r>
      <w:r w:rsidR="00D214EF" w:rsidRPr="008A5C48">
        <w:rPr>
          <w:rFonts w:ascii="Times New Roman" w:eastAsia="Times New Roman" w:hAnsi="Times New Roman" w:cs="Times New Roman"/>
          <w:color w:val="000000"/>
          <w:sz w:val="20"/>
          <w:szCs w:val="20"/>
        </w:rPr>
        <w:t xml:space="preserve">isits </w:t>
      </w:r>
      <w:r w:rsidR="00D214EF">
        <w:rPr>
          <w:rFonts w:ascii="Times New Roman" w:eastAsia="Times New Roman" w:hAnsi="Times New Roman" w:cs="Times New Roman"/>
          <w:color w:val="000000"/>
          <w:sz w:val="20"/>
          <w:szCs w:val="20"/>
        </w:rPr>
        <w:t xml:space="preserve">to </w:t>
      </w:r>
      <w:r w:rsidR="00D214EF" w:rsidRPr="008A5C48">
        <w:rPr>
          <w:rFonts w:ascii="Times New Roman" w:eastAsia="Times New Roman" w:hAnsi="Times New Roman" w:cs="Times New Roman"/>
          <w:color w:val="000000"/>
          <w:sz w:val="20"/>
          <w:szCs w:val="20"/>
        </w:rPr>
        <w:t>a fast-food restaurant/take away</w:t>
      </w:r>
      <w:r w:rsidR="00D214EF">
        <w:rPr>
          <w:rFonts w:ascii="Times New Roman" w:eastAsia="Times New Roman" w:hAnsi="Times New Roman" w:cs="Times New Roman"/>
          <w:color w:val="000000"/>
          <w:sz w:val="20"/>
          <w:szCs w:val="20"/>
        </w:rPr>
        <w:t xml:space="preserve"> (pregnancy and childhood), eating organic food (childhood only) and eating readymade supermarket meals (childhood only). </w:t>
      </w:r>
      <w:r w:rsidRPr="008A5C48">
        <w:rPr>
          <w:rFonts w:ascii="Times New Roman" w:eastAsia="Times New Roman" w:hAnsi="Times New Roman" w:cs="Times New Roman"/>
          <w:color w:val="000000"/>
          <w:sz w:val="20"/>
          <w:szCs w:val="20"/>
        </w:rPr>
        <w:t>We also included the KIDMED index, a dietary score representative of healthy eating and based on the principles of Mediterranean dietary patterns. The KIDMED index consists of 16 questions with questions denoting a negative connotation with respect to the Mediterranean diet assigned a value of -1, and those with a positive aspect scored +1</w:t>
      </w:r>
      <w:r w:rsidR="003900F0">
        <w:rPr>
          <w:rFonts w:ascii="Times New Roman" w:eastAsia="Times New Roman" w:hAnsi="Times New Roman" w:cs="Times New Roman"/>
          <w:color w:val="000000"/>
          <w:sz w:val="20"/>
          <w:szCs w:val="20"/>
        </w:rPr>
        <w:t xml:space="preserve"> </w:t>
      </w:r>
      <w:r w:rsidR="003900F0">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{"citationID":"vyXHNvXa","properties":{"formattedCitation":"\\super 36\\nosupersub{}","plainCitation":"36","noteIndex":0},"citationItems":[{"id":1136,"uris":["http://zotero.org/users/9798320/items/2HSQSV2D"],"itemData":{"id":1136,"type":"article-journal","abstract":"OBJECTIVE: To evaluate dietary habits in Spanish children and adolescents based on a Mediterranean Diet Quality Index tool, which considers certain principles sustaining and challenging traditional healthy Mediterranean dietary patterns.\nDESIGN: Observational population-based cross-sectional study. A 16-item Mediterranean Diet Quality Index was included in data gathered for the EnKid study (in which two 24-hour recalls, a quantitative 169-item food-frequency questionnaire and a general questionnaire about socio-economic, demographic and lifestyle items were administered).\nSETTING: Spain.\nSUBJECTS: In total, 3850 children and youths aged 2-24 years residing in Spain.\nRESULTS: Of the sample, 4.2% showed very low KIDMED index results, 49.4% had intermediate values and 46.4% had high index results. Important geographical differences were seen, with subjects from the Northeast showing the most favourable outcomes (52% with elevated scores vs. 37.5% of those from the North). Lower percentages of high diet quality were observed in low socio-economic groups, compared with middle and upper income cohorts (42.8%, 47.6% and 54.9%, respectively). Large cities had more positive results and only slight variations were seen for gender and age.\nCONCLUSIONS: The KIDMED index, the first to evaluate the adequacy of Mediterranean dietary patterns in children and youth, confirms that this collective is undergoing important changes, which makes them a priority target for nutrition interventions. Results challenge certain commonly perceived notions tied to income level, population size and diet quality.","container-title":"Public Health Nutrition","DOI":"10.1079/phn2004556","ISSN":"1368-9800","issue":"7","journalAbbreviation":"Public Health Nutr","language":"eng","note":"PMID: 15482620","page":"931-935","source":"PubMed","title":"Food, youth and the Mediterranean diet in Spain. Development of KIDMED, Mediterranean Diet Quality Index in children and adolescents","volume":"7","author":[{"family":"Serra-Majem","given":"Lluís"},{"family":"Ribas","given":"Lourdes"},{"family":"Ngo","given":"Joy"},{"family":"Ortega","given":"Rosa M."},{"family":"García","given":"Alicia"},{"family":"Pérez-Rodrigo","given":"Carmen"},{"family":"Aranceta","given":"Javier"}],"issued":{"date-parts":[["2004",10]]}}}],"schema":"https://github.com/citation-style-language/schema/raw/master/csl-citation.json"} </w:instrText>
      </w:r>
      <w:r w:rsidR="003900F0">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36</w:t>
      </w:r>
      <w:r w:rsidR="003900F0">
        <w:rPr>
          <w:rFonts w:ascii="Times New Roman" w:eastAsia="Times New Roman" w:hAnsi="Times New Roman" w:cs="Times New Roman"/>
          <w:color w:val="000000"/>
          <w:sz w:val="20"/>
          <w:szCs w:val="20"/>
        </w:rPr>
        <w:fldChar w:fldCharType="end"/>
      </w:r>
      <w:r w:rsidR="003900F0">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Further, we analysed as separate variables few factors that contribute to the KIDMED index including fast food visits, organic food and ready-made supermarket meal consumption. </w:t>
      </w:r>
    </w:p>
    <w:p w14:paraId="0BE50AF8" w14:textId="6CE28629" w:rsidR="00262C01" w:rsidRDefault="00262C01" w:rsidP="00FB6412">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p>
    <w:p w14:paraId="7BFBE708" w14:textId="77777777" w:rsidR="00262C01" w:rsidRPr="00C03B92"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C03B92">
        <w:rPr>
          <w:rFonts w:ascii="Times New Roman" w:eastAsia="Times New Roman" w:hAnsi="Times New Roman" w:cs="Times New Roman"/>
          <w:bCs/>
          <w:i/>
          <w:sz w:val="20"/>
          <w:szCs w:val="20"/>
        </w:rPr>
        <w:t>Physical activity</w:t>
      </w:r>
    </w:p>
    <w:p w14:paraId="09DB1B0A" w14:textId="4D812EC6" w:rsidR="00262C01" w:rsidRPr="008A5C48" w:rsidRDefault="00262C01" w:rsidP="00262C01">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bookmarkStart w:id="19" w:name="bookmark=id.41mghml" w:colFirst="0" w:colLast="0"/>
      <w:bookmarkEnd w:id="19"/>
      <w:r w:rsidRPr="008A5C48">
        <w:rPr>
          <w:rFonts w:ascii="Times New Roman" w:eastAsia="Times New Roman" w:hAnsi="Times New Roman" w:cs="Times New Roman"/>
          <w:color w:val="000000"/>
          <w:sz w:val="20"/>
          <w:szCs w:val="20"/>
        </w:rPr>
        <w:t>Physical activity during pregnancy (3</w:t>
      </w:r>
      <w:r w:rsidRPr="008A5C48">
        <w:rPr>
          <w:rFonts w:ascii="Times New Roman" w:eastAsia="Times New Roman" w:hAnsi="Times New Roman" w:cs="Times New Roman"/>
          <w:color w:val="000000"/>
          <w:sz w:val="20"/>
          <w:szCs w:val="20"/>
          <w:vertAlign w:val="superscript"/>
        </w:rPr>
        <w:t>rd</w:t>
      </w:r>
      <w:r w:rsidRPr="008A5C48">
        <w:rPr>
          <w:rFonts w:ascii="Times New Roman" w:eastAsia="Times New Roman" w:hAnsi="Times New Roman" w:cs="Times New Roman"/>
          <w:color w:val="000000"/>
          <w:sz w:val="20"/>
          <w:szCs w:val="20"/>
        </w:rPr>
        <w:t xml:space="preserve"> trimester only) was estimated based on the harmonization of the respective cohort questionnaire data. Two variables were created: (yes) moderate activity corresponding to walking and/or cycling activity (expressed in frequency categories: never or sometimes; often; very often); and (2) vigorous activity (in two frequency categories: low and medium/high) corresponding to exercise or sport activity. </w:t>
      </w:r>
      <w:r w:rsidR="009A3716">
        <w:rPr>
          <w:rFonts w:ascii="Times New Roman" w:eastAsia="Times New Roman" w:hAnsi="Times New Roman" w:cs="Times New Roman"/>
          <w:color w:val="000000"/>
          <w:sz w:val="20"/>
          <w:szCs w:val="20"/>
        </w:rPr>
        <w:t>Because there were more than 30% of missing data before imputation, physical activity has not been studied for the pregnancy period</w:t>
      </w:r>
      <w:r w:rsidR="00D44B5A">
        <w:rPr>
          <w:rFonts w:ascii="Times New Roman" w:eastAsia="Times New Roman" w:hAnsi="Times New Roman" w:cs="Times New Roman"/>
          <w:color w:val="000000"/>
          <w:sz w:val="20"/>
          <w:szCs w:val="20"/>
        </w:rPr>
        <w:t xml:space="preserve"> for this manuscript</w:t>
      </w:r>
      <w:r w:rsidR="009A3716">
        <w:rPr>
          <w:rFonts w:ascii="Times New Roman" w:eastAsia="Times New Roman" w:hAnsi="Times New Roman" w:cs="Times New Roman"/>
          <w:color w:val="000000"/>
          <w:sz w:val="20"/>
          <w:szCs w:val="20"/>
        </w:rPr>
        <w:t>.</w:t>
      </w:r>
    </w:p>
    <w:p w14:paraId="35A90F4C" w14:textId="77777777" w:rsidR="00262C01" w:rsidRPr="008A5C48" w:rsidRDefault="00262C01" w:rsidP="00262C01">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For children, the moderate-to-vigorous physical activity variable was created based on questionnaire data. It was defined as the amount of time children spent doing physical activities with intensity above 3 metabolic equivalent tasks (METs), and is expressed in units of min/day. </w:t>
      </w:r>
      <w:bookmarkStart w:id="20" w:name="bookmark=id.2grqrue" w:colFirst="0" w:colLast="0"/>
      <w:bookmarkEnd w:id="20"/>
      <w:r w:rsidRPr="008A5C48">
        <w:rPr>
          <w:rFonts w:ascii="Times New Roman" w:eastAsia="Times New Roman" w:hAnsi="Times New Roman" w:cs="Times New Roman"/>
          <w:color w:val="000000"/>
          <w:sz w:val="20"/>
          <w:szCs w:val="20"/>
        </w:rPr>
        <w:t>Physical activity over-reporting was corrected based on the accelerometer (</w:t>
      </w:r>
      <w:proofErr w:type="spellStart"/>
      <w:r w:rsidRPr="008A5C48">
        <w:rPr>
          <w:rFonts w:ascii="Times New Roman" w:eastAsia="Times New Roman" w:hAnsi="Times New Roman" w:cs="Times New Roman"/>
          <w:color w:val="000000"/>
          <w:sz w:val="20"/>
          <w:szCs w:val="20"/>
        </w:rPr>
        <w:t>Actigraph</w:t>
      </w:r>
      <w:proofErr w:type="spellEnd"/>
      <w:r w:rsidRPr="008A5C48">
        <w:rPr>
          <w:rFonts w:ascii="Times New Roman" w:eastAsia="Times New Roman" w:hAnsi="Times New Roman" w:cs="Times New Roman"/>
          <w:color w:val="000000"/>
          <w:sz w:val="20"/>
          <w:szCs w:val="20"/>
        </w:rPr>
        <w:t xml:space="preserve">) correlation with questionnaire answers, using the data from three cities involved in the HELIX panels (nested study of the HELIX project where participants wore accelerometers for two non-consecutive weeks).  </w:t>
      </w:r>
    </w:p>
    <w:p w14:paraId="31BCA715" w14:textId="49BCDAAB" w:rsidR="00262C01" w:rsidRDefault="00262C01" w:rsidP="00262C01">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A variable representing sedentary </w:t>
      </w:r>
      <w:r w:rsidR="00D44B5A" w:rsidRPr="008A5C48">
        <w:rPr>
          <w:rFonts w:ascii="Times New Roman" w:eastAsia="Times New Roman" w:hAnsi="Times New Roman" w:cs="Times New Roman"/>
          <w:color w:val="000000"/>
          <w:sz w:val="20"/>
          <w:szCs w:val="20"/>
        </w:rPr>
        <w:t>behaviour</w:t>
      </w:r>
      <w:r w:rsidRPr="008A5C48">
        <w:rPr>
          <w:rFonts w:ascii="Times New Roman" w:eastAsia="Times New Roman" w:hAnsi="Times New Roman" w:cs="Times New Roman"/>
          <w:color w:val="000000"/>
          <w:sz w:val="20"/>
          <w:szCs w:val="20"/>
        </w:rPr>
        <w:t xml:space="preserve"> in the children was created based on the questionnaire and corresponds to the duration of time spent watching TV, playing computer games or other sedentary games. This variable is a new concept which is commonly defined as ‘‘any waking </w:t>
      </w:r>
      <w:proofErr w:type="spellStart"/>
      <w:r w:rsidRPr="008A5C48">
        <w:rPr>
          <w:rFonts w:ascii="Times New Roman" w:eastAsia="Times New Roman" w:hAnsi="Times New Roman" w:cs="Times New Roman"/>
          <w:color w:val="000000"/>
          <w:sz w:val="20"/>
          <w:szCs w:val="20"/>
        </w:rPr>
        <w:t>behavior</w:t>
      </w:r>
      <w:proofErr w:type="spellEnd"/>
      <w:r w:rsidRPr="008A5C48">
        <w:rPr>
          <w:rFonts w:ascii="Times New Roman" w:eastAsia="Times New Roman" w:hAnsi="Times New Roman" w:cs="Times New Roman"/>
          <w:color w:val="000000"/>
          <w:sz w:val="20"/>
          <w:szCs w:val="20"/>
        </w:rPr>
        <w:t xml:space="preserve"> characterized by an energy expenditure &lt;1.5 metabolic equivalent tasks (METs) while in a sitting or reclining posture’’ by the Sedentary Behaviour Research Network </w:t>
      </w:r>
      <w:r w:rsidRPr="008A5C48">
        <w:rPr>
          <w:rFonts w:ascii="Times New Roman" w:eastAsia="Times New Roman" w:hAnsi="Times New Roman" w:cs="Times New Roman"/>
          <w:sz w:val="20"/>
          <w:szCs w:val="20"/>
        </w:rPr>
        <w:t xml:space="preserve">(Sedentary Behaviour Research </w:t>
      </w:r>
      <w:proofErr w:type="spellStart"/>
      <w:r w:rsidRPr="008A5C48">
        <w:rPr>
          <w:rFonts w:ascii="Times New Roman" w:eastAsia="Times New Roman" w:hAnsi="Times New Roman" w:cs="Times New Roman"/>
          <w:sz w:val="20"/>
          <w:szCs w:val="20"/>
        </w:rPr>
        <w:t>Networ</w:t>
      </w:r>
      <w:proofErr w:type="spellEnd"/>
      <w:r w:rsidRPr="008A5C48">
        <w:rPr>
          <w:rFonts w:ascii="Times New Roman" w:eastAsia="Times New Roman" w:hAnsi="Times New Roman" w:cs="Times New Roman"/>
          <w:sz w:val="20"/>
          <w:szCs w:val="20"/>
        </w:rPr>
        <w:t xml:space="preserve"> 2012)</w:t>
      </w:r>
      <w:r w:rsidRPr="008A5C48">
        <w:rPr>
          <w:rFonts w:ascii="Times New Roman" w:eastAsia="Times New Roman" w:hAnsi="Times New Roman" w:cs="Times New Roman"/>
          <w:color w:val="000000"/>
          <w:sz w:val="20"/>
          <w:szCs w:val="20"/>
        </w:rPr>
        <w:t xml:space="preserve">. Sedentary </w:t>
      </w:r>
      <w:proofErr w:type="spellStart"/>
      <w:r w:rsidRPr="008A5C48">
        <w:rPr>
          <w:rFonts w:ascii="Times New Roman" w:eastAsia="Times New Roman" w:hAnsi="Times New Roman" w:cs="Times New Roman"/>
          <w:color w:val="000000"/>
          <w:sz w:val="20"/>
          <w:szCs w:val="20"/>
        </w:rPr>
        <w:t>behavior</w:t>
      </w:r>
      <w:proofErr w:type="spellEnd"/>
      <w:r w:rsidRPr="008A5C48">
        <w:rPr>
          <w:rFonts w:ascii="Times New Roman" w:eastAsia="Times New Roman" w:hAnsi="Times New Roman" w:cs="Times New Roman"/>
          <w:color w:val="000000"/>
          <w:sz w:val="20"/>
          <w:szCs w:val="20"/>
        </w:rPr>
        <w:t xml:space="preserve"> has been shown to be a health risk factor independently from physical activity. </w:t>
      </w:r>
    </w:p>
    <w:p w14:paraId="26C25541" w14:textId="77777777" w:rsidR="00BD5E94" w:rsidRPr="008A5C48" w:rsidRDefault="00BD5E94" w:rsidP="00262C01">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p>
    <w:p w14:paraId="2D62AD9E" w14:textId="77777777" w:rsidR="00262C01" w:rsidRPr="00C03B92"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C03B92">
        <w:rPr>
          <w:rFonts w:ascii="Times New Roman" w:eastAsia="Times New Roman" w:hAnsi="Times New Roman" w:cs="Times New Roman"/>
          <w:bCs/>
          <w:i/>
          <w:sz w:val="20"/>
          <w:szCs w:val="20"/>
        </w:rPr>
        <w:lastRenderedPageBreak/>
        <w:t>Alcohol</w:t>
      </w:r>
    </w:p>
    <w:p w14:paraId="3DAB49D6" w14:textId="50370D0E" w:rsidR="00262C01"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Alcohol consumption during pregnancy was harmonized based on questionnaire data from the cohorts and classified as whether or not any alcohol was consumed during pregnancy (except in the KANC cohort where the lowest exposure category included women with less than 1 glass a month).</w:t>
      </w:r>
    </w:p>
    <w:p w14:paraId="61BDCB99" w14:textId="1FE4EFDD" w:rsidR="00AD60A3" w:rsidRDefault="00AD60A3" w:rsidP="00AD60A3">
      <w:pPr>
        <w:spacing w:line="240" w:lineRule="auto"/>
        <w:contextualSpacing/>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For this analysis, alcohol</w:t>
      </w:r>
      <w:r w:rsidRPr="008A5C48">
        <w:rPr>
          <w:rFonts w:ascii="Times New Roman" w:eastAsia="Times New Roman" w:hAnsi="Times New Roman" w:cs="Times New Roman"/>
          <w:sz w:val="20"/>
          <w:szCs w:val="20"/>
        </w:rPr>
        <w:t xml:space="preserve"> was </w:t>
      </w:r>
      <w:r w:rsidR="00D44B5A">
        <w:rPr>
          <w:rFonts w:ascii="Times New Roman" w:eastAsia="Times New Roman" w:hAnsi="Times New Roman" w:cs="Times New Roman"/>
          <w:sz w:val="20"/>
          <w:szCs w:val="20"/>
        </w:rPr>
        <w:t>not studied</w:t>
      </w:r>
      <w:r w:rsidRPr="008A5C48">
        <w:rPr>
          <w:rFonts w:ascii="Times New Roman" w:eastAsia="Times New Roman" w:hAnsi="Times New Roman" w:cs="Times New Roman"/>
          <w:sz w:val="20"/>
          <w:szCs w:val="20"/>
        </w:rPr>
        <w:t xml:space="preserve"> as it showed unexpected high prevalence among some cohorts (ex: 47% in </w:t>
      </w:r>
      <w:proofErr w:type="spellStart"/>
      <w:r w:rsidRPr="008A5C48">
        <w:rPr>
          <w:rFonts w:ascii="Times New Roman" w:eastAsia="Times New Roman" w:hAnsi="Times New Roman" w:cs="Times New Roman"/>
          <w:sz w:val="20"/>
          <w:szCs w:val="20"/>
        </w:rPr>
        <w:t>MoBa</w:t>
      </w:r>
      <w:proofErr w:type="spellEnd"/>
      <w:r w:rsidRPr="008A5C48">
        <w:rPr>
          <w:rFonts w:ascii="Times New Roman" w:eastAsia="Times New Roman" w:hAnsi="Times New Roman" w:cs="Times New Roman"/>
          <w:sz w:val="20"/>
          <w:szCs w:val="20"/>
        </w:rPr>
        <w:t xml:space="preserve"> while the national prevalence is 23%). Also, harmonization could not be fully completed</w:t>
      </w:r>
      <w:r w:rsidR="00F13E9A">
        <w:rPr>
          <w:rFonts w:ascii="Times New Roman" w:eastAsia="Times New Roman" w:hAnsi="Times New Roman" w:cs="Times New Roman"/>
          <w:sz w:val="20"/>
          <w:szCs w:val="20"/>
        </w:rPr>
        <w:t xml:space="preserve"> with the KANC cohort, as explained just above</w:t>
      </w:r>
      <w:r w:rsidRPr="008A5C48">
        <w:rPr>
          <w:rFonts w:ascii="Times New Roman" w:eastAsia="Times New Roman" w:hAnsi="Times New Roman" w:cs="Times New Roman"/>
          <w:sz w:val="20"/>
          <w:szCs w:val="20"/>
        </w:rPr>
        <w:t>.</w:t>
      </w:r>
    </w:p>
    <w:p w14:paraId="024B4086" w14:textId="77777777" w:rsidR="00BD5E94" w:rsidRPr="008A5C48" w:rsidRDefault="00BD5E94"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6F3C5C7F" w14:textId="77777777" w:rsidR="00262C01" w:rsidRPr="00C03B92"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C03B92">
        <w:rPr>
          <w:rFonts w:ascii="Times New Roman" w:eastAsia="Times New Roman" w:hAnsi="Times New Roman" w:cs="Times New Roman"/>
          <w:bCs/>
          <w:i/>
          <w:sz w:val="20"/>
          <w:szCs w:val="20"/>
        </w:rPr>
        <w:t>Allergens</w:t>
      </w:r>
    </w:p>
    <w:p w14:paraId="79B57875" w14:textId="0C7C5011" w:rsidR="00262C01" w:rsidRPr="008A5C48"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For allergen exposure only pet ownership </w:t>
      </w:r>
      <w:r w:rsidR="007530E7">
        <w:rPr>
          <w:rFonts w:ascii="Times New Roman" w:eastAsia="Times New Roman" w:hAnsi="Times New Roman" w:cs="Times New Roman"/>
          <w:color w:val="000000"/>
          <w:sz w:val="20"/>
          <w:szCs w:val="20"/>
        </w:rPr>
        <w:t xml:space="preserve">(dog, cats or other) </w:t>
      </w:r>
      <w:r w:rsidRPr="008A5C48">
        <w:rPr>
          <w:rFonts w:ascii="Times New Roman" w:eastAsia="Times New Roman" w:hAnsi="Times New Roman" w:cs="Times New Roman"/>
          <w:color w:val="000000"/>
          <w:sz w:val="20"/>
          <w:szCs w:val="20"/>
        </w:rPr>
        <w:t xml:space="preserve">of the child was added to the exposome. There was no prenatal information on this. </w:t>
      </w:r>
    </w:p>
    <w:p w14:paraId="23DF9C87" w14:textId="77777777" w:rsidR="00D214EF" w:rsidRDefault="00D214EF"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p>
    <w:p w14:paraId="41DB1851" w14:textId="6D63AC8D" w:rsidR="00262C01" w:rsidRPr="00D214EF"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D214EF">
        <w:rPr>
          <w:rFonts w:ascii="Times New Roman" w:eastAsia="Times New Roman" w:hAnsi="Times New Roman" w:cs="Times New Roman"/>
          <w:bCs/>
          <w:i/>
          <w:sz w:val="20"/>
          <w:szCs w:val="20"/>
        </w:rPr>
        <w:t>Sleep</w:t>
      </w:r>
    </w:p>
    <w:p w14:paraId="0D409FFD" w14:textId="1BF71499" w:rsidR="00262C01"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Sleep duration was available for the </w:t>
      </w:r>
      <w:proofErr w:type="spellStart"/>
      <w:r w:rsidRPr="008A5C48">
        <w:rPr>
          <w:rFonts w:ascii="Times New Roman" w:eastAsia="Times New Roman" w:hAnsi="Times New Roman" w:cs="Times New Roman"/>
          <w:color w:val="000000"/>
          <w:sz w:val="20"/>
          <w:szCs w:val="20"/>
        </w:rPr>
        <w:t>subcohort</w:t>
      </w:r>
      <w:proofErr w:type="spellEnd"/>
      <w:r w:rsidRPr="008A5C48">
        <w:rPr>
          <w:rFonts w:ascii="Times New Roman" w:eastAsia="Times New Roman" w:hAnsi="Times New Roman" w:cs="Times New Roman"/>
          <w:color w:val="000000"/>
          <w:sz w:val="20"/>
          <w:szCs w:val="20"/>
        </w:rPr>
        <w:t xml:space="preserve"> children, not for the mothers, and corresponds to the average sleep duration at night during an entire week (weighted average of weekdays and weekend sleep duration). This variable was calculated based on the questionnaire taking the average bedtime and wake-up time (earliest and latest bedtime/wake-up times available) during weekdays and weekends. </w:t>
      </w:r>
    </w:p>
    <w:p w14:paraId="70DDE2BC" w14:textId="77777777" w:rsidR="00BD5E94" w:rsidRPr="00D214EF" w:rsidRDefault="00BD5E94"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bCs/>
          <w:color w:val="000000"/>
          <w:sz w:val="20"/>
          <w:szCs w:val="20"/>
        </w:rPr>
      </w:pPr>
    </w:p>
    <w:p w14:paraId="0346681C" w14:textId="77777777" w:rsidR="00262C01" w:rsidRPr="00D214EF"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D214EF">
        <w:rPr>
          <w:rFonts w:ascii="Times New Roman" w:eastAsia="Times New Roman" w:hAnsi="Times New Roman" w:cs="Times New Roman"/>
          <w:bCs/>
          <w:i/>
          <w:sz w:val="20"/>
          <w:szCs w:val="20"/>
        </w:rPr>
        <w:t>Socio-economic capital</w:t>
      </w:r>
    </w:p>
    <w:p w14:paraId="3F149A51" w14:textId="354576FA" w:rsidR="00262C01" w:rsidRPr="008A5C48" w:rsidRDefault="00262C01" w:rsidP="00262C01">
      <w:pPr>
        <w:pBdr>
          <w:top w:val="nil"/>
          <w:left w:val="nil"/>
          <w:bottom w:val="nil"/>
          <w:right w:val="nil"/>
          <w:between w:val="nil"/>
        </w:pBdr>
        <w:spacing w:after="12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Questions related to socio-economic position (maternal education and others) were collected during the pregnancy in all cohorts and harmonized for use as covariates in analyses; they were not included in the exposome as separate exposure variables. In the childhood exposome, the Family Affluence Score (FAS) was included based on questions from the </w:t>
      </w:r>
      <w:proofErr w:type="spellStart"/>
      <w:r w:rsidRPr="008A5C48">
        <w:rPr>
          <w:rFonts w:ascii="Times New Roman" w:eastAsia="Times New Roman" w:hAnsi="Times New Roman" w:cs="Times New Roman"/>
          <w:color w:val="000000"/>
          <w:sz w:val="20"/>
          <w:szCs w:val="20"/>
        </w:rPr>
        <w:t>subcohort</w:t>
      </w:r>
      <w:proofErr w:type="spellEnd"/>
      <w:r w:rsidRPr="008A5C48">
        <w:rPr>
          <w:rFonts w:ascii="Times New Roman" w:eastAsia="Times New Roman" w:hAnsi="Times New Roman" w:cs="Times New Roman"/>
          <w:color w:val="000000"/>
          <w:sz w:val="20"/>
          <w:szCs w:val="20"/>
        </w:rPr>
        <w:t xml:space="preserve"> questionnaire</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{"citationID":"aIQTAvdN","properties":{"formattedCitation":"\\super 37\\nosupersub{}","plainCitation":"37","noteIndex":0},"citationItems":[{"id":1077,"uris":["http://zotero.org/users/9798320/items/2P5NAUVY"],"itemData":{"id":1077,"type":"article-journal","abstract":"This study comprises two sub-studies. Study I assessed the test-retest reliability of Family Affluence Scale (FAS II) items among 95 students aged 11 and 15 years old in Beijing. Study II investigated the completion rate of traditional indicators (parents’ educational level, perceived family wealth, resident area, and school location) measuring socioeconomic status (SES) compared with FAS II, and examined the internal reliability, external and construct validity of the FAS II items in a population of 5876 schoolchildren aged 11, 13 and 15 years old in Beijing. Our study found that the FAS II items have high completion rates (&gt; 99%) which are better than other SES indicators. Analyses of reliability showed a moderate internal reliability (Cronbach’s alpha = 0.58) and at least substantial test-retest reliability (ICC &gt; 0.75). Moderate external validity of FAS II was found by Spearman rank correlation between FAS II and other SES indicators (parental education level and perceived family wealth) (rs = 0.48–0.51, p &lt; 0.001) and ordinal regressions. Graphical log-linear Rasch model (GLLRM) showed that FAS has adequate construct validity (few LD and weak DIF). In conclusion, the FAS II is a reliable and valid SES measure for adolescents in the Beijing area.","container-title":"Child Indicators Research","DOI":"10.1007/s12187-011-9131-5","ISSN":"1874-8988","issue":"2","journalAbbreviation":"Child Ind Res","language":"en","page":"235-251","source":"Springer Link","title":"Reliability and Validity of Family Affluence Scale (FAS II) among Adolescents in Beijing, China","volume":"5","author":[{"family":"Liu","given":"Yang"},{"family":"Wang","given":"Mei"},{"family":"Villberg","given":"Jari"},{"family":"Torsheim","given":"Torbjørn"},{"family":"Tynjälä","given":"Jorma"},{"family":"Lv","given":"Yan"},{"family":"Kannas","given":"Lasse"}],"issued":{"date-parts":[["2012",6,1]]}}}],"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37</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A composite FAS score was calculated based on the responses to the next four items: (yes) Does your family own a car, van or truck? (2) Do you have your own bedroom for yourself? (3) During the past 12 months, how many times did you travel away on holiday with your family? (4) How many computers does your family own?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{"citationID":"g5Z4Gq2C","properties":{"formattedCitation":"\\super 37\\nosupersub{}","plainCitation":"37","noteIndex":0},"citationItems":[{"id":1077,"uris":["http://zotero.org/users/9798320/items/2P5NAUVY"],"itemData":{"id":1077,"type":"article-journal","abstract":"This study comprises two sub-studies. Study I assessed the test-retest reliability of Family Affluence Scale (FAS II) items among 95 students aged 11 and 15 years old in Beijing. Study II investigated the completion rate of traditional indicators (parents’ educational level, perceived family wealth, resident area, and school location) measuring socioeconomic status (SES) compared with FAS II, and examined the internal reliability, external and construct validity of the FAS II items in a population of 5876 schoolchildren aged 11, 13 and 15 years old in Beijing. Our study found that the FAS II items have high completion rates (&gt; 99%) which are better than other SES indicators. Analyses of reliability showed a moderate internal reliability (Cronbach’s alpha = 0.58) and at least substantial test-retest reliability (ICC &gt; 0.75). Moderate external validity of FAS II was found by Spearman rank correlation between FAS II and other SES indicators (parental education level and perceived family wealth) (rs = 0.48–0.51, p &lt; 0.001) and ordinal regressions. Graphical log-linear Rasch model (GLLRM) showed that FAS has adequate construct validity (few LD and weak DIF). In conclusion, the FAS II is a reliable and valid SES measure for adolescents in the Beijing area.","container-title":"Child Indicators Research","DOI":"10.1007/s12187-011-9131-5","ISSN":"1874-8988","issue":"2","journalAbbreviation":"Child Ind Res","language":"en","page":"235-251","source":"Springer Link","title":"Reliability and Validity of Family Affluence Scale (FAS II) among Adolescents in Beijing, China","volume":"5","author":[{"family":"Liu","given":"Yang"},{"family":"Wang","given":"Mei"},{"family":"Villberg","given":"Jari"},{"family":"Torsheim","given":"Torbjørn"},{"family":"Tynjälä","given":"Jorma"},{"family":"Lv","given":"Yan"},{"family":"Kannas","given":"Lasse"}],"issued":{"date-parts":[["2012",6,1]]}}}],"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37</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A three point ordinal scale was used, where FAS low (score 0,1,2) indicates low affluence, FAS medium (score 3,4,5) indicates middle affluence, and FAS high (score 6,7,8,9) indicates high affluence FAS </w:t>
      </w:r>
      <w:r>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{"citationID":"7ROyKbHU","properties":{"formattedCitation":"\\super 38\\nosupersub{}","plainCitation":"38","noteIndex":0},"citationItems":[{"id":160,"uris":["http://zotero.org/users/9798320/items/YCJFK8GK"],"itemData":{"id":160,"type":"article-journal","abstract":"One explanation for a lack of consistency in SES-health associations in youth is that parent-based income and occupation measures are inadequate. The Family Affluence Scale (FAS), a four-item measure of family wealth, has been developed in the WHO Health Behaviour in School-aged Children Study as an alternative measure. The aim of this paper is to examine the criterion and construct validity of the FAS as a measure of national absolute wealth in 35 countries. A general measure of national wealth, Gross Domestic Product (GDP) for the year 2001, corrected for Purchasing Power Parity, was used as a gold standard. For the composite FAS index, there was a similar strength in country rank order correlation (0.87) as with GDP, and a Kappa agreement coefficient of 0.57, indicating good criterion validity. FAS index associations with national health indicators were systematically higher than the values obtained with GDP. These features suggest that FAS can be used with confidence in aggregate analyses of HBSC data that focus on relationships between SES and adolescent health.","container-title":"Social Indicators Research","DOI":"10.1007/s11205-005-1607-6","ISSN":"1573-0921","issue":"3","journalAbbreviation":"Soc Indic Res","language":"en","page":"473-487","source":"Springer Link","title":"The Family Affluence Scale as a Measure of National Wealth: Validation of an Adolescent Self-Report Measure","title-short":"The Family Affluence Scale as a Measure of National Wealth","volume":"78","author":[{"family":"Boyce","given":"William"},{"family":"Torsheim","given":"Torbjorn"},{"family":"Currie","given":"Candace"},{"family":"Zambon","given":"Alessio"}],"issued":{"date-parts":[["2006",9,1]]}}}],"schema":"https://github.com/citation-style-language/schema/raw/master/csl-citation.json"} </w:instrText>
      </w:r>
      <w:r>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38</w:t>
      </w:r>
      <w:r>
        <w:rPr>
          <w:rFonts w:ascii="Times New Roman" w:eastAsia="Times New Roman" w:hAnsi="Times New Roman" w:cs="Times New Roman"/>
          <w:sz w:val="20"/>
          <w:szCs w:val="20"/>
        </w:rPr>
        <w:fldChar w:fldCharType="end"/>
      </w:r>
      <w:r>
        <w:rPr>
          <w:rFonts w:ascii="Times New Roman" w:eastAsia="Times New Roman" w:hAnsi="Times New Roman" w:cs="Times New Roman"/>
          <w:sz w:val="20"/>
          <w:szCs w:val="20"/>
        </w:rPr>
        <w:t xml:space="preserve">. </w:t>
      </w:r>
      <w:r w:rsidRPr="008A5C48">
        <w:rPr>
          <w:rFonts w:ascii="Times New Roman" w:eastAsia="Times New Roman" w:hAnsi="Times New Roman" w:cs="Times New Roman"/>
          <w:color w:val="000000"/>
          <w:sz w:val="20"/>
          <w:szCs w:val="20"/>
        </w:rPr>
        <w:t>The FAS score in this study had only a maximum value of 7 instead of 9 because of the smaller number of possible answers for certain items.</w:t>
      </w:r>
    </w:p>
    <w:p w14:paraId="1470EC59" w14:textId="77777777" w:rsidR="00262C01" w:rsidRPr="008A5C48"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bookmarkStart w:id="21" w:name="bookmark=id.28h4qwu" w:colFirst="0" w:colLast="0"/>
      <w:bookmarkStart w:id="22" w:name="bookmark=id.19c6y18" w:colFirst="0" w:colLast="0"/>
      <w:bookmarkStart w:id="23" w:name="bookmark=id.37m2jsg" w:colFirst="0" w:colLast="0"/>
      <w:bookmarkStart w:id="24" w:name="bookmark=id.2u6wntf" w:colFirst="0" w:colLast="0"/>
      <w:bookmarkStart w:id="25" w:name="bookmark=id.3tbugp1" w:colFirst="0" w:colLast="0"/>
      <w:bookmarkStart w:id="26" w:name="bookmark=id.nmf14n" w:colFirst="0" w:colLast="0"/>
      <w:bookmarkStart w:id="27" w:name="_heading=h.1mrcu09" w:colFirst="0" w:colLast="0"/>
      <w:bookmarkEnd w:id="21"/>
      <w:bookmarkEnd w:id="22"/>
      <w:bookmarkEnd w:id="23"/>
      <w:bookmarkEnd w:id="24"/>
      <w:bookmarkEnd w:id="25"/>
      <w:bookmarkEnd w:id="26"/>
      <w:bookmarkEnd w:id="27"/>
      <w:r w:rsidRPr="008A5C48">
        <w:rPr>
          <w:rFonts w:ascii="Times New Roman" w:eastAsia="Times New Roman" w:hAnsi="Times New Roman" w:cs="Times New Roman"/>
          <w:color w:val="000000"/>
          <w:sz w:val="20"/>
          <w:szCs w:val="20"/>
        </w:rPr>
        <w:t>Further social capital-related questions were included in the HELIX questionnaire to capture different aspects of social capital, relating both to the cognitive (feelings about relationships) and structural (number of friends, number of organizations) dimensions and to bonding capital (close friends and family), bridging capital (</w:t>
      </w:r>
      <w:proofErr w:type="spellStart"/>
      <w:r w:rsidRPr="008A5C48">
        <w:rPr>
          <w:rFonts w:ascii="Times New Roman" w:eastAsia="Times New Roman" w:hAnsi="Times New Roman" w:cs="Times New Roman"/>
          <w:color w:val="000000"/>
          <w:sz w:val="20"/>
          <w:szCs w:val="20"/>
        </w:rPr>
        <w:t>neighborhood</w:t>
      </w:r>
      <w:proofErr w:type="spellEnd"/>
      <w:r w:rsidRPr="008A5C48">
        <w:rPr>
          <w:rFonts w:ascii="Times New Roman" w:eastAsia="Times New Roman" w:hAnsi="Times New Roman" w:cs="Times New Roman"/>
          <w:color w:val="000000"/>
          <w:sz w:val="20"/>
          <w:szCs w:val="20"/>
        </w:rPr>
        <w:t xml:space="preserve"> connections, looser ties) and linking capital (ties across power levels; for example, political membership). Two summary variables were selected for the exposome analysis: social participation (membership of organizations: 0, 1, or 2) and contact with friends and family (daily, once a week, less than once a week). In addition, house crowding was included, representing the number of persons living in the house with the child.</w:t>
      </w:r>
    </w:p>
    <w:p w14:paraId="4B27D16C" w14:textId="1E74C0BF" w:rsidR="00262C01"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00132992" w14:textId="7A2E72C5" w:rsidR="002A5B71" w:rsidRDefault="002A5B71">
      <w:pP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br w:type="page"/>
      </w:r>
    </w:p>
    <w:p w14:paraId="0CC33D25" w14:textId="46BAB553" w:rsidR="002A5B71" w:rsidRPr="001E4B45" w:rsidRDefault="002A5B71" w:rsidP="002A5B71">
      <w:pPr>
        <w:pStyle w:val="Titre1"/>
        <w:rPr>
          <w:b w:val="0"/>
          <w:bCs w:val="0"/>
        </w:rPr>
      </w:pPr>
      <w:bookmarkStart w:id="28" w:name="_Toc127358151"/>
      <w:bookmarkStart w:id="29" w:name="_Toc132271579"/>
      <w:bookmarkStart w:id="30" w:name="_Hlk127367011"/>
      <w:proofErr w:type="spellStart"/>
      <w:r w:rsidRPr="001672AC">
        <w:lastRenderedPageBreak/>
        <w:t>eMethods</w:t>
      </w:r>
      <w:proofErr w:type="spellEnd"/>
      <w:r w:rsidRPr="001672AC">
        <w:t xml:space="preserve"> </w:t>
      </w:r>
      <w:r w:rsidR="00755B26">
        <w:t>4</w:t>
      </w:r>
      <w:r w:rsidR="004120E3">
        <w:t>.</w:t>
      </w:r>
      <w:r w:rsidRPr="001672AC">
        <w:t xml:space="preserve"> </w:t>
      </w:r>
      <w:r w:rsidRPr="001E4B45">
        <w:rPr>
          <w:b w:val="0"/>
          <w:bCs w:val="0"/>
        </w:rPr>
        <w:t>Biomarker assessment methods</w:t>
      </w:r>
      <w:r w:rsidR="00DD0DC1" w:rsidRPr="001E4B45">
        <w:rPr>
          <w:b w:val="0"/>
          <w:bCs w:val="0"/>
        </w:rPr>
        <w:t xml:space="preserve"> (extracted from Maitre</w:t>
      </w:r>
      <w:r w:rsidR="00DD0DC1" w:rsidRPr="001E4B45">
        <w:rPr>
          <w:b w:val="0"/>
          <w:bCs w:val="0"/>
        </w:rPr>
        <w:fldChar w:fldCharType="begin"/>
      </w:r>
      <w:r w:rsidR="001E1198" w:rsidRPr="001E4B45">
        <w:rPr>
          <w:b w:val="0"/>
          <w:bCs w:val="0"/>
        </w:rPr>
        <w:instrText xml:space="preserve"> ADDIN ZOTERO_ITEM CSL_CITATION {"citationID":"AZljfKPU","properties":{"formattedCitation":"\\super 12\\nosupersub{}","plainCitation":"12","noteIndex":0},"citationItems":[{"id":97,"uris":["http://zotero.org/users/9798320/items/S6TH5MPU"],"itemData":{"id":97,"type":"article-journal","abstract":"BACKGROUND: Environmental exposures in early life influence the development of behavioral outcomes in children, but research has not considered multiple exposures. We therefore aimed to investigate the impact of a broad spectrum of pre- and postnatal environmental exposures on child behavior.\nMETHODS AND FINDINGS: We used data from the HELIX (Human Early Life Exposome) project, which was based on six longitudinal population-based birth cohorts in Europe. At 6-11 years, children underwent a follow-up to characterize their exposures and assess behavioral problems. We measured 88 prenatal and 123 childhood environmental factors, including outdoor, indoor, chemical, lifestyle and social exposures. Parent-reported behavioral problems included (1) internalizing, (2) externalizing scores, using the child behavior checklist (CBCL), and (3) the Conner's Attention Deficit Hyperactivity Disorder (ADHD) index, all outcomes being discrete raw counts. We applied LASSO penalized negative binomial regression models to identify which exposures were associated with the outcomes, while adjusting for co-exposures. In the 1287 children (mean age 8.0 years), 7.3% had a neuropsychiatric medical diagnosis according to parent's reports. During pregnancy, smoking and car traffic showing the strongest associations (e.g. smoking with ADHD index, aMR:1.31 [1.09; 1.59]) among the 13 exposures selected by LASSO, for at least one of the outcomes. During childhood, longer sleep duration, healthy diet and higher family social capital were associated with reduced scores whereas higher exposure to lead, copper, indoor air pollution, unhealthy diet were associated with increased scores. Unexpected decreases in behavioral scores were found with polychlorinated biphenyls (PCBs) and organophosphate (OP) pesticides.\nCONCLUSIONS: Our systematic exposome approach identified several environmental contaminants and healthy lifestyle habits that may influence behavioral problems in children. Modifying environmental exposures early in life may limit lifetime mental health risk.","container-title":"Environment International","DOI":"10.1016/j.envint.2021.106523","ISSN":"1873-6750","journalAbbreviation":"Environ Int","language":"eng","note":"PMID: 33773142\nPMCID: PMC8140407","page":"106523","source":"PubMed","title":"Early-life environmental exposure determinants of child behavior in Europe: A longitudinal, population-based study","title-short":"Early-life environmental exposure determinants of child behavior in Europe","volume":"153","author":[{"family":"Maitre","given":"Léa"},{"family":"Julvez","given":"Jordi"},{"family":"López-Vicente","given":"Monica"},{"family":"Warembourg","given":"Charline"},{"family":"Tamayo-Uria","given":"Ibon"},{"family":"Philippat","given":"Claire"},{"family":"Gützkow","given":"Kristine B."},{"family":"Guxens","given":"Monica"},{"family":"Andrusaityte","given":"Sandra"},{"family":"Basagaña","given":"Xavier"},{"family":"Casas","given":"Maribel"},{"family":"Castro","given":"Montserrat","non-dropping-particle":"de"},{"family":"Chatzi","given":"Leda"},{"family":"Evandt","given":"Jorunn"},{"family":"Gonzalez","given":"Juan R."},{"family":"Gražulevičienė","given":"Regina"},{"family":"Smastuen Haug","given":"Line"},{"family":"Heude","given":"Barbara"},{"family":"Hernandez-Ferrer","given":"Carles"},{"family":"Kampouri","given":"Mariza"},{"family":"Manson","given":"Dan"},{"family":"Marquez","given":"Sandra"},{"family":"McEachan","given":"Rosie"},{"family":"Nieuwenhuijsen","given":"Mark"},{"family":"Robinson","given":"Oliver"},{"family":"Slama","given":"Remy"},{"family":"Thomsen","given":"Cathrine"},{"family":"Urquiza","given":"Jose"},{"family":"Vafeidi","given":"Marina"},{"family":"Wright","given":"John"},{"family":"Vrijheid","given":"Martine"}],"issued":{"date-parts":[["2021",8]]}}}],"schema":"https://github.com/citation-style-language/schema/raw/master/csl-citation.json"} </w:instrText>
      </w:r>
      <w:r w:rsidR="00DD0DC1" w:rsidRPr="001E4B45">
        <w:rPr>
          <w:b w:val="0"/>
          <w:bCs w:val="0"/>
        </w:rPr>
        <w:fldChar w:fldCharType="separate"/>
      </w:r>
      <w:r w:rsidR="00DD0DC1" w:rsidRPr="001E4B45">
        <w:rPr>
          <w:b w:val="0"/>
          <w:bCs w:val="0"/>
          <w:szCs w:val="24"/>
          <w:vertAlign w:val="superscript"/>
        </w:rPr>
        <w:t>12</w:t>
      </w:r>
      <w:r w:rsidR="00DD0DC1" w:rsidRPr="001E4B45">
        <w:rPr>
          <w:b w:val="0"/>
          <w:bCs w:val="0"/>
        </w:rPr>
        <w:fldChar w:fldCharType="end"/>
      </w:r>
      <w:r w:rsidR="00DD0DC1" w:rsidRPr="001E4B45">
        <w:rPr>
          <w:b w:val="0"/>
          <w:bCs w:val="0"/>
        </w:rPr>
        <w:t>)</w:t>
      </w:r>
      <w:bookmarkEnd w:id="28"/>
      <w:bookmarkEnd w:id="29"/>
    </w:p>
    <w:bookmarkEnd w:id="30"/>
    <w:p w14:paraId="390D7122" w14:textId="77777777" w:rsidR="002A5B71" w:rsidRPr="00741368" w:rsidRDefault="002A5B71" w:rsidP="002A5B71"/>
    <w:p w14:paraId="53BA0423" w14:textId="5008AA2C" w:rsidR="002A5B71"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For all the 1,301 children in the </w:t>
      </w:r>
      <w:proofErr w:type="spellStart"/>
      <w:r w:rsidRPr="008A5C48">
        <w:rPr>
          <w:rFonts w:ascii="Times New Roman" w:eastAsia="Times New Roman" w:hAnsi="Times New Roman" w:cs="Times New Roman"/>
          <w:color w:val="000000"/>
          <w:sz w:val="20"/>
          <w:szCs w:val="20"/>
        </w:rPr>
        <w:t>subcohort</w:t>
      </w:r>
      <w:proofErr w:type="spellEnd"/>
      <w:r w:rsidRPr="008A5C48">
        <w:rPr>
          <w:rFonts w:ascii="Times New Roman" w:eastAsia="Times New Roman" w:hAnsi="Times New Roman" w:cs="Times New Roman"/>
          <w:color w:val="000000"/>
          <w:sz w:val="20"/>
          <w:szCs w:val="20"/>
        </w:rPr>
        <w:t xml:space="preserve">, biomarker the determinations of a set of chemical contaminants (organochlorine compounds, brominated compounds, </w:t>
      </w:r>
      <w:proofErr w:type="spellStart"/>
      <w:r w:rsidRPr="008A5C48">
        <w:rPr>
          <w:rFonts w:ascii="Times New Roman" w:eastAsia="Times New Roman" w:hAnsi="Times New Roman" w:cs="Times New Roman"/>
          <w:color w:val="000000"/>
          <w:sz w:val="20"/>
          <w:szCs w:val="20"/>
        </w:rPr>
        <w:t>perfluorinated</w:t>
      </w:r>
      <w:proofErr w:type="spellEnd"/>
      <w:r w:rsidRPr="008A5C48">
        <w:rPr>
          <w:rFonts w:ascii="Times New Roman" w:eastAsia="Times New Roman" w:hAnsi="Times New Roman" w:cs="Times New Roman"/>
          <w:color w:val="000000"/>
          <w:sz w:val="20"/>
          <w:szCs w:val="20"/>
        </w:rPr>
        <w:t xml:space="preserve"> alkylated substances (PFAS), metals and elements, phthalate metabolites, phenols, and organophosphate (OP) pesticide metabolites) were performed at the Department of Environmental Exposure and Epidemiology at the Norwegian Institute of Public Health (NIPH), in Norway or in collaboration with their contract laboratories. This was also the case for the majority of the maternal samples collected during pregnancy or at birth and stored in cohort biobanks; however, for some maternal samples in some cohorts, measurements were already completed at thus we used these results</w:t>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Here we provide a summary of the methods used to determine biomarker levels for the chemical contaminants; more detailed information can be found in </w:t>
      </w:r>
      <w:proofErr w:type="spellStart"/>
      <w:r w:rsidRPr="008A5C48">
        <w:rPr>
          <w:rFonts w:ascii="Times New Roman" w:eastAsia="Times New Roman" w:hAnsi="Times New Roman" w:cs="Times New Roman"/>
          <w:color w:val="000000"/>
          <w:sz w:val="20"/>
          <w:szCs w:val="20"/>
        </w:rPr>
        <w:t>Haug</w:t>
      </w:r>
      <w:proofErr w:type="spellEnd"/>
      <w:r w:rsidRPr="008A5C48">
        <w:rPr>
          <w:rFonts w:ascii="Times New Roman" w:eastAsia="Times New Roman" w:hAnsi="Times New Roman" w:cs="Times New Roman"/>
          <w:color w:val="000000"/>
          <w:sz w:val="20"/>
          <w:szCs w:val="20"/>
        </w:rPr>
        <w:t xml:space="preserve"> et al</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{"citationID":"DVxSAafs","properties":{"formattedCitation":"\\super 39\\nosupersub{}","plainCitation":"39","noteIndex":0},"citationItems":[{"id":10,"uris":["http://zotero.org/users/9798320/items/WZCIEQWN"],"itemData":{"id":10,"type":"article-journal","abstract":"BACKGROUND: Harmonized data describing simultaneous exposure to a large number of environmental contaminants in-utero and during childhood is currently very limited.\nOBJECTIVES: To characterize concentrations of a large number of environmental contaminants in pregnant women from Europe and their children, based on chemical analysis of biological samples from mother-child pairs.\nMETHODS: We relied on the Early-Life Exposome project, HELIX, a collaborative project across six established population-based birth cohort studies in Europe. In 1301 subjects, biomarkers of exposure to 45 contaminants (i.e. organochlorine compounds, polybrominated diphenyl ethers, per- and polyfluoroalkyl substances, toxic and essential elements, phthalate metabolites, environmental phenols, organophosphate pesticide metabolites and cotinine) were measured in biological samples from children (6-12 years) and their mothers during pregnancy, using highly sensitive biomonitoring methods.\nRESULTS: Most of the exposure biomarkers had high detection frequencies in mothers (35 out of 45 biomarkers with &gt;90% detected) and children (33 out of 45 biomarkers with &gt;90% detected). Concentrations were significantly different between cohorts for all compounds, and were generally higher in maternal compared to children samples. For most of the persistent compounds the correlations between maternal and child concentrations were moderate to high (Spearman Rho &gt; 0.35), while for most non-persistent compounds correlations were considerably lower (Spearman Rho &lt; 0.15). For mercury, PFOS and PFOA a considerable proportion of the samples of both mothers and their children exceeded the HBM I value established by The Human Biomonitoring Commission of the German Federal Environment Agency.\nDISCUSSION: Although not based on a representative sample, our study suggests that children across Europe are exposed to a wide range of environmental contaminants in fetal life and childhood including many with potential adverse effects. For values exceeding the HBM I value identification of specific sources of exposure and reducing exposure in an adequate way is recommended. Considerable variability in this \"chemical exposome\" was seen between cohorts, showing that place of residence is a strong determinant of one's personal exposome. This extensive dataset comprising &gt;100,000 concentrations of environmental contaminants in mother-child pairs forms a unique possibility for conducting epidemiological studies using an exposome approach.","container-title":"Environment International","DOI":"10.1016/j.envint.2018.09.056","ISSN":"1873-6750","issue":"Pt 1","journalAbbreviation":"Environ Int","language":"eng","note":"PMID: 30326459","page":"751-763","source":"PubMed","title":"In-utero and childhood chemical exposome in six European mother-child cohorts","volume":"121","author":[{"family":"Haug","given":"Line Småstuen"},{"family":"Sakhi","given":"Amrit Kaur"},{"family":"Cequier","given":"Enrique"},{"family":"Casas","given":"Maribel"},{"family":"Maitre","given":"Léa"},{"family":"Basagana","given":"Xavier"},{"family":"Andrusaityte","given":"Sandra"},{"family":"Chalkiadaki","given":"Georgia"},{"family":"Chatzi","given":"Leda"},{"family":"Coen","given":"Muireann"},{"family":"Bont","given":"Jeroen","non-dropping-particle":"de"},{"family":"Dedele","given":"Audrius"},{"family":"Ferrand","given":"Joane"},{"family":"Grazuleviciene","given":"Regina"},{"family":"Gonzalez","given":"Juan Ramon"},{"family":"Gutzkow","given":"Kristine Bjerve"},{"family":"Keun","given":"Hector"},{"family":"McEachan","given":"Rosie"},{"family":"Meltzer","given":"Helle Margrete"},{"family":"Petraviciene","given":"Inga"},{"family":"Robinson","given":"Oliver"},{"family":"Saulnier","given":"Pierre-Jean"},{"family":"Slama","given":"Rémy"},{"family":"Sunyer","given":"Jordi"},{"family":"Urquiza","given":"José"},{"family":"Vafeiadi","given":"Marina"},{"family":"Wright","given":"John"},{"family":"Vrijheid","given":"Martine"},{"family":"Thomsen","given":"Cathrine"}],"issued":{"date-parts":[["2018",12]]}}}],"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39</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w:t>
      </w:r>
    </w:p>
    <w:p w14:paraId="61FFCE11" w14:textId="2D914BC0" w:rsidR="00BD57CC" w:rsidRDefault="00BD57CC"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26EA7D0E" w14:textId="77777777" w:rsidR="00BD57CC" w:rsidRPr="001672AC" w:rsidRDefault="00BD57CC" w:rsidP="00BD57CC">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Pr>
          <w:rFonts w:ascii="Times New Roman" w:eastAsia="Times New Roman" w:hAnsi="Times New Roman" w:cs="Times New Roman"/>
          <w:bCs/>
          <w:i/>
          <w:sz w:val="20"/>
          <w:szCs w:val="20"/>
        </w:rPr>
        <w:t>Exposures selected</w:t>
      </w:r>
    </w:p>
    <w:p w14:paraId="0CCC5243" w14:textId="49C33471" w:rsidR="00BD57CC" w:rsidRPr="008A5C48" w:rsidRDefault="00BD57CC" w:rsidP="00BD57CC">
      <w:pPr>
        <w:spacing w:line="240" w:lineRule="auto"/>
        <w:contextualSpacing/>
        <w:rPr>
          <w:rFonts w:ascii="Times New Roman" w:eastAsia="Times New Roman" w:hAnsi="Times New Roman" w:cs="Times New Roman"/>
          <w:sz w:val="20"/>
          <w:szCs w:val="20"/>
        </w:rPr>
      </w:pPr>
      <w:r>
        <w:rPr>
          <w:rStyle w:val="CorpsdetexteCar"/>
        </w:rPr>
        <w:t>S</w:t>
      </w:r>
      <w:r w:rsidRPr="008A5C48">
        <w:rPr>
          <w:rStyle w:val="CorpsdetexteCar"/>
        </w:rPr>
        <w:t>ome exposures have been removed</w:t>
      </w:r>
      <w:r w:rsidR="00640EA8">
        <w:rPr>
          <w:rStyle w:val="CorpsdetexteCar"/>
        </w:rPr>
        <w:t>/modified for</w:t>
      </w:r>
      <w:r w:rsidRPr="008A5C48">
        <w:rPr>
          <w:rStyle w:val="CorpsdetexteCar"/>
        </w:rPr>
        <w:t xml:space="preserve"> the analysis</w:t>
      </w:r>
      <w:r>
        <w:rPr>
          <w:rStyle w:val="CorpsdetexteCar"/>
        </w:rPr>
        <w:t>:</w:t>
      </w:r>
    </w:p>
    <w:p w14:paraId="157C9575" w14:textId="007E3771" w:rsidR="00BD57CC" w:rsidRPr="00D121AB" w:rsidRDefault="00BD57CC" w:rsidP="00F94E70">
      <w:pPr>
        <w:numPr>
          <w:ilvl w:val="0"/>
          <w:numId w:val="10"/>
        </w:num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sz w:val="20"/>
          <w:szCs w:val="20"/>
        </w:rPr>
        <w:t xml:space="preserve">Prenatal exposures </w:t>
      </w:r>
      <w:r>
        <w:rPr>
          <w:rFonts w:ascii="Times New Roman" w:eastAsia="Times New Roman" w:hAnsi="Times New Roman" w:cs="Times New Roman"/>
          <w:sz w:val="20"/>
          <w:szCs w:val="20"/>
        </w:rPr>
        <w:t>to</w:t>
      </w:r>
      <w:r w:rsidRPr="008A5C48">
        <w:rPr>
          <w:rFonts w:ascii="Times New Roman" w:eastAsia="Times New Roman" w:hAnsi="Times New Roman" w:cs="Times New Roman"/>
          <w:sz w:val="20"/>
          <w:szCs w:val="20"/>
        </w:rPr>
        <w:t xml:space="preserve"> PBDE47, PBDE153, ETPA, MEPA, DDT, PCB118</w:t>
      </w:r>
      <w:r w:rsidR="00F94E70">
        <w:rPr>
          <w:rFonts w:ascii="Times New Roman" w:eastAsia="Times New Roman" w:hAnsi="Times New Roman" w:cs="Times New Roman"/>
          <w:sz w:val="20"/>
          <w:szCs w:val="20"/>
        </w:rPr>
        <w:t xml:space="preserve">, </w:t>
      </w:r>
      <w:r w:rsidRPr="00F94E70">
        <w:rPr>
          <w:rFonts w:ascii="Times New Roman" w:eastAsia="Times New Roman" w:hAnsi="Times New Roman" w:cs="Times New Roman"/>
          <w:sz w:val="20"/>
          <w:szCs w:val="20"/>
        </w:rPr>
        <w:t>PCB170</w:t>
      </w:r>
      <w:r w:rsidR="00F94E70">
        <w:rPr>
          <w:rFonts w:ascii="Times New Roman" w:eastAsia="Times New Roman" w:hAnsi="Times New Roman" w:cs="Times New Roman"/>
          <w:sz w:val="20"/>
          <w:szCs w:val="20"/>
        </w:rPr>
        <w:t xml:space="preserve"> and </w:t>
      </w:r>
      <w:r w:rsidR="00F94E70" w:rsidRPr="008A5C48">
        <w:rPr>
          <w:rFonts w:ascii="Times New Roman" w:eastAsia="Times New Roman" w:hAnsi="Times New Roman" w:cs="Times New Roman"/>
          <w:sz w:val="20"/>
          <w:szCs w:val="20"/>
        </w:rPr>
        <w:t>all essential minerals and metals except Hg</w:t>
      </w:r>
      <w:r w:rsidRPr="00F94E70">
        <w:rPr>
          <w:rFonts w:ascii="Times New Roman" w:eastAsia="Times New Roman" w:hAnsi="Times New Roman" w:cs="Times New Roman"/>
          <w:sz w:val="20"/>
          <w:szCs w:val="20"/>
        </w:rPr>
        <w:t xml:space="preserve"> were removed because missing in at least 2 entire cohorts and/or for more than 30% of the total Helix population before imputation.</w:t>
      </w:r>
    </w:p>
    <w:p w14:paraId="0521930A" w14:textId="3C5A4245" w:rsidR="00D121AB" w:rsidRPr="00D121AB" w:rsidRDefault="00665A9C" w:rsidP="00D121AB">
      <w:pPr>
        <w:numPr>
          <w:ilvl w:val="0"/>
          <w:numId w:val="10"/>
        </w:numPr>
        <w:spacing w:after="0" w:line="240" w:lineRule="auto"/>
        <w:contextualSpacing/>
        <w:rPr>
          <w:rFonts w:ascii="Times New Roman" w:eastAsia="Times New Roman" w:hAnsi="Times New Roman" w:cs="Times New Roman"/>
          <w:sz w:val="20"/>
          <w:szCs w:val="20"/>
        </w:rPr>
      </w:pPr>
      <w:r>
        <w:rPr>
          <w:rFonts w:ascii="Times New Roman" w:eastAsia="Times New Roman" w:hAnsi="Times New Roman" w:cs="Times New Roman"/>
          <w:sz w:val="20"/>
          <w:szCs w:val="20"/>
        </w:rPr>
        <w:t>Some b</w:t>
      </w:r>
      <w:r w:rsidR="00D121AB" w:rsidRPr="008A5C48">
        <w:rPr>
          <w:rFonts w:ascii="Times New Roman" w:eastAsia="Times New Roman" w:hAnsi="Times New Roman" w:cs="Times New Roman"/>
          <w:sz w:val="20"/>
          <w:szCs w:val="20"/>
        </w:rPr>
        <w:t xml:space="preserve">iomarkers </w:t>
      </w:r>
      <w:r>
        <w:rPr>
          <w:rFonts w:ascii="Times New Roman" w:eastAsia="Times New Roman" w:hAnsi="Times New Roman" w:cs="Times New Roman"/>
          <w:sz w:val="20"/>
          <w:szCs w:val="20"/>
        </w:rPr>
        <w:t>had</w:t>
      </w:r>
      <w:r w:rsidR="00D121AB" w:rsidRPr="008A5C48">
        <w:rPr>
          <w:rFonts w:ascii="Times New Roman" w:eastAsia="Times New Roman" w:hAnsi="Times New Roman" w:cs="Times New Roman"/>
          <w:sz w:val="20"/>
          <w:szCs w:val="20"/>
        </w:rPr>
        <w:t xml:space="preserve"> more than 30% values under the LOD </w:t>
      </w:r>
      <w:r>
        <w:rPr>
          <w:rFonts w:ascii="Times New Roman" w:eastAsia="Times New Roman" w:hAnsi="Times New Roman" w:cs="Times New Roman"/>
          <w:sz w:val="20"/>
          <w:szCs w:val="20"/>
        </w:rPr>
        <w:t>and</w:t>
      </w:r>
      <w:r w:rsidR="00D121AB" w:rsidRPr="008A5C48">
        <w:rPr>
          <w:rFonts w:ascii="Times New Roman" w:eastAsia="Times New Roman" w:hAnsi="Times New Roman" w:cs="Times New Roman"/>
          <w:sz w:val="20"/>
          <w:szCs w:val="20"/>
        </w:rPr>
        <w:t xml:space="preserve"> could not be re-coded</w:t>
      </w:r>
      <w:r>
        <w:rPr>
          <w:rFonts w:ascii="Times New Roman" w:eastAsia="Times New Roman" w:hAnsi="Times New Roman" w:cs="Times New Roman"/>
          <w:sz w:val="20"/>
          <w:szCs w:val="20"/>
        </w:rPr>
        <w:t xml:space="preserve">: prenatal </w:t>
      </w:r>
      <w:r w:rsidR="00D121AB">
        <w:rPr>
          <w:rFonts w:ascii="Times New Roman" w:eastAsia="Times New Roman" w:hAnsi="Times New Roman" w:cs="Times New Roman"/>
          <w:sz w:val="20"/>
          <w:szCs w:val="20"/>
        </w:rPr>
        <w:t xml:space="preserve">exposures to </w:t>
      </w:r>
      <w:r w:rsidR="00D121AB" w:rsidRPr="00D121AB">
        <w:rPr>
          <w:rFonts w:ascii="Times New Roman" w:eastAsia="Times New Roman" w:hAnsi="Times New Roman" w:cs="Times New Roman"/>
          <w:sz w:val="20"/>
          <w:szCs w:val="20"/>
        </w:rPr>
        <w:t>DDT, DETP, DMDTP</w:t>
      </w:r>
      <w:r w:rsidR="00D121AB">
        <w:rPr>
          <w:rFonts w:ascii="Times New Roman" w:eastAsia="Times New Roman" w:hAnsi="Times New Roman" w:cs="Times New Roman"/>
          <w:sz w:val="20"/>
          <w:szCs w:val="20"/>
        </w:rPr>
        <w:t xml:space="preserve"> and postnatal exposures to</w:t>
      </w:r>
      <w:r w:rsidR="00D121AB" w:rsidRPr="00D121AB">
        <w:rPr>
          <w:rFonts w:ascii="Times New Roman" w:eastAsia="Times New Roman" w:hAnsi="Times New Roman" w:cs="Times New Roman"/>
          <w:sz w:val="20"/>
          <w:szCs w:val="20"/>
        </w:rPr>
        <w:t xml:space="preserve"> PBDE153, PRPA, PFUNDA, DETP, DMP and DMDTP.</w:t>
      </w:r>
      <w:r>
        <w:rPr>
          <w:rFonts w:ascii="Times New Roman" w:eastAsia="Times New Roman" w:hAnsi="Times New Roman" w:cs="Times New Roman"/>
          <w:sz w:val="20"/>
          <w:szCs w:val="20"/>
        </w:rPr>
        <w:t xml:space="preserve"> They were all removed from the analysis.</w:t>
      </w:r>
    </w:p>
    <w:p w14:paraId="223D83F0" w14:textId="6FC10363" w:rsidR="002A5B71" w:rsidRDefault="00BD57CC" w:rsidP="00BD57CC">
      <w:pPr>
        <w:numPr>
          <w:ilvl w:val="0"/>
          <w:numId w:val="10"/>
        </w:num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High correlations (&gt;0.9) were observed between individual PCBs and individual metabolites of DEHP (Phthalates). Sum variables were also created to combine the individual compounds into one variable. For the current analysis, combined variables were used instead of individual exposures.</w:t>
      </w:r>
    </w:p>
    <w:p w14:paraId="4F9842E5" w14:textId="77777777" w:rsidR="00BD57CC" w:rsidRPr="00BD57CC" w:rsidRDefault="00BD57CC" w:rsidP="00BD57CC">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2CFB6422" w14:textId="77777777" w:rsidR="002A5B71" w:rsidRPr="001672AC" w:rsidRDefault="002A5B71" w:rsidP="002A5B71">
      <w:pPr>
        <w:keepNext/>
        <w:keepLines/>
        <w:pBdr>
          <w:top w:val="nil"/>
          <w:left w:val="nil"/>
          <w:bottom w:val="nil"/>
          <w:right w:val="nil"/>
          <w:between w:val="nil"/>
        </w:pBdr>
        <w:spacing w:after="0" w:line="240" w:lineRule="auto"/>
        <w:contextualSpacing/>
        <w:rPr>
          <w:rFonts w:ascii="Times New Roman" w:eastAsia="Times New Roman" w:hAnsi="Times New Roman" w:cs="Times New Roman"/>
          <w:bCs/>
          <w:i/>
          <w:sz w:val="20"/>
          <w:szCs w:val="20"/>
        </w:rPr>
      </w:pPr>
      <w:r w:rsidRPr="001672AC">
        <w:rPr>
          <w:rFonts w:ascii="Times New Roman" w:eastAsia="Times New Roman" w:hAnsi="Times New Roman" w:cs="Times New Roman"/>
          <w:bCs/>
          <w:i/>
          <w:sz w:val="20"/>
          <w:szCs w:val="20"/>
        </w:rPr>
        <w:t>Quality assurance</w:t>
      </w:r>
    </w:p>
    <w:p w14:paraId="433D2CF1" w14:textId="3D19776A" w:rsidR="002A5B71"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The sample collections for the children were performed in a completely harmonized way, using the same protocols and equipment for sample collection and processing in all the six cohorts</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{"citationID":"FHjyQLEH","properties":{"formattedCitation":"\\super 35\\nosupersub{}","plainCitation":"35","noteIndex":0},"citationItems":[{"id":110,"uris":["http://zotero.org/users/9798320/items/W8FS84B6"],"itemData":{"id":110,"type":"article-journal","abstract":"PURPOSE: Essential to exposome research is the collection of data on many environmental exposures from different domains in the same subjects. The aim of the Human Early Life Exposome (HELIX) study was to measure and describe multiple environmental exposures during early life (pregnancy and childhood) in a prospective cohort and associate these exposures with molecular omics signatures and child health outcomes. Here, we describe recruitment, measurements available and baseline data of the HELIX study populations.\nPARTICIPANTS: The HELIX study represents a collaborative project across six established and ongoing longitudinal population-based birth cohort studies in six European countries (France, Greece, Lithuania, Norway, Spain and the UK). HELIX used a multilevel study design with the entire study population totalling 31 472 mother-child pairs, recruited during pregnancy, in the six existing cohorts (first level); a subcohort of 1301 mother-child pairs where biomarkers, omics signatures and child health outcomes were measured at age 6-11 years (second level) and repeat-sampling panel studies with around 150 children and 150 pregnant women aimed at collecting personal exposure data (third level).\nFINDINGS TO DATE: Cohort data include urban environment, hazardous substances and lifestyle-related exposures for women during pregnancy and their offspring from birth until 6-11 years. Common, standardised protocols were used to collect biological samples, measure exposure biomarkers and omics signatures and assess child health across the six cohorts. Baseline data of the cohort show substantial variation in health outcomes and determinants between the six countries, for example, in family affluence levels, tobacco smoking, physical activity, dietary habits and prevalence of childhood obesity, asthma, allergies and attention deficit hyperactivity disorder.\nFUTURE PLANS: HELIX study results will inform on the early life exposome and its association with molecular omics signatures and child health outcomes. Cohort data are accessible for future research involving researchers external to the project.","container-title":"BMJ open","DOI":"10.1136/bmjopen-2017-021311","ISSN":"2044-6055","issue":"9","journalAbbreviation":"BMJ Open","language":"eng","note":"PMID: 30206078\nPMCID: PMC6144482","page":"e021311","source":"PubMed","title":"Human Early Life Exposome (HELIX) study: a European population-based exposome cohort","title-short":"Human Early Life Exposome (HELIX) study","volume":"8","author":[{"family":"Maitre","given":"Léa"},{"family":"Bont","given":"Jeroen","non-dropping-particle":"de"},{"family":"Casas","given":"Maribel"},{"family":"Robinson","given":"Oliver"},{"family":"Aasvang","given":"Gunn Marit"},{"family":"Agier","given":"Lydiane"},{"family":"Andrušaitytė","given":"Sandra"},{"family":"Ballester","given":"Ferran"},{"family":"Basagaña","given":"Xavier"},{"family":"Borràs","given":"Eva"},{"family":"Brochot","given":"Céline"},{"family":"Bustamante","given":"Mariona"},{"family":"Carracedo","given":"Angel"},{"family":"Castro","given":"Montserrat","non-dropping-particle":"de"},{"family":"Dedele","given":"Audrius"},{"family":"Donaire-Gonzalez","given":"David"},{"family":"Estivill","given":"Xavier"},{"family":"Evandt","given":"Jorunn"},{"family":"Fossati","given":"Serena"},{"family":"Giorgis-Allemand","given":"Lise"},{"family":"R Gonzalez","given":"Juan"},{"family":"Granum","given":"Berit"},{"family":"Grazuleviciene","given":"Regina"},{"family":"Bjerve Gützkow","given":"Kristine"},{"family":"Småstuen Haug","given":"Line"},{"family":"Hernandez-Ferrer","given":"Carles"},{"family":"Heude","given":"Barbara"},{"family":"Ibarluzea","given":"Jesus"},{"family":"Julvez","given":"Jordi"},{"family":"Karachaliou","given":"Marianna"},{"family":"Keun","given":"Hector C."},{"family":"Hjertager Krog","given":"Norun"},{"family":"Lau","given":"Chung-Ho E."},{"family":"Leventakou","given":"Vasiliki"},{"family":"Lyon-Caen","given":"Sarah"},{"family":"Manzano","given":"Cyntia"},{"family":"Mason","given":"Dan"},{"family":"McEachan","given":"Rosemary"},{"family":"Meltzer","given":"Helle Margrete"},{"family":"Petraviciene","given":"Inga"},{"family":"Quentin","given":"Joane"},{"family":"Roumeliotaki","given":"Theano"},{"family":"Sabido","given":"Eduard"},{"family":"Saulnier","given":"Pierre-Jean"},{"family":"Siskos","given":"Alexandros P."},{"family":"Siroux","given":"Valérie"},{"family":"Sunyer","given":"Jordi"},{"family":"Tamayo","given":"Ibon"},{"family":"Urquiza","given":"Jose"},{"family":"Vafeiadi","given":"Marina"},{"family":"Gent","given":"Diana","non-dropping-particle":"van"},{"family":"Vives-Usano","given":"Marta"},{"family":"Waiblinger","given":"Dagmar"},{"family":"Warembourg","given":"Charline"},{"family":"Chatzi","given":"Leda"},{"family":"Coen","given":"Muireann"},{"family":"Hazel","given":"Peter","non-dropping-particle":"van den"},{"family":"Nieuwenhuijsen","given":"Mark J."},{"family":"Slama","given":"Rémy"},{"family":"Thomsen","given":"Cathrine"},{"family":"Wright","given":"John"},{"family":"Vrijheid","given":"Martine"}],"issued":{"date-parts":[["2018",9,10]]}}}],"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35</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The children’s samples were randomized into batches before chemical analyses, aiming at a minimum of three cohorts to be included in each batch. However, this was not feasible for the maternal samples as the cohorts shipped the maternal samples at different time points to the laboratories for analysis.</w:t>
      </w:r>
    </w:p>
    <w:p w14:paraId="1CF1E30F" w14:textId="77777777" w:rsidR="002A5B71" w:rsidRDefault="002A5B71" w:rsidP="002A5B71">
      <w:pPr>
        <w:pBdr>
          <w:top w:val="nil"/>
          <w:left w:val="nil"/>
          <w:bottom w:val="nil"/>
          <w:right w:val="nil"/>
          <w:between w:val="nil"/>
        </w:pBdr>
        <w:tabs>
          <w:tab w:val="left" w:pos="5387"/>
        </w:tabs>
        <w:spacing w:after="0" w:line="240" w:lineRule="auto"/>
        <w:contextualSpacing/>
        <w:jc w:val="both"/>
        <w:rPr>
          <w:rFonts w:ascii="Times New Roman" w:eastAsia="Times New Roman" w:hAnsi="Times New Roman" w:cs="Times New Roman"/>
          <w:color w:val="000000"/>
          <w:sz w:val="20"/>
          <w:szCs w:val="20"/>
        </w:rPr>
      </w:pPr>
    </w:p>
    <w:p w14:paraId="06A07132" w14:textId="77777777" w:rsidR="002A5B71" w:rsidRPr="001672AC" w:rsidRDefault="002A5B71" w:rsidP="002A5B7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1672AC">
        <w:rPr>
          <w:rFonts w:ascii="Times New Roman" w:eastAsia="Times New Roman" w:hAnsi="Times New Roman" w:cs="Times New Roman"/>
          <w:bCs/>
          <w:i/>
          <w:sz w:val="20"/>
          <w:szCs w:val="20"/>
        </w:rPr>
        <w:t>Organochlorine compounds (OCs)</w:t>
      </w:r>
    </w:p>
    <w:p w14:paraId="54234E39" w14:textId="042D2B08" w:rsidR="002A5B71"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Concentrations of OCs were determined in serum or plasma according to Caspersen et al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{"citationID":"MUlNtMxN","properties":{"formattedCitation":"\\super 40\\nosupersub{}","plainCitation":"40","noteIndex":0},"citationItems":[{"id":49,"uris":["http://zotero.org/users/9798320/items/R5TGJDAY"],"itemData":{"id":49,"type":"article-journal","abstract":"BACKGROUND: Exposure to persistent organic pollutants (POPs) during prenatal and postnatal life has been extensively studied in relation to adverse health effects in children.\nOBJECTIVES: The aim was to identify determinants of the concentrations of polychlorinated biphenyls (PCBs), brominated flame retardants (polybrominated diphenyl ethers, PBDEs; polybrominated biphenyl, PBB), and organochlorine pesticides (OCPs) in blood samples from pregnant women and children in The Norwegian Mother and Child Cohort Study (MoBa).\nMETHODS: Blood samples were collected from two independent subsamples within MoBa; a group of women (n=96) enrolled in mid-pregnancy during the years 2002-2008 and a group of 3 year old children (n=99) participating during 2010-2011. PCB congeners (74, 99, 138, 153, 180, 170, 194, 209, 105, 114, 118, 156, 157, 167, and 189), brominated flame retardants (PBDE-28, 47, 99, 100, 153, 154, and PBB-153), as well as the OCPs hexachlorobenzene (HCB), oxychlordane, 4,4'dichlorodiphenyltrichloroethane (DDT), and 4,4'dichlorodiphenyldichloroethylene (DDE) were measured in both pregnant women and children.\nRESULTS: Age, low parity, and low pre-pregnant BMI were the most important determinants of increased plasma concentrations of POPs in pregnant women. In 3 year old children, prolonged breastfeeding duration was a major determinant of increased POP concentrations. Estimated dietary exposure to PCBs during pregnancy was positively associated with plasma concentrations in 3 year old children, but not in pregnant women. Plasma concentrations were approximately 40% higher in children compared to pregnant women.\nCONCLUSIONS: Several factors associated with exposure and toxicokinetics, i.e. accumulation, excretion and transfer via breastmilk of POPs were the main predictors of POP levels in pregnant women and children. Diet, which is the main exposure source for these compounds in the general population, was found to predict PCB levels only among children. For the PBDEs, for which non-dietary sources are more important, toxicokinetic factors appeared to have less predictive impact.","container-title":"Environmental Research","DOI":"10.1016/j.envres.2015.12.020","ISSN":"1096-0953","journalAbbreviation":"Environ Res","language":"eng","note":"PMID: 26749444","page":"136-144","source":"PubMed","title":"Determinants of plasma PCB, brominated flame retardants, and organochlorine pesticides in pregnant women and 3 year old children in The Norwegian Mother and Child Cohort Study","volume":"146","author":[{"family":"Caspersen","given":"Ida Henriette"},{"family":"Kvalem","given":"Helen Engelstad"},{"family":"Haugen","given":"Margaretha"},{"family":"Brantsæter","given":"Anne Lise"},{"family":"Meltzer","given":"Helle Margrete"},{"family":"Alexander","given":"Jan"},{"family":"Thomsen","given":"Cathrine"},{"family":"Frøshaug","given":"May"},{"family":"Bremnes","given":"Nanna Margrethe Bruun"},{"family":"Broadwell","given":"Sharon Lynn"},{"family":"Granum","given":"Berit"},{"family":"Kogevinas","given":"Manolis"},{"family":"Knutsen","given":"Helle Katrine"}],"issued":{"date-parts":[["2016",4]]}}}],"schema":"https://github.com/citation-style-language/schema/raw/master/csl-citation.json"}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40</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xml:space="preserve"> except that gas chromatography–mass spectrometry (GC-MS/MS) was used instead of gas chromatography/high-resolution mass spectrometry (GC-HRMS). The limit of detection (LOD) was in the range of 0.3 to 1.5 </w:t>
      </w: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 xml:space="preserve">/g. OCs concentrations in maternal samples (serum) of INMA and RHEA were determined according to </w:t>
      </w:r>
      <w:proofErr w:type="spellStart"/>
      <w:r w:rsidRPr="008A5C48">
        <w:rPr>
          <w:rFonts w:ascii="Times New Roman" w:eastAsia="Times New Roman" w:hAnsi="Times New Roman" w:cs="Times New Roman"/>
          <w:color w:val="000000"/>
          <w:sz w:val="20"/>
          <w:szCs w:val="20"/>
        </w:rPr>
        <w:t>Goñi</w:t>
      </w:r>
      <w:proofErr w:type="spellEnd"/>
      <w:r w:rsidRPr="008A5C48">
        <w:rPr>
          <w:rFonts w:ascii="Times New Roman" w:eastAsia="Times New Roman" w:hAnsi="Times New Roman" w:cs="Times New Roman"/>
          <w:color w:val="000000"/>
          <w:sz w:val="20"/>
          <w:szCs w:val="20"/>
        </w:rPr>
        <w:t xml:space="preserve"> et al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{"citationID":"gV9RNpFt","properties":{"formattedCitation":"\\super 41\\nosupersub{}","plainCitation":"41","noteIndex":0},"citationItems":[{"id":48,"uris":["http://zotero.org/users/9798320/items/5XJYX6TK"],"itemData":{"id":48,"type":"article-journal","abstract":"An improved method for the determination of selected organochlorine pesticides (OCPs) and polychlorinated biphenyls (PCBs) in human serum was developed. The method requires low volume of serum (500 microl) and 48-96 samples per day can be prepared by one analyst without special automatic equipment. Initial extraction was performed using 96-well solid-phase extraction disk plates and was followed by a clean-up with silica gel/sulfuric acid. Different denaturation, elution and clean-up conditions were tested. Quantification was carried out by gas chromatography equipped with electron capture detector (GC-ECD) or mass spectrometer (GC-MS). Recoveries of PCB congeners 28, 52, 101, 118, 138, 153 and 180 and OCPs HCB, beta-HCH, p,p'-DDE and p,p'-DDT at two spiking levels (n=8) varied from 57 to 120%, and intra-day relative standard deviation from 1 to 11%, both depending on spiking level and compound. Inter-day relative standard deviation was &lt;15% in all cases. Limit of quantification (LOQ) for these PCBs ranged from 0.08 to 0.13 ng/ml and for these OCPs from 0.16 to 0.40 ng/ml. The optimized method was applied to the analysis of 1000 serum samples from different places of Spain.","container-title":"Journal of Chromatography. B, Analytical Technologies in the Biomedical and Life Sciences","DOI":"10.1016/j.jchromb.2006.12.049","ISSN":"1570-0232","issue":"1-2","journalAbbreviation":"J Chromatogr B Analyt Technol Biomed Life Sci","language":"eng","note":"PMID: 17267299","page":"15-21","source":"PubMed","title":"High throughput method for the determination of organochlorine pesticides and polychlorinated biphenyls in human serum","volume":"852","author":[{"family":"Goñi","given":"Fernando"},{"family":"López","given":"Raul"},{"family":"Etxeandia","given":"Arsenio"},{"family":"Millán","given":"Esmeralda"},{"family":"Amiano","given":"Pilar"}],"issued":{"date-parts":[["2007",6,1]]}}}],"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41</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with a LOD of 67.0 </w:t>
      </w: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 xml:space="preserve">/g and </w:t>
      </w:r>
      <w:proofErr w:type="spellStart"/>
      <w:r w:rsidRPr="008A5C48">
        <w:rPr>
          <w:rFonts w:ascii="Times New Roman" w:eastAsia="Times New Roman" w:hAnsi="Times New Roman" w:cs="Times New Roman"/>
          <w:color w:val="000000"/>
          <w:sz w:val="20"/>
          <w:szCs w:val="20"/>
        </w:rPr>
        <w:t>Koponen</w:t>
      </w:r>
      <w:proofErr w:type="spellEnd"/>
      <w:r w:rsidRPr="008A5C48">
        <w:rPr>
          <w:rFonts w:ascii="Times New Roman" w:eastAsia="Times New Roman" w:hAnsi="Times New Roman" w:cs="Times New Roman"/>
          <w:color w:val="000000"/>
          <w:sz w:val="20"/>
          <w:szCs w:val="20"/>
        </w:rPr>
        <w:t xml:space="preserve"> et al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{"citationID":"Nqb0QMXg","properties":{"formattedCitation":"\\super 42\\nosupersub{}","plainCitation":"42","noteIndex":0},"citationItems":[{"id":47,"uris":["http://zotero.org/users/9798320/items/MXVYPTT3"],"itemData":{"id":47,"type":"article-journal","abstract":"A simple and fast method is presented for the determination of selected persistent organic pollutants (POPs) and perfluorinated alkyl acids (PFAAs), a subgroup of per- and polyfluorinated alkyl substances (PFAS) from a single 200μl aliquot of serum. Sample pretreatment starts with dispersive solid phase extraction of POPs to dichloromethane-hexane, which is immediately poured to cleanup column. POPs are eluted from column and concentrated for GC-MS/MS analysis. PFAAs are trapped to dispersant and are then extracted with ammonium acetate in methanol, concentrated and analysed with LC-MS/MS. For POPs, the limit of detection (LOD) ranged from 1.6 to 17pg/ml. Oxychlordane and dichlorodiphenyltrichloroethane had LODs in the upper end of this range as they were more labile and prone for interferences in the GC-MS/MS. For PFAAs, the LOD range from 0.027 to 0.068ng/ml. For POPs, the accuracy from Standard Reference Materials SRM 1589a and Arctic Monitoring and Assessment Programme (AMAP) intercalibration samples range from 74 to 127% and the repeatability (relative standard deviation, RSD%) from 2.0 to 15%. For PFAAs, the accuracy from AMAP samples ranged from 90 to 110% and from LOQ level spiked serum samples from 72 to 133%. Repeatability from AMAP and LOQ samples ranged from 1.6 to 7.3% and 5.5 to 15%, respectively. The presented method is useful in epidemiological studies where only limited amount of serum is available.","container-title":"Journal of Chromatography. A","DOI":"10.1016/j.chroma.2013.07.064","ISSN":"1873-3778","journalAbbreviation":"J Chromatogr A","language":"eng","note":"PMID: 23972455","page":"48-55","source":"PubMed","title":"Determination of selected perfluorinated alkyl acids and persistent organic pollutants from a small volume human serum sample relevant for epidemiological studies","volume":"1309","author":[{"family":"Koponen","given":"Jani"},{"family":"Rantakokko","given":"Panu"},{"family":"Airaksinen","given":"Riikka"},{"family":"Kiviranta","given":"Hannu"}],"issued":{"date-parts":[["2013",9,27]]}}}],"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42</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with LODs between 1.7 and 14.3 </w:t>
      </w: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 xml:space="preserve">/g, respectively. We also calculated the sum of PCBs by summing the concentrations of the 5 PCBs in </w:t>
      </w: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 In the current manuscript we use the 5 individual PCBs, not the sum.</w:t>
      </w:r>
    </w:p>
    <w:p w14:paraId="697CD059" w14:textId="77777777" w:rsidR="002A5B71" w:rsidRPr="008A5C48"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7451D8E5" w14:textId="77777777" w:rsidR="002A5B71" w:rsidRPr="001672AC" w:rsidRDefault="002A5B71" w:rsidP="002A5B7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sz w:val="20"/>
          <w:szCs w:val="20"/>
        </w:rPr>
      </w:pPr>
      <w:r w:rsidRPr="001672AC">
        <w:rPr>
          <w:rFonts w:ascii="Times New Roman" w:eastAsia="Times New Roman" w:hAnsi="Times New Roman" w:cs="Times New Roman"/>
          <w:bCs/>
          <w:i/>
          <w:sz w:val="20"/>
          <w:szCs w:val="20"/>
        </w:rPr>
        <w:t>Brominated compounds (PBDEs)</w:t>
      </w:r>
    </w:p>
    <w:p w14:paraId="02FABEFC" w14:textId="13BD18A7" w:rsidR="002A5B71"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Concentrations of PBDEs were determined in serum or plasma following the method described in Caspersen et al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{"citationID":"3UFfhr2G","properties":{"formattedCitation":"\\super 40\\nosupersub{}","plainCitation":"40","noteIndex":0},"citationItems":[{"id":49,"uris":["http://zotero.org/users/9798320/items/R5TGJDAY"],"itemData":{"id":49,"type":"article-journal","abstract":"BACKGROUND: Exposure to persistent organic pollutants (POPs) during prenatal and postnatal life has been extensively studied in relation to adverse health effects in children.\nOBJECTIVES: The aim was to identify determinants of the concentrations of polychlorinated biphenyls (PCBs), brominated flame retardants (polybrominated diphenyl ethers, PBDEs; polybrominated biphenyl, PBB), and organochlorine pesticides (OCPs) in blood samples from pregnant women and children in The Norwegian Mother and Child Cohort Study (MoBa).\nMETHODS: Blood samples were collected from two independent subsamples within MoBa; a group of women (n=96) enrolled in mid-pregnancy during the years 2002-2008 and a group of 3 year old children (n=99) participating during 2010-2011. PCB congeners (74, 99, 138, 153, 180, 170, 194, 209, 105, 114, 118, 156, 157, 167, and 189), brominated flame retardants (PBDE-28, 47, 99, 100, 153, 154, and PBB-153), as well as the OCPs hexachlorobenzene (HCB), oxychlordane, 4,4'dichlorodiphenyltrichloroethane (DDT), and 4,4'dichlorodiphenyldichloroethylene (DDE) were measured in both pregnant women and children.\nRESULTS: Age, low parity, and low pre-pregnant BMI were the most important determinants of increased plasma concentrations of POPs in pregnant women. In 3 year old children, prolonged breastfeeding duration was a major determinant of increased POP concentrations. Estimated dietary exposure to PCBs during pregnancy was positively associated with plasma concentrations in 3 year old children, but not in pregnant women. Plasma concentrations were approximately 40% higher in children compared to pregnant women.\nCONCLUSIONS: Several factors associated with exposure and toxicokinetics, i.e. accumulation, excretion and transfer via breastmilk of POPs were the main predictors of POP levels in pregnant women and children. Diet, which is the main exposure source for these compounds in the general population, was found to predict PCB levels only among children. For the PBDEs, for which non-dietary sources are more important, toxicokinetic factors appeared to have less predictive impact.","container-title":"Environmental Research","DOI":"10.1016/j.envres.2015.12.020","ISSN":"1096-0953","journalAbbreviation":"Environ Res","language":"eng","note":"PMID: 26749444","page":"136-144","source":"PubMed","title":"Determinants of plasma PCB, brominated flame retardants, and organochlorine pesticides in pregnant women and 3 year old children in The Norwegian Mother and Child Cohort Study","volume":"146","author":[{"family":"Caspersen","given":"Ida Henriette"},{"family":"Kvalem","given":"Helen Engelstad"},{"family":"Haugen","given":"Margaretha"},{"family":"Brantsæter","given":"Anne Lise"},{"family":"Meltzer","given":"Helle Margrete"},{"family":"Alexander","given":"Jan"},{"family":"Thomsen","given":"Cathrine"},{"family":"Frøshaug","given":"May"},{"family":"Bremnes","given":"Nanna Margrethe Bruun"},{"family":"Broadwell","given":"Sharon Lynn"},{"family":"Granum","given":"Berit"},{"family":"Kogevinas","given":"Manolis"},{"family":"Knutsen","given":"Helle Katrine"}],"issued":{"date-parts":[["2016",4]]}}}],"schema":"https://github.com/citation-style-language/schema/raw/master/csl-citation.json"}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40</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also using GC-MS/MS for detection. The LOD ranged from 0.15 to 0.3 </w:t>
      </w: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 xml:space="preserve">/g. In RHEA only PBDE-47 was determined in maternal samples (serum) following the method described in </w:t>
      </w:r>
      <w:proofErr w:type="spellStart"/>
      <w:r w:rsidRPr="008A5C48">
        <w:rPr>
          <w:rFonts w:ascii="Times New Roman" w:eastAsia="Times New Roman" w:hAnsi="Times New Roman" w:cs="Times New Roman"/>
          <w:color w:val="000000"/>
          <w:sz w:val="20"/>
          <w:szCs w:val="20"/>
        </w:rPr>
        <w:t>Koponen</w:t>
      </w:r>
      <w:proofErr w:type="spellEnd"/>
      <w:r w:rsidRPr="008A5C48">
        <w:rPr>
          <w:rFonts w:ascii="Times New Roman" w:eastAsia="Times New Roman" w:hAnsi="Times New Roman" w:cs="Times New Roman"/>
          <w:color w:val="000000"/>
          <w:sz w:val="20"/>
          <w:szCs w:val="20"/>
        </w:rPr>
        <w:t xml:space="preserve"> et al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{"citationID":"wmaxnCcv","properties":{"formattedCitation":"\\super 42\\nosupersub{}","plainCitation":"42","noteIndex":0},"citationItems":[{"id":47,"uris":["http://zotero.org/users/9798320/items/MXVYPTT3"],"itemData":{"id":47,"type":"article-journal","abstract":"A simple and fast method is presented for the determination of selected persistent organic pollutants (POPs) and perfluorinated alkyl acids (PFAAs), a subgroup of per- and polyfluorinated alkyl substances (PFAS) from a single 200μl aliquot of serum. Sample pretreatment starts with dispersive solid phase extraction of POPs to dichloromethane-hexane, which is immediately poured to cleanup column. POPs are eluted from column and concentrated for GC-MS/MS analysis. PFAAs are trapped to dispersant and are then extracted with ammonium acetate in methanol, concentrated and analysed with LC-MS/MS. For POPs, the limit of detection (LOD) ranged from 1.6 to 17pg/ml. Oxychlordane and dichlorodiphenyltrichloroethane had LODs in the upper end of this range as they were more labile and prone for interferences in the GC-MS/MS. For PFAAs, the LOD range from 0.027 to 0.068ng/ml. For POPs, the accuracy from Standard Reference Materials SRM 1589a and Arctic Monitoring and Assessment Programme (AMAP) intercalibration samples range from 74 to 127% and the repeatability (relative standard deviation, RSD%) from 2.0 to 15%. For PFAAs, the accuracy from AMAP samples ranged from 90 to 110% and from LOQ level spiked serum samples from 72 to 133%. Repeatability from AMAP and LOQ samples ranged from 1.6 to 7.3% and 5.5 to 15%, respectively. The presented method is useful in epidemiological studies where only limited amount of serum is available.","container-title":"Journal of Chromatography. A","DOI":"10.1016/j.chroma.2013.07.064","ISSN":"1873-3778","journalAbbreviation":"J Chromatogr A","language":"eng","note":"PMID: 23972455","page":"48-55","source":"PubMed","title":"Determination of selected perfluorinated alkyl acids and persistent organic pollutants from a small volume human serum sample relevant for epidemiological studies","volume":"1309","author":[{"family":"Koponen","given":"Jani"},{"family":"Rantakokko","given":"Panu"},{"family":"Airaksinen","given":"Riikka"},{"family":"Kiviranta","given":"Hannu"}],"issued":{"date-parts":[["2013",9,27]]}}}],"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42</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with a LOD of 2.85pg/g. </w:t>
      </w:r>
    </w:p>
    <w:p w14:paraId="687D6B56" w14:textId="77777777" w:rsidR="002A5B71" w:rsidRPr="008A5C48"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2E8BBF60" w14:textId="77777777" w:rsidR="002A5B71" w:rsidRPr="001672AC" w:rsidRDefault="002A5B71" w:rsidP="002A5B7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proofErr w:type="spellStart"/>
      <w:r w:rsidRPr="001672AC">
        <w:rPr>
          <w:rFonts w:ascii="Times New Roman" w:eastAsia="Times New Roman" w:hAnsi="Times New Roman" w:cs="Times New Roman"/>
          <w:bCs/>
          <w:i/>
          <w:sz w:val="20"/>
          <w:szCs w:val="20"/>
        </w:rPr>
        <w:t>Perfluorinated</w:t>
      </w:r>
      <w:proofErr w:type="spellEnd"/>
      <w:r w:rsidRPr="001672AC">
        <w:rPr>
          <w:rFonts w:ascii="Times New Roman" w:eastAsia="Times New Roman" w:hAnsi="Times New Roman" w:cs="Times New Roman"/>
          <w:bCs/>
          <w:i/>
          <w:sz w:val="20"/>
          <w:szCs w:val="20"/>
        </w:rPr>
        <w:t xml:space="preserve"> alkylated substances (PFAS) </w:t>
      </w:r>
    </w:p>
    <w:p w14:paraId="42399D64" w14:textId="1FF2C985" w:rsidR="002A5B71"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Concentrations of PFASs were determined in serum or plasma using the method by </w:t>
      </w:r>
      <w:proofErr w:type="spellStart"/>
      <w:r w:rsidRPr="008A5C48">
        <w:rPr>
          <w:rFonts w:ascii="Times New Roman" w:eastAsia="Times New Roman" w:hAnsi="Times New Roman" w:cs="Times New Roman"/>
          <w:color w:val="000000"/>
          <w:sz w:val="20"/>
          <w:szCs w:val="20"/>
        </w:rPr>
        <w:t>Haug</w:t>
      </w:r>
      <w:proofErr w:type="spellEnd"/>
      <w:r w:rsidRPr="008A5C48">
        <w:rPr>
          <w:rFonts w:ascii="Times New Roman" w:eastAsia="Times New Roman" w:hAnsi="Times New Roman" w:cs="Times New Roman"/>
          <w:color w:val="000000"/>
          <w:sz w:val="20"/>
          <w:szCs w:val="20"/>
        </w:rPr>
        <w:t xml:space="preserve"> et al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{"citationID":"FqnABFZL","properties":{"formattedCitation":"\\super 43\\nosupersub{}","plainCitation":"43","noteIndex":0},"citationItems":[{"id":46,"uris":["http://zotero.org/users/9798320/items/TGVB5V89"],"itemData":{"id":46,"type":"article-journal","abstract":"A sensitive and reliable method based on column switching liquid chromatography (LC) coupled to a triple quadrupole mass spectrometer (MS) has been developed for quantification of 19 perfluorinated compounds (PFCs) in serum. A volume of only 150microl serum is used and protein precipitation by methanol is the only sample preparation necessary prior to injection into the column switching system. Pseudo-MRM is used as a detection mode for determination of PFCs, resulting in reduced background noise and considerably increased sensitivity for the perfluorinated alkyl sulfonates and the perfluorinated alkyl sulfonamides. The estimated limits of detection for the method were as low as 0.0020-0.050ngPFCs/ml serum. The accuracy determined from spiking experiments, reported as recovery of added amount, was between 85 and 121% in the range 0.20-50ngPFC/ml serum, except for perfluorodecylsulfonate for which the accuracy was 146% at 0.20ngPFC/ml serum. The low sample volume needed, the limited manual handling and the broad range of analytes which are included, make this method advantageous for large-scale epidemiological studies. This column-switching technique can easily be set up on standard LC-MS/MS instruments and is thus available to a wide range of laboratories.","container-title":"Journal of Chromatography. A","DOI":"10.1016/j.chroma.2008.10.113","ISSN":"0021-9673","issue":"3","journalAbbreviation":"J Chromatogr A","language":"eng","note":"PMID: 19026423","page":"385-393","source":"PubMed","title":"A sensitive method for determination of a broad range of perfluorinated compounds in serum suitable for large-scale human biomonitoring","volume":"1216","author":[{"family":"Haug","given":"Line Småstuen"},{"family":"Thomsen","given":"Cathrine"},{"family":"Becher","given":"Georg"}],"issued":{"date-parts":[["2009",1,16]]}}}],"schema":"https://github.com/citation-style-language/schema/raw/master/csl-citation.json"}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43</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xml:space="preserve">, while the method by </w:t>
      </w:r>
      <w:proofErr w:type="spellStart"/>
      <w:r w:rsidRPr="008A5C48">
        <w:rPr>
          <w:rFonts w:ascii="Times New Roman" w:eastAsia="Times New Roman" w:hAnsi="Times New Roman" w:cs="Times New Roman"/>
          <w:color w:val="000000"/>
          <w:sz w:val="20"/>
          <w:szCs w:val="20"/>
        </w:rPr>
        <w:t>Poothong</w:t>
      </w:r>
      <w:proofErr w:type="spellEnd"/>
      <w:r w:rsidRPr="008A5C48">
        <w:rPr>
          <w:rFonts w:ascii="Times New Roman" w:eastAsia="Times New Roman" w:hAnsi="Times New Roman" w:cs="Times New Roman"/>
          <w:color w:val="000000"/>
          <w:sz w:val="20"/>
          <w:szCs w:val="20"/>
        </w:rPr>
        <w:t xml:space="preserve"> et al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{"citationID":"TMjodY9b","properties":{"formattedCitation":"\\super 44\\nosupersub{}","plainCitation":"44","noteIndex":0},"citationItems":[{"id":45,"uris":["http://zotero.org/users/9798320/items/579UBSFB"],"itemData":{"id":45,"type":"article-journal","abstract":"A rapid, sensitive and reliable method was developed for the determination of a broad range of poly- and perfluoroalkyl substances (PFASs) in various blood matrices (serum, plasma, and whole blood), and uses only 50 μL of sample material. The method consists of a rapid protein precipitation by methanol followed by high throughput online solid phase extraction (SPE), ultra-high performance liquid chromatography coupled with tandem mass spectrometry (UHPLC-MS/MS), and negative electrospray ionization detection. The method was developed for simultaneous determination of twenty-five PFASs, including polyfluoroalkyl phosphate esters (PAPs; 6:2, 8:2, 6:2/6:2, and 8:2/8:2), perfluoroalkyl phosphonates (PFPAs; C6, C8, and C10), perfluoroalkyl sulfonates (PFSAs; C4, C6, C7, C8, and C10), perfluoroalkyl carboxylates (PFCAs; C5C14), and perfluoroalkyl sulfonamides (FOSAs; C8, N-methyl, and N-ethyl). High linearity of matrix-matched calibration standards (correlation coefficients, R = 0.99-0.999) were obtained in the range of 0.006-45 ng mL-1 blood. Excellent sensitivity was achieved with method detection limits (MDLs) between 0.0018 and 0.09 ng mL-1, depending on the compound and matrix. The method was validated for serum, plasma, and whole blood (n = 5 + 5) at six levels in the range 0.0180-30 ng mL-1. The accuracy (n = 5) was on average 102± 12%. The intermediate precision (n = 10) ranged from 2 to 40% with an average between-batch of analyses difference of 10± 10%. Two human serum samples from a former interlaboratory comparison were analyzed and the differences between the applied method and the consensus values were below ≤22% (n = 5). The method was also successfully applied to samples of human plasma and whole blood with coefficients of variation in the range 0.8-15.2% (n = 5).","container-title":"Analytica Chimica Acta","DOI":"10.1016/j.aca.2016.12.043","ISSN":"1873-4324","journalAbbreviation":"Anal Chim Acta","language":"eng","note":"PMID: 28107829","page":"10-19","source":"PubMed","title":"High throughput online solid phase extraction-ultra high performance liquid chromatography-tandem mass spectrometry method for polyfluoroalkyl phosphate esters, perfluoroalkyl phosphonates, and other perfluoroalkyl substances in human serum, plasma, and whole blood","volume":"957","author":[{"family":"Poothong","given":"Somrutai"},{"family":"Lundanes","given":"Elsa"},{"family":"Thomsen","given":"Cathrine"},{"family":"Haug","given":"Line Småstuen"}],"issued":{"date-parts":[["2017",3,8]]}}}],"schema":"https://github.com/citation-style-language/schema/raw/master/csl-citation.json"}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44</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was applied for the whole blood samples. The LOD was 0.02 µg/L for all PFASs. In the majority of INMA maternal samples (plasma), PFASs were determined according to Manzano-Salgado et al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{"citationID":"8xwL9nRo","properties":{"formattedCitation":"\\super 45\\nosupersub{}","plainCitation":"45","noteIndex":0},"citationItems":[{"id":44,"uris":["http://zotero.org/users/9798320/items/BTXKJB3X"],"itemData":{"id":44,"type":"article-journal","abstract":"INTRODUCTION: Prenatal exposure to perfluoroalkyl substances (PFAS) might affect child health; thus estimating PFAS fetal burden is relevant. PFAS fetal burden is best estimated in cord samples; previous studies have used either maternal plasma or serum during pregnancy as proxy, but their validity is not clear. We aimed to evaluate PFAS transfer between mother and fetus and determine its predictors in a Spanish birth cohort.\nMETHODS: We measured perfluorobutane sulfonate (PFBS), perfluorohexane sulfonate (PFHxS), perfluorooctane sulfonate (PFOS), perfluorooctanoate (PFOA), and perfluorononanoate (PFNA) in maternal blood and cord serum from 66 mother-child pairs. We used Spearman's rank coefficients to correlate PFAS concentrations in first trimester maternal plasma and serum, with cord serum samples. We assessed PFAS placental transfer by calculating maternal to cord ratios and examined their association with maternal socio-demographic characteristics and child sex using linear regression models.\nRESULTS: Median concentrations of PFAS (ng/mL) of PFHxS, PFOS, PFOA, and PFNA in maternal plasma (0.79, 6.18, 2.85 and 0.84, respectively) and serum (0.84, 6.99, 2.97 and 0.85) were higher than in cord serum (0.40, 1.86, 1.90 and 0.32). PFBS was not detected. Positive Spearman's correlations (p-values&lt;0.001) were found between maternal plasma and serum (</w:instrText>
      </w:r>
      <w:r w:rsidR="00A52898">
        <w:rPr>
          <w:rFonts w:ascii="Cambria Math" w:eastAsia="Times New Roman" w:hAnsi="Cambria Math" w:cs="Cambria Math"/>
          <w:color w:val="000000"/>
          <w:sz w:val="20"/>
          <w:szCs w:val="20"/>
        </w:rPr>
        <w:instrText>⍴</w:instrText>
      </w:r>
      <w:r w:rsidR="00A52898">
        <w:rPr>
          <w:rFonts w:ascii="Times New Roman" w:eastAsia="Times New Roman" w:hAnsi="Times New Roman" w:cs="Times New Roman"/>
          <w:color w:val="000000"/>
          <w:sz w:val="20"/>
          <w:szCs w:val="20"/>
        </w:rPr>
        <w:instrText>≥0.80), maternal plasma and cord (</w:instrText>
      </w:r>
      <w:r w:rsidR="00A52898">
        <w:rPr>
          <w:rFonts w:ascii="Cambria Math" w:eastAsia="Times New Roman" w:hAnsi="Cambria Math" w:cs="Cambria Math"/>
          <w:color w:val="000000"/>
          <w:sz w:val="20"/>
          <w:szCs w:val="20"/>
        </w:rPr>
        <w:instrText>⍴</w:instrText>
      </w:r>
      <w:r w:rsidR="00A52898">
        <w:rPr>
          <w:rFonts w:ascii="Times New Roman" w:eastAsia="Times New Roman" w:hAnsi="Times New Roman" w:cs="Times New Roman"/>
          <w:color w:val="000000"/>
          <w:sz w:val="20"/>
          <w:szCs w:val="20"/>
        </w:rPr>
        <w:instrText>≥0.66), and maternal serum and cord samples (</w:instrText>
      </w:r>
      <w:r w:rsidR="00A52898">
        <w:rPr>
          <w:rFonts w:ascii="Cambria Math" w:eastAsia="Times New Roman" w:hAnsi="Cambria Math" w:cs="Cambria Math"/>
          <w:color w:val="000000"/>
          <w:sz w:val="20"/>
          <w:szCs w:val="20"/>
        </w:rPr>
        <w:instrText>⍴</w:instrText>
      </w:r>
      <w:r w:rsidR="00A52898">
        <w:rPr>
          <w:rFonts w:ascii="Times New Roman" w:eastAsia="Times New Roman" w:hAnsi="Times New Roman" w:cs="Times New Roman"/>
          <w:color w:val="000000"/>
          <w:sz w:val="20"/>
          <w:szCs w:val="20"/>
        </w:rPr>
        <w:instrText xml:space="preserve">≥0.67). Maternal plasma to cord ratios were above 1 (PFHxS: 2.35 [95%CI: 2.05, 2.70], PFOS: 3.33 [3.05, 3.62], PFOA: 1.37 [1.27, 1.48], PFNA: 2.39 [2.18, 2.63]); maternal serum to cord ratios were similar. Maternal to cord ratios decreased with maternal age, but not with other socio-demographic factors.\nCONCLUSIONS: Our results suggest that PFAS fetal body burden can be assessed using as proxy maternal plasma or serum collected early in pregnancy. Maternal age might influence PFAS placental transfer.","container-title":"Environmental Research","DOI":"10.1016/j.envres.2015.07.020","ISSN":"1096-0953","journalAbbreviation":"Environ Res","language":"eng","note":"PMID: 26257032","page":"471-478","source":"PubMed","title":"Transfer of perfluoroalkyl substances from mother to fetus in a Spanish birth cohort","volume":"142","author":[{"family":"Manzano-Salgado","given":"Cyntia B."},{"family":"Casas","given":"Maribel"},{"family":"Lopez-Espinosa","given":"Maria-Jose"},{"family":"Ballester","given":"Ferran"},{"family":"Basterrechea","given":"Mikel"},{"family":"Grimalt","given":"Joan O."},{"family":"Jiménez","given":"Ana-María"},{"family":"Kraus","given":"Thomas"},{"family":"Schettgen","given":"Thomas"},{"family":"Sunyer","given":"Jordi"},{"family":"Vrijheid","given":"Martine"}],"issued":{"date-parts":[["2015",10]]}}}],"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45</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and with LODs between 0.05 and 0.1 µg/L. Only five maternal samples from INMA were </w:t>
      </w:r>
      <w:proofErr w:type="spellStart"/>
      <w:r w:rsidRPr="008A5C48">
        <w:rPr>
          <w:rFonts w:ascii="Times New Roman" w:eastAsia="Times New Roman" w:hAnsi="Times New Roman" w:cs="Times New Roman"/>
          <w:color w:val="000000"/>
          <w:sz w:val="20"/>
          <w:szCs w:val="20"/>
        </w:rPr>
        <w:t>analyzed</w:t>
      </w:r>
      <w:proofErr w:type="spellEnd"/>
      <w:r w:rsidRPr="008A5C48">
        <w:rPr>
          <w:rFonts w:ascii="Times New Roman" w:eastAsia="Times New Roman" w:hAnsi="Times New Roman" w:cs="Times New Roman"/>
          <w:color w:val="000000"/>
          <w:sz w:val="20"/>
          <w:szCs w:val="20"/>
        </w:rPr>
        <w:t xml:space="preserve"> at NIPH. In order to know whether concentrations measured in both labs were comparable we performed an inter-laboratory comparison of 10 samples with low to high PFOS concentrations as reference selected from all </w:t>
      </w:r>
      <w:proofErr w:type="spellStart"/>
      <w:r w:rsidRPr="008A5C48">
        <w:rPr>
          <w:rFonts w:ascii="Times New Roman" w:eastAsia="Times New Roman" w:hAnsi="Times New Roman" w:cs="Times New Roman"/>
          <w:color w:val="000000"/>
          <w:sz w:val="20"/>
          <w:szCs w:val="20"/>
        </w:rPr>
        <w:t>analyzed</w:t>
      </w:r>
      <w:proofErr w:type="spellEnd"/>
      <w:r w:rsidRPr="008A5C48">
        <w:rPr>
          <w:rFonts w:ascii="Times New Roman" w:eastAsia="Times New Roman" w:hAnsi="Times New Roman" w:cs="Times New Roman"/>
          <w:color w:val="000000"/>
          <w:sz w:val="20"/>
          <w:szCs w:val="20"/>
        </w:rPr>
        <w:t xml:space="preserve"> in the Institute for Occupational Medicine, RWTH Aachen University (Germany)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{"citationID":"q0n8GBRV","properties":{"formattedCitation":"\\super 45\\nosupersub{}","plainCitation":"45","noteIndex":0},"citationItems":[{"id":44,"uris":["http://zotero.org/users/9798320/items/BTXKJB3X"],"itemData":{"id":44,"type":"article-journal","abstract":"INTRODUCTION: Prenatal exposure to perfluoroalkyl substances (PFAS) might affect child health; thus estimating PFAS fetal burden is relevant. PFAS fetal burden is best estimated in cord samples; previous studies have used either maternal plasma or serum during pregnancy as proxy, but their validity is not clear. We aimed to evaluate PFAS transfer between mother and fetus and determine its predictors in a Spanish birth cohort.\nMETHODS: We measured perfluorobutane sulfonate (PFBS), perfluorohexane sulfonate (PFHxS), perfluorooctane sulfonate (PFOS), perfluorooctanoate (PFOA), and perfluorononanoate (PFNA) in maternal blood and cord serum from 66 mother-child pairs. We used Spearman's rank coefficients to correlate PFAS concentrations in first trimester maternal plasma and serum, with cord serum samples. We assessed PFAS placental transfer by calculating maternal to cord ratios and examined their association with maternal socio-demographic characteristics and child sex using linear regression models.\nRESULTS: Median concentrations of PFAS (ng/mL) of PFHxS, PFOS, PFOA, and PFNA in maternal plasma (0.79, 6.18, 2.85 and 0.84, respectively) and serum (0.84, 6.99, 2.97 and 0.85) were higher than in cord serum (0.40, 1.86, 1.90 and 0.32). PFBS was not detected. Positive Spearman's correlations (p-values&lt;0.001) were found between maternal plasma and serum (</w:instrText>
      </w:r>
      <w:r w:rsidR="00A52898">
        <w:rPr>
          <w:rFonts w:ascii="Cambria Math" w:eastAsia="Times New Roman" w:hAnsi="Cambria Math" w:cs="Cambria Math"/>
          <w:color w:val="000000"/>
          <w:sz w:val="20"/>
          <w:szCs w:val="20"/>
        </w:rPr>
        <w:instrText>⍴</w:instrText>
      </w:r>
      <w:r w:rsidR="00A52898">
        <w:rPr>
          <w:rFonts w:ascii="Times New Roman" w:eastAsia="Times New Roman" w:hAnsi="Times New Roman" w:cs="Times New Roman"/>
          <w:color w:val="000000"/>
          <w:sz w:val="20"/>
          <w:szCs w:val="20"/>
        </w:rPr>
        <w:instrText>≥0.80), maternal plasma and cord (</w:instrText>
      </w:r>
      <w:r w:rsidR="00A52898">
        <w:rPr>
          <w:rFonts w:ascii="Cambria Math" w:eastAsia="Times New Roman" w:hAnsi="Cambria Math" w:cs="Cambria Math"/>
          <w:color w:val="000000"/>
          <w:sz w:val="20"/>
          <w:szCs w:val="20"/>
        </w:rPr>
        <w:instrText>⍴</w:instrText>
      </w:r>
      <w:r w:rsidR="00A52898">
        <w:rPr>
          <w:rFonts w:ascii="Times New Roman" w:eastAsia="Times New Roman" w:hAnsi="Times New Roman" w:cs="Times New Roman"/>
          <w:color w:val="000000"/>
          <w:sz w:val="20"/>
          <w:szCs w:val="20"/>
        </w:rPr>
        <w:instrText>≥0.66), and maternal serum and cord samples (</w:instrText>
      </w:r>
      <w:r w:rsidR="00A52898">
        <w:rPr>
          <w:rFonts w:ascii="Cambria Math" w:eastAsia="Times New Roman" w:hAnsi="Cambria Math" w:cs="Cambria Math"/>
          <w:color w:val="000000"/>
          <w:sz w:val="20"/>
          <w:szCs w:val="20"/>
        </w:rPr>
        <w:instrText>⍴</w:instrText>
      </w:r>
      <w:r w:rsidR="00A52898">
        <w:rPr>
          <w:rFonts w:ascii="Times New Roman" w:eastAsia="Times New Roman" w:hAnsi="Times New Roman" w:cs="Times New Roman"/>
          <w:color w:val="000000"/>
          <w:sz w:val="20"/>
          <w:szCs w:val="20"/>
        </w:rPr>
        <w:instrText xml:space="preserve">≥0.67). Maternal plasma to cord ratios were above 1 (PFHxS: 2.35 [95%CI: 2.05, 2.70], PFOS: 3.33 [3.05, 3.62], PFOA: 1.37 [1.27, 1.48], PFNA: 2.39 [2.18, 2.63]); maternal serum to cord ratios were similar. Maternal to cord ratios decreased with maternal age, but not with other socio-demographic factors.\nCONCLUSIONS: Our results suggest that PFAS fetal body burden can be assessed using as proxy maternal plasma or serum collected early in pregnancy. Maternal age might influence PFAS placental transfer.","container-title":"Environmental Research","DOI":"10.1016/j.envres.2015.07.020","ISSN":"1096-0953","journalAbbreviation":"Environ Res","language":"eng","note":"PMID: 26257032","page":"471-478","source":"PubMed","title":"Transfer of perfluoroalkyl substances from mother to fetus in a Spanish birth cohort","volume":"142","author":[{"family":"Manzano-Salgado","given":"Cyntia B."},{"family":"Casas","given":"Maribel"},{"family":"Lopez-Espinosa","given":"Maria-Jose"},{"family":"Ballester","given":"Ferran"},{"family":"Basterrechea","given":"Mikel"},{"family":"Grimalt","given":"Joan O."},{"family":"Jiménez","given":"Ana-María"},{"family":"Kraus","given":"Thomas"},{"family":"Schettgen","given":"Thomas"},{"family":"Sunyer","given":"Jordi"},{"family":"Vrijheid","given":"Martine"}],"issued":{"date-parts":[["2015",10]]}}}],"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45</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xml:space="preserve">. NIPH was blinded to the concentrations of samples. PFOS and </w:t>
      </w:r>
      <w:proofErr w:type="spellStart"/>
      <w:r w:rsidRPr="008A5C48">
        <w:rPr>
          <w:rFonts w:ascii="Times New Roman" w:eastAsia="Times New Roman" w:hAnsi="Times New Roman" w:cs="Times New Roman"/>
          <w:color w:val="000000"/>
          <w:sz w:val="20"/>
          <w:szCs w:val="20"/>
        </w:rPr>
        <w:t>PFHxS</w:t>
      </w:r>
      <w:proofErr w:type="spellEnd"/>
      <w:r w:rsidRPr="008A5C48">
        <w:rPr>
          <w:rFonts w:ascii="Times New Roman" w:eastAsia="Times New Roman" w:hAnsi="Times New Roman" w:cs="Times New Roman"/>
          <w:color w:val="000000"/>
          <w:sz w:val="20"/>
          <w:szCs w:val="20"/>
        </w:rPr>
        <w:t xml:space="preserve"> plasma concentrations determined in both laboratories were highly correlated (Spearman r=0.83 and 0.93, respectively) whereas PFOA and PFNA were less correlated (Spearman r=0.70 and 0.55, respectively). The three samples with low PFOS concentrations had levels between the LOD and the LOQ or close to the LOQ </w:t>
      </w:r>
      <w:r w:rsidRPr="008A5C48">
        <w:rPr>
          <w:rFonts w:ascii="Times New Roman" w:eastAsia="Times New Roman" w:hAnsi="Times New Roman" w:cs="Times New Roman"/>
          <w:color w:val="000000"/>
          <w:sz w:val="20"/>
          <w:szCs w:val="20"/>
        </w:rPr>
        <w:lastRenderedPageBreak/>
        <w:t xml:space="preserve">for </w:t>
      </w:r>
      <w:proofErr w:type="spellStart"/>
      <w:r w:rsidRPr="008A5C48">
        <w:rPr>
          <w:rFonts w:ascii="Times New Roman" w:eastAsia="Times New Roman" w:hAnsi="Times New Roman" w:cs="Times New Roman"/>
          <w:color w:val="000000"/>
          <w:sz w:val="20"/>
          <w:szCs w:val="20"/>
        </w:rPr>
        <w:t>PFHxS</w:t>
      </w:r>
      <w:proofErr w:type="spellEnd"/>
      <w:r w:rsidRPr="008A5C48">
        <w:rPr>
          <w:rFonts w:ascii="Times New Roman" w:eastAsia="Times New Roman" w:hAnsi="Times New Roman" w:cs="Times New Roman"/>
          <w:color w:val="000000"/>
          <w:sz w:val="20"/>
          <w:szCs w:val="20"/>
        </w:rPr>
        <w:t xml:space="preserve">, PFOA, and PFNA. Considering that concentrations between the LOD and the LOQ have higher uncertainty, we excluded these samples and the spearman correlations became higher: PFOA r=0.96, </w:t>
      </w:r>
      <w:proofErr w:type="spellStart"/>
      <w:r w:rsidRPr="008A5C48">
        <w:rPr>
          <w:rFonts w:ascii="Times New Roman" w:eastAsia="Times New Roman" w:hAnsi="Times New Roman" w:cs="Times New Roman"/>
          <w:color w:val="000000"/>
          <w:sz w:val="20"/>
          <w:szCs w:val="20"/>
        </w:rPr>
        <w:t>PFHxS</w:t>
      </w:r>
      <w:proofErr w:type="spellEnd"/>
      <w:r w:rsidRPr="008A5C48">
        <w:rPr>
          <w:rFonts w:ascii="Times New Roman" w:eastAsia="Times New Roman" w:hAnsi="Times New Roman" w:cs="Times New Roman"/>
          <w:color w:val="000000"/>
          <w:sz w:val="20"/>
          <w:szCs w:val="20"/>
        </w:rPr>
        <w:t xml:space="preserve"> r=0.93, and PFNA r=0.86. Due to the high correlations the NIPH concentrations for subjects included in the comparison have been used. For the PFASs, 1:1 ratios were assumed for serum and plasma, while 1:2 ratios were used for whole blood vs serum/plasma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{"citationID":"7p3LJGZR","properties":{"formattedCitation":"\\super 46\\nosupersub{}","plainCitation":"46","noteIndex":0},"citationItems":[{"id":43,"uris":["http://zotero.org/users/9798320/items/WP2BPG8C"],"itemData":{"id":43,"type":"article-journal","abstract":"Currently, there is limited knowledge on the distribution of poly- and perfluoroalkyl substances (PFASs) in different blood matrices, particularly for novel PFASs such as polyfluoroalkyl phosphate esters (PAPs) and perfluoroalkyl phosphonates (PFPAs). To explore this, serum, plasma, and whole blood from 61 adults in Oslo, Norway were collected. The largest number of PFASs were detected in whole blood. For PAPs and PFPAs, the highest frequencies of detection and concentrations were observed in plasma. PAPs contributed to 8% of total PFASs in plasma (median, 0.81 ng mL-1). Perfluorohexylphosphonate (PFHxPA) was the dominant PFPA, regardless of blood matrix. The relative composition profiles of PFASs in blood matrices differed. For some specific PFASs such as perfluorooctanesulfonamide (PFOSA) and perfluorohexanoate (PFHxA), the highest concentrations were observed in whole blood. The PFAS concentration ratios varied between blood matrices, depending on the compounds. However, similar ratios were observed for 6:2 polyfluoroalkyl phosphate diester (6:2diPAP) as well as well-known PFASs such as perfluorooctanesulfonate (PFOS) and perfluorooctanoate (PFOA). Besides the determination of 25 PFASs in human blood, this study also lead to better understanding of biomonitoring data from different blood matrices, which is key knowledge for performing both exposure assessments and epidemiological studies.","container-title":"Environmental Science &amp; Technology","DOI":"10.1021/acs.est.7b03299","ISSN":"1520-5851","issue":"22","journalAbbreviation":"Environ Sci Technol","language":"eng","note":"PMID: 29056041","page":"13388-13396","source":"PubMed","title":"Distribution of Novel and Well-Known Poly- and Perfluoroalkyl Substances (PFASs) in Human Serum, Plasma, and Whole Blood","volume":"51","author":[{"family":"Poothong","given":"Somrutai"},{"family":"Thomsen","given":"Cathrine"},{"family":"Padilla-Sanchez","given":"Juan Antonio"},{"family":"Papadopoulou","given":"Eleni"},{"family":"Haug","given":"Line Småstuen"}],"issued":{"date-parts":[["2017",11,21]]}}}],"schema":"https://github.com/citation-style-language/schema/raw/master/csl-citation.json"}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46</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sz w:val="20"/>
          <w:szCs w:val="20"/>
        </w:rPr>
        <w:t>.</w:t>
      </w:r>
      <w:r w:rsidRPr="008A5C48">
        <w:rPr>
          <w:rFonts w:ascii="Times New Roman" w:eastAsia="Times New Roman" w:hAnsi="Times New Roman" w:cs="Times New Roman"/>
          <w:color w:val="000000"/>
          <w:sz w:val="20"/>
          <w:szCs w:val="20"/>
        </w:rPr>
        <w:t xml:space="preserve"> Thus, for PFASs all whole blood concentrations were multiplied by two.</w:t>
      </w:r>
    </w:p>
    <w:p w14:paraId="3757E52A" w14:textId="77777777" w:rsidR="002A5B71" w:rsidRPr="008A5C48"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41FF3BF2" w14:textId="77777777" w:rsidR="002A5B71" w:rsidRPr="001672AC" w:rsidRDefault="002A5B71" w:rsidP="002A5B7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1672AC">
        <w:rPr>
          <w:rFonts w:ascii="Times New Roman" w:eastAsia="Times New Roman" w:hAnsi="Times New Roman" w:cs="Times New Roman"/>
          <w:bCs/>
          <w:i/>
          <w:sz w:val="20"/>
          <w:szCs w:val="20"/>
        </w:rPr>
        <w:t>Metals and essential elements</w:t>
      </w:r>
    </w:p>
    <w:p w14:paraId="77AB9BE3" w14:textId="4AD61672" w:rsidR="002A5B71"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sz w:val="20"/>
          <w:szCs w:val="20"/>
        </w:rPr>
      </w:pPr>
      <w:bookmarkStart w:id="31" w:name="_heading=h.3whwml4" w:colFirst="0" w:colLast="0"/>
      <w:bookmarkEnd w:id="31"/>
      <w:r w:rsidRPr="008A5C48">
        <w:rPr>
          <w:rFonts w:ascii="Times New Roman" w:eastAsia="Times New Roman" w:hAnsi="Times New Roman" w:cs="Times New Roman"/>
          <w:color w:val="000000"/>
          <w:sz w:val="20"/>
          <w:szCs w:val="20"/>
        </w:rPr>
        <w:t xml:space="preserve">Concentrations of 15 metals and elements in whole blood were performed at ALS Scandinavia, Sweden according to </w:t>
      </w:r>
      <w:proofErr w:type="spellStart"/>
      <w:r w:rsidRPr="008A5C48">
        <w:rPr>
          <w:rFonts w:ascii="Times New Roman" w:eastAsia="Times New Roman" w:hAnsi="Times New Roman" w:cs="Times New Roman"/>
          <w:color w:val="000000"/>
          <w:sz w:val="20"/>
          <w:szCs w:val="20"/>
        </w:rPr>
        <w:t>Rodushkin</w:t>
      </w:r>
      <w:proofErr w:type="spellEnd"/>
      <w:r w:rsidRPr="008A5C48">
        <w:rPr>
          <w:rFonts w:ascii="Times New Roman" w:eastAsia="Times New Roman" w:hAnsi="Times New Roman" w:cs="Times New Roman"/>
          <w:color w:val="000000"/>
          <w:sz w:val="20"/>
          <w:szCs w:val="20"/>
        </w:rPr>
        <w:t xml:space="preserve"> et al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{"citationID":"CD1sd18P","properties":{"formattedCitation":"\\super 47\\nosupersub{}","plainCitation":"47","noteIndex":0},"citationItems":[{"id":176,"uris":["http://zotero.org/users/9798320/items/TXXVMJE4"],"itemData":{"id":176,"type":"article-journal","abstract":"Double-focusing sector-field, inductively coupled plasma-mass spectrometry was used for the determination of 71 elements in scalp hair and fingernail samples from an urban population group living in the north-east of Sweden. Samples (n = 114 for hair and n = 96 for nails) were taken from subjects without known occupational exposure to metals. From these results, concentration ranges were calculated and compared with published intervals. Statistical analysis was used to elucidate differences according to sex, age and smoking habit. It was found that significant correlations exist between different elements in hair and nails, as well as between hair and nail concentrations for several elements. Strong positive correlation for Hg, Cd, Pb, Sb and Bi levels between these media confirms that both can be used for exposure assessment for these elements. Several examples on the use of distribution patterns for the rare-earth elements (REE) and of Pb isotope ratios for assessment of exposure are given.","container-title":"The Science of the Total Environment","DOI":"10.1016/s0048-9697(00)00531-3","ISSN":"0048-9697","issue":"1-2","journalAbbreviation":"Sci Total Environ","language":"eng","note":"PMID: 11059839","page":"21-36","source":"PubMed","title":"Application of double focusing sector field ICP-MS for multielemental characterization of human hair and nails. Part II. A study of the inhabitants of northern Sweden","volume":"262","author":[{"family":"Rodushkin","given":"I."},{"family":"Axelsson","given":"M. D."}],"issued":{"date-parts":[["2000",10,30]]}}}],"schema":"https://github.com/citation-style-language/schema/raw/master/csl-citation.json"}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47</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sz w:val="20"/>
          <w:szCs w:val="20"/>
        </w:rPr>
        <w:t>.</w:t>
      </w:r>
      <w:r w:rsidRPr="008A5C48">
        <w:rPr>
          <w:rFonts w:ascii="Times New Roman" w:eastAsia="Times New Roman" w:hAnsi="Times New Roman" w:cs="Times New Roman"/>
          <w:color w:val="000000"/>
          <w:sz w:val="20"/>
          <w:szCs w:val="20"/>
        </w:rPr>
        <w:t xml:space="preserve"> The LOD ranged from 0.003–3.03 µg/L except for sodium (Na), potassium (K) and magnesium (Mg) for which the LOD ranges from 0.06-0.15 mg/L. Mercury in INMA was determined in cord whole blood following the procedure described in Ramon et al</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{"citationID":"j9MRUrPn","properties":{"formattedCitation":"\\super 48\\nosupersub{}","plainCitation":"48","noteIndex":0},"citationItems":[{"id":175,"uris":["http://zotero.org/users/9798320/items/MCEH88H5"],"itemData":{"id":175,"type":"article-journal","abstract":"BACKGROUND: Mercury is a ubiquitous heavy metal that may negatively affect human health. It is desirable to investigate mercury exposure in vulnerable populations.\nOBJECTIVE: To determine the concentrations of total mercury (T-Hg) in cord blood and to evaluate the role of maternal fish consumption in a Spanish mother and child cohort.\nMETHODS: A total of 1883 mother and child pairs from a population-based cohort were included between 2004 and 2008. T-Hg concentrations were measured in whole cord blood and maternal seafood consumption was ascertained by means of a food-frequency questionnaire. Linear regression was used in stratified analyses, while a joint model was adjusted using a mixed-effects linear model.\nRESULTS: Maternal daily seafood consumption was 78g/d and the geometric mean for T-Hg was 8.2μg/L. Maternal fish intake during pregnancy, mother's age, country of origin, educational level, employment status and parity, as well as area of study and season of delivery, were associated with cord blood T-Hg levels. A doubling in consumption of large oily fish was associated with an increase of 11.4% (95%CI: 3.8 to 19.6%) in cord blood T-Hg levels, followed by an increase of 8.4% (95%CI: 5.7 to 11.2%) in the case of canned tuna and 8.3% (95%CI: 5.5 to 11.1%) in that of lean fish.\nCONCLUSION: A high proportion of newborns had elevated concentrations of cord blood T-Hg according to the current US-EPA reference dose (5.8μg/L for methylmercury). Mercury concentrations were related to maternal fish consumption, with large oily fish being the main contributor.","container-title":"Environment International","DOI":"10.1016/j.envint.2010.12.004","ISSN":"1873-6750","issue":"3","journalAbbreviation":"Environ Int","language":"eng","note":"PMID: 21239061","page":"597-604","source":"PubMed","title":"Prenatal mercury exposure in a multicenter cohort study in Spain","volume":"37","author":[{"family":"Ramon","given":"R."},{"family":"Murcia","given":"M."},{"family":"Aguinagalde","given":"X."},{"family":"Amurrio","given":"A."},{"family":"Llop","given":"S."},{"family":"Ibarluzea","given":"J."},{"family":"Lertxundi","given":"A."},{"family":"Alvarez-Pedrerol","given":"M."},{"family":"Casas","given":"M."},{"family":"Vioque","given":"J."},{"family":"Sunyer","given":"J."},{"family":"Tardon","given":"A."},{"family":"Martinez-Arguelles","given":"B."},{"family":"Ballester","given":"F."}],"issued":{"date-parts":[["2011",4]]}}}],"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48</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xml:space="preserve"> with a LOD of 2.0 </w:t>
      </w: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/L. Cord blood Hg concentrations were be divided by 1.7 to be comparable with maternal whole blood concentrations</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{"citationID":"gkqj7Jb7","properties":{"formattedCitation":"\\super 49\\nosupersub{}","plainCitation":"49","noteIndex":0},"citationItems":[{"id":174,"uris":["http://zotero.org/users/9798320/items/2D8FFWIW"],"itemData":{"id":174,"type":"article-journal","abstract":"In the current U.S. Environmental Protection Agency reference dose (RfD) for methylmercury, the one-compartment pharmacokinetic model is used to convert fetal cord blood mercury (Hg) concentration to a maternal intake dose. This requires a ratio relating cord blood Hg concentration to maternal blood Hg concentration. No formal analysis of either the central tendency or variability of this ratio has been done. This variability contributes to the overall variability in the dose estimate. A ratio of 1.0 is implicitly used in the model, but an uncertainty factor adjustment is applied to the central tendency estimate of dose to address variability in that estimate. Thus, incorporation of the cord:maternal ratio and its variability into the estimate of intake dose could result in a significant change in the value of the RfD. We analyzed studies providing data on the cord:maternal blood Hg ratio and conducted a Monte Carlo-based meta-analysis of 10 studies meeting all inclusion criteria to generate a comprehensive estimate of the central tendency and variability of the ratio. This analysis results in a recommended central tendency estimate of 1.7, a coefficient of variation of 0.56, and a 95th percentile of 3.4. By analogy to the impact of the similar hair:blood Hg ratio on the overall variability in the dose estimate, incorporation of the cord:maternal ratio may support a 3-fold uncertainty factor adjustment to the central tendency estimate of dose to account for pharmacokinetic variability. Whether the information generated in this analysis is sufficient to warrant a revision to the RfD will depend on the outcome of a comprehensive reanalysis of the entire one-compartment model. We are currently engaged in such an analysis.","container-title":"Environmental Health Perspectives","ISSN":"0091-6765","issue":"12","journalAbbreviation":"Environ Health Perspect","note":"PMID: 12948885\nPMCID: PMC1241648","page":"1465-1470","source":"PubMed Central","title":"An assessment of the cord blood:maternal blood methylmercury ratio: implications for risk assessment.","title-short":"An assessment of the cord blood","volume":"111","author":[{"family":"Stern","given":"Alan H"},{"family":"Smith","given":"Andrew E"}],"issued":{"date-parts":[["2003",9]]}}}],"schema":"https://github.com/citation-style-language/schema/raw/master/csl-citation.json"}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49</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Ten of these metals and elements (Hg, Cd, Pb, As, Cs, Cu, Tl, Mn, Co, and Mo) were included in the exposome analyses because of their potential toxicity. Zn, Na, K, Mg, and Se were not considered toxic and were included as covariates. This classification was based on expert judgment (Joan </w:t>
      </w:r>
      <w:proofErr w:type="spellStart"/>
      <w:r w:rsidRPr="008A5C48">
        <w:rPr>
          <w:rFonts w:ascii="Times New Roman" w:eastAsia="Times New Roman" w:hAnsi="Times New Roman" w:cs="Times New Roman"/>
          <w:color w:val="000000"/>
          <w:sz w:val="20"/>
          <w:szCs w:val="20"/>
        </w:rPr>
        <w:t>Grimalt</w:t>
      </w:r>
      <w:proofErr w:type="spellEnd"/>
      <w:r w:rsidRPr="008A5C48">
        <w:rPr>
          <w:rFonts w:ascii="Times New Roman" w:eastAsia="Times New Roman" w:hAnsi="Times New Roman" w:cs="Times New Roman"/>
          <w:color w:val="000000"/>
          <w:sz w:val="20"/>
          <w:szCs w:val="20"/>
        </w:rPr>
        <w:t>, personal communication) and literature review</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{"citationID":"AfcuuUk5","properties":{"formattedCitation":"\\super 50\\nosupersub{}","plainCitation":"50","noteIndex":0},"citationItems":[{"id":173,"uris":["http://zotero.org/users/9798320/items/9I3DXHJR"],"itemData":{"id":173,"type":"article-journal","abstract":"It is conceivable that toxic metals contribute to obesity by influencing various aspects of metabolism, such as by substituting for essential micronutrients and vital metals, or by inducing oxidative stress. Deficiency of the essential metal zinc decreases adiposity in humans and rodent models, whereas deficiencies of chromium, copper, iron, and magnesium increases adiposity. This study utilized the NHANES 99-02 data to explore the association between waist circumference and body mass index with the body burdens of selected toxic metals (barium, cadmium, cobalt, cesium, molybdenum, lead, antimony, thallium, and tungsten). Some of the associations were significant direct relationships (barium and thallium), and some of the associations were significant inverse relationships (cadmium, cobalt, cesium, and lead). Molybdenum, antimony, and tungsten had mostly insignificant associations with waist circumference and body mass index. This is novel result for most of the toxic metals studied, and a surprising result for lead because high stored lead levels have been shown to correlate with higher rates of diabetes, and obesity may be a key risk factor for developing diabetes. These associations suggest the possibility that environmental exposure to metals may contribute to variations in human weight gain/loss. Future research, such as prospective studies rather than the cross-sectional studies presented here, is warranted to confirm these findings.","container-title":"International Journal of Environmental Research and Public Health","DOI":"10.3390/ijerph7093332","ISSN":"1660-4601","issue":"9","language":"en","license":"http://creativecommons.org/licenses/by/3.0/","note":"number: 9\npublisher: Molecular Diversity Preservation International","page":"3332-3347","source":"www.mdpi.com","title":"An Examination of the Association of Selected Toxic Metals with Total and Central Obesity Indices: NHANES 99-02","title-short":"An Examination of the Association of Selected Toxic Metals with Total and Central Obesity Indices","volume":"7","author":[{"family":"Padilla","given":"Miguel A."},{"family":"Elobeid","given":"Mai"},{"family":"Ruden","given":"Douglas M."},{"family":"Allison","given":"David B."}],"issued":{"date-parts":[["2010",9]]}}}],"schema":"https://github.com/citation-style-language/schema/raw/master/csl-citation.json"}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50</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w:t>
      </w:r>
    </w:p>
    <w:p w14:paraId="0D883FAA" w14:textId="77777777" w:rsidR="002A5B71" w:rsidRPr="008A5C48"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b/>
          <w:color w:val="000000"/>
          <w:sz w:val="20"/>
          <w:szCs w:val="20"/>
        </w:rPr>
      </w:pPr>
    </w:p>
    <w:p w14:paraId="3EFF1B53" w14:textId="77777777" w:rsidR="002A5B71" w:rsidRPr="00C53C05" w:rsidRDefault="002A5B71" w:rsidP="002A5B7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C53C05">
        <w:rPr>
          <w:rFonts w:ascii="Times New Roman" w:eastAsia="Times New Roman" w:hAnsi="Times New Roman" w:cs="Times New Roman"/>
          <w:bCs/>
          <w:i/>
          <w:sz w:val="20"/>
          <w:szCs w:val="20"/>
        </w:rPr>
        <w:t>Phthalate metabolites</w:t>
      </w:r>
    </w:p>
    <w:p w14:paraId="5BC80C54" w14:textId="6F33D828" w:rsidR="002A5B71" w:rsidRPr="008A5C48"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Concentrations of ten phthalate metabolites were determined in urine according to </w:t>
      </w:r>
      <w:proofErr w:type="spellStart"/>
      <w:r w:rsidRPr="008A5C48">
        <w:rPr>
          <w:rFonts w:ascii="Times New Roman" w:eastAsia="Times New Roman" w:hAnsi="Times New Roman" w:cs="Times New Roman"/>
          <w:color w:val="000000"/>
          <w:sz w:val="20"/>
          <w:szCs w:val="20"/>
        </w:rPr>
        <w:t>Sabaredzovic</w:t>
      </w:r>
      <w:proofErr w:type="spellEnd"/>
      <w:r w:rsidRPr="008A5C48">
        <w:rPr>
          <w:rFonts w:ascii="Times New Roman" w:eastAsia="Times New Roman" w:hAnsi="Times New Roman" w:cs="Times New Roman"/>
          <w:color w:val="000000"/>
          <w:sz w:val="20"/>
          <w:szCs w:val="20"/>
        </w:rPr>
        <w:t xml:space="preserve"> et al</w:t>
      </w:r>
      <w:r>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{"citationID":"YsmHOLoD","properties":{"formattedCitation":"\\super 51\\nosupersub{}","plainCitation":"51","noteIndex":0},"citationItems":[{"id":63,"uris":["http://zotero.org/users/9798320/items/I79934Z6"],"itemData":{"id":63,"type":"article-journal","abstract":"Phthalates (dialkyl or alkyl phenyl esters of phthalic acid, benzene-1.2-dicarboxylic acid) are a group of industrial chemicals that have been used for more than 50 years. Phthalates are ubiquitous and can potentially have adverse effects on humans. The present study presents an accurate, sensitive and automated analytical method for measuring 12 phthalate metabolites (free and conjugated) in human urine using on-line solid phase extraction coupled to high performance liquid chromatography – electrospray ionization – tandem mass spectrometry. A small volume of urine sample (300μL) is required. Glucoronidated phthalate metabolites are deconjugated by incubation with glucoronidase enzyme (Escherihia coli-K 12) and the reaction is stopped by adding formic acid. This is the only sample preparation needed prior to injection into the column switching system. Thus, the method involves minimal sample handling and minimizes possible contaminations from the surroundings. The method was validated by spiking synthetic urine at 5–8 levels in the range of 0.1–500ng phthalate metabolites/mL synthetic urine. The method is sensitive with limits of detection in the low nanogram range, and rapid with a total run time about 25min. The accuracy was between 90 and 120 % and the intermediate precision was given as relative standard deviation was below 20% for most of the compounds. The high sensitivity, high throughput and minimal manual handling make the method suitable for large-scale biomonitoring studies. The present method was applied for the determination of phthalate metabolites in urine samples from 116 pregnant women, a subproject within the Norwegian Mother and Child Cohort Study. Concentrations of all the twelve phthalate metabolites was &gt;LOQ in 100% of the samples analysed. Mean urinary concentrations for different phthalate metabolites ranged from 1 to 100ng/mL, the highest concentrations were observed for di-2-ethylhexyl phthalate (DEHP) metabolites and lowest for di-iso-nonyl phthalate (DiNP) metabolites. The urinary concentrations for most of the phthalate metabolites in the present study were found to be in the same range as found in other studies of pregnant women.","container-title":"Journal of Chromatography B","DOI":"10.1016/j.jchromb.2015.08.040","ISSN":"1570-0232","journalAbbreviation":"Journal of Chromatography B","language":"en","page":"343-352","source":"ScienceDirect","title":"Determination of 12 urinary phthalate metabolites in Norwegian pregnant women by core–shell high performance liquid chromatography with on-line solid-phase extraction, column switching and tandem mass spectrometry","volume":"1002","author":[{"family":"Sabaredzovic","given":"Azemira"},{"family":"Sakhi","given":"Amrit Kaur"},{"family":"Brantsæter","given":"Anne Lise"},{"family":"Thomsen","given":"Cathrine"}],"issued":{"date-parts":[["2015",10,1]]}}}],"schema":"https://github.com/citation-style-language/schema/raw/master/csl-citation.json"} </w:instrText>
      </w:r>
      <w:r>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51</w:t>
      </w:r>
      <w:r>
        <w:rPr>
          <w:rFonts w:ascii="Times New Roman" w:eastAsia="Times New Roman" w:hAnsi="Times New Roman" w:cs="Times New Roman"/>
          <w:sz w:val="20"/>
          <w:szCs w:val="20"/>
        </w:rPr>
        <w:fldChar w:fldCharType="end"/>
      </w:r>
      <w:r w:rsidRPr="008A5C48">
        <w:rPr>
          <w:rFonts w:ascii="Times New Roman" w:eastAsia="Times New Roman" w:hAnsi="Times New Roman" w:cs="Times New Roman"/>
          <w:color w:val="000000"/>
          <w:sz w:val="20"/>
          <w:szCs w:val="20"/>
        </w:rPr>
        <w:t xml:space="preserve">. The LOD ranged from 0.06 to 0.61μg/L. In the majority of INMA maternal samples, phthalates were determined according to </w:t>
      </w:r>
      <w:proofErr w:type="spellStart"/>
      <w:r w:rsidRPr="008A5C48">
        <w:rPr>
          <w:rFonts w:ascii="Times New Roman" w:eastAsia="Times New Roman" w:hAnsi="Times New Roman" w:cs="Times New Roman"/>
          <w:color w:val="000000"/>
          <w:sz w:val="20"/>
          <w:szCs w:val="20"/>
        </w:rPr>
        <w:t>Valvi</w:t>
      </w:r>
      <w:proofErr w:type="spellEnd"/>
      <w:r w:rsidRPr="008A5C48">
        <w:rPr>
          <w:rFonts w:ascii="Times New Roman" w:eastAsia="Times New Roman" w:hAnsi="Times New Roman" w:cs="Times New Roman"/>
          <w:color w:val="000000"/>
          <w:sz w:val="20"/>
          <w:szCs w:val="20"/>
        </w:rPr>
        <w:t xml:space="preserve"> et al</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{"citationID":"9eyy8Tg7","properties":{"formattedCitation":"\\super 52\\nosupersub{}","plainCitation":"52","noteIndex":0},"citationItems":[{"id":62,"uris":["http://zotero.org/users/9798320/items/AAV2IUFH"],"itemData":{"id":62,"type":"article-journal","abstract":"Developmental exposure to phthalates may be associated with adverse health outcomes but information on the variability and predictors of urinary phthalate metabolite concentrations during pregnancy is limited. We evaluated in Spanish pregnant women (n=391) the reproducibility of urinary phthalate metabolite concentrations and predictors of exposure. We measured mono-(4-methyl-7-hydroxyoctyl) phthalate (7-OHMMeOP), mono-(2-ethylhexyl) phthalate (MEHP), mono-(2-ethyl-5-hydroxyhexyl) phthalate (MEHHP), mono-(2-ethyl-5-oxohexyl) phthalate (MEOHP), mono-(2-ethyl-5-carboxypentyl) phthalate (MECPP), mono-(2-carboxyhexyl) phthalate (MCMHP), mono-benzyl phthalate (MBzP), mono-ethyl phthalate (MEP), mono-iso-butyl phthalate (MiBP) and mono-n-butyl phthalate (MnBP) in two spot urine samples collected in the first and third pregnancy trimesters. Questionnaires on predictors and food-frequency questionnaires were administered in the first and/or third pregnancy trimesters. Using creatinine-adjusted phthalate metabolite concentrations (log10-trasformed) we calculated intraclass correlation coefficients (ICCs). Linear mixed and regression models assessed the associations between predictors and phthalate metabolites. The ICCs ranged from 0.24 to 0.07 and were higher for MBzP, MEP, MiBP, and lower for MEOHP and MEHHP. Overweight, lower education and social class, and less frequent consumption of organic food were associated with higher levels of some phthalate metabolites. The use of household cleaning products (bleach, ammonia, glass cleaners, oven cleaning sprays and degreasing products) at least once per week during pregnancy was associated with 10–44% higher urinary phthalate metabolites. Bottled-water consumption, consumption of food groups usually stored in plastic containers or cans, use of plastic containers for heating food and cosmetic use were not associated with increased concentrations of phthalate metabolites. This large study with repeated phthalate measurements suggests that, in this Spanish setting, sociodemographic and lifestyle factors and household cleaning product use are better predictors of phthalate exposure levels in pregnant women than average water and food consumption and use of plastic containers and cosmetics.","container-title":"International Journal of Hygiene and Environmental Health","DOI":"10.1016/j.ijheh.2014.11.003","ISSN":"1438-4639","issue":"2","journalAbbreviation":"International Journal of Hygiene and Environmental Health","language":"en","page":"220-231","source":"ScienceDirect","title":"Variability and predictors of urinary phthalate metabolites in Spanish pregnant women","volume":"218","author":[{"family":"Valvi","given":"Damaskini"},{"family":"Monfort","given":"Nuria"},{"family":"Ventura","given":"Rosa"},{"family":"Casas","given":"Maribel"},{"family":"Casas","given":"Lidia"},{"family":"Sunyer","given":"Jordi"},{"family":"Vrijheid","given":"Martine"}],"issued":{"date-parts":[["2015",3,1]]}}}],"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52</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xml:space="preserve"> with LOD ranged from 0.5-1.0 </w:t>
      </w: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 xml:space="preserve">/L except 37 INMA samples that were </w:t>
      </w:r>
      <w:proofErr w:type="spellStart"/>
      <w:r w:rsidRPr="008A5C48">
        <w:rPr>
          <w:rFonts w:ascii="Times New Roman" w:eastAsia="Times New Roman" w:hAnsi="Times New Roman" w:cs="Times New Roman"/>
          <w:color w:val="000000"/>
          <w:sz w:val="20"/>
          <w:szCs w:val="20"/>
        </w:rPr>
        <w:t>analyzed</w:t>
      </w:r>
      <w:proofErr w:type="spellEnd"/>
      <w:r w:rsidRPr="008A5C48">
        <w:rPr>
          <w:rFonts w:ascii="Times New Roman" w:eastAsia="Times New Roman" w:hAnsi="Times New Roman" w:cs="Times New Roman"/>
          <w:color w:val="000000"/>
          <w:sz w:val="20"/>
          <w:szCs w:val="20"/>
        </w:rPr>
        <w:t xml:space="preserve"> at NIPH. For comparability, we </w:t>
      </w:r>
      <w:proofErr w:type="spellStart"/>
      <w:r w:rsidRPr="008A5C48">
        <w:rPr>
          <w:rFonts w:ascii="Times New Roman" w:eastAsia="Times New Roman" w:hAnsi="Times New Roman" w:cs="Times New Roman"/>
          <w:color w:val="000000"/>
          <w:sz w:val="20"/>
          <w:szCs w:val="20"/>
        </w:rPr>
        <w:t>analyzed</w:t>
      </w:r>
      <w:proofErr w:type="spellEnd"/>
      <w:r w:rsidRPr="008A5C48">
        <w:rPr>
          <w:rFonts w:ascii="Times New Roman" w:eastAsia="Times New Roman" w:hAnsi="Times New Roman" w:cs="Times New Roman"/>
          <w:color w:val="000000"/>
          <w:sz w:val="20"/>
          <w:szCs w:val="20"/>
        </w:rPr>
        <w:t xml:space="preserve"> 10 samples with low to high </w:t>
      </w:r>
      <w:proofErr w:type="spellStart"/>
      <w:r w:rsidRPr="008A5C48">
        <w:rPr>
          <w:rFonts w:ascii="Times New Roman" w:eastAsia="Times New Roman" w:hAnsi="Times New Roman" w:cs="Times New Roman"/>
          <w:color w:val="000000"/>
          <w:sz w:val="20"/>
          <w:szCs w:val="20"/>
        </w:rPr>
        <w:t>monoethyl</w:t>
      </w:r>
      <w:proofErr w:type="spellEnd"/>
      <w:r w:rsidRPr="008A5C48">
        <w:rPr>
          <w:rFonts w:ascii="Times New Roman" w:eastAsia="Times New Roman" w:hAnsi="Times New Roman" w:cs="Times New Roman"/>
          <w:color w:val="000000"/>
          <w:sz w:val="20"/>
          <w:szCs w:val="20"/>
        </w:rPr>
        <w:t xml:space="preserve"> phthalate (MEP) concentrations as reference selected from all </w:t>
      </w:r>
      <w:proofErr w:type="spellStart"/>
      <w:r w:rsidRPr="008A5C48">
        <w:rPr>
          <w:rFonts w:ascii="Times New Roman" w:eastAsia="Times New Roman" w:hAnsi="Times New Roman" w:cs="Times New Roman"/>
          <w:color w:val="000000"/>
          <w:sz w:val="20"/>
          <w:szCs w:val="20"/>
        </w:rPr>
        <w:t>analyzed</w:t>
      </w:r>
      <w:proofErr w:type="spellEnd"/>
      <w:r w:rsidRPr="008A5C48">
        <w:rPr>
          <w:rFonts w:ascii="Times New Roman" w:eastAsia="Times New Roman" w:hAnsi="Times New Roman" w:cs="Times New Roman"/>
          <w:color w:val="000000"/>
          <w:sz w:val="20"/>
          <w:szCs w:val="20"/>
        </w:rPr>
        <w:t xml:space="preserve"> in the Bioanalysis Research Group at the Hospital del Mar Medical Research Institute (Barcelona, Spain)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{"citationID":"hd9TNZQu","properties":{"formattedCitation":"\\super 52\\nosupersub{}","plainCitation":"52","noteIndex":0},"citationItems":[{"id":62,"uris":["http://zotero.org/users/9798320/items/AAV2IUFH"],"itemData":{"id":62,"type":"article-journal","abstract":"Developmental exposure to phthalates may be associated with adverse health outcomes but information on the variability and predictors of urinary phthalate metabolite concentrations during pregnancy is limited. We evaluated in Spanish pregnant women (n=391) the reproducibility of urinary phthalate metabolite concentrations and predictors of exposure. We measured mono-(4-methyl-7-hydroxyoctyl) phthalate (7-OHMMeOP), mono-(2-ethylhexyl) phthalate (MEHP), mono-(2-ethyl-5-hydroxyhexyl) phthalate (MEHHP), mono-(2-ethyl-5-oxohexyl) phthalate (MEOHP), mono-(2-ethyl-5-carboxypentyl) phthalate (MECPP), mono-(2-carboxyhexyl) phthalate (MCMHP), mono-benzyl phthalate (MBzP), mono-ethyl phthalate (MEP), mono-iso-butyl phthalate (MiBP) and mono-n-butyl phthalate (MnBP) in two spot urine samples collected in the first and third pregnancy trimesters. Questionnaires on predictors and food-frequency questionnaires were administered in the first and/or third pregnancy trimesters. Using creatinine-adjusted phthalate metabolite concentrations (log10-trasformed) we calculated intraclass correlation coefficients (ICCs). Linear mixed and regression models assessed the associations between predictors and phthalate metabolites. The ICCs ranged from 0.24 to 0.07 and were higher for MBzP, MEP, MiBP, and lower for MEOHP and MEHHP. Overweight, lower education and social class, and less frequent consumption of organic food were associated with higher levels of some phthalate metabolites. The use of household cleaning products (bleach, ammonia, glass cleaners, oven cleaning sprays and degreasing products) at least once per week during pregnancy was associated with 10–44% higher urinary phthalate metabolites. Bottled-water consumption, consumption of food groups usually stored in plastic containers or cans, use of plastic containers for heating food and cosmetic use were not associated with increased concentrations of phthalate metabolites. This large study with repeated phthalate measurements suggests that, in this Spanish setting, sociodemographic and lifestyle factors and household cleaning product use are better predictors of phthalate exposure levels in pregnant women than average water and food consumption and use of plastic containers and cosmetics.","container-title":"International Journal of Hygiene and Environmental Health","DOI":"10.1016/j.ijheh.2014.11.003","ISSN":"1438-4639","issue":"2","journalAbbreviation":"International Journal of Hygiene and Environmental Health","language":"en","page":"220-231","source":"ScienceDirect","title":"Variability and predictors of urinary phthalate metabolites in Spanish pregnant women","volume":"218","author":[{"family":"Valvi","given":"Damaskini"},{"family":"Monfort","given":"Nuria"},{"family":"Ventura","given":"Rosa"},{"family":"Casas","given":"Maribel"},{"family":"Casas","given":"Lidia"},{"family":"Sunyer","given":"Jordi"},{"family":"Vrijheid","given":"Martine"}],"issued":{"date-parts":[["2015",3,1]]}}}],"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52</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NIPH was blinded to the concentrations of samples. Urinary concentrations of the phthalate metabolites determined in both laboratories were highly correlated (Spearman ranging from r=0.69 to 0.97). Due to the high correlations the</w:t>
      </w:r>
    </w:p>
    <w:p w14:paraId="248DCFCE" w14:textId="77777777" w:rsidR="002A5B71"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NIPH concentrations for subjects included in the comparison have been used. We also calculated the total concentration of di-2-ethylhexyl phthalate (DEHP) by summing the molar concentrations of mono-2-ethylhexyl phthalate (MEHP), mono-2-ethyl-5-hydroxyhexyl phthalate (MEHHP), mono-2-ethyl-5-oxohexyl phthalate (MEOHP), and mono-2-ethyl 5-carboxypentyl phthalate (MECPP). The molar concentrations (in µmol/L) were calculated by dividing the concentration of every metabolite by its molecular weight. In the current manuscript we do not use the sum variables. </w:t>
      </w:r>
    </w:p>
    <w:p w14:paraId="6F69CAC7" w14:textId="77777777" w:rsidR="002A5B71" w:rsidRPr="008A5C48"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4895364B" w14:textId="77777777" w:rsidR="002A5B71" w:rsidRPr="00C53C05" w:rsidRDefault="002A5B71" w:rsidP="002A5B7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C53C05">
        <w:rPr>
          <w:rFonts w:ascii="Times New Roman" w:eastAsia="Times New Roman" w:hAnsi="Times New Roman" w:cs="Times New Roman"/>
          <w:bCs/>
          <w:i/>
          <w:sz w:val="20"/>
          <w:szCs w:val="20"/>
        </w:rPr>
        <w:t>Phenols</w:t>
      </w:r>
    </w:p>
    <w:p w14:paraId="1F50BAC8" w14:textId="2497D6B8" w:rsidR="002A5B71"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Concentrations of phenols were determined in urine according to </w:t>
      </w:r>
      <w:proofErr w:type="spellStart"/>
      <w:r w:rsidRPr="008A5C48">
        <w:rPr>
          <w:rFonts w:ascii="Times New Roman" w:eastAsia="Times New Roman" w:hAnsi="Times New Roman" w:cs="Times New Roman"/>
          <w:color w:val="000000"/>
          <w:sz w:val="20"/>
          <w:szCs w:val="20"/>
        </w:rPr>
        <w:t>Sakhi</w:t>
      </w:r>
      <w:proofErr w:type="spellEnd"/>
      <w:r w:rsidRPr="008A5C48">
        <w:rPr>
          <w:rFonts w:ascii="Times New Roman" w:eastAsia="Times New Roman" w:hAnsi="Times New Roman" w:cs="Times New Roman"/>
          <w:color w:val="000000"/>
          <w:sz w:val="20"/>
          <w:szCs w:val="20"/>
        </w:rPr>
        <w:t xml:space="preserve"> et al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{"citationID":"Xoa5rXAP","properties":{"formattedCitation":"\\super 53\\nosupersub{}","plainCitation":"53","noteIndex":0},"citationItems":[{"id":51,"uris":["http://zotero.org/users/9798320/items/3KDTJR63"],"itemData":{"id":51,"type":"article-journal","abstract":"BACKGROUND: Exposure to environmental phenols including parabens, bisphenols (BPs), oxybenzone/benzophenone-3 (BP-3) and triclosan (TCS) is ubiquitous. Due to evidence of their estrogenic activity, they have been considered as chemicals of concern. The exposure of the Norwegian population to these compounds is presently unknown.\nAIMS: To measure urinary levels of twelve different environmental phenols including four emerging bisphenols: S, F, B and AF (abbreviated as BPS, BPF, BPB and BPAF, respectively) in a healthy Norwegian population. We have calculated short-term variability, estimated daily intakes and investigated important determinants of exposure.\nMETHODS: Urine samples were collected from mothers (n = 48) and their children (n = 56) during spring/summer 2012 in two counties in Norway.\nRESULTS: Six environmental phenols namely methyl, ethyl and propyl paraben, BPA, BP-3 and TCS were detected in almost 100% of the urine samples. Among the emerging bisphenols, BPS was detected most frequently in the urine samples (42-48%) followed by BPF (4-15%). Parabens were positively and significantly correlated to each other in both mothers and children. Levels of parabens and BP-3 were higher in mothers compared to children. All mothers and children had lower estimated daily intakes (back calculated from the urinary concentrations) of parabens and BPA than the respective acceptable and tolerable daily intakes (ADIs and TDIs) established by the European Food Safety Authority (EFSA). Observed intraclass correlation coefficients (ICCs) indicated moderate to high reliability of spot urine measurements for all the environmental phenols (ICCs: 0.70-0.97). Use of hair products, deodorants, face and hand creams were significantly associated with higher urinary levels of parabens.\nCONCLUSIONS: Occurrence of environmental phenols in healthy Norwegian women and children is abundant. Among emerging bisphenols, there is widespread exposure to BPS. A single spot urine sample can be used for estimating short-term exposures of environmental phenols. Urinary levels of parabens were associated with use of PCPs.","container-title":"Environment International","DOI":"10.1016/j.envint.2018.02.037","ISSN":"1873-6750","journalAbbreviation":"Environ Int","language":"eng","note":"PMID: 29524920","page":"242-251","source":"PubMed","title":"Levels, variability and determinants of environmental phenols in pairs of Norwegian mothers and children","volume":"114","author":[{"family":"Sakhi","given":"Amrit Kaur"},{"family":"Sabaredzovic","given":"Azemira"},{"family":"Papadopoulou","given":"Eleni"},{"family":"Cequier","given":"Enrique"},{"family":"Thomsen","given":"Cathrine"}],"issued":{"date-parts":[["2018",5]]}}}],"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53</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xml:space="preserve"> with the LOD ranged from 0.03-0.06 </w:t>
      </w: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 xml:space="preserve">/L. In EDEN, phthalate metabolites were determined in urine samples </w:t>
      </w:r>
      <w:r w:rsidRPr="00810CC4">
        <w:rPr>
          <w:rFonts w:ascii="Times New Roman" w:eastAsia="Times New Roman" w:hAnsi="Times New Roman" w:cs="Times New Roman"/>
          <w:color w:val="000000"/>
          <w:sz w:val="20"/>
          <w:szCs w:val="20"/>
        </w:rPr>
        <w:t xml:space="preserve">according to </w:t>
      </w:r>
      <w:proofErr w:type="spellStart"/>
      <w:r w:rsidRPr="00810CC4">
        <w:rPr>
          <w:rFonts w:ascii="Times New Roman" w:eastAsia="Times New Roman" w:hAnsi="Times New Roman" w:cs="Times New Roman"/>
          <w:color w:val="000000"/>
          <w:sz w:val="20"/>
          <w:szCs w:val="20"/>
        </w:rPr>
        <w:t>Philippat</w:t>
      </w:r>
      <w:proofErr w:type="spellEnd"/>
      <w:r w:rsidRPr="00810CC4">
        <w:rPr>
          <w:rFonts w:ascii="Times New Roman" w:eastAsia="Times New Roman" w:hAnsi="Times New Roman" w:cs="Times New Roman"/>
          <w:color w:val="000000"/>
          <w:sz w:val="20"/>
          <w:szCs w:val="20"/>
        </w:rPr>
        <w:t xml:space="preserve"> et al </w:t>
      </w:r>
      <w:r w:rsidRPr="00810CC4">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{"citationID":"XZ8YX3K4","properties":{"formattedCitation":"\\super 54\\nosupersub{}","plainCitation":"54","noteIndex":0},"citationItems":[{"id":1095,"uris":["http://zotero.org/users/9798320/items/8UWRKDEZ"],"itemData":{"id":1095,"type":"article-journal","abstract":"BACKGROUND: Data concerning the effects of prenatal exposures to phthalates and phenols on fetal growth are limited in humans. Previous findings suggest possible effects of some phenols on male birth weight.\nOBJECTIVE: Our aim was to assess the relationships between prenatal exposures to phthalates and phenols and fetal growth among male newborns.\nMETHODS: We conducted a case-control study on male malformations of the genitalia nested in two French mother-child cohorts with recruitment between 2002 and 2006. We measured, in maternal urinary samples collected between 6 and 30 gestational weeks, the concentrations (micrograms per liter) of 9 phenol (n = 191 pregnant women) and 11 phthalate metabolites (n = 287). Weight, length, and head circumference at birth were collected from maternity records. Statistical analyses were corrected for the oversampling of malformation cases.\nRESULTS: Adjusted birth weight decreased by 77 g [95% confidence interval (CI): -129, -25] and by 49 g (95% CI: -86, -13) in association with a 1-unit increase in ln-transformed 2,4-dichlorophenol (DCP) and 2,5-DCP urinary concentrations, respectively. Benzophenone-3 (BP3) ln-transformed concentrations were positively associated with weight (26 g; 95% CI: -2, 54) and head circumference at birth (0.1 cm; 95% CI: 0.0, 0.2). Head circumference increased by 0.3 cm (95% CI: 0.0, 0.7) in association with a 1-unit increase in ln-transformed BPA concentration. For phthalate metabolites there was no evidence of monotonic associations with birth weight.\nCONCLUSIONS: Consistent with findings of a previous study, we observed evidence of an inverse association of 2,5-DCP and a positive association of BP3 with male birth weight.","container-title":"Environmental Health Perspectives","DOI":"10.1289/ehp.1103634","ISSN":"1552-9924","issue":"3","journalAbbreviation":"Environ Health Perspect","language":"eng","note":"PMID: 21900077\nPMCID: PMC3295340","page":"464-470","source":"PubMed","title":"Exposure to phthalates and phenols during pregnancy and offspring size at birth","volume":"120","author":[{"family":"Philippat","given":"Claire"},{"family":"Mortamais","given":"Marion"},{"family":"Chevrier","given":"Cécile"},{"family":"Petit","given":"Claire"},{"family":"Calafat","given":"Antonia M."},{"family":"Ye","given":"Xiaoyun"},{"family":"Silva","given":"Manori J."},{"family":"Brambilla","given":"Christian"},{"family":"Pin","given":"Isabelle"},{"family":"Charles","given":"Marie-Aline"},{"family":"Cordier","given":"Sylvaine"},{"family":"Slama","given":"Rémy"}],"issued":{"date-parts":[["2012",3]]}}}],"schema":"https://github.com/citation-style-language/schema/raw/master/csl-citation.json"} </w:instrText>
      </w:r>
      <w:r w:rsidRPr="00810CC4">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54</w:t>
      </w:r>
      <w:r w:rsidRPr="00810CC4">
        <w:rPr>
          <w:rFonts w:ascii="Times New Roman" w:eastAsia="Times New Roman" w:hAnsi="Times New Roman" w:cs="Times New Roman"/>
          <w:color w:val="000000"/>
          <w:sz w:val="20"/>
          <w:szCs w:val="20"/>
        </w:rPr>
        <w:fldChar w:fldCharType="end"/>
      </w:r>
      <w:r w:rsidRPr="00810CC4">
        <w:rPr>
          <w:rFonts w:ascii="Times New Roman" w:eastAsia="Times New Roman" w:hAnsi="Times New Roman" w:cs="Times New Roman"/>
          <w:color w:val="000000"/>
          <w:sz w:val="20"/>
          <w:szCs w:val="20"/>
        </w:rPr>
        <w:t xml:space="preserve"> with the LOD ranged from 0.</w:t>
      </w:r>
      <w:r w:rsidRPr="008A5C48">
        <w:rPr>
          <w:rFonts w:ascii="Times New Roman" w:eastAsia="Times New Roman" w:hAnsi="Times New Roman" w:cs="Times New Roman"/>
          <w:color w:val="000000"/>
          <w:sz w:val="20"/>
          <w:szCs w:val="20"/>
        </w:rPr>
        <w:t xml:space="preserve">2-2.3 </w:t>
      </w: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 xml:space="preserve">/L. We performed an inter-lab comparison of 12 samples selected from all </w:t>
      </w:r>
      <w:proofErr w:type="spellStart"/>
      <w:r w:rsidRPr="008A5C48">
        <w:rPr>
          <w:rFonts w:ascii="Times New Roman" w:eastAsia="Times New Roman" w:hAnsi="Times New Roman" w:cs="Times New Roman"/>
          <w:color w:val="000000"/>
          <w:sz w:val="20"/>
          <w:szCs w:val="20"/>
        </w:rPr>
        <w:t>analyzed</w:t>
      </w:r>
      <w:proofErr w:type="spellEnd"/>
      <w:r w:rsidRPr="008A5C48">
        <w:rPr>
          <w:rFonts w:ascii="Times New Roman" w:eastAsia="Times New Roman" w:hAnsi="Times New Roman" w:cs="Times New Roman"/>
          <w:color w:val="000000"/>
          <w:sz w:val="20"/>
          <w:szCs w:val="20"/>
        </w:rPr>
        <w:t xml:space="preserve"> in the I National </w:t>
      </w:r>
      <w:proofErr w:type="spellStart"/>
      <w:r w:rsidRPr="008A5C48">
        <w:rPr>
          <w:rFonts w:ascii="Times New Roman" w:eastAsia="Times New Roman" w:hAnsi="Times New Roman" w:cs="Times New Roman"/>
          <w:color w:val="000000"/>
          <w:sz w:val="20"/>
          <w:szCs w:val="20"/>
        </w:rPr>
        <w:t>Center</w:t>
      </w:r>
      <w:proofErr w:type="spellEnd"/>
      <w:r w:rsidRPr="008A5C48">
        <w:rPr>
          <w:rFonts w:ascii="Times New Roman" w:eastAsia="Times New Roman" w:hAnsi="Times New Roman" w:cs="Times New Roman"/>
          <w:color w:val="000000"/>
          <w:sz w:val="20"/>
          <w:szCs w:val="20"/>
        </w:rPr>
        <w:t xml:space="preserve"> for Environmental Health laboratory at the CDC in Atlanta, Georgia, USA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{"citationID":"VQ3rmocq","properties":{"formattedCitation":"\\super 54\\nosupersub{}","plainCitation":"54","noteIndex":0},"citationItems":[{"id":1095,"uris":["http://zotero.org/users/9798320/items/8UWRKDEZ"],"itemData":{"id":1095,"type":"article-journal","abstract":"BACKGROUND: Data concerning the effects of prenatal exposures to phthalates and phenols on fetal growth are limited in humans. Previous findings suggest possible effects of some phenols on male birth weight.\nOBJECTIVE: Our aim was to assess the relationships between prenatal exposures to phthalates and phenols and fetal growth among male newborns.\nMETHODS: We conducted a case-control study on male malformations of the genitalia nested in two French mother-child cohorts with recruitment between 2002 and 2006. We measured, in maternal urinary samples collected between 6 and 30 gestational weeks, the concentrations (micrograms per liter) of 9 phenol (n = 191 pregnant women) and 11 phthalate metabolites (n = 287). Weight, length, and head circumference at birth were collected from maternity records. Statistical analyses were corrected for the oversampling of malformation cases.\nRESULTS: Adjusted birth weight decreased by 77 g [95% confidence interval (CI): -129, -25] and by 49 g (95% CI: -86, -13) in association with a 1-unit increase in ln-transformed 2,4-dichlorophenol (DCP) and 2,5-DCP urinary concentrations, respectively. Benzophenone-3 (BP3) ln-transformed concentrations were positively associated with weight (26 g; 95% CI: -2, 54) and head circumference at birth (0.1 cm; 95% CI: 0.0, 0.2). Head circumference increased by 0.3 cm (95% CI: 0.0, 0.7) in association with a 1-unit increase in ln-transformed BPA concentration. For phthalate metabolites there was no evidence of monotonic associations with birth weight.\nCONCLUSIONS: Consistent with findings of a previous study, we observed evidence of an inverse association of 2,5-DCP and a positive association of BP3 with male birth weight.","container-title":"Environmental Health Perspectives","DOI":"10.1289/ehp.1103634","ISSN":"1552-9924","issue":"3","journalAbbreviation":"Environ Health Perspect","language":"eng","note":"PMID: 21900077\nPMCID: PMC3295340","page":"464-470","source":"PubMed","title":"Exposure to phthalates and phenols during pregnancy and offspring size at birth","volume":"120","author":[{"family":"Philippat","given":"Claire"},{"family":"Mortamais","given":"Marion"},{"family":"Chevrier","given":"Cécile"},{"family":"Petit","given":"Claire"},{"family":"Calafat","given":"Antonia M."},{"family":"Ye","given":"Xiaoyun"},{"family":"Silva","given":"Manori J."},{"family":"Brambilla","given":"Christian"},{"family":"Pin","given":"Isabelle"},{"family":"Charles","given":"Marie-Aline"},{"family":"Cordier","given":"Sylvaine"},{"family":"Slama","given":"Rémy"}],"issued":{"date-parts":[["2012",3]]}}}],"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54</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NIPH was blinded to the concentrations of samples. Phenols urinary concentrations determined in both laboratories were strongly correlated (Spearman ranging from r=0.90 to 1.0). Due to the high correlations the NIPH concentrations for subjects included in the comparison have been used.</w:t>
      </w:r>
    </w:p>
    <w:p w14:paraId="771A54D5" w14:textId="77777777" w:rsidR="002A5B71" w:rsidRPr="008A5C48"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483568D6" w14:textId="77777777" w:rsidR="002A5B71" w:rsidRPr="00C53C05" w:rsidRDefault="002A5B71" w:rsidP="002A5B7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C53C05">
        <w:rPr>
          <w:rFonts w:ascii="Times New Roman" w:eastAsia="Times New Roman" w:hAnsi="Times New Roman" w:cs="Times New Roman"/>
          <w:bCs/>
          <w:i/>
          <w:sz w:val="20"/>
          <w:szCs w:val="20"/>
        </w:rPr>
        <w:t>Organophosphate (OP) pesticide metabolites</w:t>
      </w:r>
    </w:p>
    <w:p w14:paraId="4403C484" w14:textId="4CB26424" w:rsidR="002A5B71"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Analysis of OP pesticide metabolites in urine was made according to </w:t>
      </w:r>
      <w:proofErr w:type="spellStart"/>
      <w:r w:rsidRPr="008A5C48">
        <w:rPr>
          <w:rFonts w:ascii="Times New Roman" w:eastAsia="Times New Roman" w:hAnsi="Times New Roman" w:cs="Times New Roman"/>
          <w:color w:val="000000"/>
          <w:sz w:val="20"/>
          <w:szCs w:val="20"/>
        </w:rPr>
        <w:t>Cequier</w:t>
      </w:r>
      <w:proofErr w:type="spellEnd"/>
      <w:r w:rsidRPr="008A5C48">
        <w:rPr>
          <w:rFonts w:ascii="Times New Roman" w:eastAsia="Times New Roman" w:hAnsi="Times New Roman" w:cs="Times New Roman"/>
          <w:color w:val="000000"/>
          <w:sz w:val="20"/>
          <w:szCs w:val="20"/>
        </w:rPr>
        <w:t xml:space="preserve"> et al</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{"citationID":"BkluMGpl","properties":{"formattedCitation":"\\super 55\\nosupersub{}","plainCitation":"55","noteIndex":0},"citationItems":[{"id":41,"uris":["http://zotero.org/users/9798320/items/PRPRKA67"],"itemData":{"id":41,"type":"article-journal","abstract":"Organophosphate based pesticides are widely used in the agricultural sector, and exposure to these chemicals is common for the general population. Pesticides are toxic due to the inhibition of acetylcholinesterases, and the potential for adverse health effects have been investigated in past and recent studies. Human biomonitoring of organophosphate pesticide exposure is carried out through the determination of the metabolites in urine (dialkylphosphates, DAPs). Hereby we present a new method for determination of the 6 non-specific metabolites dimethyl phosphate (DMP), diethyl phosphate (DEP), dimethyl thiophosphate (DMTP), diethyl thiophosphate (DETP), dimethyl dithiophosphate (DMDTP), and diethyl dithiophosphate (DEDTP) in urine based on off-line solid phase extraction (anion exchange, 96-well plates) followed by ion-pair ultra-performance liquid chromatography time-of-flight mass spectrometry. Recoveries and accuracies in control urine spiked at 5ng/mL ranged from 48% to109% and from 91% to 115%, respectively. The method limits of detection for the DAPs were 1.2ng/mL for DMP, 0.38ng/mL for DEP, 0.20ng/mL for DMTP, 0.33ng/mL for DETP, 0.64ng/mL for DMDTP, and 0.15ng/mL for DEDTP. The method was applied to samples from a Norwegian mother/child study group (n=48/56) and the DAPs detection frequencies in urine from mothers and children were about: 40% for DMP, 95% for DEP, 96% for DMTP, 50% for DETP, 15% for DMDTP, and 1% for DEDTP. In both mothers and children, the most abundant DAPs were DMTP (median 2.4/5.2ng/mL) and DEP (median 2.6/3.4ng/mL) followed by DMP (median 1.5/2.1ng/mL). The SG corrected concentrations of DEP and DETP in mothers were statistically higher than in children (p-value&lt;0.05; Mann-Whitney test) which might suggest a higher exposure to pesticides in these mothers, or significant differences in toxicokinetics between adults and children. The method was proven robust and suitable for large-scale biomonitoring studies.","container-title":"Journal of Chromatography. A","DOI":"10.1016/j.chroma.2016.05.067","ISSN":"1873-3778","journalAbbreviation":"J Chromatogr A","language":"eng","note":"PMID: 27264744","page":"32-41","source":"PubMed","title":"Development of an ion-pair liquid chromatography-high resolution mass spectrometry method for determination of organophosphate pesticide metabolites in large-scale biomonitoring studies","volume":"1454","author":[{"family":"Cequier","given":"Enrique"},{"family":"Sakhi","given":"Amrit Kaur"},{"family":"Haug","given":"Line Småstuen"},{"family":"Thomsen","given":"Cathrine"}],"issued":{"date-parts":[["2016",7,8]]}}}],"schema":"https://github.com/citation-style-language/schema/raw/master/csl-citation.json"}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55</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xml:space="preserve"> and with the LOD ranged from 0.06-0.36μg/L. DMDTP in children was detected in less than 20% of samples and DEDTP in children and mothers was detected in less than 2% of samples</w:t>
      </w:r>
      <w:r>
        <w:rPr>
          <w:rFonts w:ascii="Times New Roman" w:eastAsia="Times New Roman" w:hAnsi="Times New Roman" w:cs="Times New Roman"/>
          <w:color w:val="000000"/>
          <w:sz w:val="20"/>
          <w:szCs w:val="20"/>
        </w:rPr>
        <w:t xml:space="preserve">; </w:t>
      </w:r>
      <w:r w:rsidRPr="008A5C48">
        <w:rPr>
          <w:rFonts w:ascii="Times New Roman" w:eastAsia="Times New Roman" w:hAnsi="Times New Roman" w:cs="Times New Roman"/>
          <w:color w:val="000000"/>
          <w:sz w:val="20"/>
          <w:szCs w:val="20"/>
        </w:rPr>
        <w:t xml:space="preserve">therefore, categorical variables were created categorizing urinary DMTDP and DEDTP levels as detected or not detected considering the limits of detection of 0,19 and 0,05 </w:t>
      </w: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/L, respectively. However, the DEDTP variable in mothers and children and the DMDTP variable in mothers had too few subjects in the “detected” category (less than 30) and were finally removed from the exposome analyses.</w:t>
      </w:r>
    </w:p>
    <w:p w14:paraId="5F96CF92" w14:textId="77777777" w:rsidR="002A5B71" w:rsidRPr="008A5C48"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37A60927" w14:textId="77777777" w:rsidR="002A5B71" w:rsidRPr="00C53C05" w:rsidRDefault="002A5B71" w:rsidP="002A5B7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C53C05">
        <w:rPr>
          <w:rFonts w:ascii="Times New Roman" w:eastAsia="Times New Roman" w:hAnsi="Times New Roman" w:cs="Times New Roman"/>
          <w:bCs/>
          <w:i/>
          <w:sz w:val="20"/>
          <w:szCs w:val="20"/>
        </w:rPr>
        <w:t>Cotinine</w:t>
      </w:r>
    </w:p>
    <w:p w14:paraId="77B9F355" w14:textId="6E93C430" w:rsidR="002A5B71" w:rsidRPr="008A5C48"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Concentrations of cotinine in urine were determined using The </w:t>
      </w:r>
      <w:proofErr w:type="spellStart"/>
      <w:r w:rsidRPr="008A5C48">
        <w:rPr>
          <w:rFonts w:ascii="Times New Roman" w:eastAsia="Times New Roman" w:hAnsi="Times New Roman" w:cs="Times New Roman"/>
          <w:color w:val="000000"/>
          <w:sz w:val="20"/>
          <w:szCs w:val="20"/>
        </w:rPr>
        <w:t>Immulite</w:t>
      </w:r>
      <w:proofErr w:type="spellEnd"/>
      <w:r w:rsidRPr="008A5C48">
        <w:rPr>
          <w:rFonts w:ascii="Times New Roman" w:eastAsia="Times New Roman" w:hAnsi="Times New Roman" w:cs="Times New Roman"/>
          <w:color w:val="000000"/>
          <w:sz w:val="20"/>
          <w:szCs w:val="20"/>
        </w:rPr>
        <w:t xml:space="preserve">® 2000 Nicotine Metabolite (Cotinine) 600 Test on an </w:t>
      </w:r>
      <w:proofErr w:type="spellStart"/>
      <w:r w:rsidRPr="008A5C48">
        <w:rPr>
          <w:rFonts w:ascii="Times New Roman" w:eastAsia="Times New Roman" w:hAnsi="Times New Roman" w:cs="Times New Roman"/>
          <w:color w:val="000000"/>
          <w:sz w:val="20"/>
          <w:szCs w:val="20"/>
        </w:rPr>
        <w:t>Immulite</w:t>
      </w:r>
      <w:proofErr w:type="spellEnd"/>
      <w:r w:rsidRPr="008A5C48">
        <w:rPr>
          <w:rFonts w:ascii="Times New Roman" w:eastAsia="Times New Roman" w:hAnsi="Times New Roman" w:cs="Times New Roman"/>
          <w:color w:val="000000"/>
          <w:sz w:val="20"/>
          <w:szCs w:val="20"/>
        </w:rPr>
        <w:t xml:space="preserve"> 2000 </w:t>
      </w:r>
      <w:proofErr w:type="spellStart"/>
      <w:r w:rsidRPr="008A5C48">
        <w:rPr>
          <w:rFonts w:ascii="Times New Roman" w:eastAsia="Times New Roman" w:hAnsi="Times New Roman" w:cs="Times New Roman"/>
          <w:color w:val="000000"/>
          <w:sz w:val="20"/>
          <w:szCs w:val="20"/>
        </w:rPr>
        <w:t>XPi</w:t>
      </w:r>
      <w:proofErr w:type="spellEnd"/>
      <w:r w:rsidRPr="008A5C48">
        <w:rPr>
          <w:rFonts w:ascii="Times New Roman" w:eastAsia="Times New Roman" w:hAnsi="Times New Roman" w:cs="Times New Roman"/>
          <w:color w:val="000000"/>
          <w:sz w:val="20"/>
          <w:szCs w:val="20"/>
        </w:rPr>
        <w:t xml:space="preserve"> from Siemens </w:t>
      </w:r>
      <w:proofErr w:type="spellStart"/>
      <w:r w:rsidRPr="008A5C48">
        <w:rPr>
          <w:rFonts w:ascii="Times New Roman" w:eastAsia="Times New Roman" w:hAnsi="Times New Roman" w:cs="Times New Roman"/>
          <w:color w:val="000000"/>
          <w:sz w:val="20"/>
          <w:szCs w:val="20"/>
        </w:rPr>
        <w:t>Healthineers</w:t>
      </w:r>
      <w:proofErr w:type="spellEnd"/>
      <w:r w:rsidRPr="008A5C48">
        <w:rPr>
          <w:rFonts w:ascii="Times New Roman" w:eastAsia="Times New Roman" w:hAnsi="Times New Roman" w:cs="Times New Roman"/>
          <w:color w:val="000000"/>
          <w:sz w:val="20"/>
          <w:szCs w:val="20"/>
        </w:rPr>
        <w:t xml:space="preserve"> at </w:t>
      </w:r>
      <w:proofErr w:type="spellStart"/>
      <w:r w:rsidRPr="008A5C48">
        <w:rPr>
          <w:rFonts w:ascii="Times New Roman" w:eastAsia="Times New Roman" w:hAnsi="Times New Roman" w:cs="Times New Roman"/>
          <w:color w:val="000000"/>
          <w:sz w:val="20"/>
          <w:szCs w:val="20"/>
        </w:rPr>
        <w:t>Fürst</w:t>
      </w:r>
      <w:proofErr w:type="spellEnd"/>
      <w:r w:rsidRPr="008A5C48">
        <w:rPr>
          <w:rFonts w:ascii="Times New Roman" w:eastAsia="Times New Roman" w:hAnsi="Times New Roman" w:cs="Times New Roman"/>
          <w:color w:val="000000"/>
          <w:sz w:val="20"/>
          <w:szCs w:val="20"/>
        </w:rPr>
        <w:t xml:space="preserve"> </w:t>
      </w:r>
      <w:proofErr w:type="spellStart"/>
      <w:r w:rsidRPr="008A5C48">
        <w:rPr>
          <w:rFonts w:ascii="Times New Roman" w:eastAsia="Times New Roman" w:hAnsi="Times New Roman" w:cs="Times New Roman"/>
          <w:color w:val="000000"/>
          <w:sz w:val="20"/>
          <w:szCs w:val="20"/>
        </w:rPr>
        <w:t>Medisinsk</w:t>
      </w:r>
      <w:proofErr w:type="spellEnd"/>
      <w:r w:rsidRPr="008A5C48">
        <w:rPr>
          <w:rFonts w:ascii="Times New Roman" w:eastAsia="Times New Roman" w:hAnsi="Times New Roman" w:cs="Times New Roman"/>
          <w:color w:val="000000"/>
          <w:sz w:val="20"/>
          <w:szCs w:val="20"/>
        </w:rPr>
        <w:t xml:space="preserve"> </w:t>
      </w:r>
      <w:proofErr w:type="spellStart"/>
      <w:r w:rsidRPr="008A5C48">
        <w:rPr>
          <w:rFonts w:ascii="Times New Roman" w:eastAsia="Times New Roman" w:hAnsi="Times New Roman" w:cs="Times New Roman"/>
          <w:color w:val="000000"/>
          <w:sz w:val="20"/>
          <w:szCs w:val="20"/>
        </w:rPr>
        <w:t>Laboratorium</w:t>
      </w:r>
      <w:proofErr w:type="spellEnd"/>
      <w:r w:rsidRPr="008A5C48">
        <w:rPr>
          <w:rFonts w:ascii="Times New Roman" w:eastAsia="Times New Roman" w:hAnsi="Times New Roman" w:cs="Times New Roman"/>
          <w:color w:val="000000"/>
          <w:sz w:val="20"/>
          <w:szCs w:val="20"/>
        </w:rPr>
        <w:t xml:space="preserve">, Norway. The LOD was 3.03μg/L. Cotinine in maternal urine samples from INMA were determined according to </w:t>
      </w:r>
      <w:proofErr w:type="spellStart"/>
      <w:r w:rsidRPr="008A5C48">
        <w:rPr>
          <w:rFonts w:ascii="Times New Roman" w:eastAsia="Times New Roman" w:hAnsi="Times New Roman" w:cs="Times New Roman"/>
          <w:color w:val="000000"/>
          <w:sz w:val="20"/>
          <w:szCs w:val="20"/>
        </w:rPr>
        <w:t>Aurrekoetxea</w:t>
      </w:r>
      <w:proofErr w:type="spellEnd"/>
      <w:r w:rsidRPr="008A5C48">
        <w:rPr>
          <w:rFonts w:ascii="Times New Roman" w:eastAsia="Times New Roman" w:hAnsi="Times New Roman" w:cs="Times New Roman"/>
          <w:color w:val="000000"/>
          <w:sz w:val="20"/>
          <w:szCs w:val="20"/>
        </w:rPr>
        <w:t xml:space="preserve"> et al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{"citationID":"cOdFZmAs","properties":{"formattedCitation":"\\super 56\\nosupersub{}","plainCitation":"56","noteIndex":0},"citationItems":[{"id":40,"uris":["http://zotero.org/users/9798320/items/3LAJTZQX"],"itemData":{"id":40,"type":"article-journal","abstract":"OBJECTIVES: To estimate the prevalence and factors associated with smoking and misclassification in pregnant women from INMA (INfancia y Medio Ambiente, Environment and Childhood) project, Spain, and to assess the optimal cut-offs for urinary cotinine (UC) that best distinguish daily and occasional smokers with varying levels of second-hand smoke (SHS) exposure.\nDESIGN: We used logistic regression models to study the relationship between sociodemographic variables and self-reported smoking and misclassification (self-reported non-smokers with UC &gt;50 ng/ml). Receiver operating characteristic (ROC) curves were used to calculate the optimal cut-off point for discriminating smokers. The cut-offs were also calculated after stratification among non-smokers by the number of sources of SHS exposure. The cut-off points used to discriminate smoking status were the level of UC given by Youden's index and for 50 and 100 ng/ml for daily smokers, or 25 and 50 ng/ml for occasional smokers.\nPARTICIPANTS: At the third trimester of pregnancy, 2263 pregnant women of the INMA Project were interviewed between 2004 and 2008 and a urine sample was collected.\nRESULTS: Prevalence of self-reported smokers at the third trimester of pregnancy was 18.5%, and another 3.9% misreported their smoking status. Variables associated with self-reported smoking and misreporting were similar, including born in Europe, educational level and exposure to SHS. The optimal cut-off was 82 ng/ml (95% CI 42 to 133), sensitivity 95.2% and specificity 96.6%. The area under the ROC curve was 0.986 (95% CI 0.982 to 0.990). The cut-offs varied according to the SHS exposure level being 42 (95% CI 27 to 57), 82 (95% CI 46 to 136) and 106 ng/ml (95% CI 58 to 227) for not being SHS exposed, exposed to one, and to two or more sources of SHS, respectively. The optimal cut-off for discriminating occasional smokers from non-smokers was 27 ng/ml (95% CI 11 to 43).\nCONCLUSIONS: Prevalence of smoking during pregnancy in Spain remains high. UC is a reliable biomarker for classifying pregnant women according to their smoking status. However, cut-offs would differ based on baseline exposure to SHS.","container-title":"BMJ open","DOI":"10.1136/bmjopen-2012-002034","ISSN":"2044-6055","issue":"1","journalAbbreviation":"BMJ Open","language":"eng","note":"PMID: 23355667\nPMCID: PMC3563144","page":"e002034","source":"PubMed","title":"Determinants of self-reported smoking and misclassification during pregnancy, and analysis of optimal cut-off points for urinary cotinine: a cross-sectional study","title-short":"Determinants of self-reported smoking and misclassification during pregnancy, and analysis of optimal cut-off points for urinary cotinine","volume":"3","author":[{"family":"Aurrekoetxea","given":"Juan J."},{"family":"Murcia","given":"Mario"},{"family":"Rebagliato","given":"Marisa"},{"family":"López","given":"María José"},{"family":"Castilla","given":"Ane Miren"},{"family":"Santa-Marina","given":"Loreto"},{"family":"Guxens","given":"Mónica"},{"family":"Fernández-Somoano","given":"Ana"},{"family":"Espada","given":"Mercedes"},{"family":"Lertxundi","given":"Aitana"},{"family":"Tardón","given":"Adonina"},{"family":"Ballester","given":"Ferran"}],"issued":{"date-parts":[["2013",1,24]]}}}],"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56</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sz w:val="20"/>
          <w:szCs w:val="20"/>
        </w:rPr>
        <w:t xml:space="preserve"> and</w:t>
      </w:r>
      <w:r w:rsidRPr="008A5C48">
        <w:rPr>
          <w:rFonts w:ascii="Times New Roman" w:eastAsia="Times New Roman" w:hAnsi="Times New Roman" w:cs="Times New Roman"/>
          <w:color w:val="000000"/>
          <w:sz w:val="20"/>
          <w:szCs w:val="20"/>
        </w:rPr>
        <w:t xml:space="preserve"> with a LOD of 1.21μg/L. We performed an </w:t>
      </w:r>
      <w:proofErr w:type="spellStart"/>
      <w:r w:rsidRPr="008A5C48">
        <w:rPr>
          <w:rFonts w:ascii="Times New Roman" w:eastAsia="Times New Roman" w:hAnsi="Times New Roman" w:cs="Times New Roman"/>
          <w:color w:val="000000"/>
          <w:sz w:val="20"/>
          <w:szCs w:val="20"/>
        </w:rPr>
        <w:t>interlab</w:t>
      </w:r>
      <w:proofErr w:type="spellEnd"/>
      <w:r w:rsidRPr="008A5C48">
        <w:rPr>
          <w:rFonts w:ascii="Times New Roman" w:eastAsia="Times New Roman" w:hAnsi="Times New Roman" w:cs="Times New Roman"/>
          <w:color w:val="000000"/>
          <w:sz w:val="20"/>
          <w:szCs w:val="20"/>
        </w:rPr>
        <w:t xml:space="preserve">-comparison of 10 urine samples with low to high cotinine concentrations selected from all </w:t>
      </w:r>
      <w:proofErr w:type="spellStart"/>
      <w:r w:rsidRPr="008A5C48">
        <w:rPr>
          <w:rFonts w:ascii="Times New Roman" w:eastAsia="Times New Roman" w:hAnsi="Times New Roman" w:cs="Times New Roman"/>
          <w:color w:val="000000"/>
          <w:sz w:val="20"/>
          <w:szCs w:val="20"/>
        </w:rPr>
        <w:t>analyzed</w:t>
      </w:r>
      <w:proofErr w:type="spellEnd"/>
      <w:r w:rsidRPr="008A5C48">
        <w:rPr>
          <w:rFonts w:ascii="Times New Roman" w:eastAsia="Times New Roman" w:hAnsi="Times New Roman" w:cs="Times New Roman"/>
          <w:color w:val="000000"/>
          <w:sz w:val="20"/>
          <w:szCs w:val="20"/>
        </w:rPr>
        <w:t xml:space="preserve"> in the Public Health </w:t>
      </w:r>
      <w:r w:rsidRPr="008A5C48">
        <w:rPr>
          <w:rFonts w:ascii="Times New Roman" w:eastAsia="Times New Roman" w:hAnsi="Times New Roman" w:cs="Times New Roman"/>
          <w:color w:val="000000"/>
          <w:sz w:val="20"/>
          <w:szCs w:val="20"/>
        </w:rPr>
        <w:lastRenderedPageBreak/>
        <w:t xml:space="preserve">Laboratory of Bilbao - LSPPV (Spain)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{"citationID":"9lDEQcLM","properties":{"formattedCitation":"\\super 56\\nosupersub{}","plainCitation":"56","noteIndex":0},"citationItems":[{"id":40,"uris":["http://zotero.org/users/9798320/items/3LAJTZQX"],"itemData":{"id":40,"type":"article-journal","abstract":"OBJECTIVES: To estimate the prevalence and factors associated with smoking and misclassification in pregnant women from INMA (INfancia y Medio Ambiente, Environment and Childhood) project, Spain, and to assess the optimal cut-offs for urinary cotinine (UC) that best distinguish daily and occasional smokers with varying levels of second-hand smoke (SHS) exposure.\nDESIGN: We used logistic regression models to study the relationship between sociodemographic variables and self-reported smoking and misclassification (self-reported non-smokers with UC &gt;50 ng/ml). Receiver operating characteristic (ROC) curves were used to calculate the optimal cut-off point for discriminating smokers. The cut-offs were also calculated after stratification among non-smokers by the number of sources of SHS exposure. The cut-off points used to discriminate smoking status were the level of UC given by Youden's index and for 50 and 100 ng/ml for daily smokers, or 25 and 50 ng/ml for occasional smokers.\nPARTICIPANTS: At the third trimester of pregnancy, 2263 pregnant women of the INMA Project were interviewed between 2004 and 2008 and a urine sample was collected.\nRESULTS: Prevalence of self-reported smokers at the third trimester of pregnancy was 18.5%, and another 3.9% misreported their smoking status. Variables associated with self-reported smoking and misreporting were similar, including born in Europe, educational level and exposure to SHS. The optimal cut-off was 82 ng/ml (95% CI 42 to 133), sensitivity 95.2% and specificity 96.6%. The area under the ROC curve was 0.986 (95% CI 0.982 to 0.990). The cut-offs varied according to the SHS exposure level being 42 (95% CI 27 to 57), 82 (95% CI 46 to 136) and 106 ng/ml (95% CI 58 to 227) for not being SHS exposed, exposed to one, and to two or more sources of SHS, respectively. The optimal cut-off for discriminating occasional smokers from non-smokers was 27 ng/ml (95% CI 11 to 43).\nCONCLUSIONS: Prevalence of smoking during pregnancy in Spain remains high. UC is a reliable biomarker for classifying pregnant women according to their smoking status. However, cut-offs would differ based on baseline exposure to SHS.","container-title":"BMJ open","DOI":"10.1136/bmjopen-2012-002034","ISSN":"2044-6055","issue":"1","journalAbbreviation":"BMJ Open","language":"eng","note":"PMID: 23355667\nPMCID: PMC3563144","page":"e002034","source":"PubMed","title":"Determinants of self-reported smoking and misclassification during pregnancy, and analysis of optimal cut-off points for urinary cotinine: a cross-sectional study","title-short":"Determinants of self-reported smoking and misclassification during pregnancy, and analysis of optimal cut-off points for urinary cotinine","volume":"3","author":[{"family":"Aurrekoetxea","given":"Juan J."},{"family":"Murcia","given":"Mario"},{"family":"Rebagliato","given":"Marisa"},{"family":"López","given":"María José"},{"family":"Castilla","given":"Ane Miren"},{"family":"Santa-Marina","given":"Loreto"},{"family":"Guxens","given":"Mónica"},{"family":"Fernández-Somoano","given":"Ana"},{"family":"Espada","given":"Mercedes"},{"family":"Lertxundi","given":"Aitana"},{"family":"Tardón","given":"Adonina"},{"family":"Ballester","given":"Ferran"}],"issued":{"date-parts":[["2013",1,24]]}}}],"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56</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xml:space="preserve">. NIPH was blinded to the concentrations of samples. Cotinine urinary concentrations determined in both laboratories were highly correlated (Spearman r=0.95). </w:t>
      </w:r>
    </w:p>
    <w:p w14:paraId="33B8FFBD" w14:textId="5BB5BA09" w:rsidR="002A5B71" w:rsidRPr="008A5C48"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For maternal smoking, a categorical variable was created based on the urinary cotinine levels to distinguish non-smokers, second-hand-tobacco smokers, and smokers</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{"citationID":"1HsQO56C","properties":{"formattedCitation":"\\super 57\\nosupersub{}","plainCitation":"57","noteIndex":0},"citationItems":[{"id":166,"uris":["http://zotero.org/users/9798320/items/TNH884A4"],"itemData":{"id":166,"type":"article-journal","abstract":"Tobacco consumption and exposure to second-hand smoke (SHS) are associated with reduced birth weight. One issue that has not been clarified previously is that of the potential higher risk of this outcome in mothers with asthma. We assessed the role of prenatal maternal tobacco use and SHS on reproductive outcomes and assessed the interaction with maternal history of asthma. Data was collected from the INMA study, a maternal birth cohort selected from the general population established in Spain in 2002. We measured cotinine at the 32nd week of pregnancy in 2,219 females. Diagnosed maternal asthma was self-reported during pregnancy. 35% of mothers reported not being exposed to smoking or SHS during pregnancy. Active smoking (i.e. self-reported or cotinine &gt;50 ng·mL(-1)) was related to a 134 g decrease in birth weight and a relative risk of 1.8 for small for gestational age and fetal growth restriction. These results were not modified by maternal asthma. Maternal asthma had a similar frequency in all exposure groups. Non SHS-exposed females had the lowest prevalence of asthma. SHS (i.e. cotinine 20-50 ng·mL(-1)) decreased birth weight by 32 g among those without maternal asthma, but these differences were not statistically significant (95% CI -88.76-24.76). Maternal asthma did not promote these effects. Maternal history of asthma did not modify the effects of smoking on reproductive outcomes in a cohort sampled from the general population.","container-title":"The European Respiratory Journal","DOI":"10.1183/09031936.00091411","ISSN":"1399-3003","issue":"2","journalAbbreviation":"Eur Respir J","language":"eng","note":"PMID: 22323568","page":"371-376","source":"PubMed","title":"Exposure to second-hand smoke and reproductive outcomes depending on maternal asthma","volume":"40","author":[{"family":"Sunyer","given":"Jordi"},{"family":"Garcia-Esteban","given":"Raquel"},{"family":"Castilla","given":"Ane Miren"},{"family":"Aurrekoetxea","given":"Juan José"},{"family":"Iñiguez","given":"Carmen"},{"family":"Tardón","given":"Adonina"},{"family":"Espada","given":"Mercedes"},{"family":"Lertxundi","given":"Aitana"},{"family":"Chatzi","given":"Leda"},{"family":"Rebagliato","given":"Marisa"},{"family":"Kogevinas","given":"Manolis"},{"literal":"INMA project"}],"issued":{"date-parts":[["2012",8]]}}}],"schema":"https://github.com/citation-style-language/schema/raw/master/csl-citation.json"}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57</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color w:val="000000"/>
          <w:sz w:val="20"/>
          <w:szCs w:val="20"/>
        </w:rPr>
        <w:t>:</w:t>
      </w:r>
    </w:p>
    <w:p w14:paraId="5B37B2E0" w14:textId="77777777" w:rsidR="002A5B71" w:rsidRPr="008A5C48" w:rsidRDefault="002A5B71" w:rsidP="002A5B71">
      <w:pPr>
        <w:numPr>
          <w:ilvl w:val="0"/>
          <w:numId w:val="1"/>
        </w:num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Non-smokers: values &lt;LOD or cotinine levels &lt;18.5 µg/L</w:t>
      </w:r>
    </w:p>
    <w:p w14:paraId="02D62494" w14:textId="77777777" w:rsidR="002A5B71" w:rsidRPr="008A5C48" w:rsidRDefault="006434B3" w:rsidP="002A5B71">
      <w:pPr>
        <w:numPr>
          <w:ilvl w:val="0"/>
          <w:numId w:val="1"/>
        </w:num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sdt>
        <w:sdtPr>
          <w:rPr>
            <w:rFonts w:ascii="Times New Roman" w:hAnsi="Times New Roman" w:cs="Times New Roman"/>
            <w:sz w:val="20"/>
            <w:szCs w:val="20"/>
          </w:rPr>
          <w:tag w:val="goog_rdk_0"/>
          <w:id w:val="-339852999"/>
        </w:sdtPr>
        <w:sdtEndPr/>
        <w:sdtContent>
          <w:r w:rsidR="002A5B71" w:rsidRPr="008A5C48">
            <w:rPr>
              <w:rFonts w:ascii="Times New Roman" w:eastAsia="Gungsuh" w:hAnsi="Times New Roman" w:cs="Times New Roman"/>
              <w:color w:val="000000"/>
              <w:sz w:val="20"/>
              <w:szCs w:val="20"/>
            </w:rPr>
            <w:t>Second-hand-tobacco smokers: cotinine levels ≥18.5-50 µg/L</w:t>
          </w:r>
        </w:sdtContent>
      </w:sdt>
    </w:p>
    <w:p w14:paraId="6C45F623" w14:textId="77777777" w:rsidR="002A5B71" w:rsidRPr="008A5C48" w:rsidRDefault="002A5B71" w:rsidP="002A5B71">
      <w:pPr>
        <w:numPr>
          <w:ilvl w:val="0"/>
          <w:numId w:val="1"/>
        </w:num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Smokers: cotinine levels &gt;50 µg/L </w:t>
      </w:r>
    </w:p>
    <w:p w14:paraId="53009BA5" w14:textId="77777777" w:rsidR="002A5B71"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In the children, a categorical variable was created categorizing urinary cotinine levels as detected or not detected considering the limit of detection of 3.03μg/L.</w:t>
      </w:r>
    </w:p>
    <w:p w14:paraId="595FEE51" w14:textId="77777777" w:rsidR="002A5B71" w:rsidRPr="008A5C48" w:rsidRDefault="002A5B71" w:rsidP="002A5B71">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50469069" w14:textId="77777777" w:rsidR="002A5B71" w:rsidRPr="00C53C05" w:rsidRDefault="002A5B71" w:rsidP="002A5B7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C53C05">
        <w:rPr>
          <w:rFonts w:ascii="Times New Roman" w:eastAsia="Times New Roman" w:hAnsi="Times New Roman" w:cs="Times New Roman"/>
          <w:bCs/>
          <w:i/>
          <w:sz w:val="20"/>
          <w:szCs w:val="20"/>
        </w:rPr>
        <w:t>Adjustments for creatinine</w:t>
      </w:r>
    </w:p>
    <w:p w14:paraId="68607B0A" w14:textId="01F05B4B" w:rsidR="00DE4085" w:rsidRPr="00755B26" w:rsidRDefault="002A5B71" w:rsidP="00755B26">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Concentrations of creatinine in urine were performed on an AU680 Chemistry System form Beckman Coulter using DRI® Creatinine-Detect® Test at </w:t>
      </w:r>
      <w:proofErr w:type="spellStart"/>
      <w:r w:rsidRPr="008A5C48">
        <w:rPr>
          <w:rFonts w:ascii="Times New Roman" w:eastAsia="Times New Roman" w:hAnsi="Times New Roman" w:cs="Times New Roman"/>
          <w:color w:val="000000"/>
          <w:sz w:val="20"/>
          <w:szCs w:val="20"/>
        </w:rPr>
        <w:t>Fürst</w:t>
      </w:r>
      <w:proofErr w:type="spellEnd"/>
      <w:r w:rsidRPr="008A5C48">
        <w:rPr>
          <w:rFonts w:ascii="Times New Roman" w:eastAsia="Times New Roman" w:hAnsi="Times New Roman" w:cs="Times New Roman"/>
          <w:color w:val="000000"/>
          <w:sz w:val="20"/>
          <w:szCs w:val="20"/>
        </w:rPr>
        <w:t xml:space="preserve"> </w:t>
      </w:r>
      <w:proofErr w:type="spellStart"/>
      <w:r w:rsidRPr="008A5C48">
        <w:rPr>
          <w:rFonts w:ascii="Times New Roman" w:eastAsia="Times New Roman" w:hAnsi="Times New Roman" w:cs="Times New Roman"/>
          <w:color w:val="000000"/>
          <w:sz w:val="20"/>
          <w:szCs w:val="20"/>
        </w:rPr>
        <w:t>Medisinsk</w:t>
      </w:r>
      <w:proofErr w:type="spellEnd"/>
      <w:r w:rsidRPr="008A5C48">
        <w:rPr>
          <w:rFonts w:ascii="Times New Roman" w:eastAsia="Times New Roman" w:hAnsi="Times New Roman" w:cs="Times New Roman"/>
          <w:color w:val="000000"/>
          <w:sz w:val="20"/>
          <w:szCs w:val="20"/>
        </w:rPr>
        <w:t xml:space="preserve"> </w:t>
      </w:r>
      <w:proofErr w:type="spellStart"/>
      <w:r w:rsidRPr="008A5C48">
        <w:rPr>
          <w:rFonts w:ascii="Times New Roman" w:eastAsia="Times New Roman" w:hAnsi="Times New Roman" w:cs="Times New Roman"/>
          <w:color w:val="000000"/>
          <w:sz w:val="20"/>
          <w:szCs w:val="20"/>
        </w:rPr>
        <w:t>Laboratorium</w:t>
      </w:r>
      <w:proofErr w:type="spellEnd"/>
      <w:r w:rsidRPr="008A5C48">
        <w:rPr>
          <w:rFonts w:ascii="Times New Roman" w:eastAsia="Times New Roman" w:hAnsi="Times New Roman" w:cs="Times New Roman"/>
          <w:color w:val="000000"/>
          <w:sz w:val="20"/>
          <w:szCs w:val="20"/>
        </w:rPr>
        <w:t xml:space="preserve">, Norway with a LOD of 0,03mmol/L. Creatinine in maternal samples of INMA and EDEN were determined by using the </w:t>
      </w:r>
      <w:proofErr w:type="spellStart"/>
      <w:r w:rsidRPr="008A5C48">
        <w:rPr>
          <w:rFonts w:ascii="Times New Roman" w:eastAsia="Times New Roman" w:hAnsi="Times New Roman" w:cs="Times New Roman"/>
          <w:color w:val="000000"/>
          <w:sz w:val="20"/>
          <w:szCs w:val="20"/>
        </w:rPr>
        <w:t>Jaffé</w:t>
      </w:r>
      <w:proofErr w:type="spellEnd"/>
      <w:r w:rsidRPr="008A5C48">
        <w:rPr>
          <w:rFonts w:ascii="Times New Roman" w:eastAsia="Times New Roman" w:hAnsi="Times New Roman" w:cs="Times New Roman"/>
          <w:color w:val="000000"/>
          <w:sz w:val="20"/>
          <w:szCs w:val="20"/>
        </w:rPr>
        <w:t xml:space="preserve"> method - Beckman Coulter© AU5400 and an enzymatic reaction using a Roche Hitachi 912 chemistry </w:t>
      </w:r>
      <w:proofErr w:type="spellStart"/>
      <w:r w:rsidRPr="008A5C48">
        <w:rPr>
          <w:rFonts w:ascii="Times New Roman" w:eastAsia="Times New Roman" w:hAnsi="Times New Roman" w:cs="Times New Roman"/>
          <w:color w:val="000000"/>
          <w:sz w:val="20"/>
          <w:szCs w:val="20"/>
        </w:rPr>
        <w:t>analyzer</w:t>
      </w:r>
      <w:proofErr w:type="spellEnd"/>
      <w:r w:rsidRPr="008A5C48">
        <w:rPr>
          <w:rFonts w:ascii="Times New Roman" w:eastAsia="Times New Roman" w:hAnsi="Times New Roman" w:cs="Times New Roman"/>
          <w:color w:val="000000"/>
          <w:sz w:val="20"/>
          <w:szCs w:val="20"/>
        </w:rPr>
        <w:t xml:space="preserve"> (Roche Hitachi, Basel, Switzerland), respectively. Urinary concentrations of phthalate metabolites, phenols, OP pesticide metabolites, and cotinine were adjusted in respect to creatinine and expressed in </w:t>
      </w: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 xml:space="preserve">/g of creatinine. </w:t>
      </w:r>
    </w:p>
    <w:p w14:paraId="41753147" w14:textId="77777777" w:rsidR="00DE4085" w:rsidRPr="00E0249C" w:rsidRDefault="00DE4085" w:rsidP="00DE4085">
      <w:pPr>
        <w:pStyle w:val="Corpsdetexte"/>
        <w:rPr>
          <w:sz w:val="22"/>
          <w:szCs w:val="22"/>
        </w:rPr>
      </w:pPr>
    </w:p>
    <w:p w14:paraId="5568BB77" w14:textId="77777777" w:rsidR="00DE4085" w:rsidRDefault="00DE4085" w:rsidP="002A5B71">
      <w:pPr>
        <w:pBdr>
          <w:top w:val="nil"/>
          <w:left w:val="nil"/>
          <w:bottom w:val="nil"/>
          <w:right w:val="nil"/>
          <w:between w:val="nil"/>
        </w:pBdr>
        <w:tabs>
          <w:tab w:val="left" w:pos="5387"/>
        </w:tabs>
        <w:spacing w:after="0" w:line="240" w:lineRule="auto"/>
        <w:contextualSpacing/>
        <w:jc w:val="both"/>
        <w:rPr>
          <w:rFonts w:ascii="Times New Roman" w:eastAsia="Times New Roman" w:hAnsi="Times New Roman" w:cs="Times New Roman"/>
          <w:color w:val="000000"/>
          <w:sz w:val="20"/>
          <w:szCs w:val="20"/>
        </w:rPr>
      </w:pPr>
    </w:p>
    <w:p w14:paraId="20CF49EB" w14:textId="38CAE5F6" w:rsidR="00480DE0" w:rsidRPr="0095445C" w:rsidRDefault="00480DE0" w:rsidP="0095445C">
      <w:pPr>
        <w:pBdr>
          <w:top w:val="nil"/>
          <w:left w:val="nil"/>
          <w:bottom w:val="nil"/>
          <w:right w:val="nil"/>
          <w:between w:val="nil"/>
        </w:pBdr>
        <w:tabs>
          <w:tab w:val="left" w:pos="5387"/>
        </w:tabs>
        <w:spacing w:after="0" w:line="240" w:lineRule="auto"/>
        <w:contextualSpacing/>
        <w:jc w:val="both"/>
        <w:rPr>
          <w:rFonts w:ascii="Times New Roman" w:hAnsi="Times New Roman" w:cs="Times New Roman"/>
          <w:color w:val="000000"/>
          <w:sz w:val="20"/>
          <w:szCs w:val="20"/>
        </w:rPr>
      </w:pPr>
      <w:bookmarkStart w:id="32" w:name="_heading=h.147n2zr" w:colFirst="0" w:colLast="0"/>
      <w:bookmarkStart w:id="33" w:name="_heading=h.32hioqz" w:colFirst="0" w:colLast="0"/>
      <w:bookmarkEnd w:id="32"/>
      <w:bookmarkEnd w:id="33"/>
      <w:r>
        <w:rPr>
          <w:rFonts w:ascii="Times New Roman" w:eastAsia="Times New Roman" w:hAnsi="Times New Roman" w:cs="Times New Roman"/>
          <w:sz w:val="20"/>
          <w:szCs w:val="20"/>
        </w:rPr>
        <w:br w:type="page"/>
      </w:r>
    </w:p>
    <w:p w14:paraId="74E61F73" w14:textId="1DC542AE" w:rsidR="00480DE0" w:rsidRPr="001E4B45" w:rsidRDefault="00480DE0" w:rsidP="00480DE0">
      <w:pPr>
        <w:pStyle w:val="Titre1"/>
        <w:rPr>
          <w:b w:val="0"/>
          <w:bCs w:val="0"/>
        </w:rPr>
      </w:pPr>
      <w:bookmarkStart w:id="34" w:name="_Toc127358152"/>
      <w:bookmarkStart w:id="35" w:name="_Toc132271580"/>
      <w:bookmarkStart w:id="36" w:name="_Hlk127367023"/>
      <w:proofErr w:type="spellStart"/>
      <w:r w:rsidRPr="00C82488">
        <w:lastRenderedPageBreak/>
        <w:t>eMethods</w:t>
      </w:r>
      <w:proofErr w:type="spellEnd"/>
      <w:r w:rsidRPr="00C82488">
        <w:t xml:space="preserve"> </w:t>
      </w:r>
      <w:r w:rsidR="00755B26">
        <w:t>5</w:t>
      </w:r>
      <w:r w:rsidR="004120E3">
        <w:t xml:space="preserve">. </w:t>
      </w:r>
      <w:r w:rsidRPr="001E4B45">
        <w:rPr>
          <w:b w:val="0"/>
          <w:bCs w:val="0"/>
        </w:rPr>
        <w:t>Creation of the general health score</w:t>
      </w:r>
      <w:bookmarkEnd w:id="34"/>
      <w:bookmarkEnd w:id="35"/>
    </w:p>
    <w:bookmarkEnd w:id="36"/>
    <w:p w14:paraId="3B5187F9" w14:textId="25262832" w:rsidR="00480DE0" w:rsidRDefault="00480DE0" w:rsidP="00480DE0">
      <w:pPr>
        <w:spacing w:after="0" w:line="240" w:lineRule="auto"/>
        <w:contextualSpacing/>
        <w:jc w:val="both"/>
        <w:rPr>
          <w:rFonts w:ascii="Times New Roman" w:eastAsia="Times New Roman" w:hAnsi="Times New Roman" w:cs="Times New Roman"/>
          <w:sz w:val="20"/>
          <w:szCs w:val="20"/>
        </w:rPr>
      </w:pPr>
      <w:r>
        <w:br/>
      </w:r>
      <w:r w:rsidRPr="008A5C48">
        <w:rPr>
          <w:rFonts w:ascii="Times New Roman" w:eastAsia="Times New Roman" w:hAnsi="Times New Roman" w:cs="Times New Roman"/>
          <w:sz w:val="20"/>
          <w:szCs w:val="20"/>
        </w:rPr>
        <w:t xml:space="preserve">For each health domain (cardiometabolic, respiratory/allergy and mental), a sub-score was created. Following the approach of </w:t>
      </w:r>
      <w:r w:rsidRPr="008A5C48">
        <w:rPr>
          <w:rFonts w:ascii="Times New Roman" w:eastAsia="Times New Roman" w:hAnsi="Times New Roman" w:cs="Times New Roman"/>
          <w:sz w:val="20"/>
          <w:szCs w:val="20"/>
        </w:rPr>
        <w:fldChar w:fldCharType="begin"/>
      </w:r>
      <w:r w:rsidRPr="008A5C48">
        <w:rPr>
          <w:rFonts w:ascii="Times New Roman" w:eastAsia="Times New Roman" w:hAnsi="Times New Roman" w:cs="Times New Roman"/>
          <w:sz w:val="20"/>
          <w:szCs w:val="20"/>
        </w:rPr>
        <w:instrText xml:space="preserve"> ADDIN ZOTERO_ITEM CSL_CITATION {"citationID":"wqg043Qv","properties":{"formattedCitation":"(Eisenmann 2008)","plainCitation":"(Eisenmann 2008)","dontUpdate":true,"noteIndex":0},"citationItems":[{"id":86,"uris":["http://zotero.org/users/9798320/items/377N62TP"],"itemData":{"id":86,"type":"article-journal","container-title":"Cardiovascular Diabetology","DOI":"10.1186/1475-2840-7-17","ISSN":"1475-2840","issue":"1","journalAbbreviation":"Cardiovasc Diabetol","language":"en","page":"17","source":"DOI.org (Crossref)","title":"On the use of a continuous metabolic syndrome score in pediatric research","volume":"7","author":[{"family":"Eisenmann","given":"Joey C"}],"issued":{"date-parts":[["2008"]]}}}],"schema":"https://github.com/citation-style-language/schema/raw/master/csl-citation.json"} </w:instrText>
      </w:r>
      <w:r w:rsidRPr="008A5C48">
        <w:rPr>
          <w:rFonts w:ascii="Times New Roman" w:eastAsia="Times New Roman" w:hAnsi="Times New Roman" w:cs="Times New Roman"/>
          <w:sz w:val="20"/>
          <w:szCs w:val="20"/>
        </w:rPr>
        <w:fldChar w:fldCharType="separate"/>
      </w:r>
      <w:r w:rsidRPr="008A5C48">
        <w:rPr>
          <w:rFonts w:ascii="Times New Roman" w:hAnsi="Times New Roman" w:cs="Times New Roman"/>
          <w:sz w:val="20"/>
          <w:szCs w:val="20"/>
        </w:rPr>
        <w:t>Eisenmann (2008</w:t>
      </w:r>
      <w:r w:rsidRPr="008A5C48">
        <w:rPr>
          <w:rFonts w:ascii="Times New Roman" w:eastAsia="Times New Roman" w:hAnsi="Times New Roman" w:cs="Times New Roman"/>
          <w:sz w:val="20"/>
          <w:szCs w:val="20"/>
        </w:rPr>
        <w:fldChar w:fldCharType="end"/>
      </w:r>
      <w:r w:rsidRPr="008A5C48">
        <w:rPr>
          <w:rFonts w:ascii="Times New Roman" w:eastAsia="Times New Roman" w:hAnsi="Times New Roman" w:cs="Times New Roman"/>
          <w:sz w:val="20"/>
          <w:szCs w:val="20"/>
        </w:rPr>
        <w:t xml:space="preserve">), </w:t>
      </w:r>
      <w:proofErr w:type="spellStart"/>
      <w:r w:rsidRPr="008A5C48">
        <w:rPr>
          <w:rFonts w:ascii="Times New Roman" w:eastAsia="Times New Roman" w:hAnsi="Times New Roman" w:cs="Times New Roman"/>
          <w:sz w:val="20"/>
          <w:szCs w:val="20"/>
        </w:rPr>
        <w:t>subscores</w:t>
      </w:r>
      <w:proofErr w:type="spellEnd"/>
      <w:r w:rsidRPr="008A5C48">
        <w:rPr>
          <w:rFonts w:ascii="Times New Roman" w:eastAsia="Times New Roman" w:hAnsi="Times New Roman" w:cs="Times New Roman"/>
          <w:sz w:val="20"/>
          <w:szCs w:val="20"/>
        </w:rPr>
        <w:t xml:space="preserve"> were defined as the sum of z-scores or multiple factor analysis (applying equal weighting to predefined groups of variables). All of the three sub-scores were built such that a high score means the child is in good health on this specific domain.</w:t>
      </w:r>
    </w:p>
    <w:p w14:paraId="43E0C674" w14:textId="212A2423" w:rsidR="001E32CE" w:rsidRDefault="001E32CE" w:rsidP="00480DE0">
      <w:pPr>
        <w:spacing w:after="0" w:line="240" w:lineRule="auto"/>
        <w:contextualSpacing/>
        <w:jc w:val="both"/>
        <w:rPr>
          <w:rFonts w:ascii="Times New Roman" w:eastAsia="Times New Roman" w:hAnsi="Times New Roman" w:cs="Times New Roman"/>
          <w:sz w:val="20"/>
          <w:szCs w:val="20"/>
        </w:rPr>
      </w:pPr>
    </w:p>
    <w:p w14:paraId="20BE8E7B" w14:textId="56343E72" w:rsidR="001E32CE" w:rsidRPr="00741368" w:rsidRDefault="001E32CE" w:rsidP="001E32CE">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Pr>
          <w:rFonts w:ascii="Times New Roman" w:eastAsia="Times New Roman" w:hAnsi="Times New Roman" w:cs="Times New Roman"/>
          <w:bCs/>
          <w:i/>
          <w:sz w:val="20"/>
          <w:szCs w:val="20"/>
        </w:rPr>
        <w:t>Creation of z-scores</w:t>
      </w:r>
    </w:p>
    <w:p w14:paraId="68B91DF1" w14:textId="6DF18C87" w:rsidR="001E32CE" w:rsidRDefault="001E32CE" w:rsidP="00480DE0">
      <w:pPr>
        <w:spacing w:after="0"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Continuous health parameters were transformed in z-scores, using Generalize Additive Model for Location, Scale and Shape (GAMLSS) </w:t>
      </w:r>
      <w:r w:rsidRPr="008A5C48">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{"citationID":"qmV5xCZX","properties":{"formattedCitation":"\\super 59\\nosupersub{}","plainCitation":"59","noteIndex":0},"citationItems":[{"id":35,"uris":["http://zotero.org/users/9798320/items/NITEHZ94"],"itemData":{"id":35,"type":"manuscript","language":"en","source":"Zotero","title":"Distributions for Modelling Location, Scale and Shape: Using GAMLSS in R","author":[{"family":"Rigby","given":"Robert"},{"family":"Stasinopoulos","given":"Mikis"},{"family":"Heller","given":"Gillian"},{"family":"Bastiani","given":"Fernanda De"}],"issued":{"date-parts":[["2017",11,14]]}}}],"schema":"https://github.com/citation-style-language/schema/raw/master/csl-citation.json"} </w:instrText>
      </w:r>
      <w:r w:rsidRPr="008A5C48">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59</w:t>
      </w:r>
      <w:r w:rsidRPr="008A5C48">
        <w:rPr>
          <w:rFonts w:ascii="Times New Roman" w:eastAsia="Times New Roman" w:hAnsi="Times New Roman" w:cs="Times New Roman"/>
          <w:sz w:val="20"/>
          <w:szCs w:val="20"/>
        </w:rPr>
        <w:fldChar w:fldCharType="end"/>
      </w:r>
      <w:r w:rsidRPr="008A5C48">
        <w:rPr>
          <w:rFonts w:ascii="Times New Roman" w:eastAsia="Times New Roman" w:hAnsi="Times New Roman" w:cs="Times New Roman"/>
          <w:sz w:val="20"/>
          <w:szCs w:val="20"/>
        </w:rPr>
        <w:t xml:space="preserve"> to standardize on covariates and approach normality. The standardisation was done on age and stratified by sex for all parameters except for the FEV</w:t>
      </w:r>
      <w:r w:rsidRPr="008A5C48">
        <w:rPr>
          <w:rFonts w:ascii="Times New Roman" w:eastAsia="Times New Roman" w:hAnsi="Times New Roman" w:cs="Times New Roman"/>
          <w:sz w:val="20"/>
          <w:szCs w:val="20"/>
          <w:vertAlign w:val="subscript"/>
        </w:rPr>
        <w:t>1</w:t>
      </w:r>
      <w:r w:rsidRPr="008A5C48">
        <w:rPr>
          <w:rFonts w:ascii="Times New Roman" w:eastAsia="Times New Roman" w:hAnsi="Times New Roman" w:cs="Times New Roman"/>
          <w:sz w:val="20"/>
          <w:szCs w:val="20"/>
        </w:rPr>
        <w:t xml:space="preserve"> % pred given that it already considers them by construct. For BPs, a standardization for height was added </w:t>
      </w:r>
      <w:r w:rsidRPr="008A5C48">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{"citationID":"X3bTq3OP","properties":{"formattedCitation":"\\super 60\\nosupersub{}","plainCitation":"60","noteIndex":0},"citationItems":[{"id":84,"uris":["http://zotero.org/users/9798320/items/JCQSNTXB"],"itemData":{"id":84,"type":"article-journal","abstract":"OBJECTIVES: To provide oscillometric blood pressure (BP) reference values in European non-overweight school children.\nDESIGN: Cross-sectional analysis from the IDEFICS study (www.ideficsstudy.eu) database.\nMETHODS: Standardised BP and anthropometric measures were obtained from children aged 2 to 10.9 years, participating in the 2007-2008 and 2009-2010 IDEFICS surveys. Age- and height-specific systolic and diastolic pressure percentiles were calculated by GAMLSS, separately for boys and girls, in both the entire population (n=16,937) and the non-overweight children only (n=13,547). The robustness of the models was tested by sensitivity analyses carried out in both population samples.\nRESULTS: Percentiles of BP distribution in non-overweight children were provided by age and height strata, separately for boys and girls. Diastolic BP norms were slightly higher in girls than in boys for similar age and height, while systolic BP values tended to be higher in boys starting from age 5 years. Sensitivity analysis, comparing BP distributions obtained in all children with those of non-overweight children, showed that the inclusion of overweight/obese individuals shifted the references values upward, in particular systolic BP in girls at the extreme percentiles.\nCONCLUSIONS: The present analysis provides updated and timely information about reference values for BP in children aged 2 to &lt;11 years that may be useful for monitoring and planning population strategies for disease prevention.","container-title":"International Journal of Obesity (2005)","DOI":"10.1038/ijo.2014.135","ISSN":"1476-5497","journalAbbreviation":"Int J Obes (Lond)","language":"eng","note":"PMID: 25219411","page":"S48-56","source":"PubMed","title":"Blood pressure reference values for European non-overweight school children: the IDEFICS study","title-short":"Blood pressure reference values for European non-overweight school children","volume":"38 Suppl 2","author":[{"family":"Barba","given":"G."},{"family":"Buck","given":"C."},{"family":"Bammann","given":"K."},{"family":"Hadjigeorgiou","given":"C."},{"family":"Hebestreit","given":"A."},{"family":"Mårild","given":"S."},{"family":"Molnár","given":"D."},{"family":"Russo","given":"P."},{"family":"Veidebaum","given":"T."},{"family":"Vyncke","given":"K."},{"family":"Ahrens","given":"W."},{"family":"Moreno","given":"L. A."},{"literal":"IDEFICS consortium"}],"issued":{"date-parts":[["2014",9]]}}}],"schema":"https://github.com/citation-style-language/schema/raw/master/csl-citation.json"} </w:instrText>
      </w:r>
      <w:r w:rsidRPr="008A5C48">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60</w:t>
      </w:r>
      <w:r w:rsidRPr="008A5C48">
        <w:rPr>
          <w:rFonts w:ascii="Times New Roman" w:eastAsia="Times New Roman" w:hAnsi="Times New Roman" w:cs="Times New Roman"/>
          <w:sz w:val="20"/>
          <w:szCs w:val="20"/>
        </w:rPr>
        <w:fldChar w:fldCharType="end"/>
      </w:r>
      <w:r>
        <w:rPr>
          <w:rFonts w:ascii="Times New Roman" w:eastAsia="Times New Roman" w:hAnsi="Times New Roman" w:cs="Times New Roman"/>
          <w:sz w:val="20"/>
          <w:szCs w:val="20"/>
        </w:rPr>
        <w:t xml:space="preserve"> (see </w:t>
      </w:r>
      <w:proofErr w:type="spellStart"/>
      <w:r>
        <w:rPr>
          <w:rFonts w:ascii="Times New Roman" w:eastAsia="Times New Roman" w:hAnsi="Times New Roman" w:cs="Times New Roman"/>
          <w:sz w:val="20"/>
          <w:szCs w:val="20"/>
        </w:rPr>
        <w:t>eTable</w:t>
      </w:r>
      <w:proofErr w:type="spellEnd"/>
      <w:r>
        <w:rPr>
          <w:rFonts w:ascii="Times New Roman" w:eastAsia="Times New Roman" w:hAnsi="Times New Roman" w:cs="Times New Roman"/>
          <w:sz w:val="20"/>
          <w:szCs w:val="20"/>
        </w:rPr>
        <w:t xml:space="preserve"> </w:t>
      </w:r>
      <w:r w:rsidR="003A373D">
        <w:rPr>
          <w:rFonts w:ascii="Times New Roman" w:eastAsia="Times New Roman" w:hAnsi="Times New Roman" w:cs="Times New Roman"/>
          <w:sz w:val="20"/>
          <w:szCs w:val="20"/>
        </w:rPr>
        <w:t>5</w:t>
      </w:r>
      <w:r>
        <w:rPr>
          <w:rFonts w:ascii="Times New Roman" w:eastAsia="Times New Roman" w:hAnsi="Times New Roman" w:cs="Times New Roman"/>
          <w:sz w:val="20"/>
          <w:szCs w:val="20"/>
        </w:rPr>
        <w:t xml:space="preserve"> and </w:t>
      </w:r>
      <w:r w:rsidR="003A373D">
        <w:rPr>
          <w:rFonts w:ascii="Times New Roman" w:eastAsia="Times New Roman" w:hAnsi="Times New Roman" w:cs="Times New Roman"/>
          <w:sz w:val="20"/>
          <w:szCs w:val="20"/>
        </w:rPr>
        <w:t>6</w:t>
      </w:r>
      <w:r>
        <w:rPr>
          <w:rFonts w:ascii="Times New Roman" w:eastAsia="Times New Roman" w:hAnsi="Times New Roman" w:cs="Times New Roman"/>
          <w:sz w:val="20"/>
          <w:szCs w:val="20"/>
        </w:rPr>
        <w:t>)</w:t>
      </w:r>
      <w:r w:rsidRPr="008A5C48">
        <w:rPr>
          <w:rFonts w:ascii="Times New Roman" w:eastAsia="Times New Roman" w:hAnsi="Times New Roman" w:cs="Times New Roman"/>
          <w:sz w:val="20"/>
          <w:szCs w:val="20"/>
        </w:rPr>
        <w:t xml:space="preserve">. </w:t>
      </w:r>
    </w:p>
    <w:p w14:paraId="41DA2569" w14:textId="77777777" w:rsidR="00480DE0" w:rsidRPr="008A5C48" w:rsidRDefault="00480DE0" w:rsidP="00480DE0">
      <w:pPr>
        <w:spacing w:after="0" w:line="240" w:lineRule="auto"/>
        <w:contextualSpacing/>
        <w:jc w:val="both"/>
        <w:rPr>
          <w:rFonts w:ascii="Times New Roman" w:eastAsia="Times New Roman" w:hAnsi="Times New Roman" w:cs="Times New Roman"/>
          <w:sz w:val="20"/>
          <w:szCs w:val="20"/>
        </w:rPr>
      </w:pPr>
    </w:p>
    <w:p w14:paraId="68DA11B2" w14:textId="77777777" w:rsidR="00480DE0" w:rsidRPr="002D561D" w:rsidRDefault="00480DE0" w:rsidP="00480DE0">
      <w:pPr>
        <w:spacing w:after="0" w:line="240" w:lineRule="auto"/>
        <w:contextualSpacing/>
        <w:jc w:val="both"/>
        <w:rPr>
          <w:rFonts w:ascii="Times New Roman" w:eastAsia="Times New Roman" w:hAnsi="Times New Roman" w:cs="Times New Roman"/>
          <w:i/>
          <w:iCs/>
          <w:sz w:val="20"/>
          <w:szCs w:val="20"/>
        </w:rPr>
      </w:pPr>
      <w:r w:rsidRPr="002D561D">
        <w:rPr>
          <w:rFonts w:ascii="Times New Roman" w:eastAsia="Times New Roman" w:hAnsi="Times New Roman" w:cs="Times New Roman"/>
          <w:i/>
          <w:iCs/>
          <w:sz w:val="20"/>
          <w:szCs w:val="20"/>
        </w:rPr>
        <w:t xml:space="preserve">Cardiometabolic </w:t>
      </w:r>
      <w:proofErr w:type="spellStart"/>
      <w:r w:rsidRPr="002D561D">
        <w:rPr>
          <w:rFonts w:ascii="Times New Roman" w:eastAsia="Times New Roman" w:hAnsi="Times New Roman" w:cs="Times New Roman"/>
          <w:i/>
          <w:iCs/>
          <w:sz w:val="20"/>
          <w:szCs w:val="20"/>
        </w:rPr>
        <w:t>subscore</w:t>
      </w:r>
      <w:proofErr w:type="spellEnd"/>
    </w:p>
    <w:p w14:paraId="10E5D0BA" w14:textId="03A102C7" w:rsidR="00480DE0" w:rsidRDefault="00480DE0" w:rsidP="00480DE0">
      <w:pPr>
        <w:spacing w:after="0" w:line="240" w:lineRule="auto"/>
        <w:contextualSpacing/>
        <w:jc w:val="both"/>
        <w:rPr>
          <w:rFonts w:ascii="Times New Roman" w:eastAsia="Times New Roman" w:hAnsi="Times New Roman" w:cs="Times New Roman"/>
          <w:sz w:val="20"/>
          <w:szCs w:val="20"/>
          <w:lang w:val="en-US"/>
        </w:rPr>
      </w:pPr>
      <w:r w:rsidRPr="008A5C48">
        <w:rPr>
          <w:rFonts w:ascii="Times New Roman" w:eastAsia="Times New Roman" w:hAnsi="Times New Roman" w:cs="Times New Roman"/>
          <w:sz w:val="20"/>
          <w:szCs w:val="20"/>
        </w:rPr>
        <w:t xml:space="preserve">As used previously in the Helix population, the cardiometabolic sub-score was defined as </w:t>
      </w:r>
      <w:r w:rsidRPr="008A5C48">
        <w:rPr>
          <w:rFonts w:ascii="Times New Roman" w:eastAsia="Times New Roman" w:hAnsi="Times New Roman" w:cs="Times New Roman"/>
          <w:sz w:val="20"/>
          <w:szCs w:val="20"/>
          <w:lang w:val="en-US"/>
        </w:rPr>
        <w:t xml:space="preserve">(-z waist circumference) + (- z insulin) + (z HDL cholesterol – z triglycerides)/2 + (-z systolic BP – z diastolic BP)/2 </w:t>
      </w:r>
      <w:r w:rsidRPr="008A5C48">
        <w:rPr>
          <w:rFonts w:ascii="Times New Roman" w:eastAsia="Times New Roman" w:hAnsi="Times New Roman" w:cs="Times New Roman"/>
          <w:sz w:val="20"/>
          <w:szCs w:val="20"/>
          <w:lang w:val="en-US"/>
        </w:rPr>
        <w:fldChar w:fldCharType="begin"/>
      </w:r>
      <w:r w:rsidR="00A52898">
        <w:rPr>
          <w:rFonts w:ascii="Times New Roman" w:eastAsia="Times New Roman" w:hAnsi="Times New Roman" w:cs="Times New Roman"/>
          <w:sz w:val="20"/>
          <w:szCs w:val="20"/>
          <w:lang w:val="en-US"/>
        </w:rPr>
        <w:instrText xml:space="preserve"> ADDIN ZOTERO_ITEM CSL_CITATION {"citationID":"N2a3zwYl","properties":{"formattedCitation":"\\super 61,62\\nosupersub{}","plainCitation":"61,62","noteIndex":0},"citationItems":[{"id":85,"uris":["http://zotero.org/users/9798320/items/DZUD5GX3"],"itemData":{"id":85,"type":"article-journal","abstract":"OBJECTIVE: To estimate the prevalence of the metabolic syndrome (MetS) using reference standards obtained in European children and to develop a quantitative MetS score and describe its distribution in children.\nDESIGN AND METHODS: Population-based survey in eight European countries, including 18745 children 2.0 to 10.9 years, recruited during a second survey. Anthropometry (weight, height and waist circumference), blood pressure and serum-fasting triglycerides, HDL cholesterol, glucose and insulin were measured. We applied three widely accepted definitions of the pediatric MetS and we suggest a new definition, to guide pediatricians in decisions about close monitoring or even intervention (values of at least three of the MetS components exceeding the 90th or 95th percentile, respectively). We used a z-score standardisation to calculate a continuous score combining the MetS components.\nRESULTS: Among the various definitions of MetS, the highest prevalence (5.5%) was obtained with our new definition requiring close observation (monitoring level). Our more conservative definition, requiring pediatric intervention gives a prevalence of 1.8%. In general, prevalences were higher in girls than in boys. The prevalence of metabolic syndrome is highest among obese children. All definitions classify a small percentage of thin or normal weight children as being affected. The metabolic syndrome score shows a positive trend with age, particularly regarding the upper percentiles of the score.\nCONCLUSIONS: According to different definitions of pediatric MetS, a non-negligible proportion of mostly prepubertal children are classified as affected. We propose a new definition of MetS that should improve clinical guidance. The continuous score developed may also serve as a useful tool in pediatric obesity research. It has to be noted, however, that the proposed cutoffs are based on a statistical definition that does not yet allow to quantify the risk of subsequent disease.","container-title":"International Journal of Obesity (2005)","DOI":"10.1038/ijo.2014.130","ISSN":"1476-5497","journalAbbreviation":"Int J Obes (Lond)","language":"eng","note":"PMID: 25376220","page":"S4-14","source":"PubMed","title":"Metabolic syndrome in young children: definitions and results of the IDEFICS study","title-short":"Metabolic syndrome in young children","volume":"38 Suppl 2","author":[{"family":"Ahrens","given":"W."},{"family":"Moreno","given":"L. A."},{"family":"Mårild","given":"S."},{"family":"Molnár","given":"D."},{"family":"Siani","given":"A."},{"family":"De Henauw","given":"S."},{"family":"Böhmann","given":"J."},{"family":"Günther","given":"K."},{"family":"Hadjigeorgiou","given":"C."},{"family":"Iacoviello","given":"L."},{"family":"Lissner","given":"L."},{"family":"Veidebaum","given":"T."},{"family":"Pohlabeln","given":"H."},{"family":"Pigeot","given":"I."},{"literal":"IDEFICS consortium"}],"issued":{"date-parts":[["2014",9]]}}},{"id":101,"uris":["http://zotero.org/users/9798320/items/HQZ3FJRT"],"itemData":{"id":101,"type":"article-journal","abstract":"BACKGROUND AND AIMS: Per- and polyfluoroalkyl substances (PFAS) are widespread and persistent pollutants that have been shown to have hepatotoxic effects in animal models. However, human evidence is scarce. We evaluated how prenatal exposure to PFAS associates with established serum biomarkers of liver injury and alterations in serum metabolome in children.\nAPPROACH AND RESULTS: We used data from 1,105 mothers and their children (median age, 8.2 years; interquartile range, 6.6-9.1) from the European Human Early-Life Exposome cohort (consisting of six existing population-based birth cohorts in France, Greece, Lithuania, Norway, Spain, and the United Kingdom). We measured concentrations of perfluorooctane sulfonate, perfluorooctanoate, perfluorononanoate, perfluorohexane sulfonate, and perfluoroundecanoate in maternal blood. We assessed concentrations of alanine aminotransferase, aspartate aminotransferase, and gamma-glutamyltransferase in child serum. Using Bayesian kernel machine regression, we found that higher exposure to PFAS during pregnancy was associated with higher liver enzyme levels in children. We also measured child serum metabolomics through a targeted assay and found significant perturbations in amino acid and glycerophospholipid metabolism associated with prenatal PFAS. A latent variable analysis identified a profile of children at high risk of liver injury (odds ratio, 1.56; 95% confidence interval, 1.21-1.92) that was characterized by high prenatal exposure to PFAS and increased serum levels of branched-chain amino acids (valine, leucine, and isoleucine), aromatic amino acids (tryptophan and phenylalanine), and glycerophospholipids (phosphatidylcholine [PC] aa C36:1 and Lyso-PC a C18:1).\nCONCLUSIONS: Developmental exposure to PFAS can contribute to pediatric liver injury.","container-title":"Hepatology (Baltimore, Md.)","DOI":"10.1002/hep.31483","ISSN":"1527-3350","issue":"5","journalAbbreviation":"Hepatology","language":"eng","note":"PMID: 32738061\nPMCID: PMC7723317","page":"1758-1770","source":"PubMed","title":"Prenatal Exposure to Perfluoroalkyl Substances Associated With Increased Susceptibility to Liver Injury in Children","volume":"72","author":[{"family":"Stratakis","given":"Nikos"},{"family":"V Conti","given":"David"},{"family":"Jin","given":"Ran"},{"family":"Margetaki","given":"Katerina"},{"family":"Valvi","given":"Damaskini"},{"family":"Siskos","given":"Alexandros P."},{"family":"Maitre","given":"Léa"},{"family":"Garcia","given":"Erika"},{"family":"Varo","given":"Nerea"},{"family":"Zhao","given":"Yinqi"},{"family":"Roumeliotaki","given":"Theano"},{"family":"Vafeiadi","given":"Marina"},{"family":"Urquiza","given":"Jose"},{"family":"Fernández-Barrés","given":"Silvia"},{"family":"Heude","given":"Barbara"},{"family":"Basagana","given":"Xavier"},{"family":"Casas","given":"Maribel"},{"family":"Fossati","given":"Serena"},{"family":"Gražulevičienė","given":"Regina"},{"family":"Andrušaitytė","given":"Sandra"},{"family":"Uppal","given":"Karan"},{"family":"McEachan","given":"Rosemary R. C."},{"family":"Papadopoulou","given":"Eleni"},{"family":"Robinson","given":"Oliver"},{"family":"Haug","given":"Line Småstuen"},{"family":"Wright","given":"John"},{"family":"Vos","given":"Miriam B."},{"family":"Keun","given":"Hector C."},{"family":"Vrijheid","given":"Martine"},{"family":"Berhane","given":"Kiros T."},{"family":"McConnell","given":"Rob"},{"family":"Chatzi","given":"Lida"}],"issued":{"date-parts":[["2020",11]]}}}],"schema":"https://github.com/citation-style-language/schema/raw/master/csl-citation.json"} </w:instrText>
      </w:r>
      <w:r w:rsidRPr="008A5C48">
        <w:rPr>
          <w:rFonts w:ascii="Times New Roman" w:eastAsia="Times New Roman" w:hAnsi="Times New Roman" w:cs="Times New Roman"/>
          <w:sz w:val="20"/>
          <w:szCs w:val="20"/>
          <w:lang w:val="en-US"/>
        </w:rPr>
        <w:fldChar w:fldCharType="separate"/>
      </w:r>
      <w:r w:rsidR="00A52898" w:rsidRPr="00A52898">
        <w:rPr>
          <w:rFonts w:ascii="Times New Roman" w:hAnsi="Times New Roman" w:cs="Times New Roman"/>
          <w:sz w:val="20"/>
          <w:szCs w:val="24"/>
          <w:vertAlign w:val="superscript"/>
        </w:rPr>
        <w:t>61,62</w:t>
      </w:r>
      <w:r w:rsidRPr="008A5C48">
        <w:rPr>
          <w:rFonts w:ascii="Times New Roman" w:eastAsia="Times New Roman" w:hAnsi="Times New Roman" w:cs="Times New Roman"/>
          <w:sz w:val="20"/>
          <w:szCs w:val="20"/>
          <w:lang w:val="en-US"/>
        </w:rPr>
        <w:fldChar w:fldCharType="end"/>
      </w:r>
      <w:r w:rsidRPr="008A5C48">
        <w:rPr>
          <w:rFonts w:ascii="Times New Roman" w:eastAsia="Times New Roman" w:hAnsi="Times New Roman" w:cs="Times New Roman"/>
          <w:sz w:val="20"/>
          <w:szCs w:val="20"/>
          <w:lang w:val="en-US"/>
        </w:rPr>
        <w:t>.</w:t>
      </w:r>
    </w:p>
    <w:p w14:paraId="5B853B19" w14:textId="77777777" w:rsidR="00480DE0" w:rsidRPr="008A5C48" w:rsidRDefault="00480DE0" w:rsidP="00480DE0">
      <w:pPr>
        <w:spacing w:after="0" w:line="240" w:lineRule="auto"/>
        <w:contextualSpacing/>
        <w:jc w:val="both"/>
        <w:rPr>
          <w:rFonts w:ascii="Times New Roman" w:eastAsia="Times New Roman" w:hAnsi="Times New Roman" w:cs="Times New Roman"/>
          <w:sz w:val="20"/>
          <w:szCs w:val="20"/>
          <w:lang w:val="en-US"/>
        </w:rPr>
      </w:pPr>
    </w:p>
    <w:p w14:paraId="21390B85" w14:textId="77777777" w:rsidR="00480DE0" w:rsidRPr="002D561D" w:rsidRDefault="00480DE0" w:rsidP="00480DE0">
      <w:pPr>
        <w:spacing w:after="0" w:line="240" w:lineRule="auto"/>
        <w:contextualSpacing/>
        <w:jc w:val="both"/>
        <w:rPr>
          <w:rFonts w:ascii="Times New Roman" w:eastAsia="Times New Roman" w:hAnsi="Times New Roman" w:cs="Times New Roman"/>
          <w:i/>
          <w:iCs/>
          <w:sz w:val="20"/>
          <w:szCs w:val="20"/>
          <w:lang w:val="en-US"/>
        </w:rPr>
      </w:pPr>
      <w:r w:rsidRPr="002D561D">
        <w:rPr>
          <w:rFonts w:ascii="Times New Roman" w:eastAsia="Times New Roman" w:hAnsi="Times New Roman" w:cs="Times New Roman"/>
          <w:i/>
          <w:iCs/>
          <w:sz w:val="20"/>
          <w:szCs w:val="20"/>
          <w:lang w:val="en-US"/>
        </w:rPr>
        <w:t xml:space="preserve">Respiratory/allergy </w:t>
      </w:r>
      <w:proofErr w:type="spellStart"/>
      <w:r w:rsidRPr="002D561D">
        <w:rPr>
          <w:rFonts w:ascii="Times New Roman" w:eastAsia="Times New Roman" w:hAnsi="Times New Roman" w:cs="Times New Roman"/>
          <w:i/>
          <w:iCs/>
          <w:sz w:val="20"/>
          <w:szCs w:val="20"/>
          <w:lang w:val="en-US"/>
        </w:rPr>
        <w:t>subscore</w:t>
      </w:r>
      <w:proofErr w:type="spellEnd"/>
    </w:p>
    <w:p w14:paraId="247BB433" w14:textId="21322A05" w:rsidR="00480DE0" w:rsidRDefault="00480DE0" w:rsidP="00480DE0">
      <w:pPr>
        <w:spacing w:after="0"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The respiratory/allergy sub-score was defined as the first principal component of the multiple factorial analysis. This approach was used because, unlike the sum of z-scores, it can be used with mixed-type variables. This factorial analysis considered a first group of variables with asthma, allergies, eczema and rhinitis and another group with FEV</w:t>
      </w:r>
      <w:r w:rsidRPr="008A5C48">
        <w:rPr>
          <w:rFonts w:ascii="Times New Roman" w:eastAsia="Times New Roman" w:hAnsi="Times New Roman" w:cs="Times New Roman"/>
          <w:sz w:val="20"/>
          <w:szCs w:val="20"/>
          <w:vertAlign w:val="subscript"/>
        </w:rPr>
        <w:t>1</w:t>
      </w:r>
      <w:r w:rsidRPr="008A5C48">
        <w:rPr>
          <w:rFonts w:ascii="Times New Roman" w:eastAsia="Times New Roman" w:hAnsi="Times New Roman" w:cs="Times New Roman"/>
          <w:sz w:val="20"/>
          <w:szCs w:val="20"/>
        </w:rPr>
        <w:t xml:space="preserve">% pred. The coordinates and contribution of each variable on the first component is available in </w:t>
      </w:r>
      <w:proofErr w:type="spellStart"/>
      <w:r w:rsidR="00352B1D">
        <w:rPr>
          <w:rFonts w:ascii="Times New Roman" w:eastAsia="Times New Roman" w:hAnsi="Times New Roman" w:cs="Times New Roman"/>
          <w:sz w:val="20"/>
          <w:szCs w:val="20"/>
        </w:rPr>
        <w:t>eT</w:t>
      </w:r>
      <w:r w:rsidRPr="008A5C48">
        <w:rPr>
          <w:rFonts w:ascii="Times New Roman" w:eastAsia="Times New Roman" w:hAnsi="Times New Roman" w:cs="Times New Roman"/>
          <w:sz w:val="20"/>
          <w:szCs w:val="20"/>
        </w:rPr>
        <w:t>able</w:t>
      </w:r>
      <w:proofErr w:type="spellEnd"/>
      <w:r w:rsidR="00352B1D">
        <w:rPr>
          <w:rFonts w:ascii="Times New Roman" w:eastAsia="Times New Roman" w:hAnsi="Times New Roman" w:cs="Times New Roman"/>
          <w:sz w:val="20"/>
          <w:szCs w:val="20"/>
        </w:rPr>
        <w:t xml:space="preserve"> </w:t>
      </w:r>
      <w:r w:rsidR="005B06FE">
        <w:rPr>
          <w:rFonts w:ascii="Times New Roman" w:eastAsia="Times New Roman" w:hAnsi="Times New Roman" w:cs="Times New Roman"/>
          <w:sz w:val="20"/>
          <w:szCs w:val="20"/>
        </w:rPr>
        <w:t>7</w:t>
      </w:r>
      <w:r w:rsidR="00352B1D">
        <w:rPr>
          <w:rFonts w:ascii="Times New Roman" w:eastAsia="Times New Roman" w:hAnsi="Times New Roman" w:cs="Times New Roman"/>
          <w:sz w:val="20"/>
          <w:szCs w:val="20"/>
        </w:rPr>
        <w:t>.</w:t>
      </w:r>
      <w:r w:rsidR="00B60C3C">
        <w:rPr>
          <w:rFonts w:ascii="Times New Roman" w:eastAsia="Times New Roman" w:hAnsi="Times New Roman" w:cs="Times New Roman"/>
          <w:sz w:val="20"/>
          <w:szCs w:val="20"/>
        </w:rPr>
        <w:t xml:space="preserve"> </w:t>
      </w:r>
      <w:r w:rsidR="00B60C3C" w:rsidRPr="00310920">
        <w:rPr>
          <w:rFonts w:ascii="Times New Roman" w:eastAsia="Times New Roman" w:hAnsi="Times New Roman" w:cs="Times New Roman"/>
          <w:sz w:val="20"/>
          <w:szCs w:val="20"/>
        </w:rPr>
        <w:t xml:space="preserve">The coordinates of </w:t>
      </w:r>
      <w:r w:rsidR="00B60C3C">
        <w:rPr>
          <w:rFonts w:ascii="Times New Roman" w:eastAsia="Times New Roman" w:hAnsi="Times New Roman" w:cs="Times New Roman"/>
          <w:sz w:val="20"/>
          <w:szCs w:val="20"/>
        </w:rPr>
        <w:t>asthma and allergy-related variables</w:t>
      </w:r>
      <w:r w:rsidR="00377F57">
        <w:rPr>
          <w:rFonts w:ascii="Times New Roman" w:eastAsia="Times New Roman" w:hAnsi="Times New Roman" w:cs="Times New Roman"/>
          <w:sz w:val="20"/>
          <w:szCs w:val="20"/>
        </w:rPr>
        <w:t xml:space="preserve"> are</w:t>
      </w:r>
      <w:r w:rsidR="00B60C3C" w:rsidRPr="00310920">
        <w:rPr>
          <w:rFonts w:ascii="Times New Roman" w:eastAsia="Times New Roman" w:hAnsi="Times New Roman" w:cs="Times New Roman"/>
          <w:sz w:val="20"/>
          <w:szCs w:val="20"/>
        </w:rPr>
        <w:t xml:space="preserve"> </w:t>
      </w:r>
      <w:r w:rsidR="00B60C3C">
        <w:rPr>
          <w:rFonts w:ascii="Times New Roman" w:eastAsia="Times New Roman" w:hAnsi="Times New Roman" w:cs="Times New Roman"/>
          <w:sz w:val="20"/>
          <w:szCs w:val="20"/>
        </w:rPr>
        <w:t>negatives</w:t>
      </w:r>
      <w:r w:rsidR="00B60C3C" w:rsidRPr="00310920">
        <w:rPr>
          <w:rFonts w:ascii="Times New Roman" w:eastAsia="Times New Roman" w:hAnsi="Times New Roman" w:cs="Times New Roman"/>
          <w:sz w:val="20"/>
          <w:szCs w:val="20"/>
        </w:rPr>
        <w:t xml:space="preserve">, which means that a child with </w:t>
      </w:r>
      <w:r w:rsidR="00B60C3C">
        <w:rPr>
          <w:rFonts w:ascii="Times New Roman" w:eastAsia="Times New Roman" w:hAnsi="Times New Roman" w:cs="Times New Roman"/>
          <w:sz w:val="20"/>
          <w:szCs w:val="20"/>
        </w:rPr>
        <w:t>many allergy-related outcomes</w:t>
      </w:r>
      <w:r w:rsidR="00B60C3C" w:rsidRPr="00310920">
        <w:rPr>
          <w:rFonts w:ascii="Times New Roman" w:eastAsia="Times New Roman" w:hAnsi="Times New Roman" w:cs="Times New Roman"/>
          <w:sz w:val="20"/>
          <w:szCs w:val="20"/>
        </w:rPr>
        <w:t xml:space="preserve"> should be at the right sight of the first axis. On the contrary, the negative coordinate of the </w:t>
      </w:r>
      <w:r w:rsidR="00B60C3C">
        <w:rPr>
          <w:rFonts w:ascii="Times New Roman" w:eastAsia="Times New Roman" w:hAnsi="Times New Roman" w:cs="Times New Roman"/>
          <w:sz w:val="20"/>
          <w:szCs w:val="20"/>
        </w:rPr>
        <w:t>lung function (FEV1)</w:t>
      </w:r>
      <w:r w:rsidR="00B60C3C" w:rsidRPr="00310920">
        <w:rPr>
          <w:rFonts w:ascii="Times New Roman" w:eastAsia="Times New Roman" w:hAnsi="Times New Roman" w:cs="Times New Roman"/>
          <w:sz w:val="20"/>
          <w:szCs w:val="20"/>
        </w:rPr>
        <w:t xml:space="preserve"> means that a child with a </w:t>
      </w:r>
      <w:r w:rsidR="00B60C3C">
        <w:rPr>
          <w:rFonts w:ascii="Times New Roman" w:eastAsia="Times New Roman" w:hAnsi="Times New Roman" w:cs="Times New Roman"/>
          <w:sz w:val="20"/>
          <w:szCs w:val="20"/>
        </w:rPr>
        <w:t xml:space="preserve">good lung function </w:t>
      </w:r>
      <w:r w:rsidR="00B60C3C" w:rsidRPr="00310920">
        <w:rPr>
          <w:rFonts w:ascii="Times New Roman" w:eastAsia="Times New Roman" w:hAnsi="Times New Roman" w:cs="Times New Roman"/>
          <w:sz w:val="20"/>
          <w:szCs w:val="20"/>
        </w:rPr>
        <w:t>should be at the left side of the first axis. This is coherent with the</w:t>
      </w:r>
      <w:r w:rsidR="00B60C3C">
        <w:rPr>
          <w:rFonts w:ascii="Times New Roman" w:eastAsia="Times New Roman" w:hAnsi="Times New Roman" w:cs="Times New Roman"/>
          <w:sz w:val="20"/>
          <w:szCs w:val="20"/>
        </w:rPr>
        <w:t xml:space="preserve"> inverse</w:t>
      </w:r>
      <w:r w:rsidR="00B60C3C" w:rsidRPr="00310920">
        <w:rPr>
          <w:rFonts w:ascii="Times New Roman" w:eastAsia="Times New Roman" w:hAnsi="Times New Roman" w:cs="Times New Roman"/>
          <w:sz w:val="20"/>
          <w:szCs w:val="20"/>
        </w:rPr>
        <w:t xml:space="preserve"> </w:t>
      </w:r>
      <w:r w:rsidR="00B60C3C">
        <w:rPr>
          <w:rFonts w:ascii="Times New Roman" w:eastAsia="Times New Roman" w:hAnsi="Times New Roman" w:cs="Times New Roman"/>
          <w:sz w:val="20"/>
          <w:szCs w:val="20"/>
        </w:rPr>
        <w:t>correlation between spirometry results (FEV</w:t>
      </w:r>
      <w:r w:rsidR="00B60C3C" w:rsidRPr="00046B47">
        <w:rPr>
          <w:rFonts w:ascii="Times New Roman" w:eastAsia="Times New Roman" w:hAnsi="Times New Roman" w:cs="Times New Roman"/>
          <w:sz w:val="20"/>
          <w:szCs w:val="20"/>
          <w:vertAlign w:val="subscript"/>
        </w:rPr>
        <w:t>1</w:t>
      </w:r>
      <w:r w:rsidR="00B60C3C">
        <w:rPr>
          <w:rFonts w:ascii="Times New Roman" w:eastAsia="Times New Roman" w:hAnsi="Times New Roman" w:cs="Times New Roman"/>
          <w:sz w:val="20"/>
          <w:szCs w:val="20"/>
        </w:rPr>
        <w:t>% pred) and allergy-related outcomes</w:t>
      </w:r>
      <w:r w:rsidR="00B60C3C" w:rsidRPr="00310920">
        <w:rPr>
          <w:rFonts w:ascii="Times New Roman" w:eastAsia="Times New Roman" w:hAnsi="Times New Roman" w:cs="Times New Roman"/>
          <w:sz w:val="20"/>
          <w:szCs w:val="20"/>
        </w:rPr>
        <w:t xml:space="preserve">. Overall, it means that a child with </w:t>
      </w:r>
      <w:r w:rsidR="00B60C3C">
        <w:rPr>
          <w:rFonts w:ascii="Times New Roman" w:eastAsia="Times New Roman" w:hAnsi="Times New Roman" w:cs="Times New Roman"/>
          <w:sz w:val="20"/>
          <w:szCs w:val="20"/>
        </w:rPr>
        <w:t>a good</w:t>
      </w:r>
      <w:r w:rsidR="00B60C3C" w:rsidRPr="00310920">
        <w:rPr>
          <w:rFonts w:ascii="Times New Roman" w:eastAsia="Times New Roman" w:hAnsi="Times New Roman" w:cs="Times New Roman"/>
          <w:sz w:val="20"/>
          <w:szCs w:val="20"/>
        </w:rPr>
        <w:t xml:space="preserve"> </w:t>
      </w:r>
      <w:r w:rsidR="00B60C3C">
        <w:rPr>
          <w:rFonts w:ascii="Times New Roman" w:eastAsia="Times New Roman" w:hAnsi="Times New Roman" w:cs="Times New Roman"/>
          <w:sz w:val="20"/>
          <w:szCs w:val="20"/>
        </w:rPr>
        <w:t>lung function</w:t>
      </w:r>
      <w:r w:rsidR="00B60C3C" w:rsidRPr="00310920">
        <w:rPr>
          <w:rFonts w:ascii="Times New Roman" w:eastAsia="Times New Roman" w:hAnsi="Times New Roman" w:cs="Times New Roman"/>
          <w:sz w:val="20"/>
          <w:szCs w:val="20"/>
        </w:rPr>
        <w:t xml:space="preserve"> and few </w:t>
      </w:r>
      <w:r w:rsidR="00B60C3C">
        <w:rPr>
          <w:rFonts w:ascii="Times New Roman" w:eastAsia="Times New Roman" w:hAnsi="Times New Roman" w:cs="Times New Roman"/>
          <w:sz w:val="20"/>
          <w:szCs w:val="20"/>
        </w:rPr>
        <w:t xml:space="preserve">allergy-related outcomes </w:t>
      </w:r>
      <w:r w:rsidR="00935245">
        <w:rPr>
          <w:rFonts w:ascii="Times New Roman" w:eastAsia="Times New Roman" w:hAnsi="Times New Roman" w:cs="Times New Roman"/>
          <w:sz w:val="20"/>
          <w:szCs w:val="20"/>
        </w:rPr>
        <w:t>also tend to have</w:t>
      </w:r>
      <w:r w:rsidR="00B60C3C" w:rsidRPr="00310920">
        <w:rPr>
          <w:rFonts w:ascii="Times New Roman" w:eastAsia="Times New Roman" w:hAnsi="Times New Roman" w:cs="Times New Roman"/>
          <w:sz w:val="20"/>
          <w:szCs w:val="20"/>
        </w:rPr>
        <w:t xml:space="preserve"> a high </w:t>
      </w:r>
      <w:r w:rsidR="00B60C3C">
        <w:rPr>
          <w:rFonts w:ascii="Times New Roman" w:eastAsia="Times New Roman" w:hAnsi="Times New Roman" w:cs="Times New Roman"/>
          <w:sz w:val="20"/>
          <w:szCs w:val="20"/>
        </w:rPr>
        <w:t>respiratory/allergy</w:t>
      </w:r>
      <w:r w:rsidR="00B60C3C" w:rsidRPr="00310920">
        <w:rPr>
          <w:rFonts w:ascii="Times New Roman" w:eastAsia="Times New Roman" w:hAnsi="Times New Roman" w:cs="Times New Roman"/>
          <w:sz w:val="20"/>
          <w:szCs w:val="20"/>
        </w:rPr>
        <w:t xml:space="preserve"> sub-score.</w:t>
      </w:r>
    </w:p>
    <w:p w14:paraId="38BCDBEC" w14:textId="77777777" w:rsidR="00480DE0" w:rsidRPr="008A5C48" w:rsidRDefault="00480DE0" w:rsidP="00480DE0">
      <w:pPr>
        <w:spacing w:after="0" w:line="240" w:lineRule="auto"/>
        <w:contextualSpacing/>
        <w:jc w:val="both"/>
        <w:rPr>
          <w:rFonts w:ascii="Times New Roman" w:eastAsia="Times New Roman" w:hAnsi="Times New Roman" w:cs="Times New Roman"/>
          <w:sz w:val="20"/>
          <w:szCs w:val="20"/>
        </w:rPr>
      </w:pPr>
    </w:p>
    <w:p w14:paraId="404DCCF1" w14:textId="77777777" w:rsidR="00480DE0" w:rsidRPr="002D561D" w:rsidRDefault="00480DE0" w:rsidP="00480DE0">
      <w:pPr>
        <w:spacing w:after="0" w:line="240" w:lineRule="auto"/>
        <w:contextualSpacing/>
        <w:jc w:val="both"/>
        <w:rPr>
          <w:rFonts w:ascii="Times New Roman" w:eastAsia="Times New Roman" w:hAnsi="Times New Roman" w:cs="Times New Roman"/>
          <w:i/>
          <w:iCs/>
          <w:sz w:val="20"/>
          <w:szCs w:val="20"/>
        </w:rPr>
      </w:pPr>
      <w:r w:rsidRPr="002D561D">
        <w:rPr>
          <w:rFonts w:ascii="Times New Roman" w:eastAsia="Times New Roman" w:hAnsi="Times New Roman" w:cs="Times New Roman"/>
          <w:i/>
          <w:iCs/>
          <w:sz w:val="20"/>
          <w:szCs w:val="20"/>
        </w:rPr>
        <w:t xml:space="preserve">Mental </w:t>
      </w:r>
      <w:proofErr w:type="spellStart"/>
      <w:r w:rsidRPr="002D561D">
        <w:rPr>
          <w:rFonts w:ascii="Times New Roman" w:eastAsia="Times New Roman" w:hAnsi="Times New Roman" w:cs="Times New Roman"/>
          <w:i/>
          <w:iCs/>
          <w:sz w:val="20"/>
          <w:szCs w:val="20"/>
        </w:rPr>
        <w:t>subscore</w:t>
      </w:r>
      <w:proofErr w:type="spellEnd"/>
    </w:p>
    <w:p w14:paraId="03BC1C16" w14:textId="76BE52D2" w:rsidR="00480DE0" w:rsidRDefault="00480DE0" w:rsidP="00480DE0">
      <w:pPr>
        <w:spacing w:after="0"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The mental sub-score was defined as the first principal component of the multiple factorial analysis. This approach was used because, to the best of our knowledge, no mental scores based on z-scores was found in the literature. This factorial analysis considered the z-scores of behavioural parameters (ADHD, internalizing, externalizing) in one group and the cognitive parameter (fluid intelligence) in another group. The coordinates and contribution of each variable on the first component is available in </w:t>
      </w:r>
      <w:proofErr w:type="spellStart"/>
      <w:r w:rsidR="00352B1D">
        <w:rPr>
          <w:rFonts w:ascii="Times New Roman" w:eastAsia="Times New Roman" w:hAnsi="Times New Roman" w:cs="Times New Roman"/>
          <w:sz w:val="20"/>
          <w:szCs w:val="20"/>
        </w:rPr>
        <w:t>eTable</w:t>
      </w:r>
      <w:proofErr w:type="spellEnd"/>
      <w:r w:rsidR="00352B1D">
        <w:rPr>
          <w:rFonts w:ascii="Times New Roman" w:eastAsia="Times New Roman" w:hAnsi="Times New Roman" w:cs="Times New Roman"/>
          <w:sz w:val="20"/>
          <w:szCs w:val="20"/>
        </w:rPr>
        <w:t xml:space="preserve"> </w:t>
      </w:r>
      <w:r w:rsidR="005B06FE">
        <w:rPr>
          <w:rFonts w:ascii="Times New Roman" w:eastAsia="Times New Roman" w:hAnsi="Times New Roman" w:cs="Times New Roman"/>
          <w:sz w:val="20"/>
          <w:szCs w:val="20"/>
        </w:rPr>
        <w:t>8</w:t>
      </w:r>
      <w:r w:rsidR="00352B1D">
        <w:rPr>
          <w:rFonts w:ascii="Times New Roman" w:eastAsia="Times New Roman" w:hAnsi="Times New Roman" w:cs="Times New Roman"/>
          <w:sz w:val="20"/>
          <w:szCs w:val="20"/>
        </w:rPr>
        <w:t>.</w:t>
      </w:r>
      <w:r w:rsidR="00310920" w:rsidRPr="00310920">
        <w:t xml:space="preserve"> </w:t>
      </w:r>
      <w:r w:rsidR="00310920" w:rsidRPr="00310920">
        <w:rPr>
          <w:rFonts w:ascii="Times New Roman" w:eastAsia="Times New Roman" w:hAnsi="Times New Roman" w:cs="Times New Roman"/>
          <w:sz w:val="20"/>
          <w:szCs w:val="20"/>
        </w:rPr>
        <w:t xml:space="preserve">The coordinates of </w:t>
      </w:r>
      <w:r w:rsidR="00AA1F89" w:rsidRPr="00310920">
        <w:rPr>
          <w:rFonts w:ascii="Times New Roman" w:eastAsia="Times New Roman" w:hAnsi="Times New Roman" w:cs="Times New Roman"/>
          <w:sz w:val="20"/>
          <w:szCs w:val="20"/>
        </w:rPr>
        <w:t>behavioural</w:t>
      </w:r>
      <w:r w:rsidR="00310920" w:rsidRPr="00310920">
        <w:rPr>
          <w:rFonts w:ascii="Times New Roman" w:eastAsia="Times New Roman" w:hAnsi="Times New Roman" w:cs="Times New Roman"/>
          <w:sz w:val="20"/>
          <w:szCs w:val="20"/>
        </w:rPr>
        <w:t xml:space="preserve"> scores (ADHD, internalizing, externalizing) are positive, which means that a child with high </w:t>
      </w:r>
      <w:r w:rsidR="00AA1F89" w:rsidRPr="00310920">
        <w:rPr>
          <w:rFonts w:ascii="Times New Roman" w:eastAsia="Times New Roman" w:hAnsi="Times New Roman" w:cs="Times New Roman"/>
          <w:sz w:val="20"/>
          <w:szCs w:val="20"/>
        </w:rPr>
        <w:t>behavioural</w:t>
      </w:r>
      <w:r w:rsidR="00310920" w:rsidRPr="00310920">
        <w:rPr>
          <w:rFonts w:ascii="Times New Roman" w:eastAsia="Times New Roman" w:hAnsi="Times New Roman" w:cs="Times New Roman"/>
          <w:sz w:val="20"/>
          <w:szCs w:val="20"/>
        </w:rPr>
        <w:t xml:space="preserve"> scores</w:t>
      </w:r>
      <w:r w:rsidR="007F6456">
        <w:rPr>
          <w:rFonts w:ascii="Times New Roman" w:eastAsia="Times New Roman" w:hAnsi="Times New Roman" w:cs="Times New Roman"/>
          <w:sz w:val="20"/>
          <w:szCs w:val="20"/>
        </w:rPr>
        <w:t xml:space="preserve"> (more behavioural troubles)</w:t>
      </w:r>
      <w:r w:rsidR="00310920" w:rsidRPr="00310920">
        <w:rPr>
          <w:rFonts w:ascii="Times New Roman" w:eastAsia="Times New Roman" w:hAnsi="Times New Roman" w:cs="Times New Roman"/>
          <w:sz w:val="20"/>
          <w:szCs w:val="20"/>
        </w:rPr>
        <w:t xml:space="preserve"> should be at the right sight of the first axis. On the contrary, the negative coordinate of the cognitive score (fluid intelligence) means that a child with a high </w:t>
      </w:r>
      <w:r w:rsidR="007F6456">
        <w:rPr>
          <w:rFonts w:ascii="Times New Roman" w:eastAsia="Times New Roman" w:hAnsi="Times New Roman" w:cs="Times New Roman"/>
          <w:sz w:val="20"/>
          <w:szCs w:val="20"/>
        </w:rPr>
        <w:t xml:space="preserve">cognitive </w:t>
      </w:r>
      <w:r w:rsidR="00310920" w:rsidRPr="00310920">
        <w:rPr>
          <w:rFonts w:ascii="Times New Roman" w:eastAsia="Times New Roman" w:hAnsi="Times New Roman" w:cs="Times New Roman"/>
          <w:sz w:val="20"/>
          <w:szCs w:val="20"/>
        </w:rPr>
        <w:t xml:space="preserve">score </w:t>
      </w:r>
      <w:r w:rsidR="007F6456">
        <w:rPr>
          <w:rFonts w:ascii="Times New Roman" w:eastAsia="Times New Roman" w:hAnsi="Times New Roman" w:cs="Times New Roman"/>
          <w:sz w:val="20"/>
          <w:szCs w:val="20"/>
        </w:rPr>
        <w:t xml:space="preserve">(good cognition) </w:t>
      </w:r>
      <w:r w:rsidR="00310920" w:rsidRPr="00310920">
        <w:rPr>
          <w:rFonts w:ascii="Times New Roman" w:eastAsia="Times New Roman" w:hAnsi="Times New Roman" w:cs="Times New Roman"/>
          <w:sz w:val="20"/>
          <w:szCs w:val="20"/>
        </w:rPr>
        <w:t xml:space="preserve">should be at the left side of the first axis. This is coherent with the inverse correlation between </w:t>
      </w:r>
      <w:proofErr w:type="spellStart"/>
      <w:r w:rsidR="00310920" w:rsidRPr="00310920">
        <w:rPr>
          <w:rFonts w:ascii="Times New Roman" w:eastAsia="Times New Roman" w:hAnsi="Times New Roman" w:cs="Times New Roman"/>
          <w:sz w:val="20"/>
          <w:szCs w:val="20"/>
        </w:rPr>
        <w:t>behavioral</w:t>
      </w:r>
      <w:proofErr w:type="spellEnd"/>
      <w:r w:rsidR="00310920" w:rsidRPr="00310920">
        <w:rPr>
          <w:rFonts w:ascii="Times New Roman" w:eastAsia="Times New Roman" w:hAnsi="Times New Roman" w:cs="Times New Roman"/>
          <w:sz w:val="20"/>
          <w:szCs w:val="20"/>
        </w:rPr>
        <w:t xml:space="preserve"> scores and cognitive results. </w:t>
      </w:r>
      <w:r w:rsidR="00935245" w:rsidRPr="00935245">
        <w:rPr>
          <w:rFonts w:ascii="Times New Roman" w:eastAsia="Times New Roman" w:hAnsi="Times New Roman" w:cs="Times New Roman"/>
          <w:sz w:val="20"/>
          <w:szCs w:val="20"/>
        </w:rPr>
        <w:t xml:space="preserve">Overall, it means that a child with high cognition and few </w:t>
      </w:r>
      <w:proofErr w:type="spellStart"/>
      <w:r w:rsidR="00935245" w:rsidRPr="00935245">
        <w:rPr>
          <w:rFonts w:ascii="Times New Roman" w:eastAsia="Times New Roman" w:hAnsi="Times New Roman" w:cs="Times New Roman"/>
          <w:sz w:val="20"/>
          <w:szCs w:val="20"/>
        </w:rPr>
        <w:t>behavioral</w:t>
      </w:r>
      <w:proofErr w:type="spellEnd"/>
      <w:r w:rsidR="00935245" w:rsidRPr="00935245">
        <w:rPr>
          <w:rFonts w:ascii="Times New Roman" w:eastAsia="Times New Roman" w:hAnsi="Times New Roman" w:cs="Times New Roman"/>
          <w:sz w:val="20"/>
          <w:szCs w:val="20"/>
        </w:rPr>
        <w:t xml:space="preserve"> troubles also tend to have a high mental sub-score.</w:t>
      </w:r>
    </w:p>
    <w:p w14:paraId="628E25FF" w14:textId="77777777" w:rsidR="00480DE0" w:rsidRPr="008A5C48" w:rsidRDefault="00480DE0" w:rsidP="00480DE0">
      <w:pPr>
        <w:spacing w:after="0" w:line="240" w:lineRule="auto"/>
        <w:contextualSpacing/>
        <w:jc w:val="both"/>
        <w:rPr>
          <w:rFonts w:ascii="Times New Roman" w:eastAsia="Times New Roman" w:hAnsi="Times New Roman" w:cs="Times New Roman"/>
          <w:sz w:val="20"/>
          <w:szCs w:val="20"/>
        </w:rPr>
      </w:pPr>
    </w:p>
    <w:p w14:paraId="025495B6" w14:textId="77777777" w:rsidR="00480DE0" w:rsidRPr="002D561D" w:rsidRDefault="00480DE0" w:rsidP="00480DE0">
      <w:pPr>
        <w:spacing w:after="0" w:line="240" w:lineRule="auto"/>
        <w:contextualSpacing/>
        <w:jc w:val="both"/>
        <w:rPr>
          <w:rFonts w:ascii="Times New Roman" w:eastAsia="Times New Roman" w:hAnsi="Times New Roman" w:cs="Times New Roman"/>
          <w:i/>
          <w:iCs/>
          <w:sz w:val="20"/>
          <w:szCs w:val="20"/>
        </w:rPr>
      </w:pPr>
      <w:r w:rsidRPr="002D561D">
        <w:rPr>
          <w:rFonts w:ascii="Times New Roman" w:eastAsia="Times New Roman" w:hAnsi="Times New Roman" w:cs="Times New Roman"/>
          <w:i/>
          <w:iCs/>
          <w:sz w:val="20"/>
          <w:szCs w:val="20"/>
        </w:rPr>
        <w:t>General health score</w:t>
      </w:r>
    </w:p>
    <w:p w14:paraId="02001414" w14:textId="77777777" w:rsidR="00480DE0" w:rsidRPr="008A5C48" w:rsidRDefault="00480DE0" w:rsidP="00480DE0">
      <w:pPr>
        <w:spacing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The three sub-scores were scaled and aggregated into one general health score by taking their mean. By construct, the general health score is low for children with conjointly low-to-moderate cardiometabolic, respiratory/allergy and mental health in children, as well as for children highly affected in one health domain while no or moderately affected for the other two.</w:t>
      </w:r>
    </w:p>
    <w:p w14:paraId="6DA7E45D" w14:textId="23000788" w:rsidR="006A6AEE" w:rsidRDefault="00480DE0" w:rsidP="00480DE0">
      <w:pPr>
        <w:pStyle w:val="Titre2"/>
        <w:spacing w:line="240" w:lineRule="auto"/>
        <w:contextualSpacing/>
      </w:pPr>
      <w:r>
        <w:br w:type="page"/>
      </w:r>
    </w:p>
    <w:p w14:paraId="63A205D1" w14:textId="7DBF7D9E" w:rsidR="005E717B" w:rsidRPr="001E4B45" w:rsidRDefault="00B12FBA" w:rsidP="00C82488">
      <w:pPr>
        <w:pStyle w:val="Titre1"/>
        <w:rPr>
          <w:b w:val="0"/>
          <w:bCs w:val="0"/>
        </w:rPr>
      </w:pPr>
      <w:bookmarkStart w:id="37" w:name="_Toc126332683"/>
      <w:bookmarkStart w:id="38" w:name="_Toc127358153"/>
      <w:bookmarkStart w:id="39" w:name="_Toc132271581"/>
      <w:bookmarkStart w:id="40" w:name="_Hlk127367029"/>
      <w:bookmarkStart w:id="41" w:name="_Hlk126576934"/>
      <w:proofErr w:type="spellStart"/>
      <w:r>
        <w:lastRenderedPageBreak/>
        <w:t>eMethods</w:t>
      </w:r>
      <w:proofErr w:type="spellEnd"/>
      <w:r>
        <w:t xml:space="preserve"> </w:t>
      </w:r>
      <w:r w:rsidR="00755B26">
        <w:t>6</w:t>
      </w:r>
      <w:r w:rsidR="004120E3">
        <w:t xml:space="preserve">. </w:t>
      </w:r>
      <w:r w:rsidR="00966211" w:rsidRPr="001E4B45">
        <w:rPr>
          <w:b w:val="0"/>
          <w:bCs w:val="0"/>
        </w:rPr>
        <w:t>Data pre-processing</w:t>
      </w:r>
      <w:bookmarkEnd w:id="37"/>
      <w:bookmarkEnd w:id="38"/>
      <w:bookmarkEnd w:id="39"/>
    </w:p>
    <w:bookmarkEnd w:id="40"/>
    <w:p w14:paraId="5772E6E7" w14:textId="77777777" w:rsidR="001B140B" w:rsidRPr="001B140B" w:rsidRDefault="001B140B" w:rsidP="001B140B"/>
    <w:bookmarkEnd w:id="41"/>
    <w:p w14:paraId="59C60F32" w14:textId="31A2B399" w:rsidR="005E717B" w:rsidRDefault="00966211" w:rsidP="00FB6412">
      <w:pPr>
        <w:spacing w:after="0"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For each variable, the optimal transformation to approach normality was chosen using a Box-Cox power transformation approach and described in </w:t>
      </w:r>
      <w:proofErr w:type="spellStart"/>
      <w:r w:rsidR="009500CF" w:rsidRPr="008A5C48">
        <w:rPr>
          <w:rFonts w:ascii="Times New Roman" w:eastAsia="Times New Roman" w:hAnsi="Times New Roman" w:cs="Times New Roman"/>
          <w:sz w:val="20"/>
          <w:szCs w:val="20"/>
        </w:rPr>
        <w:t>eTable</w:t>
      </w:r>
      <w:proofErr w:type="spellEnd"/>
      <w:r w:rsidRPr="008A5C48">
        <w:rPr>
          <w:rFonts w:ascii="Times New Roman" w:eastAsia="Times New Roman" w:hAnsi="Times New Roman" w:cs="Times New Roman"/>
          <w:sz w:val="20"/>
          <w:szCs w:val="20"/>
        </w:rPr>
        <w:t xml:space="preserve"> </w:t>
      </w:r>
      <w:r w:rsidR="009878D5">
        <w:rPr>
          <w:rFonts w:ascii="Times New Roman" w:eastAsia="Times New Roman" w:hAnsi="Times New Roman" w:cs="Times New Roman"/>
          <w:sz w:val="20"/>
          <w:szCs w:val="20"/>
        </w:rPr>
        <w:t>9</w:t>
      </w:r>
      <w:r w:rsidRPr="008A5C48">
        <w:rPr>
          <w:rFonts w:ascii="Times New Roman" w:eastAsia="Times New Roman" w:hAnsi="Times New Roman" w:cs="Times New Roman"/>
          <w:sz w:val="20"/>
          <w:szCs w:val="20"/>
        </w:rPr>
        <w:t xml:space="preserve">. When normality could not be achieved by transformation, the variable was categorized. For biomarker exposures, values under the limit of detection were imputed using a distribution-based method </w:t>
      </w:r>
      <w:r w:rsidR="006A6A62">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{"citationID":"Fjkoa9Uy","properties":{"formattedCitation":"\\super 63\\nosupersub{}","plainCitation":"63","noteIndex":0},"citationItems":[{"id":1072,"uris":["http://zotero.org/users/9798320/items/ZWNLP4ID"],"itemData":{"id":1072,"type":"article-journal","abstract":"Studies of determinants of occupational exposure frequently involve left-censored lognormally distributed data, often with repeated measures. Left censoring occurs when observations are below the analytical limit of detection (LOD); repeated measures data results from taking multiple measurements on the same worker. A common method of dealing with this type of data has been to substitute a value (such as LOD/2) for the censored data followed by statistical analysis using the ‘usual’ methods. Recently, maximum likelihood estimation (MLE) methods have been employed to reduce bias associated with the substitution method. We compared substitution and MLE methods using simulated lognormally distributed exposure data subjected to varying amounts of censoring using two procedures available in SAS: LIFEREG and NLMIXED. In these simulations, the MLE method resulted in less bias and performed well even for censoring up to 80%, whereas the substitution method resulted in considerable bias. We illustrate the NLMIXED procedure using a dataset of chlorpyrifos air measurements collected from termiticide applicators on consecutive days over a 5-day workweek. We provide sample SAS code for several situations including one and two groups, with and without repeated measures, random slopes, and nested random effects.","container-title":"The Annals of Occupational Hygiene","DOI":"10.1093/annhyg/meq061","ISSN":"0003-4878","issue":"1","journalAbbreviation":"The Annals of Occupational Hygiene","page":"97-112","source":"Silverchair","title":"Analysis of Lognormally Distributed Exposure Data with Repeated Measures and Values below the Limit of Detection Using SAS","volume":"55","author":[{"family":"Jin","given":"Yan"},{"family":"Hein","given":"Misty J."},{"family":"Deddens","given":"James A."},{"family":"Hines","given":"Cynthia J."}],"issued":{"date-parts":[["2011",1,1]]}}}],"schema":"https://github.com/citation-style-language/schema/raw/master/csl-citation.json"} </w:instrText>
      </w:r>
      <w:r w:rsidR="006A6A62">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63</w:t>
      </w:r>
      <w:r w:rsidR="006A6A62">
        <w:rPr>
          <w:rFonts w:ascii="Times New Roman" w:eastAsia="Times New Roman" w:hAnsi="Times New Roman" w:cs="Times New Roman"/>
          <w:sz w:val="20"/>
          <w:szCs w:val="20"/>
        </w:rPr>
        <w:fldChar w:fldCharType="end"/>
      </w:r>
      <w:r w:rsidR="006A6A62">
        <w:rPr>
          <w:rFonts w:ascii="Times New Roman" w:eastAsia="Times New Roman" w:hAnsi="Times New Roman" w:cs="Times New Roman"/>
          <w:sz w:val="20"/>
          <w:szCs w:val="20"/>
        </w:rPr>
        <w:t>.</w:t>
      </w:r>
      <w:r w:rsidRPr="008A5C48">
        <w:rPr>
          <w:rFonts w:ascii="Times New Roman" w:eastAsia="Times New Roman" w:hAnsi="Times New Roman" w:cs="Times New Roman"/>
          <w:sz w:val="20"/>
          <w:szCs w:val="20"/>
        </w:rPr>
        <w:t xml:space="preserve"> To improve comparison between exposures, estimates reported for continuous variables are expressed as an increase in interquartile range (IQR)</w:t>
      </w:r>
      <w:r w:rsidR="004A5D5D">
        <w:rPr>
          <w:rFonts w:ascii="Times New Roman" w:eastAsia="Times New Roman" w:hAnsi="Times New Roman" w:cs="Times New Roman"/>
          <w:sz w:val="20"/>
          <w:szCs w:val="20"/>
        </w:rPr>
        <w:t xml:space="preserve"> (see </w:t>
      </w:r>
      <w:proofErr w:type="spellStart"/>
      <w:r w:rsidR="004A5D5D">
        <w:rPr>
          <w:rFonts w:ascii="Times New Roman" w:eastAsia="Times New Roman" w:hAnsi="Times New Roman" w:cs="Times New Roman"/>
          <w:sz w:val="20"/>
          <w:szCs w:val="20"/>
        </w:rPr>
        <w:t>eTable</w:t>
      </w:r>
      <w:proofErr w:type="spellEnd"/>
      <w:r w:rsidR="004A5D5D">
        <w:rPr>
          <w:rFonts w:ascii="Times New Roman" w:eastAsia="Times New Roman" w:hAnsi="Times New Roman" w:cs="Times New Roman"/>
          <w:sz w:val="20"/>
          <w:szCs w:val="20"/>
        </w:rPr>
        <w:t xml:space="preserve"> </w:t>
      </w:r>
      <w:r w:rsidR="009878D5">
        <w:rPr>
          <w:rFonts w:ascii="Times New Roman" w:eastAsia="Times New Roman" w:hAnsi="Times New Roman" w:cs="Times New Roman"/>
          <w:sz w:val="20"/>
          <w:szCs w:val="20"/>
        </w:rPr>
        <w:t>9</w:t>
      </w:r>
      <w:r w:rsidR="004A5D5D">
        <w:rPr>
          <w:rFonts w:ascii="Times New Roman" w:eastAsia="Times New Roman" w:hAnsi="Times New Roman" w:cs="Times New Roman"/>
          <w:sz w:val="20"/>
          <w:szCs w:val="20"/>
        </w:rPr>
        <w:t xml:space="preserve">). </w:t>
      </w:r>
    </w:p>
    <w:p w14:paraId="225C43EA" w14:textId="425E5E0E" w:rsidR="00262C01" w:rsidRDefault="00262C01" w:rsidP="00FB6412">
      <w:pPr>
        <w:spacing w:after="0" w:line="240" w:lineRule="auto"/>
        <w:contextualSpacing/>
        <w:jc w:val="both"/>
        <w:rPr>
          <w:rFonts w:ascii="Times New Roman" w:eastAsia="Times New Roman" w:hAnsi="Times New Roman" w:cs="Times New Roman"/>
          <w:sz w:val="20"/>
          <w:szCs w:val="20"/>
        </w:rPr>
      </w:pPr>
    </w:p>
    <w:p w14:paraId="0FB1FD2A" w14:textId="77777777" w:rsidR="00262C01" w:rsidRPr="00741368" w:rsidRDefault="00262C01" w:rsidP="00262C01">
      <w:pPr>
        <w:keepNext/>
        <w:keepLines/>
        <w:pBdr>
          <w:top w:val="nil"/>
          <w:left w:val="nil"/>
          <w:bottom w:val="nil"/>
          <w:right w:val="nil"/>
          <w:between w:val="nil"/>
        </w:pBdr>
        <w:spacing w:before="200" w:after="0" w:line="240" w:lineRule="auto"/>
        <w:contextualSpacing/>
        <w:rPr>
          <w:rFonts w:ascii="Times New Roman" w:eastAsia="Times New Roman" w:hAnsi="Times New Roman" w:cs="Times New Roman"/>
          <w:bCs/>
          <w:i/>
          <w:sz w:val="20"/>
          <w:szCs w:val="20"/>
        </w:rPr>
      </w:pPr>
      <w:r w:rsidRPr="00741368">
        <w:rPr>
          <w:rFonts w:ascii="Times New Roman" w:eastAsia="Times New Roman" w:hAnsi="Times New Roman" w:cs="Times New Roman"/>
          <w:bCs/>
          <w:i/>
          <w:sz w:val="20"/>
          <w:szCs w:val="20"/>
        </w:rPr>
        <w:t>Imputation process</w:t>
      </w:r>
    </w:p>
    <w:p w14:paraId="3A49DEF8" w14:textId="1F2624A9" w:rsidR="00262C01" w:rsidRPr="008A5C48" w:rsidRDefault="00262C01" w:rsidP="00262C01">
      <w:pPr>
        <w:pBdr>
          <w:top w:val="nil"/>
          <w:left w:val="nil"/>
          <w:bottom w:val="nil"/>
          <w:right w:val="nil"/>
          <w:between w:val="nil"/>
        </w:pBdr>
        <w:spacing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To prevent losing information and introducing potential selection biases, missing values of exposures and confounders were imputed. When possible, we relied on the multiple imputation procedure, which is a commonly used and accepted method to deal with missing data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{"citationID":"3cHcFN2e","properties":{"formattedCitation":"\\super 64\\nosupersub{}","plainCitation":"64","noteIndex":0},"citationItems":[{"id":158,"uris":["http://zotero.org/users/9798320/items/S2U4WJ5U"],"itemData":{"id":158,"type":"article-journal","abstract":"Multiple imputation is an effective method for dealing with missing data, and it is becoming increasingly common in many fields. However, the method is still relatively rarely used in epidemiology, perhaps in part because relatively few studies have looked at practical questions about how to implement multiple imputation in large data sets used for diverse purposes. This paper addresses this gap by focusing on the practicalities and diagnostics for multiple imputation in large data sets. It primarily discusses the method of multiple imputation by chained equations, which iterates through the data, imputing one variable at a time conditional on the others. Illustrative data were derived from 9,186 youths participating in the national evaluation of the Community Mental Health Services for Children and Their Families Program, a US federally funded program designed to develop and enhance community-based systems of care to meet the needs of children with serious emotional disturbances and their families. Multiple imputation was used to ensure that data analysis samples reflect the full population of youth participating in this program. This case study provides an illustration to assist researchers in implementing multiple imputation in their own data.","container-title":"American Journal of Epidemiology","DOI":"10.1093/aje/kwp026","ISSN":"1476-6256","issue":"9","journalAbbreviation":"Am J Epidemiol","language":"eng","note":"PMID: 19318618\nPMCID: PMC2727238","page":"1133-1139","source":"PubMed","title":"Multiple imputation with large data sets: a case study of the Children's Mental Health Initiative","title-short":"Multiple imputation with large data sets","volume":"169","author":[{"family":"Stuart","given":"Elizabeth A."},{"family":"Azur","given":"Melissa"},{"family":"Frangakis","given":"Constantine"},{"family":"Leaf","given":"Philip"}],"issued":{"date-parts":[["2009",5,1]]}}}],"schema":"https://github.com/citation-style-language/schema/raw/master/csl-citation.json"}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64</w:t>
      </w:r>
      <w:r>
        <w:rPr>
          <w:rFonts w:ascii="Times New Roman" w:eastAsia="Times New Roman" w:hAnsi="Times New Roman" w:cs="Times New Roman"/>
          <w:color w:val="000000"/>
          <w:sz w:val="20"/>
          <w:szCs w:val="20"/>
        </w:rPr>
        <w:fldChar w:fldCharType="end"/>
      </w:r>
      <w:r>
        <w:rPr>
          <w:rFonts w:ascii="Times New Roman" w:eastAsia="Times New Roman" w:hAnsi="Times New Roman" w:cs="Times New Roman"/>
          <w:sz w:val="20"/>
          <w:szCs w:val="20"/>
        </w:rPr>
        <w:t>.</w:t>
      </w:r>
      <w:r w:rsidRPr="008A5C48">
        <w:rPr>
          <w:rFonts w:ascii="Times New Roman" w:eastAsia="Times New Roman" w:hAnsi="Times New Roman" w:cs="Times New Roman"/>
          <w:color w:val="000000"/>
          <w:sz w:val="20"/>
          <w:szCs w:val="20"/>
        </w:rPr>
        <w:t xml:space="preserve"> Multiple imputation provides valid inferences under the missing at random (MAR) assumption, which assumes that missing data are associated to observed variables and not to unobserved information. In multiple imputation, missing values are imputed stochastically several times. Imputing missing values several times allows the quantification of the uncertainty in results associated with imputation, and to account for this uncertainty in the final standard errors, confidence intervals and p-values.</w:t>
      </w:r>
    </w:p>
    <w:p w14:paraId="3EFB981A" w14:textId="77777777" w:rsidR="00262C01" w:rsidRPr="008A5C48" w:rsidRDefault="00262C01" w:rsidP="00262C01">
      <w:pPr>
        <w:pBdr>
          <w:top w:val="nil"/>
          <w:left w:val="nil"/>
          <w:bottom w:val="nil"/>
          <w:right w:val="nil"/>
          <w:between w:val="nil"/>
        </w:pBdr>
        <w:spacing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For the imputation process, continuous variables should have a normal distribution. As mentioned above, skewed exposure variables were transformed to achieve normality or categorized if no transformation worked. The distributions of all transformed variables were examined to make sure that transformations did not lead to extreme/influential observations. In cases of variables with zeros that required a log transformation, a constant value was added to the variable as the log of zero is minus infinity. The constant value was chosen to minimize the skewness of the resulting variable. Exposures with more than 30% of missing values were excluded from the process.</w:t>
      </w:r>
    </w:p>
    <w:p w14:paraId="5506E646" w14:textId="77777777" w:rsidR="00262C01" w:rsidRPr="008A5C48" w:rsidRDefault="00262C01" w:rsidP="00262C01">
      <w:pPr>
        <w:pBdr>
          <w:top w:val="nil"/>
          <w:left w:val="nil"/>
          <w:bottom w:val="nil"/>
          <w:right w:val="nil"/>
          <w:between w:val="nil"/>
        </w:pBdr>
        <w:spacing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Missing values of exposures and adjustment variables were imputed using the method of chained equations </w:t>
      </w:r>
      <w:r w:rsidRPr="008A5C48">
        <w:rPr>
          <w:rFonts w:ascii="Times New Roman" w:eastAsia="Times New Roman" w:hAnsi="Times New Roman" w:cs="Times New Roman"/>
          <w:sz w:val="20"/>
          <w:szCs w:val="20"/>
        </w:rPr>
        <w:t>(White, Royston, and Wood 2011)</w:t>
      </w:r>
      <w:r w:rsidRPr="008A5C48">
        <w:rPr>
          <w:rFonts w:ascii="Times New Roman" w:eastAsia="Times New Roman" w:hAnsi="Times New Roman" w:cs="Times New Roman"/>
          <w:color w:val="000000"/>
          <w:sz w:val="20"/>
          <w:szCs w:val="20"/>
        </w:rPr>
        <w:t xml:space="preserve">, using the mice package in R </w:t>
      </w:r>
      <w:r w:rsidRPr="008A5C48">
        <w:rPr>
          <w:rFonts w:ascii="Times New Roman" w:eastAsia="Times New Roman" w:hAnsi="Times New Roman" w:cs="Times New Roman"/>
          <w:sz w:val="20"/>
          <w:szCs w:val="20"/>
        </w:rPr>
        <w:t>(</w:t>
      </w:r>
      <w:proofErr w:type="spellStart"/>
      <w:r w:rsidRPr="008A5C48">
        <w:rPr>
          <w:rFonts w:ascii="Times New Roman" w:eastAsia="Times New Roman" w:hAnsi="Times New Roman" w:cs="Times New Roman"/>
          <w:sz w:val="20"/>
          <w:szCs w:val="20"/>
        </w:rPr>
        <w:t>Buuren</w:t>
      </w:r>
      <w:proofErr w:type="spellEnd"/>
      <w:r w:rsidRPr="008A5C48">
        <w:rPr>
          <w:rFonts w:ascii="Times New Roman" w:eastAsia="Times New Roman" w:hAnsi="Times New Roman" w:cs="Times New Roman"/>
          <w:sz w:val="20"/>
          <w:szCs w:val="20"/>
        </w:rPr>
        <w:t xml:space="preserve"> and </w:t>
      </w:r>
      <w:proofErr w:type="spellStart"/>
      <w:r w:rsidRPr="008A5C48">
        <w:rPr>
          <w:rFonts w:ascii="Times New Roman" w:eastAsia="Times New Roman" w:hAnsi="Times New Roman" w:cs="Times New Roman"/>
          <w:sz w:val="20"/>
          <w:szCs w:val="20"/>
        </w:rPr>
        <w:t>Groothuis-Oudshoorn</w:t>
      </w:r>
      <w:proofErr w:type="spellEnd"/>
      <w:r w:rsidRPr="008A5C48">
        <w:rPr>
          <w:rFonts w:ascii="Times New Roman" w:eastAsia="Times New Roman" w:hAnsi="Times New Roman" w:cs="Times New Roman"/>
          <w:sz w:val="20"/>
          <w:szCs w:val="20"/>
        </w:rPr>
        <w:t xml:space="preserve"> 2011)</w:t>
      </w:r>
      <w:r w:rsidRPr="008A5C48">
        <w:rPr>
          <w:rFonts w:ascii="Times New Roman" w:eastAsia="Times New Roman" w:hAnsi="Times New Roman" w:cs="Times New Roman"/>
          <w:color w:val="000000"/>
          <w:sz w:val="20"/>
          <w:szCs w:val="20"/>
        </w:rPr>
        <w:t xml:space="preserve">.  The large number of variables involved in the HELIX analyses implies that not all exposures can be used as predictors in imputation models, as imputation models would be too large, and therefore reduced imputation models had to be specified. It is recommended that imputation models include between 10 and 25 variables </w:t>
      </w:r>
      <w:r w:rsidRPr="008A5C48">
        <w:rPr>
          <w:rFonts w:ascii="Times New Roman" w:eastAsia="Times New Roman" w:hAnsi="Times New Roman" w:cs="Times New Roman"/>
          <w:sz w:val="20"/>
          <w:szCs w:val="20"/>
        </w:rPr>
        <w:t>(</w:t>
      </w:r>
      <w:proofErr w:type="spellStart"/>
      <w:r w:rsidRPr="008A5C48">
        <w:rPr>
          <w:rFonts w:ascii="Times New Roman" w:eastAsia="Times New Roman" w:hAnsi="Times New Roman" w:cs="Times New Roman"/>
          <w:sz w:val="20"/>
          <w:szCs w:val="20"/>
        </w:rPr>
        <w:t>Buuren</w:t>
      </w:r>
      <w:proofErr w:type="spellEnd"/>
      <w:r w:rsidRPr="008A5C48">
        <w:rPr>
          <w:rFonts w:ascii="Times New Roman" w:eastAsia="Times New Roman" w:hAnsi="Times New Roman" w:cs="Times New Roman"/>
          <w:sz w:val="20"/>
          <w:szCs w:val="20"/>
        </w:rPr>
        <w:t xml:space="preserve"> and </w:t>
      </w:r>
      <w:proofErr w:type="spellStart"/>
      <w:r w:rsidRPr="008A5C48">
        <w:rPr>
          <w:rFonts w:ascii="Times New Roman" w:eastAsia="Times New Roman" w:hAnsi="Times New Roman" w:cs="Times New Roman"/>
          <w:sz w:val="20"/>
          <w:szCs w:val="20"/>
        </w:rPr>
        <w:t>Groothuis-Oudshoorn</w:t>
      </w:r>
      <w:proofErr w:type="spellEnd"/>
      <w:r w:rsidRPr="008A5C48">
        <w:rPr>
          <w:rFonts w:ascii="Times New Roman" w:eastAsia="Times New Roman" w:hAnsi="Times New Roman" w:cs="Times New Roman"/>
          <w:sz w:val="20"/>
          <w:szCs w:val="20"/>
        </w:rPr>
        <w:t xml:space="preserve"> 2011)</w:t>
      </w:r>
      <w:r w:rsidRPr="008A5C48">
        <w:rPr>
          <w:rFonts w:ascii="Times New Roman" w:eastAsia="Times New Roman" w:hAnsi="Times New Roman" w:cs="Times New Roman"/>
          <w:color w:val="000000"/>
          <w:sz w:val="20"/>
          <w:szCs w:val="20"/>
        </w:rPr>
        <w:t xml:space="preserve">. We used the </w:t>
      </w:r>
      <w:proofErr w:type="spellStart"/>
      <w:r w:rsidRPr="008A5C48">
        <w:rPr>
          <w:rFonts w:ascii="Times New Roman" w:eastAsia="Times New Roman" w:hAnsi="Times New Roman" w:cs="Times New Roman"/>
          <w:color w:val="000000"/>
          <w:sz w:val="20"/>
          <w:szCs w:val="20"/>
        </w:rPr>
        <w:t>quickpred</w:t>
      </w:r>
      <w:proofErr w:type="spellEnd"/>
      <w:r w:rsidRPr="008A5C48">
        <w:rPr>
          <w:rFonts w:ascii="Times New Roman" w:eastAsia="Times New Roman" w:hAnsi="Times New Roman" w:cs="Times New Roman"/>
          <w:color w:val="000000"/>
          <w:sz w:val="20"/>
          <w:szCs w:val="20"/>
        </w:rPr>
        <w:t xml:space="preserve"> function to reduce the number of predictors. With this function, potential predictors for a given variable var1 were restricted to those that had: 1) an absolute correlation greater than 0.2 with var1 or with the binary variable indicating if var1 is missing (</w:t>
      </w:r>
      <w:proofErr w:type="spellStart"/>
      <w:r w:rsidRPr="008A5C48">
        <w:rPr>
          <w:rFonts w:ascii="Times New Roman" w:eastAsia="Times New Roman" w:hAnsi="Times New Roman" w:cs="Times New Roman"/>
          <w:color w:val="000000"/>
          <w:sz w:val="20"/>
          <w:szCs w:val="20"/>
        </w:rPr>
        <w:t>mincor</w:t>
      </w:r>
      <w:proofErr w:type="spellEnd"/>
      <w:r w:rsidRPr="008A5C48">
        <w:rPr>
          <w:rFonts w:ascii="Times New Roman" w:eastAsia="Times New Roman" w:hAnsi="Times New Roman" w:cs="Times New Roman"/>
          <w:color w:val="000000"/>
          <w:sz w:val="20"/>
          <w:szCs w:val="20"/>
        </w:rPr>
        <w:t>=0.2); and 2) a proportion of non-missing observations greater than 40% among the observations with missing values in var1 (</w:t>
      </w:r>
      <w:proofErr w:type="spellStart"/>
      <w:r w:rsidRPr="008A5C48">
        <w:rPr>
          <w:rFonts w:ascii="Times New Roman" w:eastAsia="Times New Roman" w:hAnsi="Times New Roman" w:cs="Times New Roman"/>
          <w:color w:val="000000"/>
          <w:sz w:val="20"/>
          <w:szCs w:val="20"/>
        </w:rPr>
        <w:t>minpuc</w:t>
      </w:r>
      <w:proofErr w:type="spellEnd"/>
      <w:r w:rsidRPr="008A5C48">
        <w:rPr>
          <w:rFonts w:ascii="Times New Roman" w:eastAsia="Times New Roman" w:hAnsi="Times New Roman" w:cs="Times New Roman"/>
          <w:color w:val="000000"/>
          <w:sz w:val="20"/>
          <w:szCs w:val="20"/>
        </w:rPr>
        <w:t xml:space="preserve">=0.4). Values for </w:t>
      </w:r>
      <w:proofErr w:type="spellStart"/>
      <w:r w:rsidRPr="008A5C48">
        <w:rPr>
          <w:rFonts w:ascii="Times New Roman" w:eastAsia="Times New Roman" w:hAnsi="Times New Roman" w:cs="Times New Roman"/>
          <w:color w:val="000000"/>
          <w:sz w:val="20"/>
          <w:szCs w:val="20"/>
        </w:rPr>
        <w:t>mincor</w:t>
      </w:r>
      <w:proofErr w:type="spellEnd"/>
      <w:r w:rsidRPr="008A5C48">
        <w:rPr>
          <w:rFonts w:ascii="Times New Roman" w:eastAsia="Times New Roman" w:hAnsi="Times New Roman" w:cs="Times New Roman"/>
          <w:color w:val="000000"/>
          <w:sz w:val="20"/>
          <w:szCs w:val="20"/>
        </w:rPr>
        <w:t xml:space="preserve"> and </w:t>
      </w:r>
      <w:proofErr w:type="spellStart"/>
      <w:r w:rsidRPr="008A5C48">
        <w:rPr>
          <w:rFonts w:ascii="Times New Roman" w:eastAsia="Times New Roman" w:hAnsi="Times New Roman" w:cs="Times New Roman"/>
          <w:color w:val="000000"/>
          <w:sz w:val="20"/>
          <w:szCs w:val="20"/>
        </w:rPr>
        <w:t>minpucwere</w:t>
      </w:r>
      <w:proofErr w:type="spellEnd"/>
      <w:r w:rsidRPr="008A5C48">
        <w:rPr>
          <w:rFonts w:ascii="Times New Roman" w:eastAsia="Times New Roman" w:hAnsi="Times New Roman" w:cs="Times New Roman"/>
          <w:color w:val="000000"/>
          <w:sz w:val="20"/>
          <w:szCs w:val="20"/>
        </w:rPr>
        <w:t xml:space="preserve"> tuned to have a number of predictors between 5 and 25 for all variables. If some variables continued to have too many predictors, they were reduced manually. In addition, we forced into the imputation models cohort and one representative outcome variable of each the main groups of health outcomes that will be subsequently analysed in the HELIX project (namely asthma as representative of respiratory health; z-score of BMI as representative of cardio metabolic outcomes; and number of correct responses in RAVEN test and total problems in CBCL as representative of neurodevelopment). Those variables were included with the include option. With the procedures described, the imputation process still produced some errors, which were solved on a case-by-case basis.  Mostly, this consisted in removing from the predictor set of </w:t>
      </w:r>
      <w:proofErr w:type="gramStart"/>
      <w:r w:rsidRPr="008A5C48">
        <w:rPr>
          <w:rFonts w:ascii="Times New Roman" w:eastAsia="Times New Roman" w:hAnsi="Times New Roman" w:cs="Times New Roman"/>
          <w:color w:val="000000"/>
          <w:sz w:val="20"/>
          <w:szCs w:val="20"/>
        </w:rPr>
        <w:t>a</w:t>
      </w:r>
      <w:proofErr w:type="gramEnd"/>
      <w:r w:rsidRPr="008A5C48">
        <w:rPr>
          <w:rFonts w:ascii="Times New Roman" w:eastAsia="Times New Roman" w:hAnsi="Times New Roman" w:cs="Times New Roman"/>
          <w:color w:val="000000"/>
          <w:sz w:val="20"/>
          <w:szCs w:val="20"/>
        </w:rPr>
        <w:t xml:space="preserve"> given variable highly correlated variables. The method of predictive mean matching was used for all continuous exposures. Twenty imputed datasets were created.</w:t>
      </w:r>
    </w:p>
    <w:p w14:paraId="04BCFA8D" w14:textId="48C8F6A3" w:rsidR="00262C01" w:rsidRPr="008A5C48"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 xml:space="preserve">After imputation, the following diagnostics were conducted. All variables with missing values were inspected. In particular, the imputed and non-missing observations were compared using density plots and </w:t>
      </w:r>
      <w:proofErr w:type="spellStart"/>
      <w:r w:rsidRPr="008A5C48">
        <w:rPr>
          <w:rFonts w:ascii="Times New Roman" w:eastAsia="Times New Roman" w:hAnsi="Times New Roman" w:cs="Times New Roman"/>
          <w:color w:val="000000"/>
          <w:sz w:val="20"/>
          <w:szCs w:val="20"/>
        </w:rPr>
        <w:t>stripplots</w:t>
      </w:r>
      <w:proofErr w:type="spellEnd"/>
      <w:r w:rsidRPr="008A5C48">
        <w:rPr>
          <w:rFonts w:ascii="Times New Roman" w:eastAsia="Times New Roman" w:hAnsi="Times New Roman" w:cs="Times New Roman"/>
          <w:color w:val="000000"/>
          <w:sz w:val="20"/>
          <w:szCs w:val="20"/>
        </w:rPr>
        <w:t xml:space="preserve"> of Van </w:t>
      </w:r>
      <w:proofErr w:type="spellStart"/>
      <w:r w:rsidRPr="008A5C48">
        <w:rPr>
          <w:rFonts w:ascii="Times New Roman" w:eastAsia="Times New Roman" w:hAnsi="Times New Roman" w:cs="Times New Roman"/>
          <w:color w:val="000000"/>
          <w:sz w:val="20"/>
          <w:szCs w:val="20"/>
        </w:rPr>
        <w:t>Buuren</w:t>
      </w:r>
      <w:proofErr w:type="spellEnd"/>
      <w:r w:rsidRPr="008A5C48">
        <w:rPr>
          <w:rFonts w:ascii="Times New Roman" w:eastAsia="Times New Roman" w:hAnsi="Times New Roman" w:cs="Times New Roman"/>
          <w:color w:val="000000"/>
          <w:sz w:val="20"/>
          <w:szCs w:val="20"/>
        </w:rPr>
        <w:t xml:space="preserve"> (2011). These types of comparison were only done when there were more than 5% of the observations with missing values. Numerically, variables were flagged if they have 1) an absolute difference between means of the observed and imputed values greater than 2 standard deviations; or 2) a ratio of variances of the observed and imputed values that is less than 0.5 or greater than 2</w:t>
      </w:r>
      <w:r>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fldChar w:fldCharType="begin"/>
      </w:r>
      <w:r w:rsidR="00A52898">
        <w:rPr>
          <w:rFonts w:ascii="Times New Roman" w:eastAsia="Times New Roman" w:hAnsi="Times New Roman" w:cs="Times New Roman"/>
          <w:color w:val="000000"/>
          <w:sz w:val="20"/>
          <w:szCs w:val="20"/>
        </w:rPr>
        <w:instrText xml:space="preserve"> ADDIN ZOTERO_ITEM CSL_CITATION {"citationID":"pKpnwblI","properties":{"formattedCitation":"\\super 64\\nosupersub{}","plainCitation":"64","noteIndex":0},"citationItems":[{"id":158,"uris":["http://zotero.org/users/9798320/items/S2U4WJ5U"],"itemData":{"id":158,"type":"article-journal","abstract":"Multiple imputation is an effective method for dealing with missing data, and it is becoming increasingly common in many fields. However, the method is still relatively rarely used in epidemiology, perhaps in part because relatively few studies have looked at practical questions about how to implement multiple imputation in large data sets used for diverse purposes. This paper addresses this gap by focusing on the practicalities and diagnostics for multiple imputation in large data sets. It primarily discusses the method of multiple imputation by chained equations, which iterates through the data, imputing one variable at a time conditional on the others. Illustrative data were derived from 9,186 youths participating in the national evaluation of the Community Mental Health Services for Children and Their Families Program, a US federally funded program designed to develop and enhance community-based systems of care to meet the needs of children with serious emotional disturbances and their families. Multiple imputation was used to ensure that data analysis samples reflect the full population of youth participating in this program. This case study provides an illustration to assist researchers in implementing multiple imputation in their own data.","container-title":"American Journal of Epidemiology","DOI":"10.1093/aje/kwp026","ISSN":"1476-6256","issue":"9","journalAbbreviation":"Am J Epidemiol","language":"eng","note":"PMID: 19318618\nPMCID: PMC2727238","page":"1133-1139","source":"PubMed","title":"Multiple imputation with large data sets: a case study of the Children's Mental Health Initiative","title-short":"Multiple imputation with large data sets","volume":"169","author":[{"family":"Stuart","given":"Elizabeth A."},{"family":"Azur","given":"Melissa"},{"family":"Frangakis","given":"Constantine"},{"family":"Leaf","given":"Philip"}],"issued":{"date-parts":[["2009",5,1]]}}}],"schema":"https://github.com/citation-style-language/schema/raw/master/csl-citation.json"} </w:instrText>
      </w:r>
      <w:r>
        <w:rPr>
          <w:rFonts w:ascii="Times New Roman" w:eastAsia="Times New Roman" w:hAnsi="Times New Roman" w:cs="Times New Roman"/>
          <w:color w:val="000000"/>
          <w:sz w:val="20"/>
          <w:szCs w:val="20"/>
        </w:rPr>
        <w:fldChar w:fldCharType="separate"/>
      </w:r>
      <w:r w:rsidR="00A52898" w:rsidRPr="00A52898">
        <w:rPr>
          <w:rFonts w:ascii="Times New Roman" w:hAnsi="Times New Roman" w:cs="Times New Roman"/>
          <w:sz w:val="20"/>
          <w:szCs w:val="24"/>
          <w:vertAlign w:val="superscript"/>
        </w:rPr>
        <w:t>64</w:t>
      </w:r>
      <w:r>
        <w:rPr>
          <w:rFonts w:ascii="Times New Roman" w:eastAsia="Times New Roman" w:hAnsi="Times New Roman" w:cs="Times New Roman"/>
          <w:color w:val="000000"/>
          <w:sz w:val="20"/>
          <w:szCs w:val="20"/>
        </w:rPr>
        <w:fldChar w:fldCharType="end"/>
      </w:r>
      <w:r w:rsidRPr="008A5C48">
        <w:rPr>
          <w:rFonts w:ascii="Times New Roman" w:eastAsia="Times New Roman" w:hAnsi="Times New Roman" w:cs="Times New Roman"/>
          <w:color w:val="000000"/>
          <w:sz w:val="20"/>
          <w:szCs w:val="20"/>
        </w:rPr>
        <w:t xml:space="preserve">. For categorical variables, those with a significant chi-squared test between imputed and non-imputed were examined. If variables were flagged and </w:t>
      </w:r>
      <w:r w:rsidRPr="008A5C48">
        <w:rPr>
          <w:rFonts w:ascii="Times New Roman" w:eastAsia="Times New Roman" w:hAnsi="Times New Roman" w:cs="Times New Roman"/>
          <w:sz w:val="20"/>
          <w:szCs w:val="20"/>
        </w:rPr>
        <w:t>imputations seem implausible, the predictors included in the imputation model for that variable were changed to those plausible imputations were generated.</w:t>
      </w:r>
    </w:p>
    <w:p w14:paraId="60E4B502" w14:textId="77777777" w:rsidR="00262C01" w:rsidRPr="008A5C48" w:rsidRDefault="00262C01" w:rsidP="00262C01">
      <w:pPr>
        <w:pBdr>
          <w:top w:val="nil"/>
          <w:left w:val="nil"/>
          <w:bottom w:val="nil"/>
          <w:right w:val="nil"/>
          <w:between w:val="nil"/>
        </w:pBdr>
        <w:spacing w:after="0" w:line="240" w:lineRule="auto"/>
        <w:contextualSpacing/>
        <w:jc w:val="both"/>
        <w:rPr>
          <w:rFonts w:ascii="Times New Roman" w:eastAsia="Times New Roman" w:hAnsi="Times New Roman" w:cs="Times New Roman"/>
          <w:sz w:val="20"/>
          <w:szCs w:val="20"/>
        </w:rPr>
      </w:pPr>
    </w:p>
    <w:p w14:paraId="1E41DD10" w14:textId="1137FDEC" w:rsidR="005E717B" w:rsidRPr="008A5C48" w:rsidRDefault="00262C01" w:rsidP="001E32CE">
      <w:pPr>
        <w:pBdr>
          <w:top w:val="nil"/>
          <w:left w:val="nil"/>
          <w:bottom w:val="nil"/>
          <w:right w:val="nil"/>
          <w:between w:val="nil"/>
        </w:pBdr>
        <w:spacing w:after="0"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Under the missing at random hypothesis, </w:t>
      </w:r>
      <w:r w:rsidRPr="008A5C48">
        <w:rPr>
          <w:rStyle w:val="lev"/>
          <w:rFonts w:ascii="Times New Roman" w:hAnsi="Times New Roman" w:cs="Times New Roman"/>
          <w:i w:val="0"/>
          <w:iCs/>
          <w:sz w:val="20"/>
          <w:szCs w:val="20"/>
          <w:lang w:val="en-US"/>
        </w:rPr>
        <w:t>imputing the outcomes would not benefit the model compared to an analysis on complete cases</w:t>
      </w:r>
      <w:r w:rsidRPr="008A5C48">
        <w:rPr>
          <w:rStyle w:val="lev"/>
          <w:rFonts w:ascii="Times New Roman" w:hAnsi="Times New Roman" w:cs="Times New Roman"/>
          <w:sz w:val="20"/>
          <w:szCs w:val="20"/>
          <w:lang w:val="en-US"/>
        </w:rPr>
        <w:t xml:space="preserve"> </w:t>
      </w:r>
      <w:r w:rsidRPr="008A5C48">
        <w:rPr>
          <w:rStyle w:val="lev"/>
          <w:rFonts w:ascii="Times New Roman" w:hAnsi="Times New Roman" w:cs="Times New Roman"/>
          <w:sz w:val="20"/>
          <w:szCs w:val="20"/>
          <w:lang w:val="en-US"/>
        </w:rPr>
        <w:fldChar w:fldCharType="begin"/>
      </w:r>
      <w:r w:rsidR="00A52898">
        <w:rPr>
          <w:rStyle w:val="lev"/>
          <w:rFonts w:ascii="Times New Roman" w:hAnsi="Times New Roman" w:cs="Times New Roman"/>
          <w:sz w:val="20"/>
          <w:szCs w:val="20"/>
          <w:lang w:val="en-US"/>
        </w:rPr>
        <w:instrText xml:space="preserve"> ADDIN ZOTERO_ITEM CSL_CITATION {"citationID":"LSm2Er66","properties":{"formattedCitation":"\\super 65\\nosupersub{}","plainCitation":"65","noteIndex":0},"citationItems":[{"id":36,"uris":["http://zotero.org/users/9798320/items/JI4MGSK3"],"itemData":{"id":36,"type":"article-journal","abstract":"The literature of regression analysis with missing values of the independent variables is reviewed. Six classes of procedures are distinguished: complete case analysis, available case methods, least squares on imputed data, maximum likelihood, Bayesian methods, and multiple imputation. Methods are compared and illustrated when missing data are confined to one independent variable, and extensions to more general patterns are indicated. Attention is paid to the performance of methods when the missing data are not missing completely at random. Least squares methods that fill in missing X's using only data on the X's are contrasted with likelihood-based methods that use data on the X's and Y. The latter approach is preferred and provides methods for elaboration of the basic normal linear regression model. It is suggested that more widely distributed software is needed that advances beyond complete-case analysis, available-case analysis, and naive imputation methods. Bayesian simulation methods and multiple imputation are reviewed; these provide fruitful avenues for future research.","container-title":"Journal of the American Statistical Association","DOI":"10.1080/01621459.1992.10476282","ISSN":"0162-1459","issue":"420","note":"publisher: Taylor &amp; Francis\n_eprint: https://doi.org/10.1080/01621459.1992.10476282","page":"1227-1237","source":"Taylor and Francis+NEJM","title":"Regression with Missing X's: A Review","title-short":"Regression with Missing X's","volume":"87","author":[{"family":"Little","given":"Roderick J. A."}],"issued":{"date-parts":[["1992",12,1]]}}}],"schema":"https://github.com/citation-style-language/schema/raw/master/csl-citation.json"} </w:instrText>
      </w:r>
      <w:r w:rsidRPr="008A5C48">
        <w:rPr>
          <w:rStyle w:val="lev"/>
          <w:rFonts w:ascii="Times New Roman" w:hAnsi="Times New Roman" w:cs="Times New Roman"/>
          <w:sz w:val="20"/>
          <w:szCs w:val="20"/>
          <w:lang w:val="en-US"/>
        </w:rPr>
        <w:fldChar w:fldCharType="separate"/>
      </w:r>
      <w:r w:rsidR="00A52898" w:rsidRPr="00A52898">
        <w:rPr>
          <w:rFonts w:ascii="Times New Roman" w:hAnsi="Times New Roman" w:cs="Times New Roman"/>
          <w:sz w:val="20"/>
          <w:szCs w:val="24"/>
          <w:vertAlign w:val="superscript"/>
        </w:rPr>
        <w:t>65</w:t>
      </w:r>
      <w:r w:rsidRPr="008A5C48">
        <w:rPr>
          <w:rStyle w:val="lev"/>
          <w:rFonts w:ascii="Times New Roman" w:hAnsi="Times New Roman" w:cs="Times New Roman"/>
          <w:sz w:val="20"/>
          <w:szCs w:val="20"/>
          <w:lang w:val="en-US"/>
        </w:rPr>
        <w:fldChar w:fldCharType="end"/>
      </w:r>
      <w:r w:rsidRPr="008A5C48">
        <w:rPr>
          <w:rStyle w:val="lev"/>
          <w:rFonts w:ascii="Times New Roman" w:hAnsi="Times New Roman" w:cs="Times New Roman"/>
          <w:sz w:val="20"/>
          <w:szCs w:val="20"/>
          <w:lang w:val="en-US"/>
        </w:rPr>
        <w:t xml:space="preserve">. </w:t>
      </w:r>
      <w:r w:rsidRPr="008A5C48">
        <w:rPr>
          <w:rFonts w:ascii="Times New Roman" w:eastAsia="Times New Roman" w:hAnsi="Times New Roman" w:cs="Times New Roman"/>
          <w:sz w:val="20"/>
          <w:szCs w:val="20"/>
        </w:rPr>
        <w:t xml:space="preserve">Therefore, all participants with at least one missing value </w:t>
      </w:r>
      <w:r w:rsidR="00DC5B96">
        <w:rPr>
          <w:rFonts w:ascii="Times New Roman" w:eastAsia="Times New Roman" w:hAnsi="Times New Roman" w:cs="Times New Roman"/>
          <w:sz w:val="20"/>
          <w:szCs w:val="20"/>
        </w:rPr>
        <w:t xml:space="preserve">on the health parameters </w:t>
      </w:r>
      <w:r w:rsidRPr="008A5C48">
        <w:rPr>
          <w:rFonts w:ascii="Times New Roman" w:eastAsia="Times New Roman" w:hAnsi="Times New Roman" w:cs="Times New Roman"/>
          <w:sz w:val="20"/>
          <w:szCs w:val="20"/>
        </w:rPr>
        <w:t>were removed, leading to the inclusion of 870 mother-child pairs.</w:t>
      </w:r>
    </w:p>
    <w:p w14:paraId="3EA55B83" w14:textId="7BBDFAC1" w:rsidR="00480DE0" w:rsidRPr="00480DE0" w:rsidRDefault="00262C01" w:rsidP="00480DE0">
      <w:pPr>
        <w:spacing w:line="240" w:lineRule="auto"/>
        <w:contextualSpacing/>
        <w:rPr>
          <w:rFonts w:ascii="Times New Roman" w:eastAsia="Times New Roman" w:hAnsi="Times New Roman" w:cs="Times New Roman"/>
          <w:b/>
          <w:sz w:val="20"/>
          <w:szCs w:val="20"/>
        </w:rPr>
      </w:pPr>
      <w:bookmarkStart w:id="42" w:name="_Hlk126576947"/>
      <w:r>
        <w:rPr>
          <w:rFonts w:ascii="Times New Roman" w:eastAsia="Times New Roman" w:hAnsi="Times New Roman" w:cs="Times New Roman"/>
          <w:b/>
          <w:sz w:val="20"/>
          <w:szCs w:val="20"/>
        </w:rPr>
        <w:br w:type="page"/>
      </w:r>
      <w:bookmarkStart w:id="43" w:name="_Toc126332684"/>
      <w:bookmarkStart w:id="44" w:name="_Hlk126576965"/>
      <w:bookmarkEnd w:id="42"/>
    </w:p>
    <w:p w14:paraId="197562EF" w14:textId="45A770A0" w:rsidR="00AA27C9" w:rsidRPr="001E4B45" w:rsidRDefault="00B12FBA" w:rsidP="00C82488">
      <w:pPr>
        <w:pStyle w:val="Titre1"/>
        <w:rPr>
          <w:b w:val="0"/>
          <w:bCs w:val="0"/>
        </w:rPr>
      </w:pPr>
      <w:bookmarkStart w:id="45" w:name="_Toc126332685"/>
      <w:bookmarkStart w:id="46" w:name="_Toc127358154"/>
      <w:bookmarkStart w:id="47" w:name="_Toc132271582"/>
      <w:bookmarkStart w:id="48" w:name="_Hlk126576978"/>
      <w:bookmarkEnd w:id="43"/>
      <w:bookmarkEnd w:id="44"/>
      <w:proofErr w:type="spellStart"/>
      <w:r>
        <w:lastRenderedPageBreak/>
        <w:t>eMethods</w:t>
      </w:r>
      <w:proofErr w:type="spellEnd"/>
      <w:r>
        <w:t xml:space="preserve"> </w:t>
      </w:r>
      <w:r w:rsidR="00755B26">
        <w:t>7</w:t>
      </w:r>
      <w:r w:rsidR="004120E3">
        <w:t xml:space="preserve">. </w:t>
      </w:r>
      <w:r w:rsidR="00AA27C9" w:rsidRPr="001E4B45">
        <w:rPr>
          <w:b w:val="0"/>
          <w:bCs w:val="0"/>
        </w:rPr>
        <w:t>Exposome-health association study</w:t>
      </w:r>
      <w:bookmarkEnd w:id="45"/>
      <w:bookmarkEnd w:id="46"/>
      <w:bookmarkEnd w:id="47"/>
    </w:p>
    <w:bookmarkEnd w:id="48"/>
    <w:p w14:paraId="150556B1" w14:textId="77777777" w:rsidR="00262C01" w:rsidRDefault="00262C01" w:rsidP="00FB6412">
      <w:pPr>
        <w:spacing w:line="240" w:lineRule="auto"/>
        <w:contextualSpacing/>
        <w:jc w:val="both"/>
        <w:rPr>
          <w:rFonts w:ascii="Times New Roman" w:eastAsia="Times New Roman" w:hAnsi="Times New Roman" w:cs="Times New Roman"/>
          <w:sz w:val="20"/>
          <w:szCs w:val="20"/>
        </w:rPr>
      </w:pPr>
    </w:p>
    <w:p w14:paraId="2BBC8246" w14:textId="716C5CCB" w:rsidR="00966EE4" w:rsidRPr="008A5C48" w:rsidRDefault="00966211" w:rsidP="00FB6412">
      <w:pPr>
        <w:spacing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The statistical methods were identified a priori through a series of simulation studies mimicking as closely as possible the situation expected with Helix data</w:t>
      </w:r>
      <w:r w:rsidR="006A6A62">
        <w:rPr>
          <w:rFonts w:ascii="Times New Roman" w:eastAsia="Times New Roman" w:hAnsi="Times New Roman" w:cs="Times New Roman"/>
          <w:sz w:val="20"/>
          <w:szCs w:val="20"/>
        </w:rPr>
        <w:t xml:space="preserve"> </w:t>
      </w:r>
      <w:r w:rsidR="006A6A62">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{"citationID":"hgjd1hGR","properties":{"formattedCitation":"\\super 66\\nosupersub{}","plainCitation":"66","noteIndex":0},"citationItems":[{"id":91,"uris":["http://zotero.org/users/9798320/items/D256D8W7"],"itemData":{"id":91,"type":"article-journal","container-title":"Environmental Health Perspectives","DOI":"10.1289/EHP172","ISSN":"0091-6765, 1552-9924","issue":"12","journalAbbreviation":"Environmental Health Perspectives","language":"en","page":"1848-1856","source":"DOI.org (Crossref)","title":"A Systematic Comparison of Linear Regression–Based Statistical Methods to Assess Exposome-Health Associations","volume":"124","author":[{"family":"Agier","given":"Lydiane"},{"family":"Portengen","given":"Lützen"},{"family":"Chadeau-Hyam","given":"Marc"},{"family":"Basagaña","given":"Xavier"},{"family":"Giorgis-Allemand","given":"Lise"},{"family":"Siroux","given":"Valérie"},{"family":"Robinson","given":"Oliver"},{"family":"Vlaanderen","given":"Jelle"},{"family":"González","given":"Juan R."},{"family":"Nieuwenhuijsen","given":"Mark J."},{"family":"Vineis","given":"Paolo"},{"family":"Vrijheid","given":"Martine"},{"family":"Slama","given":"Rémy"},{"family":"Vermeulen","given":"Roel"}],"issued":{"date-parts":[["2016",12]]}}}],"schema":"https://github.com/citation-style-language/schema/raw/master/csl-citation.json"} </w:instrText>
      </w:r>
      <w:r w:rsidR="006A6A62">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66</w:t>
      </w:r>
      <w:r w:rsidR="006A6A62">
        <w:rPr>
          <w:rFonts w:ascii="Times New Roman" w:eastAsia="Times New Roman" w:hAnsi="Times New Roman" w:cs="Times New Roman"/>
          <w:sz w:val="20"/>
          <w:szCs w:val="20"/>
        </w:rPr>
        <w:fldChar w:fldCharType="end"/>
      </w:r>
      <w:r w:rsidRPr="008A5C48">
        <w:rPr>
          <w:rFonts w:ascii="Times New Roman" w:eastAsia="Times New Roman" w:hAnsi="Times New Roman" w:cs="Times New Roman"/>
          <w:sz w:val="20"/>
          <w:szCs w:val="20"/>
        </w:rPr>
        <w:t>. Two approaches were retained.</w:t>
      </w:r>
    </w:p>
    <w:p w14:paraId="69A83B45" w14:textId="77777777" w:rsidR="00262C01" w:rsidRDefault="00262C01" w:rsidP="00FB6412">
      <w:pPr>
        <w:spacing w:line="240" w:lineRule="auto"/>
        <w:contextualSpacing/>
        <w:jc w:val="both"/>
        <w:rPr>
          <w:rFonts w:ascii="Times New Roman" w:eastAsia="Times New Roman" w:hAnsi="Times New Roman" w:cs="Times New Roman"/>
          <w:sz w:val="20"/>
          <w:szCs w:val="20"/>
        </w:rPr>
      </w:pPr>
    </w:p>
    <w:p w14:paraId="29E22CD5" w14:textId="1266C8C1" w:rsidR="003D63D7" w:rsidRPr="008A5C48" w:rsidRDefault="00966EE4" w:rsidP="00FB6412">
      <w:pPr>
        <w:spacing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First</w:t>
      </w:r>
      <w:r w:rsidR="00966211" w:rsidRPr="008A5C48">
        <w:rPr>
          <w:rFonts w:ascii="Times New Roman" w:eastAsia="Times New Roman" w:hAnsi="Times New Roman" w:cs="Times New Roman"/>
          <w:sz w:val="20"/>
          <w:szCs w:val="20"/>
        </w:rPr>
        <w:t xml:space="preserve">, the LASSO algorithm was used for testing the association of multiple environmental exposures with </w:t>
      </w:r>
      <w:r w:rsidR="003D63D7" w:rsidRPr="008A5C48">
        <w:rPr>
          <w:rFonts w:ascii="Times New Roman" w:eastAsia="Times New Roman" w:hAnsi="Times New Roman" w:cs="Times New Roman"/>
          <w:sz w:val="20"/>
          <w:szCs w:val="20"/>
        </w:rPr>
        <w:t>the general health score</w:t>
      </w:r>
      <w:r w:rsidR="00966211" w:rsidRPr="008A5C48">
        <w:rPr>
          <w:rFonts w:ascii="Times New Roman" w:eastAsia="Times New Roman" w:hAnsi="Times New Roman" w:cs="Times New Roman"/>
          <w:sz w:val="20"/>
          <w:szCs w:val="20"/>
        </w:rPr>
        <w:t xml:space="preserve"> (multi-pollutant model). LASSO considers all exposures simultaneously </w:t>
      </w:r>
      <w:r w:rsidR="00966211" w:rsidRPr="008A5C48">
        <w:rPr>
          <w:rFonts w:ascii="Times New Roman" w:eastAsia="Times New Roman" w:hAnsi="Times New Roman" w:cs="Times New Roman"/>
          <w:sz w:val="20"/>
          <w:szCs w:val="20"/>
          <w:vertAlign w:val="superscript"/>
        </w:rPr>
        <w:t>53</w:t>
      </w:r>
      <w:r w:rsidR="00966211" w:rsidRPr="008A5C48">
        <w:rPr>
          <w:rFonts w:ascii="Times New Roman" w:eastAsia="Times New Roman" w:hAnsi="Times New Roman" w:cs="Times New Roman"/>
          <w:sz w:val="20"/>
          <w:szCs w:val="20"/>
        </w:rPr>
        <w:t>⁠ and performs variable selection through estimates’ shrinkage (</w:t>
      </w:r>
      <w:proofErr w:type="gramStart"/>
      <w:r w:rsidR="00966211" w:rsidRPr="008A5C48">
        <w:rPr>
          <w:rFonts w:ascii="Times New Roman" w:eastAsia="Times New Roman" w:hAnsi="Times New Roman" w:cs="Times New Roman"/>
          <w:sz w:val="20"/>
          <w:szCs w:val="20"/>
        </w:rPr>
        <w:t>i.e.</w:t>
      </w:r>
      <w:proofErr w:type="gramEnd"/>
      <w:r w:rsidR="00966211" w:rsidRPr="008A5C48">
        <w:rPr>
          <w:rFonts w:ascii="Times New Roman" w:eastAsia="Times New Roman" w:hAnsi="Times New Roman" w:cs="Times New Roman"/>
          <w:sz w:val="20"/>
          <w:szCs w:val="20"/>
        </w:rPr>
        <w:t xml:space="preserve"> the lowest regression coefficients corresponding to the least informative predictors are assigned a zero value). LASSO models using linear regression were computed using the </w:t>
      </w:r>
      <w:proofErr w:type="spellStart"/>
      <w:r w:rsidR="00966211" w:rsidRPr="008A5C48">
        <w:rPr>
          <w:rFonts w:ascii="Times New Roman" w:eastAsia="Times New Roman" w:hAnsi="Times New Roman" w:cs="Times New Roman"/>
          <w:i/>
          <w:sz w:val="20"/>
          <w:szCs w:val="20"/>
        </w:rPr>
        <w:t>glmnet</w:t>
      </w:r>
      <w:proofErr w:type="spellEnd"/>
      <w:r w:rsidR="00966211" w:rsidRPr="008A5C48">
        <w:rPr>
          <w:rFonts w:ascii="Times New Roman" w:eastAsia="Times New Roman" w:hAnsi="Times New Roman" w:cs="Times New Roman"/>
          <w:sz w:val="20"/>
          <w:szCs w:val="20"/>
        </w:rPr>
        <w:t xml:space="preserve"> function in the </w:t>
      </w:r>
      <w:proofErr w:type="spellStart"/>
      <w:r w:rsidR="00966211" w:rsidRPr="008A5C48">
        <w:rPr>
          <w:rFonts w:ascii="Times New Roman" w:eastAsia="Times New Roman" w:hAnsi="Times New Roman" w:cs="Times New Roman"/>
          <w:sz w:val="20"/>
          <w:szCs w:val="20"/>
        </w:rPr>
        <w:t>glmnet</w:t>
      </w:r>
      <w:proofErr w:type="spellEnd"/>
      <w:r w:rsidR="00966211" w:rsidRPr="008A5C48">
        <w:rPr>
          <w:rFonts w:ascii="Times New Roman" w:eastAsia="Times New Roman" w:hAnsi="Times New Roman" w:cs="Times New Roman"/>
          <w:sz w:val="20"/>
          <w:szCs w:val="20"/>
        </w:rPr>
        <w:t xml:space="preserve"> R package</w:t>
      </w:r>
      <w:r w:rsidR="003D63D7" w:rsidRPr="008A5C48">
        <w:rPr>
          <w:rFonts w:ascii="Times New Roman" w:eastAsia="Times New Roman" w:hAnsi="Times New Roman" w:cs="Times New Roman"/>
          <w:sz w:val="20"/>
          <w:szCs w:val="20"/>
        </w:rPr>
        <w:t xml:space="preserve"> </w:t>
      </w:r>
      <w:r w:rsidR="006A6A62">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{"citationID":"g1HBz5CY","properties":{"formattedCitation":"\\super 67\\nosupersub{}","plainCitation":"67","noteIndex":0},"citationItems":[{"id":1134,"uris":["http://zotero.org/users/9798320/items/NMXW6GVW"],"itemData":{"id":1134,"type":"article-journal","abstract":"Pediatric cardiac surgery may lead to poor outcomes such as acute kidney injury (AKI) and prolonged hospital length of stay (LOS). Plasma and urine biomarkers may help with early identification and prediction of these adverse clinical outcomes. In a recent multi-center study, 311 children undergoing cardiac surgery were enrolled to evaluate multiple biomarkers for diagnosis and prognosis of AKI and other clinical outcomes. LOS is often analyzed as count data, thus Poisson regression and negative binomial (NB) regression are common choices for developing predictive models. With many correlated prognostic factors and biomarkers, variable selection is an important step. The present paper proposes new variable selection methods for Poisson and NB regression. We evaluated regularized regression through penalized likelihood function. We first extend the elastic net (Enet) Poisson to two penalized Poisson regression: Mnet, a combination of minimax concave and ridge penalties; and Snet, a combination of smoothly clipped absolute deviation (SCAD) and ridge penalties. Furthermore, we extend the above methods to the penalized NB regression. For the Enet, Mnet, and Snet penalties (EMSnet), we develop a unified algorithm to estimate the parameters and conduct variable selection simultaneously. Simulation studies show that the proposed methods have advantages with highly correlated predictors, against some of the competing methods. Applying the proposed methods to the aforementioned data, it is discovered that early postoperative urine biomarkers including NGAL, IL18, and KIM-1 independently predict LOS, after adjusting for risk and biomarker variables.","container-title":"Statistical Methods in Medical Research","DOI":"10.1177/0962280214530608","ISSN":"0962-2802","issue":"6","journalAbbreviation":"Stat Methods Med Res","language":"en","note":"publisher: SAGE Publications Ltd STM","page":"2685-2703","source":"SAGE Journals","title":"Penalized count data regression with application to hospital stay after pediatric cardiac surgery","volume":"25","author":[{"family":"Wang","given":"Zhu"},{"family":"Ma","given":"Shuangge"},{"family":"Zappitelli","given":"Michael"},{"family":"Parikh","given":"Chirag"},{"family":"Wang","given":"Ching-Yun"},{"family":"Devarajan","given":"Prasad"}],"issued":{"date-parts":[["2016",12,1]]}}}],"schema":"https://github.com/citation-style-language/schema/raw/master/csl-citation.json"} </w:instrText>
      </w:r>
      <w:r w:rsidR="006A6A62">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67</w:t>
      </w:r>
      <w:r w:rsidR="006A6A62">
        <w:rPr>
          <w:rFonts w:ascii="Times New Roman" w:eastAsia="Times New Roman" w:hAnsi="Times New Roman" w:cs="Times New Roman"/>
          <w:sz w:val="20"/>
          <w:szCs w:val="20"/>
        </w:rPr>
        <w:fldChar w:fldCharType="end"/>
      </w:r>
      <w:r w:rsidR="006A6A62">
        <w:rPr>
          <w:rFonts w:ascii="Times New Roman" w:eastAsia="Times New Roman" w:hAnsi="Times New Roman" w:cs="Times New Roman"/>
          <w:sz w:val="20"/>
          <w:szCs w:val="20"/>
        </w:rPr>
        <w:t>.</w:t>
      </w:r>
      <w:r w:rsidR="00966211" w:rsidRPr="008A5C48">
        <w:rPr>
          <w:rFonts w:ascii="Times New Roman" w:eastAsia="Times New Roman" w:hAnsi="Times New Roman" w:cs="Times New Roman"/>
          <w:sz w:val="20"/>
          <w:szCs w:val="20"/>
        </w:rPr>
        <w:t xml:space="preserve"> We determined the overall penalty parameter, lambda, by maximizing the prediction log-likelihood using 10-fold cross-validation (function </w:t>
      </w:r>
      <w:proofErr w:type="spellStart"/>
      <w:proofErr w:type="gramStart"/>
      <w:r w:rsidR="00966211" w:rsidRPr="008A5C48">
        <w:rPr>
          <w:rFonts w:ascii="Times New Roman" w:eastAsia="Times New Roman" w:hAnsi="Times New Roman" w:cs="Times New Roman"/>
          <w:i/>
          <w:sz w:val="20"/>
          <w:szCs w:val="20"/>
        </w:rPr>
        <w:t>cv.glmnet</w:t>
      </w:r>
      <w:proofErr w:type="spellEnd"/>
      <w:proofErr w:type="gramEnd"/>
      <w:r w:rsidR="00966211" w:rsidRPr="008A5C48">
        <w:rPr>
          <w:rFonts w:ascii="Times New Roman" w:eastAsia="Times New Roman" w:hAnsi="Times New Roman" w:cs="Times New Roman"/>
          <w:sz w:val="20"/>
          <w:szCs w:val="20"/>
        </w:rPr>
        <w:t>), applied on the 20 imputed datasets separately. To identify the final exposures selected, we applied LASSO penalized models with the selected lambdas on the 20 imputed datasets separately, and kept the variables selected for at least 1</w:t>
      </w:r>
      <w:r w:rsidR="003D63D7" w:rsidRPr="008A5C48">
        <w:rPr>
          <w:rFonts w:ascii="Times New Roman" w:eastAsia="Times New Roman" w:hAnsi="Times New Roman" w:cs="Times New Roman"/>
          <w:sz w:val="20"/>
          <w:szCs w:val="20"/>
        </w:rPr>
        <w:t>0</w:t>
      </w:r>
      <w:r w:rsidR="00966211" w:rsidRPr="008A5C48">
        <w:rPr>
          <w:rFonts w:ascii="Times New Roman" w:eastAsia="Times New Roman" w:hAnsi="Times New Roman" w:cs="Times New Roman"/>
          <w:sz w:val="20"/>
          <w:szCs w:val="20"/>
        </w:rPr>
        <w:t xml:space="preserve"> datasets out of the 20 (</w:t>
      </w:r>
      <w:r w:rsidR="003D63D7" w:rsidRPr="008A5C48">
        <w:rPr>
          <w:rFonts w:ascii="Times New Roman" w:eastAsia="Times New Roman" w:hAnsi="Times New Roman" w:cs="Times New Roman"/>
          <w:sz w:val="20"/>
          <w:szCs w:val="20"/>
        </w:rPr>
        <w:t>5</w:t>
      </w:r>
      <w:r w:rsidR="00966211" w:rsidRPr="008A5C48">
        <w:rPr>
          <w:rFonts w:ascii="Times New Roman" w:eastAsia="Times New Roman" w:hAnsi="Times New Roman" w:cs="Times New Roman"/>
          <w:sz w:val="20"/>
          <w:szCs w:val="20"/>
        </w:rPr>
        <w:t>0%). To obtain final effect estimates, we fitted a linear regression (</w:t>
      </w:r>
      <w:proofErr w:type="spellStart"/>
      <w:r w:rsidR="00966211" w:rsidRPr="008A5C48">
        <w:rPr>
          <w:rFonts w:ascii="Times New Roman" w:eastAsia="Times New Roman" w:hAnsi="Times New Roman" w:cs="Times New Roman"/>
          <w:i/>
          <w:sz w:val="20"/>
          <w:szCs w:val="20"/>
        </w:rPr>
        <w:t>lm</w:t>
      </w:r>
      <w:proofErr w:type="spellEnd"/>
      <w:r w:rsidR="00966211" w:rsidRPr="008A5C48">
        <w:rPr>
          <w:rFonts w:ascii="Times New Roman" w:eastAsia="Times New Roman" w:hAnsi="Times New Roman" w:cs="Times New Roman"/>
          <w:sz w:val="20"/>
          <w:szCs w:val="20"/>
        </w:rPr>
        <w:t>) that was simultaneously adjusted for all exposure variables selected by LASSO (after checking for potential collinearity) plus our set of </w:t>
      </w:r>
      <w:r w:rsidR="00966211" w:rsidRPr="008A5C48">
        <w:rPr>
          <w:rFonts w:ascii="Times New Roman" w:eastAsia="Times New Roman" w:hAnsi="Times New Roman" w:cs="Times New Roman"/>
          <w:i/>
          <w:sz w:val="20"/>
          <w:szCs w:val="20"/>
        </w:rPr>
        <w:t>a priori</w:t>
      </w:r>
      <w:r w:rsidR="00966211" w:rsidRPr="008A5C48">
        <w:rPr>
          <w:rFonts w:ascii="Times New Roman" w:eastAsia="Times New Roman" w:hAnsi="Times New Roman" w:cs="Times New Roman"/>
          <w:sz w:val="20"/>
          <w:szCs w:val="20"/>
        </w:rPr>
        <w:t xml:space="preserve"> confounders. </w:t>
      </w:r>
      <w:r w:rsidR="00027188" w:rsidRPr="008A5C48">
        <w:rPr>
          <w:rFonts w:ascii="Times New Roman" w:eastAsia="Times New Roman" w:hAnsi="Times New Roman" w:cs="Times New Roman"/>
          <w:sz w:val="20"/>
          <w:szCs w:val="20"/>
        </w:rPr>
        <w:t>Finally, we removed all exposures with p-value over 10% one by one, removing each time the exposure with the highest p-value.</w:t>
      </w:r>
      <w:r w:rsidR="00394E1F" w:rsidRPr="008A5C48">
        <w:rPr>
          <w:rFonts w:ascii="Times New Roman" w:eastAsia="Times New Roman" w:hAnsi="Times New Roman" w:cs="Times New Roman"/>
          <w:sz w:val="20"/>
          <w:szCs w:val="20"/>
        </w:rPr>
        <w:t xml:space="preserve"> </w:t>
      </w:r>
    </w:p>
    <w:p w14:paraId="13558274" w14:textId="77777777" w:rsidR="00262C01" w:rsidRDefault="00262C01" w:rsidP="00FB6412">
      <w:pPr>
        <w:spacing w:line="240" w:lineRule="auto"/>
        <w:contextualSpacing/>
        <w:jc w:val="both"/>
        <w:rPr>
          <w:rFonts w:ascii="Times New Roman" w:eastAsia="Times New Roman" w:hAnsi="Times New Roman" w:cs="Times New Roman"/>
          <w:sz w:val="20"/>
          <w:szCs w:val="20"/>
        </w:rPr>
      </w:pPr>
    </w:p>
    <w:p w14:paraId="59B25A10" w14:textId="2F73F4ED" w:rsidR="00966EE4" w:rsidRPr="008A5C48" w:rsidRDefault="00966EE4" w:rsidP="00FB6412">
      <w:pPr>
        <w:spacing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Then, exposome-wide association study (</w:t>
      </w:r>
      <w:proofErr w:type="spellStart"/>
      <w:r w:rsidRPr="008A5C48">
        <w:rPr>
          <w:rFonts w:ascii="Times New Roman" w:eastAsia="Times New Roman" w:hAnsi="Times New Roman" w:cs="Times New Roman"/>
          <w:sz w:val="20"/>
          <w:szCs w:val="20"/>
        </w:rPr>
        <w:t>ExWAS</w:t>
      </w:r>
      <w:proofErr w:type="spellEnd"/>
      <w:r w:rsidRPr="008A5C48">
        <w:rPr>
          <w:rFonts w:ascii="Times New Roman" w:eastAsia="Times New Roman" w:hAnsi="Times New Roman" w:cs="Times New Roman"/>
          <w:sz w:val="20"/>
          <w:szCs w:val="20"/>
        </w:rPr>
        <w:t xml:space="preserve">) analyses were used to perform exposure-by-exposure estimation of the association with the general health score, using linear regression adjusted for confounders using the </w:t>
      </w:r>
      <w:proofErr w:type="spellStart"/>
      <w:r w:rsidRPr="008A5C48">
        <w:rPr>
          <w:rFonts w:ascii="Times New Roman" w:eastAsia="Times New Roman" w:hAnsi="Times New Roman" w:cs="Times New Roman"/>
          <w:i/>
          <w:sz w:val="20"/>
          <w:szCs w:val="20"/>
        </w:rPr>
        <w:t>lm</w:t>
      </w:r>
      <w:proofErr w:type="spellEnd"/>
      <w:r w:rsidRPr="008A5C48">
        <w:rPr>
          <w:rFonts w:ascii="Times New Roman" w:eastAsia="Times New Roman" w:hAnsi="Times New Roman" w:cs="Times New Roman"/>
          <w:sz w:val="20"/>
          <w:szCs w:val="20"/>
        </w:rPr>
        <w:t xml:space="preserve"> function in the R. To account for multiple comparisons, a family wise error rate correction was used to correct the p-value threshold </w:t>
      </w:r>
      <w:r w:rsidR="006A6A62">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{"citationID":"ez0IKNg0","properties":{"formattedCitation":"\\super 68\\nosupersub{}","plainCitation":"68","noteIndex":0},"citationItems":[{"id":192,"uris":["http://zotero.org/users/9798320/items/QNQ679UP"],"itemData":{"id":192,"type":"article-journal","abstract":"Current genome-wide association studies (GWAS) use commercial genotyping microarrays that can assay over a million single nucleotide polymorphisms (SNPs). The number of SNPs is further boosted by advanced statistical genotype-imputation algorithms and large SNP databases for reference human populations. The testing of a huge number of SNPs needs to be taken into account in the interpretation of statistical significance in such genome-wide studies, but this is complicated by the non-independence of SNPs because of linkage disequilibrium (LD). Several previous groups have proposed the use of the effective number of independent markers (Me) for the adjustment of multiple testing, but current methods of calculation for Me are limited in accuracy or computational speed. Here, we report a more robust and fast method to calculate Me. Applying this efficient method [implemented in a free software tool named Genetic type 1 error calculator (GEC)], we systematically examined the Me, and the corresponding p-value thresholds required to control the genome-wide type 1 error rate at 0.05, for 13 Illumina or Affymetrix genotyping arrays, as well as for HapMap Project and 1000 Genomes Project datasets which are widely used in genotype imputation as reference panels. Our results suggested the use of a p-value threshold of ~10−7 as the criterion for genome-wide significance for early commercial genotyping arrays, but slightly more stringent p-value thresholds ~5 × 10−8 for current or merged commercial genotyping arrays, ~10−8 for all common SNPs in the 1000 Genomes Project dataset and ~5 × 10−8 for the common SNPs only within genes.","container-title":"Human Genetics","DOI":"10.1007/s00439-011-1118-2","ISSN":"1432-1203","issue":"5","journalAbbreviation":"Hum Genet","language":"en","page":"747-756","source":"Springer Link","title":"Evaluating the effective numbers of independent tests and significant p-value thresholds in commercial genotyping arrays and public imputation reference datasets","volume":"131","author":[{"family":"Li","given":"Miao-Xin"},{"family":"Yeung","given":"Juilian M. Y."},{"family":"Cherny","given":"Stacey S."},{"family":"Sham","given":"Pak C."}],"issued":{"date-parts":[["2012",5,1]]}}}],"schema":"https://github.com/citation-style-language/schema/raw/master/csl-citation.json"} </w:instrText>
      </w:r>
      <w:r w:rsidR="006A6A62">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68</w:t>
      </w:r>
      <w:r w:rsidR="006A6A62">
        <w:rPr>
          <w:rFonts w:ascii="Times New Roman" w:eastAsia="Times New Roman" w:hAnsi="Times New Roman" w:cs="Times New Roman"/>
          <w:sz w:val="20"/>
          <w:szCs w:val="20"/>
        </w:rPr>
        <w:fldChar w:fldCharType="end"/>
      </w:r>
      <w:r w:rsidRPr="008A5C48">
        <w:rPr>
          <w:rFonts w:ascii="Times New Roman" w:eastAsia="Times New Roman" w:hAnsi="Times New Roman" w:cs="Times New Roman"/>
          <w:sz w:val="20"/>
          <w:szCs w:val="20"/>
        </w:rPr>
        <w:t>. The correction uses a Bonferroni procedure extended to handle correlated tests: the actual number of exposures being tested (M) is replaced by a smaller value called the effective number of independent exposures (Me). Me is estimated by ∑</w:t>
      </w:r>
      <w:proofErr w:type="spellStart"/>
      <w:r w:rsidRPr="008A5C48">
        <w:rPr>
          <w:rFonts w:ascii="Times New Roman" w:eastAsia="Times New Roman" w:hAnsi="Times New Roman" w:cs="Times New Roman"/>
          <w:sz w:val="20"/>
          <w:szCs w:val="20"/>
        </w:rPr>
        <w:t>i</w:t>
      </w:r>
      <w:proofErr w:type="spellEnd"/>
      <w:r w:rsidRPr="008A5C48">
        <w:rPr>
          <w:rFonts w:ascii="Times New Roman" w:eastAsia="Times New Roman" w:hAnsi="Times New Roman" w:cs="Times New Roman"/>
          <w:sz w:val="20"/>
          <w:szCs w:val="20"/>
        </w:rPr>
        <w:t>=1 M [</w:t>
      </w:r>
      <w:proofErr w:type="gramStart"/>
      <w:r w:rsidRPr="008A5C48">
        <w:rPr>
          <w:rFonts w:ascii="Times New Roman" w:eastAsia="Times New Roman" w:hAnsi="Times New Roman" w:cs="Times New Roman"/>
          <w:sz w:val="20"/>
          <w:szCs w:val="20"/>
        </w:rPr>
        <w:t>I(</w:t>
      </w:r>
      <w:proofErr w:type="spellStart"/>
      <w:proofErr w:type="gramEnd"/>
      <w:r w:rsidRPr="008A5C48">
        <w:rPr>
          <w:rFonts w:ascii="Times New Roman" w:eastAsia="Times New Roman" w:hAnsi="Times New Roman" w:cs="Times New Roman"/>
          <w:sz w:val="20"/>
          <w:szCs w:val="20"/>
        </w:rPr>
        <w:t>λi</w:t>
      </w:r>
      <w:proofErr w:type="spellEnd"/>
      <w:r w:rsidRPr="008A5C48">
        <w:rPr>
          <w:rFonts w:ascii="Times New Roman" w:eastAsia="Times New Roman" w:hAnsi="Times New Roman" w:cs="Times New Roman"/>
          <w:sz w:val="20"/>
          <w:szCs w:val="20"/>
        </w:rPr>
        <w:t xml:space="preserve"> &gt;1)(</w:t>
      </w:r>
      <w:proofErr w:type="spellStart"/>
      <w:r w:rsidRPr="008A5C48">
        <w:rPr>
          <w:rFonts w:ascii="Times New Roman" w:eastAsia="Times New Roman" w:hAnsi="Times New Roman" w:cs="Times New Roman"/>
          <w:sz w:val="20"/>
          <w:szCs w:val="20"/>
        </w:rPr>
        <w:t>λi</w:t>
      </w:r>
      <w:proofErr w:type="spellEnd"/>
      <w:r w:rsidRPr="008A5C48">
        <w:rPr>
          <w:rFonts w:ascii="Times New Roman" w:eastAsia="Times New Roman" w:hAnsi="Times New Roman" w:cs="Times New Roman"/>
          <w:sz w:val="20"/>
          <w:szCs w:val="20"/>
        </w:rPr>
        <w:t xml:space="preserve"> − 1)], where I(x) is an indicator function and </w:t>
      </w:r>
      <w:proofErr w:type="spellStart"/>
      <w:r w:rsidRPr="008A5C48">
        <w:rPr>
          <w:rFonts w:ascii="Times New Roman" w:eastAsia="Times New Roman" w:hAnsi="Times New Roman" w:cs="Times New Roman"/>
          <w:sz w:val="20"/>
          <w:szCs w:val="20"/>
        </w:rPr>
        <w:t>λi</w:t>
      </w:r>
      <w:proofErr w:type="spellEnd"/>
      <w:r w:rsidRPr="008A5C48">
        <w:rPr>
          <w:rFonts w:ascii="Times New Roman" w:eastAsia="Times New Roman" w:hAnsi="Times New Roman" w:cs="Times New Roman"/>
          <w:sz w:val="20"/>
          <w:szCs w:val="20"/>
        </w:rPr>
        <w:t xml:space="preserve"> are the eigenvalues of the matrix of correlations between M exposures. The p value threshold to control FWER to α, using Me in a Bonferroni procedure, is then α /Me.</w:t>
      </w:r>
    </w:p>
    <w:p w14:paraId="432B6C22" w14:textId="77777777" w:rsidR="00262C01" w:rsidRDefault="00262C01" w:rsidP="00FB6412">
      <w:pPr>
        <w:spacing w:after="0" w:line="240" w:lineRule="auto"/>
        <w:contextualSpacing/>
        <w:jc w:val="both"/>
        <w:rPr>
          <w:rFonts w:ascii="Times New Roman" w:eastAsia="Times New Roman" w:hAnsi="Times New Roman" w:cs="Times New Roman"/>
          <w:sz w:val="20"/>
          <w:szCs w:val="20"/>
        </w:rPr>
      </w:pPr>
    </w:p>
    <w:p w14:paraId="58AFE664" w14:textId="1C160A64" w:rsidR="005E717B" w:rsidRPr="008A5C48" w:rsidRDefault="00966211" w:rsidP="00FB6412">
      <w:pPr>
        <w:spacing w:after="0"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Both statistical methods (</w:t>
      </w:r>
      <w:proofErr w:type="spellStart"/>
      <w:r w:rsidRPr="008A5C48">
        <w:rPr>
          <w:rFonts w:ascii="Times New Roman" w:eastAsia="Times New Roman" w:hAnsi="Times New Roman" w:cs="Times New Roman"/>
          <w:sz w:val="20"/>
          <w:szCs w:val="20"/>
        </w:rPr>
        <w:t>ExWAS</w:t>
      </w:r>
      <w:proofErr w:type="spellEnd"/>
      <w:r w:rsidRPr="008A5C48">
        <w:rPr>
          <w:rFonts w:ascii="Times New Roman" w:eastAsia="Times New Roman" w:hAnsi="Times New Roman" w:cs="Times New Roman"/>
          <w:sz w:val="20"/>
          <w:szCs w:val="20"/>
        </w:rPr>
        <w:t xml:space="preserve"> and LASSO) were performed separately for the prenatal and the childhood exposomes and were adjusted for potential confounders.</w:t>
      </w:r>
      <w:r w:rsidR="007F722E">
        <w:rPr>
          <w:rFonts w:ascii="Times New Roman" w:eastAsia="Times New Roman" w:hAnsi="Times New Roman" w:cs="Times New Roman"/>
          <w:sz w:val="20"/>
          <w:szCs w:val="20"/>
        </w:rPr>
        <w:t xml:space="preserve"> Fixed effects were used for all </w:t>
      </w:r>
      <w:r w:rsidR="00B60C3C">
        <w:rPr>
          <w:rFonts w:ascii="Times New Roman" w:eastAsia="Times New Roman" w:hAnsi="Times New Roman" w:cs="Times New Roman"/>
          <w:sz w:val="20"/>
          <w:szCs w:val="20"/>
        </w:rPr>
        <w:t>confounders</w:t>
      </w:r>
      <w:r w:rsidR="001B2D9D">
        <w:rPr>
          <w:rFonts w:ascii="Times New Roman" w:eastAsia="Times New Roman" w:hAnsi="Times New Roman" w:cs="Times New Roman"/>
          <w:sz w:val="20"/>
          <w:szCs w:val="20"/>
        </w:rPr>
        <w:t xml:space="preserve"> including the cohort</w:t>
      </w:r>
      <w:r w:rsidR="007F722E">
        <w:rPr>
          <w:rFonts w:ascii="Times New Roman" w:eastAsia="Times New Roman" w:hAnsi="Times New Roman" w:cs="Times New Roman"/>
          <w:sz w:val="20"/>
          <w:szCs w:val="20"/>
        </w:rPr>
        <w:t>.</w:t>
      </w:r>
      <w:r w:rsidRPr="008A5C48">
        <w:rPr>
          <w:rFonts w:ascii="Times New Roman" w:eastAsia="Times New Roman" w:hAnsi="Times New Roman" w:cs="Times New Roman"/>
          <w:sz w:val="20"/>
          <w:szCs w:val="20"/>
        </w:rPr>
        <w:t xml:space="preserve"> Rubin’s rules were used to aggregate the results from the 20 imputed datasets</w:t>
      </w:r>
      <w:r w:rsidR="006A6A62">
        <w:rPr>
          <w:rFonts w:ascii="Times New Roman" w:eastAsia="Times New Roman" w:hAnsi="Times New Roman" w:cs="Times New Roman"/>
          <w:sz w:val="20"/>
          <w:szCs w:val="20"/>
        </w:rPr>
        <w:t xml:space="preserve"> </w:t>
      </w:r>
      <w:r w:rsidR="006A6A62">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{"citationID":"GFf2mpmw","properties":{"formattedCitation":"\\super 69\\nosupersub{}","plainCitation":"69","noteIndex":0},"citationItems":[{"id":276,"uris":["http://zotero.org/users/9798320/items/XMA7VKKE"],"itemData":{"id":276,"type":"article-journal","abstract":"Multiple imputation by chained equations is a flexible and practical approach to handling missing data. We describe the principles of the method and show how to impute categorical and quantitative variables, including skewed variables. We give guidance on how to specify the imputation model and how many imputations are needed. We describe the practical analysis of multiply imputed data, including model building and model checking. We stress the limitations of the method and discuss the possible pitfalls. We illustrate the ideas using a data set in mental health, giving Stata code fragments.","container-title":"Statistics in Medicine","DOI":"10.1002/sim.4067","ISSN":"1097-0258","issue":"4","journalAbbreviation":"Stat Med","language":"eng","note":"PMID: 21225900","page":"377-399","source":"PubMed","title":"Multiple imputation using chained equations: Issues and guidance for practice","title-short":"Multiple imputation using chained equations","volume":"30","author":[{"family":"White","given":"Ian R."},{"family":"Royston","given":"Patrick"},{"family":"Wood","given":"Angela M."}],"issued":{"date-parts":[["2011",2,20]]}}}],"schema":"https://github.com/citation-style-language/schema/raw/master/csl-citation.json"} </w:instrText>
      </w:r>
      <w:r w:rsidR="006A6A62">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69</w:t>
      </w:r>
      <w:r w:rsidR="006A6A62">
        <w:rPr>
          <w:rFonts w:ascii="Times New Roman" w:eastAsia="Times New Roman" w:hAnsi="Times New Roman" w:cs="Times New Roman"/>
          <w:sz w:val="20"/>
          <w:szCs w:val="20"/>
        </w:rPr>
        <w:fldChar w:fldCharType="end"/>
      </w:r>
      <w:r w:rsidR="006A6A62">
        <w:rPr>
          <w:rFonts w:ascii="Times New Roman" w:eastAsia="Times New Roman" w:hAnsi="Times New Roman" w:cs="Times New Roman"/>
          <w:sz w:val="20"/>
          <w:szCs w:val="20"/>
        </w:rPr>
        <w:t xml:space="preserve">. </w:t>
      </w:r>
      <w:r w:rsidR="003D63D7" w:rsidRPr="008A5C48">
        <w:rPr>
          <w:rFonts w:ascii="Times New Roman" w:eastAsia="Times New Roman" w:hAnsi="Times New Roman" w:cs="Times New Roman"/>
          <w:sz w:val="20"/>
          <w:szCs w:val="20"/>
        </w:rPr>
        <w:t>The final model consisted in a multivariable linear regression considering all the selected exposures with LASSO, using the Rubin’s rule to pool the results from the 20 imputed datasets. All exposures that were not significant at the 10% risk level were removed one by one, removing each time the exposure with the highest p-value.</w:t>
      </w:r>
    </w:p>
    <w:p w14:paraId="7D4DD881" w14:textId="77777777" w:rsidR="00262C01" w:rsidRDefault="00262C01" w:rsidP="00FB6412">
      <w:pPr>
        <w:spacing w:before="240" w:line="240" w:lineRule="auto"/>
        <w:contextualSpacing/>
        <w:jc w:val="both"/>
        <w:rPr>
          <w:rFonts w:ascii="Times New Roman" w:eastAsia="Times New Roman" w:hAnsi="Times New Roman" w:cs="Times New Roman"/>
          <w:sz w:val="20"/>
          <w:szCs w:val="20"/>
        </w:rPr>
      </w:pPr>
    </w:p>
    <w:p w14:paraId="63F4590D" w14:textId="1898EFE3" w:rsidR="005E717B" w:rsidRDefault="00966211" w:rsidP="00FB6412">
      <w:pPr>
        <w:spacing w:before="240"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The two approaches retained have each their advantages and drawbacks and both are complementary. </w:t>
      </w:r>
      <w:proofErr w:type="spellStart"/>
      <w:r w:rsidRPr="008A5C48">
        <w:rPr>
          <w:rFonts w:ascii="Times New Roman" w:eastAsia="Times New Roman" w:hAnsi="Times New Roman" w:cs="Times New Roman"/>
          <w:sz w:val="20"/>
          <w:szCs w:val="20"/>
        </w:rPr>
        <w:t>ExWAS</w:t>
      </w:r>
      <w:proofErr w:type="spellEnd"/>
      <w:r w:rsidRPr="008A5C48">
        <w:rPr>
          <w:rFonts w:ascii="Times New Roman" w:eastAsia="Times New Roman" w:hAnsi="Times New Roman" w:cs="Times New Roman"/>
          <w:sz w:val="20"/>
          <w:szCs w:val="20"/>
        </w:rPr>
        <w:t xml:space="preserve"> allows screening all individual exposures, but does not take into account potential confounding between them and is at higher risk of false positive selection with our data structure </w:t>
      </w:r>
      <w:r w:rsidR="006A6A62">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{"citationID":"XDVXk0f7","properties":{"formattedCitation":"\\super 66\\nosupersub{}","plainCitation":"66","noteIndex":0},"citationItems":[{"id":91,"uris":["http://zotero.org/users/9798320/items/D256D8W7"],"itemData":{"id":91,"type":"article-journal","container-title":"Environmental Health Perspectives","DOI":"10.1289/EHP172","ISSN":"0091-6765, 1552-9924","issue":"12","journalAbbreviation":"Environmental Health Perspectives","language":"en","page":"1848-1856","source":"DOI.org (Crossref)","title":"A Systematic Comparison of Linear Regression–Based Statistical Methods to Assess Exposome-Health Associations","volume":"124","author":[{"family":"Agier","given":"Lydiane"},{"family":"Portengen","given":"Lützen"},{"family":"Chadeau-Hyam","given":"Marc"},{"family":"Basagaña","given":"Xavier"},{"family":"Giorgis-Allemand","given":"Lise"},{"family":"Siroux","given":"Valérie"},{"family":"Robinson","given":"Oliver"},{"family":"Vlaanderen","given":"Jelle"},{"family":"González","given":"Juan R."},{"family":"Nieuwenhuijsen","given":"Mark J."},{"family":"Vineis","given":"Paolo"},{"family":"Vrijheid","given":"Martine"},{"family":"Slama","given":"Rémy"},{"family":"Vermeulen","given":"Roel"}],"issued":{"date-parts":[["2016",12]]}}}],"schema":"https://github.com/citation-style-language/schema/raw/master/csl-citation.json"} </w:instrText>
      </w:r>
      <w:r w:rsidR="006A6A62">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66</w:t>
      </w:r>
      <w:r w:rsidR="006A6A62">
        <w:rPr>
          <w:rFonts w:ascii="Times New Roman" w:eastAsia="Times New Roman" w:hAnsi="Times New Roman" w:cs="Times New Roman"/>
          <w:sz w:val="20"/>
          <w:szCs w:val="20"/>
        </w:rPr>
        <w:fldChar w:fldCharType="end"/>
      </w:r>
      <w:r w:rsidR="006A6A62">
        <w:rPr>
          <w:rFonts w:ascii="Times New Roman" w:eastAsia="Times New Roman" w:hAnsi="Times New Roman" w:cs="Times New Roman"/>
          <w:sz w:val="20"/>
          <w:szCs w:val="20"/>
        </w:rPr>
        <w:t xml:space="preserve">. </w:t>
      </w:r>
      <w:r w:rsidRPr="008A5C48">
        <w:rPr>
          <w:rFonts w:ascii="Times New Roman" w:eastAsia="Times New Roman" w:hAnsi="Times New Roman" w:cs="Times New Roman"/>
          <w:sz w:val="20"/>
          <w:szCs w:val="20"/>
        </w:rPr>
        <w:t>On the other hand, LASSO - a variable selection method which aims to optimally predict the outcome – has the advantage that it mutually adjusts for the effect of other exposures, but will tend to select only one predictor in the case when a true predictor is highly correlated with other exposures (e.g., within an exposure family)</w:t>
      </w:r>
      <w:r w:rsidR="006A6A62">
        <w:rPr>
          <w:rFonts w:ascii="Times New Roman" w:eastAsia="Times New Roman" w:hAnsi="Times New Roman" w:cs="Times New Roman"/>
          <w:sz w:val="20"/>
          <w:szCs w:val="20"/>
        </w:rPr>
        <w:t xml:space="preserve"> </w:t>
      </w:r>
      <w:r w:rsidR="006A6A62">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{"citationID":"v4BRE8Vz","properties":{"formattedCitation":"\\super 66\\nosupersub{}","plainCitation":"66","noteIndex":0},"citationItems":[{"id":91,"uris":["http://zotero.org/users/9798320/items/D256D8W7"],"itemData":{"id":91,"type":"article-journal","container-title":"Environmental Health Perspectives","DOI":"10.1289/EHP172","ISSN":"0091-6765, 1552-9924","issue":"12","journalAbbreviation":"Environmental Health Perspectives","language":"en","page":"1848-1856","source":"DOI.org (Crossref)","title":"A Systematic Comparison of Linear Regression–Based Statistical Methods to Assess Exposome-Health Associations","volume":"124","author":[{"family":"Agier","given":"Lydiane"},{"family":"Portengen","given":"Lützen"},{"family":"Chadeau-Hyam","given":"Marc"},{"family":"Basagaña","given":"Xavier"},{"family":"Giorgis-Allemand","given":"Lise"},{"family":"Siroux","given":"Valérie"},{"family":"Robinson","given":"Oliver"},{"family":"Vlaanderen","given":"Jelle"},{"family":"González","given":"Juan R."},{"family":"Nieuwenhuijsen","given":"Mark J."},{"family":"Vineis","given":"Paolo"},{"family":"Vrijheid","given":"Martine"},{"family":"Slama","given":"Rémy"},{"family":"Vermeulen","given":"Roel"}],"issued":{"date-parts":[["2016",12]]}}}],"schema":"https://github.com/citation-style-language/schema/raw/master/csl-citation.json"} </w:instrText>
      </w:r>
      <w:r w:rsidR="006A6A62">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66</w:t>
      </w:r>
      <w:r w:rsidR="006A6A62">
        <w:rPr>
          <w:rFonts w:ascii="Times New Roman" w:eastAsia="Times New Roman" w:hAnsi="Times New Roman" w:cs="Times New Roman"/>
          <w:sz w:val="20"/>
          <w:szCs w:val="20"/>
        </w:rPr>
        <w:fldChar w:fldCharType="end"/>
      </w:r>
      <w:r w:rsidR="00C46E60">
        <w:rPr>
          <w:rFonts w:ascii="Times New Roman" w:eastAsia="Times New Roman" w:hAnsi="Times New Roman" w:cs="Times New Roman"/>
          <w:sz w:val="20"/>
          <w:szCs w:val="20"/>
        </w:rPr>
        <w:t>.</w:t>
      </w:r>
    </w:p>
    <w:p w14:paraId="4A67CDFC" w14:textId="384FB7D1" w:rsidR="00C46E60" w:rsidRDefault="00C46E60" w:rsidP="009D7293">
      <w:pPr>
        <w:rPr>
          <w:rFonts w:ascii="Times New Roman" w:eastAsia="Times New Roman" w:hAnsi="Times New Roman" w:cs="Times New Roman"/>
          <w:sz w:val="20"/>
          <w:szCs w:val="20"/>
        </w:rPr>
      </w:pPr>
    </w:p>
    <w:p w14:paraId="6D4D3576" w14:textId="77777777" w:rsidR="00C46E60" w:rsidRDefault="00C46E60" w:rsidP="00FB6412">
      <w:pPr>
        <w:spacing w:before="240" w:line="240" w:lineRule="auto"/>
        <w:contextualSpacing/>
        <w:jc w:val="both"/>
        <w:rPr>
          <w:rFonts w:ascii="Times New Roman" w:eastAsia="Times New Roman" w:hAnsi="Times New Roman" w:cs="Times New Roman"/>
          <w:sz w:val="20"/>
          <w:szCs w:val="20"/>
        </w:rPr>
      </w:pPr>
    </w:p>
    <w:p w14:paraId="5B31AADC" w14:textId="77777777" w:rsidR="00C46E60" w:rsidRDefault="00C46E60" w:rsidP="00FB6412">
      <w:pPr>
        <w:spacing w:before="240" w:line="240" w:lineRule="auto"/>
        <w:contextualSpacing/>
        <w:jc w:val="both"/>
        <w:rPr>
          <w:rFonts w:ascii="Times New Roman" w:eastAsia="Times New Roman" w:hAnsi="Times New Roman" w:cs="Times New Roman"/>
          <w:sz w:val="20"/>
          <w:szCs w:val="20"/>
        </w:rPr>
      </w:pPr>
    </w:p>
    <w:p w14:paraId="6F26667D" w14:textId="4608D073" w:rsidR="00C46E60" w:rsidRPr="008A5C48" w:rsidRDefault="00C46E60" w:rsidP="00FB6412">
      <w:pPr>
        <w:spacing w:before="240" w:line="240" w:lineRule="auto"/>
        <w:contextualSpacing/>
        <w:jc w:val="both"/>
        <w:rPr>
          <w:rFonts w:ascii="Times New Roman" w:eastAsia="Times New Roman" w:hAnsi="Times New Roman" w:cs="Times New Roman"/>
          <w:sz w:val="20"/>
          <w:szCs w:val="20"/>
        </w:rPr>
        <w:sectPr w:rsidR="00C46E60" w:rsidRPr="008A5C48">
          <w:footerReference w:type="default" r:id="rId10"/>
          <w:pgSz w:w="11906" w:h="16838"/>
          <w:pgMar w:top="1417" w:right="1701" w:bottom="1417" w:left="1701" w:header="708" w:footer="708" w:gutter="0"/>
          <w:pgNumType w:start="1"/>
          <w:cols w:space="720"/>
        </w:sectPr>
      </w:pPr>
    </w:p>
    <w:p w14:paraId="3678089F" w14:textId="0C886EC2" w:rsidR="006965CC" w:rsidRDefault="006965CC" w:rsidP="006965CC">
      <w:pPr>
        <w:pStyle w:val="Titre1"/>
        <w:rPr>
          <w:b w:val="0"/>
          <w:bCs w:val="0"/>
          <w:shd w:val="clear" w:color="auto" w:fill="FFFFFF"/>
          <w:lang w:val="en-US"/>
        </w:rPr>
      </w:pPr>
      <w:bookmarkStart w:id="49" w:name="_Toc132271583"/>
      <w:bookmarkStart w:id="50" w:name="_Toc127358155"/>
      <w:bookmarkStart w:id="51" w:name="_Hlk127367039"/>
      <w:bookmarkStart w:id="52" w:name="_Hlk126576987"/>
      <w:proofErr w:type="spellStart"/>
      <w:r w:rsidRPr="007B142D">
        <w:rPr>
          <w:shd w:val="clear" w:color="auto" w:fill="FFFFFF"/>
          <w:lang w:val="en-US"/>
        </w:rPr>
        <w:lastRenderedPageBreak/>
        <w:t>eTable</w:t>
      </w:r>
      <w:proofErr w:type="spellEnd"/>
      <w:r w:rsidRPr="007B142D">
        <w:rPr>
          <w:shd w:val="clear" w:color="auto" w:fill="FFFFFF"/>
          <w:lang w:val="en-US"/>
        </w:rPr>
        <w:t xml:space="preserve"> </w:t>
      </w:r>
      <w:r>
        <w:rPr>
          <w:shd w:val="clear" w:color="auto" w:fill="FFFFFF"/>
          <w:lang w:val="en-US"/>
        </w:rPr>
        <w:t>1</w:t>
      </w:r>
      <w:r w:rsidRPr="007B142D">
        <w:rPr>
          <w:shd w:val="clear" w:color="auto" w:fill="FFFFFF"/>
          <w:lang w:val="en-US"/>
        </w:rPr>
        <w:t xml:space="preserve">. </w:t>
      </w:r>
      <w:r w:rsidRPr="007B142D">
        <w:rPr>
          <w:b w:val="0"/>
          <w:bCs w:val="0"/>
          <w:shd w:val="clear" w:color="auto" w:fill="FFFFFF"/>
          <w:lang w:val="en-US"/>
        </w:rPr>
        <w:t>Collection time points of health parameters in childhood (mean, SD)</w:t>
      </w:r>
      <w:bookmarkEnd w:id="49"/>
    </w:p>
    <w:p w14:paraId="35EF9587" w14:textId="77777777" w:rsidR="006965CC" w:rsidRPr="007B142D" w:rsidRDefault="006965CC" w:rsidP="006965CC">
      <w:pPr>
        <w:rPr>
          <w:lang w:val="en-US"/>
        </w:rPr>
      </w:pPr>
    </w:p>
    <w:tbl>
      <w:tblPr>
        <w:tblStyle w:val="Grilledutableau"/>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4"/>
        <w:gridCol w:w="1294"/>
        <w:gridCol w:w="1294"/>
        <w:gridCol w:w="1295"/>
        <w:gridCol w:w="1295"/>
        <w:gridCol w:w="1295"/>
        <w:gridCol w:w="1295"/>
      </w:tblGrid>
      <w:tr w:rsidR="006965CC" w:rsidRPr="007B142D" w14:paraId="135D2769" w14:textId="77777777" w:rsidTr="004C09A6">
        <w:tc>
          <w:tcPr>
            <w:tcW w:w="1294" w:type="dxa"/>
            <w:vAlign w:val="center"/>
          </w:tcPr>
          <w:p w14:paraId="434826BF"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p>
        </w:tc>
        <w:tc>
          <w:tcPr>
            <w:tcW w:w="7768" w:type="dxa"/>
            <w:gridSpan w:val="6"/>
            <w:tcBorders>
              <w:top w:val="single" w:sz="4" w:space="0" w:color="auto"/>
              <w:bottom w:val="single" w:sz="4" w:space="0" w:color="auto"/>
            </w:tcBorders>
            <w:vAlign w:val="center"/>
          </w:tcPr>
          <w:p w14:paraId="42034AE6"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r w:rsidRPr="007B142D">
              <w:rPr>
                <w:rFonts w:ascii="Times New Roman" w:eastAsia="Times New Roman" w:hAnsi="Times New Roman" w:cs="Times New Roman"/>
                <w:b/>
                <w:color w:val="000000"/>
                <w:sz w:val="20"/>
                <w:szCs w:val="20"/>
              </w:rPr>
              <w:t>Cohort</w:t>
            </w:r>
          </w:p>
        </w:tc>
      </w:tr>
      <w:tr w:rsidR="006965CC" w:rsidRPr="007B142D" w14:paraId="667EB1F0" w14:textId="77777777" w:rsidTr="004C09A6">
        <w:tc>
          <w:tcPr>
            <w:tcW w:w="1294" w:type="dxa"/>
            <w:tcBorders>
              <w:bottom w:val="nil"/>
            </w:tcBorders>
            <w:vAlign w:val="center"/>
          </w:tcPr>
          <w:p w14:paraId="77BD900D"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p>
        </w:tc>
        <w:tc>
          <w:tcPr>
            <w:tcW w:w="1294" w:type="dxa"/>
            <w:tcBorders>
              <w:top w:val="single" w:sz="4" w:space="0" w:color="auto"/>
              <w:bottom w:val="single" w:sz="4" w:space="0" w:color="auto"/>
            </w:tcBorders>
            <w:vAlign w:val="center"/>
          </w:tcPr>
          <w:p w14:paraId="3E4C49AB"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proofErr w:type="spellStart"/>
            <w:r w:rsidRPr="007B142D">
              <w:rPr>
                <w:rFonts w:ascii="Times New Roman" w:eastAsia="Times New Roman" w:hAnsi="Times New Roman" w:cs="Times New Roman"/>
                <w:b/>
                <w:color w:val="000000"/>
                <w:sz w:val="20"/>
                <w:szCs w:val="20"/>
              </w:rPr>
              <w:t>BiB</w:t>
            </w:r>
            <w:proofErr w:type="spellEnd"/>
          </w:p>
        </w:tc>
        <w:tc>
          <w:tcPr>
            <w:tcW w:w="1294" w:type="dxa"/>
            <w:tcBorders>
              <w:top w:val="single" w:sz="4" w:space="0" w:color="auto"/>
              <w:bottom w:val="single" w:sz="4" w:space="0" w:color="auto"/>
            </w:tcBorders>
            <w:vAlign w:val="center"/>
          </w:tcPr>
          <w:p w14:paraId="0FB30435"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r w:rsidRPr="007B142D">
              <w:rPr>
                <w:rFonts w:ascii="Times New Roman" w:eastAsia="Times New Roman" w:hAnsi="Times New Roman" w:cs="Times New Roman"/>
                <w:b/>
                <w:color w:val="000000"/>
                <w:sz w:val="20"/>
                <w:szCs w:val="20"/>
              </w:rPr>
              <w:t>EDEN</w:t>
            </w:r>
          </w:p>
        </w:tc>
        <w:tc>
          <w:tcPr>
            <w:tcW w:w="1295" w:type="dxa"/>
            <w:tcBorders>
              <w:top w:val="single" w:sz="4" w:space="0" w:color="auto"/>
              <w:bottom w:val="single" w:sz="4" w:space="0" w:color="auto"/>
            </w:tcBorders>
            <w:vAlign w:val="center"/>
          </w:tcPr>
          <w:p w14:paraId="61B52BFC"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r w:rsidRPr="007B142D">
              <w:rPr>
                <w:rFonts w:ascii="Times New Roman" w:eastAsia="Times New Roman" w:hAnsi="Times New Roman" w:cs="Times New Roman"/>
                <w:b/>
                <w:color w:val="000000"/>
                <w:sz w:val="20"/>
                <w:szCs w:val="20"/>
              </w:rPr>
              <w:t>KANC</w:t>
            </w:r>
          </w:p>
        </w:tc>
        <w:tc>
          <w:tcPr>
            <w:tcW w:w="1295" w:type="dxa"/>
            <w:tcBorders>
              <w:top w:val="single" w:sz="4" w:space="0" w:color="auto"/>
              <w:bottom w:val="single" w:sz="4" w:space="0" w:color="auto"/>
            </w:tcBorders>
            <w:vAlign w:val="center"/>
          </w:tcPr>
          <w:p w14:paraId="7E654E5D"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r w:rsidRPr="007B142D">
              <w:rPr>
                <w:rFonts w:ascii="Times New Roman" w:eastAsia="Times New Roman" w:hAnsi="Times New Roman" w:cs="Times New Roman"/>
                <w:b/>
                <w:color w:val="000000"/>
                <w:sz w:val="20"/>
                <w:szCs w:val="20"/>
              </w:rPr>
              <w:t>INMA</w:t>
            </w:r>
          </w:p>
        </w:tc>
        <w:tc>
          <w:tcPr>
            <w:tcW w:w="1295" w:type="dxa"/>
            <w:tcBorders>
              <w:top w:val="single" w:sz="4" w:space="0" w:color="auto"/>
              <w:bottom w:val="single" w:sz="4" w:space="0" w:color="auto"/>
            </w:tcBorders>
            <w:vAlign w:val="center"/>
          </w:tcPr>
          <w:p w14:paraId="0F7C549A"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proofErr w:type="spellStart"/>
            <w:r w:rsidRPr="007B142D">
              <w:rPr>
                <w:rFonts w:ascii="Times New Roman" w:eastAsia="Times New Roman" w:hAnsi="Times New Roman" w:cs="Times New Roman"/>
                <w:b/>
                <w:color w:val="000000"/>
                <w:sz w:val="20"/>
                <w:szCs w:val="20"/>
              </w:rPr>
              <w:t>MoBa</w:t>
            </w:r>
            <w:proofErr w:type="spellEnd"/>
          </w:p>
        </w:tc>
        <w:tc>
          <w:tcPr>
            <w:tcW w:w="1295" w:type="dxa"/>
            <w:tcBorders>
              <w:top w:val="single" w:sz="4" w:space="0" w:color="auto"/>
              <w:bottom w:val="single" w:sz="4" w:space="0" w:color="auto"/>
            </w:tcBorders>
            <w:vAlign w:val="center"/>
          </w:tcPr>
          <w:p w14:paraId="2FC65384"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r w:rsidRPr="007B142D">
              <w:rPr>
                <w:rFonts w:ascii="Times New Roman" w:eastAsia="Times New Roman" w:hAnsi="Times New Roman" w:cs="Times New Roman"/>
                <w:b/>
                <w:color w:val="000000"/>
                <w:sz w:val="20"/>
                <w:szCs w:val="20"/>
              </w:rPr>
              <w:t>RHEA</w:t>
            </w:r>
          </w:p>
        </w:tc>
      </w:tr>
      <w:tr w:rsidR="006965CC" w:rsidRPr="007B142D" w14:paraId="2EF6960D" w14:textId="77777777" w:rsidTr="004C09A6">
        <w:tc>
          <w:tcPr>
            <w:tcW w:w="1294" w:type="dxa"/>
            <w:tcBorders>
              <w:top w:val="nil"/>
              <w:bottom w:val="single" w:sz="4" w:space="0" w:color="auto"/>
            </w:tcBorders>
            <w:vAlign w:val="center"/>
          </w:tcPr>
          <w:p w14:paraId="257D2CDD" w14:textId="77777777" w:rsidR="006965CC" w:rsidRPr="007B142D" w:rsidRDefault="006965CC" w:rsidP="004C09A6">
            <w:pPr>
              <w:jc w:val="center"/>
              <w:rPr>
                <w:rFonts w:ascii="Times New Roman" w:hAnsi="Times New Roman" w:cs="Times New Roman"/>
                <w:b/>
                <w:bCs/>
                <w:color w:val="4472C4" w:themeColor="accent1"/>
                <w:sz w:val="20"/>
                <w:szCs w:val="20"/>
                <w:shd w:val="clear" w:color="auto" w:fill="FFFFFF"/>
                <w:lang w:val="en-US"/>
              </w:rPr>
            </w:pPr>
            <w:r w:rsidRPr="007B142D">
              <w:rPr>
                <w:rFonts w:ascii="Times New Roman" w:hAnsi="Times New Roman" w:cs="Times New Roman"/>
                <w:b/>
                <w:bCs/>
                <w:sz w:val="20"/>
                <w:szCs w:val="20"/>
                <w:shd w:val="clear" w:color="auto" w:fill="FFFFFF"/>
                <w:lang w:val="en-US"/>
              </w:rPr>
              <w:t xml:space="preserve">Child age </w:t>
            </w:r>
            <w:r w:rsidRPr="007B142D">
              <w:rPr>
                <w:rFonts w:ascii="Times New Roman" w:hAnsi="Times New Roman" w:cs="Times New Roman"/>
                <w:sz w:val="20"/>
                <w:szCs w:val="20"/>
                <w:shd w:val="clear" w:color="auto" w:fill="FFFFFF"/>
                <w:lang w:val="en-US"/>
              </w:rPr>
              <w:t>(years)</w:t>
            </w:r>
          </w:p>
        </w:tc>
        <w:tc>
          <w:tcPr>
            <w:tcW w:w="1294" w:type="dxa"/>
            <w:tcBorders>
              <w:top w:val="single" w:sz="4" w:space="0" w:color="auto"/>
              <w:bottom w:val="single" w:sz="4" w:space="0" w:color="auto"/>
            </w:tcBorders>
            <w:vAlign w:val="center"/>
          </w:tcPr>
          <w:p w14:paraId="4E2EEA9C"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r w:rsidRPr="007B142D">
              <w:rPr>
                <w:rFonts w:ascii="Times New Roman" w:eastAsia="Times New Roman" w:hAnsi="Times New Roman" w:cs="Times New Roman"/>
                <w:color w:val="000000"/>
                <w:sz w:val="20"/>
                <w:szCs w:val="20"/>
              </w:rPr>
              <w:t>6.6 (0.2)</w:t>
            </w:r>
          </w:p>
        </w:tc>
        <w:tc>
          <w:tcPr>
            <w:tcW w:w="1294" w:type="dxa"/>
            <w:tcBorders>
              <w:top w:val="single" w:sz="4" w:space="0" w:color="auto"/>
              <w:bottom w:val="single" w:sz="4" w:space="0" w:color="auto"/>
            </w:tcBorders>
            <w:vAlign w:val="center"/>
          </w:tcPr>
          <w:p w14:paraId="78EB31B8"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r w:rsidRPr="007B142D">
              <w:rPr>
                <w:rFonts w:ascii="Times New Roman" w:eastAsia="Times New Roman" w:hAnsi="Times New Roman" w:cs="Times New Roman"/>
                <w:color w:val="000000"/>
                <w:sz w:val="20"/>
                <w:szCs w:val="20"/>
              </w:rPr>
              <w:t>10.8 (0.6)</w:t>
            </w:r>
          </w:p>
        </w:tc>
        <w:tc>
          <w:tcPr>
            <w:tcW w:w="1295" w:type="dxa"/>
            <w:tcBorders>
              <w:top w:val="single" w:sz="4" w:space="0" w:color="auto"/>
              <w:bottom w:val="single" w:sz="4" w:space="0" w:color="auto"/>
            </w:tcBorders>
            <w:vAlign w:val="center"/>
          </w:tcPr>
          <w:p w14:paraId="71DF51E2"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r w:rsidRPr="007B142D">
              <w:rPr>
                <w:rFonts w:ascii="Times New Roman" w:eastAsia="Times New Roman" w:hAnsi="Times New Roman" w:cs="Times New Roman"/>
                <w:color w:val="000000"/>
                <w:sz w:val="20"/>
                <w:szCs w:val="20"/>
              </w:rPr>
              <w:t>6.5 (0.5)</w:t>
            </w:r>
          </w:p>
        </w:tc>
        <w:tc>
          <w:tcPr>
            <w:tcW w:w="1295" w:type="dxa"/>
            <w:tcBorders>
              <w:top w:val="single" w:sz="4" w:space="0" w:color="auto"/>
              <w:bottom w:val="single" w:sz="4" w:space="0" w:color="auto"/>
            </w:tcBorders>
            <w:vAlign w:val="center"/>
          </w:tcPr>
          <w:p w14:paraId="1F5536A0"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r w:rsidRPr="007B142D">
              <w:rPr>
                <w:rFonts w:ascii="Times New Roman" w:eastAsia="Times New Roman" w:hAnsi="Times New Roman" w:cs="Times New Roman"/>
                <w:color w:val="000000"/>
                <w:sz w:val="20"/>
                <w:szCs w:val="20"/>
              </w:rPr>
              <w:t xml:space="preserve">8.8 (0.6) </w:t>
            </w:r>
          </w:p>
        </w:tc>
        <w:tc>
          <w:tcPr>
            <w:tcW w:w="1295" w:type="dxa"/>
            <w:tcBorders>
              <w:top w:val="single" w:sz="4" w:space="0" w:color="auto"/>
              <w:bottom w:val="single" w:sz="4" w:space="0" w:color="auto"/>
            </w:tcBorders>
            <w:vAlign w:val="center"/>
          </w:tcPr>
          <w:p w14:paraId="231D64C7"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r w:rsidRPr="007B142D">
              <w:rPr>
                <w:rFonts w:ascii="Times New Roman" w:eastAsia="Times New Roman" w:hAnsi="Times New Roman" w:cs="Times New Roman"/>
                <w:color w:val="000000"/>
                <w:sz w:val="20"/>
                <w:szCs w:val="20"/>
              </w:rPr>
              <w:t>8.5 (0.5)</w:t>
            </w:r>
          </w:p>
        </w:tc>
        <w:tc>
          <w:tcPr>
            <w:tcW w:w="1295" w:type="dxa"/>
            <w:tcBorders>
              <w:top w:val="single" w:sz="4" w:space="0" w:color="auto"/>
              <w:bottom w:val="single" w:sz="4" w:space="0" w:color="auto"/>
            </w:tcBorders>
            <w:vAlign w:val="center"/>
          </w:tcPr>
          <w:p w14:paraId="39AFF92A" w14:textId="77777777" w:rsidR="006965CC" w:rsidRPr="007B142D" w:rsidRDefault="006965CC" w:rsidP="004C09A6">
            <w:pPr>
              <w:jc w:val="center"/>
              <w:rPr>
                <w:rFonts w:ascii="Times New Roman" w:hAnsi="Times New Roman" w:cs="Times New Roman"/>
                <w:color w:val="4472C4" w:themeColor="accent1"/>
                <w:sz w:val="20"/>
                <w:szCs w:val="20"/>
                <w:shd w:val="clear" w:color="auto" w:fill="FFFFFF"/>
                <w:lang w:val="en-US"/>
              </w:rPr>
            </w:pPr>
            <w:r w:rsidRPr="007B142D">
              <w:rPr>
                <w:rFonts w:ascii="Times New Roman" w:eastAsia="Times New Roman" w:hAnsi="Times New Roman" w:cs="Times New Roman"/>
                <w:color w:val="000000"/>
                <w:sz w:val="20"/>
                <w:szCs w:val="20"/>
              </w:rPr>
              <w:t>6.5 (0.3)</w:t>
            </w:r>
          </w:p>
        </w:tc>
      </w:tr>
    </w:tbl>
    <w:p w14:paraId="44E749BD" w14:textId="77777777" w:rsidR="006965CC" w:rsidRPr="007B142D" w:rsidRDefault="006965CC" w:rsidP="006965CC">
      <w:pPr>
        <w:pBdr>
          <w:top w:val="nil"/>
          <w:left w:val="nil"/>
          <w:bottom w:val="nil"/>
          <w:right w:val="nil"/>
          <w:between w:val="nil"/>
        </w:pBdr>
        <w:spacing w:after="0"/>
        <w:jc w:val="both"/>
        <w:rPr>
          <w:rFonts w:ascii="Times New Roman" w:eastAsia="Times New Roman" w:hAnsi="Times New Roman" w:cs="Times New Roman"/>
          <w:color w:val="000000"/>
          <w:sz w:val="20"/>
          <w:szCs w:val="20"/>
          <w:lang w:val="en-US"/>
        </w:rPr>
      </w:pPr>
      <w:r w:rsidRPr="007B142D">
        <w:rPr>
          <w:rFonts w:ascii="Times New Roman" w:eastAsia="Times New Roman" w:hAnsi="Times New Roman" w:cs="Times New Roman"/>
          <w:color w:val="000000"/>
          <w:sz w:val="20"/>
          <w:szCs w:val="20"/>
          <w:lang w:val="en-US"/>
        </w:rPr>
        <w:t xml:space="preserve">Abbreviations: </w:t>
      </w:r>
      <w:r w:rsidRPr="007B142D">
        <w:rPr>
          <w:rFonts w:ascii="Times New Roman" w:eastAsia="Times New Roman" w:hAnsi="Times New Roman" w:cs="Times New Roman"/>
          <w:bCs/>
          <w:color w:val="000000"/>
          <w:sz w:val="20"/>
          <w:szCs w:val="20"/>
          <w:lang w:val="en-US"/>
        </w:rPr>
        <w:t>SD:</w:t>
      </w:r>
      <w:r w:rsidRPr="007B142D">
        <w:rPr>
          <w:rFonts w:ascii="Times New Roman" w:eastAsia="Times New Roman" w:hAnsi="Times New Roman" w:cs="Times New Roman"/>
          <w:color w:val="000000"/>
          <w:sz w:val="20"/>
          <w:szCs w:val="20"/>
          <w:lang w:val="en-US"/>
        </w:rPr>
        <w:t xml:space="preserve"> standard deviation</w:t>
      </w:r>
    </w:p>
    <w:p w14:paraId="7804A967" w14:textId="77777777" w:rsidR="006965CC" w:rsidRPr="007B142D" w:rsidRDefault="006965CC" w:rsidP="006965CC">
      <w:pPr>
        <w:pBdr>
          <w:top w:val="nil"/>
          <w:left w:val="nil"/>
          <w:bottom w:val="nil"/>
          <w:right w:val="nil"/>
          <w:between w:val="nil"/>
        </w:pBdr>
        <w:spacing w:after="0"/>
        <w:jc w:val="both"/>
        <w:rPr>
          <w:rFonts w:ascii="Times New Roman" w:hAnsi="Times New Roman" w:cs="Times New Roman"/>
        </w:rPr>
      </w:pPr>
    </w:p>
    <w:p w14:paraId="65E3DB23" w14:textId="77777777" w:rsidR="006965CC" w:rsidRPr="00E10FA6" w:rsidRDefault="006965CC" w:rsidP="006965CC">
      <w:pPr>
        <w:rPr>
          <w:rFonts w:ascii="Times New Roman" w:eastAsia="Times New Roman" w:hAnsi="Times New Roman" w:cs="Times New Roman"/>
          <w:b/>
          <w:bCs/>
        </w:rPr>
      </w:pPr>
      <w:r w:rsidRPr="00E10FA6">
        <w:rPr>
          <w:rFonts w:ascii="Times New Roman" w:eastAsia="Times New Roman" w:hAnsi="Times New Roman" w:cs="Times New Roman"/>
        </w:rPr>
        <w:br w:type="page"/>
      </w:r>
    </w:p>
    <w:p w14:paraId="3AB5A02A" w14:textId="41449CF1" w:rsidR="00C03B92" w:rsidRPr="001E4B45" w:rsidRDefault="00C03B92" w:rsidP="00B12FBA">
      <w:pPr>
        <w:pStyle w:val="Titre1"/>
        <w:rPr>
          <w:rFonts w:eastAsia="Times New Roman"/>
          <w:b w:val="0"/>
          <w:bCs w:val="0"/>
        </w:rPr>
      </w:pPr>
      <w:bookmarkStart w:id="53" w:name="_Toc132271584"/>
      <w:proofErr w:type="spellStart"/>
      <w:r w:rsidRPr="00C46E60">
        <w:rPr>
          <w:rFonts w:eastAsia="Times New Roman"/>
        </w:rPr>
        <w:lastRenderedPageBreak/>
        <w:t>eTable</w:t>
      </w:r>
      <w:proofErr w:type="spellEnd"/>
      <w:r w:rsidRPr="00C46E60">
        <w:rPr>
          <w:rFonts w:eastAsia="Times New Roman"/>
        </w:rPr>
        <w:t xml:space="preserve"> </w:t>
      </w:r>
      <w:r w:rsidR="006965CC">
        <w:rPr>
          <w:rFonts w:eastAsia="Times New Roman"/>
        </w:rPr>
        <w:t>2</w:t>
      </w:r>
      <w:r w:rsidR="006A1988">
        <w:rPr>
          <w:rFonts w:eastAsia="Times New Roman"/>
        </w:rPr>
        <w:t>.</w:t>
      </w:r>
      <w:r w:rsidRPr="00C46E60">
        <w:rPr>
          <w:rFonts w:eastAsia="Times New Roman"/>
        </w:rPr>
        <w:t xml:space="preserve"> </w:t>
      </w:r>
      <w:r w:rsidRPr="001E4B45">
        <w:rPr>
          <w:rFonts w:eastAsia="Times New Roman"/>
          <w:b w:val="0"/>
          <w:bCs w:val="0"/>
        </w:rPr>
        <w:t>Biological matrices of maternal and child samples</w:t>
      </w:r>
      <w:bookmarkEnd w:id="50"/>
      <w:bookmarkEnd w:id="53"/>
    </w:p>
    <w:bookmarkEnd w:id="51"/>
    <w:p w14:paraId="64CE44DF" w14:textId="77777777" w:rsidR="00C03B92" w:rsidRPr="008A5C48" w:rsidRDefault="00C03B92" w:rsidP="00C03B92">
      <w:pPr>
        <w:keepNext/>
        <w:pBdr>
          <w:top w:val="nil"/>
          <w:left w:val="nil"/>
          <w:bottom w:val="nil"/>
          <w:right w:val="nil"/>
          <w:between w:val="nil"/>
        </w:pBdr>
        <w:spacing w:line="240" w:lineRule="auto"/>
        <w:contextualSpacing/>
        <w:jc w:val="both"/>
        <w:rPr>
          <w:rFonts w:ascii="Times New Roman" w:eastAsia="Times New Roman" w:hAnsi="Times New Roman" w:cs="Times New Roman"/>
          <w:b/>
          <w:sz w:val="20"/>
          <w:szCs w:val="20"/>
        </w:rPr>
      </w:pPr>
    </w:p>
    <w:tbl>
      <w:tblPr>
        <w:tblStyle w:val="a7"/>
        <w:tblW w:w="8504"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194"/>
        <w:gridCol w:w="1438"/>
        <w:gridCol w:w="1102"/>
        <w:gridCol w:w="1102"/>
        <w:gridCol w:w="1464"/>
        <w:gridCol w:w="1102"/>
        <w:gridCol w:w="1102"/>
      </w:tblGrid>
      <w:tr w:rsidR="00C03B92" w:rsidRPr="008A5C48" w14:paraId="09E62C7C" w14:textId="77777777" w:rsidTr="0034607E">
        <w:tc>
          <w:tcPr>
            <w:tcW w:w="1194" w:type="dxa"/>
            <w:vMerge w:val="restart"/>
            <w:shd w:val="clear" w:color="auto" w:fill="auto"/>
            <w:vAlign w:val="bottom"/>
          </w:tcPr>
          <w:p w14:paraId="58350224" w14:textId="77777777" w:rsidR="00C03B92" w:rsidRPr="008A5C48" w:rsidRDefault="00C03B92" w:rsidP="0034607E">
            <w:pPr>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Chemicals</w:t>
            </w:r>
          </w:p>
        </w:tc>
        <w:tc>
          <w:tcPr>
            <w:tcW w:w="7310" w:type="dxa"/>
            <w:gridSpan w:val="6"/>
            <w:shd w:val="clear" w:color="auto" w:fill="auto"/>
          </w:tcPr>
          <w:p w14:paraId="04A004D6" w14:textId="77777777" w:rsidR="00C03B92" w:rsidRPr="008A5C48" w:rsidRDefault="00C03B92" w:rsidP="0034607E">
            <w:pPr>
              <w:contextualSpacing/>
              <w:jc w:val="center"/>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Cohort</w:t>
            </w:r>
          </w:p>
        </w:tc>
      </w:tr>
      <w:tr w:rsidR="00C03B92" w:rsidRPr="008A5C48" w14:paraId="5876211B" w14:textId="77777777" w:rsidTr="0034607E">
        <w:tc>
          <w:tcPr>
            <w:tcW w:w="1194" w:type="dxa"/>
            <w:vMerge/>
            <w:shd w:val="clear" w:color="auto" w:fill="auto"/>
            <w:vAlign w:val="bottom"/>
          </w:tcPr>
          <w:p w14:paraId="5E454100" w14:textId="77777777" w:rsidR="00C03B92" w:rsidRPr="008A5C48" w:rsidRDefault="00C03B92" w:rsidP="0034607E">
            <w:pPr>
              <w:widowControl w:val="0"/>
              <w:pBdr>
                <w:top w:val="nil"/>
                <w:left w:val="nil"/>
                <w:bottom w:val="nil"/>
                <w:right w:val="nil"/>
                <w:between w:val="nil"/>
              </w:pBdr>
              <w:contextualSpacing/>
              <w:rPr>
                <w:rFonts w:ascii="Times New Roman" w:eastAsia="Times New Roman" w:hAnsi="Times New Roman" w:cs="Times New Roman"/>
                <w:b/>
                <w:sz w:val="20"/>
                <w:szCs w:val="20"/>
              </w:rPr>
            </w:pPr>
          </w:p>
        </w:tc>
        <w:tc>
          <w:tcPr>
            <w:tcW w:w="1438" w:type="dxa"/>
            <w:shd w:val="clear" w:color="auto" w:fill="auto"/>
          </w:tcPr>
          <w:p w14:paraId="21DB806F" w14:textId="77777777" w:rsidR="00C03B92" w:rsidRPr="008A5C48" w:rsidRDefault="00C03B92" w:rsidP="0034607E">
            <w:pPr>
              <w:contextualSpacing/>
              <w:jc w:val="center"/>
              <w:rPr>
                <w:rFonts w:ascii="Times New Roman" w:eastAsia="Times New Roman" w:hAnsi="Times New Roman" w:cs="Times New Roman"/>
                <w:b/>
                <w:sz w:val="20"/>
                <w:szCs w:val="20"/>
              </w:rPr>
            </w:pPr>
            <w:proofErr w:type="spellStart"/>
            <w:r w:rsidRPr="008A5C48">
              <w:rPr>
                <w:rFonts w:ascii="Times New Roman" w:eastAsia="Times New Roman" w:hAnsi="Times New Roman" w:cs="Times New Roman"/>
                <w:b/>
                <w:sz w:val="20"/>
                <w:szCs w:val="20"/>
              </w:rPr>
              <w:t>BiB</w:t>
            </w:r>
            <w:proofErr w:type="spellEnd"/>
          </w:p>
        </w:tc>
        <w:tc>
          <w:tcPr>
            <w:tcW w:w="1102" w:type="dxa"/>
            <w:shd w:val="clear" w:color="auto" w:fill="auto"/>
          </w:tcPr>
          <w:p w14:paraId="7CDAD738" w14:textId="77777777" w:rsidR="00C03B92" w:rsidRPr="008A5C48" w:rsidRDefault="00C03B92" w:rsidP="0034607E">
            <w:pPr>
              <w:contextualSpacing/>
              <w:jc w:val="center"/>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EDEN</w:t>
            </w:r>
          </w:p>
        </w:tc>
        <w:tc>
          <w:tcPr>
            <w:tcW w:w="1102" w:type="dxa"/>
            <w:shd w:val="clear" w:color="auto" w:fill="auto"/>
          </w:tcPr>
          <w:p w14:paraId="727F88AF" w14:textId="77777777" w:rsidR="00C03B92" w:rsidRPr="008A5C48" w:rsidRDefault="00C03B92" w:rsidP="0034607E">
            <w:pPr>
              <w:contextualSpacing/>
              <w:jc w:val="center"/>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KANC</w:t>
            </w:r>
          </w:p>
        </w:tc>
        <w:tc>
          <w:tcPr>
            <w:tcW w:w="1464" w:type="dxa"/>
            <w:shd w:val="clear" w:color="auto" w:fill="auto"/>
          </w:tcPr>
          <w:p w14:paraId="21AB9FD5" w14:textId="77777777" w:rsidR="00C03B92" w:rsidRPr="008A5C48" w:rsidRDefault="00C03B92" w:rsidP="0034607E">
            <w:pPr>
              <w:contextualSpacing/>
              <w:jc w:val="center"/>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INMA</w:t>
            </w:r>
          </w:p>
        </w:tc>
        <w:tc>
          <w:tcPr>
            <w:tcW w:w="1102" w:type="dxa"/>
            <w:shd w:val="clear" w:color="auto" w:fill="auto"/>
          </w:tcPr>
          <w:p w14:paraId="501F6467" w14:textId="77777777" w:rsidR="00C03B92" w:rsidRPr="008A5C48" w:rsidRDefault="00C03B92" w:rsidP="0034607E">
            <w:pPr>
              <w:contextualSpacing/>
              <w:jc w:val="center"/>
              <w:rPr>
                <w:rFonts w:ascii="Times New Roman" w:eastAsia="Times New Roman" w:hAnsi="Times New Roman" w:cs="Times New Roman"/>
                <w:b/>
                <w:sz w:val="20"/>
                <w:szCs w:val="20"/>
              </w:rPr>
            </w:pPr>
            <w:proofErr w:type="spellStart"/>
            <w:r w:rsidRPr="008A5C48">
              <w:rPr>
                <w:rFonts w:ascii="Times New Roman" w:eastAsia="Times New Roman" w:hAnsi="Times New Roman" w:cs="Times New Roman"/>
                <w:b/>
                <w:sz w:val="20"/>
                <w:szCs w:val="20"/>
              </w:rPr>
              <w:t>MoBa</w:t>
            </w:r>
            <w:proofErr w:type="spellEnd"/>
          </w:p>
        </w:tc>
        <w:tc>
          <w:tcPr>
            <w:tcW w:w="1102" w:type="dxa"/>
            <w:shd w:val="clear" w:color="auto" w:fill="auto"/>
          </w:tcPr>
          <w:p w14:paraId="5F5B9BD5" w14:textId="77777777" w:rsidR="00C03B92" w:rsidRPr="008A5C48" w:rsidRDefault="00C03B92" w:rsidP="0034607E">
            <w:pPr>
              <w:contextualSpacing/>
              <w:jc w:val="center"/>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RHEA</w:t>
            </w:r>
          </w:p>
        </w:tc>
      </w:tr>
      <w:tr w:rsidR="00C03B92" w:rsidRPr="008A5C48" w14:paraId="3C8EEA0A" w14:textId="77777777" w:rsidTr="0034607E">
        <w:tc>
          <w:tcPr>
            <w:tcW w:w="8504" w:type="dxa"/>
            <w:gridSpan w:val="7"/>
            <w:shd w:val="clear" w:color="auto" w:fill="auto"/>
          </w:tcPr>
          <w:p w14:paraId="46E0E3C5" w14:textId="77777777" w:rsidR="00C03B92" w:rsidRPr="008A5C48" w:rsidRDefault="00C03B92" w:rsidP="0034607E">
            <w:pPr>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OCs and PBDEs</w:t>
            </w:r>
          </w:p>
        </w:tc>
      </w:tr>
      <w:tr w:rsidR="00C03B92" w:rsidRPr="008A5C48" w14:paraId="1A028ADD" w14:textId="77777777" w:rsidTr="0034607E">
        <w:tc>
          <w:tcPr>
            <w:tcW w:w="1194" w:type="dxa"/>
            <w:shd w:val="clear" w:color="auto" w:fill="auto"/>
          </w:tcPr>
          <w:p w14:paraId="51B54392" w14:textId="77777777" w:rsidR="00C03B92" w:rsidRPr="008A5C48" w:rsidRDefault="00C03B92" w:rsidP="0034607E">
            <w:pPr>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 Mother</w:t>
            </w:r>
          </w:p>
        </w:tc>
        <w:tc>
          <w:tcPr>
            <w:tcW w:w="1438" w:type="dxa"/>
            <w:shd w:val="clear" w:color="auto" w:fill="auto"/>
          </w:tcPr>
          <w:p w14:paraId="31EE0BE3"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serum/plasma</w:t>
            </w:r>
          </w:p>
        </w:tc>
        <w:tc>
          <w:tcPr>
            <w:tcW w:w="1102" w:type="dxa"/>
            <w:shd w:val="clear" w:color="auto" w:fill="auto"/>
          </w:tcPr>
          <w:p w14:paraId="144AC0C2"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c>
          <w:tcPr>
            <w:tcW w:w="1102" w:type="dxa"/>
            <w:shd w:val="clear" w:color="auto" w:fill="auto"/>
          </w:tcPr>
          <w:p w14:paraId="12D19C49"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464" w:type="dxa"/>
            <w:shd w:val="clear" w:color="auto" w:fill="auto"/>
          </w:tcPr>
          <w:p w14:paraId="0E654CC7"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c>
          <w:tcPr>
            <w:tcW w:w="1102" w:type="dxa"/>
            <w:shd w:val="clear" w:color="auto" w:fill="auto"/>
          </w:tcPr>
          <w:p w14:paraId="5F3F20DE"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102" w:type="dxa"/>
            <w:shd w:val="clear" w:color="auto" w:fill="auto"/>
          </w:tcPr>
          <w:p w14:paraId="13DCD5CB"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r>
      <w:tr w:rsidR="00C03B92" w:rsidRPr="008A5C48" w14:paraId="332A9A9E" w14:textId="77777777" w:rsidTr="0034607E">
        <w:tc>
          <w:tcPr>
            <w:tcW w:w="1194" w:type="dxa"/>
            <w:shd w:val="clear" w:color="auto" w:fill="auto"/>
          </w:tcPr>
          <w:p w14:paraId="6E960A03" w14:textId="77777777" w:rsidR="00C03B92" w:rsidRPr="008A5C48" w:rsidRDefault="00C03B92" w:rsidP="0034607E">
            <w:pPr>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 Child</w:t>
            </w:r>
          </w:p>
        </w:tc>
        <w:tc>
          <w:tcPr>
            <w:tcW w:w="1438" w:type="dxa"/>
            <w:shd w:val="clear" w:color="auto" w:fill="auto"/>
          </w:tcPr>
          <w:p w14:paraId="0D0B0B1B"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c>
          <w:tcPr>
            <w:tcW w:w="1102" w:type="dxa"/>
            <w:shd w:val="clear" w:color="auto" w:fill="auto"/>
          </w:tcPr>
          <w:p w14:paraId="7BB5C194"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c>
          <w:tcPr>
            <w:tcW w:w="1102" w:type="dxa"/>
            <w:shd w:val="clear" w:color="auto" w:fill="auto"/>
          </w:tcPr>
          <w:p w14:paraId="06D04281"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c>
          <w:tcPr>
            <w:tcW w:w="1464" w:type="dxa"/>
            <w:shd w:val="clear" w:color="auto" w:fill="auto"/>
          </w:tcPr>
          <w:p w14:paraId="7E940C87"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c>
          <w:tcPr>
            <w:tcW w:w="1102" w:type="dxa"/>
            <w:shd w:val="clear" w:color="auto" w:fill="auto"/>
          </w:tcPr>
          <w:p w14:paraId="10B183B1"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c>
          <w:tcPr>
            <w:tcW w:w="1102" w:type="dxa"/>
            <w:shd w:val="clear" w:color="auto" w:fill="auto"/>
          </w:tcPr>
          <w:p w14:paraId="0515DF77"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r>
      <w:tr w:rsidR="00C03B92" w:rsidRPr="008A5C48" w14:paraId="5D1764EA" w14:textId="77777777" w:rsidTr="0034607E">
        <w:tc>
          <w:tcPr>
            <w:tcW w:w="1194" w:type="dxa"/>
            <w:shd w:val="clear" w:color="auto" w:fill="auto"/>
          </w:tcPr>
          <w:p w14:paraId="047A76B2" w14:textId="77777777" w:rsidR="00C03B92" w:rsidRPr="008A5C48" w:rsidRDefault="00C03B92" w:rsidP="0034607E">
            <w:pPr>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PFASs</w:t>
            </w:r>
          </w:p>
        </w:tc>
        <w:tc>
          <w:tcPr>
            <w:tcW w:w="1438" w:type="dxa"/>
            <w:shd w:val="clear" w:color="auto" w:fill="auto"/>
          </w:tcPr>
          <w:p w14:paraId="69282F3A"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102" w:type="dxa"/>
            <w:shd w:val="clear" w:color="auto" w:fill="auto"/>
          </w:tcPr>
          <w:p w14:paraId="45A8B67C"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102" w:type="dxa"/>
            <w:shd w:val="clear" w:color="auto" w:fill="auto"/>
          </w:tcPr>
          <w:p w14:paraId="746D9AE5"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464" w:type="dxa"/>
            <w:shd w:val="clear" w:color="auto" w:fill="auto"/>
          </w:tcPr>
          <w:p w14:paraId="2BDC39F4"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102" w:type="dxa"/>
            <w:shd w:val="clear" w:color="auto" w:fill="auto"/>
          </w:tcPr>
          <w:p w14:paraId="3AA81BBC"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102" w:type="dxa"/>
            <w:shd w:val="clear" w:color="auto" w:fill="auto"/>
          </w:tcPr>
          <w:p w14:paraId="5E3CC9D2" w14:textId="77777777" w:rsidR="00C03B92" w:rsidRPr="008A5C48" w:rsidRDefault="00C03B92" w:rsidP="0034607E">
            <w:pPr>
              <w:contextualSpacing/>
              <w:jc w:val="center"/>
              <w:rPr>
                <w:rFonts w:ascii="Times New Roman" w:eastAsia="Times New Roman" w:hAnsi="Times New Roman" w:cs="Times New Roman"/>
                <w:b/>
                <w:sz w:val="20"/>
                <w:szCs w:val="20"/>
              </w:rPr>
            </w:pPr>
          </w:p>
        </w:tc>
      </w:tr>
      <w:tr w:rsidR="00C03B92" w:rsidRPr="008A5C48" w14:paraId="777A92FA" w14:textId="77777777" w:rsidTr="0034607E">
        <w:tc>
          <w:tcPr>
            <w:tcW w:w="1194" w:type="dxa"/>
            <w:shd w:val="clear" w:color="auto" w:fill="auto"/>
          </w:tcPr>
          <w:p w14:paraId="658746DD" w14:textId="77777777" w:rsidR="00C03B92" w:rsidRPr="008A5C48" w:rsidRDefault="00C03B92" w:rsidP="0034607E">
            <w:pPr>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 Mother</w:t>
            </w:r>
          </w:p>
        </w:tc>
        <w:tc>
          <w:tcPr>
            <w:tcW w:w="1438" w:type="dxa"/>
            <w:shd w:val="clear" w:color="auto" w:fill="auto"/>
          </w:tcPr>
          <w:p w14:paraId="11B66EAB"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serum/plasma</w:t>
            </w:r>
          </w:p>
        </w:tc>
        <w:tc>
          <w:tcPr>
            <w:tcW w:w="1102" w:type="dxa"/>
            <w:shd w:val="clear" w:color="auto" w:fill="auto"/>
          </w:tcPr>
          <w:p w14:paraId="1EC05C8E"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c>
          <w:tcPr>
            <w:tcW w:w="1102" w:type="dxa"/>
            <w:shd w:val="clear" w:color="auto" w:fill="auto"/>
          </w:tcPr>
          <w:p w14:paraId="54AB8389"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whole blood</w:t>
            </w:r>
          </w:p>
        </w:tc>
        <w:tc>
          <w:tcPr>
            <w:tcW w:w="1464" w:type="dxa"/>
            <w:shd w:val="clear" w:color="auto" w:fill="auto"/>
          </w:tcPr>
          <w:p w14:paraId="52E1F157"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102" w:type="dxa"/>
            <w:shd w:val="clear" w:color="auto" w:fill="auto"/>
          </w:tcPr>
          <w:p w14:paraId="40F476E3"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102" w:type="dxa"/>
            <w:shd w:val="clear" w:color="auto" w:fill="auto"/>
          </w:tcPr>
          <w:p w14:paraId="7D81CBF6"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r>
      <w:tr w:rsidR="00C03B92" w:rsidRPr="008A5C48" w14:paraId="3AB5F333" w14:textId="77777777" w:rsidTr="0034607E">
        <w:tc>
          <w:tcPr>
            <w:tcW w:w="1194" w:type="dxa"/>
            <w:shd w:val="clear" w:color="auto" w:fill="auto"/>
          </w:tcPr>
          <w:p w14:paraId="34656F57" w14:textId="77777777" w:rsidR="00C03B92" w:rsidRPr="008A5C48" w:rsidRDefault="00C03B92" w:rsidP="0034607E">
            <w:pPr>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 Child</w:t>
            </w:r>
          </w:p>
        </w:tc>
        <w:tc>
          <w:tcPr>
            <w:tcW w:w="1438" w:type="dxa"/>
            <w:shd w:val="clear" w:color="auto" w:fill="auto"/>
          </w:tcPr>
          <w:p w14:paraId="326D3373"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102" w:type="dxa"/>
            <w:shd w:val="clear" w:color="auto" w:fill="auto"/>
          </w:tcPr>
          <w:p w14:paraId="225B8A43"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102" w:type="dxa"/>
            <w:shd w:val="clear" w:color="auto" w:fill="auto"/>
          </w:tcPr>
          <w:p w14:paraId="2CD3EAC2"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464" w:type="dxa"/>
            <w:shd w:val="clear" w:color="auto" w:fill="auto"/>
          </w:tcPr>
          <w:p w14:paraId="58E1D3B7"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102" w:type="dxa"/>
            <w:shd w:val="clear" w:color="auto" w:fill="auto"/>
          </w:tcPr>
          <w:p w14:paraId="6A83F902"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102" w:type="dxa"/>
            <w:shd w:val="clear" w:color="auto" w:fill="auto"/>
          </w:tcPr>
          <w:p w14:paraId="63F4A049"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r>
      <w:tr w:rsidR="00C03B92" w:rsidRPr="008A5C48" w14:paraId="7964F755" w14:textId="77777777" w:rsidTr="0034607E">
        <w:tc>
          <w:tcPr>
            <w:tcW w:w="1194" w:type="dxa"/>
            <w:shd w:val="clear" w:color="auto" w:fill="auto"/>
          </w:tcPr>
          <w:p w14:paraId="713FCDD5" w14:textId="77777777" w:rsidR="00C03B92" w:rsidRPr="008A5C48" w:rsidRDefault="00C03B92" w:rsidP="0034607E">
            <w:pPr>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Metals</w:t>
            </w:r>
          </w:p>
        </w:tc>
        <w:tc>
          <w:tcPr>
            <w:tcW w:w="1438" w:type="dxa"/>
            <w:shd w:val="clear" w:color="auto" w:fill="auto"/>
          </w:tcPr>
          <w:p w14:paraId="37C84A35"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102" w:type="dxa"/>
            <w:shd w:val="clear" w:color="auto" w:fill="auto"/>
          </w:tcPr>
          <w:p w14:paraId="19D3A767"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102" w:type="dxa"/>
            <w:shd w:val="clear" w:color="auto" w:fill="auto"/>
          </w:tcPr>
          <w:p w14:paraId="67C9CD38"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464" w:type="dxa"/>
            <w:shd w:val="clear" w:color="auto" w:fill="auto"/>
          </w:tcPr>
          <w:p w14:paraId="43D2BD07"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102" w:type="dxa"/>
            <w:shd w:val="clear" w:color="auto" w:fill="auto"/>
          </w:tcPr>
          <w:p w14:paraId="06AA8DAA"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102" w:type="dxa"/>
            <w:shd w:val="clear" w:color="auto" w:fill="auto"/>
          </w:tcPr>
          <w:p w14:paraId="5809573F" w14:textId="77777777" w:rsidR="00C03B92" w:rsidRPr="008A5C48" w:rsidRDefault="00C03B92" w:rsidP="0034607E">
            <w:pPr>
              <w:contextualSpacing/>
              <w:jc w:val="center"/>
              <w:rPr>
                <w:rFonts w:ascii="Times New Roman" w:eastAsia="Times New Roman" w:hAnsi="Times New Roman" w:cs="Times New Roman"/>
                <w:b/>
                <w:sz w:val="20"/>
                <w:szCs w:val="20"/>
              </w:rPr>
            </w:pPr>
          </w:p>
        </w:tc>
      </w:tr>
      <w:tr w:rsidR="00C03B92" w:rsidRPr="008A5C48" w14:paraId="2459E10C" w14:textId="77777777" w:rsidTr="0034607E">
        <w:tc>
          <w:tcPr>
            <w:tcW w:w="1194" w:type="dxa"/>
            <w:shd w:val="clear" w:color="auto" w:fill="auto"/>
          </w:tcPr>
          <w:p w14:paraId="317163DA" w14:textId="77777777" w:rsidR="00C03B92" w:rsidRPr="008A5C48" w:rsidRDefault="00C03B92" w:rsidP="0034607E">
            <w:pPr>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 Mother</w:t>
            </w:r>
          </w:p>
        </w:tc>
        <w:tc>
          <w:tcPr>
            <w:tcW w:w="1438" w:type="dxa"/>
            <w:shd w:val="clear" w:color="auto" w:fill="auto"/>
          </w:tcPr>
          <w:p w14:paraId="6610724B"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whole blood</w:t>
            </w:r>
          </w:p>
        </w:tc>
        <w:tc>
          <w:tcPr>
            <w:tcW w:w="1102" w:type="dxa"/>
            <w:shd w:val="clear" w:color="auto" w:fill="auto"/>
          </w:tcPr>
          <w:p w14:paraId="1FFD87C2"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whole blood</w:t>
            </w:r>
          </w:p>
        </w:tc>
        <w:tc>
          <w:tcPr>
            <w:tcW w:w="1102" w:type="dxa"/>
            <w:shd w:val="clear" w:color="auto" w:fill="auto"/>
          </w:tcPr>
          <w:p w14:paraId="5C4DCF27"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whole blood</w:t>
            </w:r>
          </w:p>
        </w:tc>
        <w:tc>
          <w:tcPr>
            <w:tcW w:w="1464" w:type="dxa"/>
            <w:shd w:val="clear" w:color="auto" w:fill="auto"/>
          </w:tcPr>
          <w:p w14:paraId="3010F56B"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cord whole blood</w:t>
            </w:r>
          </w:p>
        </w:tc>
        <w:tc>
          <w:tcPr>
            <w:tcW w:w="1102" w:type="dxa"/>
            <w:shd w:val="clear" w:color="auto" w:fill="auto"/>
          </w:tcPr>
          <w:p w14:paraId="15A3D314"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whole blood</w:t>
            </w:r>
          </w:p>
        </w:tc>
        <w:tc>
          <w:tcPr>
            <w:tcW w:w="1102" w:type="dxa"/>
            <w:shd w:val="clear" w:color="auto" w:fill="auto"/>
          </w:tcPr>
          <w:p w14:paraId="48E56B80"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whole blood</w:t>
            </w:r>
          </w:p>
        </w:tc>
      </w:tr>
      <w:tr w:rsidR="00C03B92" w:rsidRPr="008A5C48" w14:paraId="20D69354" w14:textId="77777777" w:rsidTr="0034607E">
        <w:tc>
          <w:tcPr>
            <w:tcW w:w="1194" w:type="dxa"/>
            <w:shd w:val="clear" w:color="auto" w:fill="auto"/>
          </w:tcPr>
          <w:p w14:paraId="271B5124" w14:textId="77777777" w:rsidR="00C03B92" w:rsidRPr="008A5C48" w:rsidRDefault="00C03B92" w:rsidP="0034607E">
            <w:pPr>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 Child</w:t>
            </w:r>
          </w:p>
        </w:tc>
        <w:tc>
          <w:tcPr>
            <w:tcW w:w="1438" w:type="dxa"/>
            <w:shd w:val="clear" w:color="auto" w:fill="auto"/>
          </w:tcPr>
          <w:p w14:paraId="5E04AC5D"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whole blood</w:t>
            </w:r>
          </w:p>
        </w:tc>
        <w:tc>
          <w:tcPr>
            <w:tcW w:w="1102" w:type="dxa"/>
            <w:shd w:val="clear" w:color="auto" w:fill="auto"/>
          </w:tcPr>
          <w:p w14:paraId="74556744"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whole blood</w:t>
            </w:r>
          </w:p>
        </w:tc>
        <w:tc>
          <w:tcPr>
            <w:tcW w:w="1102" w:type="dxa"/>
            <w:shd w:val="clear" w:color="auto" w:fill="auto"/>
          </w:tcPr>
          <w:p w14:paraId="0B6782BC"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whole blood</w:t>
            </w:r>
          </w:p>
        </w:tc>
        <w:tc>
          <w:tcPr>
            <w:tcW w:w="1464" w:type="dxa"/>
            <w:shd w:val="clear" w:color="auto" w:fill="auto"/>
          </w:tcPr>
          <w:p w14:paraId="1D0F107C"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whole blood</w:t>
            </w:r>
          </w:p>
        </w:tc>
        <w:tc>
          <w:tcPr>
            <w:tcW w:w="1102" w:type="dxa"/>
            <w:shd w:val="clear" w:color="auto" w:fill="auto"/>
          </w:tcPr>
          <w:p w14:paraId="65F822A3"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whole blood</w:t>
            </w:r>
          </w:p>
        </w:tc>
        <w:tc>
          <w:tcPr>
            <w:tcW w:w="1102" w:type="dxa"/>
            <w:shd w:val="clear" w:color="auto" w:fill="auto"/>
          </w:tcPr>
          <w:p w14:paraId="7B55ACE4"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whole blood</w:t>
            </w:r>
          </w:p>
        </w:tc>
      </w:tr>
      <w:tr w:rsidR="00C03B92" w:rsidRPr="008A5C48" w14:paraId="144FD0EA" w14:textId="77777777" w:rsidTr="0034607E">
        <w:tc>
          <w:tcPr>
            <w:tcW w:w="8504" w:type="dxa"/>
            <w:gridSpan w:val="7"/>
            <w:shd w:val="clear" w:color="auto" w:fill="auto"/>
          </w:tcPr>
          <w:p w14:paraId="62DEB197" w14:textId="77777777" w:rsidR="00C03B92" w:rsidRPr="008A5C48" w:rsidRDefault="00C03B92" w:rsidP="0034607E">
            <w:pPr>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Phthalate metabolites, phenols, OP pesticide metabolites, cotinine, and creatinine</w:t>
            </w:r>
          </w:p>
        </w:tc>
      </w:tr>
      <w:tr w:rsidR="00C03B92" w:rsidRPr="008A5C48" w14:paraId="22833E44" w14:textId="77777777" w:rsidTr="0034607E">
        <w:tc>
          <w:tcPr>
            <w:tcW w:w="1194" w:type="dxa"/>
            <w:shd w:val="clear" w:color="auto" w:fill="auto"/>
          </w:tcPr>
          <w:p w14:paraId="550E596E" w14:textId="77777777" w:rsidR="00C03B92" w:rsidRPr="008A5C48" w:rsidRDefault="00C03B92" w:rsidP="0034607E">
            <w:pPr>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 Mother</w:t>
            </w:r>
          </w:p>
        </w:tc>
        <w:tc>
          <w:tcPr>
            <w:tcW w:w="1438" w:type="dxa"/>
            <w:shd w:val="clear" w:color="auto" w:fill="auto"/>
          </w:tcPr>
          <w:p w14:paraId="2289A22F"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urine</w:t>
            </w:r>
          </w:p>
        </w:tc>
        <w:tc>
          <w:tcPr>
            <w:tcW w:w="1102" w:type="dxa"/>
            <w:shd w:val="clear" w:color="auto" w:fill="auto"/>
          </w:tcPr>
          <w:p w14:paraId="151FBB05"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urine</w:t>
            </w:r>
          </w:p>
        </w:tc>
        <w:tc>
          <w:tcPr>
            <w:tcW w:w="1102" w:type="dxa"/>
            <w:shd w:val="clear" w:color="auto" w:fill="auto"/>
          </w:tcPr>
          <w:p w14:paraId="7D566F67"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464" w:type="dxa"/>
            <w:shd w:val="clear" w:color="auto" w:fill="auto"/>
          </w:tcPr>
          <w:p w14:paraId="77FCB248"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urine</w:t>
            </w:r>
          </w:p>
        </w:tc>
        <w:tc>
          <w:tcPr>
            <w:tcW w:w="1102" w:type="dxa"/>
            <w:shd w:val="clear" w:color="auto" w:fill="auto"/>
          </w:tcPr>
          <w:p w14:paraId="34507BB4"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urine</w:t>
            </w:r>
          </w:p>
        </w:tc>
        <w:tc>
          <w:tcPr>
            <w:tcW w:w="1102" w:type="dxa"/>
            <w:shd w:val="clear" w:color="auto" w:fill="auto"/>
          </w:tcPr>
          <w:p w14:paraId="0EA6727F"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urine</w:t>
            </w:r>
          </w:p>
        </w:tc>
      </w:tr>
      <w:tr w:rsidR="00C03B92" w:rsidRPr="008A5C48" w14:paraId="303A37B9" w14:textId="77777777" w:rsidTr="0034607E">
        <w:tc>
          <w:tcPr>
            <w:tcW w:w="1194" w:type="dxa"/>
            <w:shd w:val="clear" w:color="auto" w:fill="auto"/>
          </w:tcPr>
          <w:p w14:paraId="1FF87F29" w14:textId="77777777" w:rsidR="00C03B92" w:rsidRPr="008A5C48" w:rsidRDefault="00C03B92" w:rsidP="0034607E">
            <w:pPr>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 Child</w:t>
            </w:r>
          </w:p>
        </w:tc>
        <w:tc>
          <w:tcPr>
            <w:tcW w:w="1438" w:type="dxa"/>
            <w:shd w:val="clear" w:color="auto" w:fill="auto"/>
          </w:tcPr>
          <w:p w14:paraId="1B33142D"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urine</w:t>
            </w:r>
          </w:p>
        </w:tc>
        <w:tc>
          <w:tcPr>
            <w:tcW w:w="1102" w:type="dxa"/>
            <w:shd w:val="clear" w:color="auto" w:fill="auto"/>
          </w:tcPr>
          <w:p w14:paraId="1199B261"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urine</w:t>
            </w:r>
          </w:p>
        </w:tc>
        <w:tc>
          <w:tcPr>
            <w:tcW w:w="1102" w:type="dxa"/>
            <w:shd w:val="clear" w:color="auto" w:fill="auto"/>
          </w:tcPr>
          <w:p w14:paraId="505CF746"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urine</w:t>
            </w:r>
          </w:p>
        </w:tc>
        <w:tc>
          <w:tcPr>
            <w:tcW w:w="1464" w:type="dxa"/>
            <w:shd w:val="clear" w:color="auto" w:fill="auto"/>
          </w:tcPr>
          <w:p w14:paraId="19870F93"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urine</w:t>
            </w:r>
          </w:p>
        </w:tc>
        <w:tc>
          <w:tcPr>
            <w:tcW w:w="1102" w:type="dxa"/>
            <w:shd w:val="clear" w:color="auto" w:fill="auto"/>
          </w:tcPr>
          <w:p w14:paraId="6D6D3764"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urine</w:t>
            </w:r>
          </w:p>
        </w:tc>
        <w:tc>
          <w:tcPr>
            <w:tcW w:w="1102" w:type="dxa"/>
            <w:shd w:val="clear" w:color="auto" w:fill="auto"/>
          </w:tcPr>
          <w:p w14:paraId="11F2F1FD"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urine</w:t>
            </w:r>
          </w:p>
        </w:tc>
      </w:tr>
      <w:tr w:rsidR="00C03B92" w:rsidRPr="008A5C48" w14:paraId="0065BCB4" w14:textId="77777777" w:rsidTr="0034607E">
        <w:tc>
          <w:tcPr>
            <w:tcW w:w="1194" w:type="dxa"/>
            <w:shd w:val="clear" w:color="auto" w:fill="auto"/>
          </w:tcPr>
          <w:p w14:paraId="4478929E" w14:textId="77777777" w:rsidR="00C03B92" w:rsidRPr="008A5C48" w:rsidRDefault="00C03B92" w:rsidP="0034607E">
            <w:pPr>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Lipids</w:t>
            </w:r>
          </w:p>
        </w:tc>
        <w:tc>
          <w:tcPr>
            <w:tcW w:w="1438" w:type="dxa"/>
            <w:shd w:val="clear" w:color="auto" w:fill="auto"/>
          </w:tcPr>
          <w:p w14:paraId="609D8C24"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102" w:type="dxa"/>
            <w:shd w:val="clear" w:color="auto" w:fill="auto"/>
          </w:tcPr>
          <w:p w14:paraId="17162BA1"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102" w:type="dxa"/>
            <w:shd w:val="clear" w:color="auto" w:fill="auto"/>
          </w:tcPr>
          <w:p w14:paraId="48947E34"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464" w:type="dxa"/>
            <w:shd w:val="clear" w:color="auto" w:fill="auto"/>
          </w:tcPr>
          <w:p w14:paraId="03BA6C02"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102" w:type="dxa"/>
            <w:shd w:val="clear" w:color="auto" w:fill="auto"/>
          </w:tcPr>
          <w:p w14:paraId="21CE3769" w14:textId="77777777" w:rsidR="00C03B92" w:rsidRPr="008A5C48" w:rsidRDefault="00C03B92" w:rsidP="0034607E">
            <w:pPr>
              <w:contextualSpacing/>
              <w:jc w:val="center"/>
              <w:rPr>
                <w:rFonts w:ascii="Times New Roman" w:eastAsia="Times New Roman" w:hAnsi="Times New Roman" w:cs="Times New Roman"/>
                <w:b/>
                <w:sz w:val="20"/>
                <w:szCs w:val="20"/>
              </w:rPr>
            </w:pPr>
          </w:p>
        </w:tc>
        <w:tc>
          <w:tcPr>
            <w:tcW w:w="1102" w:type="dxa"/>
            <w:shd w:val="clear" w:color="auto" w:fill="auto"/>
          </w:tcPr>
          <w:p w14:paraId="7F3070D6" w14:textId="77777777" w:rsidR="00C03B92" w:rsidRPr="008A5C48" w:rsidRDefault="00C03B92" w:rsidP="0034607E">
            <w:pPr>
              <w:contextualSpacing/>
              <w:jc w:val="center"/>
              <w:rPr>
                <w:rFonts w:ascii="Times New Roman" w:eastAsia="Times New Roman" w:hAnsi="Times New Roman" w:cs="Times New Roman"/>
                <w:b/>
                <w:sz w:val="20"/>
                <w:szCs w:val="20"/>
              </w:rPr>
            </w:pPr>
          </w:p>
        </w:tc>
      </w:tr>
      <w:tr w:rsidR="00C03B92" w:rsidRPr="008A5C48" w14:paraId="34E42EE1" w14:textId="77777777" w:rsidTr="0034607E">
        <w:tc>
          <w:tcPr>
            <w:tcW w:w="1194" w:type="dxa"/>
            <w:shd w:val="clear" w:color="auto" w:fill="auto"/>
          </w:tcPr>
          <w:p w14:paraId="5A04FBB6" w14:textId="77777777" w:rsidR="00C03B92" w:rsidRPr="008A5C48" w:rsidRDefault="00C03B92" w:rsidP="0034607E">
            <w:pPr>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 Mother</w:t>
            </w:r>
          </w:p>
        </w:tc>
        <w:tc>
          <w:tcPr>
            <w:tcW w:w="1438" w:type="dxa"/>
            <w:shd w:val="clear" w:color="auto" w:fill="auto"/>
          </w:tcPr>
          <w:p w14:paraId="0C396969"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serum/plasma</w:t>
            </w:r>
          </w:p>
        </w:tc>
        <w:tc>
          <w:tcPr>
            <w:tcW w:w="1102" w:type="dxa"/>
            <w:shd w:val="clear" w:color="auto" w:fill="auto"/>
          </w:tcPr>
          <w:p w14:paraId="118D9F6A"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c>
          <w:tcPr>
            <w:tcW w:w="1102" w:type="dxa"/>
            <w:shd w:val="clear" w:color="auto" w:fill="auto"/>
          </w:tcPr>
          <w:p w14:paraId="012956D1"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464" w:type="dxa"/>
            <w:shd w:val="clear" w:color="auto" w:fill="auto"/>
          </w:tcPr>
          <w:p w14:paraId="29F430F9"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c>
          <w:tcPr>
            <w:tcW w:w="1102" w:type="dxa"/>
            <w:shd w:val="clear" w:color="auto" w:fill="auto"/>
          </w:tcPr>
          <w:p w14:paraId="180777E8"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102" w:type="dxa"/>
            <w:shd w:val="clear" w:color="auto" w:fill="auto"/>
          </w:tcPr>
          <w:p w14:paraId="718FCE24"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serum</w:t>
            </w:r>
          </w:p>
        </w:tc>
      </w:tr>
      <w:tr w:rsidR="00C03B92" w:rsidRPr="008A5C48" w14:paraId="3D1A13A0" w14:textId="77777777" w:rsidTr="0034607E">
        <w:tc>
          <w:tcPr>
            <w:tcW w:w="1194" w:type="dxa"/>
            <w:shd w:val="clear" w:color="auto" w:fill="auto"/>
          </w:tcPr>
          <w:p w14:paraId="30E75045" w14:textId="77777777" w:rsidR="00C03B92" w:rsidRPr="008A5C48" w:rsidRDefault="00C03B92" w:rsidP="0034607E">
            <w:pPr>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 Child</w:t>
            </w:r>
          </w:p>
        </w:tc>
        <w:tc>
          <w:tcPr>
            <w:tcW w:w="1438" w:type="dxa"/>
            <w:shd w:val="clear" w:color="auto" w:fill="auto"/>
          </w:tcPr>
          <w:p w14:paraId="34FF3B70" w14:textId="77777777" w:rsidR="00C03B92" w:rsidRPr="008A5C48" w:rsidRDefault="00C03B92"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102" w:type="dxa"/>
            <w:shd w:val="clear" w:color="auto" w:fill="auto"/>
          </w:tcPr>
          <w:p w14:paraId="3E97FF65" w14:textId="77777777" w:rsidR="00C03B92" w:rsidRPr="008A5C48" w:rsidRDefault="00C03B92" w:rsidP="0034607E">
            <w:pPr>
              <w:pBdr>
                <w:top w:val="nil"/>
                <w:left w:val="nil"/>
                <w:bottom w:val="nil"/>
                <w:right w:val="nil"/>
                <w:between w:val="nil"/>
              </w:pBd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102" w:type="dxa"/>
            <w:shd w:val="clear" w:color="auto" w:fill="auto"/>
          </w:tcPr>
          <w:p w14:paraId="682D9902" w14:textId="77777777" w:rsidR="00C03B92" w:rsidRPr="008A5C48" w:rsidRDefault="00C03B92" w:rsidP="0034607E">
            <w:pPr>
              <w:pBdr>
                <w:top w:val="nil"/>
                <w:left w:val="nil"/>
                <w:bottom w:val="nil"/>
                <w:right w:val="nil"/>
                <w:between w:val="nil"/>
              </w:pBd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464" w:type="dxa"/>
            <w:shd w:val="clear" w:color="auto" w:fill="auto"/>
          </w:tcPr>
          <w:p w14:paraId="3853E155" w14:textId="77777777" w:rsidR="00C03B92" w:rsidRPr="008A5C48" w:rsidRDefault="00C03B92" w:rsidP="0034607E">
            <w:pPr>
              <w:pBdr>
                <w:top w:val="nil"/>
                <w:left w:val="nil"/>
                <w:bottom w:val="nil"/>
                <w:right w:val="nil"/>
                <w:between w:val="nil"/>
              </w:pBd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102" w:type="dxa"/>
            <w:shd w:val="clear" w:color="auto" w:fill="auto"/>
          </w:tcPr>
          <w:p w14:paraId="04F83A2C" w14:textId="77777777" w:rsidR="00C03B92" w:rsidRPr="008A5C48" w:rsidRDefault="00C03B92" w:rsidP="0034607E">
            <w:pPr>
              <w:pBdr>
                <w:top w:val="nil"/>
                <w:left w:val="nil"/>
                <w:bottom w:val="nil"/>
                <w:right w:val="nil"/>
                <w:between w:val="nil"/>
              </w:pBd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c>
          <w:tcPr>
            <w:tcW w:w="1102" w:type="dxa"/>
            <w:shd w:val="clear" w:color="auto" w:fill="auto"/>
          </w:tcPr>
          <w:p w14:paraId="41DC579E" w14:textId="77777777" w:rsidR="00C03B92" w:rsidRPr="008A5C48" w:rsidRDefault="00C03B92" w:rsidP="0034607E">
            <w:pPr>
              <w:pBdr>
                <w:top w:val="nil"/>
                <w:left w:val="nil"/>
                <w:bottom w:val="nil"/>
                <w:right w:val="nil"/>
                <w:between w:val="nil"/>
              </w:pBd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plasma</w:t>
            </w:r>
          </w:p>
        </w:tc>
      </w:tr>
    </w:tbl>
    <w:p w14:paraId="2C6FC90D" w14:textId="6EB49DDC" w:rsidR="00C03B92" w:rsidRDefault="00C03B92" w:rsidP="00C03B92">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Abbreviations: </w:t>
      </w:r>
      <w:r w:rsidRPr="008A5C48">
        <w:rPr>
          <w:rFonts w:ascii="Times New Roman" w:eastAsia="Times New Roman" w:hAnsi="Times New Roman" w:cs="Times New Roman"/>
          <w:b/>
          <w:color w:val="000000"/>
          <w:sz w:val="20"/>
          <w:szCs w:val="20"/>
        </w:rPr>
        <w:t>OC</w:t>
      </w:r>
      <w:r w:rsidRPr="008A5C48">
        <w:rPr>
          <w:rFonts w:ascii="Times New Roman" w:eastAsia="Times New Roman" w:hAnsi="Times New Roman" w:cs="Times New Roman"/>
          <w:color w:val="000000"/>
          <w:sz w:val="20"/>
          <w:szCs w:val="20"/>
        </w:rPr>
        <w:t xml:space="preserve">: organochlorine; </w:t>
      </w:r>
      <w:r w:rsidRPr="008A5C48">
        <w:rPr>
          <w:rFonts w:ascii="Times New Roman" w:eastAsia="Times New Roman" w:hAnsi="Times New Roman" w:cs="Times New Roman"/>
          <w:b/>
          <w:color w:val="000000"/>
          <w:sz w:val="20"/>
          <w:szCs w:val="20"/>
        </w:rPr>
        <w:t>OP</w:t>
      </w:r>
      <w:r w:rsidRPr="008A5C48">
        <w:rPr>
          <w:rFonts w:ascii="Times New Roman" w:eastAsia="Times New Roman" w:hAnsi="Times New Roman" w:cs="Times New Roman"/>
          <w:color w:val="000000"/>
          <w:sz w:val="20"/>
          <w:szCs w:val="20"/>
        </w:rPr>
        <w:t xml:space="preserve">: organophosphate pesticides; </w:t>
      </w:r>
      <w:r w:rsidRPr="008A5C48">
        <w:rPr>
          <w:rFonts w:ascii="Times New Roman" w:eastAsia="Times New Roman" w:hAnsi="Times New Roman" w:cs="Times New Roman"/>
          <w:b/>
          <w:color w:val="000000"/>
          <w:sz w:val="20"/>
          <w:szCs w:val="20"/>
        </w:rPr>
        <w:t>PBDEs</w:t>
      </w:r>
      <w:r w:rsidRPr="008A5C48">
        <w:rPr>
          <w:rFonts w:ascii="Times New Roman" w:eastAsia="Times New Roman" w:hAnsi="Times New Roman" w:cs="Times New Roman"/>
          <w:color w:val="000000"/>
          <w:sz w:val="20"/>
          <w:szCs w:val="20"/>
        </w:rPr>
        <w:t xml:space="preserve">: </w:t>
      </w:r>
      <w:proofErr w:type="spellStart"/>
      <w:r w:rsidRPr="008A5C48">
        <w:rPr>
          <w:rFonts w:ascii="Times New Roman" w:eastAsia="Times New Roman" w:hAnsi="Times New Roman" w:cs="Times New Roman"/>
          <w:color w:val="000000"/>
          <w:sz w:val="20"/>
          <w:szCs w:val="20"/>
        </w:rPr>
        <w:t>polybrominateddiphenyl</w:t>
      </w:r>
      <w:proofErr w:type="spellEnd"/>
      <w:r w:rsidRPr="008A5C48">
        <w:rPr>
          <w:rFonts w:ascii="Times New Roman" w:eastAsia="Times New Roman" w:hAnsi="Times New Roman" w:cs="Times New Roman"/>
          <w:color w:val="000000"/>
          <w:sz w:val="20"/>
          <w:szCs w:val="20"/>
        </w:rPr>
        <w:t xml:space="preserve"> ethers; </w:t>
      </w:r>
      <w:r w:rsidRPr="008A5C48">
        <w:rPr>
          <w:rFonts w:ascii="Times New Roman" w:eastAsia="Times New Roman" w:hAnsi="Times New Roman" w:cs="Times New Roman"/>
          <w:b/>
          <w:color w:val="000000"/>
          <w:sz w:val="20"/>
          <w:szCs w:val="20"/>
        </w:rPr>
        <w:t>PFASs</w:t>
      </w:r>
      <w:r w:rsidRPr="008A5C48">
        <w:rPr>
          <w:rFonts w:ascii="Times New Roman" w:eastAsia="Times New Roman" w:hAnsi="Times New Roman" w:cs="Times New Roman"/>
          <w:color w:val="000000"/>
          <w:sz w:val="20"/>
          <w:szCs w:val="20"/>
        </w:rPr>
        <w:t>: per- and polyfluoroalkyl substances.</w:t>
      </w:r>
    </w:p>
    <w:p w14:paraId="22190420" w14:textId="5AC4EAA9" w:rsidR="00D77749" w:rsidRDefault="00D77749" w:rsidP="00C03B92">
      <w:pPr>
        <w:pBdr>
          <w:top w:val="nil"/>
          <w:left w:val="nil"/>
          <w:bottom w:val="nil"/>
          <w:right w:val="nil"/>
          <w:between w:val="nil"/>
        </w:pBdr>
        <w:spacing w:after="0" w:line="240" w:lineRule="auto"/>
        <w:contextualSpacing/>
        <w:jc w:val="both"/>
        <w:rPr>
          <w:rFonts w:ascii="Times New Roman" w:eastAsia="Times New Roman" w:hAnsi="Times New Roman" w:cs="Times New Roman"/>
          <w:color w:val="000000"/>
          <w:sz w:val="20"/>
          <w:szCs w:val="20"/>
        </w:rPr>
      </w:pPr>
    </w:p>
    <w:p w14:paraId="1ABC7BFC" w14:textId="77777777" w:rsidR="00AC77BA" w:rsidRDefault="00AC77BA">
      <w:pPr>
        <w:rPr>
          <w:rFonts w:ascii="Times New Roman" w:eastAsia="Times New Roman" w:hAnsi="Times New Roman" w:cs="Times New Roman"/>
          <w:b/>
          <w:bCs/>
        </w:rPr>
      </w:pPr>
      <w:r>
        <w:rPr>
          <w:rFonts w:eastAsia="Times New Roman"/>
        </w:rPr>
        <w:br w:type="page"/>
      </w:r>
    </w:p>
    <w:p w14:paraId="7CB6C393" w14:textId="51E17DCE" w:rsidR="00E10FA6" w:rsidRDefault="00E10FA6" w:rsidP="005212D3">
      <w:pPr>
        <w:pStyle w:val="Titre1"/>
        <w:rPr>
          <w:rFonts w:eastAsia="Times New Roman"/>
          <w:b w:val="0"/>
          <w:bCs w:val="0"/>
          <w:lang w:val="en-US"/>
        </w:rPr>
      </w:pPr>
      <w:bookmarkStart w:id="54" w:name="_Toc132271585"/>
      <w:bookmarkStart w:id="55" w:name="_Toc127358156"/>
      <w:bookmarkStart w:id="56" w:name="_Hlk127367046"/>
      <w:bookmarkStart w:id="57" w:name="_Hlk126576993"/>
      <w:proofErr w:type="spellStart"/>
      <w:r w:rsidRPr="00E10FA6">
        <w:rPr>
          <w:rFonts w:eastAsia="Times New Roman"/>
          <w:lang w:val="en-US"/>
        </w:rPr>
        <w:lastRenderedPageBreak/>
        <w:t>eTable</w:t>
      </w:r>
      <w:proofErr w:type="spellEnd"/>
      <w:r w:rsidRPr="00E10FA6">
        <w:rPr>
          <w:rFonts w:eastAsia="Times New Roman"/>
          <w:lang w:val="en-US"/>
        </w:rPr>
        <w:t xml:space="preserve"> </w:t>
      </w:r>
      <w:r w:rsidR="006965CC">
        <w:rPr>
          <w:rFonts w:eastAsia="Times New Roman"/>
          <w:lang w:val="en-US"/>
        </w:rPr>
        <w:t>3</w:t>
      </w:r>
      <w:r w:rsidRPr="00E10FA6">
        <w:rPr>
          <w:rFonts w:eastAsia="Times New Roman"/>
          <w:lang w:val="en-US"/>
        </w:rPr>
        <w:t xml:space="preserve">. </w:t>
      </w:r>
      <w:r w:rsidRPr="005212D3">
        <w:rPr>
          <w:rFonts w:eastAsia="Times New Roman"/>
          <w:b w:val="0"/>
          <w:bCs w:val="0"/>
          <w:lang w:val="en-US"/>
        </w:rPr>
        <w:t>Collection time points of prenatal exposures</w:t>
      </w:r>
      <w:bookmarkEnd w:id="54"/>
    </w:p>
    <w:p w14:paraId="3F1CB610" w14:textId="77777777" w:rsidR="005212D3" w:rsidRPr="005212D3" w:rsidRDefault="005212D3" w:rsidP="005212D3">
      <w:pPr>
        <w:rPr>
          <w:lang w:val="en-US"/>
        </w:rPr>
      </w:pPr>
    </w:p>
    <w:tbl>
      <w:tblPr>
        <w:tblStyle w:val="Grilledutableau"/>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232"/>
      </w:tblGrid>
      <w:tr w:rsidR="00E10FA6" w:rsidRPr="00E10FA6" w14:paraId="33131A1B" w14:textId="77777777" w:rsidTr="00F71DCA">
        <w:tc>
          <w:tcPr>
            <w:tcW w:w="2830" w:type="dxa"/>
            <w:tcBorders>
              <w:top w:val="single" w:sz="4" w:space="0" w:color="auto"/>
              <w:bottom w:val="single" w:sz="4" w:space="0" w:color="auto"/>
            </w:tcBorders>
          </w:tcPr>
          <w:p w14:paraId="0A79E7C0" w14:textId="77777777" w:rsidR="00E10FA6" w:rsidRPr="00E10FA6" w:rsidRDefault="00E10FA6" w:rsidP="00F71DCA">
            <w:pPr>
              <w:rPr>
                <w:rFonts w:ascii="Times New Roman" w:hAnsi="Times New Roman" w:cs="Times New Roman"/>
                <w:b/>
                <w:bCs/>
                <w:sz w:val="20"/>
                <w:szCs w:val="20"/>
                <w:shd w:val="clear" w:color="auto" w:fill="FFFFFF"/>
                <w:lang w:val="en-US"/>
              </w:rPr>
            </w:pPr>
            <w:r w:rsidRPr="00E10FA6">
              <w:rPr>
                <w:rFonts w:ascii="Times New Roman" w:hAnsi="Times New Roman" w:cs="Times New Roman"/>
                <w:b/>
                <w:bCs/>
                <w:sz w:val="20"/>
                <w:szCs w:val="20"/>
                <w:shd w:val="clear" w:color="auto" w:fill="FFFFFF"/>
                <w:lang w:val="en-US"/>
              </w:rPr>
              <w:t>Types of exposure</w:t>
            </w:r>
          </w:p>
        </w:tc>
        <w:tc>
          <w:tcPr>
            <w:tcW w:w="6232" w:type="dxa"/>
            <w:tcBorders>
              <w:top w:val="single" w:sz="4" w:space="0" w:color="auto"/>
              <w:bottom w:val="single" w:sz="4" w:space="0" w:color="auto"/>
            </w:tcBorders>
          </w:tcPr>
          <w:p w14:paraId="01BC6248" w14:textId="77777777" w:rsidR="00E10FA6" w:rsidRPr="00E10FA6" w:rsidRDefault="00E10FA6" w:rsidP="00F71DCA">
            <w:pPr>
              <w:rPr>
                <w:rFonts w:ascii="Times New Roman" w:hAnsi="Times New Roman" w:cs="Times New Roman"/>
                <w:b/>
                <w:bCs/>
                <w:sz w:val="20"/>
                <w:szCs w:val="20"/>
                <w:shd w:val="clear" w:color="auto" w:fill="FFFFFF"/>
                <w:lang w:val="en-US"/>
              </w:rPr>
            </w:pPr>
            <w:r w:rsidRPr="00E10FA6">
              <w:rPr>
                <w:rFonts w:ascii="Times New Roman" w:hAnsi="Times New Roman" w:cs="Times New Roman"/>
                <w:b/>
                <w:bCs/>
                <w:sz w:val="20"/>
                <w:szCs w:val="20"/>
                <w:shd w:val="clear" w:color="auto" w:fill="FFFFFF"/>
                <w:lang w:val="en-US"/>
              </w:rPr>
              <w:t>Time of assessment during pregnancy</w:t>
            </w:r>
          </w:p>
        </w:tc>
      </w:tr>
      <w:tr w:rsidR="00E10FA6" w:rsidRPr="00E10FA6" w14:paraId="42D210D4" w14:textId="77777777" w:rsidTr="00F71DCA">
        <w:tc>
          <w:tcPr>
            <w:tcW w:w="2830" w:type="dxa"/>
            <w:tcBorders>
              <w:top w:val="single" w:sz="4" w:space="0" w:color="auto"/>
            </w:tcBorders>
          </w:tcPr>
          <w:p w14:paraId="7EDD4F41" w14:textId="77777777" w:rsidR="00E10FA6" w:rsidRPr="00E10FA6" w:rsidRDefault="00E10FA6" w:rsidP="00F71DCA">
            <w:pPr>
              <w:rPr>
                <w:rFonts w:ascii="Times New Roman" w:hAnsi="Times New Roman" w:cs="Times New Roman"/>
                <w:sz w:val="20"/>
                <w:szCs w:val="20"/>
                <w:shd w:val="clear" w:color="auto" w:fill="FFFFFF"/>
                <w:lang w:val="en-US"/>
              </w:rPr>
            </w:pPr>
            <w:r w:rsidRPr="00E10FA6">
              <w:rPr>
                <w:rFonts w:ascii="Times New Roman" w:hAnsi="Times New Roman" w:cs="Times New Roman"/>
                <w:sz w:val="20"/>
                <w:szCs w:val="20"/>
                <w:shd w:val="clear" w:color="auto" w:fill="FFFFFF"/>
                <w:lang w:val="en-US"/>
              </w:rPr>
              <w:t>Urban exposures</w:t>
            </w:r>
          </w:p>
        </w:tc>
        <w:tc>
          <w:tcPr>
            <w:tcW w:w="6232" w:type="dxa"/>
            <w:tcBorders>
              <w:top w:val="single" w:sz="4" w:space="0" w:color="auto"/>
            </w:tcBorders>
          </w:tcPr>
          <w:p w14:paraId="0B367278" w14:textId="77777777" w:rsidR="00E10FA6" w:rsidRPr="00E10FA6" w:rsidRDefault="00E10FA6" w:rsidP="00F71DCA">
            <w:pPr>
              <w:rPr>
                <w:rFonts w:ascii="Times New Roman" w:hAnsi="Times New Roman" w:cs="Times New Roman"/>
                <w:sz w:val="20"/>
                <w:szCs w:val="20"/>
                <w:shd w:val="clear" w:color="auto" w:fill="FFFFFF"/>
                <w:lang w:val="en-US"/>
              </w:rPr>
            </w:pPr>
            <w:r w:rsidRPr="00E10FA6">
              <w:rPr>
                <w:rFonts w:ascii="Times New Roman" w:hAnsi="Times New Roman" w:cs="Times New Roman"/>
                <w:sz w:val="20"/>
                <w:szCs w:val="20"/>
                <w:shd w:val="clear" w:color="auto" w:fill="FFFFFF"/>
                <w:lang w:val="en-US"/>
              </w:rPr>
              <w:t>Mean of the assessment at each of the 3 trimesters</w:t>
            </w:r>
          </w:p>
        </w:tc>
      </w:tr>
      <w:tr w:rsidR="00E10FA6" w:rsidRPr="00E10FA6" w14:paraId="0491A2F7" w14:textId="77777777" w:rsidTr="00F71DCA">
        <w:tc>
          <w:tcPr>
            <w:tcW w:w="2830" w:type="dxa"/>
          </w:tcPr>
          <w:p w14:paraId="0FDC6771" w14:textId="77777777" w:rsidR="00E10FA6" w:rsidRPr="00E10FA6" w:rsidRDefault="00E10FA6" w:rsidP="00F71DCA">
            <w:pPr>
              <w:rPr>
                <w:rFonts w:ascii="Times New Roman" w:hAnsi="Times New Roman" w:cs="Times New Roman"/>
                <w:sz w:val="20"/>
                <w:szCs w:val="20"/>
                <w:shd w:val="clear" w:color="auto" w:fill="FFFFFF"/>
                <w:lang w:val="fr-FR"/>
              </w:rPr>
            </w:pPr>
            <w:r w:rsidRPr="00E10FA6">
              <w:rPr>
                <w:rFonts w:ascii="Times New Roman" w:hAnsi="Times New Roman" w:cs="Times New Roman"/>
                <w:sz w:val="20"/>
                <w:szCs w:val="20"/>
                <w:shd w:val="clear" w:color="auto" w:fill="FFFFFF"/>
                <w:lang w:val="fr-FR"/>
              </w:rPr>
              <w:t xml:space="preserve">Lifestyle / Social </w:t>
            </w:r>
            <w:proofErr w:type="spellStart"/>
            <w:r w:rsidRPr="00E10FA6">
              <w:rPr>
                <w:rFonts w:ascii="Times New Roman" w:hAnsi="Times New Roman" w:cs="Times New Roman"/>
                <w:sz w:val="20"/>
                <w:szCs w:val="20"/>
                <w:shd w:val="clear" w:color="auto" w:fill="FFFFFF"/>
                <w:lang w:val="fr-FR"/>
              </w:rPr>
              <w:t>environment</w:t>
            </w:r>
            <w:proofErr w:type="spellEnd"/>
            <w:r w:rsidRPr="00E10FA6">
              <w:rPr>
                <w:rFonts w:ascii="Times New Roman" w:hAnsi="Times New Roman" w:cs="Times New Roman"/>
                <w:sz w:val="20"/>
                <w:szCs w:val="20"/>
                <w:shd w:val="clear" w:color="auto" w:fill="FFFFFF"/>
                <w:lang w:val="fr-FR"/>
              </w:rPr>
              <w:t xml:space="preserve"> </w:t>
            </w:r>
          </w:p>
        </w:tc>
        <w:tc>
          <w:tcPr>
            <w:tcW w:w="6232" w:type="dxa"/>
          </w:tcPr>
          <w:p w14:paraId="15790609" w14:textId="77777777" w:rsidR="00E10FA6" w:rsidRPr="00E10FA6" w:rsidRDefault="00E10FA6" w:rsidP="00F71DCA">
            <w:pPr>
              <w:rPr>
                <w:rFonts w:ascii="Times New Roman" w:hAnsi="Times New Roman" w:cs="Times New Roman"/>
                <w:sz w:val="20"/>
                <w:szCs w:val="20"/>
                <w:shd w:val="clear" w:color="auto" w:fill="FFFFFF"/>
                <w:lang w:val="en-US"/>
              </w:rPr>
            </w:pPr>
            <w:r w:rsidRPr="00E10FA6">
              <w:rPr>
                <w:rFonts w:ascii="Times New Roman" w:hAnsi="Times New Roman" w:cs="Times New Roman"/>
                <w:sz w:val="20"/>
                <w:szCs w:val="20"/>
                <w:shd w:val="clear" w:color="auto" w:fill="FFFFFF"/>
                <w:lang w:val="en-US"/>
              </w:rPr>
              <w:t>Whole pregnancy</w:t>
            </w:r>
          </w:p>
          <w:p w14:paraId="5EE952A5" w14:textId="4BF09784" w:rsidR="00E10FA6" w:rsidRPr="00E10FA6" w:rsidRDefault="00E10FA6" w:rsidP="00E10FA6">
            <w:pPr>
              <w:pStyle w:val="Paragraphedeliste"/>
              <w:numPr>
                <w:ilvl w:val="0"/>
                <w:numId w:val="11"/>
              </w:numPr>
              <w:rPr>
                <w:sz w:val="20"/>
                <w:szCs w:val="20"/>
                <w:shd w:val="clear" w:color="auto" w:fill="FFFFFF"/>
                <w:lang w:val="en-US"/>
              </w:rPr>
            </w:pPr>
            <w:r w:rsidRPr="00E10FA6">
              <w:rPr>
                <w:sz w:val="20"/>
                <w:szCs w:val="20"/>
                <w:shd w:val="clear" w:color="auto" w:fill="FFFFFF"/>
                <w:lang w:val="en-US"/>
              </w:rPr>
              <w:t>Tobacco: any consumption during pregnancy</w:t>
            </w:r>
          </w:p>
          <w:p w14:paraId="381479CE" w14:textId="77777777" w:rsidR="00E10FA6" w:rsidRPr="00E10FA6" w:rsidRDefault="00E10FA6" w:rsidP="00E10FA6">
            <w:pPr>
              <w:pStyle w:val="Paragraphedeliste"/>
              <w:numPr>
                <w:ilvl w:val="0"/>
                <w:numId w:val="11"/>
              </w:numPr>
              <w:rPr>
                <w:sz w:val="20"/>
                <w:szCs w:val="20"/>
                <w:shd w:val="clear" w:color="auto" w:fill="FFFFFF"/>
                <w:lang w:val="en-US"/>
              </w:rPr>
            </w:pPr>
            <w:r w:rsidRPr="00E10FA6">
              <w:rPr>
                <w:sz w:val="20"/>
                <w:szCs w:val="20"/>
                <w:shd w:val="clear" w:color="auto" w:fill="FFFFFF"/>
                <w:lang w:val="en-US"/>
              </w:rPr>
              <w:t>Diet: average consumption in times/week</w:t>
            </w:r>
          </w:p>
        </w:tc>
      </w:tr>
      <w:tr w:rsidR="00E10FA6" w:rsidRPr="00E10FA6" w14:paraId="26AAFAFC" w14:textId="77777777" w:rsidTr="00F71DCA">
        <w:tc>
          <w:tcPr>
            <w:tcW w:w="2830" w:type="dxa"/>
          </w:tcPr>
          <w:p w14:paraId="62258A03" w14:textId="77777777" w:rsidR="00E10FA6" w:rsidRPr="00E10FA6" w:rsidRDefault="00E10FA6" w:rsidP="00F71DCA">
            <w:pPr>
              <w:rPr>
                <w:rFonts w:ascii="Times New Roman" w:hAnsi="Times New Roman" w:cs="Times New Roman"/>
                <w:sz w:val="20"/>
                <w:szCs w:val="20"/>
                <w:shd w:val="clear" w:color="auto" w:fill="FFFFFF"/>
              </w:rPr>
            </w:pPr>
            <w:r w:rsidRPr="00E10FA6">
              <w:rPr>
                <w:rFonts w:ascii="Times New Roman" w:hAnsi="Times New Roman" w:cs="Times New Roman"/>
                <w:sz w:val="20"/>
                <w:szCs w:val="20"/>
                <w:shd w:val="clear" w:color="auto" w:fill="FFFFFF"/>
              </w:rPr>
              <w:t>Biomarkers</w:t>
            </w:r>
          </w:p>
        </w:tc>
        <w:tc>
          <w:tcPr>
            <w:tcW w:w="6232" w:type="dxa"/>
          </w:tcPr>
          <w:p w14:paraId="552C7C57" w14:textId="0EB2EBC9" w:rsidR="00E10FA6" w:rsidRPr="00E10FA6" w:rsidRDefault="00E10FA6" w:rsidP="00F71DCA">
            <w:pPr>
              <w:rPr>
                <w:rFonts w:ascii="Times New Roman" w:hAnsi="Times New Roman" w:cs="Times New Roman"/>
                <w:sz w:val="20"/>
                <w:szCs w:val="20"/>
                <w:shd w:val="clear" w:color="auto" w:fill="FFFFFF"/>
                <w:lang w:val="en-US"/>
              </w:rPr>
            </w:pPr>
            <w:r w:rsidRPr="00E10FA6">
              <w:rPr>
                <w:rFonts w:ascii="Times New Roman" w:hAnsi="Times New Roman" w:cs="Times New Roman"/>
                <w:sz w:val="20"/>
                <w:szCs w:val="20"/>
                <w:shd w:val="clear" w:color="auto" w:fill="FFFFFF"/>
                <w:lang w:val="en-US"/>
              </w:rPr>
              <w:t xml:space="preserve">See </w:t>
            </w:r>
            <w:proofErr w:type="spellStart"/>
            <w:r w:rsidRPr="00E10FA6">
              <w:rPr>
                <w:rFonts w:ascii="Times New Roman" w:hAnsi="Times New Roman" w:cs="Times New Roman"/>
                <w:sz w:val="20"/>
                <w:szCs w:val="20"/>
                <w:shd w:val="clear" w:color="auto" w:fill="FFFFFF"/>
                <w:lang w:val="en-US"/>
              </w:rPr>
              <w:t>eTable</w:t>
            </w:r>
            <w:proofErr w:type="spellEnd"/>
            <w:r w:rsidRPr="00E10FA6">
              <w:rPr>
                <w:rFonts w:ascii="Times New Roman" w:hAnsi="Times New Roman" w:cs="Times New Roman"/>
                <w:sz w:val="20"/>
                <w:szCs w:val="20"/>
                <w:shd w:val="clear" w:color="auto" w:fill="FFFFFF"/>
                <w:lang w:val="en-US"/>
              </w:rPr>
              <w:t xml:space="preserve"> </w:t>
            </w:r>
            <w:r w:rsidR="00F62AFC">
              <w:rPr>
                <w:rFonts w:ascii="Times New Roman" w:hAnsi="Times New Roman" w:cs="Times New Roman"/>
                <w:sz w:val="20"/>
                <w:szCs w:val="20"/>
                <w:shd w:val="clear" w:color="auto" w:fill="FFFFFF"/>
                <w:lang w:val="en-US"/>
              </w:rPr>
              <w:t>4</w:t>
            </w:r>
          </w:p>
        </w:tc>
      </w:tr>
    </w:tbl>
    <w:p w14:paraId="086B662C" w14:textId="77777777" w:rsidR="00E10FA6" w:rsidRPr="00E10FA6" w:rsidRDefault="00E10FA6" w:rsidP="00E10FA6">
      <w:pPr>
        <w:rPr>
          <w:rFonts w:ascii="Times New Roman" w:hAnsi="Times New Roman" w:cs="Times New Roman"/>
          <w:color w:val="4472C4" w:themeColor="accent1"/>
          <w:shd w:val="clear" w:color="auto" w:fill="FFFFFF"/>
          <w:lang w:val="en-US"/>
        </w:rPr>
      </w:pPr>
    </w:p>
    <w:p w14:paraId="2EA80750" w14:textId="77777777" w:rsidR="00E10FA6" w:rsidRDefault="00E10FA6">
      <w:pPr>
        <w:rPr>
          <w:rFonts w:ascii="Times New Roman" w:hAnsi="Times New Roman" w:cs="Times New Roman"/>
          <w:b/>
          <w:bCs/>
          <w:shd w:val="clear" w:color="auto" w:fill="FFFFFF"/>
          <w:lang w:val="en-US"/>
        </w:rPr>
      </w:pPr>
      <w:r>
        <w:rPr>
          <w:rFonts w:ascii="Times New Roman" w:hAnsi="Times New Roman" w:cs="Times New Roman"/>
          <w:b/>
          <w:bCs/>
          <w:shd w:val="clear" w:color="auto" w:fill="FFFFFF"/>
          <w:lang w:val="en-US"/>
        </w:rPr>
        <w:br w:type="page"/>
      </w:r>
    </w:p>
    <w:p w14:paraId="1B3B6A8C" w14:textId="7F84264E" w:rsidR="00E10FA6" w:rsidRDefault="00E10FA6" w:rsidP="005212D3">
      <w:pPr>
        <w:pStyle w:val="Titre1"/>
        <w:rPr>
          <w:shd w:val="clear" w:color="auto" w:fill="FFFFFF"/>
          <w:lang w:val="en-US"/>
        </w:rPr>
      </w:pPr>
      <w:bookmarkStart w:id="58" w:name="_Toc132271586"/>
      <w:proofErr w:type="spellStart"/>
      <w:r w:rsidRPr="00E10FA6">
        <w:rPr>
          <w:shd w:val="clear" w:color="auto" w:fill="FFFFFF"/>
          <w:lang w:val="en-US"/>
        </w:rPr>
        <w:lastRenderedPageBreak/>
        <w:t>eTable</w:t>
      </w:r>
      <w:proofErr w:type="spellEnd"/>
      <w:r w:rsidRPr="00E10FA6">
        <w:rPr>
          <w:shd w:val="clear" w:color="auto" w:fill="FFFFFF"/>
          <w:lang w:val="en-US"/>
        </w:rPr>
        <w:t xml:space="preserve"> </w:t>
      </w:r>
      <w:r w:rsidR="006965CC">
        <w:rPr>
          <w:shd w:val="clear" w:color="auto" w:fill="FFFFFF"/>
          <w:lang w:val="en-US"/>
        </w:rPr>
        <w:t>4</w:t>
      </w:r>
      <w:r w:rsidRPr="00E10FA6">
        <w:rPr>
          <w:shd w:val="clear" w:color="auto" w:fill="FFFFFF"/>
          <w:lang w:val="en-US"/>
        </w:rPr>
        <w:t xml:space="preserve">. </w:t>
      </w:r>
      <w:r w:rsidRPr="005212D3">
        <w:rPr>
          <w:b w:val="0"/>
          <w:bCs w:val="0"/>
          <w:shd w:val="clear" w:color="auto" w:fill="FFFFFF"/>
          <w:lang w:val="en-US"/>
        </w:rPr>
        <w:t>Collection time points of maternal blood and urine samples (mean, SD)</w:t>
      </w:r>
      <w:bookmarkEnd w:id="58"/>
    </w:p>
    <w:p w14:paraId="3A9CBC3E" w14:textId="77777777" w:rsidR="005212D3" w:rsidRPr="005212D3" w:rsidRDefault="005212D3" w:rsidP="005212D3">
      <w:pPr>
        <w:rPr>
          <w:lang w:val="en-US"/>
        </w:rPr>
      </w:pPr>
    </w:p>
    <w:tbl>
      <w:tblPr>
        <w:tblStyle w:val="Grilledutableau"/>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4"/>
        <w:gridCol w:w="1294"/>
        <w:gridCol w:w="1294"/>
        <w:gridCol w:w="1295"/>
        <w:gridCol w:w="1295"/>
        <w:gridCol w:w="1295"/>
        <w:gridCol w:w="1295"/>
      </w:tblGrid>
      <w:tr w:rsidR="00E10FA6" w:rsidRPr="00E10FA6" w14:paraId="70739922" w14:textId="77777777" w:rsidTr="00F71DCA">
        <w:tc>
          <w:tcPr>
            <w:tcW w:w="1294" w:type="dxa"/>
            <w:vAlign w:val="center"/>
          </w:tcPr>
          <w:p w14:paraId="5173380D"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p>
        </w:tc>
        <w:tc>
          <w:tcPr>
            <w:tcW w:w="7768" w:type="dxa"/>
            <w:gridSpan w:val="6"/>
            <w:tcBorders>
              <w:top w:val="single" w:sz="4" w:space="0" w:color="auto"/>
              <w:bottom w:val="single" w:sz="4" w:space="0" w:color="auto"/>
            </w:tcBorders>
            <w:vAlign w:val="center"/>
          </w:tcPr>
          <w:p w14:paraId="4C3A3798"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r w:rsidRPr="00E10FA6">
              <w:rPr>
                <w:rFonts w:ascii="Times New Roman" w:eastAsia="Times New Roman" w:hAnsi="Times New Roman" w:cs="Times New Roman"/>
                <w:b/>
                <w:color w:val="000000"/>
                <w:sz w:val="20"/>
                <w:szCs w:val="20"/>
              </w:rPr>
              <w:t>Cohort</w:t>
            </w:r>
          </w:p>
        </w:tc>
      </w:tr>
      <w:tr w:rsidR="00E10FA6" w:rsidRPr="00E10FA6" w14:paraId="09914FE7" w14:textId="77777777" w:rsidTr="00F71DCA">
        <w:tc>
          <w:tcPr>
            <w:tcW w:w="1294" w:type="dxa"/>
            <w:tcBorders>
              <w:bottom w:val="nil"/>
            </w:tcBorders>
            <w:vAlign w:val="center"/>
          </w:tcPr>
          <w:p w14:paraId="1DC6A22B"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p>
        </w:tc>
        <w:tc>
          <w:tcPr>
            <w:tcW w:w="1294" w:type="dxa"/>
            <w:tcBorders>
              <w:top w:val="single" w:sz="4" w:space="0" w:color="auto"/>
              <w:bottom w:val="single" w:sz="4" w:space="0" w:color="auto"/>
            </w:tcBorders>
            <w:vAlign w:val="center"/>
          </w:tcPr>
          <w:p w14:paraId="684805FD"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proofErr w:type="spellStart"/>
            <w:r w:rsidRPr="00E10FA6">
              <w:rPr>
                <w:rFonts w:ascii="Times New Roman" w:eastAsia="Times New Roman" w:hAnsi="Times New Roman" w:cs="Times New Roman"/>
                <w:b/>
                <w:color w:val="000000"/>
                <w:sz w:val="20"/>
                <w:szCs w:val="20"/>
              </w:rPr>
              <w:t>BiB</w:t>
            </w:r>
            <w:proofErr w:type="spellEnd"/>
          </w:p>
        </w:tc>
        <w:tc>
          <w:tcPr>
            <w:tcW w:w="1294" w:type="dxa"/>
            <w:tcBorders>
              <w:top w:val="single" w:sz="4" w:space="0" w:color="auto"/>
              <w:bottom w:val="single" w:sz="4" w:space="0" w:color="auto"/>
            </w:tcBorders>
            <w:vAlign w:val="center"/>
          </w:tcPr>
          <w:p w14:paraId="2E1AA7DB"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r w:rsidRPr="00E10FA6">
              <w:rPr>
                <w:rFonts w:ascii="Times New Roman" w:eastAsia="Times New Roman" w:hAnsi="Times New Roman" w:cs="Times New Roman"/>
                <w:b/>
                <w:color w:val="000000"/>
                <w:sz w:val="20"/>
                <w:szCs w:val="20"/>
              </w:rPr>
              <w:t>EDEN</w:t>
            </w:r>
          </w:p>
        </w:tc>
        <w:tc>
          <w:tcPr>
            <w:tcW w:w="1295" w:type="dxa"/>
            <w:tcBorders>
              <w:top w:val="single" w:sz="4" w:space="0" w:color="auto"/>
              <w:bottom w:val="single" w:sz="4" w:space="0" w:color="auto"/>
            </w:tcBorders>
            <w:vAlign w:val="center"/>
          </w:tcPr>
          <w:p w14:paraId="4FA65A71"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r w:rsidRPr="00E10FA6">
              <w:rPr>
                <w:rFonts w:ascii="Times New Roman" w:eastAsia="Times New Roman" w:hAnsi="Times New Roman" w:cs="Times New Roman"/>
                <w:b/>
                <w:color w:val="000000"/>
                <w:sz w:val="20"/>
                <w:szCs w:val="20"/>
              </w:rPr>
              <w:t>KANC</w:t>
            </w:r>
          </w:p>
        </w:tc>
        <w:tc>
          <w:tcPr>
            <w:tcW w:w="1295" w:type="dxa"/>
            <w:tcBorders>
              <w:top w:val="single" w:sz="4" w:space="0" w:color="auto"/>
              <w:bottom w:val="single" w:sz="4" w:space="0" w:color="auto"/>
            </w:tcBorders>
            <w:vAlign w:val="center"/>
          </w:tcPr>
          <w:p w14:paraId="3BE891BE"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r w:rsidRPr="00E10FA6">
              <w:rPr>
                <w:rFonts w:ascii="Times New Roman" w:eastAsia="Times New Roman" w:hAnsi="Times New Roman" w:cs="Times New Roman"/>
                <w:b/>
                <w:color w:val="000000"/>
                <w:sz w:val="20"/>
                <w:szCs w:val="20"/>
              </w:rPr>
              <w:t>INMA</w:t>
            </w:r>
          </w:p>
        </w:tc>
        <w:tc>
          <w:tcPr>
            <w:tcW w:w="1295" w:type="dxa"/>
            <w:tcBorders>
              <w:top w:val="single" w:sz="4" w:space="0" w:color="auto"/>
              <w:bottom w:val="single" w:sz="4" w:space="0" w:color="auto"/>
            </w:tcBorders>
            <w:vAlign w:val="center"/>
          </w:tcPr>
          <w:p w14:paraId="642C070E"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proofErr w:type="spellStart"/>
            <w:r w:rsidRPr="00E10FA6">
              <w:rPr>
                <w:rFonts w:ascii="Times New Roman" w:eastAsia="Times New Roman" w:hAnsi="Times New Roman" w:cs="Times New Roman"/>
                <w:b/>
                <w:color w:val="000000"/>
                <w:sz w:val="20"/>
                <w:szCs w:val="20"/>
              </w:rPr>
              <w:t>MoBa</w:t>
            </w:r>
            <w:proofErr w:type="spellEnd"/>
          </w:p>
        </w:tc>
        <w:tc>
          <w:tcPr>
            <w:tcW w:w="1295" w:type="dxa"/>
            <w:tcBorders>
              <w:top w:val="single" w:sz="4" w:space="0" w:color="auto"/>
              <w:bottom w:val="single" w:sz="4" w:space="0" w:color="auto"/>
            </w:tcBorders>
            <w:vAlign w:val="center"/>
          </w:tcPr>
          <w:p w14:paraId="0817868C"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r w:rsidRPr="00E10FA6">
              <w:rPr>
                <w:rFonts w:ascii="Times New Roman" w:eastAsia="Times New Roman" w:hAnsi="Times New Roman" w:cs="Times New Roman"/>
                <w:b/>
                <w:color w:val="000000"/>
                <w:sz w:val="20"/>
                <w:szCs w:val="20"/>
              </w:rPr>
              <w:t>RHEA</w:t>
            </w:r>
          </w:p>
        </w:tc>
      </w:tr>
      <w:tr w:rsidR="00E10FA6" w:rsidRPr="00E10FA6" w14:paraId="50076412" w14:textId="77777777" w:rsidTr="00F71DCA">
        <w:tc>
          <w:tcPr>
            <w:tcW w:w="1294" w:type="dxa"/>
            <w:tcBorders>
              <w:top w:val="nil"/>
              <w:bottom w:val="single" w:sz="4" w:space="0" w:color="auto"/>
            </w:tcBorders>
            <w:vAlign w:val="center"/>
          </w:tcPr>
          <w:p w14:paraId="26B2F662" w14:textId="77777777" w:rsidR="00E10FA6" w:rsidRPr="00E10FA6" w:rsidRDefault="00E10FA6" w:rsidP="00F71DCA">
            <w:pPr>
              <w:jc w:val="center"/>
              <w:rPr>
                <w:rFonts w:ascii="Times New Roman" w:hAnsi="Times New Roman" w:cs="Times New Roman"/>
                <w:b/>
                <w:bCs/>
                <w:color w:val="4472C4" w:themeColor="accent1"/>
                <w:sz w:val="20"/>
                <w:szCs w:val="20"/>
                <w:shd w:val="clear" w:color="auto" w:fill="FFFFFF"/>
                <w:lang w:val="en-US"/>
              </w:rPr>
            </w:pPr>
            <w:r w:rsidRPr="00E10FA6">
              <w:rPr>
                <w:rFonts w:ascii="Times New Roman" w:eastAsia="Times New Roman" w:hAnsi="Times New Roman" w:cs="Times New Roman"/>
                <w:b/>
                <w:bCs/>
                <w:color w:val="000000"/>
                <w:sz w:val="20"/>
                <w:szCs w:val="20"/>
              </w:rPr>
              <w:t>Gestational weeks</w:t>
            </w:r>
          </w:p>
        </w:tc>
        <w:tc>
          <w:tcPr>
            <w:tcW w:w="1294" w:type="dxa"/>
            <w:tcBorders>
              <w:top w:val="single" w:sz="4" w:space="0" w:color="auto"/>
              <w:bottom w:val="single" w:sz="4" w:space="0" w:color="auto"/>
            </w:tcBorders>
            <w:vAlign w:val="center"/>
          </w:tcPr>
          <w:p w14:paraId="3AA2E08C"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r w:rsidRPr="00E10FA6">
              <w:rPr>
                <w:rFonts w:ascii="Times New Roman" w:eastAsia="Times New Roman" w:hAnsi="Times New Roman" w:cs="Times New Roman"/>
                <w:color w:val="000000"/>
                <w:sz w:val="20"/>
                <w:szCs w:val="20"/>
              </w:rPr>
              <w:t>26.6 (1.4)</w:t>
            </w:r>
          </w:p>
        </w:tc>
        <w:tc>
          <w:tcPr>
            <w:tcW w:w="1294" w:type="dxa"/>
            <w:tcBorders>
              <w:top w:val="single" w:sz="4" w:space="0" w:color="auto"/>
              <w:bottom w:val="single" w:sz="4" w:space="0" w:color="auto"/>
            </w:tcBorders>
            <w:vAlign w:val="center"/>
          </w:tcPr>
          <w:p w14:paraId="158D37A0"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r w:rsidRPr="00E10FA6">
              <w:rPr>
                <w:rFonts w:ascii="Times New Roman" w:eastAsia="Times New Roman" w:hAnsi="Times New Roman" w:cs="Times New Roman"/>
                <w:color w:val="000000"/>
                <w:sz w:val="20"/>
                <w:szCs w:val="20"/>
              </w:rPr>
              <w:t>26.1 (1.2)</w:t>
            </w:r>
          </w:p>
        </w:tc>
        <w:tc>
          <w:tcPr>
            <w:tcW w:w="1295" w:type="dxa"/>
            <w:tcBorders>
              <w:top w:val="single" w:sz="4" w:space="0" w:color="auto"/>
              <w:bottom w:val="single" w:sz="4" w:space="0" w:color="auto"/>
            </w:tcBorders>
            <w:vAlign w:val="center"/>
          </w:tcPr>
          <w:p w14:paraId="659BA3A7"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r w:rsidRPr="00E10FA6">
              <w:rPr>
                <w:rFonts w:ascii="Times New Roman" w:eastAsia="Times New Roman" w:hAnsi="Times New Roman" w:cs="Times New Roman"/>
                <w:color w:val="000000"/>
                <w:sz w:val="20"/>
                <w:szCs w:val="20"/>
              </w:rPr>
              <w:t>39.4 (1.3)</w:t>
            </w:r>
          </w:p>
        </w:tc>
        <w:tc>
          <w:tcPr>
            <w:tcW w:w="1295" w:type="dxa"/>
            <w:tcBorders>
              <w:top w:val="single" w:sz="4" w:space="0" w:color="auto"/>
              <w:bottom w:val="single" w:sz="4" w:space="0" w:color="auto"/>
            </w:tcBorders>
            <w:vAlign w:val="center"/>
          </w:tcPr>
          <w:p w14:paraId="1EE23628"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r w:rsidRPr="00E10FA6">
              <w:rPr>
                <w:rFonts w:ascii="Times New Roman" w:eastAsia="Times New Roman" w:hAnsi="Times New Roman" w:cs="Times New Roman"/>
                <w:color w:val="000000"/>
                <w:sz w:val="20"/>
                <w:szCs w:val="20"/>
              </w:rPr>
              <w:t xml:space="preserve">13.7 (2.0) / 34.2 (1.3) </w:t>
            </w:r>
            <w:r w:rsidRPr="00E10FA6">
              <w:rPr>
                <w:rFonts w:ascii="Times New Roman" w:eastAsia="Times New Roman" w:hAnsi="Times New Roman" w:cs="Times New Roman"/>
                <w:color w:val="000000"/>
                <w:sz w:val="20"/>
                <w:szCs w:val="20"/>
                <w:vertAlign w:val="superscript"/>
              </w:rPr>
              <w:t>a</w:t>
            </w:r>
          </w:p>
        </w:tc>
        <w:tc>
          <w:tcPr>
            <w:tcW w:w="1295" w:type="dxa"/>
            <w:tcBorders>
              <w:top w:val="single" w:sz="4" w:space="0" w:color="auto"/>
              <w:bottom w:val="single" w:sz="4" w:space="0" w:color="auto"/>
            </w:tcBorders>
            <w:vAlign w:val="center"/>
          </w:tcPr>
          <w:p w14:paraId="67445301"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r w:rsidRPr="00E10FA6">
              <w:rPr>
                <w:rFonts w:ascii="Times New Roman" w:eastAsia="Times New Roman" w:hAnsi="Times New Roman" w:cs="Times New Roman"/>
                <w:color w:val="000000"/>
                <w:sz w:val="20"/>
                <w:szCs w:val="20"/>
              </w:rPr>
              <w:t>18.7 (0.9)</w:t>
            </w:r>
          </w:p>
        </w:tc>
        <w:tc>
          <w:tcPr>
            <w:tcW w:w="1295" w:type="dxa"/>
            <w:tcBorders>
              <w:top w:val="single" w:sz="4" w:space="0" w:color="auto"/>
              <w:bottom w:val="single" w:sz="4" w:space="0" w:color="auto"/>
            </w:tcBorders>
            <w:vAlign w:val="center"/>
          </w:tcPr>
          <w:p w14:paraId="4331293A" w14:textId="77777777" w:rsidR="00E10FA6" w:rsidRPr="00E10FA6" w:rsidRDefault="00E10FA6" w:rsidP="00F71DCA">
            <w:pPr>
              <w:jc w:val="center"/>
              <w:rPr>
                <w:rFonts w:ascii="Times New Roman" w:hAnsi="Times New Roman" w:cs="Times New Roman"/>
                <w:color w:val="4472C4" w:themeColor="accent1"/>
                <w:sz w:val="20"/>
                <w:szCs w:val="20"/>
                <w:shd w:val="clear" w:color="auto" w:fill="FFFFFF"/>
                <w:lang w:val="en-US"/>
              </w:rPr>
            </w:pPr>
            <w:r w:rsidRPr="00E10FA6">
              <w:rPr>
                <w:rFonts w:ascii="Times New Roman" w:eastAsia="Times New Roman" w:hAnsi="Times New Roman" w:cs="Times New Roman"/>
                <w:color w:val="000000"/>
                <w:sz w:val="20"/>
                <w:szCs w:val="20"/>
              </w:rPr>
              <w:t>14.1 (3.7)</w:t>
            </w:r>
          </w:p>
        </w:tc>
      </w:tr>
    </w:tbl>
    <w:p w14:paraId="4696E3C0" w14:textId="77777777" w:rsidR="00E10FA6" w:rsidRPr="00E10FA6" w:rsidRDefault="00E10FA6" w:rsidP="00E10FA6">
      <w:pPr>
        <w:pBdr>
          <w:top w:val="nil"/>
          <w:left w:val="nil"/>
          <w:bottom w:val="nil"/>
          <w:right w:val="nil"/>
          <w:between w:val="nil"/>
        </w:pBdr>
        <w:spacing w:after="0"/>
        <w:jc w:val="both"/>
        <w:rPr>
          <w:rFonts w:ascii="Times New Roman" w:eastAsia="Times New Roman" w:hAnsi="Times New Roman" w:cs="Times New Roman"/>
          <w:color w:val="000000"/>
          <w:sz w:val="20"/>
          <w:szCs w:val="20"/>
          <w:lang w:val="en-US"/>
        </w:rPr>
      </w:pPr>
      <w:r w:rsidRPr="00E10FA6">
        <w:rPr>
          <w:rFonts w:ascii="Times New Roman" w:eastAsia="Times New Roman" w:hAnsi="Times New Roman" w:cs="Times New Roman"/>
          <w:color w:val="000000"/>
          <w:sz w:val="20"/>
          <w:szCs w:val="20"/>
          <w:lang w:val="en-US"/>
        </w:rPr>
        <w:t xml:space="preserve">Abbreviations: </w:t>
      </w:r>
      <w:r w:rsidRPr="00E10FA6">
        <w:rPr>
          <w:rFonts w:ascii="Times New Roman" w:eastAsia="Times New Roman" w:hAnsi="Times New Roman" w:cs="Times New Roman"/>
          <w:bCs/>
          <w:color w:val="000000"/>
          <w:sz w:val="20"/>
          <w:szCs w:val="20"/>
          <w:lang w:val="en-US"/>
        </w:rPr>
        <w:t>SD:</w:t>
      </w:r>
      <w:r w:rsidRPr="00E10FA6">
        <w:rPr>
          <w:rFonts w:ascii="Times New Roman" w:eastAsia="Times New Roman" w:hAnsi="Times New Roman" w:cs="Times New Roman"/>
          <w:color w:val="000000"/>
          <w:sz w:val="20"/>
          <w:szCs w:val="20"/>
          <w:lang w:val="en-US"/>
        </w:rPr>
        <w:t xml:space="preserve"> standard deviation</w:t>
      </w:r>
    </w:p>
    <w:p w14:paraId="25AC1518" w14:textId="4C9349D6" w:rsidR="00E10FA6" w:rsidRDefault="00E10FA6" w:rsidP="00E10FA6">
      <w:pPr>
        <w:pBdr>
          <w:top w:val="nil"/>
          <w:left w:val="nil"/>
          <w:bottom w:val="nil"/>
          <w:right w:val="nil"/>
          <w:between w:val="nil"/>
        </w:pBdr>
        <w:spacing w:after="0"/>
        <w:jc w:val="both"/>
        <w:rPr>
          <w:rFonts w:ascii="Times New Roman" w:eastAsia="Times New Roman" w:hAnsi="Times New Roman" w:cs="Times New Roman"/>
          <w:color w:val="000000"/>
          <w:sz w:val="20"/>
          <w:szCs w:val="20"/>
          <w:lang w:val="en-US"/>
        </w:rPr>
      </w:pPr>
      <w:proofErr w:type="spellStart"/>
      <w:r w:rsidRPr="00E10FA6">
        <w:rPr>
          <w:rFonts w:ascii="Times New Roman" w:eastAsia="Times New Roman" w:hAnsi="Times New Roman" w:cs="Times New Roman"/>
          <w:color w:val="000000"/>
          <w:sz w:val="20"/>
          <w:szCs w:val="20"/>
          <w:vertAlign w:val="superscript"/>
          <w:lang w:val="en-US"/>
        </w:rPr>
        <w:t>a</w:t>
      </w:r>
      <w:r w:rsidRPr="00E10FA6">
        <w:rPr>
          <w:rFonts w:ascii="Times New Roman" w:eastAsia="Times New Roman" w:hAnsi="Times New Roman" w:cs="Times New Roman"/>
          <w:color w:val="000000"/>
          <w:sz w:val="20"/>
          <w:szCs w:val="20"/>
          <w:lang w:val="en-US"/>
        </w:rPr>
        <w:t>In</w:t>
      </w:r>
      <w:proofErr w:type="spellEnd"/>
      <w:r w:rsidRPr="00E10FA6">
        <w:rPr>
          <w:rFonts w:ascii="Times New Roman" w:eastAsia="Times New Roman" w:hAnsi="Times New Roman" w:cs="Times New Roman"/>
          <w:color w:val="000000"/>
          <w:sz w:val="20"/>
          <w:szCs w:val="20"/>
          <w:lang w:val="en-US"/>
        </w:rPr>
        <w:t xml:space="preserve"> INMA, blood was collected in the first trimester whereas urine was collected in the third trimester of pregnancy.</w:t>
      </w:r>
    </w:p>
    <w:p w14:paraId="4984627F" w14:textId="76C36E1C" w:rsidR="007B142D" w:rsidRDefault="007B142D" w:rsidP="00E10FA6">
      <w:pPr>
        <w:pBdr>
          <w:top w:val="nil"/>
          <w:left w:val="nil"/>
          <w:bottom w:val="nil"/>
          <w:right w:val="nil"/>
          <w:between w:val="nil"/>
        </w:pBdr>
        <w:spacing w:after="0"/>
        <w:jc w:val="both"/>
        <w:rPr>
          <w:rFonts w:ascii="Times New Roman" w:eastAsia="Times New Roman" w:hAnsi="Times New Roman" w:cs="Times New Roman"/>
          <w:color w:val="000000"/>
          <w:sz w:val="20"/>
          <w:szCs w:val="20"/>
          <w:lang w:val="en-US"/>
        </w:rPr>
      </w:pPr>
    </w:p>
    <w:p w14:paraId="484D473E" w14:textId="77777777" w:rsidR="007B142D" w:rsidRDefault="007B142D" w:rsidP="007B142D">
      <w:pPr>
        <w:rPr>
          <w:rFonts w:ascii="Times New Roman" w:hAnsi="Times New Roman" w:cs="Times New Roman"/>
          <w:b/>
          <w:bCs/>
          <w:shd w:val="clear" w:color="auto" w:fill="FFFFFF"/>
          <w:lang w:val="en-US"/>
        </w:rPr>
      </w:pPr>
      <w:r>
        <w:rPr>
          <w:rFonts w:ascii="Times New Roman" w:hAnsi="Times New Roman" w:cs="Times New Roman"/>
          <w:b/>
          <w:bCs/>
          <w:shd w:val="clear" w:color="auto" w:fill="FFFFFF"/>
          <w:lang w:val="en-US"/>
        </w:rPr>
        <w:br w:type="page"/>
      </w:r>
    </w:p>
    <w:p w14:paraId="2D4E54BE" w14:textId="26F1D8D0" w:rsidR="002D561D" w:rsidRPr="001E4B45" w:rsidRDefault="002D561D" w:rsidP="002D561D">
      <w:pPr>
        <w:pStyle w:val="Titre1"/>
        <w:rPr>
          <w:rFonts w:eastAsia="Times New Roman"/>
          <w:b w:val="0"/>
          <w:bCs w:val="0"/>
        </w:rPr>
      </w:pPr>
      <w:bookmarkStart w:id="59" w:name="_Toc132271587"/>
      <w:proofErr w:type="spellStart"/>
      <w:r w:rsidRPr="008A5C48">
        <w:rPr>
          <w:rFonts w:eastAsia="Times New Roman"/>
        </w:rPr>
        <w:lastRenderedPageBreak/>
        <w:t>eTable</w:t>
      </w:r>
      <w:proofErr w:type="spellEnd"/>
      <w:r w:rsidRPr="008A5C48">
        <w:rPr>
          <w:rFonts w:eastAsia="Times New Roman"/>
        </w:rPr>
        <w:t xml:space="preserve"> </w:t>
      </w:r>
      <w:r w:rsidR="00276BE5">
        <w:rPr>
          <w:rFonts w:eastAsia="Times New Roman"/>
        </w:rPr>
        <w:t>5</w:t>
      </w:r>
      <w:r w:rsidRPr="008A5C48">
        <w:rPr>
          <w:rFonts w:eastAsia="Times New Roman"/>
        </w:rPr>
        <w:t xml:space="preserve">. </w:t>
      </w:r>
      <w:r w:rsidRPr="001E4B45">
        <w:rPr>
          <w:rFonts w:eastAsia="Times New Roman"/>
          <w:b w:val="0"/>
          <w:bCs w:val="0"/>
        </w:rPr>
        <w:t>Standardization of the cardiometabolic parameters</w:t>
      </w:r>
      <w:bookmarkEnd w:id="55"/>
      <w:bookmarkEnd w:id="59"/>
    </w:p>
    <w:bookmarkEnd w:id="56"/>
    <w:p w14:paraId="411DCCF5" w14:textId="77777777" w:rsidR="00376689" w:rsidRPr="00376689" w:rsidRDefault="00376689" w:rsidP="00376689"/>
    <w:bookmarkEnd w:id="57"/>
    <w:tbl>
      <w:tblPr>
        <w:tblStyle w:val="ae"/>
        <w:tblW w:w="8965" w:type="dxa"/>
        <w:jc w:val="center"/>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00" w:firstRow="0" w:lastRow="0" w:firstColumn="0" w:lastColumn="0" w:noHBand="0" w:noVBand="1"/>
      </w:tblPr>
      <w:tblGrid>
        <w:gridCol w:w="1891"/>
        <w:gridCol w:w="1357"/>
        <w:gridCol w:w="716"/>
        <w:gridCol w:w="1979"/>
        <w:gridCol w:w="940"/>
        <w:gridCol w:w="1097"/>
        <w:gridCol w:w="985"/>
      </w:tblGrid>
      <w:tr w:rsidR="002D561D" w:rsidRPr="008A5C48" w14:paraId="3F243C83" w14:textId="77777777" w:rsidTr="0034607E">
        <w:trPr>
          <w:trHeight w:val="231"/>
          <w:jc w:val="center"/>
        </w:trPr>
        <w:tc>
          <w:tcPr>
            <w:tcW w:w="1891" w:type="dxa"/>
            <w:tcBorders>
              <w:top w:val="single" w:sz="4" w:space="0" w:color="000000"/>
              <w:left w:val="nil"/>
              <w:bottom w:val="single" w:sz="4" w:space="0" w:color="000000"/>
              <w:right w:val="nil"/>
            </w:tcBorders>
            <w:shd w:val="clear" w:color="auto" w:fill="auto"/>
          </w:tcPr>
          <w:p w14:paraId="3115C6E7" w14:textId="77777777" w:rsidR="002D561D" w:rsidRPr="008A5C48" w:rsidRDefault="002D561D" w:rsidP="0034607E">
            <w:pPr>
              <w:contextualSpacing/>
              <w:rPr>
                <w:rFonts w:ascii="Times New Roman" w:eastAsia="Times New Roman" w:hAnsi="Times New Roman" w:cs="Times New Roman"/>
                <w:b/>
                <w:sz w:val="20"/>
                <w:szCs w:val="20"/>
              </w:rPr>
            </w:pPr>
          </w:p>
        </w:tc>
        <w:tc>
          <w:tcPr>
            <w:tcW w:w="1357" w:type="dxa"/>
            <w:tcBorders>
              <w:top w:val="single" w:sz="4" w:space="0" w:color="000000"/>
              <w:left w:val="nil"/>
              <w:bottom w:val="single" w:sz="4" w:space="0" w:color="000000"/>
              <w:right w:val="nil"/>
            </w:tcBorders>
            <w:shd w:val="clear" w:color="auto" w:fill="auto"/>
          </w:tcPr>
          <w:p w14:paraId="2B7C6981" w14:textId="77777777" w:rsidR="002D561D" w:rsidRPr="00376689" w:rsidRDefault="002D561D" w:rsidP="0034607E">
            <w:pPr>
              <w:contextualSpacing/>
              <w:rPr>
                <w:rFonts w:ascii="Times New Roman" w:eastAsia="Times New Roman" w:hAnsi="Times New Roman" w:cs="Times New Roman"/>
                <w:bCs/>
                <w:sz w:val="20"/>
                <w:szCs w:val="20"/>
              </w:rPr>
            </w:pPr>
            <w:r w:rsidRPr="00376689">
              <w:rPr>
                <w:rFonts w:ascii="Times New Roman" w:eastAsia="Times New Roman" w:hAnsi="Times New Roman" w:cs="Times New Roman"/>
                <w:bCs/>
                <w:sz w:val="20"/>
                <w:szCs w:val="20"/>
              </w:rPr>
              <w:t>Distribution</w:t>
            </w:r>
          </w:p>
        </w:tc>
        <w:tc>
          <w:tcPr>
            <w:tcW w:w="716" w:type="dxa"/>
            <w:tcBorders>
              <w:top w:val="single" w:sz="4" w:space="0" w:color="000000"/>
              <w:left w:val="nil"/>
              <w:bottom w:val="single" w:sz="4" w:space="0" w:color="000000"/>
              <w:right w:val="nil"/>
            </w:tcBorders>
            <w:shd w:val="clear" w:color="auto" w:fill="auto"/>
          </w:tcPr>
          <w:p w14:paraId="5EE84EAE" w14:textId="77777777" w:rsidR="002D561D" w:rsidRPr="00376689" w:rsidRDefault="002D561D" w:rsidP="0034607E">
            <w:pPr>
              <w:contextualSpacing/>
              <w:rPr>
                <w:rFonts w:ascii="Times New Roman" w:eastAsia="Times New Roman" w:hAnsi="Times New Roman" w:cs="Times New Roman"/>
                <w:bCs/>
                <w:sz w:val="20"/>
                <w:szCs w:val="20"/>
              </w:rPr>
            </w:pPr>
            <w:r w:rsidRPr="00376689">
              <w:rPr>
                <w:rFonts w:ascii="Times New Roman" w:eastAsia="Times New Roman" w:hAnsi="Times New Roman" w:cs="Times New Roman"/>
                <w:bCs/>
                <w:sz w:val="20"/>
                <w:szCs w:val="20"/>
              </w:rPr>
              <w:t>Sex</w:t>
            </w:r>
          </w:p>
        </w:tc>
        <w:tc>
          <w:tcPr>
            <w:tcW w:w="1979" w:type="dxa"/>
            <w:tcBorders>
              <w:top w:val="single" w:sz="4" w:space="0" w:color="000000"/>
              <w:left w:val="nil"/>
              <w:bottom w:val="single" w:sz="4" w:space="0" w:color="000000"/>
              <w:right w:val="nil"/>
            </w:tcBorders>
            <w:shd w:val="clear" w:color="auto" w:fill="auto"/>
          </w:tcPr>
          <w:p w14:paraId="111F5ABB" w14:textId="3B18B9DC" w:rsidR="002D561D" w:rsidRPr="008A5C48" w:rsidRDefault="00376689" w:rsidP="0034607E">
            <w:pPr>
              <w:contextualSpacing/>
              <w:jc w:val="center"/>
              <w:rPr>
                <w:rFonts w:ascii="Times New Roman" w:eastAsia="Times New Roman" w:hAnsi="Times New Roman" w:cs="Times New Roman"/>
                <w:b/>
                <w:sz w:val="20"/>
                <w:szCs w:val="20"/>
              </w:rPr>
            </w:pPr>
            <m:oMathPara>
              <m:oMath>
                <m:r>
                  <w:rPr>
                    <w:rFonts w:ascii="Cambria Math" w:hAnsi="Cambria Math" w:cs="Times New Roman"/>
                    <w:sz w:val="20"/>
                    <w:szCs w:val="20"/>
                  </w:rPr>
                  <m:t>μ</m:t>
                </m:r>
              </m:oMath>
            </m:oMathPara>
          </w:p>
          <w:p w14:paraId="7AE87286"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Location</w:t>
            </w:r>
          </w:p>
        </w:tc>
        <w:tc>
          <w:tcPr>
            <w:tcW w:w="940" w:type="dxa"/>
            <w:tcBorders>
              <w:top w:val="single" w:sz="4" w:space="0" w:color="000000"/>
              <w:left w:val="nil"/>
              <w:bottom w:val="single" w:sz="4" w:space="0" w:color="000000"/>
              <w:right w:val="nil"/>
            </w:tcBorders>
            <w:shd w:val="clear" w:color="auto" w:fill="auto"/>
          </w:tcPr>
          <w:p w14:paraId="427E8088" w14:textId="7D42CAB3" w:rsidR="002D561D" w:rsidRPr="008A5C48" w:rsidRDefault="00376689" w:rsidP="0034607E">
            <w:pPr>
              <w:contextualSpacing/>
              <w:jc w:val="center"/>
              <w:rPr>
                <w:rFonts w:ascii="Times New Roman" w:eastAsia="Cambria Math" w:hAnsi="Times New Roman" w:cs="Times New Roman"/>
                <w:sz w:val="20"/>
                <w:szCs w:val="20"/>
              </w:rPr>
            </w:pPr>
            <m:oMathPara>
              <m:oMath>
                <m:r>
                  <w:rPr>
                    <w:rFonts w:ascii="Cambria Math" w:eastAsia="Cambria Math" w:hAnsi="Cambria Math" w:cs="Times New Roman"/>
                    <w:sz w:val="20"/>
                    <w:szCs w:val="20"/>
                  </w:rPr>
                  <m:t>log⁡(σ)</m:t>
                </m:r>
              </m:oMath>
            </m:oMathPara>
          </w:p>
          <w:p w14:paraId="0A15B302"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Scale</w:t>
            </w:r>
          </w:p>
        </w:tc>
        <w:tc>
          <w:tcPr>
            <w:tcW w:w="1097" w:type="dxa"/>
            <w:tcBorders>
              <w:top w:val="single" w:sz="4" w:space="0" w:color="000000"/>
              <w:left w:val="nil"/>
              <w:bottom w:val="single" w:sz="4" w:space="0" w:color="000000"/>
              <w:right w:val="nil"/>
            </w:tcBorders>
            <w:shd w:val="clear" w:color="auto" w:fill="auto"/>
          </w:tcPr>
          <w:p w14:paraId="7D80FFC8" w14:textId="3D332FA2" w:rsidR="002D561D" w:rsidRPr="008A5C48" w:rsidRDefault="00376689" w:rsidP="0034607E">
            <w:pPr>
              <w:contextualSpacing/>
              <w:jc w:val="center"/>
              <w:rPr>
                <w:rFonts w:ascii="Times New Roman" w:eastAsia="Times New Roman" w:hAnsi="Times New Roman" w:cs="Times New Roman"/>
                <w:sz w:val="20"/>
                <w:szCs w:val="20"/>
              </w:rPr>
            </w:pPr>
            <m:oMathPara>
              <m:oMath>
                <m:r>
                  <w:rPr>
                    <w:rFonts w:ascii="Cambria Math" w:hAnsi="Cambria Math" w:cs="Times New Roman"/>
                    <w:sz w:val="20"/>
                    <w:szCs w:val="20"/>
                  </w:rPr>
                  <m:t>ν</m:t>
                </m:r>
              </m:oMath>
            </m:oMathPara>
          </w:p>
          <w:p w14:paraId="58E1945D"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Skewness</w:t>
            </w:r>
          </w:p>
        </w:tc>
        <w:tc>
          <w:tcPr>
            <w:tcW w:w="985" w:type="dxa"/>
            <w:tcBorders>
              <w:top w:val="single" w:sz="4" w:space="0" w:color="000000"/>
              <w:left w:val="nil"/>
              <w:bottom w:val="single" w:sz="4" w:space="0" w:color="000000"/>
              <w:right w:val="nil"/>
            </w:tcBorders>
            <w:shd w:val="clear" w:color="auto" w:fill="auto"/>
          </w:tcPr>
          <w:p w14:paraId="6105A599" w14:textId="6A608832" w:rsidR="002D561D" w:rsidRPr="008A5C48" w:rsidRDefault="00376689" w:rsidP="0034607E">
            <w:pPr>
              <w:contextualSpacing/>
              <w:jc w:val="center"/>
              <w:rPr>
                <w:rFonts w:ascii="Times New Roman" w:eastAsia="Cambria Math" w:hAnsi="Times New Roman" w:cs="Times New Roman"/>
                <w:sz w:val="20"/>
                <w:szCs w:val="20"/>
              </w:rPr>
            </w:pPr>
            <m:oMathPara>
              <m:oMath>
                <m:r>
                  <w:rPr>
                    <w:rFonts w:ascii="Cambria Math" w:eastAsia="Cambria Math" w:hAnsi="Cambria Math" w:cs="Times New Roman"/>
                    <w:sz w:val="20"/>
                    <w:szCs w:val="20"/>
                  </w:rPr>
                  <m:t>log⁡(τ)</m:t>
                </m:r>
              </m:oMath>
            </m:oMathPara>
          </w:p>
          <w:p w14:paraId="30AEDB6A"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Kurtosis</w:t>
            </w:r>
          </w:p>
        </w:tc>
      </w:tr>
      <w:tr w:rsidR="002D561D" w:rsidRPr="008A5C48" w14:paraId="2CEEC656" w14:textId="77777777" w:rsidTr="0034607E">
        <w:trPr>
          <w:trHeight w:val="114"/>
          <w:jc w:val="center"/>
        </w:trPr>
        <w:tc>
          <w:tcPr>
            <w:tcW w:w="1891" w:type="dxa"/>
            <w:tcBorders>
              <w:top w:val="nil"/>
              <w:left w:val="nil"/>
              <w:bottom w:val="nil"/>
              <w:right w:val="nil"/>
            </w:tcBorders>
            <w:shd w:val="clear" w:color="auto" w:fill="auto"/>
          </w:tcPr>
          <w:p w14:paraId="6C32409C"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Waist circumference</w:t>
            </w:r>
          </w:p>
        </w:tc>
        <w:tc>
          <w:tcPr>
            <w:tcW w:w="1357" w:type="dxa"/>
            <w:tcBorders>
              <w:top w:val="nil"/>
              <w:left w:val="nil"/>
              <w:bottom w:val="nil"/>
              <w:right w:val="nil"/>
            </w:tcBorders>
            <w:shd w:val="clear" w:color="auto" w:fill="auto"/>
          </w:tcPr>
          <w:p w14:paraId="5EE58466"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BCT</w:t>
            </w:r>
          </w:p>
        </w:tc>
        <w:tc>
          <w:tcPr>
            <w:tcW w:w="716" w:type="dxa"/>
            <w:tcBorders>
              <w:top w:val="nil"/>
              <w:left w:val="nil"/>
              <w:bottom w:val="nil"/>
              <w:right w:val="nil"/>
            </w:tcBorders>
            <w:shd w:val="clear" w:color="auto" w:fill="auto"/>
          </w:tcPr>
          <w:p w14:paraId="26153444"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Girls</w:t>
            </w:r>
          </w:p>
        </w:tc>
        <w:tc>
          <w:tcPr>
            <w:tcW w:w="1979" w:type="dxa"/>
            <w:tcBorders>
              <w:top w:val="nil"/>
              <w:left w:val="nil"/>
              <w:bottom w:val="nil"/>
              <w:right w:val="nil"/>
            </w:tcBorders>
            <w:shd w:val="clear" w:color="auto" w:fill="auto"/>
          </w:tcPr>
          <w:p w14:paraId="1682EE2C" w14:textId="77777777" w:rsidR="002D561D" w:rsidRPr="008A5C48" w:rsidRDefault="002D561D" w:rsidP="0034607E">
            <w:pPr>
              <w:contextualSpacing/>
              <w:jc w:val="center"/>
              <w:rPr>
                <w:rFonts w:ascii="Times New Roman" w:eastAsia="Times New Roman" w:hAnsi="Times New Roman" w:cs="Times New Roman"/>
                <w:sz w:val="20"/>
                <w:szCs w:val="20"/>
              </w:rPr>
            </w:pPr>
            <w:proofErr w:type="gramStart"/>
            <w:r w:rsidRPr="008A5C48">
              <w:rPr>
                <w:rFonts w:ascii="Times New Roman" w:eastAsia="Times New Roman" w:hAnsi="Times New Roman" w:cs="Times New Roman"/>
                <w:sz w:val="20"/>
                <w:szCs w:val="20"/>
              </w:rPr>
              <w:t>CS(</w:t>
            </w:r>
            <w:proofErr w:type="gramEnd"/>
            <w:r w:rsidRPr="008A5C48">
              <w:rPr>
                <w:rFonts w:ascii="Times New Roman" w:eastAsia="Times New Roman" w:hAnsi="Times New Roman" w:cs="Times New Roman"/>
                <w:sz w:val="20"/>
                <w:szCs w:val="20"/>
              </w:rPr>
              <w:t>age)</w:t>
            </w:r>
          </w:p>
        </w:tc>
        <w:tc>
          <w:tcPr>
            <w:tcW w:w="940" w:type="dxa"/>
            <w:tcBorders>
              <w:top w:val="nil"/>
              <w:left w:val="nil"/>
              <w:bottom w:val="nil"/>
              <w:right w:val="nil"/>
            </w:tcBorders>
            <w:shd w:val="clear" w:color="auto" w:fill="auto"/>
          </w:tcPr>
          <w:p w14:paraId="37F7BCD1"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1097" w:type="dxa"/>
            <w:tcBorders>
              <w:top w:val="nil"/>
              <w:left w:val="nil"/>
              <w:bottom w:val="nil"/>
              <w:right w:val="nil"/>
            </w:tcBorders>
            <w:shd w:val="clear" w:color="auto" w:fill="auto"/>
          </w:tcPr>
          <w:p w14:paraId="3613658F"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85" w:type="dxa"/>
            <w:tcBorders>
              <w:top w:val="nil"/>
              <w:left w:val="nil"/>
              <w:bottom w:val="nil"/>
              <w:right w:val="nil"/>
            </w:tcBorders>
            <w:shd w:val="clear" w:color="auto" w:fill="auto"/>
          </w:tcPr>
          <w:p w14:paraId="212BEB4E"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r>
      <w:tr w:rsidR="002D561D" w:rsidRPr="008A5C48" w14:paraId="07F0F9BD" w14:textId="77777777" w:rsidTr="0034607E">
        <w:trPr>
          <w:trHeight w:val="114"/>
          <w:jc w:val="center"/>
        </w:trPr>
        <w:tc>
          <w:tcPr>
            <w:tcW w:w="1891" w:type="dxa"/>
            <w:tcBorders>
              <w:top w:val="nil"/>
              <w:left w:val="nil"/>
              <w:bottom w:val="nil"/>
              <w:right w:val="nil"/>
            </w:tcBorders>
            <w:shd w:val="clear" w:color="auto" w:fill="auto"/>
          </w:tcPr>
          <w:p w14:paraId="5F3B9128" w14:textId="77777777" w:rsidR="002D561D" w:rsidRPr="008A5C48" w:rsidRDefault="002D561D" w:rsidP="0034607E">
            <w:pPr>
              <w:contextualSpacing/>
              <w:rPr>
                <w:rFonts w:ascii="Times New Roman" w:eastAsia="Times New Roman" w:hAnsi="Times New Roman" w:cs="Times New Roman"/>
                <w:sz w:val="20"/>
                <w:szCs w:val="20"/>
              </w:rPr>
            </w:pPr>
          </w:p>
        </w:tc>
        <w:tc>
          <w:tcPr>
            <w:tcW w:w="1357" w:type="dxa"/>
            <w:tcBorders>
              <w:top w:val="nil"/>
              <w:left w:val="nil"/>
              <w:bottom w:val="nil"/>
              <w:right w:val="nil"/>
            </w:tcBorders>
            <w:shd w:val="clear" w:color="auto" w:fill="auto"/>
          </w:tcPr>
          <w:p w14:paraId="0B3C830D" w14:textId="77777777" w:rsidR="002D561D" w:rsidRPr="008A5C48" w:rsidRDefault="002D561D" w:rsidP="0034607E">
            <w:pPr>
              <w:contextualSpacing/>
              <w:rPr>
                <w:rFonts w:ascii="Times New Roman" w:eastAsia="Times New Roman" w:hAnsi="Times New Roman" w:cs="Times New Roman"/>
                <w:sz w:val="20"/>
                <w:szCs w:val="20"/>
              </w:rPr>
            </w:pPr>
          </w:p>
        </w:tc>
        <w:tc>
          <w:tcPr>
            <w:tcW w:w="716" w:type="dxa"/>
            <w:tcBorders>
              <w:top w:val="nil"/>
              <w:left w:val="nil"/>
              <w:bottom w:val="nil"/>
              <w:right w:val="nil"/>
            </w:tcBorders>
            <w:shd w:val="clear" w:color="auto" w:fill="auto"/>
          </w:tcPr>
          <w:p w14:paraId="2B7C4332"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Boys</w:t>
            </w:r>
          </w:p>
        </w:tc>
        <w:tc>
          <w:tcPr>
            <w:tcW w:w="1979" w:type="dxa"/>
            <w:tcBorders>
              <w:top w:val="nil"/>
              <w:left w:val="nil"/>
              <w:bottom w:val="nil"/>
              <w:right w:val="nil"/>
            </w:tcBorders>
            <w:shd w:val="clear" w:color="auto" w:fill="auto"/>
          </w:tcPr>
          <w:p w14:paraId="592A94DA"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940" w:type="dxa"/>
            <w:tcBorders>
              <w:top w:val="nil"/>
              <w:left w:val="nil"/>
              <w:bottom w:val="nil"/>
              <w:right w:val="nil"/>
            </w:tcBorders>
            <w:shd w:val="clear" w:color="auto" w:fill="auto"/>
          </w:tcPr>
          <w:p w14:paraId="519D582B"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1097" w:type="dxa"/>
            <w:tcBorders>
              <w:top w:val="nil"/>
              <w:left w:val="nil"/>
              <w:bottom w:val="nil"/>
              <w:right w:val="nil"/>
            </w:tcBorders>
            <w:shd w:val="clear" w:color="auto" w:fill="auto"/>
          </w:tcPr>
          <w:p w14:paraId="1C4C55D2"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85" w:type="dxa"/>
            <w:tcBorders>
              <w:top w:val="nil"/>
              <w:left w:val="nil"/>
              <w:bottom w:val="nil"/>
              <w:right w:val="nil"/>
            </w:tcBorders>
            <w:shd w:val="clear" w:color="auto" w:fill="auto"/>
          </w:tcPr>
          <w:p w14:paraId="378517DB"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r>
      <w:tr w:rsidR="002D561D" w:rsidRPr="008A5C48" w14:paraId="4EC8FE1C" w14:textId="77777777" w:rsidTr="0034607E">
        <w:trPr>
          <w:trHeight w:val="114"/>
          <w:jc w:val="center"/>
        </w:trPr>
        <w:tc>
          <w:tcPr>
            <w:tcW w:w="1891" w:type="dxa"/>
            <w:tcBorders>
              <w:top w:val="nil"/>
              <w:left w:val="nil"/>
              <w:bottom w:val="nil"/>
              <w:right w:val="nil"/>
            </w:tcBorders>
            <w:shd w:val="clear" w:color="auto" w:fill="auto"/>
          </w:tcPr>
          <w:p w14:paraId="42A97E95" w14:textId="17635691"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Insulin (</w:t>
            </w:r>
            <w:r w:rsidR="00E21214">
              <w:rPr>
                <w:rFonts w:ascii="Times New Roman" w:eastAsia="Times New Roman" w:hAnsi="Times New Roman" w:cs="Times New Roman"/>
                <w:sz w:val="20"/>
                <w:szCs w:val="20"/>
              </w:rPr>
              <w:t>Log</w:t>
            </w:r>
            <w:r w:rsidRPr="008A5C48">
              <w:rPr>
                <w:rFonts w:ascii="Times New Roman" w:eastAsia="Times New Roman" w:hAnsi="Times New Roman" w:cs="Times New Roman"/>
                <w:sz w:val="20"/>
                <w:szCs w:val="20"/>
              </w:rPr>
              <w:t>)</w:t>
            </w:r>
          </w:p>
        </w:tc>
        <w:tc>
          <w:tcPr>
            <w:tcW w:w="1357" w:type="dxa"/>
            <w:tcBorders>
              <w:top w:val="nil"/>
              <w:left w:val="nil"/>
              <w:bottom w:val="nil"/>
              <w:right w:val="nil"/>
            </w:tcBorders>
            <w:shd w:val="clear" w:color="auto" w:fill="auto"/>
          </w:tcPr>
          <w:p w14:paraId="7B69F96F"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BCT</w:t>
            </w:r>
          </w:p>
        </w:tc>
        <w:tc>
          <w:tcPr>
            <w:tcW w:w="716" w:type="dxa"/>
            <w:tcBorders>
              <w:top w:val="nil"/>
              <w:left w:val="nil"/>
              <w:bottom w:val="nil"/>
              <w:right w:val="nil"/>
            </w:tcBorders>
            <w:shd w:val="clear" w:color="auto" w:fill="auto"/>
          </w:tcPr>
          <w:p w14:paraId="2B931954"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Girls</w:t>
            </w:r>
          </w:p>
        </w:tc>
        <w:tc>
          <w:tcPr>
            <w:tcW w:w="1979" w:type="dxa"/>
            <w:tcBorders>
              <w:top w:val="nil"/>
              <w:left w:val="nil"/>
              <w:bottom w:val="nil"/>
              <w:right w:val="nil"/>
            </w:tcBorders>
            <w:shd w:val="clear" w:color="auto" w:fill="auto"/>
          </w:tcPr>
          <w:p w14:paraId="453F64B0" w14:textId="77777777" w:rsidR="002D561D" w:rsidRPr="008A5C48" w:rsidRDefault="002D561D" w:rsidP="0034607E">
            <w:pPr>
              <w:contextualSpacing/>
              <w:jc w:val="center"/>
              <w:rPr>
                <w:rFonts w:ascii="Times New Roman" w:eastAsia="Times New Roman" w:hAnsi="Times New Roman" w:cs="Times New Roman"/>
                <w:sz w:val="20"/>
                <w:szCs w:val="20"/>
              </w:rPr>
            </w:pPr>
            <w:proofErr w:type="gramStart"/>
            <w:r w:rsidRPr="008A5C48">
              <w:rPr>
                <w:rFonts w:ascii="Times New Roman" w:eastAsia="Times New Roman" w:hAnsi="Times New Roman" w:cs="Times New Roman"/>
                <w:sz w:val="20"/>
                <w:szCs w:val="20"/>
              </w:rPr>
              <w:t>CS(</w:t>
            </w:r>
            <w:proofErr w:type="gramEnd"/>
            <w:r w:rsidRPr="008A5C48">
              <w:rPr>
                <w:rFonts w:ascii="Times New Roman" w:eastAsia="Times New Roman" w:hAnsi="Times New Roman" w:cs="Times New Roman"/>
                <w:sz w:val="20"/>
                <w:szCs w:val="20"/>
              </w:rPr>
              <w:t>age)</w:t>
            </w:r>
          </w:p>
        </w:tc>
        <w:tc>
          <w:tcPr>
            <w:tcW w:w="940" w:type="dxa"/>
            <w:tcBorders>
              <w:top w:val="nil"/>
              <w:left w:val="nil"/>
              <w:bottom w:val="nil"/>
              <w:right w:val="nil"/>
            </w:tcBorders>
            <w:shd w:val="clear" w:color="auto" w:fill="auto"/>
          </w:tcPr>
          <w:p w14:paraId="2C067E1E"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1097" w:type="dxa"/>
            <w:tcBorders>
              <w:top w:val="nil"/>
              <w:left w:val="nil"/>
              <w:bottom w:val="nil"/>
              <w:right w:val="nil"/>
            </w:tcBorders>
            <w:shd w:val="clear" w:color="auto" w:fill="auto"/>
          </w:tcPr>
          <w:p w14:paraId="102117FF"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85" w:type="dxa"/>
            <w:tcBorders>
              <w:top w:val="nil"/>
              <w:left w:val="nil"/>
              <w:bottom w:val="nil"/>
              <w:right w:val="nil"/>
            </w:tcBorders>
            <w:shd w:val="clear" w:color="auto" w:fill="auto"/>
          </w:tcPr>
          <w:p w14:paraId="60A255F8"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r>
      <w:tr w:rsidR="002D561D" w:rsidRPr="008A5C48" w14:paraId="5A1DD695" w14:textId="77777777" w:rsidTr="0034607E">
        <w:trPr>
          <w:trHeight w:val="114"/>
          <w:jc w:val="center"/>
        </w:trPr>
        <w:tc>
          <w:tcPr>
            <w:tcW w:w="1891" w:type="dxa"/>
            <w:tcBorders>
              <w:top w:val="nil"/>
              <w:left w:val="nil"/>
              <w:bottom w:val="nil"/>
              <w:right w:val="nil"/>
            </w:tcBorders>
            <w:shd w:val="clear" w:color="auto" w:fill="auto"/>
          </w:tcPr>
          <w:p w14:paraId="0FC94B0C" w14:textId="77777777" w:rsidR="002D561D" w:rsidRPr="008A5C48" w:rsidRDefault="002D561D" w:rsidP="0034607E">
            <w:pPr>
              <w:contextualSpacing/>
              <w:rPr>
                <w:rFonts w:ascii="Times New Roman" w:eastAsia="Times New Roman" w:hAnsi="Times New Roman" w:cs="Times New Roman"/>
                <w:sz w:val="20"/>
                <w:szCs w:val="20"/>
              </w:rPr>
            </w:pPr>
          </w:p>
        </w:tc>
        <w:tc>
          <w:tcPr>
            <w:tcW w:w="1357" w:type="dxa"/>
            <w:tcBorders>
              <w:top w:val="nil"/>
              <w:left w:val="nil"/>
              <w:bottom w:val="nil"/>
              <w:right w:val="nil"/>
            </w:tcBorders>
            <w:shd w:val="clear" w:color="auto" w:fill="auto"/>
          </w:tcPr>
          <w:p w14:paraId="3850BACA" w14:textId="77777777" w:rsidR="002D561D" w:rsidRPr="008A5C48" w:rsidRDefault="002D561D" w:rsidP="0034607E">
            <w:pPr>
              <w:contextualSpacing/>
              <w:rPr>
                <w:rFonts w:ascii="Times New Roman" w:eastAsia="Times New Roman" w:hAnsi="Times New Roman" w:cs="Times New Roman"/>
                <w:sz w:val="20"/>
                <w:szCs w:val="20"/>
              </w:rPr>
            </w:pPr>
          </w:p>
        </w:tc>
        <w:tc>
          <w:tcPr>
            <w:tcW w:w="716" w:type="dxa"/>
            <w:tcBorders>
              <w:top w:val="nil"/>
              <w:left w:val="nil"/>
              <w:bottom w:val="nil"/>
              <w:right w:val="nil"/>
            </w:tcBorders>
            <w:shd w:val="clear" w:color="auto" w:fill="auto"/>
          </w:tcPr>
          <w:p w14:paraId="0C1AB067"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Boys</w:t>
            </w:r>
          </w:p>
        </w:tc>
        <w:tc>
          <w:tcPr>
            <w:tcW w:w="1979" w:type="dxa"/>
            <w:tcBorders>
              <w:top w:val="nil"/>
              <w:left w:val="nil"/>
              <w:bottom w:val="nil"/>
              <w:right w:val="nil"/>
            </w:tcBorders>
            <w:shd w:val="clear" w:color="auto" w:fill="auto"/>
          </w:tcPr>
          <w:p w14:paraId="76EE0ACC" w14:textId="77777777" w:rsidR="002D561D" w:rsidRPr="008A5C48" w:rsidRDefault="002D561D" w:rsidP="0034607E">
            <w:pPr>
              <w:contextualSpacing/>
              <w:jc w:val="center"/>
              <w:rPr>
                <w:rFonts w:ascii="Times New Roman" w:eastAsia="Times New Roman" w:hAnsi="Times New Roman" w:cs="Times New Roman"/>
                <w:sz w:val="20"/>
                <w:szCs w:val="20"/>
              </w:rPr>
            </w:pPr>
            <w:proofErr w:type="gramStart"/>
            <w:r w:rsidRPr="008A5C48">
              <w:rPr>
                <w:rFonts w:ascii="Times New Roman" w:eastAsia="Times New Roman" w:hAnsi="Times New Roman" w:cs="Times New Roman"/>
                <w:sz w:val="20"/>
                <w:szCs w:val="20"/>
              </w:rPr>
              <w:t>CS(</w:t>
            </w:r>
            <w:proofErr w:type="gramEnd"/>
            <w:r w:rsidRPr="008A5C48">
              <w:rPr>
                <w:rFonts w:ascii="Times New Roman" w:eastAsia="Times New Roman" w:hAnsi="Times New Roman" w:cs="Times New Roman"/>
                <w:sz w:val="20"/>
                <w:szCs w:val="20"/>
              </w:rPr>
              <w:t>age)</w:t>
            </w:r>
          </w:p>
        </w:tc>
        <w:tc>
          <w:tcPr>
            <w:tcW w:w="940" w:type="dxa"/>
            <w:tcBorders>
              <w:top w:val="nil"/>
              <w:left w:val="nil"/>
              <w:bottom w:val="nil"/>
              <w:right w:val="nil"/>
            </w:tcBorders>
            <w:shd w:val="clear" w:color="auto" w:fill="auto"/>
          </w:tcPr>
          <w:p w14:paraId="25213AD5"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1097" w:type="dxa"/>
            <w:tcBorders>
              <w:top w:val="nil"/>
              <w:left w:val="nil"/>
              <w:bottom w:val="nil"/>
              <w:right w:val="nil"/>
            </w:tcBorders>
            <w:shd w:val="clear" w:color="auto" w:fill="auto"/>
          </w:tcPr>
          <w:p w14:paraId="06DAC7A3"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85" w:type="dxa"/>
            <w:tcBorders>
              <w:top w:val="nil"/>
              <w:left w:val="nil"/>
              <w:bottom w:val="nil"/>
              <w:right w:val="nil"/>
            </w:tcBorders>
            <w:shd w:val="clear" w:color="auto" w:fill="auto"/>
          </w:tcPr>
          <w:p w14:paraId="12296BEB"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r>
      <w:tr w:rsidR="002D561D" w:rsidRPr="008A5C48" w14:paraId="5E376787" w14:textId="77777777" w:rsidTr="0034607E">
        <w:trPr>
          <w:trHeight w:val="114"/>
          <w:jc w:val="center"/>
        </w:trPr>
        <w:tc>
          <w:tcPr>
            <w:tcW w:w="1891" w:type="dxa"/>
            <w:tcBorders>
              <w:top w:val="nil"/>
              <w:left w:val="nil"/>
              <w:bottom w:val="nil"/>
              <w:right w:val="nil"/>
            </w:tcBorders>
            <w:shd w:val="clear" w:color="auto" w:fill="auto"/>
          </w:tcPr>
          <w:p w14:paraId="45BE0585"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Triglycerides</w:t>
            </w:r>
          </w:p>
        </w:tc>
        <w:tc>
          <w:tcPr>
            <w:tcW w:w="1357" w:type="dxa"/>
            <w:tcBorders>
              <w:top w:val="nil"/>
              <w:left w:val="nil"/>
              <w:bottom w:val="nil"/>
              <w:right w:val="nil"/>
            </w:tcBorders>
            <w:shd w:val="clear" w:color="auto" w:fill="auto"/>
          </w:tcPr>
          <w:p w14:paraId="25E68EAB"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BCCG</w:t>
            </w:r>
          </w:p>
        </w:tc>
        <w:tc>
          <w:tcPr>
            <w:tcW w:w="716" w:type="dxa"/>
            <w:tcBorders>
              <w:top w:val="nil"/>
              <w:left w:val="nil"/>
              <w:bottom w:val="nil"/>
              <w:right w:val="nil"/>
            </w:tcBorders>
            <w:shd w:val="clear" w:color="auto" w:fill="auto"/>
          </w:tcPr>
          <w:p w14:paraId="18FBF750"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Girls</w:t>
            </w:r>
          </w:p>
        </w:tc>
        <w:tc>
          <w:tcPr>
            <w:tcW w:w="1979" w:type="dxa"/>
            <w:tcBorders>
              <w:top w:val="nil"/>
              <w:left w:val="nil"/>
              <w:bottom w:val="nil"/>
              <w:right w:val="nil"/>
            </w:tcBorders>
            <w:shd w:val="clear" w:color="auto" w:fill="auto"/>
          </w:tcPr>
          <w:p w14:paraId="154B6C97"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40" w:type="dxa"/>
            <w:tcBorders>
              <w:top w:val="nil"/>
              <w:left w:val="nil"/>
              <w:bottom w:val="nil"/>
              <w:right w:val="nil"/>
            </w:tcBorders>
            <w:shd w:val="clear" w:color="auto" w:fill="auto"/>
          </w:tcPr>
          <w:p w14:paraId="09919CFF"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1097" w:type="dxa"/>
            <w:tcBorders>
              <w:top w:val="nil"/>
              <w:left w:val="nil"/>
              <w:bottom w:val="nil"/>
              <w:right w:val="nil"/>
            </w:tcBorders>
            <w:shd w:val="clear" w:color="auto" w:fill="auto"/>
          </w:tcPr>
          <w:p w14:paraId="3240A8B2"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85" w:type="dxa"/>
            <w:tcBorders>
              <w:top w:val="nil"/>
              <w:left w:val="nil"/>
              <w:bottom w:val="nil"/>
              <w:right w:val="nil"/>
            </w:tcBorders>
            <w:shd w:val="clear" w:color="auto" w:fill="auto"/>
          </w:tcPr>
          <w:p w14:paraId="75948822"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r>
      <w:tr w:rsidR="002D561D" w:rsidRPr="008A5C48" w14:paraId="68A44A2D" w14:textId="77777777" w:rsidTr="0034607E">
        <w:trPr>
          <w:trHeight w:val="114"/>
          <w:jc w:val="center"/>
        </w:trPr>
        <w:tc>
          <w:tcPr>
            <w:tcW w:w="1891" w:type="dxa"/>
            <w:tcBorders>
              <w:top w:val="nil"/>
              <w:left w:val="nil"/>
              <w:bottom w:val="nil"/>
              <w:right w:val="nil"/>
            </w:tcBorders>
            <w:shd w:val="clear" w:color="auto" w:fill="auto"/>
          </w:tcPr>
          <w:p w14:paraId="0E8B8488" w14:textId="77777777" w:rsidR="002D561D" w:rsidRPr="008A5C48" w:rsidRDefault="002D561D" w:rsidP="0034607E">
            <w:pPr>
              <w:contextualSpacing/>
              <w:rPr>
                <w:rFonts w:ascii="Times New Roman" w:eastAsia="Times New Roman" w:hAnsi="Times New Roman" w:cs="Times New Roman"/>
                <w:sz w:val="20"/>
                <w:szCs w:val="20"/>
              </w:rPr>
            </w:pPr>
          </w:p>
        </w:tc>
        <w:tc>
          <w:tcPr>
            <w:tcW w:w="1357" w:type="dxa"/>
            <w:tcBorders>
              <w:top w:val="nil"/>
              <w:left w:val="nil"/>
              <w:bottom w:val="nil"/>
              <w:right w:val="nil"/>
            </w:tcBorders>
            <w:shd w:val="clear" w:color="auto" w:fill="auto"/>
          </w:tcPr>
          <w:p w14:paraId="19680AC2" w14:textId="77777777" w:rsidR="002D561D" w:rsidRPr="008A5C48" w:rsidRDefault="002D561D" w:rsidP="0034607E">
            <w:pPr>
              <w:contextualSpacing/>
              <w:rPr>
                <w:rFonts w:ascii="Times New Roman" w:eastAsia="Times New Roman" w:hAnsi="Times New Roman" w:cs="Times New Roman"/>
                <w:sz w:val="20"/>
                <w:szCs w:val="20"/>
              </w:rPr>
            </w:pPr>
          </w:p>
        </w:tc>
        <w:tc>
          <w:tcPr>
            <w:tcW w:w="716" w:type="dxa"/>
            <w:tcBorders>
              <w:top w:val="nil"/>
              <w:left w:val="nil"/>
              <w:bottom w:val="nil"/>
              <w:right w:val="nil"/>
            </w:tcBorders>
            <w:shd w:val="clear" w:color="auto" w:fill="auto"/>
          </w:tcPr>
          <w:p w14:paraId="4771748A"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Boys</w:t>
            </w:r>
          </w:p>
        </w:tc>
        <w:tc>
          <w:tcPr>
            <w:tcW w:w="1979" w:type="dxa"/>
            <w:tcBorders>
              <w:top w:val="nil"/>
              <w:left w:val="nil"/>
              <w:bottom w:val="nil"/>
              <w:right w:val="nil"/>
            </w:tcBorders>
            <w:shd w:val="clear" w:color="auto" w:fill="auto"/>
          </w:tcPr>
          <w:p w14:paraId="6690B795"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40" w:type="dxa"/>
            <w:tcBorders>
              <w:top w:val="nil"/>
              <w:left w:val="nil"/>
              <w:bottom w:val="nil"/>
              <w:right w:val="nil"/>
            </w:tcBorders>
            <w:shd w:val="clear" w:color="auto" w:fill="auto"/>
          </w:tcPr>
          <w:p w14:paraId="58DFCD15"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1097" w:type="dxa"/>
            <w:tcBorders>
              <w:top w:val="nil"/>
              <w:left w:val="nil"/>
              <w:bottom w:val="nil"/>
              <w:right w:val="nil"/>
            </w:tcBorders>
            <w:shd w:val="clear" w:color="auto" w:fill="auto"/>
          </w:tcPr>
          <w:p w14:paraId="1CCB856F"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85" w:type="dxa"/>
            <w:tcBorders>
              <w:top w:val="nil"/>
              <w:left w:val="nil"/>
              <w:bottom w:val="nil"/>
              <w:right w:val="nil"/>
            </w:tcBorders>
            <w:shd w:val="clear" w:color="auto" w:fill="auto"/>
          </w:tcPr>
          <w:p w14:paraId="46CAAEE4"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r>
      <w:tr w:rsidR="002D561D" w:rsidRPr="008A5C48" w14:paraId="3D364F67" w14:textId="77777777" w:rsidTr="0034607E">
        <w:trPr>
          <w:trHeight w:val="114"/>
          <w:jc w:val="center"/>
        </w:trPr>
        <w:tc>
          <w:tcPr>
            <w:tcW w:w="1891" w:type="dxa"/>
            <w:tcBorders>
              <w:top w:val="nil"/>
              <w:left w:val="nil"/>
              <w:bottom w:val="nil"/>
              <w:right w:val="nil"/>
            </w:tcBorders>
            <w:shd w:val="clear" w:color="auto" w:fill="auto"/>
          </w:tcPr>
          <w:p w14:paraId="01BE8907"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HDL cholesterol</w:t>
            </w:r>
          </w:p>
        </w:tc>
        <w:tc>
          <w:tcPr>
            <w:tcW w:w="1357" w:type="dxa"/>
            <w:tcBorders>
              <w:top w:val="nil"/>
              <w:left w:val="nil"/>
              <w:bottom w:val="nil"/>
              <w:right w:val="nil"/>
            </w:tcBorders>
            <w:shd w:val="clear" w:color="auto" w:fill="auto"/>
          </w:tcPr>
          <w:p w14:paraId="059B7B82"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BCPE</w:t>
            </w:r>
          </w:p>
        </w:tc>
        <w:tc>
          <w:tcPr>
            <w:tcW w:w="716" w:type="dxa"/>
            <w:tcBorders>
              <w:top w:val="nil"/>
              <w:left w:val="nil"/>
              <w:bottom w:val="nil"/>
              <w:right w:val="nil"/>
            </w:tcBorders>
            <w:shd w:val="clear" w:color="auto" w:fill="auto"/>
          </w:tcPr>
          <w:p w14:paraId="38DDD2EA"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Girls</w:t>
            </w:r>
          </w:p>
        </w:tc>
        <w:tc>
          <w:tcPr>
            <w:tcW w:w="1979" w:type="dxa"/>
            <w:tcBorders>
              <w:top w:val="nil"/>
              <w:left w:val="nil"/>
              <w:bottom w:val="nil"/>
              <w:right w:val="nil"/>
            </w:tcBorders>
            <w:shd w:val="clear" w:color="auto" w:fill="auto"/>
          </w:tcPr>
          <w:p w14:paraId="30F13DAE" w14:textId="77777777" w:rsidR="002D561D" w:rsidRPr="008A5C48" w:rsidRDefault="002D561D" w:rsidP="0034607E">
            <w:pPr>
              <w:contextualSpacing/>
              <w:jc w:val="center"/>
              <w:rPr>
                <w:rFonts w:ascii="Times New Roman" w:eastAsia="Times New Roman" w:hAnsi="Times New Roman" w:cs="Times New Roman"/>
                <w:sz w:val="20"/>
                <w:szCs w:val="20"/>
              </w:rPr>
            </w:pPr>
            <w:proofErr w:type="gramStart"/>
            <w:r w:rsidRPr="008A5C48">
              <w:rPr>
                <w:rFonts w:ascii="Times New Roman" w:eastAsia="Times New Roman" w:hAnsi="Times New Roman" w:cs="Times New Roman"/>
                <w:sz w:val="20"/>
                <w:szCs w:val="20"/>
              </w:rPr>
              <w:t>CS(</w:t>
            </w:r>
            <w:proofErr w:type="gramEnd"/>
            <w:r w:rsidRPr="008A5C48">
              <w:rPr>
                <w:rFonts w:ascii="Times New Roman" w:eastAsia="Times New Roman" w:hAnsi="Times New Roman" w:cs="Times New Roman"/>
                <w:sz w:val="20"/>
                <w:szCs w:val="20"/>
              </w:rPr>
              <w:t>age)</w:t>
            </w:r>
          </w:p>
        </w:tc>
        <w:tc>
          <w:tcPr>
            <w:tcW w:w="940" w:type="dxa"/>
            <w:tcBorders>
              <w:top w:val="nil"/>
              <w:left w:val="nil"/>
              <w:bottom w:val="nil"/>
              <w:right w:val="nil"/>
            </w:tcBorders>
            <w:shd w:val="clear" w:color="auto" w:fill="auto"/>
          </w:tcPr>
          <w:p w14:paraId="31D80F3C"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1097" w:type="dxa"/>
            <w:tcBorders>
              <w:top w:val="nil"/>
              <w:left w:val="nil"/>
              <w:bottom w:val="nil"/>
              <w:right w:val="nil"/>
            </w:tcBorders>
            <w:shd w:val="clear" w:color="auto" w:fill="auto"/>
          </w:tcPr>
          <w:p w14:paraId="48CD2E2A"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85" w:type="dxa"/>
            <w:tcBorders>
              <w:top w:val="nil"/>
              <w:left w:val="nil"/>
              <w:bottom w:val="nil"/>
              <w:right w:val="nil"/>
            </w:tcBorders>
            <w:shd w:val="clear" w:color="auto" w:fill="auto"/>
          </w:tcPr>
          <w:p w14:paraId="0270D209"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r>
      <w:tr w:rsidR="002D561D" w:rsidRPr="008A5C48" w14:paraId="5621F1C7" w14:textId="77777777" w:rsidTr="0034607E">
        <w:trPr>
          <w:trHeight w:val="114"/>
          <w:jc w:val="center"/>
        </w:trPr>
        <w:tc>
          <w:tcPr>
            <w:tcW w:w="1891" w:type="dxa"/>
            <w:tcBorders>
              <w:top w:val="nil"/>
              <w:left w:val="nil"/>
              <w:bottom w:val="nil"/>
              <w:right w:val="nil"/>
            </w:tcBorders>
            <w:shd w:val="clear" w:color="auto" w:fill="auto"/>
          </w:tcPr>
          <w:p w14:paraId="6790FBBC" w14:textId="77777777" w:rsidR="002D561D" w:rsidRPr="008A5C48" w:rsidRDefault="002D561D" w:rsidP="0034607E">
            <w:pPr>
              <w:contextualSpacing/>
              <w:rPr>
                <w:rFonts w:ascii="Times New Roman" w:eastAsia="Times New Roman" w:hAnsi="Times New Roman" w:cs="Times New Roman"/>
                <w:sz w:val="20"/>
                <w:szCs w:val="20"/>
              </w:rPr>
            </w:pPr>
          </w:p>
        </w:tc>
        <w:tc>
          <w:tcPr>
            <w:tcW w:w="1357" w:type="dxa"/>
            <w:tcBorders>
              <w:top w:val="nil"/>
              <w:left w:val="nil"/>
              <w:bottom w:val="nil"/>
              <w:right w:val="nil"/>
            </w:tcBorders>
            <w:shd w:val="clear" w:color="auto" w:fill="auto"/>
          </w:tcPr>
          <w:p w14:paraId="4016398F" w14:textId="77777777" w:rsidR="002D561D" w:rsidRPr="008A5C48" w:rsidRDefault="002D561D" w:rsidP="0034607E">
            <w:pPr>
              <w:contextualSpacing/>
              <w:rPr>
                <w:rFonts w:ascii="Times New Roman" w:eastAsia="Times New Roman" w:hAnsi="Times New Roman" w:cs="Times New Roman"/>
                <w:sz w:val="20"/>
                <w:szCs w:val="20"/>
              </w:rPr>
            </w:pPr>
          </w:p>
        </w:tc>
        <w:tc>
          <w:tcPr>
            <w:tcW w:w="716" w:type="dxa"/>
            <w:tcBorders>
              <w:top w:val="nil"/>
              <w:left w:val="nil"/>
              <w:bottom w:val="nil"/>
              <w:right w:val="nil"/>
            </w:tcBorders>
            <w:shd w:val="clear" w:color="auto" w:fill="auto"/>
          </w:tcPr>
          <w:p w14:paraId="2FAAE9C2"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Boys</w:t>
            </w:r>
          </w:p>
        </w:tc>
        <w:tc>
          <w:tcPr>
            <w:tcW w:w="1979" w:type="dxa"/>
            <w:tcBorders>
              <w:top w:val="nil"/>
              <w:left w:val="nil"/>
              <w:bottom w:val="nil"/>
              <w:right w:val="nil"/>
            </w:tcBorders>
            <w:shd w:val="clear" w:color="auto" w:fill="auto"/>
          </w:tcPr>
          <w:p w14:paraId="4AD683E7" w14:textId="77777777" w:rsidR="002D561D" w:rsidRPr="008A5C48" w:rsidRDefault="002D561D" w:rsidP="0034607E">
            <w:pPr>
              <w:contextualSpacing/>
              <w:jc w:val="center"/>
              <w:rPr>
                <w:rFonts w:ascii="Times New Roman" w:eastAsia="Times New Roman" w:hAnsi="Times New Roman" w:cs="Times New Roman"/>
                <w:sz w:val="20"/>
                <w:szCs w:val="20"/>
              </w:rPr>
            </w:pPr>
            <w:proofErr w:type="gramStart"/>
            <w:r w:rsidRPr="008A5C48">
              <w:rPr>
                <w:rFonts w:ascii="Times New Roman" w:eastAsia="Times New Roman" w:hAnsi="Times New Roman" w:cs="Times New Roman"/>
                <w:sz w:val="20"/>
                <w:szCs w:val="20"/>
              </w:rPr>
              <w:t>CS(</w:t>
            </w:r>
            <w:proofErr w:type="gramEnd"/>
            <w:r w:rsidRPr="008A5C48">
              <w:rPr>
                <w:rFonts w:ascii="Times New Roman" w:eastAsia="Times New Roman" w:hAnsi="Times New Roman" w:cs="Times New Roman"/>
                <w:sz w:val="20"/>
                <w:szCs w:val="20"/>
              </w:rPr>
              <w:t>age)</w:t>
            </w:r>
          </w:p>
        </w:tc>
        <w:tc>
          <w:tcPr>
            <w:tcW w:w="940" w:type="dxa"/>
            <w:tcBorders>
              <w:top w:val="nil"/>
              <w:left w:val="nil"/>
              <w:bottom w:val="nil"/>
              <w:right w:val="nil"/>
            </w:tcBorders>
            <w:shd w:val="clear" w:color="auto" w:fill="auto"/>
          </w:tcPr>
          <w:p w14:paraId="228F1940"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1097" w:type="dxa"/>
            <w:tcBorders>
              <w:top w:val="nil"/>
              <w:left w:val="nil"/>
              <w:bottom w:val="nil"/>
              <w:right w:val="nil"/>
            </w:tcBorders>
            <w:shd w:val="clear" w:color="auto" w:fill="auto"/>
          </w:tcPr>
          <w:p w14:paraId="66C8680A"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85" w:type="dxa"/>
            <w:tcBorders>
              <w:top w:val="nil"/>
              <w:left w:val="nil"/>
              <w:bottom w:val="nil"/>
              <w:right w:val="nil"/>
            </w:tcBorders>
            <w:shd w:val="clear" w:color="auto" w:fill="auto"/>
          </w:tcPr>
          <w:p w14:paraId="314C45E3"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r>
      <w:tr w:rsidR="002D561D" w:rsidRPr="008A5C48" w14:paraId="143039A0" w14:textId="77777777" w:rsidTr="0034607E">
        <w:trPr>
          <w:trHeight w:val="114"/>
          <w:jc w:val="center"/>
        </w:trPr>
        <w:tc>
          <w:tcPr>
            <w:tcW w:w="1891" w:type="dxa"/>
            <w:tcBorders>
              <w:top w:val="nil"/>
              <w:left w:val="nil"/>
              <w:bottom w:val="nil"/>
              <w:right w:val="nil"/>
            </w:tcBorders>
            <w:shd w:val="clear" w:color="auto" w:fill="auto"/>
          </w:tcPr>
          <w:p w14:paraId="6F4530BD"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Systolic blood pressure</w:t>
            </w:r>
          </w:p>
        </w:tc>
        <w:tc>
          <w:tcPr>
            <w:tcW w:w="1357" w:type="dxa"/>
            <w:tcBorders>
              <w:top w:val="nil"/>
              <w:left w:val="nil"/>
              <w:bottom w:val="nil"/>
              <w:right w:val="nil"/>
            </w:tcBorders>
            <w:shd w:val="clear" w:color="auto" w:fill="auto"/>
          </w:tcPr>
          <w:p w14:paraId="4C6BAD82"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BCT</w:t>
            </w:r>
          </w:p>
        </w:tc>
        <w:tc>
          <w:tcPr>
            <w:tcW w:w="716" w:type="dxa"/>
            <w:tcBorders>
              <w:top w:val="nil"/>
              <w:left w:val="nil"/>
              <w:bottom w:val="nil"/>
              <w:right w:val="nil"/>
            </w:tcBorders>
            <w:shd w:val="clear" w:color="auto" w:fill="auto"/>
          </w:tcPr>
          <w:p w14:paraId="59EC2EF7"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Girls</w:t>
            </w:r>
          </w:p>
        </w:tc>
        <w:tc>
          <w:tcPr>
            <w:tcW w:w="1979" w:type="dxa"/>
            <w:tcBorders>
              <w:top w:val="nil"/>
              <w:left w:val="nil"/>
              <w:bottom w:val="nil"/>
              <w:right w:val="nil"/>
            </w:tcBorders>
            <w:shd w:val="clear" w:color="auto" w:fill="auto"/>
          </w:tcPr>
          <w:p w14:paraId="54D2924B"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 + height</w:t>
            </w:r>
          </w:p>
        </w:tc>
        <w:tc>
          <w:tcPr>
            <w:tcW w:w="940" w:type="dxa"/>
            <w:tcBorders>
              <w:top w:val="nil"/>
              <w:left w:val="nil"/>
              <w:bottom w:val="nil"/>
              <w:right w:val="nil"/>
            </w:tcBorders>
            <w:shd w:val="clear" w:color="auto" w:fill="auto"/>
          </w:tcPr>
          <w:p w14:paraId="2D433BE9"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1097" w:type="dxa"/>
            <w:tcBorders>
              <w:top w:val="nil"/>
              <w:left w:val="nil"/>
              <w:bottom w:val="nil"/>
              <w:right w:val="nil"/>
            </w:tcBorders>
            <w:shd w:val="clear" w:color="auto" w:fill="auto"/>
          </w:tcPr>
          <w:p w14:paraId="075E2C5F"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85" w:type="dxa"/>
            <w:tcBorders>
              <w:top w:val="nil"/>
              <w:left w:val="nil"/>
              <w:bottom w:val="nil"/>
              <w:right w:val="nil"/>
            </w:tcBorders>
            <w:shd w:val="clear" w:color="auto" w:fill="auto"/>
          </w:tcPr>
          <w:p w14:paraId="42D8DA01"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r>
      <w:tr w:rsidR="002D561D" w:rsidRPr="008A5C48" w14:paraId="7D4FB597" w14:textId="77777777" w:rsidTr="0034607E">
        <w:trPr>
          <w:trHeight w:val="231"/>
          <w:jc w:val="center"/>
        </w:trPr>
        <w:tc>
          <w:tcPr>
            <w:tcW w:w="1891" w:type="dxa"/>
            <w:tcBorders>
              <w:top w:val="nil"/>
              <w:left w:val="nil"/>
              <w:bottom w:val="nil"/>
              <w:right w:val="nil"/>
            </w:tcBorders>
            <w:shd w:val="clear" w:color="auto" w:fill="auto"/>
          </w:tcPr>
          <w:p w14:paraId="191F59C3" w14:textId="77777777" w:rsidR="002D561D" w:rsidRPr="008A5C48" w:rsidRDefault="002D561D" w:rsidP="0034607E">
            <w:pPr>
              <w:contextualSpacing/>
              <w:rPr>
                <w:rFonts w:ascii="Times New Roman" w:eastAsia="Times New Roman" w:hAnsi="Times New Roman" w:cs="Times New Roman"/>
                <w:sz w:val="20"/>
                <w:szCs w:val="20"/>
              </w:rPr>
            </w:pPr>
          </w:p>
        </w:tc>
        <w:tc>
          <w:tcPr>
            <w:tcW w:w="1357" w:type="dxa"/>
            <w:tcBorders>
              <w:top w:val="nil"/>
              <w:left w:val="nil"/>
              <w:bottom w:val="nil"/>
              <w:right w:val="nil"/>
            </w:tcBorders>
            <w:shd w:val="clear" w:color="auto" w:fill="auto"/>
          </w:tcPr>
          <w:p w14:paraId="62C34EE0" w14:textId="77777777" w:rsidR="002D561D" w:rsidRPr="008A5C48" w:rsidRDefault="002D561D" w:rsidP="0034607E">
            <w:pPr>
              <w:contextualSpacing/>
              <w:rPr>
                <w:rFonts w:ascii="Times New Roman" w:eastAsia="Times New Roman" w:hAnsi="Times New Roman" w:cs="Times New Roman"/>
                <w:sz w:val="20"/>
                <w:szCs w:val="20"/>
              </w:rPr>
            </w:pPr>
          </w:p>
        </w:tc>
        <w:tc>
          <w:tcPr>
            <w:tcW w:w="716" w:type="dxa"/>
            <w:tcBorders>
              <w:top w:val="nil"/>
              <w:left w:val="nil"/>
              <w:bottom w:val="nil"/>
              <w:right w:val="nil"/>
            </w:tcBorders>
            <w:shd w:val="clear" w:color="auto" w:fill="auto"/>
          </w:tcPr>
          <w:p w14:paraId="79B5DAB0"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Boys</w:t>
            </w:r>
          </w:p>
        </w:tc>
        <w:tc>
          <w:tcPr>
            <w:tcW w:w="1979" w:type="dxa"/>
            <w:tcBorders>
              <w:top w:val="nil"/>
              <w:left w:val="nil"/>
              <w:bottom w:val="nil"/>
              <w:right w:val="nil"/>
            </w:tcBorders>
            <w:shd w:val="clear" w:color="auto" w:fill="auto"/>
          </w:tcPr>
          <w:p w14:paraId="509380AE" w14:textId="77777777" w:rsidR="002D561D" w:rsidRPr="008A5C48" w:rsidRDefault="002D561D" w:rsidP="0034607E">
            <w:pPr>
              <w:contextualSpacing/>
              <w:jc w:val="center"/>
              <w:rPr>
                <w:rFonts w:ascii="Times New Roman" w:eastAsia="Times New Roman" w:hAnsi="Times New Roman" w:cs="Times New Roman"/>
                <w:sz w:val="20"/>
                <w:szCs w:val="20"/>
              </w:rPr>
            </w:pPr>
            <m:oMath>
              <m:r>
                <w:rPr>
                  <w:rFonts w:ascii="Cambria Math" w:eastAsia="Cambria Math" w:hAnsi="Cambria Math" w:cs="Times New Roman"/>
                  <w:sz w:val="20"/>
                  <w:szCs w:val="20"/>
                </w:rPr>
                <m:t>log</m:t>
              </m:r>
              <m:r>
                <w:rPr>
                  <w:rFonts w:ascii="Cambria Math" w:hAnsi="Cambria Math" w:cs="Times New Roman"/>
                  <w:sz w:val="20"/>
                  <w:szCs w:val="20"/>
                </w:rPr>
                <m:t xml:space="preserve"> </m:t>
              </m:r>
              <m:d>
                <m:dPr>
                  <m:ctrlPr>
                    <w:rPr>
                      <w:rFonts w:ascii="Cambria Math" w:hAnsi="Cambria Math" w:cs="Times New Roman"/>
                      <w:sz w:val="20"/>
                      <w:szCs w:val="20"/>
                    </w:rPr>
                  </m:ctrlPr>
                </m:dPr>
                <m:e>
                  <m:r>
                    <w:rPr>
                      <w:rFonts w:ascii="Cambria Math" w:hAnsi="Cambria Math" w:cs="Times New Roman"/>
                      <w:sz w:val="20"/>
                      <w:szCs w:val="20"/>
                    </w:rPr>
                    <m:t>μ</m:t>
                  </m:r>
                </m:e>
              </m:d>
              <m:r>
                <w:rPr>
                  <w:rFonts w:ascii="Cambria Math" w:hAnsi="Cambria Math" w:cs="Times New Roman"/>
                  <w:sz w:val="20"/>
                  <w:szCs w:val="20"/>
                </w:rPr>
                <m:t xml:space="preserve"> </m:t>
              </m:r>
            </m:oMath>
            <w:r w:rsidRPr="008A5C48">
              <w:rPr>
                <w:rFonts w:ascii="Times New Roman" w:eastAsia="Times New Roman" w:hAnsi="Times New Roman" w:cs="Times New Roman"/>
                <w:sz w:val="20"/>
                <w:szCs w:val="20"/>
              </w:rPr>
              <w:t xml:space="preserve"> ~ age + height</w:t>
            </w:r>
          </w:p>
        </w:tc>
        <w:tc>
          <w:tcPr>
            <w:tcW w:w="940" w:type="dxa"/>
            <w:tcBorders>
              <w:top w:val="nil"/>
              <w:left w:val="nil"/>
              <w:bottom w:val="nil"/>
              <w:right w:val="nil"/>
            </w:tcBorders>
            <w:shd w:val="clear" w:color="auto" w:fill="auto"/>
          </w:tcPr>
          <w:p w14:paraId="45BC7F08"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1097" w:type="dxa"/>
            <w:tcBorders>
              <w:top w:val="nil"/>
              <w:left w:val="nil"/>
              <w:bottom w:val="nil"/>
              <w:right w:val="nil"/>
            </w:tcBorders>
            <w:shd w:val="clear" w:color="auto" w:fill="auto"/>
          </w:tcPr>
          <w:p w14:paraId="6B623E5B"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85" w:type="dxa"/>
            <w:tcBorders>
              <w:top w:val="nil"/>
              <w:left w:val="nil"/>
              <w:bottom w:val="nil"/>
              <w:right w:val="nil"/>
            </w:tcBorders>
            <w:shd w:val="clear" w:color="auto" w:fill="auto"/>
          </w:tcPr>
          <w:p w14:paraId="32FF0AD7"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r>
      <w:tr w:rsidR="002D561D" w:rsidRPr="008A5C48" w14:paraId="411BC27C" w14:textId="77777777" w:rsidTr="0034607E">
        <w:trPr>
          <w:trHeight w:val="231"/>
          <w:jc w:val="center"/>
        </w:trPr>
        <w:tc>
          <w:tcPr>
            <w:tcW w:w="1891" w:type="dxa"/>
            <w:tcBorders>
              <w:top w:val="nil"/>
              <w:left w:val="nil"/>
              <w:bottom w:val="nil"/>
              <w:right w:val="nil"/>
            </w:tcBorders>
            <w:shd w:val="clear" w:color="auto" w:fill="auto"/>
          </w:tcPr>
          <w:p w14:paraId="75F659BD"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Diastolic blood pressure</w:t>
            </w:r>
          </w:p>
        </w:tc>
        <w:tc>
          <w:tcPr>
            <w:tcW w:w="1357" w:type="dxa"/>
            <w:tcBorders>
              <w:top w:val="nil"/>
              <w:left w:val="nil"/>
              <w:bottom w:val="nil"/>
              <w:right w:val="nil"/>
            </w:tcBorders>
            <w:shd w:val="clear" w:color="auto" w:fill="auto"/>
          </w:tcPr>
          <w:p w14:paraId="06DD997B"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BCT</w:t>
            </w:r>
          </w:p>
        </w:tc>
        <w:tc>
          <w:tcPr>
            <w:tcW w:w="716" w:type="dxa"/>
            <w:tcBorders>
              <w:top w:val="nil"/>
              <w:left w:val="nil"/>
              <w:bottom w:val="nil"/>
              <w:right w:val="nil"/>
            </w:tcBorders>
            <w:shd w:val="clear" w:color="auto" w:fill="auto"/>
          </w:tcPr>
          <w:p w14:paraId="7E55B3DC"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Girls</w:t>
            </w:r>
          </w:p>
        </w:tc>
        <w:tc>
          <w:tcPr>
            <w:tcW w:w="1979" w:type="dxa"/>
            <w:tcBorders>
              <w:top w:val="nil"/>
              <w:left w:val="nil"/>
              <w:bottom w:val="nil"/>
              <w:right w:val="nil"/>
            </w:tcBorders>
            <w:shd w:val="clear" w:color="auto" w:fill="auto"/>
          </w:tcPr>
          <w:p w14:paraId="38E1F742"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 + height</w:t>
            </w:r>
          </w:p>
        </w:tc>
        <w:tc>
          <w:tcPr>
            <w:tcW w:w="940" w:type="dxa"/>
            <w:tcBorders>
              <w:top w:val="nil"/>
              <w:left w:val="nil"/>
              <w:bottom w:val="nil"/>
              <w:right w:val="nil"/>
            </w:tcBorders>
            <w:shd w:val="clear" w:color="auto" w:fill="auto"/>
          </w:tcPr>
          <w:p w14:paraId="4FD76E06"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1097" w:type="dxa"/>
            <w:tcBorders>
              <w:top w:val="nil"/>
              <w:left w:val="nil"/>
              <w:bottom w:val="nil"/>
              <w:right w:val="nil"/>
            </w:tcBorders>
            <w:shd w:val="clear" w:color="auto" w:fill="auto"/>
          </w:tcPr>
          <w:p w14:paraId="16A4CE39"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985" w:type="dxa"/>
            <w:tcBorders>
              <w:top w:val="nil"/>
              <w:left w:val="nil"/>
              <w:bottom w:val="nil"/>
              <w:right w:val="nil"/>
            </w:tcBorders>
            <w:shd w:val="clear" w:color="auto" w:fill="auto"/>
          </w:tcPr>
          <w:p w14:paraId="4B8825B7"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r>
      <w:tr w:rsidR="002D561D" w:rsidRPr="008A5C48" w14:paraId="215AD63E" w14:textId="77777777" w:rsidTr="0034607E">
        <w:trPr>
          <w:trHeight w:val="231"/>
          <w:jc w:val="center"/>
        </w:trPr>
        <w:tc>
          <w:tcPr>
            <w:tcW w:w="1891" w:type="dxa"/>
            <w:tcBorders>
              <w:top w:val="nil"/>
              <w:left w:val="nil"/>
              <w:bottom w:val="single" w:sz="4" w:space="0" w:color="000000"/>
              <w:right w:val="nil"/>
            </w:tcBorders>
            <w:shd w:val="clear" w:color="auto" w:fill="auto"/>
          </w:tcPr>
          <w:p w14:paraId="6100E331" w14:textId="77777777" w:rsidR="002D561D" w:rsidRPr="008A5C48" w:rsidRDefault="002D561D" w:rsidP="0034607E">
            <w:pPr>
              <w:contextualSpacing/>
              <w:rPr>
                <w:rFonts w:ascii="Times New Roman" w:eastAsia="Times New Roman" w:hAnsi="Times New Roman" w:cs="Times New Roman"/>
                <w:sz w:val="20"/>
                <w:szCs w:val="20"/>
              </w:rPr>
            </w:pPr>
          </w:p>
        </w:tc>
        <w:tc>
          <w:tcPr>
            <w:tcW w:w="1357" w:type="dxa"/>
            <w:tcBorders>
              <w:top w:val="nil"/>
              <w:left w:val="nil"/>
              <w:bottom w:val="single" w:sz="4" w:space="0" w:color="000000"/>
              <w:right w:val="nil"/>
            </w:tcBorders>
            <w:shd w:val="clear" w:color="auto" w:fill="auto"/>
          </w:tcPr>
          <w:p w14:paraId="7A18A7F6" w14:textId="77777777" w:rsidR="002D561D" w:rsidRPr="008A5C48" w:rsidRDefault="002D561D" w:rsidP="0034607E">
            <w:pPr>
              <w:contextualSpacing/>
              <w:rPr>
                <w:rFonts w:ascii="Times New Roman" w:eastAsia="Times New Roman" w:hAnsi="Times New Roman" w:cs="Times New Roman"/>
                <w:sz w:val="20"/>
                <w:szCs w:val="20"/>
              </w:rPr>
            </w:pPr>
          </w:p>
        </w:tc>
        <w:tc>
          <w:tcPr>
            <w:tcW w:w="716" w:type="dxa"/>
            <w:tcBorders>
              <w:top w:val="nil"/>
              <w:left w:val="nil"/>
              <w:bottom w:val="single" w:sz="4" w:space="0" w:color="000000"/>
              <w:right w:val="nil"/>
            </w:tcBorders>
            <w:shd w:val="clear" w:color="auto" w:fill="auto"/>
          </w:tcPr>
          <w:p w14:paraId="1EF08E6B"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Boys</w:t>
            </w:r>
          </w:p>
        </w:tc>
        <w:tc>
          <w:tcPr>
            <w:tcW w:w="1979" w:type="dxa"/>
            <w:tcBorders>
              <w:top w:val="nil"/>
              <w:left w:val="nil"/>
              <w:bottom w:val="single" w:sz="4" w:space="0" w:color="000000"/>
              <w:right w:val="nil"/>
            </w:tcBorders>
            <w:shd w:val="clear" w:color="auto" w:fill="auto"/>
          </w:tcPr>
          <w:p w14:paraId="0D9450B4" w14:textId="77777777" w:rsidR="002D561D" w:rsidRPr="008A5C48" w:rsidRDefault="002D561D" w:rsidP="0034607E">
            <w:pPr>
              <w:contextualSpacing/>
              <w:jc w:val="center"/>
              <w:rPr>
                <w:rFonts w:ascii="Times New Roman" w:eastAsia="Times New Roman" w:hAnsi="Times New Roman" w:cs="Times New Roman"/>
                <w:sz w:val="20"/>
                <w:szCs w:val="20"/>
              </w:rPr>
            </w:pPr>
            <m:oMath>
              <m:r>
                <w:rPr>
                  <w:rFonts w:ascii="Cambria Math" w:eastAsia="Cambria Math" w:hAnsi="Cambria Math" w:cs="Times New Roman"/>
                  <w:sz w:val="20"/>
                  <w:szCs w:val="20"/>
                </w:rPr>
                <m:t>log</m:t>
              </m:r>
              <m:r>
                <w:rPr>
                  <w:rFonts w:ascii="Cambria Math" w:hAnsi="Cambria Math" w:cs="Times New Roman"/>
                  <w:sz w:val="20"/>
                  <w:szCs w:val="20"/>
                </w:rPr>
                <m:t xml:space="preserve"> </m:t>
              </m:r>
              <m:d>
                <m:dPr>
                  <m:ctrlPr>
                    <w:rPr>
                      <w:rFonts w:ascii="Cambria Math" w:hAnsi="Cambria Math" w:cs="Times New Roman"/>
                      <w:sz w:val="20"/>
                      <w:szCs w:val="20"/>
                    </w:rPr>
                  </m:ctrlPr>
                </m:dPr>
                <m:e>
                  <m:r>
                    <w:rPr>
                      <w:rFonts w:ascii="Cambria Math" w:hAnsi="Cambria Math" w:cs="Times New Roman"/>
                      <w:sz w:val="20"/>
                      <w:szCs w:val="20"/>
                    </w:rPr>
                    <m:t>μ</m:t>
                  </m:r>
                </m:e>
              </m:d>
              <m:r>
                <w:rPr>
                  <w:rFonts w:ascii="Cambria Math" w:hAnsi="Cambria Math" w:cs="Times New Roman"/>
                  <w:sz w:val="20"/>
                  <w:szCs w:val="20"/>
                </w:rPr>
                <m:t xml:space="preserve"> </m:t>
              </m:r>
            </m:oMath>
            <w:r w:rsidRPr="008A5C48">
              <w:rPr>
                <w:rFonts w:ascii="Times New Roman" w:eastAsia="Times New Roman" w:hAnsi="Times New Roman" w:cs="Times New Roman"/>
                <w:sz w:val="20"/>
                <w:szCs w:val="20"/>
              </w:rPr>
              <w:t xml:space="preserve"> ~ age + height</w:t>
            </w:r>
          </w:p>
        </w:tc>
        <w:tc>
          <w:tcPr>
            <w:tcW w:w="940" w:type="dxa"/>
            <w:tcBorders>
              <w:top w:val="nil"/>
              <w:left w:val="nil"/>
              <w:bottom w:val="single" w:sz="4" w:space="0" w:color="000000"/>
              <w:right w:val="nil"/>
            </w:tcBorders>
            <w:shd w:val="clear" w:color="auto" w:fill="auto"/>
          </w:tcPr>
          <w:p w14:paraId="0DE8B4DA"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1097" w:type="dxa"/>
            <w:tcBorders>
              <w:top w:val="nil"/>
              <w:left w:val="nil"/>
              <w:bottom w:val="single" w:sz="4" w:space="0" w:color="000000"/>
              <w:right w:val="nil"/>
            </w:tcBorders>
            <w:shd w:val="clear" w:color="auto" w:fill="auto"/>
          </w:tcPr>
          <w:p w14:paraId="336ED029"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c>
          <w:tcPr>
            <w:tcW w:w="985" w:type="dxa"/>
            <w:tcBorders>
              <w:top w:val="nil"/>
              <w:left w:val="nil"/>
              <w:bottom w:val="single" w:sz="4" w:space="0" w:color="000000"/>
              <w:right w:val="nil"/>
            </w:tcBorders>
            <w:shd w:val="clear" w:color="auto" w:fill="auto"/>
          </w:tcPr>
          <w:p w14:paraId="3D347AE1"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r>
    </w:tbl>
    <w:p w14:paraId="34D9CD75" w14:textId="04995C29" w:rsidR="002D561D" w:rsidRPr="008A5C48" w:rsidRDefault="002D561D" w:rsidP="002D561D">
      <w:pPr>
        <w:spacing w:line="240" w:lineRule="auto"/>
        <w:contextualSpacing/>
        <w:jc w:val="both"/>
        <w:rPr>
          <w:rFonts w:ascii="Times New Roman" w:eastAsia="Times New Roman" w:hAnsi="Times New Roman" w:cs="Times New Roman"/>
          <w:b/>
          <w:sz w:val="20"/>
          <w:szCs w:val="20"/>
        </w:rPr>
      </w:pPr>
      <w:r w:rsidRPr="008A5C48">
        <w:rPr>
          <w:rFonts w:ascii="Times New Roman" w:eastAsia="Times New Roman" w:hAnsi="Times New Roman" w:cs="Times New Roman"/>
          <w:sz w:val="20"/>
          <w:szCs w:val="20"/>
          <w:u w:val="single"/>
        </w:rPr>
        <w:t xml:space="preserve">Method: </w:t>
      </w:r>
      <w:r w:rsidRPr="008A5C48">
        <w:rPr>
          <w:rFonts w:ascii="Times New Roman" w:eastAsia="Times New Roman" w:hAnsi="Times New Roman" w:cs="Times New Roman"/>
          <w:sz w:val="20"/>
          <w:szCs w:val="20"/>
        </w:rPr>
        <w:t xml:space="preserve">for each health outcome, a distribution is chosen among the one proposed by the package GAMLSS (Box-Cox, Weibull, binomial etc), and its parameters (location, scale, skewness, kurtosis) are additive functions of the covariates. The distribution and the function for the parameters were defined in the IDEFICS study </w:t>
      </w:r>
      <w:r>
        <w:rPr>
          <w:rFonts w:ascii="Times New Roman" w:eastAsia="Times New Roman" w:hAnsi="Times New Roman" w:cs="Times New Roman"/>
          <w:sz w:val="20"/>
          <w:szCs w:val="20"/>
        </w:rPr>
        <w:fldChar w:fldCharType="begin"/>
      </w:r>
      <w:r w:rsidR="00A52898">
        <w:rPr>
          <w:rFonts w:ascii="Times New Roman" w:eastAsia="Times New Roman" w:hAnsi="Times New Roman" w:cs="Times New Roman"/>
          <w:sz w:val="20"/>
          <w:szCs w:val="20"/>
        </w:rPr>
        <w:instrText xml:space="preserve"> ADDIN ZOTERO_ITEM CSL_CITATION {"citationID":"XPPR7ObT","properties":{"formattedCitation":"\\super 60,70\\uc0\\u8211{}72\\nosupersub{}","plainCitation":"60,70–72","noteIndex":0},"citationItems":[{"id":84,"uris":["http://zotero.org/users/9798320/items/JCQSNTXB"],"itemData":{"id":84,"type":"article-journal","abstract":"OBJECTIVES: To provide oscillometric blood pressure (BP) reference values in European non-overweight school children.\nDESIGN: Cross-sectional analysis from the IDEFICS study (www.ideficsstudy.eu) database.\nMETHODS: Standardised BP and anthropometric measures were obtained from children aged 2 to 10.9 years, participating in the 2007-2008 and 2009-2010 IDEFICS surveys. Age- and height-specific systolic and diastolic pressure percentiles were calculated by GAMLSS, separately for boys and girls, in both the entire population (n=16,937) and the non-overweight children only (n=13,547). The robustness of the models was tested by sensitivity analyses carried out in both population samples.\nRESULTS: Percentiles of BP distribution in non-overweight children were provided by age and height strata, separately for boys and girls. Diastolic BP norms were slightly higher in girls than in boys for similar age and height, while systolic BP values tended to be higher in boys starting from age 5 years. Sensitivity analysis, comparing BP distributions obtained in all children with those of non-overweight children, showed that the inclusion of overweight/obese individuals shifted the references values upward, in particular systolic BP in girls at the extreme percentiles.\nCONCLUSIONS: The present analysis provides updated and timely information about reference values for BP in children aged 2 to &lt;11 years that may be useful for monitoring and planning population strategies for disease prevention.","container-title":"International Journal of Obesity (2005)","DOI":"10.1038/ijo.2014.135","ISSN":"1476-5497","journalAbbreviation":"Int J Obes (Lond)","language":"eng","note":"PMID: 25219411","page":"S48-56","source":"PubMed","title":"Blood pressure reference values for European non-overweight school children: the IDEFICS study","title-short":"Blood pressure reference values for European non-overweight school children","volume":"38 Suppl 2","author":[{"family":"Barba","given":"G."},{"family":"Buck","given":"C."},{"family":"Bammann","given":"K."},{"family":"Hadjigeorgiou","given":"C."},{"family":"Hebestreit","given":"A."},{"family":"Mårild","given":"S."},{"family":"Molnár","given":"D."},{"family":"Russo","given":"P."},{"family":"Veidebaum","given":"T."},{"family":"Vyncke","given":"K."},{"family":"Ahrens","given":"W."},{"family":"Moreno","given":"L. A."},{"literal":"IDEFICS consortium"}],"issued":{"date-parts":[["2014",9]]}}},{"id":81,"uris":["http://zotero.org/users/9798320/items/KLJ75IL6"],"itemData":{"id":81,"type":"article-journal","abstract":"BACKGROUND: Measurement of cholesterol and triglyceride (TG) fractions in blood has become standard practice in the early detection of atherosclerotic disease pathways. Considerable attention is given nowadays to the presence of these risk factors in children and to start preventive campaigns early in life. In this context, it is imperative to have valid comparative frameworks for interpretation of lipid levels. The aim of this study is to present sex- and age-specific reference values on blood lipid levels in European children aged 2.0-10.9 years.\nMETHODS: Fasting blood was obtained via either venipuncture or capillary sampling. In 13,579 European non-obese children (50.3% boys), high-density lipoprotein cholesterol (HDL-C), low-density lipoprotein cholesterol (LDL-C), total cholesterol (TC), TG and TC/HDL-C ratio levels were measured with a point-of-care analyser (Cholestech). Sex- and age-specific reference values were computed with the GAMLSS method with the statistical software R.\nRESULTS: Reference curves and 1st, 3rd, 10th, 25th, 50th, 75th, 90th, 97th and 99th percentile values are presented. HDL-C showed a positive trend with age, from 2 years onwards, but was relatively stable above the age of 7. For LDL-C and TC, linear but small age-related trends were seen. The TC/HDL-C values showed a gradual negative trend from the age of 2 up to 6 and were relatively stable afterwards. For TG, no age trend was found (P=0.285). Boys had higher mean HDL-C values than girls (1.414 vs 1.368 mmol l(-1)), and lower TC, LDL-C, TC/HDL-C and TG values (3.981 vs 4.087 mmol l(-1); 2.297 vs 2.435 mmol l(-1); 2.84 vs 3.01mmol l(-1);  and 0.509 vs 0.542 mmol l(-1), respectively).\nCONCLUSIONS: These new and recent references could serve as a European orientation of blood lipid values in children in the context of standard medical practice and for the purpose of public health screening.","container-title":"International Journal of Obesity (2005)","DOI":"10.1038/ijo.2014.137","ISSN":"1476-5497","journalAbbreviation":"Int J Obes (Lond)","language":"eng","note":"PMID: 25219412","page":"S67-75","source":"PubMed","title":"Blood lipids among young children in Europe: results from the European IDEFICS study","title-short":"Blood lipids among young children in Europe","volume":"38 Suppl 2","author":[{"family":"De Henauw","given":"S."},{"family":"Michels","given":"N."},{"family":"Vyncke","given":"K."},{"family":"Hebestreit","given":"A."},{"family":"Russo","given":"P."},{"family":"Intemann","given":"T."},{"family":"Peplies","given":"J."},{"family":"Fraterman","given":"A."},{"family":"Eiben","given":"G."},{"family":"Lorgeril","given":"M.","non-dropping-particle":"de"},{"family":"Tornaritis","given":"M."},{"family":"Molnar","given":"D."},{"family":"Veidebaum","given":"T."},{"family":"Ahrens","given":"W."},{"family":"Moreno","given":"L. A."},{"literal":"IDEFICS consortium"}],"issued":{"date-parts":[["2014",9]]}}},{"id":83,"uris":["http://zotero.org/users/9798320/items/QQRH528A"],"itemData":{"id":83,"type":"article-journal","abstract":"INTRODUCTION: To characterise the nutritional status in children with obesity or wasting conditions, European anthropometric reference values for body composition measures beyond the body mass index (BMI) are needed. Differentiated assessment of body composition in children has long been hampered by the lack of appropriate references.\nOBJECTIVES: The aim of our study is to provide percentiles for body composition indices in normal weight European children, based on the IDEFICS cohort (Identification and prevention of Dietary- and lifestyle-induced health Effects in Children and infantS).\nMETHODS: Overall 18,745 2.0-10.9-year-old children from eight countries participated in the study. Children classified as overweight/obese or underweight according to IOTF (N=5915) were excluded from the analysis. Anthropometric measurements (BMI (N=12 830); triceps, subscapular, fat mass and fat mass index (N=11,845-11,901); biceps, suprailiac skinfolds, sum of skinfolds calculated from skinfold thicknesses (N=8129-8205), neck circumference (N=12,241); waist circumference and waist-to-height ratio (N=12,381)) were analysed stratified by sex and smoothed 1st, 3rd, 10th, 25th, 50th, 75th, 90th, 97th and 99th percentile curves were calculated using GAMLSS.\nRESULTS: Percentile values of the most important anthropometric measures related to the degree of adiposity are depicted for European girls and boys. Age- and sex-specific differences were investigated for all measures. As an example, the 50th and 99th percentile values of waist circumference ranged from 50.7-59.2 cm and from 51.3-58.7 cm in 4.5- to &lt;5.0-year-old girls and boys, respectively, to 60.6-74.5 cm in girls and to 59.9-76.7 cm in boys at the age of 10.5-10.9 years.\nCONCLUSION: The presented percentile curves may aid a differentiated assessment of total and abdominal adiposity in European children.","container-title":"International Journal of Obesity (2005)","DOI":"10.1038/ijo.2014.131","ISSN":"1476-5497","journalAbbreviation":"Int J Obes (Lond)","language":"eng","note":"PMID: 25219408","page":"S15-25","source":"PubMed","title":"Percentile reference values for anthropometric body composition indices in European children from the IDEFICS study","volume":"38 Suppl 2","author":[{"family":"Nagy","given":"P."},{"family":"Kovacs","given":"E."},{"family":"Moreno","given":"L. A."},{"family":"Veidebaum","given":"T."},{"family":"Tornaritis","given":"M."},{"family":"Kourides","given":"Y."},{"family":"Siani","given":"A."},{"family":"Lauria","given":"F."},{"family":"Sioen","given":"I."},{"family":"Claessens","given":"M."},{"family":"Mårild","given":"S."},{"family":"Lissner","given":"L."},{"family":"Bammann","given":"K."},{"family":"Intemann","given":"T."},{"family":"Buck","given":"C."},{"family":"Pigeot","given":"I."},{"family":"Ahrens","given":"W."},{"family":"Molnár","given":"D."},{"literal":"IDEFICS consortium"}],"issued":{"date-parts":[["2014",9]]}}},{"id":82,"uris":["http://zotero.org/users/9798320/items/RMI5MSEB"],"itemData":{"id":82,"type":"article-journal","abstract":"OBJECTIVES: The aim of this study is to present age- and sex-specific reference values of insulin, glucose, glycosylated haemoglobin (HbA1c) and the homeostasis model assessment to quantify insulin resistance (HOMA-IR) for pre-pubertal children.\nMETHODS: The reference population consists of 7074 normal weight 3- to 10.9-year-old pre-pubertal children from eight European countries who participated in at least one wave of the IDEFICS ('identification and prevention of dietary- and lifestyle-induced health effects in children and infants') surveys (2007-2010) and for whom standardised laboratory measurements were obtained. Percentile curves of insulin (measured by an electrochemiluminescence immunoassay), glucose, HbA1c and HOMA-IR were calculated as a function of age stratified by sex using the general additive model for location scale and shape (GAMLSS) method.\nRESULTS: Levels of insulin, fasting glucose and HOMA-IR continuously show an increasing trend with age, whereas HbA1c shows an upward trend only beyond the age of 8 years. Insulin and HOMA-IR values are higher in girls of all age groups, whereas glucose values are slightly higher in boys. Median serum levels of insulin range from 17.4 and 13.2 pmol l(-1) in 3-&lt;3.5-year-old girls and boys, respectively, to 53.5 and 43.0 pmol l(-1) in 10.5-&lt;11-year-old girls and boys. Median values of glucose are 4.3 and 4.5 mmol l(-1) in the youngest age group and 49.3 and 50.6 mmol l(-1) in the oldest girls and boys. For HOMA-IR, median values range from 0.5 and 0.4 in 3-&lt;3.5-year-old girls and boys to 1.7 and 1.4 in 10.5-&lt;11-year-old girls and boys, respectively.\nCONCLUSIONS: Our study provides the first standardised reference values for an international European children's population and provides the, up to now, largest data set of healthy pre-pubertal children to model reference percentiles for markers of insulin resistance. Our cohort shows higher values of Hb1Ac as compared with a single Swedish study while our percentiles for the other glucose metabolic markers are in good accordance with previous studies.","container-title":"International Journal of Obesity (2005)","DOI":"10.1038/ijo.2014.134","ISSN":"1476-5497","journalAbbreviation":"Int J Obes (Lond)","language":"eng","note":"PMID: 25376219","page":"S39-47","source":"PubMed","title":"Percentiles of fasting serum insulin, glucose, HbA1c and HOMA-IR in pre-pubertal normal weight European children from the IDEFICS cohort","volume":"38 Suppl 2","author":[{"family":"Peplies","given":"J."},{"family":"Jiménez-Pavón","given":"D."},{"family":"Savva","given":"S. C."},{"family":"Buck","given":"C."},{"family":"Günther","given":"K."},{"family":"Fraterman","given":"A."},{"family":"Russo","given":"P."},{"family":"Iacoviello","given":"L."},{"family":"Veidebaum","given":"T."},{"family":"Tornaritis","given":"M."},{"family":"De Henauw","given":"S."},{"family":"Mårild","given":"S."},{"family":"Molnár","given":"D."},{"family":"Moreno","given":"L. A."},{"family":"Ahrens","given":"W."},{"literal":"IDEFICS consortium"}],"issued":{"date-parts":[["2014",9]]}}}],"schema":"https://github.com/citation-style-language/schema/raw/master/csl-citation.json"} </w:instrText>
      </w:r>
      <w:r>
        <w:rPr>
          <w:rFonts w:ascii="Times New Roman" w:eastAsia="Times New Roman" w:hAnsi="Times New Roman" w:cs="Times New Roman"/>
          <w:sz w:val="20"/>
          <w:szCs w:val="20"/>
        </w:rPr>
        <w:fldChar w:fldCharType="separate"/>
      </w:r>
      <w:r w:rsidR="00A52898" w:rsidRPr="00A52898">
        <w:rPr>
          <w:rFonts w:ascii="Times New Roman" w:hAnsi="Times New Roman" w:cs="Times New Roman"/>
          <w:sz w:val="20"/>
          <w:szCs w:val="24"/>
          <w:vertAlign w:val="superscript"/>
        </w:rPr>
        <w:t>60,70–72</w:t>
      </w:r>
      <w:r>
        <w:rPr>
          <w:rFonts w:ascii="Times New Roman" w:eastAsia="Times New Roman" w:hAnsi="Times New Roman" w:cs="Times New Roman"/>
          <w:sz w:val="20"/>
          <w:szCs w:val="20"/>
        </w:rPr>
        <w:fldChar w:fldCharType="end"/>
      </w:r>
      <w:r w:rsidRPr="00810CC4">
        <w:rPr>
          <w:rFonts w:ascii="Times New Roman" w:eastAsia="Times New Roman" w:hAnsi="Times New Roman" w:cs="Times New Roman"/>
          <w:sz w:val="20"/>
          <w:szCs w:val="20"/>
          <w:lang w:val="en-US"/>
        </w:rPr>
        <w:t xml:space="preserve">. </w:t>
      </w:r>
      <w:r w:rsidRPr="008A5C48">
        <w:rPr>
          <w:rFonts w:ascii="Times New Roman" w:eastAsia="Times New Roman" w:hAnsi="Times New Roman" w:cs="Times New Roman"/>
          <w:sz w:val="20"/>
          <w:szCs w:val="20"/>
        </w:rPr>
        <w:t xml:space="preserve">A stratification on sex is used. The estimation of the parameters and the creation of the z-scores are done via the package GAMLSS in R. </w:t>
      </w:r>
      <w:r w:rsidRPr="008A5C48">
        <w:rPr>
          <w:rFonts w:ascii="Times New Roman" w:eastAsia="Times New Roman" w:hAnsi="Times New Roman" w:cs="Times New Roman"/>
          <w:sz w:val="20"/>
          <w:szCs w:val="20"/>
          <w:u w:val="single"/>
        </w:rPr>
        <w:t>Acronyms</w:t>
      </w:r>
      <w:r w:rsidRPr="008A5C48">
        <w:rPr>
          <w:rFonts w:ascii="Times New Roman" w:eastAsia="Times New Roman" w:hAnsi="Times New Roman" w:cs="Times New Roman"/>
          <w:sz w:val="20"/>
          <w:szCs w:val="20"/>
        </w:rPr>
        <w:t xml:space="preserve">: BCT=Box-Cox t, BCCG=Box-Cox Cole Green, BCPE=Box-Cox Power Exponential, CS = cubic splines. </w:t>
      </w:r>
      <w:r w:rsidRPr="008A5C48">
        <w:rPr>
          <w:rFonts w:ascii="Times New Roman" w:eastAsia="Times New Roman" w:hAnsi="Times New Roman" w:cs="Times New Roman"/>
          <w:sz w:val="20"/>
          <w:szCs w:val="20"/>
          <w:u w:val="single"/>
        </w:rPr>
        <w:t>Example on how to read this table:</w:t>
      </w:r>
      <w:r w:rsidRPr="008A5C48">
        <w:rPr>
          <w:rFonts w:ascii="Times New Roman" w:eastAsia="Times New Roman" w:hAnsi="Times New Roman" w:cs="Times New Roman"/>
          <w:sz w:val="20"/>
          <w:szCs w:val="20"/>
        </w:rPr>
        <w:t xml:space="preserve"> for the waist circumference, a Box Cox t distribution has been chosen, with </w:t>
      </w:r>
      <m:oMath>
        <m:r>
          <w:rPr>
            <w:rFonts w:ascii="Cambria Math" w:hAnsi="Cambria Math" w:cs="Times New Roman"/>
            <w:sz w:val="20"/>
            <w:szCs w:val="20"/>
          </w:rPr>
          <m:t>μ</m:t>
        </m:r>
      </m:oMath>
      <w:r w:rsidRPr="008A5C48">
        <w:rPr>
          <w:rFonts w:ascii="Times New Roman" w:eastAsia="Times New Roman" w:hAnsi="Times New Roman" w:cs="Times New Roman"/>
          <w:b/>
          <w:sz w:val="20"/>
          <w:szCs w:val="20"/>
        </w:rPr>
        <w:t xml:space="preserve"> </w:t>
      </w:r>
      <w:r w:rsidRPr="008A5C48">
        <w:rPr>
          <w:rFonts w:ascii="Times New Roman" w:eastAsia="Times New Roman" w:hAnsi="Times New Roman" w:cs="Times New Roman"/>
          <w:sz w:val="20"/>
          <w:szCs w:val="20"/>
        </w:rPr>
        <w:t xml:space="preserve">being a function of the cubic spline of age, </w:t>
      </w:r>
      <m:oMath>
        <m:box>
          <m:boxPr>
            <m:opEmu m:val="1"/>
            <m:ctrlPr>
              <w:rPr>
                <w:rFonts w:ascii="Cambria Math" w:hAnsi="Cambria Math" w:cs="Times New Roman"/>
                <w:sz w:val="20"/>
                <w:szCs w:val="20"/>
              </w:rPr>
            </m:ctrlPr>
          </m:boxPr>
          <m:e>
            <m:r>
              <w:rPr>
                <w:rFonts w:ascii="Cambria Math" w:hAnsi="Cambria Math" w:cs="Times New Roman"/>
                <w:sz w:val="20"/>
                <w:szCs w:val="20"/>
              </w:rPr>
              <m:t>log</m:t>
            </m:r>
          </m:e>
        </m:box>
        <m:r>
          <w:rPr>
            <w:rFonts w:ascii="Cambria Math" w:eastAsia="Cambria Math" w:hAnsi="Cambria Math" w:cs="Times New Roman"/>
            <w:sz w:val="20"/>
            <w:szCs w:val="20"/>
          </w:rPr>
          <m:t>log</m:t>
        </m:r>
        <m:r>
          <w:rPr>
            <w:rFonts w:ascii="Cambria Math" w:hAnsi="Cambria Math" w:cs="Times New Roman"/>
            <w:sz w:val="20"/>
            <w:szCs w:val="20"/>
          </w:rPr>
          <m:t xml:space="preserve"> </m:t>
        </m:r>
        <m:r>
          <w:rPr>
            <w:rFonts w:ascii="Cambria Math" w:eastAsia="Cambria Math" w:hAnsi="Cambria Math" w:cs="Times New Roman"/>
            <w:sz w:val="20"/>
            <w:szCs w:val="20"/>
          </w:rPr>
          <m:t>(σ</m:t>
        </m:r>
        <m:r>
          <w:rPr>
            <w:rFonts w:ascii="Cambria Math" w:hAnsi="Cambria Math" w:cs="Times New Roman"/>
            <w:sz w:val="20"/>
            <w:szCs w:val="20"/>
          </w:rPr>
          <m:t xml:space="preserve"> </m:t>
        </m:r>
      </m:oMath>
      <w:r w:rsidRPr="008A5C48">
        <w:rPr>
          <w:rFonts w:ascii="Times New Roman" w:eastAsia="Times New Roman" w:hAnsi="Times New Roman" w:cs="Times New Roman"/>
          <w:sz w:val="20"/>
          <w:szCs w:val="20"/>
        </w:rPr>
        <w:t xml:space="preserve">) a function of age and </w:t>
      </w:r>
      <m:oMath>
        <m:box>
          <m:boxPr>
            <m:opEmu m:val="1"/>
            <m:ctrlPr>
              <w:rPr>
                <w:rFonts w:ascii="Cambria Math" w:hAnsi="Cambria Math" w:cs="Times New Roman"/>
                <w:sz w:val="20"/>
                <w:szCs w:val="20"/>
              </w:rPr>
            </m:ctrlPr>
          </m:boxPr>
          <m:e>
            <m:r>
              <w:rPr>
                <w:rFonts w:ascii="Cambria Math" w:hAnsi="Cambria Math" w:cs="Times New Roman"/>
                <w:sz w:val="20"/>
                <w:szCs w:val="20"/>
              </w:rPr>
              <m:t>log</m:t>
            </m:r>
          </m:e>
        </m:box>
        <m:r>
          <w:rPr>
            <w:rFonts w:ascii="Cambria Math" w:eastAsia="Cambria Math" w:hAnsi="Cambria Math" w:cs="Times New Roman"/>
            <w:sz w:val="20"/>
            <w:szCs w:val="20"/>
          </w:rPr>
          <m:t>log</m:t>
        </m:r>
        <m:r>
          <w:rPr>
            <w:rFonts w:ascii="Cambria Math" w:hAnsi="Cambria Math" w:cs="Times New Roman"/>
            <w:sz w:val="20"/>
            <w:szCs w:val="20"/>
          </w:rPr>
          <m:t xml:space="preserve"> </m:t>
        </m:r>
        <m:d>
          <m:dPr>
            <m:ctrlPr>
              <w:rPr>
                <w:rFonts w:ascii="Cambria Math" w:hAnsi="Cambria Math" w:cs="Times New Roman"/>
                <w:sz w:val="20"/>
                <w:szCs w:val="20"/>
              </w:rPr>
            </m:ctrlPr>
          </m:dPr>
          <m:e>
            <m:r>
              <w:rPr>
                <w:rFonts w:ascii="Cambria Math" w:hAnsi="Cambria Math" w:cs="Times New Roman"/>
                <w:sz w:val="20"/>
                <w:szCs w:val="20"/>
              </w:rPr>
              <m:t>τ</m:t>
            </m:r>
          </m:e>
        </m:d>
        <m:r>
          <w:rPr>
            <w:rFonts w:ascii="Cambria Math" w:hAnsi="Cambria Math" w:cs="Times New Roman"/>
            <w:sz w:val="20"/>
            <w:szCs w:val="20"/>
          </w:rPr>
          <m:t xml:space="preserve"> </m:t>
        </m:r>
      </m:oMath>
      <w:r w:rsidRPr="008A5C48">
        <w:rPr>
          <w:rFonts w:ascii="Times New Roman" w:eastAsia="Times New Roman" w:hAnsi="Times New Roman" w:cs="Times New Roman"/>
          <w:b/>
          <w:sz w:val="20"/>
          <w:szCs w:val="20"/>
        </w:rPr>
        <w:t xml:space="preserve"> </w:t>
      </w:r>
      <w:r w:rsidRPr="008A5C48">
        <w:rPr>
          <w:rFonts w:ascii="Times New Roman" w:eastAsia="Times New Roman" w:hAnsi="Times New Roman" w:cs="Times New Roman"/>
          <w:sz w:val="20"/>
          <w:szCs w:val="20"/>
        </w:rPr>
        <w:t>a function of age.</w:t>
      </w:r>
    </w:p>
    <w:p w14:paraId="22ABDF8B" w14:textId="77777777" w:rsidR="002D561D" w:rsidRPr="008A5C48" w:rsidRDefault="002D561D" w:rsidP="002D561D">
      <w:pPr>
        <w:spacing w:line="240" w:lineRule="auto"/>
        <w:contextualSpacing/>
        <w:rPr>
          <w:rFonts w:ascii="Times New Roman" w:eastAsia="Times New Roman" w:hAnsi="Times New Roman" w:cs="Times New Roman"/>
          <w:b/>
          <w:sz w:val="20"/>
          <w:szCs w:val="20"/>
        </w:rPr>
      </w:pPr>
    </w:p>
    <w:p w14:paraId="36AB8966" w14:textId="77777777" w:rsidR="002D561D" w:rsidRDefault="002D561D" w:rsidP="002D561D">
      <w:pPr>
        <w:spacing w:line="240" w:lineRule="auto"/>
        <w:contextualSpacing/>
        <w:rPr>
          <w:rFonts w:ascii="Times New Roman" w:eastAsia="Times New Roman" w:hAnsi="Times New Roman" w:cs="Times New Roman"/>
          <w:b/>
          <w:sz w:val="20"/>
          <w:szCs w:val="20"/>
        </w:rPr>
      </w:pPr>
      <w:bookmarkStart w:id="60" w:name="_Hlk126577112"/>
      <w:r>
        <w:rPr>
          <w:rFonts w:ascii="Times New Roman" w:eastAsia="Times New Roman" w:hAnsi="Times New Roman" w:cs="Times New Roman"/>
          <w:b/>
          <w:sz w:val="20"/>
          <w:szCs w:val="20"/>
        </w:rPr>
        <w:br w:type="page"/>
      </w:r>
    </w:p>
    <w:p w14:paraId="6DC2E6D8" w14:textId="4A7AB25E" w:rsidR="002D561D" w:rsidRDefault="002D561D" w:rsidP="002D561D">
      <w:pPr>
        <w:pStyle w:val="Titre1"/>
        <w:rPr>
          <w:rFonts w:eastAsia="Times New Roman"/>
        </w:rPr>
      </w:pPr>
      <w:bookmarkStart w:id="61" w:name="_Toc127358157"/>
      <w:bookmarkStart w:id="62" w:name="_Toc132271588"/>
      <w:bookmarkStart w:id="63" w:name="_Hlk127367110"/>
      <w:proofErr w:type="spellStart"/>
      <w:r w:rsidRPr="008A5C48">
        <w:rPr>
          <w:rFonts w:eastAsia="Times New Roman"/>
        </w:rPr>
        <w:lastRenderedPageBreak/>
        <w:t>eTable</w:t>
      </w:r>
      <w:proofErr w:type="spellEnd"/>
      <w:r w:rsidRPr="008A5C48">
        <w:rPr>
          <w:rFonts w:eastAsia="Times New Roman"/>
        </w:rPr>
        <w:t xml:space="preserve"> </w:t>
      </w:r>
      <w:r w:rsidR="00276BE5">
        <w:rPr>
          <w:rFonts w:eastAsia="Times New Roman"/>
        </w:rPr>
        <w:t>6</w:t>
      </w:r>
      <w:r w:rsidRPr="008A5C48">
        <w:rPr>
          <w:rFonts w:eastAsia="Times New Roman"/>
        </w:rPr>
        <w:t xml:space="preserve">. </w:t>
      </w:r>
      <w:r w:rsidRPr="001E4B45">
        <w:rPr>
          <w:rFonts w:eastAsia="Times New Roman"/>
          <w:b w:val="0"/>
          <w:bCs w:val="0"/>
        </w:rPr>
        <w:t>Standardization of the mental and cognitive parameters</w:t>
      </w:r>
      <w:bookmarkEnd w:id="61"/>
      <w:bookmarkEnd w:id="62"/>
    </w:p>
    <w:bookmarkEnd w:id="63"/>
    <w:p w14:paraId="2F985BCC" w14:textId="77777777" w:rsidR="00376689" w:rsidRPr="00376689" w:rsidRDefault="00376689" w:rsidP="00376689"/>
    <w:bookmarkEnd w:id="60"/>
    <w:tbl>
      <w:tblPr>
        <w:tblStyle w:val="af"/>
        <w:tblW w:w="8789" w:type="dxa"/>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00" w:firstRow="0" w:lastRow="0" w:firstColumn="0" w:lastColumn="0" w:noHBand="0" w:noVBand="1"/>
      </w:tblPr>
      <w:tblGrid>
        <w:gridCol w:w="1736"/>
        <w:gridCol w:w="1383"/>
        <w:gridCol w:w="1134"/>
        <w:gridCol w:w="1559"/>
        <w:gridCol w:w="851"/>
        <w:gridCol w:w="1134"/>
        <w:gridCol w:w="992"/>
      </w:tblGrid>
      <w:tr w:rsidR="002D561D" w:rsidRPr="008A5C48" w14:paraId="05A47CB0" w14:textId="77777777" w:rsidTr="0034607E">
        <w:trPr>
          <w:trHeight w:val="238"/>
        </w:trPr>
        <w:tc>
          <w:tcPr>
            <w:tcW w:w="1736" w:type="dxa"/>
            <w:tcBorders>
              <w:top w:val="single" w:sz="4" w:space="0" w:color="000000"/>
              <w:left w:val="nil"/>
              <w:bottom w:val="single" w:sz="4" w:space="0" w:color="000000"/>
              <w:right w:val="nil"/>
            </w:tcBorders>
            <w:shd w:val="clear" w:color="auto" w:fill="auto"/>
          </w:tcPr>
          <w:p w14:paraId="691ECFAC" w14:textId="77777777" w:rsidR="002D561D" w:rsidRPr="008A5C48" w:rsidRDefault="002D561D" w:rsidP="0034607E">
            <w:pPr>
              <w:contextualSpacing/>
              <w:rPr>
                <w:rFonts w:ascii="Times New Roman" w:eastAsia="Times New Roman" w:hAnsi="Times New Roman" w:cs="Times New Roman"/>
                <w:b/>
                <w:sz w:val="20"/>
                <w:szCs w:val="20"/>
              </w:rPr>
            </w:pPr>
          </w:p>
        </w:tc>
        <w:tc>
          <w:tcPr>
            <w:tcW w:w="1383" w:type="dxa"/>
            <w:tcBorders>
              <w:top w:val="single" w:sz="4" w:space="0" w:color="000000"/>
              <w:left w:val="nil"/>
              <w:bottom w:val="single" w:sz="4" w:space="0" w:color="000000"/>
              <w:right w:val="nil"/>
            </w:tcBorders>
            <w:shd w:val="clear" w:color="auto" w:fill="auto"/>
          </w:tcPr>
          <w:p w14:paraId="5E11E634" w14:textId="77777777" w:rsidR="002D561D" w:rsidRPr="00376689" w:rsidRDefault="002D561D" w:rsidP="0034607E">
            <w:pPr>
              <w:contextualSpacing/>
              <w:rPr>
                <w:rFonts w:ascii="Times New Roman" w:eastAsia="Times New Roman" w:hAnsi="Times New Roman" w:cs="Times New Roman"/>
                <w:bCs/>
                <w:sz w:val="20"/>
                <w:szCs w:val="20"/>
              </w:rPr>
            </w:pPr>
            <w:r w:rsidRPr="00376689">
              <w:rPr>
                <w:rFonts w:ascii="Times New Roman" w:eastAsia="Times New Roman" w:hAnsi="Times New Roman" w:cs="Times New Roman"/>
                <w:bCs/>
                <w:sz w:val="20"/>
                <w:szCs w:val="20"/>
              </w:rPr>
              <w:t>Distribution</w:t>
            </w:r>
          </w:p>
        </w:tc>
        <w:tc>
          <w:tcPr>
            <w:tcW w:w="1134" w:type="dxa"/>
            <w:tcBorders>
              <w:top w:val="single" w:sz="4" w:space="0" w:color="000000"/>
              <w:left w:val="nil"/>
              <w:bottom w:val="single" w:sz="4" w:space="0" w:color="000000"/>
              <w:right w:val="nil"/>
            </w:tcBorders>
            <w:shd w:val="clear" w:color="auto" w:fill="auto"/>
          </w:tcPr>
          <w:p w14:paraId="6FB9483B" w14:textId="77777777" w:rsidR="002D561D" w:rsidRPr="00376689" w:rsidRDefault="002D561D" w:rsidP="0034607E">
            <w:pPr>
              <w:contextualSpacing/>
              <w:jc w:val="center"/>
              <w:rPr>
                <w:rFonts w:ascii="Times New Roman" w:eastAsia="Times New Roman" w:hAnsi="Times New Roman" w:cs="Times New Roman"/>
                <w:bCs/>
                <w:sz w:val="20"/>
                <w:szCs w:val="20"/>
              </w:rPr>
            </w:pPr>
            <w:r w:rsidRPr="00376689">
              <w:rPr>
                <w:rFonts w:ascii="Times New Roman" w:eastAsia="Times New Roman" w:hAnsi="Times New Roman" w:cs="Times New Roman"/>
                <w:bCs/>
                <w:sz w:val="20"/>
                <w:szCs w:val="20"/>
              </w:rPr>
              <w:t>Stratified on sex?</w:t>
            </w:r>
          </w:p>
        </w:tc>
        <w:tc>
          <w:tcPr>
            <w:tcW w:w="1559" w:type="dxa"/>
            <w:tcBorders>
              <w:top w:val="single" w:sz="4" w:space="0" w:color="000000"/>
              <w:left w:val="nil"/>
              <w:bottom w:val="single" w:sz="4" w:space="0" w:color="000000"/>
              <w:right w:val="nil"/>
            </w:tcBorders>
            <w:shd w:val="clear" w:color="auto" w:fill="auto"/>
          </w:tcPr>
          <w:p w14:paraId="3214FC7D" w14:textId="2B4B6694" w:rsidR="002D561D" w:rsidRPr="008A5C48" w:rsidRDefault="00376689" w:rsidP="0034607E">
            <w:pPr>
              <w:contextualSpacing/>
              <w:jc w:val="center"/>
              <w:rPr>
                <w:rFonts w:ascii="Times New Roman" w:eastAsia="Times New Roman" w:hAnsi="Times New Roman" w:cs="Times New Roman"/>
                <w:b/>
                <w:sz w:val="20"/>
                <w:szCs w:val="20"/>
              </w:rPr>
            </w:pPr>
            <m:oMathPara>
              <m:oMath>
                <m:r>
                  <w:rPr>
                    <w:rFonts w:ascii="Cambria Math" w:hAnsi="Cambria Math" w:cs="Times New Roman"/>
                    <w:sz w:val="20"/>
                    <w:szCs w:val="20"/>
                  </w:rPr>
                  <m:t>μ</m:t>
                </m:r>
              </m:oMath>
            </m:oMathPara>
          </w:p>
          <w:p w14:paraId="6A272764"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Location</w:t>
            </w:r>
          </w:p>
        </w:tc>
        <w:tc>
          <w:tcPr>
            <w:tcW w:w="851" w:type="dxa"/>
            <w:tcBorders>
              <w:top w:val="single" w:sz="4" w:space="0" w:color="000000"/>
              <w:left w:val="nil"/>
              <w:bottom w:val="single" w:sz="4" w:space="0" w:color="000000"/>
              <w:right w:val="nil"/>
            </w:tcBorders>
            <w:shd w:val="clear" w:color="auto" w:fill="auto"/>
          </w:tcPr>
          <w:p w14:paraId="7B1F1B50" w14:textId="31A320A5" w:rsidR="002D561D" w:rsidRPr="008A5C48" w:rsidRDefault="00376689" w:rsidP="0034607E">
            <w:pPr>
              <w:contextualSpacing/>
              <w:jc w:val="center"/>
              <w:rPr>
                <w:rFonts w:ascii="Times New Roman" w:eastAsia="Cambria Math" w:hAnsi="Times New Roman" w:cs="Times New Roman"/>
                <w:sz w:val="20"/>
                <w:szCs w:val="20"/>
              </w:rPr>
            </w:pPr>
            <m:oMathPara>
              <m:oMath>
                <m:r>
                  <w:rPr>
                    <w:rFonts w:ascii="Cambria Math" w:eastAsia="Cambria Math" w:hAnsi="Cambria Math" w:cs="Times New Roman"/>
                    <w:sz w:val="20"/>
                    <w:szCs w:val="20"/>
                  </w:rPr>
                  <m:t>log⁡(σ)</m:t>
                </m:r>
              </m:oMath>
            </m:oMathPara>
          </w:p>
          <w:p w14:paraId="7367D328"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Scale</w:t>
            </w:r>
          </w:p>
        </w:tc>
        <w:tc>
          <w:tcPr>
            <w:tcW w:w="1134" w:type="dxa"/>
            <w:tcBorders>
              <w:top w:val="single" w:sz="4" w:space="0" w:color="000000"/>
              <w:left w:val="nil"/>
              <w:bottom w:val="single" w:sz="4" w:space="0" w:color="000000"/>
              <w:right w:val="nil"/>
            </w:tcBorders>
            <w:shd w:val="clear" w:color="auto" w:fill="auto"/>
          </w:tcPr>
          <w:p w14:paraId="711C928D" w14:textId="52771B6A" w:rsidR="002D561D" w:rsidRPr="008A5C48" w:rsidRDefault="00376689" w:rsidP="0034607E">
            <w:pPr>
              <w:contextualSpacing/>
              <w:jc w:val="center"/>
              <w:rPr>
                <w:rFonts w:ascii="Times New Roman" w:eastAsia="Times New Roman" w:hAnsi="Times New Roman" w:cs="Times New Roman"/>
                <w:sz w:val="20"/>
                <w:szCs w:val="20"/>
              </w:rPr>
            </w:pPr>
            <m:oMathPara>
              <m:oMath>
                <m:r>
                  <w:rPr>
                    <w:rFonts w:ascii="Cambria Math" w:hAnsi="Cambria Math" w:cs="Times New Roman"/>
                    <w:sz w:val="20"/>
                    <w:szCs w:val="20"/>
                  </w:rPr>
                  <m:t>ν</m:t>
                </m:r>
              </m:oMath>
            </m:oMathPara>
          </w:p>
          <w:p w14:paraId="702F1026"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Skewness</w:t>
            </w:r>
          </w:p>
        </w:tc>
        <w:tc>
          <w:tcPr>
            <w:tcW w:w="992" w:type="dxa"/>
            <w:tcBorders>
              <w:top w:val="single" w:sz="4" w:space="0" w:color="000000"/>
              <w:left w:val="nil"/>
              <w:bottom w:val="single" w:sz="4" w:space="0" w:color="000000"/>
              <w:right w:val="nil"/>
            </w:tcBorders>
            <w:shd w:val="clear" w:color="auto" w:fill="auto"/>
          </w:tcPr>
          <w:p w14:paraId="588B756B" w14:textId="65736082" w:rsidR="002D561D" w:rsidRPr="008A5C48" w:rsidRDefault="00376689" w:rsidP="0034607E">
            <w:pPr>
              <w:contextualSpacing/>
              <w:jc w:val="center"/>
              <w:rPr>
                <w:rFonts w:ascii="Times New Roman" w:eastAsia="Cambria Math" w:hAnsi="Times New Roman" w:cs="Times New Roman"/>
                <w:sz w:val="20"/>
                <w:szCs w:val="20"/>
              </w:rPr>
            </w:pPr>
            <m:oMathPara>
              <m:oMath>
                <m:r>
                  <w:rPr>
                    <w:rFonts w:ascii="Cambria Math" w:eastAsia="Cambria Math" w:hAnsi="Cambria Math" w:cs="Times New Roman"/>
                    <w:sz w:val="20"/>
                    <w:szCs w:val="20"/>
                  </w:rPr>
                  <m:t>log⁡(τ)</m:t>
                </m:r>
              </m:oMath>
            </m:oMathPara>
          </w:p>
          <w:p w14:paraId="79246E32"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Kurtosis</w:t>
            </w:r>
          </w:p>
        </w:tc>
      </w:tr>
      <w:tr w:rsidR="002D561D" w:rsidRPr="008A5C48" w14:paraId="39BC40F3" w14:textId="77777777" w:rsidTr="0034607E">
        <w:trPr>
          <w:trHeight w:val="118"/>
        </w:trPr>
        <w:tc>
          <w:tcPr>
            <w:tcW w:w="1736" w:type="dxa"/>
            <w:tcBorders>
              <w:top w:val="nil"/>
              <w:left w:val="nil"/>
              <w:bottom w:val="nil"/>
              <w:right w:val="nil"/>
            </w:tcBorders>
            <w:shd w:val="clear" w:color="auto" w:fill="auto"/>
          </w:tcPr>
          <w:p w14:paraId="12501D9E"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ADHD</w:t>
            </w:r>
          </w:p>
        </w:tc>
        <w:tc>
          <w:tcPr>
            <w:tcW w:w="1383" w:type="dxa"/>
            <w:tcBorders>
              <w:top w:val="nil"/>
              <w:left w:val="nil"/>
              <w:bottom w:val="nil"/>
              <w:right w:val="nil"/>
            </w:tcBorders>
            <w:shd w:val="clear" w:color="auto" w:fill="auto"/>
          </w:tcPr>
          <w:p w14:paraId="268CFA49"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ZINBI</w:t>
            </w:r>
          </w:p>
        </w:tc>
        <w:tc>
          <w:tcPr>
            <w:tcW w:w="1134" w:type="dxa"/>
            <w:tcBorders>
              <w:top w:val="nil"/>
              <w:left w:val="nil"/>
              <w:bottom w:val="nil"/>
              <w:right w:val="nil"/>
            </w:tcBorders>
            <w:shd w:val="clear" w:color="auto" w:fill="auto"/>
          </w:tcPr>
          <w:p w14:paraId="096A8BBA"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Yes</w:t>
            </w:r>
          </w:p>
        </w:tc>
        <w:tc>
          <w:tcPr>
            <w:tcW w:w="1559" w:type="dxa"/>
            <w:tcBorders>
              <w:top w:val="nil"/>
              <w:left w:val="nil"/>
              <w:bottom w:val="nil"/>
              <w:right w:val="nil"/>
            </w:tcBorders>
            <w:shd w:val="clear" w:color="auto" w:fill="auto"/>
          </w:tcPr>
          <w:p w14:paraId="577F23CE" w14:textId="77777777" w:rsidR="002D561D" w:rsidRPr="008A5C48" w:rsidRDefault="002D561D" w:rsidP="0034607E">
            <w:pPr>
              <w:contextualSpacing/>
              <w:jc w:val="center"/>
              <w:rPr>
                <w:rFonts w:ascii="Times New Roman" w:eastAsia="Times New Roman" w:hAnsi="Times New Roman" w:cs="Times New Roman"/>
                <w:sz w:val="20"/>
                <w:szCs w:val="20"/>
              </w:rPr>
            </w:pPr>
            <m:oMath>
              <m:r>
                <w:rPr>
                  <w:rFonts w:ascii="Cambria Math" w:eastAsia="Cambria Math" w:hAnsi="Cambria Math" w:cs="Times New Roman"/>
                  <w:sz w:val="20"/>
                  <w:szCs w:val="20"/>
                </w:rPr>
                <m:t>log</m:t>
              </m:r>
              <m:r>
                <w:rPr>
                  <w:rFonts w:ascii="Cambria Math" w:hAnsi="Cambria Math" w:cs="Times New Roman"/>
                  <w:sz w:val="20"/>
                  <w:szCs w:val="20"/>
                </w:rPr>
                <m:t xml:space="preserve"> </m:t>
              </m:r>
              <m:d>
                <m:dPr>
                  <m:ctrlPr>
                    <w:rPr>
                      <w:rFonts w:ascii="Cambria Math" w:hAnsi="Cambria Math" w:cs="Times New Roman"/>
                      <w:sz w:val="20"/>
                      <w:szCs w:val="20"/>
                    </w:rPr>
                  </m:ctrlPr>
                </m:dPr>
                <m:e>
                  <m:r>
                    <w:rPr>
                      <w:rFonts w:ascii="Cambria Math" w:hAnsi="Cambria Math" w:cs="Times New Roman"/>
                      <w:sz w:val="20"/>
                      <w:szCs w:val="20"/>
                    </w:rPr>
                    <m:t>μ</m:t>
                  </m:r>
                </m:e>
              </m:d>
              <m:r>
                <w:rPr>
                  <w:rFonts w:ascii="Cambria Math" w:eastAsia="Cambria Math" w:hAnsi="Cambria Math" w:cs="Times New Roman"/>
                  <w:sz w:val="20"/>
                  <w:szCs w:val="20"/>
                </w:rPr>
                <m:t xml:space="preserve"> ~</m:t>
              </m:r>
              <m:r>
                <w:rPr>
                  <w:rFonts w:ascii="Cambria Math" w:hAnsi="Cambria Math" w:cs="Times New Roman"/>
                  <w:sz w:val="20"/>
                  <w:szCs w:val="20"/>
                </w:rPr>
                <m:t xml:space="preserve"> </m:t>
              </m:r>
            </m:oMath>
            <w:r w:rsidRPr="008A5C48">
              <w:rPr>
                <w:rFonts w:ascii="Times New Roman" w:eastAsia="Times New Roman" w:hAnsi="Times New Roman" w:cs="Times New Roman"/>
                <w:sz w:val="20"/>
                <w:szCs w:val="20"/>
              </w:rPr>
              <w:t xml:space="preserve"> age</w:t>
            </w:r>
          </w:p>
        </w:tc>
        <w:tc>
          <w:tcPr>
            <w:tcW w:w="851" w:type="dxa"/>
            <w:tcBorders>
              <w:top w:val="nil"/>
              <w:left w:val="nil"/>
              <w:bottom w:val="nil"/>
              <w:right w:val="nil"/>
            </w:tcBorders>
            <w:shd w:val="clear" w:color="auto" w:fill="auto"/>
          </w:tcPr>
          <w:p w14:paraId="438D6962"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1134" w:type="dxa"/>
            <w:tcBorders>
              <w:top w:val="nil"/>
              <w:left w:val="nil"/>
              <w:bottom w:val="nil"/>
              <w:right w:val="nil"/>
            </w:tcBorders>
            <w:shd w:val="clear" w:color="auto" w:fill="auto"/>
          </w:tcPr>
          <w:p w14:paraId="23109C63" w14:textId="77777777" w:rsidR="002D561D" w:rsidRPr="008A5C48" w:rsidRDefault="002D561D" w:rsidP="0034607E">
            <w:pPr>
              <w:contextualSpacing/>
              <w:jc w:val="center"/>
              <w:rPr>
                <w:rFonts w:ascii="Times New Roman" w:eastAsia="Times New Roman" w:hAnsi="Times New Roman" w:cs="Times New Roman"/>
                <w:sz w:val="20"/>
                <w:szCs w:val="20"/>
              </w:rPr>
            </w:pPr>
            <m:oMath>
              <m:r>
                <w:rPr>
                  <w:rFonts w:ascii="Cambria Math" w:hAnsi="Cambria Math" w:cs="Times New Roman"/>
                  <w:sz w:val="20"/>
                  <w:szCs w:val="20"/>
                </w:rPr>
                <m:t xml:space="preserve">ν </m:t>
              </m:r>
              <m:r>
                <w:rPr>
                  <w:rFonts w:ascii="Cambria Math" w:eastAsia="Cambria Math" w:hAnsi="Cambria Math" w:cs="Times New Roman"/>
                  <w:sz w:val="20"/>
                  <w:szCs w:val="20"/>
                </w:rPr>
                <m:t>~age</m:t>
              </m:r>
            </m:oMath>
            <w:r w:rsidRPr="008A5C48">
              <w:rPr>
                <w:rFonts w:ascii="Times New Roman" w:eastAsia="Times New Roman" w:hAnsi="Times New Roman" w:cs="Times New Roman"/>
                <w:sz w:val="20"/>
                <w:szCs w:val="20"/>
              </w:rPr>
              <w:t xml:space="preserve"> </w:t>
            </w:r>
          </w:p>
        </w:tc>
        <w:tc>
          <w:tcPr>
            <w:tcW w:w="992" w:type="dxa"/>
            <w:tcBorders>
              <w:top w:val="nil"/>
              <w:left w:val="nil"/>
              <w:bottom w:val="nil"/>
              <w:right w:val="nil"/>
            </w:tcBorders>
            <w:shd w:val="clear" w:color="auto" w:fill="auto"/>
          </w:tcPr>
          <w:p w14:paraId="4F4C35E4"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r>
      <w:tr w:rsidR="002D561D" w:rsidRPr="008A5C48" w14:paraId="7517B9BE" w14:textId="77777777" w:rsidTr="0034607E">
        <w:trPr>
          <w:trHeight w:val="118"/>
        </w:trPr>
        <w:tc>
          <w:tcPr>
            <w:tcW w:w="1736" w:type="dxa"/>
            <w:tcBorders>
              <w:top w:val="nil"/>
              <w:left w:val="nil"/>
              <w:bottom w:val="nil"/>
              <w:right w:val="nil"/>
            </w:tcBorders>
            <w:shd w:val="clear" w:color="auto" w:fill="auto"/>
          </w:tcPr>
          <w:p w14:paraId="06146AF2"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Internalizing</w:t>
            </w:r>
          </w:p>
        </w:tc>
        <w:tc>
          <w:tcPr>
            <w:tcW w:w="1383" w:type="dxa"/>
            <w:tcBorders>
              <w:top w:val="nil"/>
              <w:left w:val="nil"/>
              <w:bottom w:val="nil"/>
              <w:right w:val="nil"/>
            </w:tcBorders>
            <w:shd w:val="clear" w:color="auto" w:fill="auto"/>
          </w:tcPr>
          <w:p w14:paraId="58577006"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ZINBI</w:t>
            </w:r>
          </w:p>
        </w:tc>
        <w:tc>
          <w:tcPr>
            <w:tcW w:w="1134" w:type="dxa"/>
            <w:tcBorders>
              <w:top w:val="nil"/>
              <w:left w:val="nil"/>
              <w:bottom w:val="nil"/>
              <w:right w:val="nil"/>
            </w:tcBorders>
            <w:shd w:val="clear" w:color="auto" w:fill="auto"/>
          </w:tcPr>
          <w:p w14:paraId="2D71732B"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Yes</w:t>
            </w:r>
          </w:p>
        </w:tc>
        <w:tc>
          <w:tcPr>
            <w:tcW w:w="1559" w:type="dxa"/>
            <w:tcBorders>
              <w:top w:val="nil"/>
              <w:left w:val="nil"/>
              <w:bottom w:val="nil"/>
              <w:right w:val="nil"/>
            </w:tcBorders>
            <w:shd w:val="clear" w:color="auto" w:fill="auto"/>
          </w:tcPr>
          <w:p w14:paraId="745BFC0E" w14:textId="77777777" w:rsidR="002D561D" w:rsidRPr="008A5C48" w:rsidRDefault="002D561D" w:rsidP="0034607E">
            <w:pPr>
              <w:contextualSpacing/>
              <w:jc w:val="center"/>
              <w:rPr>
                <w:rFonts w:ascii="Times New Roman" w:eastAsia="Times New Roman" w:hAnsi="Times New Roman" w:cs="Times New Roman"/>
                <w:sz w:val="20"/>
                <w:szCs w:val="20"/>
              </w:rPr>
            </w:pPr>
            <m:oMath>
              <m:r>
                <w:rPr>
                  <w:rFonts w:ascii="Cambria Math" w:eastAsia="Cambria Math" w:hAnsi="Cambria Math" w:cs="Times New Roman"/>
                  <w:sz w:val="20"/>
                  <w:szCs w:val="20"/>
                </w:rPr>
                <m:t>log</m:t>
              </m:r>
              <m:r>
                <w:rPr>
                  <w:rFonts w:ascii="Cambria Math" w:hAnsi="Cambria Math" w:cs="Times New Roman"/>
                  <w:sz w:val="20"/>
                  <w:szCs w:val="20"/>
                </w:rPr>
                <m:t xml:space="preserve"> </m:t>
              </m:r>
              <m:d>
                <m:dPr>
                  <m:ctrlPr>
                    <w:rPr>
                      <w:rFonts w:ascii="Cambria Math" w:hAnsi="Cambria Math" w:cs="Times New Roman"/>
                      <w:sz w:val="20"/>
                      <w:szCs w:val="20"/>
                    </w:rPr>
                  </m:ctrlPr>
                </m:dPr>
                <m:e>
                  <m:r>
                    <w:rPr>
                      <w:rFonts w:ascii="Cambria Math" w:hAnsi="Cambria Math" w:cs="Times New Roman"/>
                      <w:sz w:val="20"/>
                      <w:szCs w:val="20"/>
                    </w:rPr>
                    <m:t>μ</m:t>
                  </m:r>
                </m:e>
              </m:d>
              <m:r>
                <w:rPr>
                  <w:rFonts w:ascii="Cambria Math" w:hAnsi="Cambria Math" w:cs="Times New Roman"/>
                  <w:sz w:val="20"/>
                  <w:szCs w:val="20"/>
                </w:rPr>
                <m:t xml:space="preserve"> </m:t>
              </m:r>
            </m:oMath>
            <w:r w:rsidRPr="008A5C48">
              <w:rPr>
                <w:rFonts w:ascii="Times New Roman" w:eastAsia="Times New Roman" w:hAnsi="Times New Roman" w:cs="Times New Roman"/>
                <w:sz w:val="20"/>
                <w:szCs w:val="20"/>
              </w:rPr>
              <w:t xml:space="preserve"> </w:t>
            </w:r>
            <m:oMath>
              <m:r>
                <w:rPr>
                  <w:rFonts w:ascii="Cambria Math" w:eastAsia="Cambria Math" w:hAnsi="Cambria Math" w:cs="Times New Roman"/>
                  <w:sz w:val="20"/>
                  <w:szCs w:val="20"/>
                </w:rPr>
                <m:t>~</m:t>
              </m:r>
            </m:oMath>
            <w:r w:rsidRPr="008A5C48">
              <w:rPr>
                <w:rFonts w:ascii="Times New Roman" w:eastAsia="Times New Roman" w:hAnsi="Times New Roman" w:cs="Times New Roman"/>
                <w:sz w:val="20"/>
                <w:szCs w:val="20"/>
              </w:rPr>
              <w:t xml:space="preserve"> age</w:t>
            </w:r>
          </w:p>
        </w:tc>
        <w:tc>
          <w:tcPr>
            <w:tcW w:w="851" w:type="dxa"/>
            <w:tcBorders>
              <w:top w:val="nil"/>
              <w:left w:val="nil"/>
              <w:bottom w:val="nil"/>
              <w:right w:val="nil"/>
            </w:tcBorders>
            <w:shd w:val="clear" w:color="auto" w:fill="auto"/>
          </w:tcPr>
          <w:p w14:paraId="07E19136"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1134" w:type="dxa"/>
            <w:tcBorders>
              <w:top w:val="nil"/>
              <w:left w:val="nil"/>
              <w:bottom w:val="nil"/>
              <w:right w:val="nil"/>
            </w:tcBorders>
            <w:shd w:val="clear" w:color="auto" w:fill="auto"/>
          </w:tcPr>
          <w:p w14:paraId="738C7C49" w14:textId="77777777" w:rsidR="002D561D" w:rsidRPr="008A5C48" w:rsidRDefault="002D561D" w:rsidP="0034607E">
            <w:pPr>
              <w:contextualSpacing/>
              <w:jc w:val="center"/>
              <w:rPr>
                <w:rFonts w:ascii="Times New Roman" w:eastAsia="Times New Roman" w:hAnsi="Times New Roman" w:cs="Times New Roman"/>
                <w:sz w:val="20"/>
                <w:szCs w:val="20"/>
              </w:rPr>
            </w:pPr>
            <m:oMath>
              <m:r>
                <w:rPr>
                  <w:rFonts w:ascii="Cambria Math" w:hAnsi="Cambria Math" w:cs="Times New Roman"/>
                  <w:sz w:val="20"/>
                  <w:szCs w:val="20"/>
                </w:rPr>
                <m:t xml:space="preserve">ν </m:t>
              </m:r>
              <m:r>
                <w:rPr>
                  <w:rFonts w:ascii="Cambria Math" w:eastAsia="Cambria Math" w:hAnsi="Cambria Math" w:cs="Times New Roman"/>
                  <w:sz w:val="20"/>
                  <w:szCs w:val="20"/>
                </w:rPr>
                <m:t>~age</m:t>
              </m:r>
            </m:oMath>
            <w:r w:rsidRPr="008A5C48">
              <w:rPr>
                <w:rFonts w:ascii="Times New Roman" w:eastAsia="Times New Roman" w:hAnsi="Times New Roman" w:cs="Times New Roman"/>
                <w:sz w:val="20"/>
                <w:szCs w:val="20"/>
              </w:rPr>
              <w:t xml:space="preserve"> </w:t>
            </w:r>
          </w:p>
        </w:tc>
        <w:tc>
          <w:tcPr>
            <w:tcW w:w="992" w:type="dxa"/>
            <w:tcBorders>
              <w:top w:val="nil"/>
              <w:left w:val="nil"/>
              <w:bottom w:val="nil"/>
              <w:right w:val="nil"/>
            </w:tcBorders>
            <w:shd w:val="clear" w:color="auto" w:fill="auto"/>
          </w:tcPr>
          <w:p w14:paraId="6F88FB25"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r>
      <w:tr w:rsidR="002D561D" w:rsidRPr="008A5C48" w14:paraId="484190D7" w14:textId="77777777" w:rsidTr="0034607E">
        <w:trPr>
          <w:trHeight w:val="118"/>
        </w:trPr>
        <w:tc>
          <w:tcPr>
            <w:tcW w:w="1736" w:type="dxa"/>
            <w:tcBorders>
              <w:top w:val="nil"/>
              <w:left w:val="nil"/>
              <w:bottom w:val="nil"/>
              <w:right w:val="nil"/>
            </w:tcBorders>
            <w:shd w:val="clear" w:color="auto" w:fill="auto"/>
          </w:tcPr>
          <w:p w14:paraId="2A3D9F3E"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Externalizing</w:t>
            </w:r>
          </w:p>
        </w:tc>
        <w:tc>
          <w:tcPr>
            <w:tcW w:w="1383" w:type="dxa"/>
            <w:tcBorders>
              <w:top w:val="nil"/>
              <w:left w:val="nil"/>
              <w:bottom w:val="nil"/>
              <w:right w:val="nil"/>
            </w:tcBorders>
            <w:shd w:val="clear" w:color="auto" w:fill="auto"/>
          </w:tcPr>
          <w:p w14:paraId="1912D2AF"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ZINBI</w:t>
            </w:r>
          </w:p>
        </w:tc>
        <w:tc>
          <w:tcPr>
            <w:tcW w:w="1134" w:type="dxa"/>
            <w:tcBorders>
              <w:top w:val="nil"/>
              <w:left w:val="nil"/>
              <w:bottom w:val="nil"/>
              <w:right w:val="nil"/>
            </w:tcBorders>
            <w:shd w:val="clear" w:color="auto" w:fill="auto"/>
          </w:tcPr>
          <w:p w14:paraId="02295028"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Yes</w:t>
            </w:r>
          </w:p>
        </w:tc>
        <w:tc>
          <w:tcPr>
            <w:tcW w:w="1559" w:type="dxa"/>
            <w:tcBorders>
              <w:top w:val="nil"/>
              <w:left w:val="nil"/>
              <w:bottom w:val="nil"/>
              <w:right w:val="nil"/>
            </w:tcBorders>
            <w:shd w:val="clear" w:color="auto" w:fill="auto"/>
          </w:tcPr>
          <w:p w14:paraId="05F4B413" w14:textId="77777777" w:rsidR="002D561D" w:rsidRPr="008A5C48" w:rsidRDefault="002D561D" w:rsidP="0034607E">
            <w:pPr>
              <w:contextualSpacing/>
              <w:jc w:val="center"/>
              <w:rPr>
                <w:rFonts w:ascii="Times New Roman" w:eastAsia="Times New Roman" w:hAnsi="Times New Roman" w:cs="Times New Roman"/>
                <w:sz w:val="20"/>
                <w:szCs w:val="20"/>
              </w:rPr>
            </w:pPr>
            <m:oMath>
              <m:r>
                <w:rPr>
                  <w:rFonts w:ascii="Cambria Math" w:eastAsia="Cambria Math" w:hAnsi="Cambria Math" w:cs="Times New Roman"/>
                  <w:sz w:val="20"/>
                  <w:szCs w:val="20"/>
                </w:rPr>
                <m:t>log</m:t>
              </m:r>
              <m:r>
                <w:rPr>
                  <w:rFonts w:ascii="Cambria Math" w:hAnsi="Cambria Math" w:cs="Times New Roman"/>
                  <w:sz w:val="20"/>
                  <w:szCs w:val="20"/>
                </w:rPr>
                <m:t xml:space="preserve"> </m:t>
              </m:r>
              <m:d>
                <m:dPr>
                  <m:ctrlPr>
                    <w:rPr>
                      <w:rFonts w:ascii="Cambria Math" w:hAnsi="Cambria Math" w:cs="Times New Roman"/>
                      <w:sz w:val="20"/>
                      <w:szCs w:val="20"/>
                    </w:rPr>
                  </m:ctrlPr>
                </m:dPr>
                <m:e>
                  <m:r>
                    <w:rPr>
                      <w:rFonts w:ascii="Cambria Math" w:hAnsi="Cambria Math" w:cs="Times New Roman"/>
                      <w:sz w:val="20"/>
                      <w:szCs w:val="20"/>
                    </w:rPr>
                    <m:t>μ</m:t>
                  </m:r>
                </m:e>
              </m:d>
              <m:r>
                <w:rPr>
                  <w:rFonts w:ascii="Cambria Math" w:hAnsi="Cambria Math" w:cs="Times New Roman"/>
                  <w:sz w:val="20"/>
                  <w:szCs w:val="20"/>
                </w:rPr>
                <m:t xml:space="preserve"> </m:t>
              </m:r>
            </m:oMath>
            <w:r w:rsidRPr="008A5C48">
              <w:rPr>
                <w:rFonts w:ascii="Times New Roman" w:eastAsia="Times New Roman" w:hAnsi="Times New Roman" w:cs="Times New Roman"/>
                <w:sz w:val="20"/>
                <w:szCs w:val="20"/>
              </w:rPr>
              <w:t xml:space="preserve"> </w:t>
            </w:r>
            <m:oMath>
              <m:r>
                <w:rPr>
                  <w:rFonts w:ascii="Cambria Math" w:eastAsia="Cambria Math" w:hAnsi="Cambria Math" w:cs="Times New Roman"/>
                  <w:sz w:val="20"/>
                  <w:szCs w:val="20"/>
                </w:rPr>
                <m:t xml:space="preserve"> ~</m:t>
              </m:r>
            </m:oMath>
            <w:r w:rsidRPr="008A5C48">
              <w:rPr>
                <w:rFonts w:ascii="Times New Roman" w:eastAsia="Times New Roman" w:hAnsi="Times New Roman" w:cs="Times New Roman"/>
                <w:sz w:val="20"/>
                <w:szCs w:val="20"/>
              </w:rPr>
              <w:t xml:space="preserve"> age</w:t>
            </w:r>
          </w:p>
        </w:tc>
        <w:tc>
          <w:tcPr>
            <w:tcW w:w="851" w:type="dxa"/>
            <w:tcBorders>
              <w:top w:val="nil"/>
              <w:left w:val="nil"/>
              <w:bottom w:val="nil"/>
              <w:right w:val="nil"/>
            </w:tcBorders>
            <w:shd w:val="clear" w:color="auto" w:fill="auto"/>
          </w:tcPr>
          <w:p w14:paraId="17ACF075"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1134" w:type="dxa"/>
            <w:tcBorders>
              <w:top w:val="nil"/>
              <w:left w:val="nil"/>
              <w:bottom w:val="nil"/>
              <w:right w:val="nil"/>
            </w:tcBorders>
            <w:shd w:val="clear" w:color="auto" w:fill="auto"/>
          </w:tcPr>
          <w:p w14:paraId="609181C6" w14:textId="77777777" w:rsidR="002D561D" w:rsidRPr="008A5C48" w:rsidRDefault="002D561D" w:rsidP="0034607E">
            <w:pPr>
              <w:contextualSpacing/>
              <w:jc w:val="center"/>
              <w:rPr>
                <w:rFonts w:ascii="Times New Roman" w:eastAsia="Times New Roman" w:hAnsi="Times New Roman" w:cs="Times New Roman"/>
                <w:sz w:val="20"/>
                <w:szCs w:val="20"/>
              </w:rPr>
            </w:pPr>
            <m:oMath>
              <m:r>
                <w:rPr>
                  <w:rFonts w:ascii="Cambria Math" w:hAnsi="Cambria Math" w:cs="Times New Roman"/>
                  <w:sz w:val="20"/>
                  <w:szCs w:val="20"/>
                </w:rPr>
                <m:t xml:space="preserve">ν </m:t>
              </m:r>
              <m:r>
                <w:rPr>
                  <w:rFonts w:ascii="Cambria Math" w:eastAsia="Cambria Math" w:hAnsi="Cambria Math" w:cs="Times New Roman"/>
                  <w:sz w:val="20"/>
                  <w:szCs w:val="20"/>
                </w:rPr>
                <m:t>~age</m:t>
              </m:r>
            </m:oMath>
            <w:r w:rsidRPr="008A5C48">
              <w:rPr>
                <w:rFonts w:ascii="Times New Roman" w:eastAsia="Times New Roman" w:hAnsi="Times New Roman" w:cs="Times New Roman"/>
                <w:sz w:val="20"/>
                <w:szCs w:val="20"/>
              </w:rPr>
              <w:t xml:space="preserve"> </w:t>
            </w:r>
          </w:p>
        </w:tc>
        <w:tc>
          <w:tcPr>
            <w:tcW w:w="992" w:type="dxa"/>
            <w:tcBorders>
              <w:top w:val="nil"/>
              <w:left w:val="nil"/>
              <w:bottom w:val="nil"/>
              <w:right w:val="nil"/>
            </w:tcBorders>
            <w:shd w:val="clear" w:color="auto" w:fill="auto"/>
          </w:tcPr>
          <w:p w14:paraId="492C6C3F"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r>
      <w:tr w:rsidR="002D561D" w:rsidRPr="008A5C48" w14:paraId="652D3E83" w14:textId="77777777" w:rsidTr="0034607E">
        <w:trPr>
          <w:trHeight w:val="118"/>
        </w:trPr>
        <w:tc>
          <w:tcPr>
            <w:tcW w:w="1736" w:type="dxa"/>
            <w:tcBorders>
              <w:top w:val="nil"/>
              <w:left w:val="nil"/>
              <w:bottom w:val="single" w:sz="4" w:space="0" w:color="000000"/>
              <w:right w:val="nil"/>
            </w:tcBorders>
            <w:shd w:val="clear" w:color="auto" w:fill="auto"/>
          </w:tcPr>
          <w:p w14:paraId="165E6DC9"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Fluid intelligence</w:t>
            </w:r>
          </w:p>
        </w:tc>
        <w:tc>
          <w:tcPr>
            <w:tcW w:w="1383" w:type="dxa"/>
            <w:tcBorders>
              <w:top w:val="nil"/>
              <w:left w:val="nil"/>
              <w:bottom w:val="single" w:sz="4" w:space="0" w:color="000000"/>
              <w:right w:val="nil"/>
            </w:tcBorders>
            <w:shd w:val="clear" w:color="auto" w:fill="auto"/>
          </w:tcPr>
          <w:p w14:paraId="3FA67E27" w14:textId="77777777" w:rsidR="002D561D" w:rsidRPr="008A5C48" w:rsidRDefault="002D561D" w:rsidP="0034607E">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BCPE</w:t>
            </w:r>
          </w:p>
        </w:tc>
        <w:tc>
          <w:tcPr>
            <w:tcW w:w="1134" w:type="dxa"/>
            <w:tcBorders>
              <w:top w:val="nil"/>
              <w:left w:val="nil"/>
              <w:bottom w:val="single" w:sz="4" w:space="0" w:color="000000"/>
              <w:right w:val="nil"/>
            </w:tcBorders>
            <w:shd w:val="clear" w:color="auto" w:fill="auto"/>
          </w:tcPr>
          <w:p w14:paraId="7142789B"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Yes</w:t>
            </w:r>
          </w:p>
        </w:tc>
        <w:tc>
          <w:tcPr>
            <w:tcW w:w="1559" w:type="dxa"/>
            <w:tcBorders>
              <w:top w:val="nil"/>
              <w:left w:val="nil"/>
              <w:bottom w:val="single" w:sz="4" w:space="0" w:color="000000"/>
              <w:right w:val="nil"/>
            </w:tcBorders>
            <w:shd w:val="clear" w:color="auto" w:fill="auto"/>
          </w:tcPr>
          <w:p w14:paraId="1E19B55E"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851" w:type="dxa"/>
            <w:tcBorders>
              <w:top w:val="nil"/>
              <w:left w:val="nil"/>
              <w:bottom w:val="single" w:sz="4" w:space="0" w:color="000000"/>
              <w:right w:val="nil"/>
            </w:tcBorders>
            <w:shd w:val="clear" w:color="auto" w:fill="auto"/>
          </w:tcPr>
          <w:p w14:paraId="5B4F8FB8"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1134" w:type="dxa"/>
            <w:tcBorders>
              <w:top w:val="nil"/>
              <w:left w:val="nil"/>
              <w:bottom w:val="single" w:sz="4" w:space="0" w:color="000000"/>
              <w:right w:val="nil"/>
            </w:tcBorders>
            <w:shd w:val="clear" w:color="auto" w:fill="auto"/>
          </w:tcPr>
          <w:p w14:paraId="16496501"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c>
          <w:tcPr>
            <w:tcW w:w="992" w:type="dxa"/>
            <w:tcBorders>
              <w:top w:val="nil"/>
              <w:left w:val="nil"/>
              <w:bottom w:val="single" w:sz="4" w:space="0" w:color="000000"/>
              <w:right w:val="nil"/>
            </w:tcBorders>
            <w:shd w:val="clear" w:color="auto" w:fill="auto"/>
          </w:tcPr>
          <w:p w14:paraId="18B4A511" w14:textId="77777777" w:rsidR="002D561D" w:rsidRPr="008A5C48" w:rsidRDefault="002D561D" w:rsidP="0034607E">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age</w:t>
            </w:r>
          </w:p>
        </w:tc>
      </w:tr>
    </w:tbl>
    <w:p w14:paraId="13C4106B" w14:textId="24CF4CFF" w:rsidR="002D561D" w:rsidRDefault="002D561D" w:rsidP="002D561D">
      <w:pPr>
        <w:spacing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u w:val="single"/>
        </w:rPr>
        <w:br/>
        <w:t xml:space="preserve">Method: </w:t>
      </w:r>
      <w:r w:rsidRPr="008A5C48">
        <w:rPr>
          <w:rFonts w:ascii="Times New Roman" w:eastAsia="Times New Roman" w:hAnsi="Times New Roman" w:cs="Times New Roman"/>
          <w:sz w:val="20"/>
          <w:szCs w:val="20"/>
        </w:rPr>
        <w:t xml:space="preserve">for each health outcome, a distribution is chosen among the one proposed by the package GAMLSS (Box-Cox, Weibull, binomial etc), and its parameters (location, scale, skewness, kurtosis) are additive functions of the covariates. The best distribution was chosen by minimizing the AIC (see the distribution chosen in this table). The estimation of the parameters and the creation of the z-scores are done via the package GAMLSS in R. </w:t>
      </w:r>
      <w:r w:rsidRPr="008A5C48">
        <w:rPr>
          <w:rFonts w:ascii="Times New Roman" w:eastAsia="Times New Roman" w:hAnsi="Times New Roman" w:cs="Times New Roman"/>
          <w:sz w:val="20"/>
          <w:szCs w:val="20"/>
          <w:u w:val="single"/>
        </w:rPr>
        <w:t>Acronyms</w:t>
      </w:r>
      <w:r w:rsidRPr="008A5C48">
        <w:rPr>
          <w:rFonts w:ascii="Times New Roman" w:eastAsia="Times New Roman" w:hAnsi="Times New Roman" w:cs="Times New Roman"/>
          <w:sz w:val="20"/>
          <w:szCs w:val="20"/>
        </w:rPr>
        <w:t xml:space="preserve">: ZINBI=Zero-Inflated Negative Binomial, BCPE=Box-Cox Power Exponential. </w:t>
      </w:r>
    </w:p>
    <w:p w14:paraId="3FC9A94B" w14:textId="383E296E" w:rsidR="00D50EB9" w:rsidRDefault="00D50EB9" w:rsidP="002D561D">
      <w:pPr>
        <w:spacing w:line="240" w:lineRule="auto"/>
        <w:contextualSpacing/>
        <w:jc w:val="both"/>
        <w:rPr>
          <w:rFonts w:ascii="Times New Roman" w:eastAsia="Times New Roman" w:hAnsi="Times New Roman" w:cs="Times New Roman"/>
          <w:sz w:val="20"/>
          <w:szCs w:val="20"/>
        </w:rPr>
      </w:pPr>
    </w:p>
    <w:p w14:paraId="29A2D081" w14:textId="77777777" w:rsidR="00D50EB9" w:rsidRDefault="00D50EB9">
      <w:pPr>
        <w:rPr>
          <w:rFonts w:ascii="Times New Roman" w:eastAsia="Times New Roman" w:hAnsi="Times New Roman" w:cs="Times New Roman"/>
          <w:b/>
          <w:bCs/>
        </w:rPr>
      </w:pPr>
      <w:r>
        <w:rPr>
          <w:rFonts w:eastAsia="Times New Roman"/>
        </w:rPr>
        <w:br w:type="page"/>
      </w:r>
    </w:p>
    <w:p w14:paraId="136988DB" w14:textId="36DA61F7" w:rsidR="006D6454" w:rsidRPr="001E4B45" w:rsidRDefault="006D6454" w:rsidP="006D6454">
      <w:pPr>
        <w:pStyle w:val="Titre1"/>
        <w:rPr>
          <w:rFonts w:eastAsia="Times New Roman"/>
          <w:b w:val="0"/>
          <w:bCs w:val="0"/>
        </w:rPr>
      </w:pPr>
      <w:bookmarkStart w:id="64" w:name="_Toc127358159"/>
      <w:bookmarkStart w:id="65" w:name="_Toc132271589"/>
      <w:bookmarkStart w:id="66" w:name="_Hlk127367182"/>
      <w:bookmarkStart w:id="67" w:name="_Hlk127367127"/>
      <w:proofErr w:type="spellStart"/>
      <w:r w:rsidRPr="008A5C48">
        <w:rPr>
          <w:rFonts w:eastAsia="Times New Roman"/>
        </w:rPr>
        <w:lastRenderedPageBreak/>
        <w:t>eTable</w:t>
      </w:r>
      <w:proofErr w:type="spellEnd"/>
      <w:r>
        <w:rPr>
          <w:rFonts w:eastAsia="Times New Roman"/>
        </w:rPr>
        <w:t xml:space="preserve"> 7.</w:t>
      </w:r>
      <w:r w:rsidRPr="008A5C48">
        <w:rPr>
          <w:rFonts w:eastAsia="Times New Roman"/>
        </w:rPr>
        <w:t xml:space="preserve"> </w:t>
      </w:r>
      <w:r w:rsidRPr="001E4B45">
        <w:rPr>
          <w:rFonts w:eastAsia="Times New Roman"/>
          <w:b w:val="0"/>
          <w:bCs w:val="0"/>
        </w:rPr>
        <w:t xml:space="preserve">Factor analysis on </w:t>
      </w:r>
      <w:r>
        <w:rPr>
          <w:rFonts w:eastAsia="Times New Roman"/>
          <w:b w:val="0"/>
          <w:bCs w:val="0"/>
        </w:rPr>
        <w:t>respiratory and allergy-related</w:t>
      </w:r>
      <w:r w:rsidRPr="001E4B45">
        <w:rPr>
          <w:rFonts w:eastAsia="Times New Roman"/>
          <w:b w:val="0"/>
          <w:bCs w:val="0"/>
        </w:rPr>
        <w:t xml:space="preserve"> parameters – Dimension </w:t>
      </w:r>
      <w:bookmarkEnd w:id="64"/>
      <w:r>
        <w:rPr>
          <w:rFonts w:eastAsia="Times New Roman"/>
          <w:b w:val="0"/>
          <w:bCs w:val="0"/>
        </w:rPr>
        <w:t>1</w:t>
      </w:r>
      <w:bookmarkEnd w:id="65"/>
    </w:p>
    <w:bookmarkEnd w:id="66"/>
    <w:p w14:paraId="52B40456" w14:textId="77777777" w:rsidR="006D6454" w:rsidRPr="002D5EF6" w:rsidRDefault="006D6454" w:rsidP="006D6454"/>
    <w:tbl>
      <w:tblPr>
        <w:tblStyle w:val="af"/>
        <w:tblW w:w="5478" w:type="dxa"/>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00" w:firstRow="0" w:lastRow="0" w:firstColumn="0" w:lastColumn="0" w:noHBand="0" w:noVBand="1"/>
      </w:tblPr>
      <w:tblGrid>
        <w:gridCol w:w="1897"/>
        <w:gridCol w:w="1375"/>
        <w:gridCol w:w="1453"/>
        <w:gridCol w:w="753"/>
      </w:tblGrid>
      <w:tr w:rsidR="006D6454" w:rsidRPr="008A5C48" w14:paraId="695A4A3D" w14:textId="77777777" w:rsidTr="005C4952">
        <w:trPr>
          <w:trHeight w:val="238"/>
        </w:trPr>
        <w:tc>
          <w:tcPr>
            <w:tcW w:w="1897" w:type="dxa"/>
            <w:tcBorders>
              <w:top w:val="single" w:sz="4" w:space="0" w:color="000000"/>
              <w:left w:val="nil"/>
              <w:bottom w:val="single" w:sz="4" w:space="0" w:color="000000"/>
              <w:right w:val="nil"/>
            </w:tcBorders>
            <w:shd w:val="clear" w:color="auto" w:fill="auto"/>
          </w:tcPr>
          <w:p w14:paraId="5F173BB8" w14:textId="77777777" w:rsidR="006D6454" w:rsidRPr="008A5C48" w:rsidRDefault="006D6454" w:rsidP="005C4952">
            <w:pPr>
              <w:contextualSpacing/>
              <w:rPr>
                <w:rFonts w:ascii="Times New Roman" w:eastAsia="Times New Roman" w:hAnsi="Times New Roman" w:cs="Times New Roman"/>
                <w:b/>
                <w:sz w:val="20"/>
                <w:szCs w:val="20"/>
              </w:rPr>
            </w:pPr>
          </w:p>
        </w:tc>
        <w:tc>
          <w:tcPr>
            <w:tcW w:w="1375" w:type="dxa"/>
            <w:tcBorders>
              <w:top w:val="single" w:sz="4" w:space="0" w:color="000000"/>
              <w:left w:val="nil"/>
              <w:bottom w:val="single" w:sz="4" w:space="0" w:color="000000"/>
              <w:right w:val="nil"/>
            </w:tcBorders>
            <w:shd w:val="clear" w:color="auto" w:fill="auto"/>
          </w:tcPr>
          <w:p w14:paraId="195AF1F0" w14:textId="77777777" w:rsidR="006D6454" w:rsidRPr="008A5C48" w:rsidRDefault="006D6454" w:rsidP="005C4952">
            <w:pPr>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Coordinates</w:t>
            </w:r>
          </w:p>
        </w:tc>
        <w:tc>
          <w:tcPr>
            <w:tcW w:w="1453" w:type="dxa"/>
            <w:tcBorders>
              <w:top w:val="single" w:sz="4" w:space="0" w:color="000000"/>
              <w:left w:val="nil"/>
              <w:bottom w:val="single" w:sz="4" w:space="0" w:color="000000"/>
              <w:right w:val="nil"/>
            </w:tcBorders>
            <w:shd w:val="clear" w:color="auto" w:fill="auto"/>
          </w:tcPr>
          <w:p w14:paraId="510053D6" w14:textId="77777777" w:rsidR="006D6454" w:rsidRPr="008A5C48" w:rsidRDefault="006D6454" w:rsidP="005C4952">
            <w:pPr>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Contribution</w:t>
            </w:r>
          </w:p>
        </w:tc>
        <w:tc>
          <w:tcPr>
            <w:tcW w:w="753" w:type="dxa"/>
            <w:tcBorders>
              <w:top w:val="single" w:sz="4" w:space="0" w:color="000000"/>
              <w:left w:val="nil"/>
              <w:bottom w:val="single" w:sz="4" w:space="0" w:color="000000"/>
              <w:right w:val="nil"/>
            </w:tcBorders>
            <w:shd w:val="clear" w:color="auto" w:fill="auto"/>
          </w:tcPr>
          <w:p w14:paraId="149D15CE" w14:textId="77777777" w:rsidR="006D6454" w:rsidRPr="008A5C48" w:rsidRDefault="006D6454" w:rsidP="005C4952">
            <w:pPr>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Cos2</w:t>
            </w:r>
          </w:p>
        </w:tc>
      </w:tr>
      <w:tr w:rsidR="006D6454" w:rsidRPr="008A5C48" w14:paraId="5E282F70" w14:textId="77777777" w:rsidTr="005C4952">
        <w:trPr>
          <w:trHeight w:val="118"/>
        </w:trPr>
        <w:tc>
          <w:tcPr>
            <w:tcW w:w="1897" w:type="dxa"/>
            <w:tcBorders>
              <w:top w:val="nil"/>
              <w:left w:val="nil"/>
              <w:bottom w:val="nil"/>
              <w:right w:val="nil"/>
            </w:tcBorders>
            <w:shd w:val="clear" w:color="auto" w:fill="auto"/>
          </w:tcPr>
          <w:p w14:paraId="47DEEE29"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FEV-1 % pred</w:t>
            </w:r>
          </w:p>
        </w:tc>
        <w:tc>
          <w:tcPr>
            <w:tcW w:w="1375" w:type="dxa"/>
            <w:tcBorders>
              <w:top w:val="nil"/>
              <w:left w:val="nil"/>
              <w:bottom w:val="nil"/>
              <w:right w:val="nil"/>
            </w:tcBorders>
            <w:shd w:val="clear" w:color="auto" w:fill="auto"/>
          </w:tcPr>
          <w:p w14:paraId="4E63793B"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0.88</w:t>
            </w:r>
          </w:p>
        </w:tc>
        <w:tc>
          <w:tcPr>
            <w:tcW w:w="1453" w:type="dxa"/>
            <w:tcBorders>
              <w:top w:val="nil"/>
              <w:left w:val="nil"/>
              <w:bottom w:val="nil"/>
              <w:right w:val="nil"/>
            </w:tcBorders>
            <w:shd w:val="clear" w:color="auto" w:fill="auto"/>
          </w:tcPr>
          <w:p w14:paraId="592E9A35"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73.77</w:t>
            </w:r>
          </w:p>
        </w:tc>
        <w:tc>
          <w:tcPr>
            <w:tcW w:w="753" w:type="dxa"/>
            <w:tcBorders>
              <w:top w:val="nil"/>
              <w:left w:val="nil"/>
              <w:bottom w:val="nil"/>
              <w:right w:val="nil"/>
            </w:tcBorders>
            <w:shd w:val="clear" w:color="auto" w:fill="auto"/>
          </w:tcPr>
          <w:p w14:paraId="6BDED1EC"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0.77</w:t>
            </w:r>
          </w:p>
        </w:tc>
      </w:tr>
      <w:tr w:rsidR="006D6454" w:rsidRPr="008A5C48" w14:paraId="3437AA88" w14:textId="77777777" w:rsidTr="005C4952">
        <w:trPr>
          <w:trHeight w:val="118"/>
        </w:trPr>
        <w:tc>
          <w:tcPr>
            <w:tcW w:w="1897" w:type="dxa"/>
            <w:tcBorders>
              <w:top w:val="nil"/>
              <w:left w:val="nil"/>
              <w:bottom w:val="nil"/>
              <w:right w:val="nil"/>
            </w:tcBorders>
            <w:shd w:val="clear" w:color="auto" w:fill="auto"/>
          </w:tcPr>
          <w:p w14:paraId="46B0BA52"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Asthma (no)</w:t>
            </w:r>
          </w:p>
        </w:tc>
        <w:tc>
          <w:tcPr>
            <w:tcW w:w="1375" w:type="dxa"/>
            <w:tcBorders>
              <w:top w:val="nil"/>
              <w:left w:val="nil"/>
              <w:bottom w:val="nil"/>
              <w:right w:val="nil"/>
            </w:tcBorders>
            <w:shd w:val="clear" w:color="auto" w:fill="auto"/>
          </w:tcPr>
          <w:p w14:paraId="04E8C571"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0.19</w:t>
            </w:r>
          </w:p>
        </w:tc>
        <w:tc>
          <w:tcPr>
            <w:tcW w:w="1453" w:type="dxa"/>
            <w:tcBorders>
              <w:top w:val="nil"/>
              <w:left w:val="nil"/>
              <w:bottom w:val="nil"/>
              <w:right w:val="nil"/>
            </w:tcBorders>
            <w:shd w:val="clear" w:color="auto" w:fill="auto"/>
          </w:tcPr>
          <w:p w14:paraId="70EB37DF"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1.83</w:t>
            </w:r>
          </w:p>
        </w:tc>
        <w:tc>
          <w:tcPr>
            <w:tcW w:w="753" w:type="dxa"/>
            <w:tcBorders>
              <w:top w:val="nil"/>
              <w:left w:val="nil"/>
              <w:bottom w:val="nil"/>
              <w:right w:val="nil"/>
            </w:tcBorders>
            <w:shd w:val="clear" w:color="auto" w:fill="auto"/>
          </w:tcPr>
          <w:p w14:paraId="0ACB4C38"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0.34</w:t>
            </w:r>
          </w:p>
        </w:tc>
      </w:tr>
      <w:tr w:rsidR="006D6454" w:rsidRPr="008A5C48" w14:paraId="162F3E06" w14:textId="77777777" w:rsidTr="005C4952">
        <w:trPr>
          <w:trHeight w:val="118"/>
        </w:trPr>
        <w:tc>
          <w:tcPr>
            <w:tcW w:w="1897" w:type="dxa"/>
            <w:tcBorders>
              <w:top w:val="nil"/>
              <w:left w:val="nil"/>
              <w:bottom w:val="nil"/>
              <w:right w:val="nil"/>
            </w:tcBorders>
            <w:shd w:val="clear" w:color="auto" w:fill="auto"/>
          </w:tcPr>
          <w:p w14:paraId="5695E0FF"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Asthma (yes)</w:t>
            </w:r>
          </w:p>
        </w:tc>
        <w:tc>
          <w:tcPr>
            <w:tcW w:w="1375" w:type="dxa"/>
            <w:tcBorders>
              <w:top w:val="nil"/>
              <w:left w:val="nil"/>
              <w:bottom w:val="nil"/>
              <w:right w:val="nil"/>
            </w:tcBorders>
            <w:shd w:val="clear" w:color="auto" w:fill="auto"/>
          </w:tcPr>
          <w:p w14:paraId="4EE57C50"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-1.34</w:t>
            </w:r>
          </w:p>
        </w:tc>
        <w:tc>
          <w:tcPr>
            <w:tcW w:w="1453" w:type="dxa"/>
            <w:tcBorders>
              <w:top w:val="nil"/>
              <w:left w:val="nil"/>
              <w:bottom w:val="nil"/>
              <w:right w:val="nil"/>
            </w:tcBorders>
            <w:shd w:val="clear" w:color="auto" w:fill="auto"/>
          </w:tcPr>
          <w:p w14:paraId="54DEF58F"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13.17</w:t>
            </w:r>
          </w:p>
        </w:tc>
        <w:tc>
          <w:tcPr>
            <w:tcW w:w="753" w:type="dxa"/>
            <w:tcBorders>
              <w:top w:val="nil"/>
              <w:left w:val="nil"/>
              <w:bottom w:val="nil"/>
              <w:right w:val="nil"/>
            </w:tcBorders>
            <w:shd w:val="clear" w:color="auto" w:fill="auto"/>
          </w:tcPr>
          <w:p w14:paraId="087F4964"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0.34</w:t>
            </w:r>
          </w:p>
        </w:tc>
      </w:tr>
      <w:tr w:rsidR="006D6454" w:rsidRPr="008A5C48" w14:paraId="0CFD5C37" w14:textId="77777777" w:rsidTr="005C4952">
        <w:trPr>
          <w:trHeight w:val="118"/>
        </w:trPr>
        <w:tc>
          <w:tcPr>
            <w:tcW w:w="1897" w:type="dxa"/>
            <w:tcBorders>
              <w:top w:val="nil"/>
              <w:left w:val="nil"/>
              <w:bottom w:val="nil"/>
              <w:right w:val="nil"/>
            </w:tcBorders>
            <w:shd w:val="clear" w:color="auto" w:fill="auto"/>
          </w:tcPr>
          <w:p w14:paraId="2D6B249A"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Rhinitis (no)</w:t>
            </w:r>
          </w:p>
        </w:tc>
        <w:tc>
          <w:tcPr>
            <w:tcW w:w="1375" w:type="dxa"/>
            <w:tcBorders>
              <w:top w:val="nil"/>
              <w:left w:val="nil"/>
              <w:bottom w:val="nil"/>
              <w:right w:val="nil"/>
            </w:tcBorders>
            <w:shd w:val="clear" w:color="auto" w:fill="auto"/>
          </w:tcPr>
          <w:p w14:paraId="0267F92C"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0.17</w:t>
            </w:r>
          </w:p>
        </w:tc>
        <w:tc>
          <w:tcPr>
            <w:tcW w:w="1453" w:type="dxa"/>
            <w:tcBorders>
              <w:top w:val="nil"/>
              <w:left w:val="nil"/>
              <w:bottom w:val="nil"/>
              <w:right w:val="nil"/>
            </w:tcBorders>
            <w:shd w:val="clear" w:color="auto" w:fill="auto"/>
          </w:tcPr>
          <w:p w14:paraId="69CEBC90"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1.31</w:t>
            </w:r>
          </w:p>
        </w:tc>
        <w:tc>
          <w:tcPr>
            <w:tcW w:w="753" w:type="dxa"/>
            <w:tcBorders>
              <w:top w:val="nil"/>
              <w:left w:val="nil"/>
              <w:bottom w:val="nil"/>
              <w:right w:val="nil"/>
            </w:tcBorders>
            <w:shd w:val="clear" w:color="auto" w:fill="auto"/>
          </w:tcPr>
          <w:p w14:paraId="3B24C744"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0.13</w:t>
            </w:r>
          </w:p>
        </w:tc>
      </w:tr>
      <w:tr w:rsidR="006D6454" w:rsidRPr="008A5C48" w14:paraId="664D3103" w14:textId="77777777" w:rsidTr="005C4952">
        <w:trPr>
          <w:trHeight w:val="118"/>
        </w:trPr>
        <w:tc>
          <w:tcPr>
            <w:tcW w:w="1897" w:type="dxa"/>
            <w:tcBorders>
              <w:top w:val="nil"/>
              <w:left w:val="nil"/>
              <w:bottom w:val="nil"/>
              <w:right w:val="nil"/>
            </w:tcBorders>
            <w:shd w:val="clear" w:color="auto" w:fill="auto"/>
          </w:tcPr>
          <w:p w14:paraId="6EC75BA8"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Rhinitis (yes)</w:t>
            </w:r>
          </w:p>
        </w:tc>
        <w:tc>
          <w:tcPr>
            <w:tcW w:w="1375" w:type="dxa"/>
            <w:tcBorders>
              <w:top w:val="nil"/>
              <w:left w:val="nil"/>
              <w:bottom w:val="nil"/>
              <w:right w:val="nil"/>
            </w:tcBorders>
            <w:shd w:val="clear" w:color="auto" w:fill="auto"/>
          </w:tcPr>
          <w:p w14:paraId="71142647"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-0.54</w:t>
            </w:r>
          </w:p>
        </w:tc>
        <w:tc>
          <w:tcPr>
            <w:tcW w:w="1453" w:type="dxa"/>
            <w:tcBorders>
              <w:top w:val="nil"/>
              <w:left w:val="nil"/>
              <w:bottom w:val="nil"/>
              <w:right w:val="nil"/>
            </w:tcBorders>
            <w:shd w:val="clear" w:color="auto" w:fill="auto"/>
          </w:tcPr>
          <w:p w14:paraId="2D0D6183"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4.23</w:t>
            </w:r>
          </w:p>
        </w:tc>
        <w:tc>
          <w:tcPr>
            <w:tcW w:w="753" w:type="dxa"/>
            <w:tcBorders>
              <w:top w:val="nil"/>
              <w:left w:val="nil"/>
              <w:bottom w:val="nil"/>
              <w:right w:val="nil"/>
            </w:tcBorders>
            <w:shd w:val="clear" w:color="auto" w:fill="auto"/>
          </w:tcPr>
          <w:p w14:paraId="7562B1D5"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0.13</w:t>
            </w:r>
          </w:p>
        </w:tc>
      </w:tr>
      <w:tr w:rsidR="006D6454" w:rsidRPr="008A5C48" w14:paraId="0F960C23" w14:textId="77777777" w:rsidTr="005C4952">
        <w:trPr>
          <w:trHeight w:val="118"/>
        </w:trPr>
        <w:tc>
          <w:tcPr>
            <w:tcW w:w="1897" w:type="dxa"/>
            <w:tcBorders>
              <w:top w:val="nil"/>
              <w:left w:val="nil"/>
              <w:bottom w:val="nil"/>
              <w:right w:val="nil"/>
            </w:tcBorders>
            <w:shd w:val="clear" w:color="auto" w:fill="auto"/>
          </w:tcPr>
          <w:p w14:paraId="3A5E2B03"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Eczema (no)</w:t>
            </w:r>
          </w:p>
        </w:tc>
        <w:tc>
          <w:tcPr>
            <w:tcW w:w="1375" w:type="dxa"/>
            <w:tcBorders>
              <w:top w:val="nil"/>
              <w:left w:val="nil"/>
              <w:bottom w:val="nil"/>
              <w:right w:val="nil"/>
            </w:tcBorders>
            <w:shd w:val="clear" w:color="auto" w:fill="auto"/>
          </w:tcPr>
          <w:p w14:paraId="49A4F3A5"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0.15</w:t>
            </w:r>
          </w:p>
        </w:tc>
        <w:tc>
          <w:tcPr>
            <w:tcW w:w="1453" w:type="dxa"/>
            <w:tcBorders>
              <w:top w:val="nil"/>
              <w:left w:val="nil"/>
              <w:bottom w:val="nil"/>
              <w:right w:val="nil"/>
            </w:tcBorders>
            <w:shd w:val="clear" w:color="auto" w:fill="auto"/>
          </w:tcPr>
          <w:p w14:paraId="5823EDD0"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1.06</w:t>
            </w:r>
          </w:p>
        </w:tc>
        <w:tc>
          <w:tcPr>
            <w:tcW w:w="753" w:type="dxa"/>
            <w:tcBorders>
              <w:top w:val="nil"/>
              <w:left w:val="nil"/>
              <w:bottom w:val="nil"/>
              <w:right w:val="nil"/>
            </w:tcBorders>
            <w:shd w:val="clear" w:color="auto" w:fill="auto"/>
          </w:tcPr>
          <w:p w14:paraId="75671B7A"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0.12</w:t>
            </w:r>
          </w:p>
        </w:tc>
      </w:tr>
      <w:tr w:rsidR="006D6454" w:rsidRPr="008A5C48" w14:paraId="119341A7" w14:textId="77777777" w:rsidTr="005C4952">
        <w:trPr>
          <w:trHeight w:val="118"/>
        </w:trPr>
        <w:tc>
          <w:tcPr>
            <w:tcW w:w="1897" w:type="dxa"/>
            <w:tcBorders>
              <w:top w:val="nil"/>
              <w:left w:val="nil"/>
              <w:bottom w:val="nil"/>
              <w:right w:val="nil"/>
            </w:tcBorders>
            <w:shd w:val="clear" w:color="auto" w:fill="auto"/>
          </w:tcPr>
          <w:p w14:paraId="0A5C5516"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Eczema (yes)</w:t>
            </w:r>
          </w:p>
        </w:tc>
        <w:tc>
          <w:tcPr>
            <w:tcW w:w="1375" w:type="dxa"/>
            <w:tcBorders>
              <w:top w:val="nil"/>
              <w:left w:val="nil"/>
              <w:bottom w:val="nil"/>
              <w:right w:val="nil"/>
            </w:tcBorders>
            <w:shd w:val="clear" w:color="auto" w:fill="auto"/>
          </w:tcPr>
          <w:p w14:paraId="1338F394"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-0.56</w:t>
            </w:r>
          </w:p>
        </w:tc>
        <w:tc>
          <w:tcPr>
            <w:tcW w:w="1453" w:type="dxa"/>
            <w:tcBorders>
              <w:top w:val="nil"/>
              <w:left w:val="nil"/>
              <w:bottom w:val="nil"/>
              <w:right w:val="nil"/>
            </w:tcBorders>
            <w:shd w:val="clear" w:color="auto" w:fill="auto"/>
          </w:tcPr>
          <w:p w14:paraId="0AE52C4B"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3.96</w:t>
            </w:r>
          </w:p>
        </w:tc>
        <w:tc>
          <w:tcPr>
            <w:tcW w:w="753" w:type="dxa"/>
            <w:tcBorders>
              <w:top w:val="nil"/>
              <w:left w:val="nil"/>
              <w:bottom w:val="nil"/>
              <w:right w:val="nil"/>
            </w:tcBorders>
            <w:shd w:val="clear" w:color="auto" w:fill="auto"/>
          </w:tcPr>
          <w:p w14:paraId="14E0DD37"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0.12</w:t>
            </w:r>
          </w:p>
        </w:tc>
      </w:tr>
      <w:tr w:rsidR="006D6454" w:rsidRPr="008A5C48" w14:paraId="58761657" w14:textId="77777777" w:rsidTr="005C4952">
        <w:trPr>
          <w:trHeight w:val="118"/>
        </w:trPr>
        <w:tc>
          <w:tcPr>
            <w:tcW w:w="1897" w:type="dxa"/>
            <w:tcBorders>
              <w:top w:val="nil"/>
              <w:left w:val="nil"/>
              <w:bottom w:val="nil"/>
              <w:right w:val="nil"/>
            </w:tcBorders>
            <w:shd w:val="clear" w:color="auto" w:fill="auto"/>
          </w:tcPr>
          <w:p w14:paraId="594A5FC2"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Food allergy (no)</w:t>
            </w:r>
          </w:p>
        </w:tc>
        <w:tc>
          <w:tcPr>
            <w:tcW w:w="1375" w:type="dxa"/>
            <w:tcBorders>
              <w:top w:val="nil"/>
              <w:left w:val="nil"/>
              <w:bottom w:val="nil"/>
              <w:right w:val="nil"/>
            </w:tcBorders>
            <w:shd w:val="clear" w:color="auto" w:fill="auto"/>
          </w:tcPr>
          <w:p w14:paraId="1548893E"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0.04</w:t>
            </w:r>
          </w:p>
        </w:tc>
        <w:tc>
          <w:tcPr>
            <w:tcW w:w="1453" w:type="dxa"/>
            <w:tcBorders>
              <w:top w:val="nil"/>
              <w:left w:val="nil"/>
              <w:bottom w:val="nil"/>
              <w:right w:val="nil"/>
            </w:tcBorders>
            <w:shd w:val="clear" w:color="auto" w:fill="auto"/>
          </w:tcPr>
          <w:p w14:paraId="1AC5DB5A"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0.07</w:t>
            </w:r>
          </w:p>
        </w:tc>
        <w:tc>
          <w:tcPr>
            <w:tcW w:w="753" w:type="dxa"/>
            <w:tcBorders>
              <w:top w:val="nil"/>
              <w:left w:val="nil"/>
              <w:bottom w:val="nil"/>
              <w:right w:val="nil"/>
            </w:tcBorders>
            <w:shd w:val="clear" w:color="auto" w:fill="auto"/>
          </w:tcPr>
          <w:p w14:paraId="337CDEA4"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0.02</w:t>
            </w:r>
          </w:p>
        </w:tc>
      </w:tr>
      <w:tr w:rsidR="006D6454" w:rsidRPr="008A5C48" w14:paraId="5E3CB46A" w14:textId="77777777" w:rsidTr="005C4952">
        <w:trPr>
          <w:trHeight w:val="118"/>
        </w:trPr>
        <w:tc>
          <w:tcPr>
            <w:tcW w:w="1897" w:type="dxa"/>
            <w:tcBorders>
              <w:top w:val="nil"/>
              <w:left w:val="nil"/>
              <w:bottom w:val="single" w:sz="4" w:space="0" w:color="000000"/>
              <w:right w:val="nil"/>
            </w:tcBorders>
            <w:shd w:val="clear" w:color="auto" w:fill="auto"/>
          </w:tcPr>
          <w:p w14:paraId="4543DC80"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Food allergy (yes)</w:t>
            </w:r>
          </w:p>
        </w:tc>
        <w:tc>
          <w:tcPr>
            <w:tcW w:w="1375" w:type="dxa"/>
            <w:tcBorders>
              <w:top w:val="nil"/>
              <w:left w:val="nil"/>
              <w:bottom w:val="single" w:sz="4" w:space="0" w:color="000000"/>
              <w:right w:val="nil"/>
            </w:tcBorders>
            <w:shd w:val="clear" w:color="auto" w:fill="auto"/>
          </w:tcPr>
          <w:p w14:paraId="576EEC9F"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-0.31</w:t>
            </w:r>
          </w:p>
        </w:tc>
        <w:tc>
          <w:tcPr>
            <w:tcW w:w="1453" w:type="dxa"/>
            <w:tcBorders>
              <w:top w:val="nil"/>
              <w:left w:val="nil"/>
              <w:bottom w:val="single" w:sz="4" w:space="0" w:color="000000"/>
              <w:right w:val="nil"/>
            </w:tcBorders>
            <w:shd w:val="clear" w:color="auto" w:fill="auto"/>
          </w:tcPr>
          <w:p w14:paraId="55786C99"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0.60</w:t>
            </w:r>
          </w:p>
        </w:tc>
        <w:tc>
          <w:tcPr>
            <w:tcW w:w="753" w:type="dxa"/>
            <w:tcBorders>
              <w:top w:val="nil"/>
              <w:left w:val="nil"/>
              <w:bottom w:val="single" w:sz="4" w:space="0" w:color="000000"/>
              <w:right w:val="nil"/>
            </w:tcBorders>
            <w:shd w:val="clear" w:color="auto" w:fill="auto"/>
          </w:tcPr>
          <w:p w14:paraId="07EB0573"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0.02</w:t>
            </w:r>
          </w:p>
        </w:tc>
      </w:tr>
    </w:tbl>
    <w:p w14:paraId="59E223B8" w14:textId="77777777" w:rsidR="006D6454" w:rsidRDefault="006D6454" w:rsidP="006D6454">
      <w:pPr>
        <w:spacing w:line="240" w:lineRule="auto"/>
        <w:contextualSpacing/>
        <w:jc w:val="both"/>
        <w:rPr>
          <w:rFonts w:ascii="Times New Roman" w:eastAsia="Times New Roman" w:hAnsi="Times New Roman" w:cs="Times New Roman"/>
          <w:sz w:val="20"/>
          <w:szCs w:val="20"/>
        </w:rPr>
      </w:pPr>
    </w:p>
    <w:p w14:paraId="5381222F" w14:textId="77777777" w:rsidR="006D6454" w:rsidRDefault="006D6454" w:rsidP="006D6454">
      <w:pPr>
        <w:spacing w:line="240" w:lineRule="auto"/>
        <w:contextualSpacing/>
        <w:jc w:val="both"/>
        <w:rPr>
          <w:rFonts w:ascii="Times New Roman" w:eastAsia="Times New Roman" w:hAnsi="Times New Roman" w:cs="Times New Roman"/>
          <w:sz w:val="20"/>
          <w:szCs w:val="20"/>
        </w:rPr>
      </w:pPr>
      <w:r w:rsidRPr="00DE27AA">
        <w:rPr>
          <w:rFonts w:ascii="Times New Roman" w:eastAsia="Times New Roman" w:hAnsi="Times New Roman" w:cs="Times New Roman"/>
          <w:sz w:val="20"/>
          <w:szCs w:val="20"/>
        </w:rPr>
        <w:t>The first dimension (used as the respiratory/allergy sub-score) represented 29% of variance</w:t>
      </w:r>
      <w:r>
        <w:rPr>
          <w:rFonts w:ascii="Times New Roman" w:eastAsia="Times New Roman" w:hAnsi="Times New Roman" w:cs="Times New Roman"/>
          <w:sz w:val="20"/>
          <w:szCs w:val="20"/>
        </w:rPr>
        <w:t xml:space="preserve">. </w:t>
      </w:r>
      <w:r w:rsidRPr="00310920">
        <w:rPr>
          <w:rFonts w:ascii="Times New Roman" w:eastAsia="Times New Roman" w:hAnsi="Times New Roman" w:cs="Times New Roman"/>
          <w:sz w:val="20"/>
          <w:szCs w:val="20"/>
        </w:rPr>
        <w:t xml:space="preserve">The coordinates of </w:t>
      </w:r>
      <w:r>
        <w:rPr>
          <w:rFonts w:ascii="Times New Roman" w:eastAsia="Times New Roman" w:hAnsi="Times New Roman" w:cs="Times New Roman"/>
          <w:sz w:val="20"/>
          <w:szCs w:val="20"/>
        </w:rPr>
        <w:t>asthma and allergy-related variables are</w:t>
      </w:r>
      <w:r w:rsidRPr="00310920">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negatives</w:t>
      </w:r>
      <w:r w:rsidRPr="00310920">
        <w:rPr>
          <w:rFonts w:ascii="Times New Roman" w:eastAsia="Times New Roman" w:hAnsi="Times New Roman" w:cs="Times New Roman"/>
          <w:sz w:val="20"/>
          <w:szCs w:val="20"/>
        </w:rPr>
        <w:t xml:space="preserve">, which means that a child with </w:t>
      </w:r>
      <w:r>
        <w:rPr>
          <w:rFonts w:ascii="Times New Roman" w:eastAsia="Times New Roman" w:hAnsi="Times New Roman" w:cs="Times New Roman"/>
          <w:sz w:val="20"/>
          <w:szCs w:val="20"/>
        </w:rPr>
        <w:t>many allergy-related outcomes</w:t>
      </w:r>
      <w:r w:rsidRPr="00310920">
        <w:rPr>
          <w:rFonts w:ascii="Times New Roman" w:eastAsia="Times New Roman" w:hAnsi="Times New Roman" w:cs="Times New Roman"/>
          <w:sz w:val="20"/>
          <w:szCs w:val="20"/>
        </w:rPr>
        <w:t xml:space="preserve"> should be at the right sight of the first axis. On the contrary, the negative coordinate of the </w:t>
      </w:r>
      <w:r>
        <w:rPr>
          <w:rFonts w:ascii="Times New Roman" w:eastAsia="Times New Roman" w:hAnsi="Times New Roman" w:cs="Times New Roman"/>
          <w:sz w:val="20"/>
          <w:szCs w:val="20"/>
        </w:rPr>
        <w:t>lung function (FEV1)</w:t>
      </w:r>
      <w:r w:rsidRPr="00310920">
        <w:rPr>
          <w:rFonts w:ascii="Times New Roman" w:eastAsia="Times New Roman" w:hAnsi="Times New Roman" w:cs="Times New Roman"/>
          <w:sz w:val="20"/>
          <w:szCs w:val="20"/>
        </w:rPr>
        <w:t xml:space="preserve"> means that a child with a </w:t>
      </w:r>
      <w:r>
        <w:rPr>
          <w:rFonts w:ascii="Times New Roman" w:eastAsia="Times New Roman" w:hAnsi="Times New Roman" w:cs="Times New Roman"/>
          <w:sz w:val="20"/>
          <w:szCs w:val="20"/>
        </w:rPr>
        <w:t xml:space="preserve">good lung function </w:t>
      </w:r>
      <w:r w:rsidRPr="00310920">
        <w:rPr>
          <w:rFonts w:ascii="Times New Roman" w:eastAsia="Times New Roman" w:hAnsi="Times New Roman" w:cs="Times New Roman"/>
          <w:sz w:val="20"/>
          <w:szCs w:val="20"/>
        </w:rPr>
        <w:t>should be at the left side of the first axis. This is coherent with the</w:t>
      </w:r>
      <w:r>
        <w:rPr>
          <w:rFonts w:ascii="Times New Roman" w:eastAsia="Times New Roman" w:hAnsi="Times New Roman" w:cs="Times New Roman"/>
          <w:sz w:val="20"/>
          <w:szCs w:val="20"/>
        </w:rPr>
        <w:t xml:space="preserve"> inverse</w:t>
      </w:r>
      <w:r w:rsidRPr="00310920">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correlation between spirometry results (FEV</w:t>
      </w:r>
      <w:r w:rsidRPr="00046B47">
        <w:rPr>
          <w:rFonts w:ascii="Times New Roman" w:eastAsia="Times New Roman" w:hAnsi="Times New Roman" w:cs="Times New Roman"/>
          <w:sz w:val="20"/>
          <w:szCs w:val="20"/>
          <w:vertAlign w:val="subscript"/>
        </w:rPr>
        <w:t>1</w:t>
      </w:r>
      <w:r>
        <w:rPr>
          <w:rFonts w:ascii="Times New Roman" w:eastAsia="Times New Roman" w:hAnsi="Times New Roman" w:cs="Times New Roman"/>
          <w:sz w:val="20"/>
          <w:szCs w:val="20"/>
        </w:rPr>
        <w:t>% pred) and allergy-related outcomes</w:t>
      </w:r>
      <w:r w:rsidRPr="00310920">
        <w:rPr>
          <w:rFonts w:ascii="Times New Roman" w:eastAsia="Times New Roman" w:hAnsi="Times New Roman" w:cs="Times New Roman"/>
          <w:sz w:val="20"/>
          <w:szCs w:val="20"/>
        </w:rPr>
        <w:t xml:space="preserve">. Overall, it means that a child with </w:t>
      </w:r>
      <w:r>
        <w:rPr>
          <w:rFonts w:ascii="Times New Roman" w:eastAsia="Times New Roman" w:hAnsi="Times New Roman" w:cs="Times New Roman"/>
          <w:sz w:val="20"/>
          <w:szCs w:val="20"/>
        </w:rPr>
        <w:t>a good</w:t>
      </w:r>
      <w:r w:rsidRPr="00310920">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lung function</w:t>
      </w:r>
      <w:r w:rsidRPr="00310920">
        <w:rPr>
          <w:rFonts w:ascii="Times New Roman" w:eastAsia="Times New Roman" w:hAnsi="Times New Roman" w:cs="Times New Roman"/>
          <w:sz w:val="20"/>
          <w:szCs w:val="20"/>
        </w:rPr>
        <w:t xml:space="preserve"> and few </w:t>
      </w:r>
      <w:r>
        <w:rPr>
          <w:rFonts w:ascii="Times New Roman" w:eastAsia="Times New Roman" w:hAnsi="Times New Roman" w:cs="Times New Roman"/>
          <w:sz w:val="20"/>
          <w:szCs w:val="20"/>
        </w:rPr>
        <w:t>allergy-related outcomes also tend to have</w:t>
      </w:r>
      <w:r w:rsidRPr="00310920">
        <w:rPr>
          <w:rFonts w:ascii="Times New Roman" w:eastAsia="Times New Roman" w:hAnsi="Times New Roman" w:cs="Times New Roman"/>
          <w:sz w:val="20"/>
          <w:szCs w:val="20"/>
        </w:rPr>
        <w:t xml:space="preserve"> a high </w:t>
      </w:r>
      <w:r>
        <w:rPr>
          <w:rFonts w:ascii="Times New Roman" w:eastAsia="Times New Roman" w:hAnsi="Times New Roman" w:cs="Times New Roman"/>
          <w:sz w:val="20"/>
          <w:szCs w:val="20"/>
        </w:rPr>
        <w:t>respiratory/allergy</w:t>
      </w:r>
      <w:r w:rsidRPr="00310920">
        <w:rPr>
          <w:rFonts w:ascii="Times New Roman" w:eastAsia="Times New Roman" w:hAnsi="Times New Roman" w:cs="Times New Roman"/>
          <w:sz w:val="20"/>
          <w:szCs w:val="20"/>
        </w:rPr>
        <w:t xml:space="preserve"> sub-score.</w:t>
      </w:r>
    </w:p>
    <w:p w14:paraId="1C0944D6" w14:textId="77777777" w:rsidR="006D6454" w:rsidRDefault="006D6454" w:rsidP="006D6454">
      <w:pPr>
        <w:spacing w:line="240" w:lineRule="auto"/>
        <w:contextualSpacing/>
        <w:jc w:val="both"/>
        <w:rPr>
          <w:rFonts w:ascii="Times New Roman" w:eastAsia="Times New Roman" w:hAnsi="Times New Roman" w:cs="Times New Roman"/>
          <w:sz w:val="20"/>
          <w:szCs w:val="20"/>
        </w:rPr>
      </w:pPr>
    </w:p>
    <w:p w14:paraId="61BABA63" w14:textId="77777777" w:rsidR="00D50EB9" w:rsidRPr="008A5C48" w:rsidRDefault="00D50EB9" w:rsidP="00D50EB9">
      <w:pPr>
        <w:spacing w:line="240" w:lineRule="auto"/>
        <w:contextualSpacing/>
        <w:jc w:val="both"/>
        <w:rPr>
          <w:rFonts w:ascii="Times New Roman" w:eastAsia="Times New Roman" w:hAnsi="Times New Roman" w:cs="Times New Roman"/>
          <w:sz w:val="20"/>
          <w:szCs w:val="20"/>
        </w:rPr>
      </w:pPr>
    </w:p>
    <w:p w14:paraId="538D6060" w14:textId="77777777" w:rsidR="00D50EB9" w:rsidRDefault="00D50EB9" w:rsidP="00D50EB9">
      <w:pPr>
        <w:spacing w:line="240" w:lineRule="auto"/>
        <w:contextualSpacing/>
        <w:rPr>
          <w:rFonts w:ascii="Times New Roman" w:eastAsia="Times New Roman" w:hAnsi="Times New Roman" w:cs="Times New Roman"/>
          <w:b/>
          <w:sz w:val="20"/>
          <w:szCs w:val="20"/>
        </w:rPr>
      </w:pPr>
      <w:r>
        <w:rPr>
          <w:rFonts w:ascii="Times New Roman" w:eastAsia="Times New Roman" w:hAnsi="Times New Roman" w:cs="Times New Roman"/>
          <w:b/>
          <w:sz w:val="20"/>
          <w:szCs w:val="20"/>
        </w:rPr>
        <w:br w:type="page"/>
      </w:r>
    </w:p>
    <w:p w14:paraId="09054435" w14:textId="2F3B5CF2" w:rsidR="006D6454" w:rsidRDefault="006D6454" w:rsidP="006D6454">
      <w:pPr>
        <w:pStyle w:val="Titre1"/>
        <w:rPr>
          <w:rFonts w:eastAsia="Times New Roman"/>
        </w:rPr>
      </w:pPr>
      <w:bookmarkStart w:id="68" w:name="_Toc132271590"/>
      <w:bookmarkStart w:id="69" w:name="_Toc127358158"/>
      <w:bookmarkStart w:id="70" w:name="_Hlk127367146"/>
      <w:bookmarkEnd w:id="67"/>
      <w:proofErr w:type="spellStart"/>
      <w:r w:rsidRPr="008A5C48">
        <w:rPr>
          <w:rFonts w:eastAsia="Times New Roman"/>
        </w:rPr>
        <w:lastRenderedPageBreak/>
        <w:t>eTable</w:t>
      </w:r>
      <w:proofErr w:type="spellEnd"/>
      <w:r w:rsidRPr="008A5C48">
        <w:rPr>
          <w:rFonts w:eastAsia="Times New Roman"/>
        </w:rPr>
        <w:t xml:space="preserve"> </w:t>
      </w:r>
      <w:r>
        <w:rPr>
          <w:rFonts w:eastAsia="Times New Roman"/>
        </w:rPr>
        <w:t>8</w:t>
      </w:r>
      <w:r w:rsidRPr="008A5C48">
        <w:rPr>
          <w:rFonts w:eastAsia="Times New Roman"/>
        </w:rPr>
        <w:t xml:space="preserve">. </w:t>
      </w:r>
      <w:bookmarkStart w:id="71" w:name="_Hlk131157321"/>
      <w:r w:rsidRPr="001E4B45">
        <w:rPr>
          <w:rFonts w:eastAsia="Times New Roman"/>
          <w:b w:val="0"/>
          <w:bCs w:val="0"/>
        </w:rPr>
        <w:t xml:space="preserve">Factor analysis on </w:t>
      </w:r>
      <w:r>
        <w:rPr>
          <w:rFonts w:eastAsia="Times New Roman"/>
          <w:b w:val="0"/>
          <w:bCs w:val="0"/>
        </w:rPr>
        <w:t>mental and cognitive parameters</w:t>
      </w:r>
      <w:r w:rsidRPr="001E4B45">
        <w:rPr>
          <w:rFonts w:eastAsia="Times New Roman"/>
          <w:b w:val="0"/>
          <w:bCs w:val="0"/>
        </w:rPr>
        <w:t xml:space="preserve"> – Dimension 1</w:t>
      </w:r>
      <w:bookmarkEnd w:id="68"/>
      <w:r w:rsidRPr="001E4B45">
        <w:rPr>
          <w:rFonts w:eastAsia="Times New Roman"/>
          <w:b w:val="0"/>
          <w:bCs w:val="0"/>
        </w:rPr>
        <w:t xml:space="preserve"> </w:t>
      </w:r>
      <w:bookmarkEnd w:id="69"/>
      <w:bookmarkEnd w:id="71"/>
    </w:p>
    <w:bookmarkEnd w:id="70"/>
    <w:p w14:paraId="2A1648B2" w14:textId="77777777" w:rsidR="006D6454" w:rsidRPr="002D5EF6" w:rsidRDefault="006D6454" w:rsidP="006D6454"/>
    <w:tbl>
      <w:tblPr>
        <w:tblStyle w:val="af"/>
        <w:tblW w:w="5478" w:type="dxa"/>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00" w:firstRow="0" w:lastRow="0" w:firstColumn="0" w:lastColumn="0" w:noHBand="0" w:noVBand="1"/>
      </w:tblPr>
      <w:tblGrid>
        <w:gridCol w:w="1897"/>
        <w:gridCol w:w="1375"/>
        <w:gridCol w:w="1453"/>
        <w:gridCol w:w="753"/>
      </w:tblGrid>
      <w:tr w:rsidR="006D6454" w:rsidRPr="008A5C48" w14:paraId="01D38027" w14:textId="77777777" w:rsidTr="005C4952">
        <w:trPr>
          <w:trHeight w:val="238"/>
        </w:trPr>
        <w:tc>
          <w:tcPr>
            <w:tcW w:w="1897" w:type="dxa"/>
            <w:tcBorders>
              <w:top w:val="single" w:sz="4" w:space="0" w:color="000000"/>
              <w:left w:val="nil"/>
              <w:bottom w:val="single" w:sz="4" w:space="0" w:color="000000"/>
              <w:right w:val="nil"/>
            </w:tcBorders>
            <w:shd w:val="clear" w:color="auto" w:fill="auto"/>
          </w:tcPr>
          <w:p w14:paraId="33EFAB48" w14:textId="77777777" w:rsidR="006D6454" w:rsidRPr="008A5C48" w:rsidRDefault="006D6454" w:rsidP="005C4952">
            <w:pPr>
              <w:contextualSpacing/>
              <w:rPr>
                <w:rFonts w:ascii="Times New Roman" w:eastAsia="Times New Roman" w:hAnsi="Times New Roman" w:cs="Times New Roman"/>
                <w:b/>
                <w:sz w:val="20"/>
                <w:szCs w:val="20"/>
              </w:rPr>
            </w:pPr>
          </w:p>
        </w:tc>
        <w:tc>
          <w:tcPr>
            <w:tcW w:w="1375" w:type="dxa"/>
            <w:tcBorders>
              <w:top w:val="single" w:sz="4" w:space="0" w:color="000000"/>
              <w:left w:val="nil"/>
              <w:bottom w:val="single" w:sz="4" w:space="0" w:color="000000"/>
              <w:right w:val="nil"/>
            </w:tcBorders>
            <w:shd w:val="clear" w:color="auto" w:fill="auto"/>
          </w:tcPr>
          <w:p w14:paraId="0C8AC219" w14:textId="77777777" w:rsidR="006D6454" w:rsidRPr="008A5C48" w:rsidRDefault="006D6454" w:rsidP="005C4952">
            <w:pPr>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Coordinates</w:t>
            </w:r>
          </w:p>
        </w:tc>
        <w:tc>
          <w:tcPr>
            <w:tcW w:w="1453" w:type="dxa"/>
            <w:tcBorders>
              <w:top w:val="single" w:sz="4" w:space="0" w:color="000000"/>
              <w:left w:val="nil"/>
              <w:bottom w:val="single" w:sz="4" w:space="0" w:color="000000"/>
              <w:right w:val="nil"/>
            </w:tcBorders>
            <w:shd w:val="clear" w:color="auto" w:fill="auto"/>
          </w:tcPr>
          <w:p w14:paraId="424503DC" w14:textId="77777777" w:rsidR="006D6454" w:rsidRPr="008A5C48" w:rsidRDefault="006D6454" w:rsidP="005C4952">
            <w:pPr>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Contribution</w:t>
            </w:r>
          </w:p>
        </w:tc>
        <w:tc>
          <w:tcPr>
            <w:tcW w:w="753" w:type="dxa"/>
            <w:tcBorders>
              <w:top w:val="single" w:sz="4" w:space="0" w:color="000000"/>
              <w:left w:val="nil"/>
              <w:bottom w:val="single" w:sz="4" w:space="0" w:color="000000"/>
              <w:right w:val="nil"/>
            </w:tcBorders>
            <w:shd w:val="clear" w:color="auto" w:fill="auto"/>
          </w:tcPr>
          <w:p w14:paraId="6CB1F366" w14:textId="77777777" w:rsidR="006D6454" w:rsidRPr="008A5C48" w:rsidRDefault="006D6454" w:rsidP="005C4952">
            <w:pPr>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Cos2</w:t>
            </w:r>
          </w:p>
        </w:tc>
      </w:tr>
      <w:tr w:rsidR="006D6454" w:rsidRPr="008A5C48" w14:paraId="2B93C5A8" w14:textId="77777777" w:rsidTr="005C4952">
        <w:trPr>
          <w:trHeight w:val="118"/>
        </w:trPr>
        <w:tc>
          <w:tcPr>
            <w:tcW w:w="1897" w:type="dxa"/>
            <w:tcBorders>
              <w:top w:val="nil"/>
              <w:left w:val="nil"/>
              <w:bottom w:val="nil"/>
              <w:right w:val="nil"/>
            </w:tcBorders>
            <w:shd w:val="clear" w:color="auto" w:fill="auto"/>
          </w:tcPr>
          <w:p w14:paraId="29E80175"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z-ADHD</w:t>
            </w:r>
          </w:p>
        </w:tc>
        <w:tc>
          <w:tcPr>
            <w:tcW w:w="1375" w:type="dxa"/>
            <w:tcBorders>
              <w:top w:val="nil"/>
              <w:left w:val="nil"/>
              <w:bottom w:val="nil"/>
              <w:right w:val="nil"/>
            </w:tcBorders>
            <w:shd w:val="clear" w:color="auto" w:fill="auto"/>
          </w:tcPr>
          <w:p w14:paraId="448C9C34"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0.62</w:t>
            </w:r>
          </w:p>
        </w:tc>
        <w:tc>
          <w:tcPr>
            <w:tcW w:w="1453" w:type="dxa"/>
            <w:tcBorders>
              <w:top w:val="nil"/>
              <w:left w:val="nil"/>
              <w:bottom w:val="nil"/>
              <w:right w:val="nil"/>
            </w:tcBorders>
            <w:shd w:val="clear" w:color="auto" w:fill="auto"/>
          </w:tcPr>
          <w:p w14:paraId="6151584C"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15.75</w:t>
            </w:r>
          </w:p>
        </w:tc>
        <w:tc>
          <w:tcPr>
            <w:tcW w:w="753" w:type="dxa"/>
            <w:tcBorders>
              <w:top w:val="nil"/>
              <w:left w:val="nil"/>
              <w:bottom w:val="nil"/>
              <w:right w:val="nil"/>
            </w:tcBorders>
            <w:shd w:val="clear" w:color="auto" w:fill="auto"/>
          </w:tcPr>
          <w:p w14:paraId="08B53A8C"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0.38</w:t>
            </w:r>
          </w:p>
        </w:tc>
      </w:tr>
      <w:tr w:rsidR="006D6454" w:rsidRPr="008A5C48" w14:paraId="5B34BAFA" w14:textId="77777777" w:rsidTr="005C4952">
        <w:trPr>
          <w:trHeight w:val="118"/>
        </w:trPr>
        <w:tc>
          <w:tcPr>
            <w:tcW w:w="1897" w:type="dxa"/>
            <w:tcBorders>
              <w:top w:val="nil"/>
              <w:left w:val="nil"/>
              <w:bottom w:val="nil"/>
              <w:right w:val="nil"/>
            </w:tcBorders>
            <w:shd w:val="clear" w:color="auto" w:fill="auto"/>
          </w:tcPr>
          <w:p w14:paraId="5F128BBB"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z-Internalizing</w:t>
            </w:r>
          </w:p>
        </w:tc>
        <w:tc>
          <w:tcPr>
            <w:tcW w:w="1375" w:type="dxa"/>
            <w:tcBorders>
              <w:top w:val="nil"/>
              <w:left w:val="nil"/>
              <w:bottom w:val="nil"/>
              <w:right w:val="nil"/>
            </w:tcBorders>
            <w:shd w:val="clear" w:color="auto" w:fill="auto"/>
          </w:tcPr>
          <w:p w14:paraId="65876CA2"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0.61</w:t>
            </w:r>
          </w:p>
        </w:tc>
        <w:tc>
          <w:tcPr>
            <w:tcW w:w="1453" w:type="dxa"/>
            <w:tcBorders>
              <w:top w:val="nil"/>
              <w:left w:val="nil"/>
              <w:bottom w:val="nil"/>
              <w:right w:val="nil"/>
            </w:tcBorders>
            <w:shd w:val="clear" w:color="auto" w:fill="auto"/>
          </w:tcPr>
          <w:p w14:paraId="175F6BAE"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15.30</w:t>
            </w:r>
          </w:p>
        </w:tc>
        <w:tc>
          <w:tcPr>
            <w:tcW w:w="753" w:type="dxa"/>
            <w:tcBorders>
              <w:top w:val="nil"/>
              <w:left w:val="nil"/>
              <w:bottom w:val="nil"/>
              <w:right w:val="nil"/>
            </w:tcBorders>
            <w:shd w:val="clear" w:color="auto" w:fill="auto"/>
          </w:tcPr>
          <w:p w14:paraId="42B2AA1C"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0.37</w:t>
            </w:r>
          </w:p>
        </w:tc>
      </w:tr>
      <w:tr w:rsidR="006D6454" w:rsidRPr="008A5C48" w14:paraId="081C7F8D" w14:textId="77777777" w:rsidTr="005C4952">
        <w:trPr>
          <w:trHeight w:val="118"/>
        </w:trPr>
        <w:tc>
          <w:tcPr>
            <w:tcW w:w="1897" w:type="dxa"/>
            <w:tcBorders>
              <w:top w:val="nil"/>
              <w:left w:val="nil"/>
              <w:bottom w:val="nil"/>
              <w:right w:val="nil"/>
            </w:tcBorders>
            <w:shd w:val="clear" w:color="auto" w:fill="auto"/>
          </w:tcPr>
          <w:p w14:paraId="10F5FB9D"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z-Externalizing</w:t>
            </w:r>
          </w:p>
        </w:tc>
        <w:tc>
          <w:tcPr>
            <w:tcW w:w="1375" w:type="dxa"/>
            <w:tcBorders>
              <w:top w:val="nil"/>
              <w:left w:val="nil"/>
              <w:bottom w:val="nil"/>
              <w:right w:val="nil"/>
            </w:tcBorders>
            <w:shd w:val="clear" w:color="auto" w:fill="auto"/>
          </w:tcPr>
          <w:p w14:paraId="47C27400"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0.68</w:t>
            </w:r>
          </w:p>
        </w:tc>
        <w:tc>
          <w:tcPr>
            <w:tcW w:w="1453" w:type="dxa"/>
            <w:tcBorders>
              <w:top w:val="nil"/>
              <w:left w:val="nil"/>
              <w:bottom w:val="nil"/>
              <w:right w:val="nil"/>
            </w:tcBorders>
            <w:shd w:val="clear" w:color="auto" w:fill="auto"/>
          </w:tcPr>
          <w:p w14:paraId="09E90629"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18.95</w:t>
            </w:r>
          </w:p>
        </w:tc>
        <w:tc>
          <w:tcPr>
            <w:tcW w:w="753" w:type="dxa"/>
            <w:tcBorders>
              <w:top w:val="nil"/>
              <w:left w:val="nil"/>
              <w:bottom w:val="nil"/>
              <w:right w:val="nil"/>
            </w:tcBorders>
            <w:shd w:val="clear" w:color="auto" w:fill="auto"/>
          </w:tcPr>
          <w:p w14:paraId="4B9E046C"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0.46</w:t>
            </w:r>
          </w:p>
        </w:tc>
      </w:tr>
      <w:tr w:rsidR="006D6454" w:rsidRPr="008A5C48" w14:paraId="76AE5381" w14:textId="77777777" w:rsidTr="005C4952">
        <w:trPr>
          <w:trHeight w:val="118"/>
        </w:trPr>
        <w:tc>
          <w:tcPr>
            <w:tcW w:w="1897" w:type="dxa"/>
            <w:tcBorders>
              <w:top w:val="nil"/>
              <w:left w:val="nil"/>
              <w:bottom w:val="single" w:sz="4" w:space="0" w:color="000000"/>
              <w:right w:val="nil"/>
            </w:tcBorders>
            <w:shd w:val="clear" w:color="auto" w:fill="auto"/>
          </w:tcPr>
          <w:p w14:paraId="4855EF4E" w14:textId="77777777" w:rsidR="006D6454" w:rsidRPr="008A5C48" w:rsidRDefault="006D6454" w:rsidP="005C4952">
            <w:pPr>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z- fluid intelligence</w:t>
            </w:r>
          </w:p>
        </w:tc>
        <w:tc>
          <w:tcPr>
            <w:tcW w:w="1375" w:type="dxa"/>
            <w:tcBorders>
              <w:top w:val="nil"/>
              <w:left w:val="nil"/>
              <w:bottom w:val="single" w:sz="4" w:space="0" w:color="000000"/>
              <w:right w:val="nil"/>
            </w:tcBorders>
            <w:shd w:val="clear" w:color="auto" w:fill="auto"/>
          </w:tcPr>
          <w:p w14:paraId="23CA6E30"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-0.76</w:t>
            </w:r>
          </w:p>
        </w:tc>
        <w:tc>
          <w:tcPr>
            <w:tcW w:w="1453" w:type="dxa"/>
            <w:tcBorders>
              <w:top w:val="nil"/>
              <w:left w:val="nil"/>
              <w:bottom w:val="single" w:sz="4" w:space="0" w:color="000000"/>
              <w:right w:val="nil"/>
            </w:tcBorders>
            <w:shd w:val="clear" w:color="auto" w:fill="auto"/>
          </w:tcPr>
          <w:p w14:paraId="27F1DBAA"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50.00</w:t>
            </w:r>
          </w:p>
        </w:tc>
        <w:tc>
          <w:tcPr>
            <w:tcW w:w="753" w:type="dxa"/>
            <w:tcBorders>
              <w:top w:val="nil"/>
              <w:left w:val="nil"/>
              <w:bottom w:val="single" w:sz="4" w:space="0" w:color="000000"/>
              <w:right w:val="nil"/>
            </w:tcBorders>
            <w:shd w:val="clear" w:color="auto" w:fill="auto"/>
          </w:tcPr>
          <w:p w14:paraId="0484D364" w14:textId="77777777" w:rsidR="006D6454" w:rsidRPr="008A5C48" w:rsidRDefault="006D6454" w:rsidP="005C4952">
            <w:pPr>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0.58</w:t>
            </w:r>
          </w:p>
        </w:tc>
      </w:tr>
    </w:tbl>
    <w:p w14:paraId="58F855E9" w14:textId="77777777" w:rsidR="003A373D" w:rsidRDefault="003A373D" w:rsidP="006D6454">
      <w:pPr>
        <w:spacing w:line="240" w:lineRule="auto"/>
        <w:contextualSpacing/>
        <w:jc w:val="both"/>
        <w:rPr>
          <w:rFonts w:ascii="Times New Roman" w:eastAsia="Times New Roman" w:hAnsi="Times New Roman" w:cs="Times New Roman"/>
          <w:sz w:val="20"/>
          <w:szCs w:val="20"/>
        </w:rPr>
      </w:pPr>
    </w:p>
    <w:p w14:paraId="18C67433" w14:textId="50628317" w:rsidR="006D6454" w:rsidRPr="00DE27AA" w:rsidRDefault="006D6454" w:rsidP="006D6454">
      <w:pPr>
        <w:spacing w:line="240" w:lineRule="auto"/>
        <w:contextualSpacing/>
        <w:jc w:val="both"/>
        <w:rPr>
          <w:rFonts w:ascii="Times New Roman" w:eastAsia="Times New Roman" w:hAnsi="Times New Roman" w:cs="Times New Roman"/>
          <w:sz w:val="20"/>
          <w:szCs w:val="20"/>
        </w:rPr>
      </w:pPr>
      <w:r w:rsidRPr="00DE27AA">
        <w:rPr>
          <w:rFonts w:ascii="Times New Roman" w:eastAsia="Times New Roman" w:hAnsi="Times New Roman" w:cs="Times New Roman"/>
          <w:sz w:val="20"/>
          <w:szCs w:val="20"/>
        </w:rPr>
        <w:t>The first dimension represented 48% of variance, with high values corresponding to a high cognitive results and low behavioural indexes.</w:t>
      </w:r>
      <w:r w:rsidR="003A373D">
        <w:rPr>
          <w:rFonts w:ascii="Times New Roman" w:eastAsia="Times New Roman" w:hAnsi="Times New Roman" w:cs="Times New Roman"/>
          <w:sz w:val="20"/>
          <w:szCs w:val="20"/>
        </w:rPr>
        <w:t xml:space="preserve"> </w:t>
      </w:r>
      <w:r w:rsidR="002126CB" w:rsidRPr="002126CB">
        <w:rPr>
          <w:rFonts w:ascii="Times New Roman" w:eastAsia="Times New Roman" w:hAnsi="Times New Roman" w:cs="Times New Roman"/>
          <w:sz w:val="20"/>
          <w:szCs w:val="20"/>
        </w:rPr>
        <w:t xml:space="preserve">The coordinates of </w:t>
      </w:r>
      <w:proofErr w:type="spellStart"/>
      <w:r w:rsidR="002126CB" w:rsidRPr="002126CB">
        <w:rPr>
          <w:rFonts w:ascii="Times New Roman" w:eastAsia="Times New Roman" w:hAnsi="Times New Roman" w:cs="Times New Roman"/>
          <w:sz w:val="20"/>
          <w:szCs w:val="20"/>
        </w:rPr>
        <w:t>behavioral</w:t>
      </w:r>
      <w:proofErr w:type="spellEnd"/>
      <w:r w:rsidR="002126CB" w:rsidRPr="002126CB">
        <w:rPr>
          <w:rFonts w:ascii="Times New Roman" w:eastAsia="Times New Roman" w:hAnsi="Times New Roman" w:cs="Times New Roman"/>
          <w:sz w:val="20"/>
          <w:szCs w:val="20"/>
        </w:rPr>
        <w:t xml:space="preserve"> scores (ADHD, internalizing, externalizing) are positive, which means that a child with high </w:t>
      </w:r>
      <w:proofErr w:type="spellStart"/>
      <w:r w:rsidR="002126CB" w:rsidRPr="002126CB">
        <w:rPr>
          <w:rFonts w:ascii="Times New Roman" w:eastAsia="Times New Roman" w:hAnsi="Times New Roman" w:cs="Times New Roman"/>
          <w:sz w:val="20"/>
          <w:szCs w:val="20"/>
        </w:rPr>
        <w:t>behavioral</w:t>
      </w:r>
      <w:proofErr w:type="spellEnd"/>
      <w:r w:rsidR="002126CB" w:rsidRPr="002126CB">
        <w:rPr>
          <w:rFonts w:ascii="Times New Roman" w:eastAsia="Times New Roman" w:hAnsi="Times New Roman" w:cs="Times New Roman"/>
          <w:sz w:val="20"/>
          <w:szCs w:val="20"/>
        </w:rPr>
        <w:t xml:space="preserve"> scores (more </w:t>
      </w:r>
      <w:proofErr w:type="spellStart"/>
      <w:r w:rsidR="002126CB" w:rsidRPr="002126CB">
        <w:rPr>
          <w:rFonts w:ascii="Times New Roman" w:eastAsia="Times New Roman" w:hAnsi="Times New Roman" w:cs="Times New Roman"/>
          <w:sz w:val="20"/>
          <w:szCs w:val="20"/>
        </w:rPr>
        <w:t>behavioral</w:t>
      </w:r>
      <w:proofErr w:type="spellEnd"/>
      <w:r w:rsidR="002126CB" w:rsidRPr="002126CB">
        <w:rPr>
          <w:rFonts w:ascii="Times New Roman" w:eastAsia="Times New Roman" w:hAnsi="Times New Roman" w:cs="Times New Roman"/>
          <w:sz w:val="20"/>
          <w:szCs w:val="20"/>
        </w:rPr>
        <w:t xml:space="preserve"> troubles) should be at the right sight of the first axis. On the contrary, the negative coordinate of the cognitive score (fluid intelligence) means that a child with a high cognitive score (high cognition) should be at the left side of the first axis. This is coherent with the inverse correlation between </w:t>
      </w:r>
      <w:proofErr w:type="spellStart"/>
      <w:r w:rsidR="002126CB" w:rsidRPr="002126CB">
        <w:rPr>
          <w:rFonts w:ascii="Times New Roman" w:eastAsia="Times New Roman" w:hAnsi="Times New Roman" w:cs="Times New Roman"/>
          <w:sz w:val="20"/>
          <w:szCs w:val="20"/>
        </w:rPr>
        <w:t>behavioral</w:t>
      </w:r>
      <w:proofErr w:type="spellEnd"/>
      <w:r w:rsidR="002126CB" w:rsidRPr="002126CB">
        <w:rPr>
          <w:rFonts w:ascii="Times New Roman" w:eastAsia="Times New Roman" w:hAnsi="Times New Roman" w:cs="Times New Roman"/>
          <w:sz w:val="20"/>
          <w:szCs w:val="20"/>
        </w:rPr>
        <w:t xml:space="preserve"> scores and cognitive results. Overall, it means that a child with high cognition and few </w:t>
      </w:r>
      <w:proofErr w:type="spellStart"/>
      <w:r w:rsidR="002126CB" w:rsidRPr="002126CB">
        <w:rPr>
          <w:rFonts w:ascii="Times New Roman" w:eastAsia="Times New Roman" w:hAnsi="Times New Roman" w:cs="Times New Roman"/>
          <w:sz w:val="20"/>
          <w:szCs w:val="20"/>
        </w:rPr>
        <w:t>behavioral</w:t>
      </w:r>
      <w:proofErr w:type="spellEnd"/>
      <w:r w:rsidR="002126CB" w:rsidRPr="002126CB">
        <w:rPr>
          <w:rFonts w:ascii="Times New Roman" w:eastAsia="Times New Roman" w:hAnsi="Times New Roman" w:cs="Times New Roman"/>
          <w:sz w:val="20"/>
          <w:szCs w:val="20"/>
        </w:rPr>
        <w:t xml:space="preserve"> troubles also tend to have a high mental sub-score.</w:t>
      </w:r>
    </w:p>
    <w:p w14:paraId="13731C06" w14:textId="669E7C73" w:rsidR="003F1D16" w:rsidRPr="00D50EB9" w:rsidRDefault="00D50EB9" w:rsidP="003C1E4B">
      <w:pPr>
        <w:spacing w:line="240" w:lineRule="auto"/>
        <w:contextualSpacing/>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br w:type="page"/>
      </w:r>
    </w:p>
    <w:p w14:paraId="7CA6A334" w14:textId="3D2504C7" w:rsidR="003F1D16" w:rsidRPr="001E4B45" w:rsidRDefault="003F1D16" w:rsidP="003F1D16">
      <w:pPr>
        <w:pStyle w:val="Titre1"/>
        <w:rPr>
          <w:rFonts w:eastAsia="Times New Roman"/>
          <w:b w:val="0"/>
          <w:bCs w:val="0"/>
        </w:rPr>
      </w:pPr>
      <w:bookmarkStart w:id="72" w:name="_Toc127358160"/>
      <w:bookmarkStart w:id="73" w:name="_Toc132271591"/>
      <w:proofErr w:type="spellStart"/>
      <w:r w:rsidRPr="008A5C48">
        <w:rPr>
          <w:rFonts w:eastAsia="Times New Roman"/>
        </w:rPr>
        <w:lastRenderedPageBreak/>
        <w:t>eTable</w:t>
      </w:r>
      <w:proofErr w:type="spellEnd"/>
      <w:r w:rsidRPr="008A5C48">
        <w:rPr>
          <w:rFonts w:eastAsia="Times New Roman"/>
        </w:rPr>
        <w:t xml:space="preserve"> </w:t>
      </w:r>
      <w:r w:rsidR="00276BE5">
        <w:rPr>
          <w:rFonts w:eastAsia="Times New Roman"/>
        </w:rPr>
        <w:t>9</w:t>
      </w:r>
      <w:r w:rsidR="000F7444">
        <w:rPr>
          <w:rFonts w:eastAsia="Times New Roman"/>
        </w:rPr>
        <w:t>.</w:t>
      </w:r>
      <w:r w:rsidRPr="008A5C48">
        <w:rPr>
          <w:rFonts w:eastAsia="Times New Roman"/>
        </w:rPr>
        <w:t xml:space="preserve"> </w:t>
      </w:r>
      <w:r w:rsidRPr="001E4B45">
        <w:rPr>
          <w:rFonts w:eastAsia="Times New Roman"/>
          <w:b w:val="0"/>
          <w:bCs w:val="0"/>
        </w:rPr>
        <w:t>Transformation applied to continuous postnatal exposures and IQR</w:t>
      </w:r>
      <w:bookmarkEnd w:id="72"/>
      <w:bookmarkEnd w:id="73"/>
    </w:p>
    <w:p w14:paraId="1FD004A5" w14:textId="77777777" w:rsidR="003F1D16" w:rsidRPr="00376689" w:rsidRDefault="003F1D16" w:rsidP="003F1D16"/>
    <w:tbl>
      <w:tblPr>
        <w:tblStyle w:val="ac"/>
        <w:tblW w:w="6780" w:type="dxa"/>
        <w:tblInd w:w="0" w:type="dxa"/>
        <w:tblLayout w:type="fixed"/>
        <w:tblLook w:val="0400" w:firstRow="0" w:lastRow="0" w:firstColumn="0" w:lastColumn="0" w:noHBand="0" w:noVBand="1"/>
      </w:tblPr>
      <w:tblGrid>
        <w:gridCol w:w="3450"/>
        <w:gridCol w:w="2540"/>
        <w:gridCol w:w="790"/>
      </w:tblGrid>
      <w:tr w:rsidR="003F1D16" w:rsidRPr="00376689" w14:paraId="3DA6970A" w14:textId="77777777" w:rsidTr="0034607E">
        <w:trPr>
          <w:trHeight w:val="234"/>
        </w:trPr>
        <w:tc>
          <w:tcPr>
            <w:tcW w:w="3450" w:type="dxa"/>
            <w:tcBorders>
              <w:top w:val="single" w:sz="4" w:space="0" w:color="000000"/>
              <w:left w:val="nil"/>
              <w:bottom w:val="nil"/>
              <w:right w:val="nil"/>
            </w:tcBorders>
            <w:shd w:val="clear" w:color="auto" w:fill="auto"/>
            <w:vAlign w:val="bottom"/>
          </w:tcPr>
          <w:p w14:paraId="0A4EE012" w14:textId="77777777" w:rsidR="003F1D16" w:rsidRPr="00376689" w:rsidRDefault="003F1D16" w:rsidP="0034607E">
            <w:pPr>
              <w:spacing w:after="0" w:line="240" w:lineRule="auto"/>
              <w:contextualSpacing/>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Variable</w:t>
            </w:r>
          </w:p>
        </w:tc>
        <w:tc>
          <w:tcPr>
            <w:tcW w:w="2540" w:type="dxa"/>
            <w:tcBorders>
              <w:top w:val="single" w:sz="4" w:space="0" w:color="000000"/>
              <w:left w:val="nil"/>
              <w:bottom w:val="nil"/>
              <w:right w:val="nil"/>
            </w:tcBorders>
            <w:vAlign w:val="bottom"/>
          </w:tcPr>
          <w:p w14:paraId="0EF6D9E0" w14:textId="77777777" w:rsidR="003F1D16" w:rsidRPr="00376689" w:rsidRDefault="003F1D16" w:rsidP="0034607E">
            <w:pPr>
              <w:spacing w:after="0" w:line="240" w:lineRule="auto"/>
              <w:contextualSpacing/>
              <w:jc w:val="center"/>
              <w:rPr>
                <w:rFonts w:ascii="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Transformation</w:t>
            </w:r>
          </w:p>
        </w:tc>
        <w:tc>
          <w:tcPr>
            <w:tcW w:w="790" w:type="dxa"/>
            <w:tcBorders>
              <w:top w:val="single" w:sz="4" w:space="0" w:color="000000"/>
              <w:left w:val="nil"/>
              <w:bottom w:val="nil"/>
              <w:right w:val="nil"/>
            </w:tcBorders>
            <w:shd w:val="clear" w:color="auto" w:fill="auto"/>
          </w:tcPr>
          <w:p w14:paraId="2F1116DB" w14:textId="77777777" w:rsidR="003F1D16" w:rsidRPr="00376689" w:rsidRDefault="003F1D16" w:rsidP="0034607E">
            <w:pPr>
              <w:spacing w:after="0" w:line="240" w:lineRule="auto"/>
              <w:contextualSpacing/>
              <w:jc w:val="center"/>
              <w:rPr>
                <w:rFonts w:ascii="Times New Roman" w:hAnsi="Times New Roman" w:cs="Times New Roman"/>
                <w:bCs/>
                <w:color w:val="000000"/>
                <w:sz w:val="20"/>
                <w:szCs w:val="20"/>
              </w:rPr>
            </w:pPr>
            <w:proofErr w:type="spellStart"/>
            <w:r w:rsidRPr="00376689">
              <w:rPr>
                <w:rFonts w:ascii="Times New Roman" w:eastAsia="Times New Roman" w:hAnsi="Times New Roman" w:cs="Times New Roman"/>
                <w:bCs/>
                <w:color w:val="000000"/>
                <w:sz w:val="20"/>
                <w:szCs w:val="20"/>
              </w:rPr>
              <w:t>IQR</w:t>
            </w:r>
            <w:r w:rsidRPr="00376689">
              <w:rPr>
                <w:rFonts w:ascii="Times New Roman" w:eastAsia="Times New Roman" w:hAnsi="Times New Roman" w:cs="Times New Roman"/>
                <w:bCs/>
                <w:color w:val="000000"/>
                <w:sz w:val="20"/>
                <w:szCs w:val="20"/>
                <w:vertAlign w:val="superscript"/>
              </w:rPr>
              <w:t>a</w:t>
            </w:r>
            <w:proofErr w:type="spellEnd"/>
          </w:p>
        </w:tc>
      </w:tr>
      <w:tr w:rsidR="003F1D16" w:rsidRPr="008A5C48" w14:paraId="1B5E8792" w14:textId="77777777" w:rsidTr="0034607E">
        <w:trPr>
          <w:trHeight w:val="234"/>
        </w:trPr>
        <w:tc>
          <w:tcPr>
            <w:tcW w:w="3450" w:type="dxa"/>
            <w:tcBorders>
              <w:top w:val="single" w:sz="4" w:space="0" w:color="000000"/>
              <w:left w:val="nil"/>
              <w:bottom w:val="nil"/>
              <w:right w:val="nil"/>
            </w:tcBorders>
            <w:shd w:val="clear" w:color="auto" w:fill="auto"/>
            <w:vAlign w:val="bottom"/>
          </w:tcPr>
          <w:p w14:paraId="3AFD3F69"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KIDMED</w:t>
            </w:r>
          </w:p>
        </w:tc>
        <w:tc>
          <w:tcPr>
            <w:tcW w:w="2540" w:type="dxa"/>
            <w:tcBorders>
              <w:top w:val="single" w:sz="4" w:space="0" w:color="000000"/>
              <w:left w:val="nil"/>
              <w:bottom w:val="nil"/>
              <w:right w:val="nil"/>
            </w:tcBorders>
          </w:tcPr>
          <w:p w14:paraId="207684C0"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p>
        </w:tc>
        <w:tc>
          <w:tcPr>
            <w:tcW w:w="790" w:type="dxa"/>
            <w:tcBorders>
              <w:top w:val="single" w:sz="4" w:space="0" w:color="000000"/>
              <w:left w:val="nil"/>
              <w:bottom w:val="nil"/>
              <w:right w:val="nil"/>
            </w:tcBorders>
            <w:shd w:val="clear" w:color="auto" w:fill="auto"/>
            <w:vAlign w:val="bottom"/>
          </w:tcPr>
          <w:p w14:paraId="7DCF78E9"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2.00</w:t>
            </w:r>
          </w:p>
        </w:tc>
      </w:tr>
      <w:tr w:rsidR="003F1D16" w:rsidRPr="008A5C48" w14:paraId="46F01183" w14:textId="77777777" w:rsidTr="0034607E">
        <w:trPr>
          <w:trHeight w:val="234"/>
        </w:trPr>
        <w:tc>
          <w:tcPr>
            <w:tcW w:w="3450" w:type="dxa"/>
            <w:tcBorders>
              <w:top w:val="nil"/>
              <w:left w:val="nil"/>
              <w:bottom w:val="nil"/>
              <w:right w:val="nil"/>
            </w:tcBorders>
            <w:shd w:val="clear" w:color="auto" w:fill="auto"/>
            <w:vAlign w:val="bottom"/>
          </w:tcPr>
          <w:p w14:paraId="1483A882"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sleep</w:t>
            </w:r>
          </w:p>
        </w:tc>
        <w:tc>
          <w:tcPr>
            <w:tcW w:w="2540" w:type="dxa"/>
            <w:tcBorders>
              <w:top w:val="nil"/>
              <w:left w:val="nil"/>
              <w:bottom w:val="nil"/>
              <w:right w:val="nil"/>
            </w:tcBorders>
          </w:tcPr>
          <w:p w14:paraId="19E44D1C"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p>
        </w:tc>
        <w:tc>
          <w:tcPr>
            <w:tcW w:w="790" w:type="dxa"/>
            <w:tcBorders>
              <w:top w:val="nil"/>
              <w:left w:val="nil"/>
              <w:bottom w:val="nil"/>
              <w:right w:val="nil"/>
            </w:tcBorders>
            <w:shd w:val="clear" w:color="auto" w:fill="auto"/>
            <w:vAlign w:val="bottom"/>
          </w:tcPr>
          <w:p w14:paraId="666EE264"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0.93</w:t>
            </w:r>
          </w:p>
        </w:tc>
      </w:tr>
      <w:tr w:rsidR="003F1D16" w:rsidRPr="008A5C48" w14:paraId="3C4F2503" w14:textId="77777777" w:rsidTr="0034607E">
        <w:trPr>
          <w:trHeight w:val="234"/>
        </w:trPr>
        <w:tc>
          <w:tcPr>
            <w:tcW w:w="3450" w:type="dxa"/>
            <w:tcBorders>
              <w:top w:val="nil"/>
              <w:left w:val="nil"/>
              <w:bottom w:val="nil"/>
              <w:right w:val="nil"/>
            </w:tcBorders>
            <w:shd w:val="clear" w:color="auto" w:fill="auto"/>
            <w:vAlign w:val="bottom"/>
          </w:tcPr>
          <w:p w14:paraId="02DC99BF"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Physical activity</w:t>
            </w:r>
          </w:p>
        </w:tc>
        <w:tc>
          <w:tcPr>
            <w:tcW w:w="2540" w:type="dxa"/>
            <w:tcBorders>
              <w:top w:val="nil"/>
              <w:left w:val="nil"/>
              <w:bottom w:val="nil"/>
              <w:right w:val="nil"/>
            </w:tcBorders>
          </w:tcPr>
          <w:p w14:paraId="6402EEFB"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p>
        </w:tc>
        <w:tc>
          <w:tcPr>
            <w:tcW w:w="790" w:type="dxa"/>
            <w:tcBorders>
              <w:top w:val="nil"/>
              <w:left w:val="nil"/>
              <w:bottom w:val="nil"/>
              <w:right w:val="nil"/>
            </w:tcBorders>
            <w:shd w:val="clear" w:color="auto" w:fill="auto"/>
            <w:vAlign w:val="bottom"/>
          </w:tcPr>
          <w:p w14:paraId="5F96EEAC"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32.76</w:t>
            </w:r>
          </w:p>
        </w:tc>
      </w:tr>
      <w:tr w:rsidR="003F1D16" w:rsidRPr="008A5C48" w14:paraId="7DE5D1C7" w14:textId="77777777" w:rsidTr="0034607E">
        <w:trPr>
          <w:trHeight w:val="234"/>
        </w:trPr>
        <w:tc>
          <w:tcPr>
            <w:tcW w:w="3450" w:type="dxa"/>
            <w:tcBorders>
              <w:top w:val="nil"/>
              <w:left w:val="nil"/>
              <w:bottom w:val="nil"/>
              <w:right w:val="nil"/>
            </w:tcBorders>
            <w:shd w:val="clear" w:color="auto" w:fill="auto"/>
            <w:vAlign w:val="bottom"/>
          </w:tcPr>
          <w:p w14:paraId="434BA67A"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Sedentary activity</w:t>
            </w:r>
          </w:p>
        </w:tc>
        <w:tc>
          <w:tcPr>
            <w:tcW w:w="2540" w:type="dxa"/>
            <w:tcBorders>
              <w:top w:val="nil"/>
              <w:left w:val="nil"/>
              <w:bottom w:val="nil"/>
              <w:right w:val="nil"/>
            </w:tcBorders>
          </w:tcPr>
          <w:p w14:paraId="483E6D9D"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p>
        </w:tc>
        <w:tc>
          <w:tcPr>
            <w:tcW w:w="790" w:type="dxa"/>
            <w:tcBorders>
              <w:top w:val="nil"/>
              <w:left w:val="nil"/>
              <w:bottom w:val="nil"/>
              <w:right w:val="nil"/>
            </w:tcBorders>
            <w:shd w:val="clear" w:color="auto" w:fill="auto"/>
            <w:vAlign w:val="bottom"/>
          </w:tcPr>
          <w:p w14:paraId="1DFFEAF7"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130.71</w:t>
            </w:r>
          </w:p>
        </w:tc>
      </w:tr>
      <w:tr w:rsidR="003F1D16" w:rsidRPr="008A5C48" w14:paraId="6A287AA6" w14:textId="77777777" w:rsidTr="0034607E">
        <w:trPr>
          <w:trHeight w:val="234"/>
        </w:trPr>
        <w:tc>
          <w:tcPr>
            <w:tcW w:w="3450" w:type="dxa"/>
            <w:tcBorders>
              <w:top w:val="nil"/>
              <w:left w:val="nil"/>
              <w:bottom w:val="nil"/>
              <w:right w:val="nil"/>
            </w:tcBorders>
            <w:shd w:val="clear" w:color="auto" w:fill="auto"/>
            <w:vAlign w:val="bottom"/>
          </w:tcPr>
          <w:p w14:paraId="74ADCD81"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NO2 - home</w:t>
            </w:r>
          </w:p>
        </w:tc>
        <w:tc>
          <w:tcPr>
            <w:tcW w:w="2540" w:type="dxa"/>
            <w:tcBorders>
              <w:top w:val="nil"/>
              <w:left w:val="nil"/>
              <w:bottom w:val="nil"/>
              <w:right w:val="nil"/>
            </w:tcBorders>
          </w:tcPr>
          <w:p w14:paraId="4AB1C4C6"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20D6C3F6"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0.59</w:t>
            </w:r>
          </w:p>
        </w:tc>
      </w:tr>
      <w:tr w:rsidR="003F1D16" w:rsidRPr="008A5C48" w14:paraId="33CC27A9" w14:textId="77777777" w:rsidTr="0034607E">
        <w:trPr>
          <w:trHeight w:val="234"/>
        </w:trPr>
        <w:tc>
          <w:tcPr>
            <w:tcW w:w="3450" w:type="dxa"/>
            <w:tcBorders>
              <w:top w:val="nil"/>
              <w:left w:val="nil"/>
              <w:bottom w:val="nil"/>
              <w:right w:val="nil"/>
            </w:tcBorders>
            <w:shd w:val="clear" w:color="auto" w:fill="auto"/>
            <w:vAlign w:val="bottom"/>
          </w:tcPr>
          <w:p w14:paraId="2DF61AAE"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PM10 - home</w:t>
            </w:r>
          </w:p>
        </w:tc>
        <w:tc>
          <w:tcPr>
            <w:tcW w:w="2540" w:type="dxa"/>
            <w:tcBorders>
              <w:top w:val="nil"/>
              <w:left w:val="nil"/>
              <w:bottom w:val="nil"/>
              <w:right w:val="nil"/>
            </w:tcBorders>
          </w:tcPr>
          <w:p w14:paraId="556A6006"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6CF2A5B6"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10.93</w:t>
            </w:r>
          </w:p>
        </w:tc>
      </w:tr>
      <w:tr w:rsidR="003F1D16" w:rsidRPr="008A5C48" w14:paraId="74D842ED" w14:textId="77777777" w:rsidTr="0034607E">
        <w:trPr>
          <w:trHeight w:val="234"/>
        </w:trPr>
        <w:tc>
          <w:tcPr>
            <w:tcW w:w="3450" w:type="dxa"/>
            <w:tcBorders>
              <w:top w:val="nil"/>
              <w:left w:val="nil"/>
              <w:bottom w:val="nil"/>
              <w:right w:val="nil"/>
            </w:tcBorders>
            <w:shd w:val="clear" w:color="auto" w:fill="auto"/>
            <w:vAlign w:val="bottom"/>
          </w:tcPr>
          <w:p w14:paraId="3A1A51A4"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PM2.5 - home</w:t>
            </w:r>
          </w:p>
        </w:tc>
        <w:tc>
          <w:tcPr>
            <w:tcW w:w="2540" w:type="dxa"/>
            <w:tcBorders>
              <w:top w:val="nil"/>
              <w:left w:val="nil"/>
              <w:bottom w:val="nil"/>
              <w:right w:val="nil"/>
            </w:tcBorders>
          </w:tcPr>
          <w:p w14:paraId="1EBAD2DA"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0037B99C"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3.13</w:t>
            </w:r>
          </w:p>
        </w:tc>
      </w:tr>
      <w:tr w:rsidR="003F1D16" w:rsidRPr="008A5C48" w14:paraId="4F0651FE" w14:textId="77777777" w:rsidTr="0034607E">
        <w:trPr>
          <w:trHeight w:val="234"/>
        </w:trPr>
        <w:tc>
          <w:tcPr>
            <w:tcW w:w="3450" w:type="dxa"/>
            <w:tcBorders>
              <w:top w:val="nil"/>
              <w:left w:val="nil"/>
              <w:bottom w:val="nil"/>
              <w:right w:val="nil"/>
            </w:tcBorders>
            <w:shd w:val="clear" w:color="auto" w:fill="auto"/>
            <w:vAlign w:val="bottom"/>
          </w:tcPr>
          <w:p w14:paraId="278C7337"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PM2.5abs - home</w:t>
            </w:r>
          </w:p>
        </w:tc>
        <w:tc>
          <w:tcPr>
            <w:tcW w:w="2540" w:type="dxa"/>
            <w:tcBorders>
              <w:top w:val="nil"/>
              <w:left w:val="nil"/>
              <w:bottom w:val="nil"/>
              <w:right w:val="nil"/>
            </w:tcBorders>
          </w:tcPr>
          <w:p w14:paraId="522CC33F"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1A4B1F8E"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0.19</w:t>
            </w:r>
          </w:p>
        </w:tc>
      </w:tr>
      <w:tr w:rsidR="003F1D16" w:rsidRPr="008A5C48" w14:paraId="548531EA" w14:textId="77777777" w:rsidTr="0034607E">
        <w:trPr>
          <w:trHeight w:val="234"/>
        </w:trPr>
        <w:tc>
          <w:tcPr>
            <w:tcW w:w="3450" w:type="dxa"/>
            <w:tcBorders>
              <w:top w:val="nil"/>
              <w:left w:val="nil"/>
              <w:bottom w:val="nil"/>
              <w:right w:val="nil"/>
            </w:tcBorders>
            <w:shd w:val="clear" w:color="auto" w:fill="auto"/>
            <w:vAlign w:val="bottom"/>
          </w:tcPr>
          <w:p w14:paraId="40845B15"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NO2 - school</w:t>
            </w:r>
          </w:p>
        </w:tc>
        <w:tc>
          <w:tcPr>
            <w:tcW w:w="2540" w:type="dxa"/>
            <w:tcBorders>
              <w:top w:val="nil"/>
              <w:left w:val="nil"/>
              <w:bottom w:val="nil"/>
              <w:right w:val="nil"/>
            </w:tcBorders>
          </w:tcPr>
          <w:p w14:paraId="30A71E5B"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164447DA"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0.54</w:t>
            </w:r>
          </w:p>
        </w:tc>
      </w:tr>
      <w:tr w:rsidR="003F1D16" w:rsidRPr="008A5C48" w14:paraId="396C12B6" w14:textId="77777777" w:rsidTr="0034607E">
        <w:trPr>
          <w:trHeight w:val="234"/>
        </w:trPr>
        <w:tc>
          <w:tcPr>
            <w:tcW w:w="3450" w:type="dxa"/>
            <w:tcBorders>
              <w:top w:val="nil"/>
              <w:left w:val="nil"/>
              <w:bottom w:val="nil"/>
              <w:right w:val="nil"/>
            </w:tcBorders>
            <w:shd w:val="clear" w:color="auto" w:fill="auto"/>
            <w:vAlign w:val="bottom"/>
          </w:tcPr>
          <w:p w14:paraId="14D8AEEF"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 2.5 - school</w:t>
            </w:r>
          </w:p>
        </w:tc>
        <w:tc>
          <w:tcPr>
            <w:tcW w:w="2540" w:type="dxa"/>
            <w:tcBorders>
              <w:top w:val="nil"/>
              <w:left w:val="nil"/>
              <w:bottom w:val="nil"/>
              <w:right w:val="nil"/>
            </w:tcBorders>
          </w:tcPr>
          <w:p w14:paraId="57BBC0E4"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58E3E243"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3.00</w:t>
            </w:r>
          </w:p>
        </w:tc>
      </w:tr>
      <w:tr w:rsidR="003F1D16" w:rsidRPr="008A5C48" w14:paraId="39A9EE5C" w14:textId="77777777" w:rsidTr="0034607E">
        <w:trPr>
          <w:trHeight w:val="234"/>
        </w:trPr>
        <w:tc>
          <w:tcPr>
            <w:tcW w:w="3450" w:type="dxa"/>
            <w:tcBorders>
              <w:top w:val="nil"/>
              <w:left w:val="nil"/>
              <w:bottom w:val="nil"/>
              <w:right w:val="nil"/>
            </w:tcBorders>
            <w:shd w:val="clear" w:color="auto" w:fill="auto"/>
            <w:vAlign w:val="bottom"/>
          </w:tcPr>
          <w:p w14:paraId="021698F4"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 2.5 abs - school</w:t>
            </w:r>
          </w:p>
        </w:tc>
        <w:tc>
          <w:tcPr>
            <w:tcW w:w="2540" w:type="dxa"/>
            <w:tcBorders>
              <w:top w:val="nil"/>
              <w:left w:val="nil"/>
              <w:bottom w:val="nil"/>
              <w:right w:val="nil"/>
            </w:tcBorders>
          </w:tcPr>
          <w:p w14:paraId="37F66B09"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0374FA10"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0.60</w:t>
            </w:r>
          </w:p>
        </w:tc>
      </w:tr>
      <w:tr w:rsidR="003F1D16" w:rsidRPr="008A5C48" w14:paraId="1FBAAA3E" w14:textId="77777777" w:rsidTr="0034607E">
        <w:trPr>
          <w:trHeight w:val="234"/>
        </w:trPr>
        <w:tc>
          <w:tcPr>
            <w:tcW w:w="3450" w:type="dxa"/>
            <w:tcBorders>
              <w:top w:val="nil"/>
              <w:left w:val="nil"/>
              <w:bottom w:val="nil"/>
              <w:right w:val="nil"/>
            </w:tcBorders>
            <w:shd w:val="clear" w:color="auto" w:fill="auto"/>
            <w:vAlign w:val="bottom"/>
          </w:tcPr>
          <w:p w14:paraId="472A2241"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Temperature</w:t>
            </w:r>
          </w:p>
        </w:tc>
        <w:tc>
          <w:tcPr>
            <w:tcW w:w="2540" w:type="dxa"/>
            <w:tcBorders>
              <w:top w:val="nil"/>
              <w:left w:val="nil"/>
              <w:bottom w:val="nil"/>
              <w:right w:val="nil"/>
            </w:tcBorders>
          </w:tcPr>
          <w:p w14:paraId="3670E17E"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23877C5C"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9.36</w:t>
            </w:r>
          </w:p>
        </w:tc>
      </w:tr>
      <w:tr w:rsidR="003F1D16" w:rsidRPr="008A5C48" w14:paraId="3A08FBAD" w14:textId="77777777" w:rsidTr="0034607E">
        <w:trPr>
          <w:trHeight w:val="234"/>
        </w:trPr>
        <w:tc>
          <w:tcPr>
            <w:tcW w:w="3450" w:type="dxa"/>
            <w:tcBorders>
              <w:top w:val="nil"/>
              <w:left w:val="nil"/>
              <w:bottom w:val="nil"/>
              <w:right w:val="nil"/>
            </w:tcBorders>
            <w:shd w:val="clear" w:color="auto" w:fill="auto"/>
            <w:vAlign w:val="bottom"/>
          </w:tcPr>
          <w:p w14:paraId="5721D7AD"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Humidity</w:t>
            </w:r>
          </w:p>
        </w:tc>
        <w:tc>
          <w:tcPr>
            <w:tcW w:w="2540" w:type="dxa"/>
            <w:tcBorders>
              <w:top w:val="nil"/>
              <w:left w:val="nil"/>
              <w:bottom w:val="nil"/>
              <w:right w:val="nil"/>
            </w:tcBorders>
          </w:tcPr>
          <w:p w14:paraId="485BE8CE"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08FF0254"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15.91</w:t>
            </w:r>
          </w:p>
        </w:tc>
      </w:tr>
      <w:tr w:rsidR="003F1D16" w:rsidRPr="008A5C48" w14:paraId="114E611C" w14:textId="77777777" w:rsidTr="0034607E">
        <w:trPr>
          <w:trHeight w:val="234"/>
        </w:trPr>
        <w:tc>
          <w:tcPr>
            <w:tcW w:w="3450" w:type="dxa"/>
            <w:tcBorders>
              <w:top w:val="nil"/>
              <w:left w:val="nil"/>
              <w:bottom w:val="nil"/>
              <w:right w:val="nil"/>
            </w:tcBorders>
            <w:shd w:val="clear" w:color="auto" w:fill="auto"/>
            <w:vAlign w:val="bottom"/>
          </w:tcPr>
          <w:p w14:paraId="05ABE74E"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Uv</w:t>
            </w:r>
            <w:proofErr w:type="spellEnd"/>
          </w:p>
        </w:tc>
        <w:tc>
          <w:tcPr>
            <w:tcW w:w="2540" w:type="dxa"/>
            <w:tcBorders>
              <w:top w:val="nil"/>
              <w:left w:val="nil"/>
              <w:bottom w:val="nil"/>
              <w:right w:val="nil"/>
            </w:tcBorders>
          </w:tcPr>
          <w:p w14:paraId="2ED54B71"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47BBF90E"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2.16</w:t>
            </w:r>
          </w:p>
        </w:tc>
      </w:tr>
      <w:tr w:rsidR="003F1D16" w:rsidRPr="008A5C48" w14:paraId="1E1AF39C" w14:textId="77777777" w:rsidTr="0034607E">
        <w:trPr>
          <w:trHeight w:val="234"/>
        </w:trPr>
        <w:tc>
          <w:tcPr>
            <w:tcW w:w="3450" w:type="dxa"/>
            <w:tcBorders>
              <w:top w:val="nil"/>
              <w:left w:val="nil"/>
              <w:bottom w:val="nil"/>
              <w:right w:val="nil"/>
            </w:tcBorders>
            <w:shd w:val="clear" w:color="auto" w:fill="auto"/>
            <w:vAlign w:val="bottom"/>
          </w:tcPr>
          <w:p w14:paraId="06F02C8B"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NDVI - home</w:t>
            </w:r>
          </w:p>
        </w:tc>
        <w:tc>
          <w:tcPr>
            <w:tcW w:w="2540" w:type="dxa"/>
            <w:tcBorders>
              <w:top w:val="nil"/>
              <w:left w:val="nil"/>
              <w:bottom w:val="nil"/>
              <w:right w:val="nil"/>
            </w:tcBorders>
          </w:tcPr>
          <w:p w14:paraId="46E97AE8"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061CE8C8"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0.26</w:t>
            </w:r>
          </w:p>
        </w:tc>
      </w:tr>
      <w:tr w:rsidR="003F1D16" w:rsidRPr="008A5C48" w14:paraId="236968E0" w14:textId="77777777" w:rsidTr="0034607E">
        <w:trPr>
          <w:trHeight w:val="234"/>
        </w:trPr>
        <w:tc>
          <w:tcPr>
            <w:tcW w:w="3450" w:type="dxa"/>
            <w:tcBorders>
              <w:top w:val="nil"/>
              <w:left w:val="nil"/>
              <w:bottom w:val="nil"/>
              <w:right w:val="nil"/>
            </w:tcBorders>
            <w:shd w:val="clear" w:color="auto" w:fill="auto"/>
            <w:vAlign w:val="bottom"/>
          </w:tcPr>
          <w:p w14:paraId="0B006EEF"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NDVI - school</w:t>
            </w:r>
          </w:p>
        </w:tc>
        <w:tc>
          <w:tcPr>
            <w:tcW w:w="2540" w:type="dxa"/>
            <w:tcBorders>
              <w:top w:val="nil"/>
              <w:left w:val="nil"/>
              <w:bottom w:val="nil"/>
              <w:right w:val="nil"/>
            </w:tcBorders>
          </w:tcPr>
          <w:p w14:paraId="2AAC7056"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345E5ED9"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0.21</w:t>
            </w:r>
          </w:p>
        </w:tc>
      </w:tr>
      <w:tr w:rsidR="003F1D16" w:rsidRPr="008A5C48" w14:paraId="6E42B538" w14:textId="77777777" w:rsidTr="0034607E">
        <w:trPr>
          <w:trHeight w:val="234"/>
        </w:trPr>
        <w:tc>
          <w:tcPr>
            <w:tcW w:w="3450" w:type="dxa"/>
            <w:tcBorders>
              <w:top w:val="nil"/>
              <w:left w:val="nil"/>
              <w:bottom w:val="nil"/>
              <w:right w:val="nil"/>
            </w:tcBorders>
            <w:shd w:val="clear" w:color="auto" w:fill="auto"/>
            <w:vAlign w:val="bottom"/>
          </w:tcPr>
          <w:p w14:paraId="1DE91C23"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Population density - home</w:t>
            </w:r>
          </w:p>
        </w:tc>
        <w:tc>
          <w:tcPr>
            <w:tcW w:w="2540" w:type="dxa"/>
            <w:tcBorders>
              <w:top w:val="nil"/>
              <w:left w:val="nil"/>
              <w:bottom w:val="nil"/>
              <w:right w:val="nil"/>
            </w:tcBorders>
          </w:tcPr>
          <w:p w14:paraId="12E93E7D"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Sqrt</w:t>
            </w:r>
          </w:p>
        </w:tc>
        <w:tc>
          <w:tcPr>
            <w:tcW w:w="790" w:type="dxa"/>
            <w:tcBorders>
              <w:top w:val="nil"/>
              <w:left w:val="nil"/>
              <w:bottom w:val="nil"/>
              <w:right w:val="nil"/>
            </w:tcBorders>
            <w:shd w:val="clear" w:color="auto" w:fill="auto"/>
            <w:vAlign w:val="bottom"/>
          </w:tcPr>
          <w:p w14:paraId="190EF7BC"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51.70</w:t>
            </w:r>
          </w:p>
        </w:tc>
      </w:tr>
      <w:tr w:rsidR="003F1D16" w:rsidRPr="008A5C48" w14:paraId="4EC9B7A4" w14:textId="77777777" w:rsidTr="0034607E">
        <w:trPr>
          <w:trHeight w:val="234"/>
        </w:trPr>
        <w:tc>
          <w:tcPr>
            <w:tcW w:w="3450" w:type="dxa"/>
            <w:tcBorders>
              <w:top w:val="nil"/>
              <w:left w:val="nil"/>
              <w:bottom w:val="nil"/>
              <w:right w:val="nil"/>
            </w:tcBorders>
            <w:shd w:val="clear" w:color="auto" w:fill="auto"/>
            <w:vAlign w:val="bottom"/>
          </w:tcPr>
          <w:p w14:paraId="102F21F4"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Population density - school</w:t>
            </w:r>
          </w:p>
        </w:tc>
        <w:tc>
          <w:tcPr>
            <w:tcW w:w="2540" w:type="dxa"/>
            <w:tcBorders>
              <w:top w:val="nil"/>
              <w:left w:val="nil"/>
              <w:bottom w:val="nil"/>
              <w:right w:val="nil"/>
            </w:tcBorders>
          </w:tcPr>
          <w:p w14:paraId="7B3643CF"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Sqrt</w:t>
            </w:r>
          </w:p>
        </w:tc>
        <w:tc>
          <w:tcPr>
            <w:tcW w:w="790" w:type="dxa"/>
            <w:tcBorders>
              <w:top w:val="nil"/>
              <w:left w:val="nil"/>
              <w:bottom w:val="nil"/>
              <w:right w:val="nil"/>
            </w:tcBorders>
            <w:shd w:val="clear" w:color="auto" w:fill="auto"/>
            <w:vAlign w:val="bottom"/>
          </w:tcPr>
          <w:p w14:paraId="6BD468EA"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45.97</w:t>
            </w:r>
          </w:p>
        </w:tc>
      </w:tr>
      <w:tr w:rsidR="003F1D16" w:rsidRPr="008A5C48" w14:paraId="6516C8AD" w14:textId="77777777" w:rsidTr="0034607E">
        <w:trPr>
          <w:trHeight w:val="234"/>
        </w:trPr>
        <w:tc>
          <w:tcPr>
            <w:tcW w:w="3450" w:type="dxa"/>
            <w:tcBorders>
              <w:top w:val="nil"/>
              <w:left w:val="nil"/>
              <w:bottom w:val="nil"/>
              <w:right w:val="nil"/>
            </w:tcBorders>
            <w:shd w:val="clear" w:color="auto" w:fill="auto"/>
            <w:vAlign w:val="bottom"/>
          </w:tcPr>
          <w:p w14:paraId="2B96F84E"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Built density - home</w:t>
            </w:r>
          </w:p>
        </w:tc>
        <w:tc>
          <w:tcPr>
            <w:tcW w:w="2540" w:type="dxa"/>
            <w:tcBorders>
              <w:top w:val="nil"/>
              <w:left w:val="nil"/>
              <w:bottom w:val="nil"/>
              <w:right w:val="nil"/>
            </w:tcBorders>
          </w:tcPr>
          <w:p w14:paraId="59C08720"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Sqrt</w:t>
            </w:r>
          </w:p>
        </w:tc>
        <w:tc>
          <w:tcPr>
            <w:tcW w:w="790" w:type="dxa"/>
            <w:tcBorders>
              <w:top w:val="nil"/>
              <w:left w:val="nil"/>
              <w:bottom w:val="nil"/>
              <w:right w:val="nil"/>
            </w:tcBorders>
            <w:shd w:val="clear" w:color="auto" w:fill="auto"/>
            <w:vAlign w:val="bottom"/>
          </w:tcPr>
          <w:p w14:paraId="4A0CB8B5"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183.52</w:t>
            </w:r>
          </w:p>
        </w:tc>
      </w:tr>
      <w:tr w:rsidR="003F1D16" w:rsidRPr="008A5C48" w14:paraId="008576E3" w14:textId="77777777" w:rsidTr="0034607E">
        <w:trPr>
          <w:trHeight w:val="234"/>
        </w:trPr>
        <w:tc>
          <w:tcPr>
            <w:tcW w:w="3450" w:type="dxa"/>
            <w:tcBorders>
              <w:top w:val="nil"/>
              <w:left w:val="nil"/>
              <w:bottom w:val="nil"/>
              <w:right w:val="nil"/>
            </w:tcBorders>
            <w:shd w:val="clear" w:color="auto" w:fill="auto"/>
            <w:vAlign w:val="bottom"/>
          </w:tcPr>
          <w:p w14:paraId="361D7548"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Built density - school</w:t>
            </w:r>
          </w:p>
        </w:tc>
        <w:tc>
          <w:tcPr>
            <w:tcW w:w="2540" w:type="dxa"/>
            <w:tcBorders>
              <w:top w:val="nil"/>
              <w:left w:val="nil"/>
              <w:bottom w:val="nil"/>
              <w:right w:val="nil"/>
            </w:tcBorders>
          </w:tcPr>
          <w:p w14:paraId="23291C3B"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Sqrt</w:t>
            </w:r>
          </w:p>
        </w:tc>
        <w:tc>
          <w:tcPr>
            <w:tcW w:w="790" w:type="dxa"/>
            <w:tcBorders>
              <w:top w:val="nil"/>
              <w:left w:val="nil"/>
              <w:bottom w:val="nil"/>
              <w:right w:val="nil"/>
            </w:tcBorders>
            <w:shd w:val="clear" w:color="auto" w:fill="auto"/>
            <w:vAlign w:val="bottom"/>
          </w:tcPr>
          <w:p w14:paraId="7B2CCB70"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138.99</w:t>
            </w:r>
          </w:p>
        </w:tc>
      </w:tr>
      <w:tr w:rsidR="003F1D16" w:rsidRPr="008A5C48" w14:paraId="369F3F43" w14:textId="77777777" w:rsidTr="0034607E">
        <w:trPr>
          <w:trHeight w:val="234"/>
        </w:trPr>
        <w:tc>
          <w:tcPr>
            <w:tcW w:w="3450" w:type="dxa"/>
            <w:tcBorders>
              <w:top w:val="nil"/>
              <w:left w:val="nil"/>
              <w:bottom w:val="nil"/>
              <w:right w:val="nil"/>
            </w:tcBorders>
            <w:shd w:val="clear" w:color="auto" w:fill="auto"/>
            <w:vAlign w:val="bottom"/>
          </w:tcPr>
          <w:p w14:paraId="1B2E84DC"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Connect density - home</w:t>
            </w:r>
          </w:p>
        </w:tc>
        <w:tc>
          <w:tcPr>
            <w:tcW w:w="2540" w:type="dxa"/>
            <w:tcBorders>
              <w:top w:val="nil"/>
              <w:left w:val="nil"/>
              <w:bottom w:val="nil"/>
              <w:right w:val="nil"/>
            </w:tcBorders>
          </w:tcPr>
          <w:p w14:paraId="62ABADB5"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Sqrt</w:t>
            </w:r>
          </w:p>
        </w:tc>
        <w:tc>
          <w:tcPr>
            <w:tcW w:w="790" w:type="dxa"/>
            <w:tcBorders>
              <w:top w:val="nil"/>
              <w:left w:val="nil"/>
              <w:bottom w:val="nil"/>
              <w:right w:val="nil"/>
            </w:tcBorders>
            <w:shd w:val="clear" w:color="auto" w:fill="auto"/>
            <w:vAlign w:val="bottom"/>
          </w:tcPr>
          <w:p w14:paraId="6F33F086"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0.73</w:t>
            </w:r>
          </w:p>
        </w:tc>
      </w:tr>
      <w:tr w:rsidR="003F1D16" w:rsidRPr="008A5C48" w14:paraId="19336089" w14:textId="77777777" w:rsidTr="0034607E">
        <w:trPr>
          <w:trHeight w:val="234"/>
        </w:trPr>
        <w:tc>
          <w:tcPr>
            <w:tcW w:w="3450" w:type="dxa"/>
            <w:tcBorders>
              <w:top w:val="nil"/>
              <w:left w:val="nil"/>
              <w:bottom w:val="nil"/>
              <w:right w:val="nil"/>
            </w:tcBorders>
            <w:shd w:val="clear" w:color="auto" w:fill="auto"/>
            <w:vAlign w:val="bottom"/>
          </w:tcPr>
          <w:p w14:paraId="164ACD7A"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Connect density - school</w:t>
            </w:r>
          </w:p>
        </w:tc>
        <w:tc>
          <w:tcPr>
            <w:tcW w:w="2540" w:type="dxa"/>
            <w:tcBorders>
              <w:top w:val="nil"/>
              <w:left w:val="nil"/>
              <w:bottom w:val="nil"/>
              <w:right w:val="nil"/>
            </w:tcBorders>
          </w:tcPr>
          <w:p w14:paraId="4EB97685"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Sqrt</w:t>
            </w:r>
          </w:p>
        </w:tc>
        <w:tc>
          <w:tcPr>
            <w:tcW w:w="790" w:type="dxa"/>
            <w:tcBorders>
              <w:top w:val="nil"/>
              <w:left w:val="nil"/>
              <w:bottom w:val="nil"/>
              <w:right w:val="nil"/>
            </w:tcBorders>
            <w:shd w:val="clear" w:color="auto" w:fill="auto"/>
            <w:vAlign w:val="bottom"/>
          </w:tcPr>
          <w:p w14:paraId="3C04A4CF"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0.60</w:t>
            </w:r>
          </w:p>
        </w:tc>
      </w:tr>
      <w:tr w:rsidR="003F1D16" w:rsidRPr="008A5C48" w14:paraId="57AE73B8" w14:textId="77777777" w:rsidTr="0034607E">
        <w:trPr>
          <w:trHeight w:val="234"/>
        </w:trPr>
        <w:tc>
          <w:tcPr>
            <w:tcW w:w="3450" w:type="dxa"/>
            <w:tcBorders>
              <w:top w:val="nil"/>
              <w:left w:val="nil"/>
              <w:bottom w:val="nil"/>
              <w:right w:val="nil"/>
            </w:tcBorders>
            <w:shd w:val="clear" w:color="auto" w:fill="auto"/>
            <w:vAlign w:val="bottom"/>
          </w:tcPr>
          <w:p w14:paraId="630B183F"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Bststop</w:t>
            </w:r>
            <w:proofErr w:type="spellEnd"/>
            <w:r w:rsidRPr="008A5C48">
              <w:rPr>
                <w:rFonts w:ascii="Times New Roman" w:eastAsia="Times New Roman" w:hAnsi="Times New Roman" w:cs="Times New Roman"/>
                <w:color w:val="000000"/>
                <w:sz w:val="20"/>
                <w:szCs w:val="20"/>
              </w:rPr>
              <w:t xml:space="preserve"> density - home</w:t>
            </w:r>
          </w:p>
        </w:tc>
        <w:tc>
          <w:tcPr>
            <w:tcW w:w="2540" w:type="dxa"/>
            <w:tcBorders>
              <w:top w:val="nil"/>
              <w:left w:val="nil"/>
              <w:bottom w:val="nil"/>
              <w:right w:val="nil"/>
            </w:tcBorders>
          </w:tcPr>
          <w:p w14:paraId="3BAE16BB"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20AAE8B7"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1.25</w:t>
            </w:r>
          </w:p>
        </w:tc>
      </w:tr>
      <w:tr w:rsidR="003F1D16" w:rsidRPr="008A5C48" w14:paraId="634ED5A6" w14:textId="77777777" w:rsidTr="0034607E">
        <w:trPr>
          <w:trHeight w:val="234"/>
        </w:trPr>
        <w:tc>
          <w:tcPr>
            <w:tcW w:w="3450" w:type="dxa"/>
            <w:tcBorders>
              <w:top w:val="nil"/>
              <w:left w:val="nil"/>
              <w:bottom w:val="nil"/>
              <w:right w:val="nil"/>
            </w:tcBorders>
            <w:shd w:val="clear" w:color="auto" w:fill="auto"/>
            <w:vAlign w:val="bottom"/>
          </w:tcPr>
          <w:p w14:paraId="5A9A3F5F"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Bststop</w:t>
            </w:r>
            <w:proofErr w:type="spellEnd"/>
            <w:r w:rsidRPr="008A5C48">
              <w:rPr>
                <w:rFonts w:ascii="Times New Roman" w:eastAsia="Times New Roman" w:hAnsi="Times New Roman" w:cs="Times New Roman"/>
                <w:color w:val="000000"/>
                <w:sz w:val="20"/>
                <w:szCs w:val="20"/>
              </w:rPr>
              <w:t xml:space="preserve"> density - school</w:t>
            </w:r>
          </w:p>
        </w:tc>
        <w:tc>
          <w:tcPr>
            <w:tcW w:w="2540" w:type="dxa"/>
            <w:tcBorders>
              <w:top w:val="nil"/>
              <w:left w:val="nil"/>
              <w:bottom w:val="nil"/>
              <w:right w:val="nil"/>
            </w:tcBorders>
          </w:tcPr>
          <w:p w14:paraId="6A7DFE12"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7E88DB37"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1.10</w:t>
            </w:r>
          </w:p>
        </w:tc>
      </w:tr>
      <w:tr w:rsidR="003F1D16" w:rsidRPr="008A5C48" w14:paraId="7A96CBC3" w14:textId="77777777" w:rsidTr="0034607E">
        <w:trPr>
          <w:trHeight w:val="234"/>
        </w:trPr>
        <w:tc>
          <w:tcPr>
            <w:tcW w:w="3450" w:type="dxa"/>
            <w:tcBorders>
              <w:top w:val="nil"/>
              <w:left w:val="nil"/>
              <w:bottom w:val="nil"/>
              <w:right w:val="nil"/>
            </w:tcBorders>
            <w:shd w:val="clear" w:color="auto" w:fill="auto"/>
            <w:vAlign w:val="bottom"/>
          </w:tcPr>
          <w:p w14:paraId="62672721"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Facility richness - home</w:t>
            </w:r>
          </w:p>
        </w:tc>
        <w:tc>
          <w:tcPr>
            <w:tcW w:w="2540" w:type="dxa"/>
            <w:tcBorders>
              <w:top w:val="nil"/>
              <w:left w:val="nil"/>
              <w:bottom w:val="nil"/>
              <w:right w:val="nil"/>
            </w:tcBorders>
          </w:tcPr>
          <w:p w14:paraId="2A55176C"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1D705C6F"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0.11</w:t>
            </w:r>
          </w:p>
        </w:tc>
      </w:tr>
      <w:tr w:rsidR="003F1D16" w:rsidRPr="008A5C48" w14:paraId="15585008" w14:textId="77777777" w:rsidTr="0034607E">
        <w:trPr>
          <w:trHeight w:val="234"/>
        </w:trPr>
        <w:tc>
          <w:tcPr>
            <w:tcW w:w="3450" w:type="dxa"/>
            <w:tcBorders>
              <w:top w:val="nil"/>
              <w:left w:val="nil"/>
              <w:bottom w:val="nil"/>
              <w:right w:val="nil"/>
            </w:tcBorders>
            <w:shd w:val="clear" w:color="auto" w:fill="auto"/>
            <w:vAlign w:val="bottom"/>
          </w:tcPr>
          <w:p w14:paraId="0613F5F3"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Facility richness - school</w:t>
            </w:r>
          </w:p>
        </w:tc>
        <w:tc>
          <w:tcPr>
            <w:tcW w:w="2540" w:type="dxa"/>
            <w:tcBorders>
              <w:top w:val="nil"/>
              <w:left w:val="nil"/>
              <w:bottom w:val="nil"/>
              <w:right w:val="nil"/>
            </w:tcBorders>
          </w:tcPr>
          <w:p w14:paraId="46CF135D"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1126B772"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0.11</w:t>
            </w:r>
          </w:p>
        </w:tc>
      </w:tr>
      <w:tr w:rsidR="003F1D16" w:rsidRPr="008A5C48" w14:paraId="10FFA17D" w14:textId="77777777" w:rsidTr="0034607E">
        <w:trPr>
          <w:trHeight w:val="234"/>
        </w:trPr>
        <w:tc>
          <w:tcPr>
            <w:tcW w:w="3450" w:type="dxa"/>
            <w:tcBorders>
              <w:top w:val="nil"/>
              <w:left w:val="nil"/>
              <w:bottom w:val="nil"/>
              <w:right w:val="nil"/>
            </w:tcBorders>
            <w:shd w:val="clear" w:color="auto" w:fill="auto"/>
            <w:vAlign w:val="bottom"/>
          </w:tcPr>
          <w:p w14:paraId="7802FE8C"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Facility density - home</w:t>
            </w:r>
          </w:p>
        </w:tc>
        <w:tc>
          <w:tcPr>
            <w:tcW w:w="2540" w:type="dxa"/>
            <w:tcBorders>
              <w:top w:val="nil"/>
              <w:left w:val="nil"/>
              <w:bottom w:val="nil"/>
              <w:right w:val="nil"/>
            </w:tcBorders>
          </w:tcPr>
          <w:p w14:paraId="25EC312E"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71276FF9"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1.47</w:t>
            </w:r>
          </w:p>
        </w:tc>
      </w:tr>
      <w:tr w:rsidR="003F1D16" w:rsidRPr="008A5C48" w14:paraId="43E22560" w14:textId="77777777" w:rsidTr="0034607E">
        <w:trPr>
          <w:trHeight w:val="234"/>
        </w:trPr>
        <w:tc>
          <w:tcPr>
            <w:tcW w:w="3450" w:type="dxa"/>
            <w:tcBorders>
              <w:top w:val="nil"/>
              <w:left w:val="nil"/>
              <w:bottom w:val="nil"/>
              <w:right w:val="nil"/>
            </w:tcBorders>
            <w:shd w:val="clear" w:color="auto" w:fill="auto"/>
            <w:vAlign w:val="bottom"/>
          </w:tcPr>
          <w:p w14:paraId="39E2FFF8"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Facility density - school</w:t>
            </w:r>
          </w:p>
        </w:tc>
        <w:tc>
          <w:tcPr>
            <w:tcW w:w="2540" w:type="dxa"/>
            <w:tcBorders>
              <w:top w:val="nil"/>
              <w:left w:val="nil"/>
              <w:bottom w:val="nil"/>
              <w:right w:val="nil"/>
            </w:tcBorders>
          </w:tcPr>
          <w:p w14:paraId="5482927A"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303A33CE"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1.39</w:t>
            </w:r>
          </w:p>
        </w:tc>
      </w:tr>
      <w:tr w:rsidR="003F1D16" w:rsidRPr="008A5C48" w14:paraId="01419B6C" w14:textId="77777777" w:rsidTr="0034607E">
        <w:trPr>
          <w:trHeight w:val="234"/>
        </w:trPr>
        <w:tc>
          <w:tcPr>
            <w:tcW w:w="3450" w:type="dxa"/>
            <w:tcBorders>
              <w:top w:val="nil"/>
              <w:left w:val="nil"/>
              <w:bottom w:val="nil"/>
              <w:right w:val="nil"/>
            </w:tcBorders>
            <w:shd w:val="clear" w:color="auto" w:fill="auto"/>
            <w:vAlign w:val="bottom"/>
          </w:tcPr>
          <w:p w14:paraId="55C0AEE9"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SEI - home</w:t>
            </w:r>
          </w:p>
        </w:tc>
        <w:tc>
          <w:tcPr>
            <w:tcW w:w="2540" w:type="dxa"/>
            <w:tcBorders>
              <w:top w:val="nil"/>
              <w:left w:val="nil"/>
              <w:bottom w:val="nil"/>
              <w:right w:val="nil"/>
            </w:tcBorders>
          </w:tcPr>
          <w:p w14:paraId="5C031515"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7D4CAACE"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0.18</w:t>
            </w:r>
          </w:p>
        </w:tc>
      </w:tr>
      <w:tr w:rsidR="003F1D16" w:rsidRPr="008A5C48" w14:paraId="358C8167" w14:textId="77777777" w:rsidTr="0034607E">
        <w:trPr>
          <w:trHeight w:val="234"/>
        </w:trPr>
        <w:tc>
          <w:tcPr>
            <w:tcW w:w="3450" w:type="dxa"/>
            <w:tcBorders>
              <w:top w:val="nil"/>
              <w:left w:val="nil"/>
              <w:bottom w:val="nil"/>
              <w:right w:val="nil"/>
            </w:tcBorders>
            <w:shd w:val="clear" w:color="auto" w:fill="auto"/>
            <w:vAlign w:val="bottom"/>
          </w:tcPr>
          <w:p w14:paraId="4CF43801"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SEI - school</w:t>
            </w:r>
          </w:p>
        </w:tc>
        <w:tc>
          <w:tcPr>
            <w:tcW w:w="2540" w:type="dxa"/>
            <w:tcBorders>
              <w:top w:val="nil"/>
              <w:left w:val="nil"/>
              <w:bottom w:val="nil"/>
              <w:right w:val="nil"/>
            </w:tcBorders>
          </w:tcPr>
          <w:p w14:paraId="501559ED"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5E27BD0D"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0.19</w:t>
            </w:r>
          </w:p>
        </w:tc>
      </w:tr>
      <w:tr w:rsidR="003F1D16" w:rsidRPr="008A5C48" w14:paraId="6C92258F" w14:textId="77777777" w:rsidTr="0034607E">
        <w:trPr>
          <w:trHeight w:val="234"/>
        </w:trPr>
        <w:tc>
          <w:tcPr>
            <w:tcW w:w="3450" w:type="dxa"/>
            <w:tcBorders>
              <w:top w:val="nil"/>
              <w:left w:val="nil"/>
              <w:bottom w:val="nil"/>
              <w:right w:val="nil"/>
            </w:tcBorders>
            <w:shd w:val="clear" w:color="auto" w:fill="auto"/>
            <w:vAlign w:val="bottom"/>
          </w:tcPr>
          <w:p w14:paraId="6A4D128C"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walkability - home</w:t>
            </w:r>
          </w:p>
        </w:tc>
        <w:tc>
          <w:tcPr>
            <w:tcW w:w="2540" w:type="dxa"/>
            <w:tcBorders>
              <w:top w:val="nil"/>
              <w:left w:val="nil"/>
              <w:bottom w:val="nil"/>
              <w:right w:val="nil"/>
            </w:tcBorders>
          </w:tcPr>
          <w:p w14:paraId="29CD85AA"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4C8D8773"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0.15</w:t>
            </w:r>
          </w:p>
        </w:tc>
      </w:tr>
      <w:tr w:rsidR="003F1D16" w:rsidRPr="008A5C48" w14:paraId="76F8080A" w14:textId="77777777" w:rsidTr="0034607E">
        <w:trPr>
          <w:trHeight w:val="234"/>
        </w:trPr>
        <w:tc>
          <w:tcPr>
            <w:tcW w:w="3450" w:type="dxa"/>
            <w:tcBorders>
              <w:top w:val="nil"/>
              <w:left w:val="nil"/>
              <w:bottom w:val="nil"/>
              <w:right w:val="nil"/>
            </w:tcBorders>
            <w:shd w:val="clear" w:color="auto" w:fill="auto"/>
            <w:vAlign w:val="bottom"/>
          </w:tcPr>
          <w:p w14:paraId="3DB7D689"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walkability - school</w:t>
            </w:r>
          </w:p>
        </w:tc>
        <w:tc>
          <w:tcPr>
            <w:tcW w:w="2540" w:type="dxa"/>
            <w:tcBorders>
              <w:top w:val="nil"/>
              <w:left w:val="nil"/>
              <w:bottom w:val="nil"/>
              <w:right w:val="nil"/>
            </w:tcBorders>
          </w:tcPr>
          <w:p w14:paraId="50AE1BB6"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w:t>
            </w:r>
          </w:p>
        </w:tc>
        <w:tc>
          <w:tcPr>
            <w:tcW w:w="790" w:type="dxa"/>
            <w:tcBorders>
              <w:top w:val="nil"/>
              <w:left w:val="nil"/>
              <w:bottom w:val="nil"/>
              <w:right w:val="nil"/>
            </w:tcBorders>
            <w:shd w:val="clear" w:color="auto" w:fill="auto"/>
            <w:vAlign w:val="bottom"/>
          </w:tcPr>
          <w:p w14:paraId="4269FC12"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0.13</w:t>
            </w:r>
          </w:p>
        </w:tc>
      </w:tr>
      <w:tr w:rsidR="003F1D16" w:rsidRPr="008A5C48" w14:paraId="4257D673" w14:textId="77777777" w:rsidTr="0034607E">
        <w:trPr>
          <w:trHeight w:val="234"/>
        </w:trPr>
        <w:tc>
          <w:tcPr>
            <w:tcW w:w="3450" w:type="dxa"/>
            <w:tcBorders>
              <w:top w:val="nil"/>
              <w:left w:val="nil"/>
              <w:bottom w:val="nil"/>
              <w:right w:val="nil"/>
            </w:tcBorders>
            <w:shd w:val="clear" w:color="auto" w:fill="auto"/>
            <w:vAlign w:val="bottom"/>
          </w:tcPr>
          <w:p w14:paraId="24596F1B"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Traffic load - home</w:t>
            </w:r>
          </w:p>
        </w:tc>
        <w:tc>
          <w:tcPr>
            <w:tcW w:w="2540" w:type="dxa"/>
            <w:tcBorders>
              <w:top w:val="nil"/>
              <w:left w:val="nil"/>
              <w:bottom w:val="nil"/>
              <w:right w:val="nil"/>
            </w:tcBorders>
          </w:tcPr>
          <w:p w14:paraId="160821DF"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proofErr w:type="gramStart"/>
            <w:r w:rsidRPr="008A5C48">
              <w:rPr>
                <w:rFonts w:ascii="Times New Roman" w:hAnsi="Times New Roman" w:cs="Times New Roman"/>
                <w:color w:val="000000"/>
                <w:sz w:val="20"/>
                <w:szCs w:val="20"/>
              </w:rPr>
              <w:t>^(</w:t>
            </w:r>
            <w:proofErr w:type="gramEnd"/>
            <w:r w:rsidRPr="008A5C48">
              <w:rPr>
                <w:rFonts w:ascii="Times New Roman" w:hAnsi="Times New Roman" w:cs="Times New Roman"/>
                <w:color w:val="000000"/>
                <w:sz w:val="20"/>
                <w:szCs w:val="20"/>
              </w:rPr>
              <w:t>1/3)</w:t>
            </w:r>
          </w:p>
        </w:tc>
        <w:tc>
          <w:tcPr>
            <w:tcW w:w="790" w:type="dxa"/>
            <w:tcBorders>
              <w:top w:val="nil"/>
              <w:left w:val="nil"/>
              <w:bottom w:val="nil"/>
              <w:right w:val="nil"/>
            </w:tcBorders>
            <w:shd w:val="clear" w:color="auto" w:fill="auto"/>
            <w:vAlign w:val="bottom"/>
          </w:tcPr>
          <w:p w14:paraId="5108314A"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120.46</w:t>
            </w:r>
          </w:p>
        </w:tc>
      </w:tr>
      <w:tr w:rsidR="003F1D16" w:rsidRPr="008A5C48" w14:paraId="0E414181" w14:textId="77777777" w:rsidTr="0034607E">
        <w:trPr>
          <w:trHeight w:val="234"/>
        </w:trPr>
        <w:tc>
          <w:tcPr>
            <w:tcW w:w="3450" w:type="dxa"/>
            <w:tcBorders>
              <w:top w:val="nil"/>
              <w:left w:val="nil"/>
              <w:bottom w:val="nil"/>
              <w:right w:val="nil"/>
            </w:tcBorders>
            <w:shd w:val="clear" w:color="auto" w:fill="auto"/>
            <w:vAlign w:val="bottom"/>
          </w:tcPr>
          <w:p w14:paraId="3ECAC934"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Traffic nearest road - home</w:t>
            </w:r>
          </w:p>
        </w:tc>
        <w:tc>
          <w:tcPr>
            <w:tcW w:w="2540" w:type="dxa"/>
            <w:tcBorders>
              <w:top w:val="nil"/>
              <w:left w:val="nil"/>
              <w:bottom w:val="nil"/>
              <w:right w:val="nil"/>
            </w:tcBorders>
          </w:tcPr>
          <w:p w14:paraId="0495980D"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proofErr w:type="gramStart"/>
            <w:r w:rsidRPr="008A5C48">
              <w:rPr>
                <w:rFonts w:ascii="Times New Roman" w:hAnsi="Times New Roman" w:cs="Times New Roman"/>
                <w:color w:val="000000"/>
                <w:sz w:val="20"/>
                <w:szCs w:val="20"/>
              </w:rPr>
              <w:t>^(</w:t>
            </w:r>
            <w:proofErr w:type="gramEnd"/>
            <w:r w:rsidRPr="008A5C48">
              <w:rPr>
                <w:rFonts w:ascii="Times New Roman" w:hAnsi="Times New Roman" w:cs="Times New Roman"/>
                <w:color w:val="000000"/>
                <w:sz w:val="20"/>
                <w:szCs w:val="20"/>
              </w:rPr>
              <w:t>1/3)</w:t>
            </w:r>
          </w:p>
        </w:tc>
        <w:tc>
          <w:tcPr>
            <w:tcW w:w="790" w:type="dxa"/>
            <w:tcBorders>
              <w:top w:val="nil"/>
              <w:left w:val="nil"/>
              <w:bottom w:val="nil"/>
              <w:right w:val="nil"/>
            </w:tcBorders>
            <w:shd w:val="clear" w:color="auto" w:fill="auto"/>
            <w:vAlign w:val="bottom"/>
          </w:tcPr>
          <w:p w14:paraId="79F6DB20"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13.67</w:t>
            </w:r>
          </w:p>
        </w:tc>
      </w:tr>
      <w:tr w:rsidR="003F1D16" w:rsidRPr="008A5C48" w14:paraId="76AAB741" w14:textId="77777777" w:rsidTr="0034607E">
        <w:trPr>
          <w:trHeight w:val="234"/>
        </w:trPr>
        <w:tc>
          <w:tcPr>
            <w:tcW w:w="3450" w:type="dxa"/>
            <w:tcBorders>
              <w:top w:val="nil"/>
              <w:left w:val="nil"/>
              <w:bottom w:val="nil"/>
              <w:right w:val="nil"/>
            </w:tcBorders>
            <w:shd w:val="clear" w:color="auto" w:fill="auto"/>
            <w:vAlign w:val="bottom"/>
          </w:tcPr>
          <w:p w14:paraId="787AB479"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Inverse distance to nearest road - home</w:t>
            </w:r>
          </w:p>
        </w:tc>
        <w:tc>
          <w:tcPr>
            <w:tcW w:w="2540" w:type="dxa"/>
            <w:tcBorders>
              <w:top w:val="nil"/>
              <w:left w:val="nil"/>
              <w:bottom w:val="nil"/>
              <w:right w:val="nil"/>
            </w:tcBorders>
          </w:tcPr>
          <w:p w14:paraId="166A7228" w14:textId="0A30633B"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0CAA271A"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1.44</w:t>
            </w:r>
          </w:p>
        </w:tc>
      </w:tr>
      <w:tr w:rsidR="003F1D16" w:rsidRPr="008A5C48" w14:paraId="582A72E6" w14:textId="77777777" w:rsidTr="0034607E">
        <w:trPr>
          <w:trHeight w:val="234"/>
        </w:trPr>
        <w:tc>
          <w:tcPr>
            <w:tcW w:w="3450" w:type="dxa"/>
            <w:tcBorders>
              <w:top w:val="nil"/>
              <w:left w:val="nil"/>
              <w:bottom w:val="nil"/>
              <w:right w:val="nil"/>
            </w:tcBorders>
            <w:shd w:val="clear" w:color="auto" w:fill="auto"/>
            <w:vAlign w:val="bottom"/>
          </w:tcPr>
          <w:p w14:paraId="0E453C44"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Traffic load - school</w:t>
            </w:r>
          </w:p>
        </w:tc>
        <w:tc>
          <w:tcPr>
            <w:tcW w:w="2540" w:type="dxa"/>
            <w:tcBorders>
              <w:top w:val="nil"/>
              <w:left w:val="nil"/>
              <w:bottom w:val="nil"/>
              <w:right w:val="nil"/>
            </w:tcBorders>
          </w:tcPr>
          <w:p w14:paraId="1125B5BA"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proofErr w:type="gramStart"/>
            <w:r w:rsidRPr="008A5C48">
              <w:rPr>
                <w:rFonts w:ascii="Times New Roman" w:hAnsi="Times New Roman" w:cs="Times New Roman"/>
                <w:color w:val="000000"/>
                <w:sz w:val="20"/>
                <w:szCs w:val="20"/>
              </w:rPr>
              <w:t>^(</w:t>
            </w:r>
            <w:proofErr w:type="gramEnd"/>
            <w:r w:rsidRPr="008A5C48">
              <w:rPr>
                <w:rFonts w:ascii="Times New Roman" w:hAnsi="Times New Roman" w:cs="Times New Roman"/>
                <w:color w:val="000000"/>
                <w:sz w:val="20"/>
                <w:szCs w:val="20"/>
              </w:rPr>
              <w:t>1/3)</w:t>
            </w:r>
          </w:p>
        </w:tc>
        <w:tc>
          <w:tcPr>
            <w:tcW w:w="790" w:type="dxa"/>
            <w:tcBorders>
              <w:top w:val="nil"/>
              <w:left w:val="nil"/>
              <w:bottom w:val="nil"/>
              <w:right w:val="nil"/>
            </w:tcBorders>
            <w:shd w:val="clear" w:color="auto" w:fill="auto"/>
            <w:vAlign w:val="bottom"/>
          </w:tcPr>
          <w:p w14:paraId="6EB95CCF"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119.25</w:t>
            </w:r>
          </w:p>
        </w:tc>
      </w:tr>
      <w:tr w:rsidR="003F1D16" w:rsidRPr="008A5C48" w14:paraId="3EDE381D" w14:textId="77777777" w:rsidTr="0034607E">
        <w:trPr>
          <w:trHeight w:val="234"/>
        </w:trPr>
        <w:tc>
          <w:tcPr>
            <w:tcW w:w="3450" w:type="dxa"/>
            <w:tcBorders>
              <w:top w:val="nil"/>
              <w:left w:val="nil"/>
              <w:bottom w:val="nil"/>
              <w:right w:val="nil"/>
            </w:tcBorders>
            <w:shd w:val="clear" w:color="auto" w:fill="auto"/>
            <w:vAlign w:val="bottom"/>
          </w:tcPr>
          <w:p w14:paraId="6F86CB93"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Traffic nearest road - school</w:t>
            </w:r>
          </w:p>
        </w:tc>
        <w:tc>
          <w:tcPr>
            <w:tcW w:w="2540" w:type="dxa"/>
            <w:tcBorders>
              <w:top w:val="nil"/>
              <w:left w:val="nil"/>
              <w:bottom w:val="nil"/>
              <w:right w:val="nil"/>
            </w:tcBorders>
          </w:tcPr>
          <w:p w14:paraId="213CC76E"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proofErr w:type="gramStart"/>
            <w:r w:rsidRPr="008A5C48">
              <w:rPr>
                <w:rFonts w:ascii="Times New Roman" w:hAnsi="Times New Roman" w:cs="Times New Roman"/>
                <w:color w:val="000000"/>
                <w:sz w:val="20"/>
                <w:szCs w:val="20"/>
              </w:rPr>
              <w:t>^(</w:t>
            </w:r>
            <w:proofErr w:type="gramEnd"/>
            <w:r w:rsidRPr="008A5C48">
              <w:rPr>
                <w:rFonts w:ascii="Times New Roman" w:hAnsi="Times New Roman" w:cs="Times New Roman"/>
                <w:color w:val="000000"/>
                <w:sz w:val="20"/>
                <w:szCs w:val="20"/>
              </w:rPr>
              <w:t>1/3)</w:t>
            </w:r>
          </w:p>
        </w:tc>
        <w:tc>
          <w:tcPr>
            <w:tcW w:w="790" w:type="dxa"/>
            <w:tcBorders>
              <w:top w:val="nil"/>
              <w:left w:val="nil"/>
              <w:bottom w:val="nil"/>
              <w:right w:val="nil"/>
            </w:tcBorders>
            <w:shd w:val="clear" w:color="auto" w:fill="auto"/>
            <w:vAlign w:val="bottom"/>
          </w:tcPr>
          <w:p w14:paraId="33BB98B5"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12.23</w:t>
            </w:r>
          </w:p>
        </w:tc>
      </w:tr>
      <w:tr w:rsidR="003F1D16" w:rsidRPr="008A5C48" w14:paraId="595824E5" w14:textId="77777777" w:rsidTr="0034607E">
        <w:trPr>
          <w:trHeight w:val="234"/>
        </w:trPr>
        <w:tc>
          <w:tcPr>
            <w:tcW w:w="3450" w:type="dxa"/>
            <w:tcBorders>
              <w:top w:val="nil"/>
              <w:left w:val="nil"/>
              <w:bottom w:val="nil"/>
              <w:right w:val="nil"/>
            </w:tcBorders>
            <w:shd w:val="clear" w:color="auto" w:fill="auto"/>
            <w:vAlign w:val="bottom"/>
          </w:tcPr>
          <w:p w14:paraId="6E1B7AA3"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Inverse distance to nearest road - school</w:t>
            </w:r>
          </w:p>
        </w:tc>
        <w:tc>
          <w:tcPr>
            <w:tcW w:w="2540" w:type="dxa"/>
            <w:tcBorders>
              <w:top w:val="nil"/>
              <w:left w:val="nil"/>
              <w:bottom w:val="nil"/>
              <w:right w:val="nil"/>
            </w:tcBorders>
          </w:tcPr>
          <w:p w14:paraId="2F3CB1B5" w14:textId="3D5C793E"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467A3536"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0.91</w:t>
            </w:r>
          </w:p>
        </w:tc>
      </w:tr>
      <w:tr w:rsidR="003F1D16" w:rsidRPr="008A5C48" w14:paraId="5F0A4D6D" w14:textId="77777777" w:rsidTr="0034607E">
        <w:trPr>
          <w:trHeight w:val="234"/>
        </w:trPr>
        <w:tc>
          <w:tcPr>
            <w:tcW w:w="3450" w:type="dxa"/>
            <w:tcBorders>
              <w:top w:val="nil"/>
              <w:left w:val="nil"/>
              <w:bottom w:val="nil"/>
              <w:right w:val="nil"/>
            </w:tcBorders>
            <w:shd w:val="clear" w:color="auto" w:fill="auto"/>
            <w:vAlign w:val="bottom"/>
          </w:tcPr>
          <w:p w14:paraId="258C3B96"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TEX indoor</w:t>
            </w:r>
          </w:p>
        </w:tc>
        <w:tc>
          <w:tcPr>
            <w:tcW w:w="2540" w:type="dxa"/>
            <w:tcBorders>
              <w:top w:val="nil"/>
              <w:left w:val="nil"/>
              <w:bottom w:val="nil"/>
              <w:right w:val="nil"/>
            </w:tcBorders>
          </w:tcPr>
          <w:p w14:paraId="0FD6AD88"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39CBEB2F"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0.44</w:t>
            </w:r>
          </w:p>
        </w:tc>
      </w:tr>
      <w:tr w:rsidR="003F1D16" w:rsidRPr="008A5C48" w14:paraId="0513BEAE" w14:textId="77777777" w:rsidTr="0034607E">
        <w:trPr>
          <w:trHeight w:val="234"/>
        </w:trPr>
        <w:tc>
          <w:tcPr>
            <w:tcW w:w="3450" w:type="dxa"/>
            <w:tcBorders>
              <w:top w:val="nil"/>
              <w:left w:val="nil"/>
              <w:bottom w:val="nil"/>
              <w:right w:val="nil"/>
            </w:tcBorders>
            <w:shd w:val="clear" w:color="auto" w:fill="auto"/>
            <w:vAlign w:val="bottom"/>
          </w:tcPr>
          <w:p w14:paraId="29494942"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NO2 indoor</w:t>
            </w:r>
          </w:p>
        </w:tc>
        <w:tc>
          <w:tcPr>
            <w:tcW w:w="2540" w:type="dxa"/>
            <w:tcBorders>
              <w:top w:val="nil"/>
              <w:left w:val="nil"/>
              <w:bottom w:val="nil"/>
              <w:right w:val="nil"/>
            </w:tcBorders>
          </w:tcPr>
          <w:p w14:paraId="7B8C29B6"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4B2928EC"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1.27</w:t>
            </w:r>
          </w:p>
        </w:tc>
      </w:tr>
      <w:tr w:rsidR="003F1D16" w:rsidRPr="008A5C48" w14:paraId="6BDDC247" w14:textId="77777777" w:rsidTr="0034607E">
        <w:trPr>
          <w:trHeight w:val="234"/>
        </w:trPr>
        <w:tc>
          <w:tcPr>
            <w:tcW w:w="3450" w:type="dxa"/>
            <w:tcBorders>
              <w:top w:val="nil"/>
              <w:left w:val="nil"/>
              <w:bottom w:val="nil"/>
              <w:right w:val="nil"/>
            </w:tcBorders>
            <w:shd w:val="clear" w:color="auto" w:fill="auto"/>
            <w:vAlign w:val="bottom"/>
          </w:tcPr>
          <w:p w14:paraId="6186BDA0"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Benzene indoor</w:t>
            </w:r>
          </w:p>
        </w:tc>
        <w:tc>
          <w:tcPr>
            <w:tcW w:w="2540" w:type="dxa"/>
            <w:tcBorders>
              <w:top w:val="nil"/>
              <w:left w:val="nil"/>
              <w:bottom w:val="nil"/>
              <w:right w:val="nil"/>
            </w:tcBorders>
          </w:tcPr>
          <w:p w14:paraId="0925879C"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7FD00F09"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0.31</w:t>
            </w:r>
          </w:p>
        </w:tc>
      </w:tr>
      <w:tr w:rsidR="003F1D16" w:rsidRPr="008A5C48" w14:paraId="7D6D3C64" w14:textId="77777777" w:rsidTr="0034607E">
        <w:trPr>
          <w:trHeight w:val="234"/>
        </w:trPr>
        <w:tc>
          <w:tcPr>
            <w:tcW w:w="3450" w:type="dxa"/>
            <w:tcBorders>
              <w:top w:val="nil"/>
              <w:left w:val="nil"/>
              <w:bottom w:val="nil"/>
              <w:right w:val="nil"/>
            </w:tcBorders>
            <w:shd w:val="clear" w:color="auto" w:fill="auto"/>
            <w:vAlign w:val="bottom"/>
          </w:tcPr>
          <w:p w14:paraId="3573214B"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 2.5 indoor</w:t>
            </w:r>
          </w:p>
        </w:tc>
        <w:tc>
          <w:tcPr>
            <w:tcW w:w="2540" w:type="dxa"/>
            <w:tcBorders>
              <w:top w:val="nil"/>
              <w:left w:val="nil"/>
              <w:bottom w:val="nil"/>
              <w:right w:val="nil"/>
            </w:tcBorders>
          </w:tcPr>
          <w:p w14:paraId="1CD10BB2"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1ABA7027"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0.34</w:t>
            </w:r>
          </w:p>
        </w:tc>
      </w:tr>
      <w:tr w:rsidR="003F1D16" w:rsidRPr="008A5C48" w14:paraId="7AE9CD3E" w14:textId="77777777" w:rsidTr="0034607E">
        <w:trPr>
          <w:trHeight w:val="234"/>
        </w:trPr>
        <w:tc>
          <w:tcPr>
            <w:tcW w:w="3450" w:type="dxa"/>
            <w:tcBorders>
              <w:top w:val="nil"/>
              <w:left w:val="nil"/>
              <w:bottom w:val="nil"/>
              <w:right w:val="nil"/>
            </w:tcBorders>
            <w:shd w:val="clear" w:color="auto" w:fill="auto"/>
            <w:vAlign w:val="bottom"/>
          </w:tcPr>
          <w:p w14:paraId="62B2B951"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 absorbance indoor</w:t>
            </w:r>
          </w:p>
        </w:tc>
        <w:tc>
          <w:tcPr>
            <w:tcW w:w="2540" w:type="dxa"/>
            <w:tcBorders>
              <w:top w:val="nil"/>
              <w:left w:val="nil"/>
              <w:bottom w:val="nil"/>
              <w:right w:val="nil"/>
            </w:tcBorders>
          </w:tcPr>
          <w:p w14:paraId="7D7C5554" w14:textId="77777777" w:rsidR="003F1D16" w:rsidRPr="008A5C48" w:rsidRDefault="003F1D16" w:rsidP="0034607E">
            <w:pPr>
              <w:spacing w:after="0" w:line="240" w:lineRule="auto"/>
              <w:contextualSpacing/>
              <w:jc w:val="center"/>
              <w:rPr>
                <w:rFonts w:ascii="Times New Roman" w:hAnsi="Times New Roman" w:cs="Times New Roman"/>
                <w:color w:val="000000"/>
                <w:sz w:val="20"/>
                <w:szCs w:val="20"/>
              </w:rPr>
            </w:pPr>
            <w:r w:rsidRPr="008A5C48">
              <w:rPr>
                <w:rFonts w:ascii="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25E26FDA"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0.35</w:t>
            </w:r>
          </w:p>
        </w:tc>
      </w:tr>
      <w:tr w:rsidR="003F1D16" w:rsidRPr="008A5C48" w14:paraId="0EDFDB91" w14:textId="77777777" w:rsidTr="0034607E">
        <w:trPr>
          <w:trHeight w:val="234"/>
        </w:trPr>
        <w:tc>
          <w:tcPr>
            <w:tcW w:w="3450" w:type="dxa"/>
            <w:tcBorders>
              <w:top w:val="nil"/>
              <w:left w:val="nil"/>
              <w:bottom w:val="nil"/>
              <w:right w:val="nil"/>
            </w:tcBorders>
            <w:shd w:val="clear" w:color="auto" w:fill="auto"/>
            <w:vAlign w:val="bottom"/>
          </w:tcPr>
          <w:p w14:paraId="7673B590"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BPA</w:t>
            </w:r>
          </w:p>
        </w:tc>
        <w:tc>
          <w:tcPr>
            <w:tcW w:w="2540" w:type="dxa"/>
            <w:tcBorders>
              <w:top w:val="nil"/>
              <w:left w:val="nil"/>
              <w:bottom w:val="nil"/>
              <w:right w:val="nil"/>
            </w:tcBorders>
          </w:tcPr>
          <w:p w14:paraId="500940D5" w14:textId="77733F2D"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0E091E66"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0.99</w:t>
            </w:r>
          </w:p>
        </w:tc>
      </w:tr>
      <w:tr w:rsidR="003F1D16" w:rsidRPr="008A5C48" w14:paraId="45D2BA6A" w14:textId="77777777" w:rsidTr="0034607E">
        <w:trPr>
          <w:trHeight w:val="234"/>
        </w:trPr>
        <w:tc>
          <w:tcPr>
            <w:tcW w:w="3450" w:type="dxa"/>
            <w:tcBorders>
              <w:top w:val="nil"/>
              <w:left w:val="nil"/>
              <w:bottom w:val="nil"/>
              <w:right w:val="nil"/>
            </w:tcBorders>
            <w:shd w:val="clear" w:color="auto" w:fill="auto"/>
            <w:vAlign w:val="bottom"/>
          </w:tcPr>
          <w:p w14:paraId="3CF6F91B"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BUPA</w:t>
            </w:r>
          </w:p>
        </w:tc>
        <w:tc>
          <w:tcPr>
            <w:tcW w:w="2540" w:type="dxa"/>
            <w:tcBorders>
              <w:top w:val="nil"/>
              <w:left w:val="nil"/>
              <w:bottom w:val="nil"/>
              <w:right w:val="nil"/>
            </w:tcBorders>
          </w:tcPr>
          <w:p w14:paraId="69BF59D2" w14:textId="3D81C6FD"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6CE5C566"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1.18</w:t>
            </w:r>
          </w:p>
        </w:tc>
      </w:tr>
      <w:tr w:rsidR="003F1D16" w:rsidRPr="008A5C48" w14:paraId="161C212A" w14:textId="77777777" w:rsidTr="0034607E">
        <w:trPr>
          <w:trHeight w:val="234"/>
        </w:trPr>
        <w:tc>
          <w:tcPr>
            <w:tcW w:w="3450" w:type="dxa"/>
            <w:tcBorders>
              <w:top w:val="nil"/>
              <w:left w:val="nil"/>
              <w:bottom w:val="nil"/>
              <w:right w:val="nil"/>
            </w:tcBorders>
            <w:shd w:val="clear" w:color="auto" w:fill="auto"/>
            <w:vAlign w:val="bottom"/>
          </w:tcPr>
          <w:p w14:paraId="40463EC3"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OXBE</w:t>
            </w:r>
          </w:p>
        </w:tc>
        <w:tc>
          <w:tcPr>
            <w:tcW w:w="2540" w:type="dxa"/>
            <w:tcBorders>
              <w:top w:val="nil"/>
              <w:left w:val="nil"/>
              <w:bottom w:val="nil"/>
              <w:right w:val="nil"/>
            </w:tcBorders>
          </w:tcPr>
          <w:p w14:paraId="61E298E7" w14:textId="5B4B3127"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4D10BC7F"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3.01</w:t>
            </w:r>
          </w:p>
        </w:tc>
      </w:tr>
      <w:tr w:rsidR="003F1D16" w:rsidRPr="008A5C48" w14:paraId="42A591B4" w14:textId="77777777" w:rsidTr="0034607E">
        <w:trPr>
          <w:trHeight w:val="234"/>
        </w:trPr>
        <w:tc>
          <w:tcPr>
            <w:tcW w:w="3450" w:type="dxa"/>
            <w:tcBorders>
              <w:top w:val="nil"/>
              <w:left w:val="nil"/>
              <w:bottom w:val="nil"/>
              <w:right w:val="nil"/>
            </w:tcBorders>
            <w:shd w:val="clear" w:color="auto" w:fill="auto"/>
            <w:vAlign w:val="bottom"/>
          </w:tcPr>
          <w:p w14:paraId="5031179B"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TRCS</w:t>
            </w:r>
          </w:p>
        </w:tc>
        <w:tc>
          <w:tcPr>
            <w:tcW w:w="2540" w:type="dxa"/>
            <w:tcBorders>
              <w:top w:val="nil"/>
              <w:left w:val="nil"/>
              <w:bottom w:val="nil"/>
              <w:right w:val="nil"/>
            </w:tcBorders>
          </w:tcPr>
          <w:p w14:paraId="06637CDD" w14:textId="7760628F"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31B9DED0"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2.22</w:t>
            </w:r>
          </w:p>
        </w:tc>
      </w:tr>
      <w:tr w:rsidR="003F1D16" w:rsidRPr="008A5C48" w14:paraId="186B1F3A" w14:textId="77777777" w:rsidTr="0034607E">
        <w:trPr>
          <w:trHeight w:val="234"/>
        </w:trPr>
        <w:tc>
          <w:tcPr>
            <w:tcW w:w="3450" w:type="dxa"/>
            <w:tcBorders>
              <w:top w:val="nil"/>
              <w:left w:val="nil"/>
              <w:bottom w:val="nil"/>
              <w:right w:val="nil"/>
            </w:tcBorders>
            <w:shd w:val="clear" w:color="auto" w:fill="auto"/>
            <w:vAlign w:val="bottom"/>
          </w:tcPr>
          <w:p w14:paraId="64D36C72"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ETPA</w:t>
            </w:r>
          </w:p>
        </w:tc>
        <w:tc>
          <w:tcPr>
            <w:tcW w:w="2540" w:type="dxa"/>
            <w:tcBorders>
              <w:top w:val="nil"/>
              <w:left w:val="nil"/>
              <w:bottom w:val="nil"/>
              <w:right w:val="nil"/>
            </w:tcBorders>
          </w:tcPr>
          <w:p w14:paraId="1DF44B40" w14:textId="13B054C3"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3FF79710"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0.95</w:t>
            </w:r>
          </w:p>
        </w:tc>
      </w:tr>
      <w:tr w:rsidR="003F1D16" w:rsidRPr="008A5C48" w14:paraId="0C31938D" w14:textId="77777777" w:rsidTr="0034607E">
        <w:trPr>
          <w:trHeight w:val="234"/>
        </w:trPr>
        <w:tc>
          <w:tcPr>
            <w:tcW w:w="3450" w:type="dxa"/>
            <w:tcBorders>
              <w:top w:val="nil"/>
              <w:left w:val="nil"/>
              <w:bottom w:val="nil"/>
              <w:right w:val="nil"/>
            </w:tcBorders>
            <w:shd w:val="clear" w:color="auto" w:fill="auto"/>
            <w:vAlign w:val="bottom"/>
          </w:tcPr>
          <w:p w14:paraId="6099A273"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MEPA</w:t>
            </w:r>
          </w:p>
        </w:tc>
        <w:tc>
          <w:tcPr>
            <w:tcW w:w="2540" w:type="dxa"/>
            <w:tcBorders>
              <w:top w:val="nil"/>
              <w:left w:val="nil"/>
              <w:bottom w:val="nil"/>
              <w:right w:val="nil"/>
            </w:tcBorders>
          </w:tcPr>
          <w:p w14:paraId="00FA0054" w14:textId="04E261CC"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11EB553C"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2.18</w:t>
            </w:r>
          </w:p>
        </w:tc>
      </w:tr>
      <w:tr w:rsidR="003F1D16" w:rsidRPr="008A5C48" w14:paraId="2D55D84F" w14:textId="77777777" w:rsidTr="0034607E">
        <w:trPr>
          <w:trHeight w:val="234"/>
        </w:trPr>
        <w:tc>
          <w:tcPr>
            <w:tcW w:w="3450" w:type="dxa"/>
            <w:tcBorders>
              <w:top w:val="nil"/>
              <w:left w:val="nil"/>
              <w:bottom w:val="nil"/>
              <w:right w:val="nil"/>
            </w:tcBorders>
            <w:shd w:val="clear" w:color="auto" w:fill="auto"/>
            <w:vAlign w:val="bottom"/>
          </w:tcPr>
          <w:p w14:paraId="64F64267"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MBZP</w:t>
            </w:r>
          </w:p>
        </w:tc>
        <w:tc>
          <w:tcPr>
            <w:tcW w:w="2540" w:type="dxa"/>
            <w:tcBorders>
              <w:top w:val="nil"/>
              <w:left w:val="nil"/>
              <w:bottom w:val="nil"/>
              <w:right w:val="nil"/>
            </w:tcBorders>
          </w:tcPr>
          <w:p w14:paraId="565E5820" w14:textId="3A861C69"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7C679897"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0.94</w:t>
            </w:r>
          </w:p>
        </w:tc>
      </w:tr>
      <w:tr w:rsidR="003F1D16" w:rsidRPr="008A5C48" w14:paraId="00237376" w14:textId="77777777" w:rsidTr="0034607E">
        <w:trPr>
          <w:trHeight w:val="234"/>
        </w:trPr>
        <w:tc>
          <w:tcPr>
            <w:tcW w:w="3450" w:type="dxa"/>
            <w:tcBorders>
              <w:top w:val="nil"/>
              <w:left w:val="nil"/>
              <w:bottom w:val="nil"/>
              <w:right w:val="nil"/>
            </w:tcBorders>
            <w:shd w:val="clear" w:color="auto" w:fill="auto"/>
            <w:vAlign w:val="bottom"/>
          </w:tcPr>
          <w:p w14:paraId="5158277D"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SumDEHP</w:t>
            </w:r>
            <w:proofErr w:type="spellEnd"/>
          </w:p>
        </w:tc>
        <w:tc>
          <w:tcPr>
            <w:tcW w:w="2540" w:type="dxa"/>
            <w:tcBorders>
              <w:top w:val="nil"/>
              <w:left w:val="nil"/>
              <w:bottom w:val="nil"/>
              <w:right w:val="nil"/>
            </w:tcBorders>
          </w:tcPr>
          <w:p w14:paraId="3DEFC99E" w14:textId="099CD566"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331678C2"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0.89</w:t>
            </w:r>
          </w:p>
        </w:tc>
      </w:tr>
      <w:tr w:rsidR="003F1D16" w:rsidRPr="008A5C48" w14:paraId="00FA88FA" w14:textId="77777777" w:rsidTr="0034607E">
        <w:trPr>
          <w:trHeight w:val="234"/>
        </w:trPr>
        <w:tc>
          <w:tcPr>
            <w:tcW w:w="3450" w:type="dxa"/>
            <w:tcBorders>
              <w:top w:val="nil"/>
              <w:left w:val="nil"/>
              <w:bottom w:val="nil"/>
              <w:right w:val="nil"/>
            </w:tcBorders>
            <w:shd w:val="clear" w:color="auto" w:fill="auto"/>
            <w:vAlign w:val="bottom"/>
          </w:tcPr>
          <w:p w14:paraId="6B112632"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MEP</w:t>
            </w:r>
          </w:p>
        </w:tc>
        <w:tc>
          <w:tcPr>
            <w:tcW w:w="2540" w:type="dxa"/>
            <w:tcBorders>
              <w:top w:val="nil"/>
              <w:left w:val="nil"/>
              <w:bottom w:val="nil"/>
              <w:right w:val="nil"/>
            </w:tcBorders>
          </w:tcPr>
          <w:p w14:paraId="0BF32C14" w14:textId="5D48AE5E"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0AEEA9F3"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2.21</w:t>
            </w:r>
          </w:p>
        </w:tc>
      </w:tr>
      <w:tr w:rsidR="003F1D16" w:rsidRPr="008A5C48" w14:paraId="2FF3C50A" w14:textId="77777777" w:rsidTr="0034607E">
        <w:trPr>
          <w:trHeight w:val="234"/>
        </w:trPr>
        <w:tc>
          <w:tcPr>
            <w:tcW w:w="3450" w:type="dxa"/>
            <w:tcBorders>
              <w:top w:val="nil"/>
              <w:left w:val="nil"/>
              <w:bottom w:val="nil"/>
              <w:right w:val="nil"/>
            </w:tcBorders>
            <w:shd w:val="clear" w:color="auto" w:fill="auto"/>
            <w:vAlign w:val="bottom"/>
          </w:tcPr>
          <w:p w14:paraId="26658D0E"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MIBP</w:t>
            </w:r>
          </w:p>
        </w:tc>
        <w:tc>
          <w:tcPr>
            <w:tcW w:w="2540" w:type="dxa"/>
            <w:tcBorders>
              <w:top w:val="nil"/>
              <w:left w:val="nil"/>
              <w:bottom w:val="nil"/>
              <w:right w:val="nil"/>
            </w:tcBorders>
          </w:tcPr>
          <w:p w14:paraId="20E10856" w14:textId="2F7184C0"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74099DB3"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1.50</w:t>
            </w:r>
          </w:p>
        </w:tc>
      </w:tr>
      <w:tr w:rsidR="003F1D16" w:rsidRPr="008A5C48" w14:paraId="4F189F43" w14:textId="77777777" w:rsidTr="0034607E">
        <w:trPr>
          <w:trHeight w:val="234"/>
        </w:trPr>
        <w:tc>
          <w:tcPr>
            <w:tcW w:w="3450" w:type="dxa"/>
            <w:tcBorders>
              <w:top w:val="nil"/>
              <w:left w:val="nil"/>
              <w:bottom w:val="nil"/>
              <w:right w:val="nil"/>
            </w:tcBorders>
            <w:shd w:val="clear" w:color="auto" w:fill="auto"/>
            <w:vAlign w:val="bottom"/>
          </w:tcPr>
          <w:p w14:paraId="35DAED2C"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MNBP</w:t>
            </w:r>
          </w:p>
        </w:tc>
        <w:tc>
          <w:tcPr>
            <w:tcW w:w="2540" w:type="dxa"/>
            <w:tcBorders>
              <w:top w:val="nil"/>
              <w:left w:val="nil"/>
              <w:bottom w:val="nil"/>
              <w:right w:val="nil"/>
            </w:tcBorders>
          </w:tcPr>
          <w:p w14:paraId="2AC970FA" w14:textId="30E11FFF"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0CFFDEF2"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1.32</w:t>
            </w:r>
          </w:p>
        </w:tc>
      </w:tr>
      <w:tr w:rsidR="003F1D16" w:rsidRPr="008A5C48" w14:paraId="7EFAD14D" w14:textId="77777777" w:rsidTr="0034607E">
        <w:trPr>
          <w:trHeight w:val="234"/>
        </w:trPr>
        <w:tc>
          <w:tcPr>
            <w:tcW w:w="3450" w:type="dxa"/>
            <w:tcBorders>
              <w:top w:val="nil"/>
              <w:left w:val="nil"/>
              <w:bottom w:val="nil"/>
              <w:right w:val="nil"/>
            </w:tcBorders>
            <w:shd w:val="clear" w:color="auto" w:fill="auto"/>
            <w:vAlign w:val="bottom"/>
          </w:tcPr>
          <w:p w14:paraId="7EA2B3C3"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SumDINP</w:t>
            </w:r>
            <w:proofErr w:type="spellEnd"/>
          </w:p>
        </w:tc>
        <w:tc>
          <w:tcPr>
            <w:tcW w:w="2540" w:type="dxa"/>
            <w:tcBorders>
              <w:top w:val="nil"/>
              <w:left w:val="nil"/>
              <w:bottom w:val="nil"/>
              <w:right w:val="nil"/>
            </w:tcBorders>
          </w:tcPr>
          <w:p w14:paraId="42D74BA8" w14:textId="43016B69"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587E43C5"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1.34</w:t>
            </w:r>
          </w:p>
        </w:tc>
      </w:tr>
      <w:tr w:rsidR="003F1D16" w:rsidRPr="008A5C48" w14:paraId="253E60D6" w14:textId="77777777" w:rsidTr="0034607E">
        <w:trPr>
          <w:trHeight w:val="234"/>
        </w:trPr>
        <w:tc>
          <w:tcPr>
            <w:tcW w:w="3450" w:type="dxa"/>
            <w:tcBorders>
              <w:top w:val="nil"/>
              <w:left w:val="nil"/>
              <w:bottom w:val="nil"/>
              <w:right w:val="nil"/>
            </w:tcBorders>
            <w:shd w:val="clear" w:color="auto" w:fill="auto"/>
            <w:vAlign w:val="bottom"/>
          </w:tcPr>
          <w:p w14:paraId="773C7706"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lastRenderedPageBreak/>
              <w:t>K</w:t>
            </w:r>
          </w:p>
        </w:tc>
        <w:tc>
          <w:tcPr>
            <w:tcW w:w="2540" w:type="dxa"/>
            <w:tcBorders>
              <w:top w:val="nil"/>
              <w:left w:val="nil"/>
              <w:bottom w:val="nil"/>
              <w:right w:val="nil"/>
            </w:tcBorders>
          </w:tcPr>
          <w:p w14:paraId="65AF0B5A" w14:textId="31166A7A"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07536460"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0.11</w:t>
            </w:r>
          </w:p>
        </w:tc>
      </w:tr>
      <w:tr w:rsidR="003F1D16" w:rsidRPr="008A5C48" w14:paraId="43888050" w14:textId="77777777" w:rsidTr="0034607E">
        <w:trPr>
          <w:trHeight w:val="234"/>
        </w:trPr>
        <w:tc>
          <w:tcPr>
            <w:tcW w:w="3450" w:type="dxa"/>
            <w:tcBorders>
              <w:top w:val="nil"/>
              <w:left w:val="nil"/>
              <w:bottom w:val="nil"/>
              <w:right w:val="nil"/>
            </w:tcBorders>
            <w:shd w:val="clear" w:color="auto" w:fill="auto"/>
            <w:vAlign w:val="bottom"/>
          </w:tcPr>
          <w:p w14:paraId="6515C0CA"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Mg</w:t>
            </w:r>
          </w:p>
        </w:tc>
        <w:tc>
          <w:tcPr>
            <w:tcW w:w="2540" w:type="dxa"/>
            <w:tcBorders>
              <w:top w:val="nil"/>
              <w:left w:val="nil"/>
              <w:bottom w:val="nil"/>
              <w:right w:val="nil"/>
            </w:tcBorders>
          </w:tcPr>
          <w:p w14:paraId="0E91F76D" w14:textId="3FCE1BA3"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10CDD59C"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0.12</w:t>
            </w:r>
          </w:p>
        </w:tc>
      </w:tr>
      <w:tr w:rsidR="003F1D16" w:rsidRPr="008A5C48" w14:paraId="4D3B96C7" w14:textId="77777777" w:rsidTr="0034607E">
        <w:trPr>
          <w:trHeight w:val="234"/>
        </w:trPr>
        <w:tc>
          <w:tcPr>
            <w:tcW w:w="3450" w:type="dxa"/>
            <w:tcBorders>
              <w:top w:val="nil"/>
              <w:left w:val="nil"/>
              <w:bottom w:val="nil"/>
              <w:right w:val="nil"/>
            </w:tcBorders>
            <w:shd w:val="clear" w:color="auto" w:fill="auto"/>
            <w:vAlign w:val="bottom"/>
          </w:tcPr>
          <w:p w14:paraId="66AF5134"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Na</w:t>
            </w:r>
          </w:p>
        </w:tc>
        <w:tc>
          <w:tcPr>
            <w:tcW w:w="2540" w:type="dxa"/>
            <w:tcBorders>
              <w:top w:val="nil"/>
              <w:left w:val="nil"/>
              <w:bottom w:val="nil"/>
              <w:right w:val="nil"/>
            </w:tcBorders>
          </w:tcPr>
          <w:p w14:paraId="6ECB376B" w14:textId="68DD1DA2"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0519E38F"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0.09</w:t>
            </w:r>
          </w:p>
        </w:tc>
      </w:tr>
      <w:tr w:rsidR="003F1D16" w:rsidRPr="008A5C48" w14:paraId="129D2F93" w14:textId="77777777" w:rsidTr="0034607E">
        <w:trPr>
          <w:trHeight w:val="234"/>
        </w:trPr>
        <w:tc>
          <w:tcPr>
            <w:tcW w:w="3450" w:type="dxa"/>
            <w:tcBorders>
              <w:top w:val="nil"/>
              <w:left w:val="nil"/>
              <w:bottom w:val="nil"/>
              <w:right w:val="nil"/>
            </w:tcBorders>
            <w:shd w:val="clear" w:color="auto" w:fill="auto"/>
            <w:vAlign w:val="bottom"/>
          </w:tcPr>
          <w:p w14:paraId="0214221E"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Se</w:t>
            </w:r>
          </w:p>
        </w:tc>
        <w:tc>
          <w:tcPr>
            <w:tcW w:w="2540" w:type="dxa"/>
            <w:tcBorders>
              <w:top w:val="nil"/>
              <w:left w:val="nil"/>
              <w:bottom w:val="nil"/>
              <w:right w:val="nil"/>
            </w:tcBorders>
          </w:tcPr>
          <w:p w14:paraId="596D99DC" w14:textId="35B88B50"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5CB47945"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0.18</w:t>
            </w:r>
          </w:p>
        </w:tc>
      </w:tr>
      <w:tr w:rsidR="003F1D16" w:rsidRPr="008A5C48" w14:paraId="54ED1FB4" w14:textId="77777777" w:rsidTr="0034607E">
        <w:trPr>
          <w:trHeight w:val="234"/>
        </w:trPr>
        <w:tc>
          <w:tcPr>
            <w:tcW w:w="3450" w:type="dxa"/>
            <w:tcBorders>
              <w:top w:val="nil"/>
              <w:left w:val="nil"/>
              <w:bottom w:val="nil"/>
              <w:right w:val="nil"/>
            </w:tcBorders>
            <w:shd w:val="clear" w:color="auto" w:fill="auto"/>
            <w:vAlign w:val="bottom"/>
          </w:tcPr>
          <w:p w14:paraId="3336D645"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Zn</w:t>
            </w:r>
          </w:p>
        </w:tc>
        <w:tc>
          <w:tcPr>
            <w:tcW w:w="2540" w:type="dxa"/>
            <w:tcBorders>
              <w:top w:val="nil"/>
              <w:left w:val="nil"/>
              <w:bottom w:val="nil"/>
              <w:right w:val="nil"/>
            </w:tcBorders>
          </w:tcPr>
          <w:p w14:paraId="59C6F3ED" w14:textId="42FC21EB"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4088A34A"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0.17</w:t>
            </w:r>
          </w:p>
        </w:tc>
      </w:tr>
      <w:tr w:rsidR="003F1D16" w:rsidRPr="008A5C48" w14:paraId="47532740" w14:textId="77777777" w:rsidTr="0034607E">
        <w:trPr>
          <w:trHeight w:val="234"/>
        </w:trPr>
        <w:tc>
          <w:tcPr>
            <w:tcW w:w="3450" w:type="dxa"/>
            <w:tcBorders>
              <w:top w:val="nil"/>
              <w:left w:val="nil"/>
              <w:bottom w:val="nil"/>
              <w:right w:val="nil"/>
            </w:tcBorders>
            <w:shd w:val="clear" w:color="auto" w:fill="auto"/>
            <w:vAlign w:val="bottom"/>
          </w:tcPr>
          <w:p w14:paraId="27E623B8"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Cd</w:t>
            </w:r>
          </w:p>
        </w:tc>
        <w:tc>
          <w:tcPr>
            <w:tcW w:w="2540" w:type="dxa"/>
            <w:tcBorders>
              <w:top w:val="nil"/>
              <w:left w:val="nil"/>
              <w:bottom w:val="nil"/>
              <w:right w:val="nil"/>
            </w:tcBorders>
          </w:tcPr>
          <w:p w14:paraId="42F50FD4" w14:textId="7B9765F0"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4E6D0484"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0.78</w:t>
            </w:r>
          </w:p>
        </w:tc>
      </w:tr>
      <w:tr w:rsidR="003F1D16" w:rsidRPr="008A5C48" w14:paraId="7831CB67" w14:textId="77777777" w:rsidTr="0034607E">
        <w:trPr>
          <w:trHeight w:val="234"/>
        </w:trPr>
        <w:tc>
          <w:tcPr>
            <w:tcW w:w="3450" w:type="dxa"/>
            <w:tcBorders>
              <w:top w:val="nil"/>
              <w:left w:val="nil"/>
              <w:bottom w:val="nil"/>
              <w:right w:val="nil"/>
            </w:tcBorders>
            <w:shd w:val="clear" w:color="auto" w:fill="auto"/>
            <w:vAlign w:val="bottom"/>
          </w:tcPr>
          <w:p w14:paraId="5C15A049"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Co</w:t>
            </w:r>
          </w:p>
        </w:tc>
        <w:tc>
          <w:tcPr>
            <w:tcW w:w="2540" w:type="dxa"/>
            <w:tcBorders>
              <w:top w:val="nil"/>
              <w:left w:val="nil"/>
              <w:bottom w:val="nil"/>
              <w:right w:val="nil"/>
            </w:tcBorders>
          </w:tcPr>
          <w:p w14:paraId="44B2E8C9" w14:textId="6A9D1A78"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1E993FD0"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0.39</w:t>
            </w:r>
          </w:p>
        </w:tc>
      </w:tr>
      <w:tr w:rsidR="003F1D16" w:rsidRPr="008A5C48" w14:paraId="271551E1" w14:textId="77777777" w:rsidTr="0034607E">
        <w:trPr>
          <w:trHeight w:val="234"/>
        </w:trPr>
        <w:tc>
          <w:tcPr>
            <w:tcW w:w="3450" w:type="dxa"/>
            <w:tcBorders>
              <w:top w:val="nil"/>
              <w:left w:val="nil"/>
              <w:bottom w:val="nil"/>
              <w:right w:val="nil"/>
            </w:tcBorders>
            <w:shd w:val="clear" w:color="auto" w:fill="auto"/>
            <w:vAlign w:val="bottom"/>
          </w:tcPr>
          <w:p w14:paraId="29551B24"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Cu</w:t>
            </w:r>
          </w:p>
        </w:tc>
        <w:tc>
          <w:tcPr>
            <w:tcW w:w="2540" w:type="dxa"/>
            <w:tcBorders>
              <w:top w:val="nil"/>
              <w:left w:val="nil"/>
              <w:bottom w:val="nil"/>
              <w:right w:val="nil"/>
            </w:tcBorders>
          </w:tcPr>
          <w:p w14:paraId="40FEFD22" w14:textId="2537486C"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1141DF04"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0.16</w:t>
            </w:r>
          </w:p>
        </w:tc>
      </w:tr>
      <w:tr w:rsidR="003F1D16" w:rsidRPr="008A5C48" w14:paraId="0CFC1178" w14:textId="77777777" w:rsidTr="0034607E">
        <w:trPr>
          <w:trHeight w:val="234"/>
        </w:trPr>
        <w:tc>
          <w:tcPr>
            <w:tcW w:w="3450" w:type="dxa"/>
            <w:tcBorders>
              <w:top w:val="nil"/>
              <w:left w:val="nil"/>
              <w:bottom w:val="nil"/>
              <w:right w:val="nil"/>
            </w:tcBorders>
            <w:shd w:val="clear" w:color="auto" w:fill="auto"/>
            <w:vAlign w:val="bottom"/>
          </w:tcPr>
          <w:p w14:paraId="77F2EBC4"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Cs</w:t>
            </w:r>
          </w:p>
        </w:tc>
        <w:tc>
          <w:tcPr>
            <w:tcW w:w="2540" w:type="dxa"/>
            <w:tcBorders>
              <w:top w:val="nil"/>
              <w:left w:val="nil"/>
              <w:bottom w:val="nil"/>
              <w:right w:val="nil"/>
            </w:tcBorders>
          </w:tcPr>
          <w:p w14:paraId="3D4BC5E6" w14:textId="02878E57"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1EF3E099"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0.43</w:t>
            </w:r>
          </w:p>
        </w:tc>
      </w:tr>
      <w:tr w:rsidR="003F1D16" w:rsidRPr="008A5C48" w14:paraId="5B7672D4" w14:textId="77777777" w:rsidTr="0034607E">
        <w:trPr>
          <w:trHeight w:val="234"/>
        </w:trPr>
        <w:tc>
          <w:tcPr>
            <w:tcW w:w="3450" w:type="dxa"/>
            <w:tcBorders>
              <w:top w:val="nil"/>
              <w:left w:val="nil"/>
              <w:bottom w:val="nil"/>
              <w:right w:val="nil"/>
            </w:tcBorders>
            <w:shd w:val="clear" w:color="auto" w:fill="auto"/>
            <w:vAlign w:val="bottom"/>
          </w:tcPr>
          <w:p w14:paraId="3D36F1CD"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Hg</w:t>
            </w:r>
          </w:p>
        </w:tc>
        <w:tc>
          <w:tcPr>
            <w:tcW w:w="2540" w:type="dxa"/>
            <w:tcBorders>
              <w:top w:val="nil"/>
              <w:left w:val="nil"/>
              <w:bottom w:val="nil"/>
              <w:right w:val="nil"/>
            </w:tcBorders>
          </w:tcPr>
          <w:p w14:paraId="7FE70AB4" w14:textId="4720E549"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5D92954C"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1.37</w:t>
            </w:r>
          </w:p>
        </w:tc>
      </w:tr>
      <w:tr w:rsidR="003F1D16" w:rsidRPr="008A5C48" w14:paraId="46BC83F4" w14:textId="77777777" w:rsidTr="0034607E">
        <w:trPr>
          <w:trHeight w:val="234"/>
        </w:trPr>
        <w:tc>
          <w:tcPr>
            <w:tcW w:w="3450" w:type="dxa"/>
            <w:tcBorders>
              <w:top w:val="nil"/>
              <w:left w:val="nil"/>
              <w:bottom w:val="nil"/>
              <w:right w:val="nil"/>
            </w:tcBorders>
            <w:shd w:val="clear" w:color="auto" w:fill="auto"/>
            <w:vAlign w:val="bottom"/>
          </w:tcPr>
          <w:p w14:paraId="6A201045"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Mn</w:t>
            </w:r>
          </w:p>
        </w:tc>
        <w:tc>
          <w:tcPr>
            <w:tcW w:w="2540" w:type="dxa"/>
            <w:tcBorders>
              <w:top w:val="nil"/>
              <w:left w:val="nil"/>
              <w:bottom w:val="nil"/>
              <w:right w:val="nil"/>
            </w:tcBorders>
          </w:tcPr>
          <w:p w14:paraId="6B1D1E6D" w14:textId="79DBD05B"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572522FF"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0.31</w:t>
            </w:r>
          </w:p>
        </w:tc>
      </w:tr>
      <w:tr w:rsidR="003F1D16" w:rsidRPr="008A5C48" w14:paraId="78DC5BC1" w14:textId="77777777" w:rsidTr="0034607E">
        <w:trPr>
          <w:trHeight w:val="234"/>
        </w:trPr>
        <w:tc>
          <w:tcPr>
            <w:tcW w:w="3450" w:type="dxa"/>
            <w:tcBorders>
              <w:top w:val="nil"/>
              <w:left w:val="nil"/>
              <w:bottom w:val="nil"/>
              <w:right w:val="nil"/>
            </w:tcBorders>
            <w:shd w:val="clear" w:color="auto" w:fill="auto"/>
            <w:vAlign w:val="bottom"/>
          </w:tcPr>
          <w:p w14:paraId="491EF005"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Mo</w:t>
            </w:r>
          </w:p>
        </w:tc>
        <w:tc>
          <w:tcPr>
            <w:tcW w:w="2540" w:type="dxa"/>
            <w:tcBorders>
              <w:top w:val="nil"/>
              <w:left w:val="nil"/>
              <w:bottom w:val="nil"/>
              <w:right w:val="nil"/>
            </w:tcBorders>
          </w:tcPr>
          <w:p w14:paraId="42EADB7D" w14:textId="0BE05CC0"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46F324EC"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0.44</w:t>
            </w:r>
          </w:p>
        </w:tc>
      </w:tr>
      <w:tr w:rsidR="003F1D16" w:rsidRPr="008A5C48" w14:paraId="66B8B231" w14:textId="77777777" w:rsidTr="0034607E">
        <w:trPr>
          <w:trHeight w:val="234"/>
        </w:trPr>
        <w:tc>
          <w:tcPr>
            <w:tcW w:w="3450" w:type="dxa"/>
            <w:tcBorders>
              <w:top w:val="nil"/>
              <w:left w:val="nil"/>
              <w:bottom w:val="nil"/>
              <w:right w:val="nil"/>
            </w:tcBorders>
            <w:shd w:val="clear" w:color="auto" w:fill="auto"/>
            <w:vAlign w:val="bottom"/>
          </w:tcPr>
          <w:p w14:paraId="38B8FC24"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Pb</w:t>
            </w:r>
          </w:p>
        </w:tc>
        <w:tc>
          <w:tcPr>
            <w:tcW w:w="2540" w:type="dxa"/>
            <w:tcBorders>
              <w:top w:val="nil"/>
              <w:left w:val="nil"/>
              <w:bottom w:val="nil"/>
              <w:right w:val="nil"/>
            </w:tcBorders>
          </w:tcPr>
          <w:p w14:paraId="2BADC2D4" w14:textId="3E4A470F"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4417F903"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0.45</w:t>
            </w:r>
          </w:p>
        </w:tc>
      </w:tr>
      <w:tr w:rsidR="003F1D16" w:rsidRPr="008A5C48" w14:paraId="6800B883" w14:textId="77777777" w:rsidTr="0034607E">
        <w:trPr>
          <w:trHeight w:val="234"/>
        </w:trPr>
        <w:tc>
          <w:tcPr>
            <w:tcW w:w="3450" w:type="dxa"/>
            <w:tcBorders>
              <w:top w:val="nil"/>
              <w:left w:val="nil"/>
              <w:bottom w:val="nil"/>
              <w:right w:val="nil"/>
            </w:tcBorders>
            <w:shd w:val="clear" w:color="auto" w:fill="auto"/>
            <w:vAlign w:val="bottom"/>
          </w:tcPr>
          <w:p w14:paraId="5698F44A"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PFHXS</w:t>
            </w:r>
          </w:p>
        </w:tc>
        <w:tc>
          <w:tcPr>
            <w:tcW w:w="2540" w:type="dxa"/>
            <w:tcBorders>
              <w:top w:val="nil"/>
              <w:left w:val="nil"/>
              <w:bottom w:val="nil"/>
              <w:right w:val="nil"/>
            </w:tcBorders>
          </w:tcPr>
          <w:p w14:paraId="44E0A9B4" w14:textId="66A789CD"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79DB2AAA"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1.58</w:t>
            </w:r>
          </w:p>
        </w:tc>
      </w:tr>
      <w:tr w:rsidR="003F1D16" w:rsidRPr="008A5C48" w14:paraId="30B359C4" w14:textId="77777777" w:rsidTr="0034607E">
        <w:trPr>
          <w:trHeight w:val="234"/>
        </w:trPr>
        <w:tc>
          <w:tcPr>
            <w:tcW w:w="3450" w:type="dxa"/>
            <w:tcBorders>
              <w:top w:val="nil"/>
              <w:left w:val="nil"/>
              <w:bottom w:val="nil"/>
              <w:right w:val="nil"/>
            </w:tcBorders>
            <w:shd w:val="clear" w:color="auto" w:fill="auto"/>
            <w:vAlign w:val="bottom"/>
          </w:tcPr>
          <w:p w14:paraId="7EB3640F"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PFNA</w:t>
            </w:r>
          </w:p>
        </w:tc>
        <w:tc>
          <w:tcPr>
            <w:tcW w:w="2540" w:type="dxa"/>
            <w:tcBorders>
              <w:top w:val="nil"/>
              <w:left w:val="nil"/>
              <w:bottom w:val="nil"/>
              <w:right w:val="nil"/>
            </w:tcBorders>
          </w:tcPr>
          <w:p w14:paraId="431297EC" w14:textId="74A6EE72"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3B5B17F8"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1.25</w:t>
            </w:r>
          </w:p>
        </w:tc>
      </w:tr>
      <w:tr w:rsidR="003F1D16" w:rsidRPr="008A5C48" w14:paraId="01FCEC5D" w14:textId="77777777" w:rsidTr="0034607E">
        <w:trPr>
          <w:trHeight w:val="234"/>
        </w:trPr>
        <w:tc>
          <w:tcPr>
            <w:tcW w:w="3450" w:type="dxa"/>
            <w:tcBorders>
              <w:top w:val="nil"/>
              <w:left w:val="nil"/>
              <w:bottom w:val="nil"/>
              <w:right w:val="nil"/>
            </w:tcBorders>
            <w:shd w:val="clear" w:color="auto" w:fill="auto"/>
            <w:vAlign w:val="bottom"/>
          </w:tcPr>
          <w:p w14:paraId="6B87716B"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PFOA</w:t>
            </w:r>
          </w:p>
        </w:tc>
        <w:tc>
          <w:tcPr>
            <w:tcW w:w="2540" w:type="dxa"/>
            <w:tcBorders>
              <w:top w:val="nil"/>
              <w:left w:val="nil"/>
              <w:bottom w:val="nil"/>
              <w:right w:val="nil"/>
            </w:tcBorders>
          </w:tcPr>
          <w:p w14:paraId="4616FF12" w14:textId="4F118AF2"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7B443046"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0.72</w:t>
            </w:r>
          </w:p>
        </w:tc>
      </w:tr>
      <w:tr w:rsidR="003F1D16" w:rsidRPr="008A5C48" w14:paraId="520B4962" w14:textId="77777777" w:rsidTr="0034607E">
        <w:trPr>
          <w:trHeight w:val="234"/>
        </w:trPr>
        <w:tc>
          <w:tcPr>
            <w:tcW w:w="3450" w:type="dxa"/>
            <w:tcBorders>
              <w:top w:val="nil"/>
              <w:left w:val="nil"/>
              <w:bottom w:val="nil"/>
              <w:right w:val="nil"/>
            </w:tcBorders>
            <w:shd w:val="clear" w:color="auto" w:fill="auto"/>
            <w:vAlign w:val="bottom"/>
          </w:tcPr>
          <w:p w14:paraId="5F0453DF"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PFOS</w:t>
            </w:r>
          </w:p>
        </w:tc>
        <w:tc>
          <w:tcPr>
            <w:tcW w:w="2540" w:type="dxa"/>
            <w:tcBorders>
              <w:top w:val="nil"/>
              <w:left w:val="nil"/>
              <w:bottom w:val="nil"/>
              <w:right w:val="nil"/>
            </w:tcBorders>
          </w:tcPr>
          <w:p w14:paraId="441272AC" w14:textId="457AAF53"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12C6071B"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1.24</w:t>
            </w:r>
          </w:p>
        </w:tc>
      </w:tr>
      <w:tr w:rsidR="003F1D16" w:rsidRPr="008A5C48" w14:paraId="1C853ADF" w14:textId="77777777" w:rsidTr="0034607E">
        <w:trPr>
          <w:trHeight w:val="234"/>
        </w:trPr>
        <w:tc>
          <w:tcPr>
            <w:tcW w:w="3450" w:type="dxa"/>
            <w:tcBorders>
              <w:top w:val="nil"/>
              <w:left w:val="nil"/>
              <w:bottom w:val="nil"/>
              <w:right w:val="nil"/>
            </w:tcBorders>
            <w:shd w:val="clear" w:color="auto" w:fill="auto"/>
            <w:vAlign w:val="bottom"/>
          </w:tcPr>
          <w:p w14:paraId="160B25BF"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PBDE47</w:t>
            </w:r>
          </w:p>
        </w:tc>
        <w:tc>
          <w:tcPr>
            <w:tcW w:w="2540" w:type="dxa"/>
            <w:tcBorders>
              <w:top w:val="nil"/>
              <w:left w:val="nil"/>
              <w:bottom w:val="nil"/>
              <w:right w:val="nil"/>
            </w:tcBorders>
          </w:tcPr>
          <w:p w14:paraId="44B3CE81" w14:textId="688D6D9D"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4105F498"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0.71</w:t>
            </w:r>
          </w:p>
        </w:tc>
      </w:tr>
      <w:tr w:rsidR="003F1D16" w:rsidRPr="008A5C48" w14:paraId="13D84EC3" w14:textId="77777777" w:rsidTr="0034607E">
        <w:trPr>
          <w:trHeight w:val="234"/>
        </w:trPr>
        <w:tc>
          <w:tcPr>
            <w:tcW w:w="3450" w:type="dxa"/>
            <w:tcBorders>
              <w:top w:val="nil"/>
              <w:left w:val="nil"/>
              <w:bottom w:val="nil"/>
              <w:right w:val="nil"/>
            </w:tcBorders>
            <w:shd w:val="clear" w:color="auto" w:fill="auto"/>
            <w:vAlign w:val="bottom"/>
          </w:tcPr>
          <w:p w14:paraId="3E3033B6"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DEP</w:t>
            </w:r>
          </w:p>
        </w:tc>
        <w:tc>
          <w:tcPr>
            <w:tcW w:w="2540" w:type="dxa"/>
            <w:tcBorders>
              <w:top w:val="nil"/>
              <w:left w:val="nil"/>
              <w:bottom w:val="nil"/>
              <w:right w:val="nil"/>
            </w:tcBorders>
          </w:tcPr>
          <w:p w14:paraId="5A3C9785" w14:textId="31EC4F41"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618DB151"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2.39</w:t>
            </w:r>
          </w:p>
        </w:tc>
      </w:tr>
      <w:tr w:rsidR="003F1D16" w:rsidRPr="008A5C48" w14:paraId="31FFA63A" w14:textId="77777777" w:rsidTr="0034607E">
        <w:trPr>
          <w:trHeight w:val="234"/>
        </w:trPr>
        <w:tc>
          <w:tcPr>
            <w:tcW w:w="3450" w:type="dxa"/>
            <w:tcBorders>
              <w:top w:val="nil"/>
              <w:left w:val="nil"/>
              <w:bottom w:val="nil"/>
              <w:right w:val="nil"/>
            </w:tcBorders>
            <w:shd w:val="clear" w:color="auto" w:fill="auto"/>
            <w:vAlign w:val="bottom"/>
          </w:tcPr>
          <w:p w14:paraId="6C525C9D"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DMTP</w:t>
            </w:r>
          </w:p>
        </w:tc>
        <w:tc>
          <w:tcPr>
            <w:tcW w:w="2540" w:type="dxa"/>
            <w:tcBorders>
              <w:top w:val="nil"/>
              <w:left w:val="nil"/>
              <w:bottom w:val="nil"/>
              <w:right w:val="nil"/>
            </w:tcBorders>
          </w:tcPr>
          <w:p w14:paraId="2EB7E1B5" w14:textId="64C86AC3"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5F5A9B2B"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1.61</w:t>
            </w:r>
          </w:p>
        </w:tc>
      </w:tr>
      <w:tr w:rsidR="003F1D16" w:rsidRPr="008A5C48" w14:paraId="738AF80A" w14:textId="77777777" w:rsidTr="0034607E">
        <w:trPr>
          <w:trHeight w:val="234"/>
        </w:trPr>
        <w:tc>
          <w:tcPr>
            <w:tcW w:w="3450" w:type="dxa"/>
            <w:tcBorders>
              <w:top w:val="nil"/>
              <w:left w:val="nil"/>
              <w:bottom w:val="nil"/>
              <w:right w:val="nil"/>
            </w:tcBorders>
            <w:shd w:val="clear" w:color="auto" w:fill="auto"/>
            <w:vAlign w:val="bottom"/>
          </w:tcPr>
          <w:p w14:paraId="3798BE3C"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DDE</w:t>
            </w:r>
          </w:p>
        </w:tc>
        <w:tc>
          <w:tcPr>
            <w:tcW w:w="2540" w:type="dxa"/>
            <w:tcBorders>
              <w:top w:val="nil"/>
              <w:left w:val="nil"/>
              <w:bottom w:val="nil"/>
              <w:right w:val="nil"/>
            </w:tcBorders>
          </w:tcPr>
          <w:p w14:paraId="79C6E25A" w14:textId="67F78F04"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nil"/>
              <w:right w:val="nil"/>
            </w:tcBorders>
            <w:shd w:val="clear" w:color="auto" w:fill="auto"/>
            <w:vAlign w:val="bottom"/>
          </w:tcPr>
          <w:p w14:paraId="5DE69FBD"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1.25</w:t>
            </w:r>
          </w:p>
        </w:tc>
      </w:tr>
      <w:tr w:rsidR="003F1D16" w:rsidRPr="008A5C48" w14:paraId="7EBE3E69" w14:textId="77777777" w:rsidTr="0034607E">
        <w:trPr>
          <w:trHeight w:val="234"/>
        </w:trPr>
        <w:tc>
          <w:tcPr>
            <w:tcW w:w="3450" w:type="dxa"/>
            <w:tcBorders>
              <w:top w:val="nil"/>
              <w:left w:val="nil"/>
              <w:right w:val="nil"/>
            </w:tcBorders>
            <w:shd w:val="clear" w:color="auto" w:fill="auto"/>
            <w:vAlign w:val="bottom"/>
          </w:tcPr>
          <w:p w14:paraId="355A846E"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HCB</w:t>
            </w:r>
          </w:p>
        </w:tc>
        <w:tc>
          <w:tcPr>
            <w:tcW w:w="2540" w:type="dxa"/>
            <w:tcBorders>
              <w:top w:val="nil"/>
              <w:left w:val="nil"/>
              <w:right w:val="nil"/>
            </w:tcBorders>
          </w:tcPr>
          <w:p w14:paraId="6C973FE8" w14:textId="07EA7B4C" w:rsidR="003F1D16" w:rsidRPr="008A5C48" w:rsidRDefault="00E21214" w:rsidP="0034607E">
            <w:pPr>
              <w:spacing w:after="0" w:line="240" w:lineRule="auto"/>
              <w:contextualSpacing/>
              <w:jc w:val="center"/>
              <w:rPr>
                <w:rFonts w:ascii="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right w:val="nil"/>
            </w:tcBorders>
            <w:shd w:val="clear" w:color="auto" w:fill="auto"/>
            <w:vAlign w:val="bottom"/>
          </w:tcPr>
          <w:p w14:paraId="017BA038"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0.50</w:t>
            </w:r>
          </w:p>
        </w:tc>
      </w:tr>
      <w:tr w:rsidR="003F1D16" w:rsidRPr="008A5C48" w14:paraId="52FB1AED" w14:textId="77777777" w:rsidTr="0034607E">
        <w:trPr>
          <w:trHeight w:val="234"/>
        </w:trPr>
        <w:tc>
          <w:tcPr>
            <w:tcW w:w="3450" w:type="dxa"/>
            <w:tcBorders>
              <w:top w:val="nil"/>
              <w:left w:val="nil"/>
              <w:bottom w:val="single" w:sz="4" w:space="0" w:color="000000"/>
              <w:right w:val="nil"/>
            </w:tcBorders>
            <w:shd w:val="clear" w:color="auto" w:fill="auto"/>
            <w:vAlign w:val="bottom"/>
          </w:tcPr>
          <w:p w14:paraId="636D3994" w14:textId="77777777" w:rsidR="003F1D16" w:rsidRPr="008A5C48" w:rsidRDefault="003F1D16" w:rsidP="0034607E">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SumPCB</w:t>
            </w:r>
            <w:proofErr w:type="spellEnd"/>
          </w:p>
        </w:tc>
        <w:tc>
          <w:tcPr>
            <w:tcW w:w="2540" w:type="dxa"/>
            <w:tcBorders>
              <w:top w:val="nil"/>
              <w:left w:val="nil"/>
              <w:bottom w:val="single" w:sz="4" w:space="0" w:color="000000"/>
              <w:right w:val="nil"/>
            </w:tcBorders>
          </w:tcPr>
          <w:p w14:paraId="7046DCAC" w14:textId="1F7A47C9" w:rsidR="003F1D16" w:rsidRPr="008A5C48" w:rsidRDefault="00E21214" w:rsidP="0034607E">
            <w:pPr>
              <w:spacing w:after="0" w:line="240" w:lineRule="auto"/>
              <w:contextualSpacing/>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Log</w:t>
            </w:r>
          </w:p>
        </w:tc>
        <w:tc>
          <w:tcPr>
            <w:tcW w:w="790" w:type="dxa"/>
            <w:tcBorders>
              <w:top w:val="nil"/>
              <w:left w:val="nil"/>
              <w:bottom w:val="single" w:sz="4" w:space="0" w:color="000000"/>
              <w:right w:val="nil"/>
            </w:tcBorders>
            <w:shd w:val="clear" w:color="auto" w:fill="auto"/>
            <w:vAlign w:val="bottom"/>
          </w:tcPr>
          <w:p w14:paraId="698CA0A0" w14:textId="77777777" w:rsidR="003F1D16" w:rsidRPr="008A5C48" w:rsidRDefault="003F1D16"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0.96</w:t>
            </w:r>
          </w:p>
        </w:tc>
      </w:tr>
    </w:tbl>
    <w:p w14:paraId="0644D928" w14:textId="4FADB01D" w:rsidR="003F1D16" w:rsidRPr="008A5C48" w:rsidRDefault="003F1D16" w:rsidP="003F1D16">
      <w:pPr>
        <w:spacing w:after="0" w:line="240" w:lineRule="auto"/>
        <w:contextualSpacing/>
        <w:jc w:val="both"/>
        <w:rPr>
          <w:rFonts w:ascii="Times New Roman" w:eastAsia="Times New Roman" w:hAnsi="Times New Roman" w:cs="Times New Roman"/>
          <w:sz w:val="20"/>
          <w:szCs w:val="20"/>
        </w:rPr>
      </w:pPr>
      <w:proofErr w:type="gramStart"/>
      <w:r w:rsidRPr="008A5C48">
        <w:rPr>
          <w:rFonts w:ascii="Times New Roman" w:eastAsia="Times New Roman" w:hAnsi="Times New Roman" w:cs="Times New Roman"/>
          <w:sz w:val="20"/>
          <w:szCs w:val="20"/>
          <w:vertAlign w:val="superscript"/>
        </w:rPr>
        <w:t>a</w:t>
      </w:r>
      <w:proofErr w:type="gramEnd"/>
      <w:r w:rsidRPr="008A5C48">
        <w:rPr>
          <w:rFonts w:ascii="Times New Roman" w:eastAsia="Times New Roman" w:hAnsi="Times New Roman" w:cs="Times New Roman"/>
          <w:sz w:val="20"/>
          <w:szCs w:val="20"/>
        </w:rPr>
        <w:t xml:space="preserve"> IQR: Interquartile range (Q75%-Q25%), calculated based on the 20 stacked imputed datasets (the original dataset was not included). Standardisation on IQR was applied after the transformation (log, </w:t>
      </w:r>
      <w:r w:rsidR="00E21214">
        <w:rPr>
          <w:rFonts w:ascii="Times New Roman" w:eastAsia="Times New Roman" w:hAnsi="Times New Roman" w:cs="Times New Roman"/>
          <w:sz w:val="20"/>
          <w:szCs w:val="20"/>
        </w:rPr>
        <w:t>Log</w:t>
      </w:r>
      <w:r w:rsidRPr="008A5C48">
        <w:rPr>
          <w:rFonts w:ascii="Times New Roman" w:eastAsia="Times New Roman" w:hAnsi="Times New Roman" w:cs="Times New Roman"/>
          <w:sz w:val="20"/>
          <w:szCs w:val="20"/>
        </w:rPr>
        <w:t xml:space="preserve"> etc) by removing the mean and dividing by the IQR.</w:t>
      </w:r>
    </w:p>
    <w:p w14:paraId="1A4B8BF4" w14:textId="77777777" w:rsidR="003F1D16" w:rsidRDefault="003F1D16" w:rsidP="003F1D16">
      <w:pPr>
        <w:spacing w:after="0" w:line="240" w:lineRule="auto"/>
        <w:contextualSpacing/>
        <w:jc w:val="both"/>
        <w:rPr>
          <w:rFonts w:ascii="Times New Roman" w:eastAsia="Times New Roman" w:hAnsi="Times New Roman" w:cs="Times New Roman"/>
          <w:sz w:val="20"/>
          <w:szCs w:val="20"/>
        </w:rPr>
      </w:pPr>
    </w:p>
    <w:p w14:paraId="450F7274" w14:textId="4206DBD6" w:rsidR="003F1D16" w:rsidRPr="003F1D16" w:rsidRDefault="003F1D16" w:rsidP="003F1D16">
      <w:pPr>
        <w:spacing w:line="240" w:lineRule="auto"/>
        <w:contextualSpacing/>
        <w:rPr>
          <w:rFonts w:ascii="Times New Roman" w:eastAsia="Times New Roman" w:hAnsi="Times New Roman" w:cs="Times New Roman"/>
          <w:b/>
          <w:sz w:val="20"/>
          <w:szCs w:val="20"/>
        </w:rPr>
      </w:pPr>
      <w:r>
        <w:rPr>
          <w:rFonts w:ascii="Times New Roman" w:eastAsia="Times New Roman" w:hAnsi="Times New Roman" w:cs="Times New Roman"/>
          <w:b/>
          <w:sz w:val="20"/>
          <w:szCs w:val="20"/>
        </w:rPr>
        <w:br w:type="page"/>
      </w:r>
    </w:p>
    <w:p w14:paraId="08BA07B6" w14:textId="14234246" w:rsidR="00376689" w:rsidRPr="001E4B45" w:rsidRDefault="00376689" w:rsidP="00376689">
      <w:pPr>
        <w:pStyle w:val="Titre1"/>
        <w:rPr>
          <w:rFonts w:eastAsia="Times New Roman"/>
          <w:b w:val="0"/>
          <w:bCs w:val="0"/>
        </w:rPr>
      </w:pPr>
      <w:bookmarkStart w:id="74" w:name="_Toc127358161"/>
      <w:bookmarkStart w:id="75" w:name="_Toc132271592"/>
      <w:bookmarkStart w:id="76" w:name="_Hlk127367200"/>
      <w:proofErr w:type="spellStart"/>
      <w:r w:rsidRPr="00376689">
        <w:rPr>
          <w:rFonts w:eastAsia="Times New Roman"/>
        </w:rPr>
        <w:lastRenderedPageBreak/>
        <w:t>eTable</w:t>
      </w:r>
      <w:proofErr w:type="spellEnd"/>
      <w:r w:rsidRPr="00376689">
        <w:rPr>
          <w:rFonts w:eastAsia="Times New Roman"/>
        </w:rPr>
        <w:t xml:space="preserve"> </w:t>
      </w:r>
      <w:r w:rsidR="00276BE5">
        <w:rPr>
          <w:rFonts w:eastAsia="Times New Roman"/>
        </w:rPr>
        <w:t>10</w:t>
      </w:r>
      <w:r w:rsidRPr="00376689">
        <w:rPr>
          <w:rFonts w:eastAsia="Times New Roman"/>
        </w:rPr>
        <w:t xml:space="preserve">. </w:t>
      </w:r>
      <w:r w:rsidRPr="001E4B45">
        <w:rPr>
          <w:rFonts w:eastAsia="Times New Roman"/>
          <w:b w:val="0"/>
          <w:bCs w:val="0"/>
        </w:rPr>
        <w:t xml:space="preserve">Description of </w:t>
      </w:r>
      <w:r w:rsidR="00F76165">
        <w:rPr>
          <w:rFonts w:eastAsia="Times New Roman"/>
          <w:b w:val="0"/>
          <w:bCs w:val="0"/>
        </w:rPr>
        <w:t xml:space="preserve">transformed </w:t>
      </w:r>
      <w:r w:rsidRPr="001E4B45">
        <w:rPr>
          <w:rFonts w:eastAsia="Times New Roman"/>
          <w:b w:val="0"/>
          <w:bCs w:val="0"/>
        </w:rPr>
        <w:t>urban exposures</w:t>
      </w:r>
      <w:bookmarkEnd w:id="74"/>
      <w:bookmarkEnd w:id="75"/>
    </w:p>
    <w:bookmarkEnd w:id="76"/>
    <w:p w14:paraId="63C6924E" w14:textId="77777777" w:rsidR="00376689" w:rsidRPr="008A5C48" w:rsidRDefault="00376689" w:rsidP="00376689">
      <w:pPr>
        <w:spacing w:line="240" w:lineRule="auto"/>
        <w:contextualSpacing/>
        <w:rPr>
          <w:rFonts w:ascii="Times New Roman" w:eastAsia="Times New Roman" w:hAnsi="Times New Roman" w:cs="Times New Roman"/>
          <w:sz w:val="20"/>
          <w:szCs w:val="20"/>
        </w:rPr>
      </w:pPr>
    </w:p>
    <w:tbl>
      <w:tblPr>
        <w:tblStyle w:val="a3"/>
        <w:tblW w:w="9298" w:type="dxa"/>
        <w:jc w:val="center"/>
        <w:tblInd w:w="0" w:type="dxa"/>
        <w:tblLayout w:type="fixed"/>
        <w:tblLook w:val="0400" w:firstRow="0" w:lastRow="0" w:firstColumn="0" w:lastColumn="0" w:noHBand="0" w:noVBand="1"/>
      </w:tblPr>
      <w:tblGrid>
        <w:gridCol w:w="1778"/>
        <w:gridCol w:w="1109"/>
        <w:gridCol w:w="1136"/>
        <w:gridCol w:w="1223"/>
        <w:gridCol w:w="568"/>
        <w:gridCol w:w="868"/>
        <w:gridCol w:w="874"/>
        <w:gridCol w:w="868"/>
        <w:gridCol w:w="874"/>
      </w:tblGrid>
      <w:tr w:rsidR="00376689" w:rsidRPr="008A5C48" w14:paraId="1F41A5AA" w14:textId="77777777" w:rsidTr="002A4F43">
        <w:trPr>
          <w:trHeight w:val="307"/>
          <w:jc w:val="center"/>
        </w:trPr>
        <w:tc>
          <w:tcPr>
            <w:tcW w:w="1778" w:type="dxa"/>
            <w:tcBorders>
              <w:top w:val="single" w:sz="4" w:space="0" w:color="000000"/>
              <w:left w:val="nil"/>
              <w:bottom w:val="single" w:sz="4" w:space="0" w:color="000000"/>
              <w:right w:val="nil"/>
            </w:tcBorders>
            <w:shd w:val="clear" w:color="auto" w:fill="auto"/>
            <w:vAlign w:val="center"/>
          </w:tcPr>
          <w:p w14:paraId="53E79539" w14:textId="77777777" w:rsidR="00376689" w:rsidRPr="00376689" w:rsidRDefault="00376689" w:rsidP="0034607E">
            <w:pPr>
              <w:spacing w:after="0" w:line="240" w:lineRule="auto"/>
              <w:contextualSpacing/>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Exposure</w:t>
            </w:r>
          </w:p>
        </w:tc>
        <w:tc>
          <w:tcPr>
            <w:tcW w:w="1109" w:type="dxa"/>
            <w:tcBorders>
              <w:top w:val="single" w:sz="4" w:space="0" w:color="000000"/>
              <w:left w:val="nil"/>
              <w:bottom w:val="single" w:sz="4" w:space="0" w:color="000000"/>
              <w:right w:val="nil"/>
            </w:tcBorders>
            <w:shd w:val="clear" w:color="auto" w:fill="auto"/>
            <w:vAlign w:val="center"/>
          </w:tcPr>
          <w:p w14:paraId="76549235" w14:textId="77777777" w:rsidR="00376689" w:rsidRPr="00376689" w:rsidRDefault="00376689"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Unit</w:t>
            </w:r>
          </w:p>
        </w:tc>
        <w:tc>
          <w:tcPr>
            <w:tcW w:w="1136" w:type="dxa"/>
            <w:tcBorders>
              <w:top w:val="single" w:sz="4" w:space="0" w:color="000000"/>
              <w:left w:val="nil"/>
              <w:bottom w:val="single" w:sz="4" w:space="0" w:color="000000"/>
              <w:right w:val="nil"/>
            </w:tcBorders>
            <w:shd w:val="clear" w:color="auto" w:fill="auto"/>
            <w:vAlign w:val="center"/>
          </w:tcPr>
          <w:p w14:paraId="2579E7AD" w14:textId="77777777" w:rsidR="00376689" w:rsidRPr="00376689" w:rsidRDefault="00376689"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Period</w:t>
            </w:r>
          </w:p>
        </w:tc>
        <w:tc>
          <w:tcPr>
            <w:tcW w:w="1223" w:type="dxa"/>
            <w:tcBorders>
              <w:top w:val="single" w:sz="4" w:space="0" w:color="000000"/>
              <w:left w:val="nil"/>
              <w:bottom w:val="single" w:sz="4" w:space="0" w:color="000000"/>
              <w:right w:val="nil"/>
            </w:tcBorders>
            <w:shd w:val="clear" w:color="auto" w:fill="auto"/>
            <w:vAlign w:val="center"/>
          </w:tcPr>
          <w:p w14:paraId="50B9AB64" w14:textId="77777777" w:rsidR="00376689" w:rsidRPr="00376689" w:rsidRDefault="00376689"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N (%)</w:t>
            </w:r>
          </w:p>
        </w:tc>
        <w:tc>
          <w:tcPr>
            <w:tcW w:w="568" w:type="dxa"/>
            <w:tcBorders>
              <w:top w:val="single" w:sz="4" w:space="0" w:color="000000"/>
              <w:left w:val="nil"/>
              <w:bottom w:val="single" w:sz="4" w:space="0" w:color="000000"/>
              <w:right w:val="nil"/>
            </w:tcBorders>
            <w:shd w:val="clear" w:color="auto" w:fill="auto"/>
            <w:vAlign w:val="center"/>
          </w:tcPr>
          <w:p w14:paraId="7DF10978" w14:textId="77777777" w:rsidR="00376689" w:rsidRPr="00376689" w:rsidRDefault="00376689"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Min, or %</w:t>
            </w:r>
          </w:p>
        </w:tc>
        <w:tc>
          <w:tcPr>
            <w:tcW w:w="868" w:type="dxa"/>
            <w:tcBorders>
              <w:top w:val="single" w:sz="4" w:space="0" w:color="000000"/>
              <w:left w:val="nil"/>
              <w:bottom w:val="single" w:sz="4" w:space="0" w:color="000000"/>
              <w:right w:val="nil"/>
            </w:tcBorders>
            <w:shd w:val="clear" w:color="auto" w:fill="auto"/>
            <w:vAlign w:val="center"/>
          </w:tcPr>
          <w:p w14:paraId="2305413F" w14:textId="77777777" w:rsidR="00376689" w:rsidRPr="00376689" w:rsidRDefault="00376689"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Q1</w:t>
            </w:r>
          </w:p>
        </w:tc>
        <w:tc>
          <w:tcPr>
            <w:tcW w:w="874" w:type="dxa"/>
            <w:tcBorders>
              <w:top w:val="single" w:sz="4" w:space="0" w:color="000000"/>
              <w:left w:val="nil"/>
              <w:bottom w:val="single" w:sz="4" w:space="0" w:color="000000"/>
              <w:right w:val="nil"/>
            </w:tcBorders>
            <w:shd w:val="clear" w:color="auto" w:fill="auto"/>
            <w:vAlign w:val="center"/>
          </w:tcPr>
          <w:p w14:paraId="1BA4E315" w14:textId="77777777" w:rsidR="00376689" w:rsidRPr="00376689" w:rsidRDefault="00376689"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Median</w:t>
            </w:r>
          </w:p>
        </w:tc>
        <w:tc>
          <w:tcPr>
            <w:tcW w:w="868" w:type="dxa"/>
            <w:tcBorders>
              <w:top w:val="single" w:sz="4" w:space="0" w:color="000000"/>
              <w:left w:val="nil"/>
              <w:bottom w:val="single" w:sz="4" w:space="0" w:color="000000"/>
              <w:right w:val="nil"/>
            </w:tcBorders>
            <w:shd w:val="clear" w:color="auto" w:fill="auto"/>
            <w:vAlign w:val="center"/>
          </w:tcPr>
          <w:p w14:paraId="1FA86443" w14:textId="77777777" w:rsidR="00376689" w:rsidRPr="00376689" w:rsidRDefault="00376689"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Q3</w:t>
            </w:r>
          </w:p>
        </w:tc>
        <w:tc>
          <w:tcPr>
            <w:tcW w:w="874" w:type="dxa"/>
            <w:tcBorders>
              <w:top w:val="single" w:sz="4" w:space="0" w:color="000000"/>
              <w:left w:val="nil"/>
              <w:bottom w:val="single" w:sz="4" w:space="0" w:color="000000"/>
              <w:right w:val="nil"/>
            </w:tcBorders>
            <w:shd w:val="clear" w:color="auto" w:fill="auto"/>
            <w:vAlign w:val="center"/>
          </w:tcPr>
          <w:p w14:paraId="1A1B2AB2" w14:textId="77777777" w:rsidR="00376689" w:rsidRPr="00376689" w:rsidRDefault="00376689"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Max</w:t>
            </w:r>
          </w:p>
        </w:tc>
      </w:tr>
      <w:tr w:rsidR="00376689" w:rsidRPr="008A5C48" w14:paraId="40DAE000" w14:textId="77777777" w:rsidTr="00376689">
        <w:trPr>
          <w:trHeight w:val="106"/>
          <w:jc w:val="center"/>
        </w:trPr>
        <w:tc>
          <w:tcPr>
            <w:tcW w:w="9298" w:type="dxa"/>
            <w:gridSpan w:val="9"/>
            <w:tcBorders>
              <w:top w:val="nil"/>
              <w:left w:val="nil"/>
              <w:bottom w:val="nil"/>
              <w:right w:val="nil"/>
            </w:tcBorders>
            <w:shd w:val="clear" w:color="auto" w:fill="auto"/>
            <w:vAlign w:val="center"/>
          </w:tcPr>
          <w:p w14:paraId="347D2AAC" w14:textId="77777777" w:rsidR="00376689" w:rsidRPr="00376689" w:rsidRDefault="00376689" w:rsidP="0034607E">
            <w:pPr>
              <w:spacing w:after="0" w:line="240" w:lineRule="auto"/>
              <w:contextualSpacing/>
              <w:rPr>
                <w:rFonts w:ascii="Times New Roman" w:eastAsia="Times New Roman" w:hAnsi="Times New Roman" w:cs="Times New Roman"/>
                <w:b/>
                <w:color w:val="000000"/>
                <w:sz w:val="20"/>
                <w:szCs w:val="20"/>
              </w:rPr>
            </w:pPr>
            <w:r w:rsidRPr="00376689">
              <w:rPr>
                <w:rFonts w:ascii="Times New Roman" w:eastAsia="Times New Roman" w:hAnsi="Times New Roman" w:cs="Times New Roman"/>
                <w:b/>
                <w:color w:val="000000"/>
                <w:sz w:val="20"/>
                <w:szCs w:val="20"/>
              </w:rPr>
              <w:t>Outdoor air pollution</w:t>
            </w:r>
          </w:p>
        </w:tc>
      </w:tr>
      <w:tr w:rsidR="002A4F43" w:rsidRPr="008A5C48" w14:paraId="2D63E0D8" w14:textId="77777777" w:rsidTr="002A4F43">
        <w:trPr>
          <w:trHeight w:val="106"/>
          <w:jc w:val="center"/>
        </w:trPr>
        <w:tc>
          <w:tcPr>
            <w:tcW w:w="1778" w:type="dxa"/>
            <w:tcBorders>
              <w:top w:val="nil"/>
              <w:left w:val="nil"/>
              <w:bottom w:val="nil"/>
              <w:right w:val="nil"/>
            </w:tcBorders>
            <w:shd w:val="clear" w:color="auto" w:fill="auto"/>
            <w:vAlign w:val="center"/>
          </w:tcPr>
          <w:p w14:paraId="27D03FD6" w14:textId="77777777" w:rsidR="002A4F43" w:rsidRPr="008A5C48" w:rsidRDefault="002A4F43" w:rsidP="002A4F43">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NO2 </w:t>
            </w:r>
          </w:p>
        </w:tc>
        <w:tc>
          <w:tcPr>
            <w:tcW w:w="1109" w:type="dxa"/>
            <w:tcBorders>
              <w:top w:val="nil"/>
              <w:left w:val="nil"/>
              <w:bottom w:val="nil"/>
              <w:right w:val="nil"/>
            </w:tcBorders>
            <w:shd w:val="clear" w:color="auto" w:fill="auto"/>
            <w:vAlign w:val="center"/>
          </w:tcPr>
          <w:p w14:paraId="7B2DB46E"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/m3</w:t>
            </w:r>
          </w:p>
        </w:tc>
        <w:tc>
          <w:tcPr>
            <w:tcW w:w="1136" w:type="dxa"/>
            <w:tcBorders>
              <w:top w:val="nil"/>
              <w:left w:val="nil"/>
              <w:bottom w:val="nil"/>
              <w:right w:val="nil"/>
            </w:tcBorders>
            <w:shd w:val="clear" w:color="auto" w:fill="auto"/>
            <w:vAlign w:val="center"/>
          </w:tcPr>
          <w:p w14:paraId="236FC8F0"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223" w:type="dxa"/>
            <w:tcBorders>
              <w:top w:val="nil"/>
              <w:left w:val="nil"/>
              <w:bottom w:val="nil"/>
              <w:right w:val="nil"/>
            </w:tcBorders>
            <w:shd w:val="clear" w:color="auto" w:fill="auto"/>
            <w:vAlign w:val="bottom"/>
          </w:tcPr>
          <w:p w14:paraId="127C6519" w14:textId="283C3352"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799 (91.8%)</w:t>
            </w:r>
          </w:p>
        </w:tc>
        <w:tc>
          <w:tcPr>
            <w:tcW w:w="568" w:type="dxa"/>
            <w:tcBorders>
              <w:top w:val="nil"/>
              <w:left w:val="nil"/>
              <w:bottom w:val="nil"/>
              <w:right w:val="nil"/>
            </w:tcBorders>
            <w:shd w:val="clear" w:color="auto" w:fill="auto"/>
            <w:vAlign w:val="bottom"/>
          </w:tcPr>
          <w:p w14:paraId="493F359E" w14:textId="4210AEEE"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3,1</w:t>
            </w:r>
          </w:p>
        </w:tc>
        <w:tc>
          <w:tcPr>
            <w:tcW w:w="868" w:type="dxa"/>
            <w:tcBorders>
              <w:top w:val="nil"/>
              <w:left w:val="nil"/>
              <w:bottom w:val="nil"/>
              <w:right w:val="nil"/>
            </w:tcBorders>
            <w:shd w:val="clear" w:color="auto" w:fill="auto"/>
            <w:vAlign w:val="bottom"/>
          </w:tcPr>
          <w:p w14:paraId="18F8B775" w14:textId="32297EC6"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3,33</w:t>
            </w:r>
          </w:p>
        </w:tc>
        <w:tc>
          <w:tcPr>
            <w:tcW w:w="874" w:type="dxa"/>
            <w:tcBorders>
              <w:top w:val="nil"/>
              <w:left w:val="nil"/>
              <w:bottom w:val="nil"/>
              <w:right w:val="nil"/>
            </w:tcBorders>
            <w:shd w:val="clear" w:color="auto" w:fill="auto"/>
            <w:vAlign w:val="bottom"/>
          </w:tcPr>
          <w:p w14:paraId="18A2BACE" w14:textId="4DDB0E6C"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3,51</w:t>
            </w:r>
          </w:p>
        </w:tc>
        <w:tc>
          <w:tcPr>
            <w:tcW w:w="868" w:type="dxa"/>
            <w:tcBorders>
              <w:top w:val="nil"/>
              <w:left w:val="nil"/>
              <w:bottom w:val="nil"/>
              <w:right w:val="nil"/>
            </w:tcBorders>
            <w:shd w:val="clear" w:color="auto" w:fill="auto"/>
            <w:vAlign w:val="bottom"/>
          </w:tcPr>
          <w:p w14:paraId="35E52643" w14:textId="10B8E868"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3,71</w:t>
            </w:r>
          </w:p>
        </w:tc>
        <w:tc>
          <w:tcPr>
            <w:tcW w:w="874" w:type="dxa"/>
            <w:tcBorders>
              <w:top w:val="nil"/>
              <w:left w:val="nil"/>
              <w:bottom w:val="nil"/>
              <w:right w:val="nil"/>
            </w:tcBorders>
            <w:shd w:val="clear" w:color="auto" w:fill="auto"/>
            <w:vAlign w:val="bottom"/>
          </w:tcPr>
          <w:p w14:paraId="32F99F5F" w14:textId="61E33715"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4,67</w:t>
            </w:r>
          </w:p>
        </w:tc>
      </w:tr>
      <w:tr w:rsidR="002A4F43" w:rsidRPr="008A5C48" w14:paraId="7EE74CDE" w14:textId="77777777" w:rsidTr="002A4F43">
        <w:trPr>
          <w:trHeight w:val="106"/>
          <w:jc w:val="center"/>
        </w:trPr>
        <w:tc>
          <w:tcPr>
            <w:tcW w:w="1778" w:type="dxa"/>
            <w:tcBorders>
              <w:top w:val="nil"/>
              <w:left w:val="nil"/>
              <w:bottom w:val="nil"/>
              <w:right w:val="nil"/>
            </w:tcBorders>
            <w:shd w:val="clear" w:color="auto" w:fill="auto"/>
            <w:vAlign w:val="center"/>
          </w:tcPr>
          <w:p w14:paraId="6BB5966F" w14:textId="77777777" w:rsidR="002A4F43" w:rsidRPr="008A5C48" w:rsidRDefault="002A4F43" w:rsidP="002A4F43">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PM10 </w:t>
            </w:r>
          </w:p>
        </w:tc>
        <w:tc>
          <w:tcPr>
            <w:tcW w:w="1109" w:type="dxa"/>
            <w:tcBorders>
              <w:top w:val="nil"/>
              <w:left w:val="nil"/>
              <w:bottom w:val="nil"/>
              <w:right w:val="nil"/>
            </w:tcBorders>
            <w:shd w:val="clear" w:color="auto" w:fill="auto"/>
            <w:vAlign w:val="center"/>
          </w:tcPr>
          <w:p w14:paraId="3059039B"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/m3</w:t>
            </w:r>
          </w:p>
        </w:tc>
        <w:tc>
          <w:tcPr>
            <w:tcW w:w="1136" w:type="dxa"/>
            <w:tcBorders>
              <w:top w:val="nil"/>
              <w:left w:val="nil"/>
              <w:bottom w:val="nil"/>
              <w:right w:val="nil"/>
            </w:tcBorders>
            <w:shd w:val="clear" w:color="auto" w:fill="auto"/>
            <w:vAlign w:val="center"/>
          </w:tcPr>
          <w:p w14:paraId="61EC1EB5"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223" w:type="dxa"/>
            <w:tcBorders>
              <w:top w:val="nil"/>
              <w:left w:val="nil"/>
              <w:bottom w:val="nil"/>
              <w:right w:val="nil"/>
            </w:tcBorders>
            <w:shd w:val="clear" w:color="auto" w:fill="auto"/>
            <w:vAlign w:val="bottom"/>
          </w:tcPr>
          <w:p w14:paraId="3A62F7F2" w14:textId="739021D9"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791 (90.9%)</w:t>
            </w:r>
          </w:p>
        </w:tc>
        <w:tc>
          <w:tcPr>
            <w:tcW w:w="568" w:type="dxa"/>
            <w:tcBorders>
              <w:top w:val="nil"/>
              <w:left w:val="nil"/>
              <w:bottom w:val="nil"/>
              <w:right w:val="nil"/>
            </w:tcBorders>
            <w:shd w:val="clear" w:color="auto" w:fill="auto"/>
            <w:vAlign w:val="bottom"/>
          </w:tcPr>
          <w:p w14:paraId="01CED1DD" w14:textId="00A59BF8"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8,1</w:t>
            </w:r>
          </w:p>
        </w:tc>
        <w:tc>
          <w:tcPr>
            <w:tcW w:w="868" w:type="dxa"/>
            <w:tcBorders>
              <w:top w:val="nil"/>
              <w:left w:val="nil"/>
              <w:bottom w:val="nil"/>
              <w:right w:val="nil"/>
            </w:tcBorders>
            <w:shd w:val="clear" w:color="auto" w:fill="auto"/>
            <w:vAlign w:val="bottom"/>
          </w:tcPr>
          <w:p w14:paraId="7655C1AE" w14:textId="4B8405BB"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16,8</w:t>
            </w:r>
          </w:p>
        </w:tc>
        <w:tc>
          <w:tcPr>
            <w:tcW w:w="874" w:type="dxa"/>
            <w:tcBorders>
              <w:top w:val="nil"/>
              <w:left w:val="nil"/>
              <w:bottom w:val="nil"/>
              <w:right w:val="nil"/>
            </w:tcBorders>
            <w:shd w:val="clear" w:color="auto" w:fill="auto"/>
            <w:vAlign w:val="bottom"/>
          </w:tcPr>
          <w:p w14:paraId="52F42B78" w14:textId="09D21272"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23,8</w:t>
            </w:r>
          </w:p>
        </w:tc>
        <w:tc>
          <w:tcPr>
            <w:tcW w:w="868" w:type="dxa"/>
            <w:tcBorders>
              <w:top w:val="nil"/>
              <w:left w:val="nil"/>
              <w:bottom w:val="nil"/>
              <w:right w:val="nil"/>
            </w:tcBorders>
            <w:shd w:val="clear" w:color="auto" w:fill="auto"/>
            <w:vAlign w:val="bottom"/>
          </w:tcPr>
          <w:p w14:paraId="7C3483B7" w14:textId="1E632A0D"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29,2</w:t>
            </w:r>
          </w:p>
        </w:tc>
        <w:tc>
          <w:tcPr>
            <w:tcW w:w="874" w:type="dxa"/>
            <w:tcBorders>
              <w:top w:val="nil"/>
              <w:left w:val="nil"/>
              <w:bottom w:val="nil"/>
              <w:right w:val="nil"/>
            </w:tcBorders>
            <w:shd w:val="clear" w:color="auto" w:fill="auto"/>
            <w:vAlign w:val="bottom"/>
          </w:tcPr>
          <w:p w14:paraId="05ADFD9E" w14:textId="05F3E6AA"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47,7</w:t>
            </w:r>
          </w:p>
        </w:tc>
      </w:tr>
      <w:tr w:rsidR="002A4F43" w:rsidRPr="008A5C48" w14:paraId="3BFBE429" w14:textId="77777777" w:rsidTr="002A4F43">
        <w:trPr>
          <w:trHeight w:val="106"/>
          <w:jc w:val="center"/>
        </w:trPr>
        <w:tc>
          <w:tcPr>
            <w:tcW w:w="1778" w:type="dxa"/>
            <w:tcBorders>
              <w:top w:val="nil"/>
              <w:left w:val="nil"/>
              <w:bottom w:val="nil"/>
              <w:right w:val="nil"/>
            </w:tcBorders>
            <w:shd w:val="clear" w:color="auto" w:fill="auto"/>
            <w:vAlign w:val="center"/>
          </w:tcPr>
          <w:p w14:paraId="0A7CE2E1" w14:textId="77777777" w:rsidR="002A4F43" w:rsidRPr="008A5C48" w:rsidRDefault="002A4F43" w:rsidP="002A4F43">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PM2.5 </w:t>
            </w:r>
          </w:p>
        </w:tc>
        <w:tc>
          <w:tcPr>
            <w:tcW w:w="1109" w:type="dxa"/>
            <w:tcBorders>
              <w:top w:val="nil"/>
              <w:left w:val="nil"/>
              <w:bottom w:val="nil"/>
              <w:right w:val="nil"/>
            </w:tcBorders>
            <w:shd w:val="clear" w:color="auto" w:fill="auto"/>
            <w:vAlign w:val="center"/>
          </w:tcPr>
          <w:p w14:paraId="74187986"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/m3</w:t>
            </w:r>
          </w:p>
        </w:tc>
        <w:tc>
          <w:tcPr>
            <w:tcW w:w="1136" w:type="dxa"/>
            <w:tcBorders>
              <w:top w:val="nil"/>
              <w:left w:val="nil"/>
              <w:bottom w:val="nil"/>
              <w:right w:val="nil"/>
            </w:tcBorders>
            <w:shd w:val="clear" w:color="auto" w:fill="auto"/>
            <w:vAlign w:val="center"/>
          </w:tcPr>
          <w:p w14:paraId="69FAF4D3"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223" w:type="dxa"/>
            <w:tcBorders>
              <w:top w:val="nil"/>
              <w:left w:val="nil"/>
              <w:bottom w:val="nil"/>
              <w:right w:val="nil"/>
            </w:tcBorders>
            <w:shd w:val="clear" w:color="auto" w:fill="auto"/>
            <w:vAlign w:val="bottom"/>
          </w:tcPr>
          <w:p w14:paraId="5B8F3943" w14:textId="7C73A17F"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854 (98.2%)</w:t>
            </w:r>
          </w:p>
        </w:tc>
        <w:tc>
          <w:tcPr>
            <w:tcW w:w="568" w:type="dxa"/>
            <w:tcBorders>
              <w:top w:val="nil"/>
              <w:left w:val="nil"/>
              <w:bottom w:val="nil"/>
              <w:right w:val="nil"/>
            </w:tcBorders>
            <w:shd w:val="clear" w:color="auto" w:fill="auto"/>
            <w:vAlign w:val="bottom"/>
          </w:tcPr>
          <w:p w14:paraId="2094ADC9" w14:textId="6A2BB101"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7,5</w:t>
            </w:r>
          </w:p>
        </w:tc>
        <w:tc>
          <w:tcPr>
            <w:tcW w:w="868" w:type="dxa"/>
            <w:tcBorders>
              <w:top w:val="nil"/>
              <w:left w:val="nil"/>
              <w:bottom w:val="nil"/>
              <w:right w:val="nil"/>
            </w:tcBorders>
            <w:shd w:val="clear" w:color="auto" w:fill="auto"/>
            <w:vAlign w:val="bottom"/>
          </w:tcPr>
          <w:p w14:paraId="02DBC7D2" w14:textId="0FC1D0C4"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13</w:t>
            </w:r>
          </w:p>
        </w:tc>
        <w:tc>
          <w:tcPr>
            <w:tcW w:w="874" w:type="dxa"/>
            <w:tcBorders>
              <w:top w:val="nil"/>
              <w:left w:val="nil"/>
              <w:bottom w:val="nil"/>
              <w:right w:val="nil"/>
            </w:tcBorders>
            <w:shd w:val="clear" w:color="auto" w:fill="auto"/>
            <w:vAlign w:val="bottom"/>
          </w:tcPr>
          <w:p w14:paraId="448D87EC" w14:textId="5CEC097C"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14,9</w:t>
            </w:r>
          </w:p>
        </w:tc>
        <w:tc>
          <w:tcPr>
            <w:tcW w:w="868" w:type="dxa"/>
            <w:tcBorders>
              <w:top w:val="nil"/>
              <w:left w:val="nil"/>
              <w:bottom w:val="nil"/>
              <w:right w:val="nil"/>
            </w:tcBorders>
            <w:shd w:val="clear" w:color="auto" w:fill="auto"/>
            <w:vAlign w:val="bottom"/>
          </w:tcPr>
          <w:p w14:paraId="04A45144" w14:textId="137AA860"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17</w:t>
            </w:r>
          </w:p>
        </w:tc>
        <w:tc>
          <w:tcPr>
            <w:tcW w:w="874" w:type="dxa"/>
            <w:tcBorders>
              <w:top w:val="nil"/>
              <w:left w:val="nil"/>
              <w:bottom w:val="nil"/>
              <w:right w:val="nil"/>
            </w:tcBorders>
            <w:shd w:val="clear" w:color="auto" w:fill="auto"/>
            <w:vAlign w:val="bottom"/>
          </w:tcPr>
          <w:p w14:paraId="2ECE50BB" w14:textId="2B76E9C4"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21,7</w:t>
            </w:r>
          </w:p>
        </w:tc>
      </w:tr>
      <w:tr w:rsidR="002A4F43" w:rsidRPr="008A5C48" w14:paraId="1EAC4509" w14:textId="77777777" w:rsidTr="002A4F43">
        <w:trPr>
          <w:trHeight w:val="215"/>
          <w:jc w:val="center"/>
        </w:trPr>
        <w:tc>
          <w:tcPr>
            <w:tcW w:w="1778" w:type="dxa"/>
            <w:tcBorders>
              <w:top w:val="nil"/>
              <w:left w:val="nil"/>
              <w:bottom w:val="nil"/>
              <w:right w:val="nil"/>
            </w:tcBorders>
            <w:shd w:val="clear" w:color="auto" w:fill="auto"/>
            <w:vAlign w:val="center"/>
          </w:tcPr>
          <w:p w14:paraId="496CC4A6" w14:textId="77777777" w:rsidR="002A4F43" w:rsidRPr="008A5C48" w:rsidRDefault="002A4F43" w:rsidP="002A4F43">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xml:space="preserve">PM2.5 absorbance </w:t>
            </w:r>
          </w:p>
        </w:tc>
        <w:tc>
          <w:tcPr>
            <w:tcW w:w="1109" w:type="dxa"/>
            <w:tcBorders>
              <w:top w:val="nil"/>
              <w:left w:val="nil"/>
              <w:bottom w:val="nil"/>
              <w:right w:val="nil"/>
            </w:tcBorders>
            <w:shd w:val="clear" w:color="auto" w:fill="auto"/>
            <w:vAlign w:val="center"/>
          </w:tcPr>
          <w:p w14:paraId="6CC0E048"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10-5m-1</w:t>
            </w:r>
          </w:p>
        </w:tc>
        <w:tc>
          <w:tcPr>
            <w:tcW w:w="1136" w:type="dxa"/>
            <w:tcBorders>
              <w:top w:val="nil"/>
              <w:left w:val="nil"/>
              <w:bottom w:val="nil"/>
              <w:right w:val="nil"/>
            </w:tcBorders>
            <w:shd w:val="clear" w:color="auto" w:fill="auto"/>
            <w:vAlign w:val="center"/>
          </w:tcPr>
          <w:p w14:paraId="3E690B0A"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223" w:type="dxa"/>
            <w:tcBorders>
              <w:top w:val="nil"/>
              <w:left w:val="nil"/>
              <w:bottom w:val="nil"/>
              <w:right w:val="nil"/>
            </w:tcBorders>
            <w:shd w:val="clear" w:color="auto" w:fill="auto"/>
            <w:vAlign w:val="bottom"/>
          </w:tcPr>
          <w:p w14:paraId="5ED9533A" w14:textId="7A85D3FB"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743 (85.4%)</w:t>
            </w:r>
          </w:p>
        </w:tc>
        <w:tc>
          <w:tcPr>
            <w:tcW w:w="568" w:type="dxa"/>
            <w:tcBorders>
              <w:top w:val="nil"/>
              <w:left w:val="nil"/>
              <w:bottom w:val="nil"/>
              <w:right w:val="nil"/>
            </w:tcBorders>
            <w:shd w:val="clear" w:color="auto" w:fill="auto"/>
            <w:vAlign w:val="bottom"/>
          </w:tcPr>
          <w:p w14:paraId="525AB4AE" w14:textId="6D4194BA"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0,55</w:t>
            </w:r>
          </w:p>
        </w:tc>
        <w:tc>
          <w:tcPr>
            <w:tcW w:w="868" w:type="dxa"/>
            <w:tcBorders>
              <w:top w:val="nil"/>
              <w:left w:val="nil"/>
              <w:bottom w:val="nil"/>
              <w:right w:val="nil"/>
            </w:tcBorders>
            <w:shd w:val="clear" w:color="auto" w:fill="auto"/>
            <w:vAlign w:val="bottom"/>
          </w:tcPr>
          <w:p w14:paraId="7CD26487" w14:textId="25411E52"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0,79</w:t>
            </w:r>
          </w:p>
        </w:tc>
        <w:tc>
          <w:tcPr>
            <w:tcW w:w="874" w:type="dxa"/>
            <w:tcBorders>
              <w:top w:val="nil"/>
              <w:left w:val="nil"/>
              <w:bottom w:val="nil"/>
              <w:right w:val="nil"/>
            </w:tcBorders>
            <w:shd w:val="clear" w:color="auto" w:fill="auto"/>
            <w:vAlign w:val="bottom"/>
          </w:tcPr>
          <w:p w14:paraId="2E678FC5" w14:textId="625DA711"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0,93</w:t>
            </w:r>
          </w:p>
        </w:tc>
        <w:tc>
          <w:tcPr>
            <w:tcW w:w="868" w:type="dxa"/>
            <w:tcBorders>
              <w:top w:val="nil"/>
              <w:left w:val="nil"/>
              <w:bottom w:val="nil"/>
              <w:right w:val="nil"/>
            </w:tcBorders>
            <w:shd w:val="clear" w:color="auto" w:fill="auto"/>
            <w:vAlign w:val="bottom"/>
          </w:tcPr>
          <w:p w14:paraId="560354CD" w14:textId="32C4AACE"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1,21</w:t>
            </w:r>
          </w:p>
        </w:tc>
        <w:tc>
          <w:tcPr>
            <w:tcW w:w="874" w:type="dxa"/>
            <w:tcBorders>
              <w:top w:val="nil"/>
              <w:left w:val="nil"/>
              <w:bottom w:val="nil"/>
              <w:right w:val="nil"/>
            </w:tcBorders>
            <w:shd w:val="clear" w:color="auto" w:fill="auto"/>
            <w:vAlign w:val="bottom"/>
          </w:tcPr>
          <w:p w14:paraId="58D92D50" w14:textId="5AD3F590"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1,89</w:t>
            </w:r>
          </w:p>
        </w:tc>
      </w:tr>
      <w:tr w:rsidR="002A4F43" w:rsidRPr="008A5C48" w14:paraId="23734151" w14:textId="77777777" w:rsidTr="002A4F43">
        <w:trPr>
          <w:trHeight w:val="178"/>
          <w:jc w:val="center"/>
        </w:trPr>
        <w:tc>
          <w:tcPr>
            <w:tcW w:w="1778" w:type="dxa"/>
            <w:tcBorders>
              <w:top w:val="nil"/>
              <w:left w:val="nil"/>
              <w:bottom w:val="nil"/>
              <w:right w:val="nil"/>
            </w:tcBorders>
            <w:shd w:val="clear" w:color="auto" w:fill="auto"/>
            <w:vAlign w:val="center"/>
          </w:tcPr>
          <w:p w14:paraId="51E11E1F" w14:textId="77777777" w:rsidR="002A4F43" w:rsidRPr="008A5C48" w:rsidRDefault="002A4F43" w:rsidP="002A4F43">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NO2 - home</w:t>
            </w:r>
          </w:p>
        </w:tc>
        <w:tc>
          <w:tcPr>
            <w:tcW w:w="1109" w:type="dxa"/>
            <w:tcBorders>
              <w:top w:val="nil"/>
              <w:left w:val="nil"/>
              <w:bottom w:val="nil"/>
              <w:right w:val="nil"/>
            </w:tcBorders>
            <w:shd w:val="clear" w:color="auto" w:fill="auto"/>
            <w:vAlign w:val="center"/>
          </w:tcPr>
          <w:p w14:paraId="444D5969"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/m3</w:t>
            </w:r>
          </w:p>
        </w:tc>
        <w:tc>
          <w:tcPr>
            <w:tcW w:w="1136" w:type="dxa"/>
            <w:tcBorders>
              <w:top w:val="nil"/>
              <w:left w:val="nil"/>
              <w:bottom w:val="nil"/>
              <w:right w:val="nil"/>
            </w:tcBorders>
            <w:shd w:val="clear" w:color="auto" w:fill="auto"/>
            <w:vAlign w:val="center"/>
          </w:tcPr>
          <w:p w14:paraId="666BFC4A"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223" w:type="dxa"/>
            <w:tcBorders>
              <w:top w:val="nil"/>
              <w:left w:val="nil"/>
              <w:bottom w:val="nil"/>
              <w:right w:val="nil"/>
            </w:tcBorders>
            <w:shd w:val="clear" w:color="auto" w:fill="auto"/>
            <w:vAlign w:val="bottom"/>
          </w:tcPr>
          <w:p w14:paraId="57BA9958" w14:textId="2B3A9113"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867 (99.7%)</w:t>
            </w:r>
          </w:p>
        </w:tc>
        <w:tc>
          <w:tcPr>
            <w:tcW w:w="568" w:type="dxa"/>
            <w:tcBorders>
              <w:top w:val="nil"/>
              <w:left w:val="nil"/>
              <w:bottom w:val="nil"/>
              <w:right w:val="nil"/>
            </w:tcBorders>
            <w:shd w:val="clear" w:color="auto" w:fill="auto"/>
            <w:vAlign w:val="bottom"/>
          </w:tcPr>
          <w:p w14:paraId="2C99A57A" w14:textId="1CCB61D1"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2,62</w:t>
            </w:r>
          </w:p>
        </w:tc>
        <w:tc>
          <w:tcPr>
            <w:tcW w:w="868" w:type="dxa"/>
            <w:tcBorders>
              <w:top w:val="nil"/>
              <w:left w:val="nil"/>
              <w:bottom w:val="nil"/>
              <w:right w:val="nil"/>
            </w:tcBorders>
            <w:shd w:val="clear" w:color="auto" w:fill="auto"/>
            <w:vAlign w:val="bottom"/>
          </w:tcPr>
          <w:p w14:paraId="1D6E115D" w14:textId="25BF541A"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3,17</w:t>
            </w:r>
          </w:p>
        </w:tc>
        <w:tc>
          <w:tcPr>
            <w:tcW w:w="874" w:type="dxa"/>
            <w:tcBorders>
              <w:top w:val="nil"/>
              <w:left w:val="nil"/>
              <w:bottom w:val="nil"/>
              <w:right w:val="nil"/>
            </w:tcBorders>
            <w:shd w:val="clear" w:color="auto" w:fill="auto"/>
            <w:vAlign w:val="bottom"/>
          </w:tcPr>
          <w:p w14:paraId="229CE0AC" w14:textId="7712BAC2"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3,53</w:t>
            </w:r>
          </w:p>
        </w:tc>
        <w:tc>
          <w:tcPr>
            <w:tcW w:w="868" w:type="dxa"/>
            <w:tcBorders>
              <w:top w:val="nil"/>
              <w:left w:val="nil"/>
              <w:bottom w:val="nil"/>
              <w:right w:val="nil"/>
            </w:tcBorders>
            <w:shd w:val="clear" w:color="auto" w:fill="auto"/>
            <w:vAlign w:val="bottom"/>
          </w:tcPr>
          <w:p w14:paraId="7763EFB0" w14:textId="4BF9BD5F"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3,75</w:t>
            </w:r>
          </w:p>
        </w:tc>
        <w:tc>
          <w:tcPr>
            <w:tcW w:w="874" w:type="dxa"/>
            <w:tcBorders>
              <w:top w:val="nil"/>
              <w:left w:val="nil"/>
              <w:bottom w:val="nil"/>
              <w:right w:val="nil"/>
            </w:tcBorders>
            <w:shd w:val="clear" w:color="auto" w:fill="auto"/>
            <w:vAlign w:val="bottom"/>
          </w:tcPr>
          <w:p w14:paraId="4FEF1E89" w14:textId="06EA2DCE"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4,56</w:t>
            </w:r>
          </w:p>
        </w:tc>
      </w:tr>
      <w:tr w:rsidR="002A4F43" w:rsidRPr="008A5C48" w14:paraId="7FAE692C" w14:textId="77777777" w:rsidTr="00EE2562">
        <w:trPr>
          <w:trHeight w:val="215"/>
          <w:jc w:val="center"/>
        </w:trPr>
        <w:tc>
          <w:tcPr>
            <w:tcW w:w="1778" w:type="dxa"/>
            <w:tcBorders>
              <w:top w:val="nil"/>
              <w:left w:val="nil"/>
              <w:bottom w:val="nil"/>
              <w:right w:val="nil"/>
            </w:tcBorders>
            <w:shd w:val="clear" w:color="auto" w:fill="auto"/>
            <w:vAlign w:val="center"/>
          </w:tcPr>
          <w:p w14:paraId="179D8836" w14:textId="77777777" w:rsidR="002A4F43" w:rsidRPr="008A5C48" w:rsidRDefault="002A4F43" w:rsidP="002A4F43">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NO2 - school</w:t>
            </w:r>
          </w:p>
        </w:tc>
        <w:tc>
          <w:tcPr>
            <w:tcW w:w="1109" w:type="dxa"/>
            <w:tcBorders>
              <w:top w:val="nil"/>
              <w:left w:val="nil"/>
              <w:bottom w:val="nil"/>
              <w:right w:val="nil"/>
            </w:tcBorders>
            <w:shd w:val="clear" w:color="auto" w:fill="auto"/>
            <w:vAlign w:val="center"/>
          </w:tcPr>
          <w:p w14:paraId="117F338C"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/m3</w:t>
            </w:r>
          </w:p>
        </w:tc>
        <w:tc>
          <w:tcPr>
            <w:tcW w:w="1136" w:type="dxa"/>
            <w:tcBorders>
              <w:top w:val="nil"/>
              <w:left w:val="nil"/>
              <w:bottom w:val="nil"/>
              <w:right w:val="nil"/>
            </w:tcBorders>
            <w:shd w:val="clear" w:color="auto" w:fill="auto"/>
            <w:vAlign w:val="center"/>
          </w:tcPr>
          <w:p w14:paraId="57E9309D"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223" w:type="dxa"/>
            <w:tcBorders>
              <w:top w:val="nil"/>
              <w:left w:val="nil"/>
              <w:bottom w:val="nil"/>
              <w:right w:val="nil"/>
            </w:tcBorders>
            <w:shd w:val="clear" w:color="auto" w:fill="auto"/>
            <w:vAlign w:val="bottom"/>
          </w:tcPr>
          <w:p w14:paraId="27FADE10" w14:textId="5841701E"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864 (99.3%)</w:t>
            </w:r>
          </w:p>
        </w:tc>
        <w:tc>
          <w:tcPr>
            <w:tcW w:w="568" w:type="dxa"/>
            <w:tcBorders>
              <w:top w:val="nil"/>
              <w:left w:val="nil"/>
              <w:bottom w:val="nil"/>
              <w:right w:val="nil"/>
            </w:tcBorders>
            <w:shd w:val="clear" w:color="auto" w:fill="auto"/>
            <w:vAlign w:val="bottom"/>
          </w:tcPr>
          <w:p w14:paraId="5E25DC49" w14:textId="30D31299"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2,66</w:t>
            </w:r>
          </w:p>
        </w:tc>
        <w:tc>
          <w:tcPr>
            <w:tcW w:w="868" w:type="dxa"/>
            <w:tcBorders>
              <w:top w:val="nil"/>
              <w:left w:val="nil"/>
              <w:bottom w:val="nil"/>
              <w:right w:val="nil"/>
            </w:tcBorders>
            <w:shd w:val="clear" w:color="auto" w:fill="auto"/>
            <w:vAlign w:val="bottom"/>
          </w:tcPr>
          <w:p w14:paraId="6D80B981" w14:textId="5C6D67A4"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3,22</w:t>
            </w:r>
          </w:p>
        </w:tc>
        <w:tc>
          <w:tcPr>
            <w:tcW w:w="874" w:type="dxa"/>
            <w:tcBorders>
              <w:top w:val="nil"/>
              <w:left w:val="nil"/>
              <w:bottom w:val="nil"/>
              <w:right w:val="nil"/>
            </w:tcBorders>
            <w:shd w:val="clear" w:color="auto" w:fill="auto"/>
            <w:vAlign w:val="bottom"/>
          </w:tcPr>
          <w:p w14:paraId="7E5973A9" w14:textId="37EDDA5C"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3,54</w:t>
            </w:r>
          </w:p>
        </w:tc>
        <w:tc>
          <w:tcPr>
            <w:tcW w:w="868" w:type="dxa"/>
            <w:tcBorders>
              <w:top w:val="nil"/>
              <w:left w:val="nil"/>
              <w:bottom w:val="nil"/>
              <w:right w:val="nil"/>
            </w:tcBorders>
            <w:shd w:val="clear" w:color="auto" w:fill="auto"/>
            <w:vAlign w:val="bottom"/>
          </w:tcPr>
          <w:p w14:paraId="48B70684" w14:textId="1118837B"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3,75</w:t>
            </w:r>
          </w:p>
        </w:tc>
        <w:tc>
          <w:tcPr>
            <w:tcW w:w="874" w:type="dxa"/>
            <w:tcBorders>
              <w:top w:val="nil"/>
              <w:left w:val="nil"/>
              <w:bottom w:val="nil"/>
              <w:right w:val="nil"/>
            </w:tcBorders>
            <w:shd w:val="clear" w:color="auto" w:fill="auto"/>
            <w:vAlign w:val="bottom"/>
          </w:tcPr>
          <w:p w14:paraId="3081D3FD" w14:textId="587513C5"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4,5</w:t>
            </w:r>
          </w:p>
        </w:tc>
      </w:tr>
      <w:tr w:rsidR="002A4F43" w:rsidRPr="008A5C48" w14:paraId="4DA7EC41" w14:textId="77777777" w:rsidTr="00B011C9">
        <w:trPr>
          <w:trHeight w:val="215"/>
          <w:jc w:val="center"/>
        </w:trPr>
        <w:tc>
          <w:tcPr>
            <w:tcW w:w="1778" w:type="dxa"/>
            <w:tcBorders>
              <w:top w:val="nil"/>
              <w:left w:val="nil"/>
              <w:bottom w:val="nil"/>
              <w:right w:val="nil"/>
            </w:tcBorders>
            <w:shd w:val="clear" w:color="auto" w:fill="auto"/>
            <w:vAlign w:val="center"/>
          </w:tcPr>
          <w:p w14:paraId="6105BC23" w14:textId="77777777" w:rsidR="002A4F43" w:rsidRPr="008A5C48" w:rsidRDefault="002A4F43" w:rsidP="002A4F43">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PM10 - home</w:t>
            </w:r>
          </w:p>
        </w:tc>
        <w:tc>
          <w:tcPr>
            <w:tcW w:w="1109" w:type="dxa"/>
            <w:tcBorders>
              <w:top w:val="nil"/>
              <w:left w:val="nil"/>
              <w:bottom w:val="nil"/>
              <w:right w:val="nil"/>
            </w:tcBorders>
            <w:shd w:val="clear" w:color="auto" w:fill="auto"/>
            <w:vAlign w:val="center"/>
          </w:tcPr>
          <w:p w14:paraId="340F6DFF"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/m3</w:t>
            </w:r>
          </w:p>
        </w:tc>
        <w:tc>
          <w:tcPr>
            <w:tcW w:w="1136" w:type="dxa"/>
            <w:tcBorders>
              <w:top w:val="nil"/>
              <w:left w:val="nil"/>
              <w:bottom w:val="nil"/>
              <w:right w:val="nil"/>
            </w:tcBorders>
            <w:shd w:val="clear" w:color="auto" w:fill="auto"/>
            <w:vAlign w:val="center"/>
          </w:tcPr>
          <w:p w14:paraId="4EFB9CF6"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223" w:type="dxa"/>
            <w:tcBorders>
              <w:top w:val="nil"/>
              <w:left w:val="nil"/>
              <w:bottom w:val="nil"/>
              <w:right w:val="nil"/>
            </w:tcBorders>
            <w:shd w:val="clear" w:color="auto" w:fill="auto"/>
            <w:vAlign w:val="bottom"/>
          </w:tcPr>
          <w:p w14:paraId="25C17497" w14:textId="54DB4673"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756 (86.9%)</w:t>
            </w:r>
          </w:p>
        </w:tc>
        <w:tc>
          <w:tcPr>
            <w:tcW w:w="568" w:type="dxa"/>
            <w:tcBorders>
              <w:top w:val="nil"/>
              <w:left w:val="nil"/>
              <w:bottom w:val="nil"/>
              <w:right w:val="nil"/>
            </w:tcBorders>
            <w:shd w:val="clear" w:color="auto" w:fill="auto"/>
            <w:vAlign w:val="bottom"/>
          </w:tcPr>
          <w:p w14:paraId="09A29BED" w14:textId="2C10332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11,2</w:t>
            </w:r>
          </w:p>
        </w:tc>
        <w:tc>
          <w:tcPr>
            <w:tcW w:w="868" w:type="dxa"/>
            <w:tcBorders>
              <w:top w:val="nil"/>
              <w:left w:val="nil"/>
              <w:bottom w:val="nil"/>
              <w:right w:val="nil"/>
            </w:tcBorders>
            <w:shd w:val="clear" w:color="auto" w:fill="auto"/>
            <w:vAlign w:val="bottom"/>
          </w:tcPr>
          <w:p w14:paraId="3E44891F" w14:textId="528BD46F"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15,9</w:t>
            </w:r>
          </w:p>
        </w:tc>
        <w:tc>
          <w:tcPr>
            <w:tcW w:w="874" w:type="dxa"/>
            <w:tcBorders>
              <w:top w:val="nil"/>
              <w:left w:val="nil"/>
              <w:bottom w:val="nil"/>
              <w:right w:val="nil"/>
            </w:tcBorders>
            <w:shd w:val="clear" w:color="auto" w:fill="auto"/>
            <w:vAlign w:val="bottom"/>
          </w:tcPr>
          <w:p w14:paraId="664D42AD" w14:textId="0B9E6705"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27,5</w:t>
            </w:r>
          </w:p>
        </w:tc>
        <w:tc>
          <w:tcPr>
            <w:tcW w:w="868" w:type="dxa"/>
            <w:tcBorders>
              <w:top w:val="nil"/>
              <w:left w:val="nil"/>
              <w:bottom w:val="nil"/>
              <w:right w:val="nil"/>
            </w:tcBorders>
            <w:shd w:val="clear" w:color="auto" w:fill="auto"/>
            <w:vAlign w:val="bottom"/>
          </w:tcPr>
          <w:p w14:paraId="3D03CD93" w14:textId="5A931C9A"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32,3</w:t>
            </w:r>
          </w:p>
        </w:tc>
        <w:tc>
          <w:tcPr>
            <w:tcW w:w="874" w:type="dxa"/>
            <w:tcBorders>
              <w:top w:val="nil"/>
              <w:left w:val="nil"/>
              <w:bottom w:val="nil"/>
              <w:right w:val="nil"/>
            </w:tcBorders>
            <w:shd w:val="clear" w:color="auto" w:fill="auto"/>
            <w:vAlign w:val="bottom"/>
          </w:tcPr>
          <w:p w14:paraId="55F25B5D" w14:textId="6E22112F"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47,7</w:t>
            </w:r>
          </w:p>
        </w:tc>
      </w:tr>
      <w:tr w:rsidR="002A4F43" w:rsidRPr="008A5C48" w14:paraId="29F46C47" w14:textId="77777777" w:rsidTr="00B011C9">
        <w:trPr>
          <w:trHeight w:val="215"/>
          <w:jc w:val="center"/>
        </w:trPr>
        <w:tc>
          <w:tcPr>
            <w:tcW w:w="1778" w:type="dxa"/>
            <w:tcBorders>
              <w:top w:val="nil"/>
              <w:left w:val="nil"/>
              <w:bottom w:val="nil"/>
              <w:right w:val="nil"/>
            </w:tcBorders>
            <w:shd w:val="clear" w:color="auto" w:fill="auto"/>
            <w:vAlign w:val="center"/>
          </w:tcPr>
          <w:p w14:paraId="3E1F61EA" w14:textId="77777777" w:rsidR="002A4F43" w:rsidRPr="008A5C48" w:rsidRDefault="002A4F43" w:rsidP="002A4F43">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PM2.5 - home</w:t>
            </w:r>
          </w:p>
        </w:tc>
        <w:tc>
          <w:tcPr>
            <w:tcW w:w="1109" w:type="dxa"/>
            <w:tcBorders>
              <w:top w:val="nil"/>
              <w:left w:val="nil"/>
              <w:bottom w:val="nil"/>
              <w:right w:val="nil"/>
            </w:tcBorders>
            <w:shd w:val="clear" w:color="auto" w:fill="auto"/>
            <w:vAlign w:val="center"/>
          </w:tcPr>
          <w:p w14:paraId="54FC21DA"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/m3</w:t>
            </w:r>
          </w:p>
        </w:tc>
        <w:tc>
          <w:tcPr>
            <w:tcW w:w="1136" w:type="dxa"/>
            <w:tcBorders>
              <w:top w:val="nil"/>
              <w:left w:val="nil"/>
              <w:bottom w:val="nil"/>
              <w:right w:val="nil"/>
            </w:tcBorders>
            <w:shd w:val="clear" w:color="auto" w:fill="auto"/>
            <w:vAlign w:val="center"/>
          </w:tcPr>
          <w:p w14:paraId="67AB8BD9"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223" w:type="dxa"/>
            <w:tcBorders>
              <w:top w:val="nil"/>
              <w:left w:val="nil"/>
              <w:bottom w:val="nil"/>
              <w:right w:val="nil"/>
            </w:tcBorders>
            <w:shd w:val="clear" w:color="auto" w:fill="auto"/>
            <w:vAlign w:val="bottom"/>
          </w:tcPr>
          <w:p w14:paraId="3B20F400" w14:textId="35B5F6ED"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867 (99.7%)</w:t>
            </w:r>
          </w:p>
        </w:tc>
        <w:tc>
          <w:tcPr>
            <w:tcW w:w="568" w:type="dxa"/>
            <w:tcBorders>
              <w:top w:val="nil"/>
              <w:left w:val="nil"/>
              <w:bottom w:val="nil"/>
              <w:right w:val="nil"/>
            </w:tcBorders>
            <w:shd w:val="clear" w:color="auto" w:fill="auto"/>
            <w:vAlign w:val="bottom"/>
          </w:tcPr>
          <w:p w14:paraId="7A3D7A9D" w14:textId="336EF5FE"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4,8</w:t>
            </w:r>
          </w:p>
        </w:tc>
        <w:tc>
          <w:tcPr>
            <w:tcW w:w="868" w:type="dxa"/>
            <w:tcBorders>
              <w:top w:val="nil"/>
              <w:left w:val="nil"/>
              <w:bottom w:val="nil"/>
              <w:right w:val="nil"/>
            </w:tcBorders>
            <w:shd w:val="clear" w:color="auto" w:fill="auto"/>
            <w:vAlign w:val="bottom"/>
          </w:tcPr>
          <w:p w14:paraId="2395D857" w14:textId="2365680C"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12</w:t>
            </w:r>
          </w:p>
        </w:tc>
        <w:tc>
          <w:tcPr>
            <w:tcW w:w="874" w:type="dxa"/>
            <w:tcBorders>
              <w:top w:val="nil"/>
              <w:left w:val="nil"/>
              <w:bottom w:val="nil"/>
              <w:right w:val="nil"/>
            </w:tcBorders>
            <w:shd w:val="clear" w:color="auto" w:fill="auto"/>
            <w:vAlign w:val="bottom"/>
          </w:tcPr>
          <w:p w14:paraId="46994C75" w14:textId="56D14CFE"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13,8</w:t>
            </w:r>
          </w:p>
        </w:tc>
        <w:tc>
          <w:tcPr>
            <w:tcW w:w="868" w:type="dxa"/>
            <w:tcBorders>
              <w:top w:val="nil"/>
              <w:left w:val="nil"/>
              <w:bottom w:val="nil"/>
              <w:right w:val="nil"/>
            </w:tcBorders>
            <w:shd w:val="clear" w:color="auto" w:fill="auto"/>
            <w:vAlign w:val="bottom"/>
          </w:tcPr>
          <w:p w14:paraId="02170FF5" w14:textId="6DA04502"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15,2</w:t>
            </w:r>
          </w:p>
        </w:tc>
        <w:tc>
          <w:tcPr>
            <w:tcW w:w="874" w:type="dxa"/>
            <w:tcBorders>
              <w:top w:val="nil"/>
              <w:left w:val="nil"/>
              <w:bottom w:val="nil"/>
              <w:right w:val="nil"/>
            </w:tcBorders>
            <w:shd w:val="clear" w:color="auto" w:fill="auto"/>
            <w:vAlign w:val="bottom"/>
          </w:tcPr>
          <w:p w14:paraId="49CBC940" w14:textId="46E97E3E"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21,8</w:t>
            </w:r>
          </w:p>
        </w:tc>
      </w:tr>
      <w:tr w:rsidR="002A4F43" w:rsidRPr="008A5C48" w14:paraId="1DF73992" w14:textId="77777777" w:rsidTr="00B011C9">
        <w:trPr>
          <w:trHeight w:val="215"/>
          <w:jc w:val="center"/>
        </w:trPr>
        <w:tc>
          <w:tcPr>
            <w:tcW w:w="1778" w:type="dxa"/>
            <w:tcBorders>
              <w:top w:val="nil"/>
              <w:left w:val="nil"/>
              <w:bottom w:val="nil"/>
              <w:right w:val="nil"/>
            </w:tcBorders>
            <w:shd w:val="clear" w:color="auto" w:fill="auto"/>
            <w:vAlign w:val="center"/>
          </w:tcPr>
          <w:p w14:paraId="20EAA9F9" w14:textId="77777777" w:rsidR="002A4F43" w:rsidRPr="008A5C48" w:rsidRDefault="002A4F43" w:rsidP="002A4F43">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PM2.5 - school</w:t>
            </w:r>
          </w:p>
        </w:tc>
        <w:tc>
          <w:tcPr>
            <w:tcW w:w="1109" w:type="dxa"/>
            <w:tcBorders>
              <w:top w:val="nil"/>
              <w:left w:val="nil"/>
              <w:bottom w:val="nil"/>
              <w:right w:val="nil"/>
            </w:tcBorders>
            <w:shd w:val="clear" w:color="auto" w:fill="auto"/>
            <w:vAlign w:val="center"/>
          </w:tcPr>
          <w:p w14:paraId="6587888D"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/m3</w:t>
            </w:r>
          </w:p>
        </w:tc>
        <w:tc>
          <w:tcPr>
            <w:tcW w:w="1136" w:type="dxa"/>
            <w:tcBorders>
              <w:top w:val="nil"/>
              <w:left w:val="nil"/>
              <w:bottom w:val="nil"/>
              <w:right w:val="nil"/>
            </w:tcBorders>
            <w:shd w:val="clear" w:color="auto" w:fill="auto"/>
            <w:vAlign w:val="center"/>
          </w:tcPr>
          <w:p w14:paraId="1B8E73EC" w14:textId="77777777"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223" w:type="dxa"/>
            <w:tcBorders>
              <w:top w:val="nil"/>
              <w:left w:val="nil"/>
              <w:bottom w:val="nil"/>
              <w:right w:val="nil"/>
            </w:tcBorders>
            <w:shd w:val="clear" w:color="auto" w:fill="auto"/>
            <w:vAlign w:val="bottom"/>
          </w:tcPr>
          <w:p w14:paraId="4301F163" w14:textId="4D535DE5"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864 (99.3%)</w:t>
            </w:r>
          </w:p>
        </w:tc>
        <w:tc>
          <w:tcPr>
            <w:tcW w:w="568" w:type="dxa"/>
            <w:tcBorders>
              <w:top w:val="nil"/>
              <w:left w:val="nil"/>
              <w:bottom w:val="nil"/>
              <w:right w:val="nil"/>
            </w:tcBorders>
            <w:shd w:val="clear" w:color="auto" w:fill="auto"/>
            <w:vAlign w:val="bottom"/>
          </w:tcPr>
          <w:p w14:paraId="3C9635D6" w14:textId="22CEF023"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4,9</w:t>
            </w:r>
          </w:p>
        </w:tc>
        <w:tc>
          <w:tcPr>
            <w:tcW w:w="868" w:type="dxa"/>
            <w:tcBorders>
              <w:top w:val="nil"/>
              <w:left w:val="nil"/>
              <w:bottom w:val="nil"/>
              <w:right w:val="nil"/>
            </w:tcBorders>
            <w:shd w:val="clear" w:color="auto" w:fill="auto"/>
            <w:vAlign w:val="bottom"/>
          </w:tcPr>
          <w:p w14:paraId="699C2888" w14:textId="4A207614"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11,9</w:t>
            </w:r>
          </w:p>
        </w:tc>
        <w:tc>
          <w:tcPr>
            <w:tcW w:w="874" w:type="dxa"/>
            <w:tcBorders>
              <w:top w:val="nil"/>
              <w:left w:val="nil"/>
              <w:bottom w:val="nil"/>
              <w:right w:val="nil"/>
            </w:tcBorders>
            <w:shd w:val="clear" w:color="auto" w:fill="auto"/>
            <w:vAlign w:val="bottom"/>
          </w:tcPr>
          <w:p w14:paraId="26CBE8C9" w14:textId="0047059A"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13,8</w:t>
            </w:r>
          </w:p>
        </w:tc>
        <w:tc>
          <w:tcPr>
            <w:tcW w:w="868" w:type="dxa"/>
            <w:tcBorders>
              <w:top w:val="nil"/>
              <w:left w:val="nil"/>
              <w:bottom w:val="nil"/>
              <w:right w:val="nil"/>
            </w:tcBorders>
            <w:shd w:val="clear" w:color="auto" w:fill="auto"/>
            <w:vAlign w:val="bottom"/>
          </w:tcPr>
          <w:p w14:paraId="77AE38C3" w14:textId="29DAA4BC"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15</w:t>
            </w:r>
          </w:p>
        </w:tc>
        <w:tc>
          <w:tcPr>
            <w:tcW w:w="874" w:type="dxa"/>
            <w:tcBorders>
              <w:top w:val="nil"/>
              <w:left w:val="nil"/>
              <w:bottom w:val="nil"/>
              <w:right w:val="nil"/>
            </w:tcBorders>
            <w:shd w:val="clear" w:color="auto" w:fill="auto"/>
            <w:vAlign w:val="bottom"/>
          </w:tcPr>
          <w:p w14:paraId="71C4978F" w14:textId="31575C83" w:rsidR="002A4F43" w:rsidRPr="008A5C48" w:rsidRDefault="002A4F43" w:rsidP="002A4F43">
            <w:pPr>
              <w:spacing w:after="0" w:line="240" w:lineRule="auto"/>
              <w:contextualSpacing/>
              <w:jc w:val="center"/>
              <w:rPr>
                <w:rFonts w:ascii="Times New Roman" w:eastAsia="Times New Roman" w:hAnsi="Times New Roman" w:cs="Times New Roman"/>
                <w:color w:val="000000"/>
                <w:sz w:val="20"/>
                <w:szCs w:val="20"/>
              </w:rPr>
            </w:pPr>
            <w:r>
              <w:rPr>
                <w:color w:val="000000"/>
              </w:rPr>
              <w:t>21,2</w:t>
            </w:r>
          </w:p>
        </w:tc>
      </w:tr>
      <w:tr w:rsidR="002A4F43" w:rsidRPr="008A5C48" w14:paraId="7BCBCC07" w14:textId="77777777" w:rsidTr="00B011C9">
        <w:trPr>
          <w:trHeight w:val="215"/>
          <w:jc w:val="center"/>
        </w:trPr>
        <w:tc>
          <w:tcPr>
            <w:tcW w:w="1778" w:type="dxa"/>
            <w:tcBorders>
              <w:top w:val="nil"/>
              <w:left w:val="nil"/>
              <w:bottom w:val="nil"/>
              <w:right w:val="nil"/>
            </w:tcBorders>
            <w:shd w:val="clear" w:color="auto" w:fill="auto"/>
            <w:vAlign w:val="center"/>
          </w:tcPr>
          <w:p w14:paraId="306849D1" w14:textId="77777777" w:rsidR="002A4F43" w:rsidRPr="008A5C48" w:rsidRDefault="002A4F43" w:rsidP="002A4F43">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PM2.5 abs - home </w:t>
            </w:r>
          </w:p>
        </w:tc>
        <w:tc>
          <w:tcPr>
            <w:tcW w:w="1109" w:type="dxa"/>
            <w:tcBorders>
              <w:top w:val="nil"/>
              <w:left w:val="nil"/>
              <w:bottom w:val="nil"/>
              <w:right w:val="nil"/>
            </w:tcBorders>
            <w:shd w:val="clear" w:color="auto" w:fill="auto"/>
            <w:vAlign w:val="center"/>
          </w:tcPr>
          <w:p w14:paraId="2BE49E1C" w14:textId="77777777"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10-5m-1</w:t>
            </w:r>
          </w:p>
        </w:tc>
        <w:tc>
          <w:tcPr>
            <w:tcW w:w="1136" w:type="dxa"/>
            <w:tcBorders>
              <w:top w:val="nil"/>
              <w:left w:val="nil"/>
              <w:bottom w:val="nil"/>
              <w:right w:val="nil"/>
            </w:tcBorders>
            <w:shd w:val="clear" w:color="auto" w:fill="auto"/>
            <w:vAlign w:val="center"/>
          </w:tcPr>
          <w:p w14:paraId="7C926113" w14:textId="77777777"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bottom"/>
          </w:tcPr>
          <w:p w14:paraId="16A30BFE" w14:textId="26E34D54"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Pr>
                <w:color w:val="000000"/>
              </w:rPr>
              <w:t>614 (70.6%)</w:t>
            </w:r>
          </w:p>
        </w:tc>
        <w:tc>
          <w:tcPr>
            <w:tcW w:w="568" w:type="dxa"/>
            <w:tcBorders>
              <w:top w:val="nil"/>
              <w:left w:val="nil"/>
              <w:bottom w:val="nil"/>
              <w:right w:val="nil"/>
            </w:tcBorders>
            <w:shd w:val="clear" w:color="auto" w:fill="auto"/>
            <w:vAlign w:val="bottom"/>
          </w:tcPr>
          <w:p w14:paraId="080FCCF1" w14:textId="0091500D"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Pr>
                <w:color w:val="000000"/>
              </w:rPr>
              <w:t>0,44</w:t>
            </w:r>
          </w:p>
        </w:tc>
        <w:tc>
          <w:tcPr>
            <w:tcW w:w="868" w:type="dxa"/>
            <w:tcBorders>
              <w:top w:val="nil"/>
              <w:left w:val="nil"/>
              <w:bottom w:val="nil"/>
              <w:right w:val="nil"/>
            </w:tcBorders>
            <w:shd w:val="clear" w:color="auto" w:fill="auto"/>
            <w:vAlign w:val="bottom"/>
          </w:tcPr>
          <w:p w14:paraId="6135FFD5" w14:textId="06D38CF6"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Pr>
                <w:color w:val="000000"/>
              </w:rPr>
              <w:t>0,67</w:t>
            </w:r>
          </w:p>
        </w:tc>
        <w:tc>
          <w:tcPr>
            <w:tcW w:w="874" w:type="dxa"/>
            <w:tcBorders>
              <w:top w:val="nil"/>
              <w:left w:val="nil"/>
              <w:bottom w:val="nil"/>
              <w:right w:val="nil"/>
            </w:tcBorders>
            <w:shd w:val="clear" w:color="auto" w:fill="auto"/>
            <w:vAlign w:val="bottom"/>
          </w:tcPr>
          <w:p w14:paraId="6FA476C0" w14:textId="5792FA2A"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Pr>
                <w:color w:val="000000"/>
              </w:rPr>
              <w:t>0,77</w:t>
            </w:r>
          </w:p>
        </w:tc>
        <w:tc>
          <w:tcPr>
            <w:tcW w:w="868" w:type="dxa"/>
            <w:tcBorders>
              <w:top w:val="nil"/>
              <w:left w:val="nil"/>
              <w:bottom w:val="nil"/>
              <w:right w:val="nil"/>
            </w:tcBorders>
            <w:shd w:val="clear" w:color="auto" w:fill="auto"/>
            <w:vAlign w:val="bottom"/>
          </w:tcPr>
          <w:p w14:paraId="136CA4EE" w14:textId="13D187E1"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Pr>
                <w:color w:val="000000"/>
              </w:rPr>
              <w:t>0,89</w:t>
            </w:r>
          </w:p>
        </w:tc>
        <w:tc>
          <w:tcPr>
            <w:tcW w:w="874" w:type="dxa"/>
            <w:tcBorders>
              <w:top w:val="nil"/>
              <w:left w:val="nil"/>
              <w:bottom w:val="nil"/>
              <w:right w:val="nil"/>
            </w:tcBorders>
            <w:shd w:val="clear" w:color="auto" w:fill="auto"/>
            <w:vAlign w:val="bottom"/>
          </w:tcPr>
          <w:p w14:paraId="49FFF7A2" w14:textId="56A8FD2C"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Pr>
                <w:color w:val="000000"/>
              </w:rPr>
              <w:t>1,58</w:t>
            </w:r>
          </w:p>
        </w:tc>
      </w:tr>
      <w:tr w:rsidR="002A4F43" w:rsidRPr="008A5C48" w14:paraId="3452A4F3" w14:textId="77777777" w:rsidTr="00B011C9">
        <w:trPr>
          <w:trHeight w:val="215"/>
          <w:jc w:val="center"/>
        </w:trPr>
        <w:tc>
          <w:tcPr>
            <w:tcW w:w="1778" w:type="dxa"/>
            <w:tcBorders>
              <w:top w:val="nil"/>
              <w:left w:val="nil"/>
              <w:bottom w:val="nil"/>
              <w:right w:val="nil"/>
            </w:tcBorders>
            <w:shd w:val="clear" w:color="auto" w:fill="auto"/>
            <w:vAlign w:val="center"/>
          </w:tcPr>
          <w:p w14:paraId="545F2200" w14:textId="77777777" w:rsidR="002A4F43" w:rsidRPr="008A5C48" w:rsidRDefault="002A4F43" w:rsidP="002A4F43">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PM2.5 abs - school </w:t>
            </w:r>
          </w:p>
        </w:tc>
        <w:tc>
          <w:tcPr>
            <w:tcW w:w="1109" w:type="dxa"/>
            <w:tcBorders>
              <w:top w:val="nil"/>
              <w:left w:val="nil"/>
              <w:bottom w:val="nil"/>
              <w:right w:val="nil"/>
            </w:tcBorders>
            <w:shd w:val="clear" w:color="auto" w:fill="auto"/>
            <w:vAlign w:val="center"/>
          </w:tcPr>
          <w:p w14:paraId="60A844C5" w14:textId="77777777"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10-5m-2</w:t>
            </w:r>
          </w:p>
        </w:tc>
        <w:tc>
          <w:tcPr>
            <w:tcW w:w="1136" w:type="dxa"/>
            <w:tcBorders>
              <w:top w:val="nil"/>
              <w:left w:val="nil"/>
              <w:bottom w:val="nil"/>
              <w:right w:val="nil"/>
            </w:tcBorders>
            <w:shd w:val="clear" w:color="auto" w:fill="auto"/>
            <w:vAlign w:val="center"/>
          </w:tcPr>
          <w:p w14:paraId="3263338D" w14:textId="77777777"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bottom"/>
          </w:tcPr>
          <w:p w14:paraId="22BD76F9" w14:textId="63C7EA57"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Pr>
                <w:color w:val="000000"/>
              </w:rPr>
              <w:t>611 (70.2%)</w:t>
            </w:r>
          </w:p>
        </w:tc>
        <w:tc>
          <w:tcPr>
            <w:tcW w:w="568" w:type="dxa"/>
            <w:tcBorders>
              <w:top w:val="nil"/>
              <w:left w:val="nil"/>
              <w:bottom w:val="nil"/>
              <w:right w:val="nil"/>
            </w:tcBorders>
            <w:shd w:val="clear" w:color="auto" w:fill="auto"/>
            <w:vAlign w:val="bottom"/>
          </w:tcPr>
          <w:p w14:paraId="598A04A0" w14:textId="54AA6D26"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Pr>
                <w:color w:val="000000"/>
              </w:rPr>
              <w:t>0,6</w:t>
            </w:r>
          </w:p>
        </w:tc>
        <w:tc>
          <w:tcPr>
            <w:tcW w:w="868" w:type="dxa"/>
            <w:tcBorders>
              <w:top w:val="nil"/>
              <w:left w:val="nil"/>
              <w:bottom w:val="nil"/>
              <w:right w:val="nil"/>
            </w:tcBorders>
            <w:shd w:val="clear" w:color="auto" w:fill="auto"/>
            <w:vAlign w:val="bottom"/>
          </w:tcPr>
          <w:p w14:paraId="1EE0439F" w14:textId="52A9CA25"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Pr>
                <w:color w:val="000000"/>
              </w:rPr>
              <w:t>0,88</w:t>
            </w:r>
          </w:p>
        </w:tc>
        <w:tc>
          <w:tcPr>
            <w:tcW w:w="874" w:type="dxa"/>
            <w:tcBorders>
              <w:top w:val="nil"/>
              <w:left w:val="nil"/>
              <w:bottom w:val="nil"/>
              <w:right w:val="nil"/>
            </w:tcBorders>
            <w:shd w:val="clear" w:color="auto" w:fill="auto"/>
            <w:vAlign w:val="bottom"/>
          </w:tcPr>
          <w:p w14:paraId="1C8EE7E8" w14:textId="241BDC7C"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Pr>
                <w:color w:val="000000"/>
              </w:rPr>
              <w:t>1,24</w:t>
            </w:r>
          </w:p>
        </w:tc>
        <w:tc>
          <w:tcPr>
            <w:tcW w:w="868" w:type="dxa"/>
            <w:tcBorders>
              <w:top w:val="nil"/>
              <w:left w:val="nil"/>
              <w:bottom w:val="nil"/>
              <w:right w:val="nil"/>
            </w:tcBorders>
            <w:shd w:val="clear" w:color="auto" w:fill="auto"/>
            <w:vAlign w:val="bottom"/>
          </w:tcPr>
          <w:p w14:paraId="31636B26" w14:textId="2BBE703B"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Pr>
                <w:color w:val="000000"/>
              </w:rPr>
              <w:t>1,47</w:t>
            </w:r>
          </w:p>
        </w:tc>
        <w:tc>
          <w:tcPr>
            <w:tcW w:w="874" w:type="dxa"/>
            <w:tcBorders>
              <w:top w:val="nil"/>
              <w:left w:val="nil"/>
              <w:bottom w:val="nil"/>
              <w:right w:val="nil"/>
            </w:tcBorders>
            <w:shd w:val="clear" w:color="auto" w:fill="auto"/>
            <w:vAlign w:val="bottom"/>
          </w:tcPr>
          <w:p w14:paraId="4E126FAA" w14:textId="275E3B2E" w:rsidR="002A4F43" w:rsidRPr="008A5C48" w:rsidRDefault="002A4F43" w:rsidP="002A4F43">
            <w:pPr>
              <w:spacing w:after="0" w:line="240" w:lineRule="auto"/>
              <w:contextualSpacing/>
              <w:jc w:val="center"/>
              <w:rPr>
                <w:rFonts w:ascii="Times New Roman" w:eastAsia="Times New Roman" w:hAnsi="Times New Roman" w:cs="Times New Roman"/>
                <w:sz w:val="20"/>
                <w:szCs w:val="20"/>
              </w:rPr>
            </w:pPr>
            <w:r>
              <w:rPr>
                <w:color w:val="000000"/>
              </w:rPr>
              <w:t>2,75</w:t>
            </w:r>
          </w:p>
        </w:tc>
      </w:tr>
      <w:tr w:rsidR="00376689" w:rsidRPr="008A5C48" w14:paraId="321B42D8" w14:textId="77777777" w:rsidTr="002A4F43">
        <w:trPr>
          <w:trHeight w:val="215"/>
          <w:jc w:val="center"/>
        </w:trPr>
        <w:tc>
          <w:tcPr>
            <w:tcW w:w="1778" w:type="dxa"/>
            <w:tcBorders>
              <w:top w:val="nil"/>
              <w:left w:val="nil"/>
              <w:bottom w:val="nil"/>
              <w:right w:val="nil"/>
            </w:tcBorders>
            <w:shd w:val="clear" w:color="auto" w:fill="auto"/>
            <w:vAlign w:val="center"/>
          </w:tcPr>
          <w:p w14:paraId="618ED019"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
        </w:tc>
        <w:tc>
          <w:tcPr>
            <w:tcW w:w="1109" w:type="dxa"/>
            <w:tcBorders>
              <w:top w:val="nil"/>
              <w:left w:val="nil"/>
              <w:bottom w:val="nil"/>
              <w:right w:val="nil"/>
            </w:tcBorders>
            <w:shd w:val="clear" w:color="auto" w:fill="auto"/>
            <w:vAlign w:val="center"/>
          </w:tcPr>
          <w:p w14:paraId="3ED2366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217E202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223" w:type="dxa"/>
            <w:tcBorders>
              <w:top w:val="nil"/>
              <w:left w:val="nil"/>
              <w:bottom w:val="nil"/>
              <w:right w:val="nil"/>
            </w:tcBorders>
            <w:shd w:val="clear" w:color="auto" w:fill="auto"/>
            <w:vAlign w:val="center"/>
          </w:tcPr>
          <w:p w14:paraId="7EA35E7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568" w:type="dxa"/>
            <w:tcBorders>
              <w:top w:val="nil"/>
              <w:left w:val="nil"/>
              <w:bottom w:val="nil"/>
              <w:right w:val="nil"/>
            </w:tcBorders>
            <w:shd w:val="clear" w:color="auto" w:fill="auto"/>
            <w:vAlign w:val="center"/>
          </w:tcPr>
          <w:p w14:paraId="5C6CCCB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54F619C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004832A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6CCBE31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64D3F2E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r>
      <w:tr w:rsidR="00376689" w:rsidRPr="008A5C48" w14:paraId="59363552" w14:textId="77777777" w:rsidTr="002A4F43">
        <w:trPr>
          <w:trHeight w:val="215"/>
          <w:jc w:val="center"/>
        </w:trPr>
        <w:tc>
          <w:tcPr>
            <w:tcW w:w="5246" w:type="dxa"/>
            <w:gridSpan w:val="4"/>
            <w:tcBorders>
              <w:top w:val="nil"/>
              <w:left w:val="nil"/>
              <w:bottom w:val="nil"/>
              <w:right w:val="nil"/>
            </w:tcBorders>
            <w:shd w:val="clear" w:color="auto" w:fill="auto"/>
            <w:vAlign w:val="center"/>
          </w:tcPr>
          <w:p w14:paraId="5AE01CA7"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b/>
                <w:color w:val="000000"/>
                <w:sz w:val="20"/>
                <w:szCs w:val="20"/>
              </w:rPr>
              <w:t>Indoor air pollution</w:t>
            </w:r>
          </w:p>
        </w:tc>
        <w:tc>
          <w:tcPr>
            <w:tcW w:w="568" w:type="dxa"/>
            <w:tcBorders>
              <w:top w:val="nil"/>
              <w:left w:val="nil"/>
              <w:bottom w:val="nil"/>
              <w:right w:val="nil"/>
            </w:tcBorders>
            <w:shd w:val="clear" w:color="auto" w:fill="auto"/>
            <w:vAlign w:val="center"/>
          </w:tcPr>
          <w:p w14:paraId="62B817B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4B73D58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35D2648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6368088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291D042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r>
      <w:tr w:rsidR="00376689" w:rsidRPr="008A5C48" w14:paraId="5EFDBAF8" w14:textId="77777777" w:rsidTr="002A4F43">
        <w:trPr>
          <w:trHeight w:val="215"/>
          <w:jc w:val="center"/>
        </w:trPr>
        <w:tc>
          <w:tcPr>
            <w:tcW w:w="1778" w:type="dxa"/>
            <w:tcBorders>
              <w:top w:val="nil"/>
              <w:left w:val="nil"/>
              <w:bottom w:val="nil"/>
              <w:right w:val="nil"/>
            </w:tcBorders>
            <w:shd w:val="clear" w:color="auto" w:fill="auto"/>
            <w:vAlign w:val="center"/>
          </w:tcPr>
          <w:p w14:paraId="0FA8781D"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NO2 indoor</w:t>
            </w:r>
          </w:p>
        </w:tc>
        <w:tc>
          <w:tcPr>
            <w:tcW w:w="1109" w:type="dxa"/>
            <w:tcBorders>
              <w:top w:val="nil"/>
              <w:left w:val="nil"/>
              <w:bottom w:val="nil"/>
              <w:right w:val="nil"/>
            </w:tcBorders>
            <w:shd w:val="clear" w:color="auto" w:fill="auto"/>
            <w:vAlign w:val="center"/>
          </w:tcPr>
          <w:p w14:paraId="4D14A48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μg</w:t>
            </w:r>
            <w:proofErr w:type="spellEnd"/>
            <w:r w:rsidRPr="008A5C48">
              <w:rPr>
                <w:rFonts w:ascii="Times New Roman" w:eastAsia="Times New Roman" w:hAnsi="Times New Roman" w:cs="Times New Roman"/>
                <w:sz w:val="20"/>
                <w:szCs w:val="20"/>
              </w:rPr>
              <w:t>/m3</w:t>
            </w:r>
          </w:p>
        </w:tc>
        <w:tc>
          <w:tcPr>
            <w:tcW w:w="1136" w:type="dxa"/>
            <w:tcBorders>
              <w:top w:val="nil"/>
              <w:left w:val="nil"/>
              <w:bottom w:val="nil"/>
              <w:right w:val="nil"/>
            </w:tcBorders>
            <w:shd w:val="clear" w:color="auto" w:fill="auto"/>
            <w:vAlign w:val="center"/>
          </w:tcPr>
          <w:p w14:paraId="2BF8F7D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09496F7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1152 (88.5%)</w:t>
            </w:r>
          </w:p>
        </w:tc>
        <w:tc>
          <w:tcPr>
            <w:tcW w:w="568" w:type="dxa"/>
            <w:tcBorders>
              <w:top w:val="nil"/>
              <w:left w:val="nil"/>
              <w:bottom w:val="nil"/>
              <w:right w:val="nil"/>
            </w:tcBorders>
            <w:shd w:val="clear" w:color="auto" w:fill="auto"/>
            <w:vAlign w:val="center"/>
          </w:tcPr>
          <w:p w14:paraId="6145F91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23.6</w:t>
            </w:r>
          </w:p>
        </w:tc>
        <w:tc>
          <w:tcPr>
            <w:tcW w:w="868" w:type="dxa"/>
            <w:tcBorders>
              <w:top w:val="nil"/>
              <w:left w:val="nil"/>
              <w:bottom w:val="nil"/>
              <w:right w:val="nil"/>
            </w:tcBorders>
            <w:shd w:val="clear" w:color="auto" w:fill="auto"/>
            <w:vAlign w:val="center"/>
          </w:tcPr>
          <w:p w14:paraId="54714DB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37.34</w:t>
            </w:r>
          </w:p>
        </w:tc>
        <w:tc>
          <w:tcPr>
            <w:tcW w:w="874" w:type="dxa"/>
            <w:tcBorders>
              <w:top w:val="nil"/>
              <w:left w:val="nil"/>
              <w:bottom w:val="nil"/>
              <w:right w:val="nil"/>
            </w:tcBorders>
            <w:shd w:val="clear" w:color="auto" w:fill="auto"/>
            <w:vAlign w:val="center"/>
          </w:tcPr>
          <w:p w14:paraId="19BFD42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55.7</w:t>
            </w:r>
          </w:p>
        </w:tc>
        <w:tc>
          <w:tcPr>
            <w:tcW w:w="868" w:type="dxa"/>
            <w:tcBorders>
              <w:top w:val="nil"/>
              <w:left w:val="nil"/>
              <w:bottom w:val="nil"/>
              <w:right w:val="nil"/>
            </w:tcBorders>
            <w:shd w:val="clear" w:color="auto" w:fill="auto"/>
            <w:vAlign w:val="center"/>
          </w:tcPr>
          <w:p w14:paraId="6F39BD9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129.02</w:t>
            </w:r>
          </w:p>
        </w:tc>
        <w:tc>
          <w:tcPr>
            <w:tcW w:w="874" w:type="dxa"/>
            <w:tcBorders>
              <w:top w:val="nil"/>
              <w:left w:val="nil"/>
              <w:bottom w:val="nil"/>
              <w:right w:val="nil"/>
            </w:tcBorders>
            <w:shd w:val="clear" w:color="auto" w:fill="auto"/>
            <w:vAlign w:val="center"/>
          </w:tcPr>
          <w:p w14:paraId="152C491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1224.2</w:t>
            </w:r>
          </w:p>
        </w:tc>
      </w:tr>
      <w:tr w:rsidR="00376689" w:rsidRPr="008A5C48" w14:paraId="02645183" w14:textId="77777777" w:rsidTr="002A4F43">
        <w:trPr>
          <w:trHeight w:val="215"/>
          <w:jc w:val="center"/>
        </w:trPr>
        <w:tc>
          <w:tcPr>
            <w:tcW w:w="1778" w:type="dxa"/>
            <w:tcBorders>
              <w:top w:val="nil"/>
              <w:left w:val="nil"/>
              <w:bottom w:val="nil"/>
              <w:right w:val="nil"/>
            </w:tcBorders>
            <w:shd w:val="clear" w:color="auto" w:fill="auto"/>
            <w:vAlign w:val="center"/>
          </w:tcPr>
          <w:p w14:paraId="46FAA957"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TEX indoor</w:t>
            </w:r>
          </w:p>
        </w:tc>
        <w:tc>
          <w:tcPr>
            <w:tcW w:w="1109" w:type="dxa"/>
            <w:tcBorders>
              <w:top w:val="nil"/>
              <w:left w:val="nil"/>
              <w:bottom w:val="nil"/>
              <w:right w:val="nil"/>
            </w:tcBorders>
            <w:shd w:val="clear" w:color="auto" w:fill="auto"/>
            <w:vAlign w:val="center"/>
          </w:tcPr>
          <w:p w14:paraId="193F420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μg</w:t>
            </w:r>
            <w:proofErr w:type="spellEnd"/>
            <w:r w:rsidRPr="008A5C48">
              <w:rPr>
                <w:rFonts w:ascii="Times New Roman" w:eastAsia="Times New Roman" w:hAnsi="Times New Roman" w:cs="Times New Roman"/>
                <w:sz w:val="20"/>
                <w:szCs w:val="20"/>
              </w:rPr>
              <w:t>/m3</w:t>
            </w:r>
          </w:p>
        </w:tc>
        <w:tc>
          <w:tcPr>
            <w:tcW w:w="1136" w:type="dxa"/>
            <w:tcBorders>
              <w:top w:val="nil"/>
              <w:left w:val="nil"/>
              <w:bottom w:val="nil"/>
              <w:right w:val="nil"/>
            </w:tcBorders>
            <w:shd w:val="clear" w:color="auto" w:fill="auto"/>
            <w:vAlign w:val="center"/>
          </w:tcPr>
          <w:p w14:paraId="2AD3DA3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1C6705C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1163 (89.4%)</w:t>
            </w:r>
          </w:p>
        </w:tc>
        <w:tc>
          <w:tcPr>
            <w:tcW w:w="568" w:type="dxa"/>
            <w:tcBorders>
              <w:top w:val="nil"/>
              <w:left w:val="nil"/>
              <w:bottom w:val="nil"/>
              <w:right w:val="nil"/>
            </w:tcBorders>
            <w:shd w:val="clear" w:color="auto" w:fill="auto"/>
            <w:vAlign w:val="center"/>
          </w:tcPr>
          <w:p w14:paraId="3755C46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20.5</w:t>
            </w:r>
          </w:p>
        </w:tc>
        <w:tc>
          <w:tcPr>
            <w:tcW w:w="868" w:type="dxa"/>
            <w:tcBorders>
              <w:top w:val="nil"/>
              <w:left w:val="nil"/>
              <w:bottom w:val="nil"/>
              <w:right w:val="nil"/>
            </w:tcBorders>
            <w:shd w:val="clear" w:color="auto" w:fill="auto"/>
            <w:vAlign w:val="center"/>
          </w:tcPr>
          <w:p w14:paraId="705BF80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27.94</w:t>
            </w:r>
          </w:p>
        </w:tc>
        <w:tc>
          <w:tcPr>
            <w:tcW w:w="874" w:type="dxa"/>
            <w:tcBorders>
              <w:top w:val="nil"/>
              <w:left w:val="nil"/>
              <w:bottom w:val="nil"/>
              <w:right w:val="nil"/>
            </w:tcBorders>
            <w:shd w:val="clear" w:color="auto" w:fill="auto"/>
            <w:vAlign w:val="center"/>
          </w:tcPr>
          <w:p w14:paraId="1347449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34.47</w:t>
            </w:r>
          </w:p>
        </w:tc>
        <w:tc>
          <w:tcPr>
            <w:tcW w:w="868" w:type="dxa"/>
            <w:tcBorders>
              <w:top w:val="nil"/>
              <w:left w:val="nil"/>
              <w:bottom w:val="nil"/>
              <w:right w:val="nil"/>
            </w:tcBorders>
            <w:shd w:val="clear" w:color="auto" w:fill="auto"/>
            <w:vAlign w:val="center"/>
          </w:tcPr>
          <w:p w14:paraId="301F2E1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43.38</w:t>
            </w:r>
          </w:p>
        </w:tc>
        <w:tc>
          <w:tcPr>
            <w:tcW w:w="874" w:type="dxa"/>
            <w:tcBorders>
              <w:top w:val="nil"/>
              <w:left w:val="nil"/>
              <w:bottom w:val="nil"/>
              <w:right w:val="nil"/>
            </w:tcBorders>
            <w:shd w:val="clear" w:color="auto" w:fill="auto"/>
            <w:vAlign w:val="center"/>
          </w:tcPr>
          <w:p w14:paraId="3738355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154.47</w:t>
            </w:r>
          </w:p>
        </w:tc>
      </w:tr>
      <w:tr w:rsidR="00376689" w:rsidRPr="008A5C48" w14:paraId="3F7A78D1" w14:textId="77777777" w:rsidTr="002A4F43">
        <w:trPr>
          <w:trHeight w:val="215"/>
          <w:jc w:val="center"/>
        </w:trPr>
        <w:tc>
          <w:tcPr>
            <w:tcW w:w="1778" w:type="dxa"/>
            <w:tcBorders>
              <w:top w:val="nil"/>
              <w:left w:val="nil"/>
              <w:bottom w:val="nil"/>
              <w:right w:val="nil"/>
            </w:tcBorders>
            <w:shd w:val="clear" w:color="auto" w:fill="auto"/>
            <w:vAlign w:val="center"/>
          </w:tcPr>
          <w:p w14:paraId="5D97B374"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Benzene indoor</w:t>
            </w:r>
          </w:p>
        </w:tc>
        <w:tc>
          <w:tcPr>
            <w:tcW w:w="1109" w:type="dxa"/>
            <w:tcBorders>
              <w:top w:val="nil"/>
              <w:left w:val="nil"/>
              <w:bottom w:val="nil"/>
              <w:right w:val="nil"/>
            </w:tcBorders>
            <w:shd w:val="clear" w:color="auto" w:fill="auto"/>
            <w:vAlign w:val="center"/>
          </w:tcPr>
          <w:p w14:paraId="1FCC511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μg</w:t>
            </w:r>
            <w:proofErr w:type="spellEnd"/>
            <w:r w:rsidRPr="008A5C48">
              <w:rPr>
                <w:rFonts w:ascii="Times New Roman" w:eastAsia="Times New Roman" w:hAnsi="Times New Roman" w:cs="Times New Roman"/>
                <w:sz w:val="20"/>
                <w:szCs w:val="20"/>
              </w:rPr>
              <w:t>/m3</w:t>
            </w:r>
          </w:p>
        </w:tc>
        <w:tc>
          <w:tcPr>
            <w:tcW w:w="1136" w:type="dxa"/>
            <w:tcBorders>
              <w:top w:val="nil"/>
              <w:left w:val="nil"/>
              <w:bottom w:val="nil"/>
              <w:right w:val="nil"/>
            </w:tcBorders>
            <w:shd w:val="clear" w:color="auto" w:fill="auto"/>
            <w:vAlign w:val="center"/>
          </w:tcPr>
          <w:p w14:paraId="7C4EE78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7A15AEB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1219 (93.7%)</w:t>
            </w:r>
          </w:p>
        </w:tc>
        <w:tc>
          <w:tcPr>
            <w:tcW w:w="568" w:type="dxa"/>
            <w:tcBorders>
              <w:top w:val="nil"/>
              <w:left w:val="nil"/>
              <w:bottom w:val="nil"/>
              <w:right w:val="nil"/>
            </w:tcBorders>
            <w:shd w:val="clear" w:color="auto" w:fill="auto"/>
            <w:vAlign w:val="center"/>
          </w:tcPr>
          <w:p w14:paraId="2CDB850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2.1</w:t>
            </w:r>
          </w:p>
        </w:tc>
        <w:tc>
          <w:tcPr>
            <w:tcW w:w="868" w:type="dxa"/>
            <w:tcBorders>
              <w:top w:val="nil"/>
              <w:left w:val="nil"/>
              <w:bottom w:val="nil"/>
              <w:right w:val="nil"/>
            </w:tcBorders>
            <w:shd w:val="clear" w:color="auto" w:fill="auto"/>
            <w:vAlign w:val="center"/>
          </w:tcPr>
          <w:p w14:paraId="7C8C524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2.75</w:t>
            </w:r>
          </w:p>
        </w:tc>
        <w:tc>
          <w:tcPr>
            <w:tcW w:w="874" w:type="dxa"/>
            <w:tcBorders>
              <w:top w:val="nil"/>
              <w:left w:val="nil"/>
              <w:bottom w:val="nil"/>
              <w:right w:val="nil"/>
            </w:tcBorders>
            <w:shd w:val="clear" w:color="auto" w:fill="auto"/>
            <w:vAlign w:val="center"/>
          </w:tcPr>
          <w:p w14:paraId="2E3E93F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3.19</w:t>
            </w:r>
          </w:p>
        </w:tc>
        <w:tc>
          <w:tcPr>
            <w:tcW w:w="868" w:type="dxa"/>
            <w:tcBorders>
              <w:top w:val="nil"/>
              <w:left w:val="nil"/>
              <w:bottom w:val="nil"/>
              <w:right w:val="nil"/>
            </w:tcBorders>
            <w:shd w:val="clear" w:color="auto" w:fill="auto"/>
            <w:vAlign w:val="center"/>
          </w:tcPr>
          <w:p w14:paraId="31BE461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3.71</w:t>
            </w:r>
          </w:p>
        </w:tc>
        <w:tc>
          <w:tcPr>
            <w:tcW w:w="874" w:type="dxa"/>
            <w:tcBorders>
              <w:top w:val="nil"/>
              <w:left w:val="nil"/>
              <w:bottom w:val="nil"/>
              <w:right w:val="nil"/>
            </w:tcBorders>
            <w:shd w:val="clear" w:color="auto" w:fill="auto"/>
            <w:vAlign w:val="center"/>
          </w:tcPr>
          <w:p w14:paraId="6B949DE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23.57</w:t>
            </w:r>
          </w:p>
        </w:tc>
      </w:tr>
      <w:tr w:rsidR="00376689" w:rsidRPr="008A5C48" w14:paraId="37E3323B" w14:textId="77777777" w:rsidTr="002A4F43">
        <w:trPr>
          <w:trHeight w:val="215"/>
          <w:jc w:val="center"/>
        </w:trPr>
        <w:tc>
          <w:tcPr>
            <w:tcW w:w="1778" w:type="dxa"/>
            <w:tcBorders>
              <w:top w:val="nil"/>
              <w:left w:val="nil"/>
              <w:bottom w:val="nil"/>
              <w:right w:val="nil"/>
            </w:tcBorders>
            <w:shd w:val="clear" w:color="auto" w:fill="auto"/>
            <w:vAlign w:val="center"/>
          </w:tcPr>
          <w:p w14:paraId="5879B1EE"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PM2.5 indoor</w:t>
            </w:r>
          </w:p>
        </w:tc>
        <w:tc>
          <w:tcPr>
            <w:tcW w:w="1109" w:type="dxa"/>
            <w:tcBorders>
              <w:top w:val="nil"/>
              <w:left w:val="nil"/>
              <w:bottom w:val="nil"/>
              <w:right w:val="nil"/>
            </w:tcBorders>
            <w:shd w:val="clear" w:color="auto" w:fill="auto"/>
            <w:vAlign w:val="center"/>
          </w:tcPr>
          <w:p w14:paraId="4FABE6A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μg</w:t>
            </w:r>
            <w:proofErr w:type="spellEnd"/>
            <w:r w:rsidRPr="008A5C48">
              <w:rPr>
                <w:rFonts w:ascii="Times New Roman" w:eastAsia="Times New Roman" w:hAnsi="Times New Roman" w:cs="Times New Roman"/>
                <w:sz w:val="20"/>
                <w:szCs w:val="20"/>
              </w:rPr>
              <w:t>/m3</w:t>
            </w:r>
          </w:p>
        </w:tc>
        <w:tc>
          <w:tcPr>
            <w:tcW w:w="1136" w:type="dxa"/>
            <w:tcBorders>
              <w:top w:val="nil"/>
              <w:left w:val="nil"/>
              <w:bottom w:val="nil"/>
              <w:right w:val="nil"/>
            </w:tcBorders>
            <w:shd w:val="clear" w:color="auto" w:fill="auto"/>
            <w:vAlign w:val="center"/>
          </w:tcPr>
          <w:p w14:paraId="10BC83C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2B189E2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1221 (93.9%)</w:t>
            </w:r>
          </w:p>
        </w:tc>
        <w:tc>
          <w:tcPr>
            <w:tcW w:w="568" w:type="dxa"/>
            <w:tcBorders>
              <w:top w:val="nil"/>
              <w:left w:val="nil"/>
              <w:bottom w:val="nil"/>
              <w:right w:val="nil"/>
            </w:tcBorders>
            <w:shd w:val="clear" w:color="auto" w:fill="auto"/>
            <w:vAlign w:val="center"/>
          </w:tcPr>
          <w:p w14:paraId="6A78C3E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12.6</w:t>
            </w:r>
          </w:p>
        </w:tc>
        <w:tc>
          <w:tcPr>
            <w:tcW w:w="868" w:type="dxa"/>
            <w:tcBorders>
              <w:top w:val="nil"/>
              <w:left w:val="nil"/>
              <w:bottom w:val="nil"/>
              <w:right w:val="nil"/>
            </w:tcBorders>
            <w:shd w:val="clear" w:color="auto" w:fill="auto"/>
            <w:vAlign w:val="center"/>
          </w:tcPr>
          <w:p w14:paraId="35FFEDB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15.64</w:t>
            </w:r>
          </w:p>
        </w:tc>
        <w:tc>
          <w:tcPr>
            <w:tcW w:w="874" w:type="dxa"/>
            <w:tcBorders>
              <w:top w:val="nil"/>
              <w:left w:val="nil"/>
              <w:bottom w:val="nil"/>
              <w:right w:val="nil"/>
            </w:tcBorders>
            <w:shd w:val="clear" w:color="auto" w:fill="auto"/>
            <w:vAlign w:val="center"/>
          </w:tcPr>
          <w:p w14:paraId="364FC1A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17.46</w:t>
            </w:r>
          </w:p>
        </w:tc>
        <w:tc>
          <w:tcPr>
            <w:tcW w:w="868" w:type="dxa"/>
            <w:tcBorders>
              <w:top w:val="nil"/>
              <w:left w:val="nil"/>
              <w:bottom w:val="nil"/>
              <w:right w:val="nil"/>
            </w:tcBorders>
            <w:shd w:val="clear" w:color="auto" w:fill="auto"/>
            <w:vAlign w:val="center"/>
          </w:tcPr>
          <w:p w14:paraId="2CC3F4C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21.98</w:t>
            </w:r>
          </w:p>
        </w:tc>
        <w:tc>
          <w:tcPr>
            <w:tcW w:w="874" w:type="dxa"/>
            <w:tcBorders>
              <w:top w:val="nil"/>
              <w:left w:val="nil"/>
              <w:bottom w:val="nil"/>
              <w:right w:val="nil"/>
            </w:tcBorders>
            <w:shd w:val="clear" w:color="auto" w:fill="auto"/>
            <w:vAlign w:val="center"/>
          </w:tcPr>
          <w:p w14:paraId="74929EC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196.37</w:t>
            </w:r>
          </w:p>
        </w:tc>
      </w:tr>
      <w:tr w:rsidR="00376689" w:rsidRPr="008A5C48" w14:paraId="2CD9DFB2" w14:textId="77777777" w:rsidTr="002A4F43">
        <w:trPr>
          <w:trHeight w:val="215"/>
          <w:jc w:val="center"/>
        </w:trPr>
        <w:tc>
          <w:tcPr>
            <w:tcW w:w="1778" w:type="dxa"/>
            <w:tcBorders>
              <w:top w:val="nil"/>
              <w:left w:val="nil"/>
              <w:bottom w:val="nil"/>
              <w:right w:val="nil"/>
            </w:tcBorders>
            <w:shd w:val="clear" w:color="auto" w:fill="auto"/>
            <w:vAlign w:val="center"/>
          </w:tcPr>
          <w:p w14:paraId="220AE2C5"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PM absorbance indoor</w:t>
            </w:r>
          </w:p>
        </w:tc>
        <w:tc>
          <w:tcPr>
            <w:tcW w:w="1109" w:type="dxa"/>
            <w:tcBorders>
              <w:top w:val="nil"/>
              <w:left w:val="nil"/>
              <w:bottom w:val="nil"/>
              <w:right w:val="nil"/>
            </w:tcBorders>
            <w:shd w:val="clear" w:color="auto" w:fill="auto"/>
            <w:vAlign w:val="center"/>
          </w:tcPr>
          <w:p w14:paraId="16AA512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μg</w:t>
            </w:r>
            <w:proofErr w:type="spellEnd"/>
            <w:r w:rsidRPr="008A5C48">
              <w:rPr>
                <w:rFonts w:ascii="Times New Roman" w:eastAsia="Times New Roman" w:hAnsi="Times New Roman" w:cs="Times New Roman"/>
                <w:sz w:val="20"/>
                <w:szCs w:val="20"/>
              </w:rPr>
              <w:t>/m3</w:t>
            </w:r>
          </w:p>
        </w:tc>
        <w:tc>
          <w:tcPr>
            <w:tcW w:w="1136" w:type="dxa"/>
            <w:tcBorders>
              <w:top w:val="nil"/>
              <w:left w:val="nil"/>
              <w:bottom w:val="nil"/>
              <w:right w:val="nil"/>
            </w:tcBorders>
            <w:shd w:val="clear" w:color="auto" w:fill="auto"/>
            <w:vAlign w:val="center"/>
          </w:tcPr>
          <w:p w14:paraId="1EF8C1E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4833883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1212 (93.2%)</w:t>
            </w:r>
          </w:p>
        </w:tc>
        <w:tc>
          <w:tcPr>
            <w:tcW w:w="568" w:type="dxa"/>
            <w:tcBorders>
              <w:top w:val="nil"/>
              <w:left w:val="nil"/>
              <w:bottom w:val="nil"/>
              <w:right w:val="nil"/>
            </w:tcBorders>
            <w:shd w:val="clear" w:color="auto" w:fill="auto"/>
            <w:vAlign w:val="center"/>
          </w:tcPr>
          <w:p w14:paraId="7BFE9DB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0.97</w:t>
            </w:r>
          </w:p>
        </w:tc>
        <w:tc>
          <w:tcPr>
            <w:tcW w:w="868" w:type="dxa"/>
            <w:tcBorders>
              <w:top w:val="nil"/>
              <w:left w:val="nil"/>
              <w:bottom w:val="nil"/>
              <w:right w:val="nil"/>
            </w:tcBorders>
            <w:shd w:val="clear" w:color="auto" w:fill="auto"/>
            <w:vAlign w:val="center"/>
          </w:tcPr>
          <w:p w14:paraId="71F67F7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1.16</w:t>
            </w:r>
          </w:p>
        </w:tc>
        <w:tc>
          <w:tcPr>
            <w:tcW w:w="874" w:type="dxa"/>
            <w:tcBorders>
              <w:top w:val="nil"/>
              <w:left w:val="nil"/>
              <w:bottom w:val="nil"/>
              <w:right w:val="nil"/>
            </w:tcBorders>
            <w:shd w:val="clear" w:color="auto" w:fill="auto"/>
            <w:vAlign w:val="center"/>
          </w:tcPr>
          <w:p w14:paraId="188461A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1.34</w:t>
            </w:r>
          </w:p>
        </w:tc>
        <w:tc>
          <w:tcPr>
            <w:tcW w:w="868" w:type="dxa"/>
            <w:tcBorders>
              <w:top w:val="nil"/>
              <w:left w:val="nil"/>
              <w:bottom w:val="nil"/>
              <w:right w:val="nil"/>
            </w:tcBorders>
            <w:shd w:val="clear" w:color="auto" w:fill="auto"/>
            <w:vAlign w:val="center"/>
          </w:tcPr>
          <w:p w14:paraId="29A4104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1.65</w:t>
            </w:r>
          </w:p>
        </w:tc>
        <w:tc>
          <w:tcPr>
            <w:tcW w:w="874" w:type="dxa"/>
            <w:tcBorders>
              <w:top w:val="nil"/>
              <w:left w:val="nil"/>
              <w:bottom w:val="nil"/>
              <w:right w:val="nil"/>
            </w:tcBorders>
            <w:shd w:val="clear" w:color="auto" w:fill="auto"/>
            <w:vAlign w:val="center"/>
          </w:tcPr>
          <w:p w14:paraId="161132E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30.57</w:t>
            </w:r>
          </w:p>
        </w:tc>
      </w:tr>
      <w:tr w:rsidR="00376689" w:rsidRPr="008A5C48" w14:paraId="698C4B7F" w14:textId="77777777" w:rsidTr="002A4F43">
        <w:trPr>
          <w:trHeight w:val="215"/>
          <w:jc w:val="center"/>
        </w:trPr>
        <w:tc>
          <w:tcPr>
            <w:tcW w:w="1778" w:type="dxa"/>
            <w:tcBorders>
              <w:top w:val="nil"/>
              <w:left w:val="nil"/>
              <w:bottom w:val="nil"/>
              <w:right w:val="nil"/>
            </w:tcBorders>
            <w:shd w:val="clear" w:color="auto" w:fill="auto"/>
            <w:vAlign w:val="center"/>
          </w:tcPr>
          <w:p w14:paraId="3D67701A"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
        </w:tc>
        <w:tc>
          <w:tcPr>
            <w:tcW w:w="1109" w:type="dxa"/>
            <w:tcBorders>
              <w:top w:val="nil"/>
              <w:left w:val="nil"/>
              <w:bottom w:val="nil"/>
              <w:right w:val="nil"/>
            </w:tcBorders>
            <w:shd w:val="clear" w:color="auto" w:fill="auto"/>
            <w:vAlign w:val="center"/>
          </w:tcPr>
          <w:p w14:paraId="4444776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11A4873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223" w:type="dxa"/>
            <w:tcBorders>
              <w:top w:val="nil"/>
              <w:left w:val="nil"/>
              <w:bottom w:val="nil"/>
              <w:right w:val="nil"/>
            </w:tcBorders>
            <w:shd w:val="clear" w:color="auto" w:fill="auto"/>
            <w:vAlign w:val="center"/>
          </w:tcPr>
          <w:p w14:paraId="6FE47E6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568" w:type="dxa"/>
            <w:tcBorders>
              <w:top w:val="nil"/>
              <w:left w:val="nil"/>
              <w:bottom w:val="nil"/>
              <w:right w:val="nil"/>
            </w:tcBorders>
            <w:shd w:val="clear" w:color="auto" w:fill="auto"/>
            <w:vAlign w:val="center"/>
          </w:tcPr>
          <w:p w14:paraId="2BD145E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1674642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0A32D17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5A9B470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1201C91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r>
      <w:tr w:rsidR="00376689" w:rsidRPr="008A5C48" w14:paraId="28B4A1E1" w14:textId="77777777" w:rsidTr="002A4F43">
        <w:trPr>
          <w:trHeight w:val="106"/>
          <w:jc w:val="center"/>
        </w:trPr>
        <w:tc>
          <w:tcPr>
            <w:tcW w:w="1778" w:type="dxa"/>
            <w:tcBorders>
              <w:top w:val="nil"/>
              <w:left w:val="nil"/>
              <w:bottom w:val="nil"/>
              <w:right w:val="nil"/>
            </w:tcBorders>
            <w:shd w:val="clear" w:color="auto" w:fill="auto"/>
            <w:vAlign w:val="center"/>
          </w:tcPr>
          <w:p w14:paraId="463946AA"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b/>
                <w:color w:val="000000"/>
                <w:sz w:val="20"/>
                <w:szCs w:val="20"/>
              </w:rPr>
              <w:t>Meteorology</w:t>
            </w:r>
          </w:p>
        </w:tc>
        <w:tc>
          <w:tcPr>
            <w:tcW w:w="1109" w:type="dxa"/>
            <w:tcBorders>
              <w:top w:val="nil"/>
              <w:left w:val="nil"/>
              <w:bottom w:val="nil"/>
              <w:right w:val="nil"/>
            </w:tcBorders>
            <w:shd w:val="clear" w:color="auto" w:fill="auto"/>
            <w:vAlign w:val="center"/>
          </w:tcPr>
          <w:p w14:paraId="1E58C772"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4EE8122A"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
        </w:tc>
        <w:tc>
          <w:tcPr>
            <w:tcW w:w="1223" w:type="dxa"/>
            <w:tcBorders>
              <w:top w:val="nil"/>
              <w:left w:val="nil"/>
              <w:bottom w:val="nil"/>
              <w:right w:val="nil"/>
            </w:tcBorders>
            <w:shd w:val="clear" w:color="auto" w:fill="auto"/>
            <w:vAlign w:val="center"/>
          </w:tcPr>
          <w:p w14:paraId="380DC67A"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
        </w:tc>
        <w:tc>
          <w:tcPr>
            <w:tcW w:w="568" w:type="dxa"/>
            <w:tcBorders>
              <w:top w:val="nil"/>
              <w:left w:val="nil"/>
              <w:bottom w:val="nil"/>
              <w:right w:val="nil"/>
            </w:tcBorders>
            <w:shd w:val="clear" w:color="auto" w:fill="auto"/>
            <w:vAlign w:val="center"/>
          </w:tcPr>
          <w:p w14:paraId="0383FB69"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79508A6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21D9EE5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4099CC3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673CF5F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r>
      <w:tr w:rsidR="00376689" w:rsidRPr="008A5C48" w14:paraId="3A4F8BBF" w14:textId="77777777" w:rsidTr="002A4F43">
        <w:trPr>
          <w:trHeight w:val="106"/>
          <w:jc w:val="center"/>
        </w:trPr>
        <w:tc>
          <w:tcPr>
            <w:tcW w:w="1778" w:type="dxa"/>
            <w:tcBorders>
              <w:top w:val="nil"/>
              <w:left w:val="nil"/>
              <w:bottom w:val="nil"/>
              <w:right w:val="nil"/>
            </w:tcBorders>
            <w:shd w:val="clear" w:color="auto" w:fill="auto"/>
            <w:vAlign w:val="center"/>
          </w:tcPr>
          <w:p w14:paraId="34B30177"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Pressure </w:t>
            </w:r>
          </w:p>
        </w:tc>
        <w:tc>
          <w:tcPr>
            <w:tcW w:w="1109" w:type="dxa"/>
            <w:tcBorders>
              <w:top w:val="nil"/>
              <w:left w:val="nil"/>
              <w:bottom w:val="nil"/>
              <w:right w:val="nil"/>
            </w:tcBorders>
            <w:shd w:val="clear" w:color="auto" w:fill="auto"/>
            <w:vAlign w:val="center"/>
          </w:tcPr>
          <w:p w14:paraId="524C0C1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4A77E03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73E1510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997 (76.6%)</w:t>
            </w:r>
          </w:p>
        </w:tc>
        <w:tc>
          <w:tcPr>
            <w:tcW w:w="568" w:type="dxa"/>
            <w:tcBorders>
              <w:top w:val="nil"/>
              <w:left w:val="nil"/>
              <w:bottom w:val="nil"/>
              <w:right w:val="nil"/>
            </w:tcBorders>
            <w:shd w:val="clear" w:color="auto" w:fill="auto"/>
            <w:vAlign w:val="center"/>
          </w:tcPr>
          <w:p w14:paraId="25ED87F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975</w:t>
            </w:r>
          </w:p>
        </w:tc>
        <w:tc>
          <w:tcPr>
            <w:tcW w:w="868" w:type="dxa"/>
            <w:tcBorders>
              <w:top w:val="nil"/>
              <w:left w:val="nil"/>
              <w:bottom w:val="nil"/>
              <w:right w:val="nil"/>
            </w:tcBorders>
            <w:shd w:val="clear" w:color="auto" w:fill="auto"/>
            <w:vAlign w:val="center"/>
          </w:tcPr>
          <w:p w14:paraId="2485676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981</w:t>
            </w:r>
          </w:p>
        </w:tc>
        <w:tc>
          <w:tcPr>
            <w:tcW w:w="874" w:type="dxa"/>
            <w:tcBorders>
              <w:top w:val="nil"/>
              <w:left w:val="nil"/>
              <w:bottom w:val="nil"/>
              <w:right w:val="nil"/>
            </w:tcBorders>
            <w:shd w:val="clear" w:color="auto" w:fill="auto"/>
            <w:vAlign w:val="center"/>
          </w:tcPr>
          <w:p w14:paraId="2CDC59A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1000.1</w:t>
            </w:r>
          </w:p>
        </w:tc>
        <w:tc>
          <w:tcPr>
            <w:tcW w:w="868" w:type="dxa"/>
            <w:tcBorders>
              <w:top w:val="nil"/>
              <w:left w:val="nil"/>
              <w:bottom w:val="nil"/>
              <w:right w:val="nil"/>
            </w:tcBorders>
            <w:shd w:val="clear" w:color="auto" w:fill="auto"/>
            <w:vAlign w:val="center"/>
          </w:tcPr>
          <w:p w14:paraId="1C68D60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1003</w:t>
            </w:r>
          </w:p>
        </w:tc>
        <w:tc>
          <w:tcPr>
            <w:tcW w:w="874" w:type="dxa"/>
            <w:tcBorders>
              <w:top w:val="nil"/>
              <w:left w:val="nil"/>
              <w:bottom w:val="nil"/>
              <w:right w:val="nil"/>
            </w:tcBorders>
            <w:shd w:val="clear" w:color="auto" w:fill="auto"/>
            <w:vAlign w:val="center"/>
          </w:tcPr>
          <w:p w14:paraId="7CE6B8E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1015.5</w:t>
            </w:r>
          </w:p>
        </w:tc>
      </w:tr>
      <w:tr w:rsidR="00376689" w:rsidRPr="008A5C48" w14:paraId="22380C4C" w14:textId="77777777" w:rsidTr="002A4F43">
        <w:trPr>
          <w:trHeight w:val="215"/>
          <w:jc w:val="center"/>
        </w:trPr>
        <w:tc>
          <w:tcPr>
            <w:tcW w:w="1778" w:type="dxa"/>
            <w:tcBorders>
              <w:top w:val="nil"/>
              <w:left w:val="nil"/>
              <w:bottom w:val="nil"/>
              <w:right w:val="nil"/>
            </w:tcBorders>
            <w:shd w:val="clear" w:color="auto" w:fill="auto"/>
            <w:vAlign w:val="center"/>
          </w:tcPr>
          <w:p w14:paraId="18B0E98B"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Temperature </w:t>
            </w:r>
          </w:p>
        </w:tc>
        <w:tc>
          <w:tcPr>
            <w:tcW w:w="1109" w:type="dxa"/>
            <w:tcBorders>
              <w:top w:val="nil"/>
              <w:left w:val="nil"/>
              <w:bottom w:val="nil"/>
              <w:right w:val="nil"/>
            </w:tcBorders>
            <w:shd w:val="clear" w:color="auto" w:fill="auto"/>
            <w:vAlign w:val="center"/>
          </w:tcPr>
          <w:p w14:paraId="55FC341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w:t>
            </w:r>
          </w:p>
        </w:tc>
        <w:tc>
          <w:tcPr>
            <w:tcW w:w="1136" w:type="dxa"/>
            <w:tcBorders>
              <w:top w:val="nil"/>
              <w:left w:val="nil"/>
              <w:bottom w:val="nil"/>
              <w:right w:val="nil"/>
            </w:tcBorders>
            <w:shd w:val="clear" w:color="auto" w:fill="auto"/>
            <w:vAlign w:val="center"/>
          </w:tcPr>
          <w:p w14:paraId="476731D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5CEFFCF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1199 (92.2%)</w:t>
            </w:r>
          </w:p>
        </w:tc>
        <w:tc>
          <w:tcPr>
            <w:tcW w:w="568" w:type="dxa"/>
            <w:tcBorders>
              <w:top w:val="nil"/>
              <w:left w:val="nil"/>
              <w:bottom w:val="nil"/>
              <w:right w:val="nil"/>
            </w:tcBorders>
            <w:shd w:val="clear" w:color="auto" w:fill="auto"/>
            <w:vAlign w:val="center"/>
          </w:tcPr>
          <w:p w14:paraId="7DC967B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w:t>
            </w:r>
          </w:p>
        </w:tc>
        <w:tc>
          <w:tcPr>
            <w:tcW w:w="868" w:type="dxa"/>
            <w:tcBorders>
              <w:top w:val="nil"/>
              <w:left w:val="nil"/>
              <w:bottom w:val="nil"/>
              <w:right w:val="nil"/>
            </w:tcBorders>
            <w:shd w:val="clear" w:color="auto" w:fill="auto"/>
            <w:vAlign w:val="center"/>
          </w:tcPr>
          <w:p w14:paraId="329D210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8.5</w:t>
            </w:r>
          </w:p>
        </w:tc>
        <w:tc>
          <w:tcPr>
            <w:tcW w:w="874" w:type="dxa"/>
            <w:tcBorders>
              <w:top w:val="nil"/>
              <w:left w:val="nil"/>
              <w:bottom w:val="nil"/>
              <w:right w:val="nil"/>
            </w:tcBorders>
            <w:shd w:val="clear" w:color="auto" w:fill="auto"/>
            <w:vAlign w:val="center"/>
          </w:tcPr>
          <w:p w14:paraId="510947C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10.4</w:t>
            </w:r>
          </w:p>
        </w:tc>
        <w:tc>
          <w:tcPr>
            <w:tcW w:w="868" w:type="dxa"/>
            <w:tcBorders>
              <w:top w:val="nil"/>
              <w:left w:val="nil"/>
              <w:bottom w:val="nil"/>
              <w:right w:val="nil"/>
            </w:tcBorders>
            <w:shd w:val="clear" w:color="auto" w:fill="auto"/>
            <w:vAlign w:val="center"/>
          </w:tcPr>
          <w:p w14:paraId="6C13CAF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14.5</w:t>
            </w:r>
          </w:p>
        </w:tc>
        <w:tc>
          <w:tcPr>
            <w:tcW w:w="874" w:type="dxa"/>
            <w:tcBorders>
              <w:top w:val="nil"/>
              <w:left w:val="nil"/>
              <w:bottom w:val="nil"/>
              <w:right w:val="nil"/>
            </w:tcBorders>
            <w:shd w:val="clear" w:color="auto" w:fill="auto"/>
            <w:vAlign w:val="center"/>
          </w:tcPr>
          <w:p w14:paraId="4E5EB44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22.6</w:t>
            </w:r>
          </w:p>
        </w:tc>
      </w:tr>
      <w:tr w:rsidR="00376689" w:rsidRPr="008A5C48" w14:paraId="210276C4" w14:textId="77777777" w:rsidTr="002A4F43">
        <w:trPr>
          <w:trHeight w:val="106"/>
          <w:jc w:val="center"/>
        </w:trPr>
        <w:tc>
          <w:tcPr>
            <w:tcW w:w="1778" w:type="dxa"/>
            <w:tcBorders>
              <w:top w:val="nil"/>
              <w:left w:val="nil"/>
              <w:bottom w:val="nil"/>
              <w:right w:val="nil"/>
            </w:tcBorders>
            <w:shd w:val="clear" w:color="auto" w:fill="auto"/>
            <w:vAlign w:val="center"/>
          </w:tcPr>
          <w:p w14:paraId="5B3C9207"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Humidity</w:t>
            </w:r>
          </w:p>
        </w:tc>
        <w:tc>
          <w:tcPr>
            <w:tcW w:w="1109" w:type="dxa"/>
            <w:tcBorders>
              <w:top w:val="nil"/>
              <w:left w:val="nil"/>
              <w:bottom w:val="nil"/>
              <w:right w:val="nil"/>
            </w:tcBorders>
            <w:shd w:val="clear" w:color="auto" w:fill="auto"/>
            <w:vAlign w:val="center"/>
          </w:tcPr>
          <w:p w14:paraId="3DBB0F4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4C44FBF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0D840EC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1199 (92.2%)</w:t>
            </w:r>
          </w:p>
        </w:tc>
        <w:tc>
          <w:tcPr>
            <w:tcW w:w="568" w:type="dxa"/>
            <w:tcBorders>
              <w:top w:val="nil"/>
              <w:left w:val="nil"/>
              <w:bottom w:val="nil"/>
              <w:right w:val="nil"/>
            </w:tcBorders>
            <w:shd w:val="clear" w:color="auto" w:fill="auto"/>
            <w:vAlign w:val="center"/>
          </w:tcPr>
          <w:p w14:paraId="1E37910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55.8</w:t>
            </w:r>
          </w:p>
        </w:tc>
        <w:tc>
          <w:tcPr>
            <w:tcW w:w="868" w:type="dxa"/>
            <w:tcBorders>
              <w:top w:val="nil"/>
              <w:left w:val="nil"/>
              <w:bottom w:val="nil"/>
              <w:right w:val="nil"/>
            </w:tcBorders>
            <w:shd w:val="clear" w:color="auto" w:fill="auto"/>
            <w:vAlign w:val="center"/>
          </w:tcPr>
          <w:p w14:paraId="54C498B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69.9</w:t>
            </w:r>
          </w:p>
        </w:tc>
        <w:tc>
          <w:tcPr>
            <w:tcW w:w="874" w:type="dxa"/>
            <w:tcBorders>
              <w:top w:val="nil"/>
              <w:left w:val="nil"/>
              <w:bottom w:val="nil"/>
              <w:right w:val="nil"/>
            </w:tcBorders>
            <w:shd w:val="clear" w:color="auto" w:fill="auto"/>
            <w:vAlign w:val="center"/>
          </w:tcPr>
          <w:p w14:paraId="1524253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75.9</w:t>
            </w:r>
          </w:p>
        </w:tc>
        <w:tc>
          <w:tcPr>
            <w:tcW w:w="868" w:type="dxa"/>
            <w:tcBorders>
              <w:top w:val="nil"/>
              <w:left w:val="nil"/>
              <w:bottom w:val="nil"/>
              <w:right w:val="nil"/>
            </w:tcBorders>
            <w:shd w:val="clear" w:color="auto" w:fill="auto"/>
            <w:vAlign w:val="center"/>
          </w:tcPr>
          <w:p w14:paraId="26B3617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85.4</w:t>
            </w:r>
          </w:p>
        </w:tc>
        <w:tc>
          <w:tcPr>
            <w:tcW w:w="874" w:type="dxa"/>
            <w:tcBorders>
              <w:top w:val="nil"/>
              <w:left w:val="nil"/>
              <w:bottom w:val="nil"/>
              <w:right w:val="nil"/>
            </w:tcBorders>
            <w:shd w:val="clear" w:color="auto" w:fill="auto"/>
            <w:vAlign w:val="center"/>
          </w:tcPr>
          <w:p w14:paraId="4AAE6FC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90.8</w:t>
            </w:r>
          </w:p>
        </w:tc>
      </w:tr>
      <w:tr w:rsidR="00376689" w:rsidRPr="008A5C48" w14:paraId="1E52DBAF" w14:textId="77777777" w:rsidTr="002A4F43">
        <w:trPr>
          <w:trHeight w:val="215"/>
          <w:jc w:val="center"/>
        </w:trPr>
        <w:tc>
          <w:tcPr>
            <w:tcW w:w="1778" w:type="dxa"/>
            <w:tcBorders>
              <w:top w:val="nil"/>
              <w:left w:val="nil"/>
              <w:bottom w:val="nil"/>
              <w:right w:val="nil"/>
            </w:tcBorders>
            <w:shd w:val="clear" w:color="auto" w:fill="auto"/>
            <w:vAlign w:val="center"/>
          </w:tcPr>
          <w:p w14:paraId="7692F865"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Temperature - home</w:t>
            </w:r>
          </w:p>
        </w:tc>
        <w:tc>
          <w:tcPr>
            <w:tcW w:w="1109" w:type="dxa"/>
            <w:tcBorders>
              <w:top w:val="nil"/>
              <w:left w:val="nil"/>
              <w:bottom w:val="nil"/>
              <w:right w:val="nil"/>
            </w:tcBorders>
            <w:shd w:val="clear" w:color="auto" w:fill="auto"/>
            <w:vAlign w:val="center"/>
          </w:tcPr>
          <w:p w14:paraId="7F50278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w:t>
            </w:r>
          </w:p>
        </w:tc>
        <w:tc>
          <w:tcPr>
            <w:tcW w:w="1136" w:type="dxa"/>
            <w:tcBorders>
              <w:top w:val="nil"/>
              <w:left w:val="nil"/>
              <w:bottom w:val="nil"/>
              <w:right w:val="nil"/>
            </w:tcBorders>
            <w:shd w:val="clear" w:color="auto" w:fill="auto"/>
            <w:vAlign w:val="center"/>
          </w:tcPr>
          <w:p w14:paraId="410A964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4E3503D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1202 (92.4%)</w:t>
            </w:r>
          </w:p>
        </w:tc>
        <w:tc>
          <w:tcPr>
            <w:tcW w:w="568" w:type="dxa"/>
            <w:tcBorders>
              <w:top w:val="nil"/>
              <w:left w:val="nil"/>
              <w:bottom w:val="nil"/>
              <w:right w:val="nil"/>
            </w:tcBorders>
            <w:shd w:val="clear" w:color="auto" w:fill="auto"/>
            <w:vAlign w:val="center"/>
          </w:tcPr>
          <w:p w14:paraId="62E0BF8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-3.5</w:t>
            </w:r>
          </w:p>
        </w:tc>
        <w:tc>
          <w:tcPr>
            <w:tcW w:w="868" w:type="dxa"/>
            <w:tcBorders>
              <w:top w:val="nil"/>
              <w:left w:val="nil"/>
              <w:bottom w:val="nil"/>
              <w:right w:val="nil"/>
            </w:tcBorders>
            <w:shd w:val="clear" w:color="auto" w:fill="auto"/>
            <w:vAlign w:val="center"/>
          </w:tcPr>
          <w:p w14:paraId="6320338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6.5</w:t>
            </w:r>
          </w:p>
        </w:tc>
        <w:tc>
          <w:tcPr>
            <w:tcW w:w="874" w:type="dxa"/>
            <w:tcBorders>
              <w:top w:val="nil"/>
              <w:left w:val="nil"/>
              <w:bottom w:val="nil"/>
              <w:right w:val="nil"/>
            </w:tcBorders>
            <w:shd w:val="clear" w:color="auto" w:fill="auto"/>
            <w:vAlign w:val="center"/>
          </w:tcPr>
          <w:p w14:paraId="656660B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11.9</w:t>
            </w:r>
          </w:p>
        </w:tc>
        <w:tc>
          <w:tcPr>
            <w:tcW w:w="868" w:type="dxa"/>
            <w:tcBorders>
              <w:top w:val="nil"/>
              <w:left w:val="nil"/>
              <w:bottom w:val="nil"/>
              <w:right w:val="nil"/>
            </w:tcBorders>
            <w:shd w:val="clear" w:color="auto" w:fill="auto"/>
            <w:vAlign w:val="center"/>
          </w:tcPr>
          <w:p w14:paraId="23994B0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16</w:t>
            </w:r>
          </w:p>
        </w:tc>
        <w:tc>
          <w:tcPr>
            <w:tcW w:w="874" w:type="dxa"/>
            <w:tcBorders>
              <w:top w:val="nil"/>
              <w:left w:val="nil"/>
              <w:bottom w:val="nil"/>
              <w:right w:val="nil"/>
            </w:tcBorders>
            <w:shd w:val="clear" w:color="auto" w:fill="auto"/>
            <w:vAlign w:val="center"/>
          </w:tcPr>
          <w:p w14:paraId="4AE06A1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27.3</w:t>
            </w:r>
          </w:p>
        </w:tc>
      </w:tr>
      <w:tr w:rsidR="00376689" w:rsidRPr="008A5C48" w14:paraId="656126FC" w14:textId="77777777" w:rsidTr="002A4F43">
        <w:trPr>
          <w:trHeight w:val="215"/>
          <w:jc w:val="center"/>
        </w:trPr>
        <w:tc>
          <w:tcPr>
            <w:tcW w:w="1778" w:type="dxa"/>
            <w:tcBorders>
              <w:top w:val="nil"/>
              <w:left w:val="nil"/>
              <w:bottom w:val="nil"/>
              <w:right w:val="nil"/>
            </w:tcBorders>
            <w:shd w:val="clear" w:color="auto" w:fill="auto"/>
            <w:vAlign w:val="center"/>
          </w:tcPr>
          <w:p w14:paraId="6BC28E8E"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Humidity - home</w:t>
            </w:r>
          </w:p>
        </w:tc>
        <w:tc>
          <w:tcPr>
            <w:tcW w:w="1109" w:type="dxa"/>
            <w:tcBorders>
              <w:top w:val="nil"/>
              <w:left w:val="nil"/>
              <w:bottom w:val="nil"/>
              <w:right w:val="nil"/>
            </w:tcBorders>
            <w:shd w:val="clear" w:color="auto" w:fill="auto"/>
            <w:vAlign w:val="center"/>
          </w:tcPr>
          <w:p w14:paraId="21E3D07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3BC0B72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6B3F11C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1202 (92.4%)</w:t>
            </w:r>
          </w:p>
        </w:tc>
        <w:tc>
          <w:tcPr>
            <w:tcW w:w="568" w:type="dxa"/>
            <w:tcBorders>
              <w:top w:val="nil"/>
              <w:left w:val="nil"/>
              <w:bottom w:val="nil"/>
              <w:right w:val="nil"/>
            </w:tcBorders>
            <w:shd w:val="clear" w:color="auto" w:fill="auto"/>
            <w:vAlign w:val="center"/>
          </w:tcPr>
          <w:p w14:paraId="6D9B065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52.1</w:t>
            </w:r>
          </w:p>
        </w:tc>
        <w:tc>
          <w:tcPr>
            <w:tcW w:w="868" w:type="dxa"/>
            <w:tcBorders>
              <w:top w:val="nil"/>
              <w:left w:val="nil"/>
              <w:bottom w:val="nil"/>
              <w:right w:val="nil"/>
            </w:tcBorders>
            <w:shd w:val="clear" w:color="auto" w:fill="auto"/>
            <w:vAlign w:val="center"/>
          </w:tcPr>
          <w:p w14:paraId="6F4F373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67.3</w:t>
            </w:r>
          </w:p>
        </w:tc>
        <w:tc>
          <w:tcPr>
            <w:tcW w:w="874" w:type="dxa"/>
            <w:tcBorders>
              <w:top w:val="nil"/>
              <w:left w:val="nil"/>
              <w:bottom w:val="nil"/>
              <w:right w:val="nil"/>
            </w:tcBorders>
            <w:shd w:val="clear" w:color="auto" w:fill="auto"/>
            <w:vAlign w:val="center"/>
          </w:tcPr>
          <w:p w14:paraId="4D05D2F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74.4</w:t>
            </w:r>
          </w:p>
        </w:tc>
        <w:tc>
          <w:tcPr>
            <w:tcW w:w="868" w:type="dxa"/>
            <w:tcBorders>
              <w:top w:val="nil"/>
              <w:left w:val="nil"/>
              <w:bottom w:val="nil"/>
              <w:right w:val="nil"/>
            </w:tcBorders>
            <w:shd w:val="clear" w:color="auto" w:fill="auto"/>
            <w:vAlign w:val="center"/>
          </w:tcPr>
          <w:p w14:paraId="737BC23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83.1</w:t>
            </w:r>
          </w:p>
        </w:tc>
        <w:tc>
          <w:tcPr>
            <w:tcW w:w="874" w:type="dxa"/>
            <w:tcBorders>
              <w:top w:val="nil"/>
              <w:left w:val="nil"/>
              <w:bottom w:val="nil"/>
              <w:right w:val="nil"/>
            </w:tcBorders>
            <w:shd w:val="clear" w:color="auto" w:fill="auto"/>
            <w:vAlign w:val="center"/>
          </w:tcPr>
          <w:p w14:paraId="6DD6D2C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96.1</w:t>
            </w:r>
          </w:p>
        </w:tc>
      </w:tr>
      <w:tr w:rsidR="00376689" w:rsidRPr="008A5C48" w14:paraId="67DD0142" w14:textId="77777777" w:rsidTr="002A4F43">
        <w:trPr>
          <w:trHeight w:val="215"/>
          <w:jc w:val="center"/>
        </w:trPr>
        <w:tc>
          <w:tcPr>
            <w:tcW w:w="1778" w:type="dxa"/>
            <w:tcBorders>
              <w:top w:val="nil"/>
              <w:left w:val="nil"/>
              <w:bottom w:val="nil"/>
              <w:right w:val="nil"/>
            </w:tcBorders>
            <w:shd w:val="clear" w:color="auto" w:fill="auto"/>
            <w:vAlign w:val="center"/>
          </w:tcPr>
          <w:p w14:paraId="5B2173C7"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UV - home</w:t>
            </w:r>
          </w:p>
        </w:tc>
        <w:tc>
          <w:tcPr>
            <w:tcW w:w="1109" w:type="dxa"/>
            <w:tcBorders>
              <w:top w:val="nil"/>
              <w:left w:val="nil"/>
              <w:bottom w:val="nil"/>
              <w:right w:val="nil"/>
            </w:tcBorders>
            <w:shd w:val="clear" w:color="auto" w:fill="auto"/>
            <w:vAlign w:val="center"/>
          </w:tcPr>
          <w:p w14:paraId="2D63782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kJ / m2</w:t>
            </w:r>
          </w:p>
        </w:tc>
        <w:tc>
          <w:tcPr>
            <w:tcW w:w="1136" w:type="dxa"/>
            <w:tcBorders>
              <w:top w:val="nil"/>
              <w:left w:val="nil"/>
              <w:bottom w:val="nil"/>
              <w:right w:val="nil"/>
            </w:tcBorders>
            <w:shd w:val="clear" w:color="auto" w:fill="auto"/>
            <w:vAlign w:val="center"/>
          </w:tcPr>
          <w:p w14:paraId="5C05485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51B5C33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1295 (99.5%)</w:t>
            </w:r>
          </w:p>
        </w:tc>
        <w:tc>
          <w:tcPr>
            <w:tcW w:w="568" w:type="dxa"/>
            <w:tcBorders>
              <w:top w:val="nil"/>
              <w:left w:val="nil"/>
              <w:bottom w:val="nil"/>
              <w:right w:val="nil"/>
            </w:tcBorders>
            <w:shd w:val="clear" w:color="auto" w:fill="auto"/>
            <w:vAlign w:val="center"/>
          </w:tcPr>
          <w:p w14:paraId="451008D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1330592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0.23</w:t>
            </w:r>
          </w:p>
        </w:tc>
        <w:tc>
          <w:tcPr>
            <w:tcW w:w="874" w:type="dxa"/>
            <w:tcBorders>
              <w:top w:val="nil"/>
              <w:left w:val="nil"/>
              <w:bottom w:val="nil"/>
              <w:right w:val="nil"/>
            </w:tcBorders>
            <w:shd w:val="clear" w:color="auto" w:fill="auto"/>
            <w:vAlign w:val="center"/>
          </w:tcPr>
          <w:p w14:paraId="40DA063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1.02</w:t>
            </w:r>
          </w:p>
        </w:tc>
        <w:tc>
          <w:tcPr>
            <w:tcW w:w="868" w:type="dxa"/>
            <w:tcBorders>
              <w:top w:val="nil"/>
              <w:left w:val="nil"/>
              <w:bottom w:val="nil"/>
              <w:right w:val="nil"/>
            </w:tcBorders>
            <w:shd w:val="clear" w:color="auto" w:fill="auto"/>
            <w:vAlign w:val="center"/>
          </w:tcPr>
          <w:p w14:paraId="072D30E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2.4</w:t>
            </w:r>
          </w:p>
        </w:tc>
        <w:tc>
          <w:tcPr>
            <w:tcW w:w="874" w:type="dxa"/>
            <w:tcBorders>
              <w:top w:val="nil"/>
              <w:left w:val="nil"/>
              <w:bottom w:val="nil"/>
              <w:right w:val="nil"/>
            </w:tcBorders>
            <w:shd w:val="clear" w:color="auto" w:fill="auto"/>
            <w:vAlign w:val="center"/>
          </w:tcPr>
          <w:p w14:paraId="6BBA5F0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5.25</w:t>
            </w:r>
          </w:p>
        </w:tc>
      </w:tr>
      <w:tr w:rsidR="00376689" w:rsidRPr="008A5C48" w14:paraId="798BE26E" w14:textId="77777777" w:rsidTr="002A4F43">
        <w:trPr>
          <w:trHeight w:val="215"/>
          <w:jc w:val="center"/>
        </w:trPr>
        <w:tc>
          <w:tcPr>
            <w:tcW w:w="1778" w:type="dxa"/>
            <w:tcBorders>
              <w:top w:val="nil"/>
              <w:left w:val="nil"/>
              <w:bottom w:val="nil"/>
              <w:right w:val="nil"/>
            </w:tcBorders>
            <w:shd w:val="clear" w:color="auto" w:fill="auto"/>
            <w:vAlign w:val="center"/>
          </w:tcPr>
          <w:p w14:paraId="24864048"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
        </w:tc>
        <w:tc>
          <w:tcPr>
            <w:tcW w:w="1109" w:type="dxa"/>
            <w:tcBorders>
              <w:top w:val="nil"/>
              <w:left w:val="nil"/>
              <w:bottom w:val="nil"/>
              <w:right w:val="nil"/>
            </w:tcBorders>
            <w:shd w:val="clear" w:color="auto" w:fill="auto"/>
            <w:vAlign w:val="center"/>
          </w:tcPr>
          <w:p w14:paraId="4D5CD4E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7D61B94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223" w:type="dxa"/>
            <w:tcBorders>
              <w:top w:val="nil"/>
              <w:left w:val="nil"/>
              <w:bottom w:val="nil"/>
              <w:right w:val="nil"/>
            </w:tcBorders>
            <w:shd w:val="clear" w:color="auto" w:fill="auto"/>
            <w:vAlign w:val="center"/>
          </w:tcPr>
          <w:p w14:paraId="290EAF1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568" w:type="dxa"/>
            <w:tcBorders>
              <w:top w:val="nil"/>
              <w:left w:val="nil"/>
              <w:bottom w:val="nil"/>
              <w:right w:val="nil"/>
            </w:tcBorders>
            <w:shd w:val="clear" w:color="auto" w:fill="auto"/>
            <w:vAlign w:val="center"/>
          </w:tcPr>
          <w:p w14:paraId="335EEED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5BFCF1B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11D1C3E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37549D1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441BCCC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r>
      <w:tr w:rsidR="00376689" w:rsidRPr="008A5C48" w14:paraId="253EF945" w14:textId="77777777" w:rsidTr="00376689">
        <w:trPr>
          <w:trHeight w:val="264"/>
          <w:jc w:val="center"/>
        </w:trPr>
        <w:tc>
          <w:tcPr>
            <w:tcW w:w="9298" w:type="dxa"/>
            <w:gridSpan w:val="9"/>
            <w:tcBorders>
              <w:top w:val="nil"/>
              <w:left w:val="nil"/>
              <w:bottom w:val="nil"/>
              <w:right w:val="nil"/>
            </w:tcBorders>
            <w:shd w:val="clear" w:color="auto" w:fill="auto"/>
            <w:vAlign w:val="center"/>
          </w:tcPr>
          <w:p w14:paraId="067A84A2"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b/>
                <w:color w:val="000000"/>
                <w:sz w:val="20"/>
                <w:szCs w:val="20"/>
              </w:rPr>
              <w:t>Surrounding natural spaces</w:t>
            </w:r>
          </w:p>
        </w:tc>
      </w:tr>
      <w:tr w:rsidR="00376689" w:rsidRPr="008A5C48" w14:paraId="2B52944B" w14:textId="77777777" w:rsidTr="002A4F43">
        <w:trPr>
          <w:trHeight w:val="264"/>
          <w:jc w:val="center"/>
        </w:trPr>
        <w:tc>
          <w:tcPr>
            <w:tcW w:w="1778" w:type="dxa"/>
            <w:tcBorders>
              <w:top w:val="nil"/>
              <w:left w:val="nil"/>
              <w:bottom w:val="nil"/>
              <w:right w:val="nil"/>
            </w:tcBorders>
            <w:shd w:val="clear" w:color="auto" w:fill="auto"/>
            <w:vAlign w:val="center"/>
          </w:tcPr>
          <w:p w14:paraId="7BED8B4D"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NDVI &lt; 100 m </w:t>
            </w:r>
          </w:p>
        </w:tc>
        <w:tc>
          <w:tcPr>
            <w:tcW w:w="1109" w:type="dxa"/>
            <w:tcBorders>
              <w:top w:val="nil"/>
              <w:left w:val="nil"/>
              <w:bottom w:val="nil"/>
              <w:right w:val="nil"/>
            </w:tcBorders>
            <w:shd w:val="clear" w:color="auto" w:fill="auto"/>
            <w:vAlign w:val="center"/>
          </w:tcPr>
          <w:p w14:paraId="630614D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7B5B40E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76D6610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1279 (98.3%)</w:t>
            </w:r>
          </w:p>
        </w:tc>
        <w:tc>
          <w:tcPr>
            <w:tcW w:w="568" w:type="dxa"/>
            <w:tcBorders>
              <w:top w:val="nil"/>
              <w:left w:val="nil"/>
              <w:bottom w:val="nil"/>
              <w:right w:val="nil"/>
            </w:tcBorders>
            <w:shd w:val="clear" w:color="auto" w:fill="auto"/>
            <w:vAlign w:val="center"/>
          </w:tcPr>
          <w:p w14:paraId="1954DB2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0.11</w:t>
            </w:r>
          </w:p>
        </w:tc>
        <w:tc>
          <w:tcPr>
            <w:tcW w:w="868" w:type="dxa"/>
            <w:tcBorders>
              <w:top w:val="nil"/>
              <w:left w:val="nil"/>
              <w:bottom w:val="nil"/>
              <w:right w:val="nil"/>
            </w:tcBorders>
            <w:shd w:val="clear" w:color="auto" w:fill="auto"/>
            <w:vAlign w:val="center"/>
          </w:tcPr>
          <w:p w14:paraId="6768350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0.25</w:t>
            </w:r>
          </w:p>
        </w:tc>
        <w:tc>
          <w:tcPr>
            <w:tcW w:w="874" w:type="dxa"/>
            <w:tcBorders>
              <w:top w:val="nil"/>
              <w:left w:val="nil"/>
              <w:bottom w:val="nil"/>
              <w:right w:val="nil"/>
            </w:tcBorders>
            <w:shd w:val="clear" w:color="auto" w:fill="auto"/>
            <w:vAlign w:val="center"/>
          </w:tcPr>
          <w:p w14:paraId="23C6D01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0.41</w:t>
            </w:r>
          </w:p>
        </w:tc>
        <w:tc>
          <w:tcPr>
            <w:tcW w:w="868" w:type="dxa"/>
            <w:tcBorders>
              <w:top w:val="nil"/>
              <w:left w:val="nil"/>
              <w:bottom w:val="nil"/>
              <w:right w:val="nil"/>
            </w:tcBorders>
            <w:shd w:val="clear" w:color="auto" w:fill="auto"/>
            <w:vAlign w:val="center"/>
          </w:tcPr>
          <w:p w14:paraId="1D29E2F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0.52</w:t>
            </w:r>
          </w:p>
        </w:tc>
        <w:tc>
          <w:tcPr>
            <w:tcW w:w="874" w:type="dxa"/>
            <w:tcBorders>
              <w:top w:val="nil"/>
              <w:left w:val="nil"/>
              <w:bottom w:val="nil"/>
              <w:right w:val="nil"/>
            </w:tcBorders>
            <w:shd w:val="clear" w:color="auto" w:fill="auto"/>
            <w:vAlign w:val="center"/>
          </w:tcPr>
          <w:p w14:paraId="6AF3F03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0.74</w:t>
            </w:r>
          </w:p>
        </w:tc>
      </w:tr>
      <w:tr w:rsidR="00376689" w:rsidRPr="008A5C48" w14:paraId="1D997C3D" w14:textId="77777777" w:rsidTr="002A4F43">
        <w:trPr>
          <w:trHeight w:val="215"/>
          <w:jc w:val="center"/>
        </w:trPr>
        <w:tc>
          <w:tcPr>
            <w:tcW w:w="1778" w:type="dxa"/>
            <w:tcBorders>
              <w:top w:val="nil"/>
              <w:left w:val="nil"/>
              <w:bottom w:val="nil"/>
              <w:right w:val="nil"/>
            </w:tcBorders>
            <w:shd w:val="clear" w:color="auto" w:fill="auto"/>
            <w:vAlign w:val="center"/>
          </w:tcPr>
          <w:p w14:paraId="1A0FCAE7"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Greenspace &lt; 300 m  </w:t>
            </w:r>
          </w:p>
        </w:tc>
        <w:tc>
          <w:tcPr>
            <w:tcW w:w="1109" w:type="dxa"/>
            <w:tcBorders>
              <w:top w:val="nil"/>
              <w:left w:val="nil"/>
              <w:bottom w:val="nil"/>
              <w:right w:val="nil"/>
            </w:tcBorders>
            <w:shd w:val="clear" w:color="auto" w:fill="auto"/>
            <w:vAlign w:val="center"/>
          </w:tcPr>
          <w:p w14:paraId="6AE7C89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590776C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0E64075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1188 (91.3%)</w:t>
            </w:r>
          </w:p>
        </w:tc>
        <w:tc>
          <w:tcPr>
            <w:tcW w:w="568" w:type="dxa"/>
            <w:tcBorders>
              <w:top w:val="nil"/>
              <w:left w:val="nil"/>
              <w:bottom w:val="nil"/>
              <w:right w:val="nil"/>
            </w:tcBorders>
            <w:shd w:val="clear" w:color="auto" w:fill="auto"/>
            <w:vAlign w:val="center"/>
          </w:tcPr>
          <w:p w14:paraId="2E792DD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75%</w:t>
            </w:r>
          </w:p>
        </w:tc>
        <w:tc>
          <w:tcPr>
            <w:tcW w:w="3484" w:type="dxa"/>
            <w:gridSpan w:val="4"/>
            <w:tcBorders>
              <w:top w:val="nil"/>
              <w:left w:val="nil"/>
              <w:bottom w:val="nil"/>
              <w:right w:val="nil"/>
            </w:tcBorders>
            <w:shd w:val="clear" w:color="auto" w:fill="auto"/>
            <w:vAlign w:val="center"/>
          </w:tcPr>
          <w:p w14:paraId="79DFE67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r>
      <w:tr w:rsidR="00376689" w:rsidRPr="008A5C48" w14:paraId="1F22AC5F" w14:textId="77777777" w:rsidTr="002A4F43">
        <w:trPr>
          <w:trHeight w:val="215"/>
          <w:jc w:val="center"/>
        </w:trPr>
        <w:tc>
          <w:tcPr>
            <w:tcW w:w="1778" w:type="dxa"/>
            <w:tcBorders>
              <w:top w:val="nil"/>
              <w:left w:val="nil"/>
              <w:bottom w:val="nil"/>
              <w:right w:val="nil"/>
            </w:tcBorders>
            <w:shd w:val="clear" w:color="auto" w:fill="auto"/>
            <w:vAlign w:val="center"/>
          </w:tcPr>
          <w:p w14:paraId="243FE057"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Bluespace &lt; 300 m</w:t>
            </w:r>
          </w:p>
        </w:tc>
        <w:tc>
          <w:tcPr>
            <w:tcW w:w="1109" w:type="dxa"/>
            <w:tcBorders>
              <w:top w:val="nil"/>
              <w:left w:val="nil"/>
              <w:bottom w:val="nil"/>
              <w:right w:val="nil"/>
            </w:tcBorders>
            <w:shd w:val="clear" w:color="auto" w:fill="auto"/>
            <w:vAlign w:val="center"/>
          </w:tcPr>
          <w:p w14:paraId="418E3B9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08906BA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277F3CD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1188 (91.3%)</w:t>
            </w:r>
          </w:p>
        </w:tc>
        <w:tc>
          <w:tcPr>
            <w:tcW w:w="568" w:type="dxa"/>
            <w:tcBorders>
              <w:top w:val="nil"/>
              <w:left w:val="nil"/>
              <w:bottom w:val="nil"/>
              <w:right w:val="nil"/>
            </w:tcBorders>
            <w:shd w:val="clear" w:color="auto" w:fill="auto"/>
            <w:vAlign w:val="center"/>
          </w:tcPr>
          <w:p w14:paraId="574EB78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w:t>
            </w:r>
          </w:p>
        </w:tc>
        <w:tc>
          <w:tcPr>
            <w:tcW w:w="3484" w:type="dxa"/>
            <w:gridSpan w:val="4"/>
            <w:tcBorders>
              <w:top w:val="nil"/>
              <w:left w:val="nil"/>
              <w:bottom w:val="nil"/>
              <w:right w:val="nil"/>
            </w:tcBorders>
            <w:shd w:val="clear" w:color="auto" w:fill="auto"/>
            <w:vAlign w:val="center"/>
          </w:tcPr>
          <w:p w14:paraId="01E3E70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r>
      <w:tr w:rsidR="00376689" w:rsidRPr="008A5C48" w14:paraId="212D04EF" w14:textId="77777777" w:rsidTr="002A4F43">
        <w:trPr>
          <w:trHeight w:val="215"/>
          <w:jc w:val="center"/>
        </w:trPr>
        <w:tc>
          <w:tcPr>
            <w:tcW w:w="1778" w:type="dxa"/>
            <w:tcBorders>
              <w:top w:val="nil"/>
              <w:left w:val="nil"/>
              <w:bottom w:val="nil"/>
              <w:right w:val="nil"/>
            </w:tcBorders>
            <w:shd w:val="clear" w:color="auto" w:fill="auto"/>
            <w:vAlign w:val="center"/>
          </w:tcPr>
          <w:p w14:paraId="103B6E2A"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NDVI &lt; 100 m - home</w:t>
            </w:r>
          </w:p>
        </w:tc>
        <w:tc>
          <w:tcPr>
            <w:tcW w:w="1109" w:type="dxa"/>
            <w:tcBorders>
              <w:top w:val="nil"/>
              <w:left w:val="nil"/>
              <w:bottom w:val="nil"/>
              <w:right w:val="nil"/>
            </w:tcBorders>
            <w:shd w:val="clear" w:color="auto" w:fill="auto"/>
            <w:vAlign w:val="center"/>
          </w:tcPr>
          <w:p w14:paraId="52FE0DD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776596A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0F5111D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1297 (99.7%)</w:t>
            </w:r>
          </w:p>
        </w:tc>
        <w:tc>
          <w:tcPr>
            <w:tcW w:w="568" w:type="dxa"/>
            <w:tcBorders>
              <w:top w:val="nil"/>
              <w:left w:val="nil"/>
              <w:bottom w:val="nil"/>
              <w:right w:val="nil"/>
            </w:tcBorders>
            <w:shd w:val="clear" w:color="auto" w:fill="auto"/>
            <w:vAlign w:val="center"/>
          </w:tcPr>
          <w:p w14:paraId="3426D73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0.09</w:t>
            </w:r>
          </w:p>
        </w:tc>
        <w:tc>
          <w:tcPr>
            <w:tcW w:w="868" w:type="dxa"/>
            <w:tcBorders>
              <w:top w:val="nil"/>
              <w:left w:val="nil"/>
              <w:bottom w:val="nil"/>
              <w:right w:val="nil"/>
            </w:tcBorders>
            <w:shd w:val="clear" w:color="auto" w:fill="auto"/>
            <w:vAlign w:val="center"/>
          </w:tcPr>
          <w:p w14:paraId="511A94C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0.32</w:t>
            </w:r>
          </w:p>
        </w:tc>
        <w:tc>
          <w:tcPr>
            <w:tcW w:w="874" w:type="dxa"/>
            <w:tcBorders>
              <w:top w:val="nil"/>
              <w:left w:val="nil"/>
              <w:bottom w:val="nil"/>
              <w:right w:val="nil"/>
            </w:tcBorders>
            <w:shd w:val="clear" w:color="auto" w:fill="auto"/>
            <w:vAlign w:val="center"/>
          </w:tcPr>
          <w:p w14:paraId="03CB24B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0.49</w:t>
            </w:r>
          </w:p>
        </w:tc>
        <w:tc>
          <w:tcPr>
            <w:tcW w:w="868" w:type="dxa"/>
            <w:tcBorders>
              <w:top w:val="nil"/>
              <w:left w:val="nil"/>
              <w:bottom w:val="nil"/>
              <w:right w:val="nil"/>
            </w:tcBorders>
            <w:shd w:val="clear" w:color="auto" w:fill="auto"/>
            <w:vAlign w:val="center"/>
          </w:tcPr>
          <w:p w14:paraId="234C225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0.58</w:t>
            </w:r>
          </w:p>
        </w:tc>
        <w:tc>
          <w:tcPr>
            <w:tcW w:w="874" w:type="dxa"/>
            <w:tcBorders>
              <w:top w:val="nil"/>
              <w:left w:val="nil"/>
              <w:bottom w:val="nil"/>
              <w:right w:val="nil"/>
            </w:tcBorders>
            <w:shd w:val="clear" w:color="auto" w:fill="auto"/>
            <w:vAlign w:val="center"/>
          </w:tcPr>
          <w:p w14:paraId="3ACE8E1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0.81</w:t>
            </w:r>
          </w:p>
        </w:tc>
      </w:tr>
      <w:tr w:rsidR="00376689" w:rsidRPr="008A5C48" w14:paraId="5DA1AB5D" w14:textId="77777777" w:rsidTr="002A4F43">
        <w:trPr>
          <w:trHeight w:val="215"/>
          <w:jc w:val="center"/>
        </w:trPr>
        <w:tc>
          <w:tcPr>
            <w:tcW w:w="1778" w:type="dxa"/>
            <w:tcBorders>
              <w:top w:val="nil"/>
              <w:left w:val="nil"/>
              <w:bottom w:val="nil"/>
              <w:right w:val="nil"/>
            </w:tcBorders>
            <w:shd w:val="clear" w:color="auto" w:fill="auto"/>
            <w:vAlign w:val="center"/>
          </w:tcPr>
          <w:p w14:paraId="572307BC"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NDVI &lt; 100 m - school</w:t>
            </w:r>
          </w:p>
        </w:tc>
        <w:tc>
          <w:tcPr>
            <w:tcW w:w="1109" w:type="dxa"/>
            <w:tcBorders>
              <w:top w:val="nil"/>
              <w:left w:val="nil"/>
              <w:bottom w:val="nil"/>
              <w:right w:val="nil"/>
            </w:tcBorders>
            <w:shd w:val="clear" w:color="auto" w:fill="auto"/>
            <w:vAlign w:val="center"/>
          </w:tcPr>
          <w:p w14:paraId="75EC990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10B68FD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46B7C6F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1291 (99.2%)</w:t>
            </w:r>
          </w:p>
        </w:tc>
        <w:tc>
          <w:tcPr>
            <w:tcW w:w="568" w:type="dxa"/>
            <w:tcBorders>
              <w:top w:val="nil"/>
              <w:left w:val="nil"/>
              <w:bottom w:val="nil"/>
              <w:right w:val="nil"/>
            </w:tcBorders>
            <w:shd w:val="clear" w:color="auto" w:fill="auto"/>
            <w:vAlign w:val="center"/>
          </w:tcPr>
          <w:p w14:paraId="13582E7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w:t>
            </w:r>
          </w:p>
        </w:tc>
        <w:tc>
          <w:tcPr>
            <w:tcW w:w="868" w:type="dxa"/>
            <w:tcBorders>
              <w:top w:val="nil"/>
              <w:left w:val="nil"/>
              <w:bottom w:val="nil"/>
              <w:right w:val="nil"/>
            </w:tcBorders>
            <w:shd w:val="clear" w:color="auto" w:fill="auto"/>
            <w:vAlign w:val="center"/>
          </w:tcPr>
          <w:p w14:paraId="38FAA0E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0.31</w:t>
            </w:r>
          </w:p>
        </w:tc>
        <w:tc>
          <w:tcPr>
            <w:tcW w:w="874" w:type="dxa"/>
            <w:tcBorders>
              <w:top w:val="nil"/>
              <w:left w:val="nil"/>
              <w:bottom w:val="nil"/>
              <w:right w:val="nil"/>
            </w:tcBorders>
            <w:shd w:val="clear" w:color="auto" w:fill="auto"/>
            <w:vAlign w:val="center"/>
          </w:tcPr>
          <w:p w14:paraId="01FBC7C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0.45</w:t>
            </w:r>
          </w:p>
        </w:tc>
        <w:tc>
          <w:tcPr>
            <w:tcW w:w="868" w:type="dxa"/>
            <w:tcBorders>
              <w:top w:val="nil"/>
              <w:left w:val="nil"/>
              <w:bottom w:val="nil"/>
              <w:right w:val="nil"/>
            </w:tcBorders>
            <w:shd w:val="clear" w:color="auto" w:fill="auto"/>
            <w:vAlign w:val="center"/>
          </w:tcPr>
          <w:p w14:paraId="332C4C4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0.52</w:t>
            </w:r>
          </w:p>
        </w:tc>
        <w:tc>
          <w:tcPr>
            <w:tcW w:w="874" w:type="dxa"/>
            <w:tcBorders>
              <w:top w:val="nil"/>
              <w:left w:val="nil"/>
              <w:bottom w:val="nil"/>
              <w:right w:val="nil"/>
            </w:tcBorders>
            <w:shd w:val="clear" w:color="auto" w:fill="auto"/>
            <w:vAlign w:val="center"/>
          </w:tcPr>
          <w:p w14:paraId="4576121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0.76</w:t>
            </w:r>
          </w:p>
        </w:tc>
      </w:tr>
      <w:tr w:rsidR="00376689" w:rsidRPr="008A5C48" w14:paraId="7272CB9B" w14:textId="77777777" w:rsidTr="002A4F43">
        <w:trPr>
          <w:trHeight w:val="215"/>
          <w:jc w:val="center"/>
        </w:trPr>
        <w:tc>
          <w:tcPr>
            <w:tcW w:w="1778" w:type="dxa"/>
            <w:tcBorders>
              <w:top w:val="nil"/>
              <w:left w:val="nil"/>
              <w:bottom w:val="nil"/>
              <w:right w:val="nil"/>
            </w:tcBorders>
            <w:shd w:val="clear" w:color="auto" w:fill="auto"/>
            <w:vAlign w:val="center"/>
          </w:tcPr>
          <w:p w14:paraId="1E37FDE8"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Greenspace &lt; 300 m - home</w:t>
            </w:r>
          </w:p>
        </w:tc>
        <w:tc>
          <w:tcPr>
            <w:tcW w:w="1109" w:type="dxa"/>
            <w:tcBorders>
              <w:top w:val="nil"/>
              <w:left w:val="nil"/>
              <w:bottom w:val="nil"/>
              <w:right w:val="nil"/>
            </w:tcBorders>
            <w:shd w:val="clear" w:color="auto" w:fill="auto"/>
            <w:vAlign w:val="center"/>
          </w:tcPr>
          <w:p w14:paraId="65146F1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5BF5CB7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7F8AC04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1194 (91.8%)</w:t>
            </w:r>
          </w:p>
        </w:tc>
        <w:tc>
          <w:tcPr>
            <w:tcW w:w="568" w:type="dxa"/>
            <w:tcBorders>
              <w:top w:val="nil"/>
              <w:left w:val="nil"/>
              <w:bottom w:val="nil"/>
              <w:right w:val="nil"/>
            </w:tcBorders>
            <w:shd w:val="clear" w:color="auto" w:fill="auto"/>
            <w:vAlign w:val="center"/>
          </w:tcPr>
          <w:p w14:paraId="0900861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79%</w:t>
            </w:r>
          </w:p>
        </w:tc>
        <w:tc>
          <w:tcPr>
            <w:tcW w:w="3484" w:type="dxa"/>
            <w:gridSpan w:val="4"/>
            <w:tcBorders>
              <w:top w:val="nil"/>
              <w:left w:val="nil"/>
              <w:bottom w:val="nil"/>
              <w:right w:val="nil"/>
            </w:tcBorders>
            <w:shd w:val="clear" w:color="auto" w:fill="auto"/>
            <w:vAlign w:val="center"/>
          </w:tcPr>
          <w:p w14:paraId="74260AA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r>
      <w:tr w:rsidR="00376689" w:rsidRPr="008A5C48" w14:paraId="7BC7E9FD" w14:textId="77777777" w:rsidTr="002A4F43">
        <w:trPr>
          <w:trHeight w:val="215"/>
          <w:jc w:val="center"/>
        </w:trPr>
        <w:tc>
          <w:tcPr>
            <w:tcW w:w="1778" w:type="dxa"/>
            <w:tcBorders>
              <w:top w:val="nil"/>
              <w:left w:val="nil"/>
              <w:bottom w:val="nil"/>
              <w:right w:val="nil"/>
            </w:tcBorders>
            <w:shd w:val="clear" w:color="auto" w:fill="auto"/>
            <w:vAlign w:val="center"/>
          </w:tcPr>
          <w:p w14:paraId="38F9E2BC"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Greenspace &lt; 300 m - school</w:t>
            </w:r>
          </w:p>
        </w:tc>
        <w:tc>
          <w:tcPr>
            <w:tcW w:w="1109" w:type="dxa"/>
            <w:tcBorders>
              <w:top w:val="nil"/>
              <w:left w:val="nil"/>
              <w:bottom w:val="nil"/>
              <w:right w:val="nil"/>
            </w:tcBorders>
            <w:shd w:val="clear" w:color="auto" w:fill="auto"/>
            <w:vAlign w:val="center"/>
          </w:tcPr>
          <w:p w14:paraId="657C0FA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63714CD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0C9D9F6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1185 (91.1%)</w:t>
            </w:r>
          </w:p>
        </w:tc>
        <w:tc>
          <w:tcPr>
            <w:tcW w:w="568" w:type="dxa"/>
            <w:tcBorders>
              <w:top w:val="nil"/>
              <w:left w:val="nil"/>
              <w:bottom w:val="nil"/>
              <w:right w:val="nil"/>
            </w:tcBorders>
            <w:shd w:val="clear" w:color="auto" w:fill="auto"/>
            <w:vAlign w:val="center"/>
          </w:tcPr>
          <w:p w14:paraId="15F947A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78%</w:t>
            </w:r>
          </w:p>
        </w:tc>
        <w:tc>
          <w:tcPr>
            <w:tcW w:w="3484" w:type="dxa"/>
            <w:gridSpan w:val="4"/>
            <w:tcBorders>
              <w:top w:val="nil"/>
              <w:left w:val="nil"/>
              <w:bottom w:val="nil"/>
              <w:right w:val="nil"/>
            </w:tcBorders>
            <w:shd w:val="clear" w:color="auto" w:fill="auto"/>
            <w:vAlign w:val="center"/>
          </w:tcPr>
          <w:p w14:paraId="173F8B1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r>
      <w:tr w:rsidR="00376689" w:rsidRPr="008A5C48" w14:paraId="7CDF92B2" w14:textId="77777777" w:rsidTr="002A4F43">
        <w:trPr>
          <w:trHeight w:val="215"/>
          <w:jc w:val="center"/>
        </w:trPr>
        <w:tc>
          <w:tcPr>
            <w:tcW w:w="1778" w:type="dxa"/>
            <w:tcBorders>
              <w:top w:val="nil"/>
              <w:left w:val="nil"/>
              <w:bottom w:val="nil"/>
              <w:right w:val="nil"/>
            </w:tcBorders>
            <w:shd w:val="clear" w:color="auto" w:fill="auto"/>
            <w:vAlign w:val="center"/>
          </w:tcPr>
          <w:p w14:paraId="3F6879AF"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lastRenderedPageBreak/>
              <w:t>Bluespace &lt; 300 m - home</w:t>
            </w:r>
          </w:p>
        </w:tc>
        <w:tc>
          <w:tcPr>
            <w:tcW w:w="1109" w:type="dxa"/>
            <w:tcBorders>
              <w:top w:val="nil"/>
              <w:left w:val="nil"/>
              <w:bottom w:val="nil"/>
              <w:right w:val="nil"/>
            </w:tcBorders>
            <w:shd w:val="clear" w:color="auto" w:fill="auto"/>
            <w:vAlign w:val="center"/>
          </w:tcPr>
          <w:p w14:paraId="2611024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7590E6C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52F27F1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1194 (91.8%)</w:t>
            </w:r>
          </w:p>
        </w:tc>
        <w:tc>
          <w:tcPr>
            <w:tcW w:w="568" w:type="dxa"/>
            <w:tcBorders>
              <w:top w:val="nil"/>
              <w:left w:val="nil"/>
              <w:bottom w:val="nil"/>
              <w:right w:val="nil"/>
            </w:tcBorders>
            <w:shd w:val="clear" w:color="auto" w:fill="auto"/>
            <w:vAlign w:val="center"/>
          </w:tcPr>
          <w:p w14:paraId="3C01851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w:t>
            </w:r>
          </w:p>
        </w:tc>
        <w:tc>
          <w:tcPr>
            <w:tcW w:w="3484" w:type="dxa"/>
            <w:gridSpan w:val="4"/>
            <w:tcBorders>
              <w:top w:val="nil"/>
              <w:left w:val="nil"/>
              <w:bottom w:val="nil"/>
              <w:right w:val="nil"/>
            </w:tcBorders>
            <w:shd w:val="clear" w:color="auto" w:fill="auto"/>
            <w:vAlign w:val="center"/>
          </w:tcPr>
          <w:p w14:paraId="215CB6D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r>
      <w:tr w:rsidR="00376689" w:rsidRPr="008A5C48" w14:paraId="14057CCD" w14:textId="77777777" w:rsidTr="002A4F43">
        <w:trPr>
          <w:trHeight w:val="215"/>
          <w:jc w:val="center"/>
        </w:trPr>
        <w:tc>
          <w:tcPr>
            <w:tcW w:w="1778" w:type="dxa"/>
            <w:tcBorders>
              <w:top w:val="nil"/>
              <w:left w:val="nil"/>
              <w:bottom w:val="nil"/>
              <w:right w:val="nil"/>
            </w:tcBorders>
            <w:shd w:val="clear" w:color="auto" w:fill="auto"/>
            <w:vAlign w:val="center"/>
          </w:tcPr>
          <w:p w14:paraId="280BBE23"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Bluespace &lt; 300 m - school</w:t>
            </w:r>
          </w:p>
        </w:tc>
        <w:tc>
          <w:tcPr>
            <w:tcW w:w="1109" w:type="dxa"/>
            <w:tcBorders>
              <w:top w:val="nil"/>
              <w:left w:val="nil"/>
              <w:bottom w:val="nil"/>
              <w:right w:val="nil"/>
            </w:tcBorders>
            <w:shd w:val="clear" w:color="auto" w:fill="auto"/>
            <w:vAlign w:val="center"/>
          </w:tcPr>
          <w:p w14:paraId="658A07C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7B59269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2629A19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1185 (91.1%)</w:t>
            </w:r>
          </w:p>
        </w:tc>
        <w:tc>
          <w:tcPr>
            <w:tcW w:w="568" w:type="dxa"/>
            <w:tcBorders>
              <w:top w:val="nil"/>
              <w:left w:val="nil"/>
              <w:bottom w:val="nil"/>
              <w:right w:val="nil"/>
            </w:tcBorders>
            <w:shd w:val="clear" w:color="auto" w:fill="auto"/>
            <w:vAlign w:val="center"/>
          </w:tcPr>
          <w:p w14:paraId="262986C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w:t>
            </w:r>
          </w:p>
        </w:tc>
        <w:tc>
          <w:tcPr>
            <w:tcW w:w="3484" w:type="dxa"/>
            <w:gridSpan w:val="4"/>
            <w:tcBorders>
              <w:top w:val="nil"/>
              <w:left w:val="nil"/>
              <w:bottom w:val="nil"/>
              <w:right w:val="nil"/>
            </w:tcBorders>
            <w:shd w:val="clear" w:color="auto" w:fill="auto"/>
            <w:vAlign w:val="center"/>
          </w:tcPr>
          <w:p w14:paraId="2225825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r>
      <w:tr w:rsidR="00376689" w:rsidRPr="008A5C48" w14:paraId="2784F485" w14:textId="77777777" w:rsidTr="002A4F43">
        <w:trPr>
          <w:trHeight w:val="215"/>
          <w:jc w:val="center"/>
        </w:trPr>
        <w:tc>
          <w:tcPr>
            <w:tcW w:w="1778" w:type="dxa"/>
            <w:tcBorders>
              <w:top w:val="nil"/>
              <w:left w:val="nil"/>
              <w:bottom w:val="nil"/>
              <w:right w:val="nil"/>
            </w:tcBorders>
            <w:shd w:val="clear" w:color="auto" w:fill="auto"/>
            <w:vAlign w:val="center"/>
          </w:tcPr>
          <w:p w14:paraId="3191855D"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
        </w:tc>
        <w:tc>
          <w:tcPr>
            <w:tcW w:w="1109" w:type="dxa"/>
            <w:tcBorders>
              <w:top w:val="nil"/>
              <w:left w:val="nil"/>
              <w:bottom w:val="nil"/>
              <w:right w:val="nil"/>
            </w:tcBorders>
            <w:shd w:val="clear" w:color="auto" w:fill="auto"/>
            <w:vAlign w:val="center"/>
          </w:tcPr>
          <w:p w14:paraId="36B5FFC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7F232C1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223" w:type="dxa"/>
            <w:tcBorders>
              <w:top w:val="nil"/>
              <w:left w:val="nil"/>
              <w:bottom w:val="nil"/>
              <w:right w:val="nil"/>
            </w:tcBorders>
            <w:shd w:val="clear" w:color="auto" w:fill="auto"/>
            <w:vAlign w:val="center"/>
          </w:tcPr>
          <w:p w14:paraId="035F7FA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568" w:type="dxa"/>
            <w:tcBorders>
              <w:top w:val="nil"/>
              <w:left w:val="nil"/>
              <w:bottom w:val="nil"/>
              <w:right w:val="nil"/>
            </w:tcBorders>
            <w:shd w:val="clear" w:color="auto" w:fill="auto"/>
            <w:vAlign w:val="center"/>
          </w:tcPr>
          <w:p w14:paraId="01B0983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3484" w:type="dxa"/>
            <w:gridSpan w:val="4"/>
            <w:tcBorders>
              <w:top w:val="nil"/>
              <w:left w:val="nil"/>
              <w:bottom w:val="nil"/>
              <w:right w:val="nil"/>
            </w:tcBorders>
            <w:shd w:val="clear" w:color="auto" w:fill="auto"/>
            <w:vAlign w:val="center"/>
          </w:tcPr>
          <w:p w14:paraId="6ECC1D1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r>
      <w:tr w:rsidR="00376689" w:rsidRPr="008A5C48" w14:paraId="7E9ABCDC" w14:textId="77777777" w:rsidTr="002A4F43">
        <w:trPr>
          <w:trHeight w:val="215"/>
          <w:jc w:val="center"/>
        </w:trPr>
        <w:tc>
          <w:tcPr>
            <w:tcW w:w="1778" w:type="dxa"/>
            <w:tcBorders>
              <w:top w:val="nil"/>
              <w:left w:val="nil"/>
              <w:bottom w:val="nil"/>
              <w:right w:val="nil"/>
            </w:tcBorders>
            <w:shd w:val="clear" w:color="auto" w:fill="auto"/>
            <w:vAlign w:val="center"/>
          </w:tcPr>
          <w:p w14:paraId="32A551C8"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b/>
                <w:color w:val="000000"/>
                <w:sz w:val="20"/>
                <w:szCs w:val="20"/>
              </w:rPr>
              <w:t>Built environment</w:t>
            </w:r>
          </w:p>
        </w:tc>
        <w:tc>
          <w:tcPr>
            <w:tcW w:w="1109" w:type="dxa"/>
            <w:tcBorders>
              <w:top w:val="nil"/>
              <w:left w:val="nil"/>
              <w:bottom w:val="nil"/>
              <w:right w:val="nil"/>
            </w:tcBorders>
            <w:shd w:val="clear" w:color="auto" w:fill="auto"/>
            <w:vAlign w:val="center"/>
          </w:tcPr>
          <w:p w14:paraId="0B3F39B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139666C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223" w:type="dxa"/>
            <w:tcBorders>
              <w:top w:val="nil"/>
              <w:left w:val="nil"/>
              <w:bottom w:val="nil"/>
              <w:right w:val="nil"/>
            </w:tcBorders>
            <w:shd w:val="clear" w:color="auto" w:fill="auto"/>
            <w:vAlign w:val="center"/>
          </w:tcPr>
          <w:p w14:paraId="0BF1510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568" w:type="dxa"/>
            <w:tcBorders>
              <w:top w:val="nil"/>
              <w:left w:val="nil"/>
              <w:bottom w:val="nil"/>
              <w:right w:val="nil"/>
            </w:tcBorders>
            <w:shd w:val="clear" w:color="auto" w:fill="auto"/>
            <w:vAlign w:val="center"/>
          </w:tcPr>
          <w:p w14:paraId="43BD917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5A8276F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5A1AE1C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54549FC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4D8190B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r>
      <w:tr w:rsidR="00376689" w:rsidRPr="008A5C48" w14:paraId="7BD66968" w14:textId="77777777" w:rsidTr="002A4F43">
        <w:trPr>
          <w:trHeight w:val="215"/>
          <w:jc w:val="center"/>
        </w:trPr>
        <w:tc>
          <w:tcPr>
            <w:tcW w:w="1778" w:type="dxa"/>
            <w:tcBorders>
              <w:top w:val="nil"/>
              <w:left w:val="nil"/>
              <w:bottom w:val="nil"/>
              <w:right w:val="nil"/>
            </w:tcBorders>
            <w:shd w:val="clear" w:color="auto" w:fill="auto"/>
            <w:vAlign w:val="center"/>
          </w:tcPr>
          <w:p w14:paraId="114C3D16"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Population density - home</w:t>
            </w:r>
          </w:p>
        </w:tc>
        <w:tc>
          <w:tcPr>
            <w:tcW w:w="1109" w:type="dxa"/>
            <w:tcBorders>
              <w:top w:val="nil"/>
              <w:left w:val="nil"/>
              <w:bottom w:val="nil"/>
              <w:right w:val="nil"/>
            </w:tcBorders>
            <w:shd w:val="clear" w:color="auto" w:fill="auto"/>
            <w:vAlign w:val="center"/>
          </w:tcPr>
          <w:p w14:paraId="34D01D8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people/km2</w:t>
            </w:r>
          </w:p>
        </w:tc>
        <w:tc>
          <w:tcPr>
            <w:tcW w:w="1136" w:type="dxa"/>
            <w:tcBorders>
              <w:top w:val="nil"/>
              <w:left w:val="nil"/>
              <w:bottom w:val="nil"/>
              <w:right w:val="nil"/>
            </w:tcBorders>
            <w:shd w:val="clear" w:color="auto" w:fill="auto"/>
            <w:vAlign w:val="center"/>
          </w:tcPr>
          <w:p w14:paraId="2F09A82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2084870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1299 (99.8%)</w:t>
            </w:r>
          </w:p>
        </w:tc>
        <w:tc>
          <w:tcPr>
            <w:tcW w:w="568" w:type="dxa"/>
            <w:tcBorders>
              <w:top w:val="nil"/>
              <w:left w:val="nil"/>
              <w:bottom w:val="nil"/>
              <w:right w:val="nil"/>
            </w:tcBorders>
            <w:shd w:val="clear" w:color="auto" w:fill="auto"/>
            <w:vAlign w:val="center"/>
          </w:tcPr>
          <w:p w14:paraId="173E085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w:t>
            </w:r>
          </w:p>
        </w:tc>
        <w:tc>
          <w:tcPr>
            <w:tcW w:w="868" w:type="dxa"/>
            <w:tcBorders>
              <w:top w:val="nil"/>
              <w:left w:val="nil"/>
              <w:bottom w:val="nil"/>
              <w:right w:val="nil"/>
            </w:tcBorders>
            <w:shd w:val="clear" w:color="auto" w:fill="auto"/>
            <w:vAlign w:val="center"/>
          </w:tcPr>
          <w:p w14:paraId="41D2CCC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1 116</w:t>
            </w:r>
          </w:p>
        </w:tc>
        <w:tc>
          <w:tcPr>
            <w:tcW w:w="874" w:type="dxa"/>
            <w:tcBorders>
              <w:top w:val="nil"/>
              <w:left w:val="nil"/>
              <w:bottom w:val="nil"/>
              <w:right w:val="nil"/>
            </w:tcBorders>
            <w:shd w:val="clear" w:color="auto" w:fill="auto"/>
            <w:vAlign w:val="center"/>
          </w:tcPr>
          <w:p w14:paraId="4F0763C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4 570</w:t>
            </w:r>
          </w:p>
        </w:tc>
        <w:tc>
          <w:tcPr>
            <w:tcW w:w="868" w:type="dxa"/>
            <w:tcBorders>
              <w:top w:val="nil"/>
              <w:left w:val="nil"/>
              <w:bottom w:val="nil"/>
              <w:right w:val="nil"/>
            </w:tcBorders>
            <w:shd w:val="clear" w:color="auto" w:fill="auto"/>
            <w:vAlign w:val="center"/>
          </w:tcPr>
          <w:p w14:paraId="698AE56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7 225</w:t>
            </w:r>
          </w:p>
        </w:tc>
        <w:tc>
          <w:tcPr>
            <w:tcW w:w="874" w:type="dxa"/>
            <w:tcBorders>
              <w:top w:val="nil"/>
              <w:left w:val="nil"/>
              <w:bottom w:val="nil"/>
              <w:right w:val="nil"/>
            </w:tcBorders>
            <w:shd w:val="clear" w:color="auto" w:fill="auto"/>
            <w:vAlign w:val="center"/>
          </w:tcPr>
          <w:p w14:paraId="108FE87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68 382</w:t>
            </w:r>
          </w:p>
        </w:tc>
      </w:tr>
      <w:tr w:rsidR="00376689" w:rsidRPr="008A5C48" w14:paraId="52D3432E" w14:textId="77777777" w:rsidTr="002A4F43">
        <w:trPr>
          <w:trHeight w:val="215"/>
          <w:jc w:val="center"/>
        </w:trPr>
        <w:tc>
          <w:tcPr>
            <w:tcW w:w="1778" w:type="dxa"/>
            <w:tcBorders>
              <w:top w:val="nil"/>
              <w:left w:val="nil"/>
              <w:bottom w:val="nil"/>
              <w:right w:val="nil"/>
            </w:tcBorders>
            <w:shd w:val="clear" w:color="auto" w:fill="auto"/>
            <w:vAlign w:val="center"/>
          </w:tcPr>
          <w:p w14:paraId="6B96B9DB"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Population density - school</w:t>
            </w:r>
          </w:p>
        </w:tc>
        <w:tc>
          <w:tcPr>
            <w:tcW w:w="1109" w:type="dxa"/>
            <w:tcBorders>
              <w:top w:val="nil"/>
              <w:left w:val="nil"/>
              <w:bottom w:val="nil"/>
              <w:right w:val="nil"/>
            </w:tcBorders>
            <w:shd w:val="clear" w:color="auto" w:fill="auto"/>
            <w:vAlign w:val="center"/>
          </w:tcPr>
          <w:p w14:paraId="1065092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people/km2</w:t>
            </w:r>
          </w:p>
        </w:tc>
        <w:tc>
          <w:tcPr>
            <w:tcW w:w="1136" w:type="dxa"/>
            <w:tcBorders>
              <w:top w:val="nil"/>
              <w:left w:val="nil"/>
              <w:bottom w:val="nil"/>
              <w:right w:val="nil"/>
            </w:tcBorders>
            <w:shd w:val="clear" w:color="auto" w:fill="auto"/>
            <w:vAlign w:val="center"/>
          </w:tcPr>
          <w:p w14:paraId="0F1D347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6E71EF5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1293 (99.4%)</w:t>
            </w:r>
          </w:p>
        </w:tc>
        <w:tc>
          <w:tcPr>
            <w:tcW w:w="568" w:type="dxa"/>
            <w:tcBorders>
              <w:top w:val="nil"/>
              <w:left w:val="nil"/>
              <w:bottom w:val="nil"/>
              <w:right w:val="nil"/>
            </w:tcBorders>
            <w:shd w:val="clear" w:color="auto" w:fill="auto"/>
            <w:vAlign w:val="center"/>
          </w:tcPr>
          <w:p w14:paraId="23F825C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01CE84F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1 521</w:t>
            </w:r>
          </w:p>
        </w:tc>
        <w:tc>
          <w:tcPr>
            <w:tcW w:w="874" w:type="dxa"/>
            <w:tcBorders>
              <w:top w:val="nil"/>
              <w:left w:val="nil"/>
              <w:bottom w:val="nil"/>
              <w:right w:val="nil"/>
            </w:tcBorders>
            <w:shd w:val="clear" w:color="auto" w:fill="auto"/>
            <w:vAlign w:val="center"/>
          </w:tcPr>
          <w:p w14:paraId="6AD07FC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4 802</w:t>
            </w:r>
          </w:p>
        </w:tc>
        <w:tc>
          <w:tcPr>
            <w:tcW w:w="868" w:type="dxa"/>
            <w:tcBorders>
              <w:top w:val="nil"/>
              <w:left w:val="nil"/>
              <w:bottom w:val="nil"/>
              <w:right w:val="nil"/>
            </w:tcBorders>
            <w:shd w:val="clear" w:color="auto" w:fill="auto"/>
            <w:vAlign w:val="center"/>
          </w:tcPr>
          <w:p w14:paraId="5BC2D30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7 225</w:t>
            </w:r>
          </w:p>
        </w:tc>
        <w:tc>
          <w:tcPr>
            <w:tcW w:w="874" w:type="dxa"/>
            <w:tcBorders>
              <w:top w:val="nil"/>
              <w:left w:val="nil"/>
              <w:bottom w:val="nil"/>
              <w:right w:val="nil"/>
            </w:tcBorders>
            <w:shd w:val="clear" w:color="auto" w:fill="auto"/>
            <w:vAlign w:val="center"/>
          </w:tcPr>
          <w:p w14:paraId="5C26AD4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44 521</w:t>
            </w:r>
          </w:p>
        </w:tc>
      </w:tr>
      <w:tr w:rsidR="00376689" w:rsidRPr="008A5C48" w14:paraId="2E30F0EA" w14:textId="77777777" w:rsidTr="002A4F43">
        <w:trPr>
          <w:trHeight w:val="215"/>
          <w:jc w:val="center"/>
        </w:trPr>
        <w:tc>
          <w:tcPr>
            <w:tcW w:w="1778" w:type="dxa"/>
            <w:tcBorders>
              <w:top w:val="nil"/>
              <w:left w:val="nil"/>
              <w:bottom w:val="nil"/>
              <w:right w:val="nil"/>
            </w:tcBorders>
            <w:shd w:val="clear" w:color="auto" w:fill="auto"/>
            <w:vAlign w:val="center"/>
          </w:tcPr>
          <w:p w14:paraId="0DC51E3F"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Population density - home</w:t>
            </w:r>
          </w:p>
        </w:tc>
        <w:tc>
          <w:tcPr>
            <w:tcW w:w="1109" w:type="dxa"/>
            <w:tcBorders>
              <w:top w:val="nil"/>
              <w:left w:val="nil"/>
              <w:bottom w:val="nil"/>
              <w:right w:val="nil"/>
            </w:tcBorders>
            <w:shd w:val="clear" w:color="auto" w:fill="auto"/>
            <w:vAlign w:val="center"/>
          </w:tcPr>
          <w:p w14:paraId="5E2604E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built/km2</w:t>
            </w:r>
          </w:p>
        </w:tc>
        <w:tc>
          <w:tcPr>
            <w:tcW w:w="1136" w:type="dxa"/>
            <w:tcBorders>
              <w:top w:val="nil"/>
              <w:left w:val="nil"/>
              <w:bottom w:val="nil"/>
              <w:right w:val="nil"/>
            </w:tcBorders>
            <w:shd w:val="clear" w:color="auto" w:fill="auto"/>
            <w:vAlign w:val="center"/>
          </w:tcPr>
          <w:p w14:paraId="73968CE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71A826D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1157 (88.9%)</w:t>
            </w:r>
          </w:p>
        </w:tc>
        <w:tc>
          <w:tcPr>
            <w:tcW w:w="568" w:type="dxa"/>
            <w:tcBorders>
              <w:top w:val="nil"/>
              <w:left w:val="nil"/>
              <w:bottom w:val="nil"/>
              <w:right w:val="nil"/>
            </w:tcBorders>
            <w:shd w:val="clear" w:color="auto" w:fill="auto"/>
            <w:vAlign w:val="center"/>
          </w:tcPr>
          <w:p w14:paraId="5AE8389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412</w:t>
            </w:r>
          </w:p>
        </w:tc>
        <w:tc>
          <w:tcPr>
            <w:tcW w:w="868" w:type="dxa"/>
            <w:tcBorders>
              <w:top w:val="nil"/>
              <w:left w:val="nil"/>
              <w:bottom w:val="nil"/>
              <w:right w:val="nil"/>
            </w:tcBorders>
            <w:shd w:val="clear" w:color="auto" w:fill="auto"/>
            <w:vAlign w:val="center"/>
          </w:tcPr>
          <w:p w14:paraId="19D0C5C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86 201</w:t>
            </w:r>
          </w:p>
        </w:tc>
        <w:tc>
          <w:tcPr>
            <w:tcW w:w="874" w:type="dxa"/>
            <w:tcBorders>
              <w:top w:val="nil"/>
              <w:left w:val="nil"/>
              <w:bottom w:val="nil"/>
              <w:right w:val="nil"/>
            </w:tcBorders>
            <w:shd w:val="clear" w:color="auto" w:fill="auto"/>
            <w:vAlign w:val="center"/>
          </w:tcPr>
          <w:p w14:paraId="793FA4C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144 476</w:t>
            </w:r>
          </w:p>
        </w:tc>
        <w:tc>
          <w:tcPr>
            <w:tcW w:w="868" w:type="dxa"/>
            <w:tcBorders>
              <w:top w:val="nil"/>
              <w:left w:val="nil"/>
              <w:bottom w:val="nil"/>
              <w:right w:val="nil"/>
            </w:tcBorders>
            <w:shd w:val="clear" w:color="auto" w:fill="auto"/>
            <w:vAlign w:val="center"/>
          </w:tcPr>
          <w:p w14:paraId="19A239F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228 962</w:t>
            </w:r>
          </w:p>
        </w:tc>
        <w:tc>
          <w:tcPr>
            <w:tcW w:w="874" w:type="dxa"/>
            <w:tcBorders>
              <w:top w:val="nil"/>
              <w:left w:val="nil"/>
              <w:bottom w:val="nil"/>
              <w:right w:val="nil"/>
            </w:tcBorders>
            <w:shd w:val="clear" w:color="auto" w:fill="auto"/>
            <w:vAlign w:val="center"/>
          </w:tcPr>
          <w:p w14:paraId="7F95BAE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649 314</w:t>
            </w:r>
          </w:p>
        </w:tc>
      </w:tr>
      <w:tr w:rsidR="00376689" w:rsidRPr="008A5C48" w14:paraId="4692096E" w14:textId="77777777" w:rsidTr="002A4F43">
        <w:trPr>
          <w:trHeight w:val="215"/>
          <w:jc w:val="center"/>
        </w:trPr>
        <w:tc>
          <w:tcPr>
            <w:tcW w:w="1778" w:type="dxa"/>
            <w:tcBorders>
              <w:top w:val="nil"/>
              <w:left w:val="nil"/>
              <w:bottom w:val="nil"/>
              <w:right w:val="nil"/>
            </w:tcBorders>
            <w:shd w:val="clear" w:color="auto" w:fill="auto"/>
            <w:vAlign w:val="center"/>
          </w:tcPr>
          <w:p w14:paraId="2696FA2E"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Population density - school</w:t>
            </w:r>
          </w:p>
        </w:tc>
        <w:tc>
          <w:tcPr>
            <w:tcW w:w="1109" w:type="dxa"/>
            <w:tcBorders>
              <w:top w:val="nil"/>
              <w:left w:val="nil"/>
              <w:bottom w:val="nil"/>
              <w:right w:val="nil"/>
            </w:tcBorders>
            <w:shd w:val="clear" w:color="auto" w:fill="auto"/>
            <w:vAlign w:val="center"/>
          </w:tcPr>
          <w:p w14:paraId="090880E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built/km2</w:t>
            </w:r>
          </w:p>
        </w:tc>
        <w:tc>
          <w:tcPr>
            <w:tcW w:w="1136" w:type="dxa"/>
            <w:tcBorders>
              <w:top w:val="nil"/>
              <w:left w:val="nil"/>
              <w:bottom w:val="nil"/>
              <w:right w:val="nil"/>
            </w:tcBorders>
            <w:shd w:val="clear" w:color="auto" w:fill="auto"/>
            <w:vAlign w:val="center"/>
          </w:tcPr>
          <w:p w14:paraId="26457DE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52FCB16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1185 (91.1%)</w:t>
            </w:r>
          </w:p>
        </w:tc>
        <w:tc>
          <w:tcPr>
            <w:tcW w:w="568" w:type="dxa"/>
            <w:tcBorders>
              <w:top w:val="nil"/>
              <w:left w:val="nil"/>
              <w:bottom w:val="nil"/>
              <w:right w:val="nil"/>
            </w:tcBorders>
            <w:shd w:val="clear" w:color="auto" w:fill="auto"/>
            <w:vAlign w:val="center"/>
          </w:tcPr>
          <w:p w14:paraId="432FBBF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41</w:t>
            </w:r>
          </w:p>
        </w:tc>
        <w:tc>
          <w:tcPr>
            <w:tcW w:w="868" w:type="dxa"/>
            <w:tcBorders>
              <w:top w:val="nil"/>
              <w:left w:val="nil"/>
              <w:bottom w:val="nil"/>
              <w:right w:val="nil"/>
            </w:tcBorders>
            <w:shd w:val="clear" w:color="auto" w:fill="auto"/>
            <w:vAlign w:val="center"/>
          </w:tcPr>
          <w:p w14:paraId="194B38B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106 146</w:t>
            </w:r>
          </w:p>
        </w:tc>
        <w:tc>
          <w:tcPr>
            <w:tcW w:w="874" w:type="dxa"/>
            <w:tcBorders>
              <w:top w:val="nil"/>
              <w:left w:val="nil"/>
              <w:bottom w:val="nil"/>
              <w:right w:val="nil"/>
            </w:tcBorders>
            <w:shd w:val="clear" w:color="auto" w:fill="auto"/>
            <w:vAlign w:val="center"/>
          </w:tcPr>
          <w:p w14:paraId="75CAB41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152 022</w:t>
            </w:r>
          </w:p>
        </w:tc>
        <w:tc>
          <w:tcPr>
            <w:tcW w:w="868" w:type="dxa"/>
            <w:tcBorders>
              <w:top w:val="nil"/>
              <w:left w:val="nil"/>
              <w:bottom w:val="nil"/>
              <w:right w:val="nil"/>
            </w:tcBorders>
            <w:shd w:val="clear" w:color="auto" w:fill="auto"/>
            <w:vAlign w:val="center"/>
          </w:tcPr>
          <w:p w14:paraId="7C6BD5B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230 112</w:t>
            </w:r>
          </w:p>
        </w:tc>
        <w:tc>
          <w:tcPr>
            <w:tcW w:w="874" w:type="dxa"/>
            <w:tcBorders>
              <w:top w:val="nil"/>
              <w:left w:val="nil"/>
              <w:bottom w:val="nil"/>
              <w:right w:val="nil"/>
            </w:tcBorders>
            <w:shd w:val="clear" w:color="auto" w:fill="auto"/>
            <w:vAlign w:val="center"/>
          </w:tcPr>
          <w:p w14:paraId="4FF35F0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648 186</w:t>
            </w:r>
          </w:p>
        </w:tc>
      </w:tr>
      <w:tr w:rsidR="00376689" w:rsidRPr="008A5C48" w14:paraId="6D52D9A1" w14:textId="77777777" w:rsidTr="002A4F43">
        <w:trPr>
          <w:trHeight w:val="215"/>
          <w:jc w:val="center"/>
        </w:trPr>
        <w:tc>
          <w:tcPr>
            <w:tcW w:w="1778" w:type="dxa"/>
            <w:tcBorders>
              <w:top w:val="nil"/>
              <w:left w:val="nil"/>
              <w:bottom w:val="nil"/>
              <w:right w:val="nil"/>
            </w:tcBorders>
            <w:shd w:val="clear" w:color="auto" w:fill="auto"/>
            <w:vAlign w:val="center"/>
          </w:tcPr>
          <w:p w14:paraId="6B809208"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Connectivity density - home</w:t>
            </w:r>
          </w:p>
        </w:tc>
        <w:tc>
          <w:tcPr>
            <w:tcW w:w="1109" w:type="dxa"/>
            <w:vMerge w:val="restart"/>
            <w:tcBorders>
              <w:top w:val="nil"/>
              <w:left w:val="nil"/>
              <w:bottom w:val="nil"/>
              <w:right w:val="nil"/>
            </w:tcBorders>
            <w:shd w:val="clear" w:color="auto" w:fill="auto"/>
            <w:vAlign w:val="center"/>
          </w:tcPr>
          <w:p w14:paraId="3E6F2B4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intersect/km2</w:t>
            </w:r>
          </w:p>
        </w:tc>
        <w:tc>
          <w:tcPr>
            <w:tcW w:w="1136" w:type="dxa"/>
            <w:tcBorders>
              <w:top w:val="nil"/>
              <w:left w:val="nil"/>
              <w:bottom w:val="nil"/>
              <w:right w:val="nil"/>
            </w:tcBorders>
            <w:shd w:val="clear" w:color="auto" w:fill="auto"/>
            <w:vAlign w:val="center"/>
          </w:tcPr>
          <w:p w14:paraId="49DC0BB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19B9A1C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1162 (89.3%)</w:t>
            </w:r>
          </w:p>
        </w:tc>
        <w:tc>
          <w:tcPr>
            <w:tcW w:w="568" w:type="dxa"/>
            <w:tcBorders>
              <w:top w:val="nil"/>
              <w:left w:val="nil"/>
              <w:bottom w:val="nil"/>
              <w:right w:val="nil"/>
            </w:tcBorders>
            <w:shd w:val="clear" w:color="auto" w:fill="auto"/>
            <w:vAlign w:val="center"/>
          </w:tcPr>
          <w:p w14:paraId="017F26C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74</w:t>
            </w:r>
          </w:p>
        </w:tc>
        <w:tc>
          <w:tcPr>
            <w:tcW w:w="868" w:type="dxa"/>
            <w:tcBorders>
              <w:top w:val="nil"/>
              <w:left w:val="nil"/>
              <w:bottom w:val="nil"/>
              <w:right w:val="nil"/>
            </w:tcBorders>
            <w:shd w:val="clear" w:color="auto" w:fill="auto"/>
            <w:vAlign w:val="center"/>
          </w:tcPr>
          <w:p w14:paraId="05FF8CF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143</w:t>
            </w:r>
          </w:p>
        </w:tc>
        <w:tc>
          <w:tcPr>
            <w:tcW w:w="874" w:type="dxa"/>
            <w:tcBorders>
              <w:top w:val="nil"/>
              <w:left w:val="nil"/>
              <w:bottom w:val="nil"/>
              <w:right w:val="nil"/>
            </w:tcBorders>
            <w:shd w:val="clear" w:color="auto" w:fill="auto"/>
            <w:vAlign w:val="center"/>
          </w:tcPr>
          <w:p w14:paraId="37CEBB9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213</w:t>
            </w:r>
          </w:p>
        </w:tc>
        <w:tc>
          <w:tcPr>
            <w:tcW w:w="868" w:type="dxa"/>
            <w:tcBorders>
              <w:top w:val="nil"/>
              <w:left w:val="nil"/>
              <w:bottom w:val="nil"/>
              <w:right w:val="nil"/>
            </w:tcBorders>
            <w:shd w:val="clear" w:color="auto" w:fill="auto"/>
            <w:vAlign w:val="center"/>
          </w:tcPr>
          <w:p w14:paraId="10FE69A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293</w:t>
            </w:r>
          </w:p>
        </w:tc>
        <w:tc>
          <w:tcPr>
            <w:tcW w:w="874" w:type="dxa"/>
            <w:tcBorders>
              <w:top w:val="nil"/>
              <w:left w:val="nil"/>
              <w:bottom w:val="nil"/>
              <w:right w:val="nil"/>
            </w:tcBorders>
            <w:shd w:val="clear" w:color="auto" w:fill="auto"/>
            <w:vAlign w:val="center"/>
          </w:tcPr>
          <w:p w14:paraId="0B26DF5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821</w:t>
            </w:r>
          </w:p>
        </w:tc>
      </w:tr>
      <w:tr w:rsidR="00376689" w:rsidRPr="008A5C48" w14:paraId="1F227758" w14:textId="77777777" w:rsidTr="002A4F43">
        <w:trPr>
          <w:trHeight w:val="215"/>
          <w:jc w:val="center"/>
        </w:trPr>
        <w:tc>
          <w:tcPr>
            <w:tcW w:w="1778" w:type="dxa"/>
            <w:tcBorders>
              <w:top w:val="nil"/>
              <w:left w:val="nil"/>
              <w:bottom w:val="nil"/>
              <w:right w:val="nil"/>
            </w:tcBorders>
            <w:shd w:val="clear" w:color="auto" w:fill="auto"/>
            <w:vAlign w:val="center"/>
          </w:tcPr>
          <w:p w14:paraId="1E73EB34"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Connectivity density - school</w:t>
            </w:r>
          </w:p>
        </w:tc>
        <w:tc>
          <w:tcPr>
            <w:tcW w:w="1109" w:type="dxa"/>
            <w:vMerge/>
            <w:tcBorders>
              <w:top w:val="nil"/>
              <w:left w:val="nil"/>
              <w:bottom w:val="nil"/>
              <w:right w:val="nil"/>
            </w:tcBorders>
            <w:shd w:val="clear" w:color="auto" w:fill="auto"/>
            <w:vAlign w:val="center"/>
          </w:tcPr>
          <w:p w14:paraId="6012EB27" w14:textId="77777777" w:rsidR="00376689" w:rsidRPr="008A5C48" w:rsidRDefault="00376689"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50D4190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73D0DD8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1179 (90.6%)</w:t>
            </w:r>
          </w:p>
        </w:tc>
        <w:tc>
          <w:tcPr>
            <w:tcW w:w="568" w:type="dxa"/>
            <w:tcBorders>
              <w:top w:val="nil"/>
              <w:left w:val="nil"/>
              <w:bottom w:val="nil"/>
              <w:right w:val="nil"/>
            </w:tcBorders>
            <w:shd w:val="clear" w:color="auto" w:fill="auto"/>
            <w:vAlign w:val="center"/>
          </w:tcPr>
          <w:p w14:paraId="2ED0A3B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89</w:t>
            </w:r>
          </w:p>
        </w:tc>
        <w:tc>
          <w:tcPr>
            <w:tcW w:w="868" w:type="dxa"/>
            <w:tcBorders>
              <w:top w:val="nil"/>
              <w:left w:val="nil"/>
              <w:bottom w:val="nil"/>
              <w:right w:val="nil"/>
            </w:tcBorders>
            <w:shd w:val="clear" w:color="auto" w:fill="auto"/>
            <w:vAlign w:val="center"/>
          </w:tcPr>
          <w:p w14:paraId="1526A65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171</w:t>
            </w:r>
          </w:p>
        </w:tc>
        <w:tc>
          <w:tcPr>
            <w:tcW w:w="874" w:type="dxa"/>
            <w:tcBorders>
              <w:top w:val="nil"/>
              <w:left w:val="nil"/>
              <w:bottom w:val="nil"/>
              <w:right w:val="nil"/>
            </w:tcBorders>
            <w:shd w:val="clear" w:color="auto" w:fill="auto"/>
            <w:vAlign w:val="center"/>
          </w:tcPr>
          <w:p w14:paraId="06C803D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230</w:t>
            </w:r>
          </w:p>
        </w:tc>
        <w:tc>
          <w:tcPr>
            <w:tcW w:w="868" w:type="dxa"/>
            <w:tcBorders>
              <w:top w:val="nil"/>
              <w:left w:val="nil"/>
              <w:bottom w:val="nil"/>
              <w:right w:val="nil"/>
            </w:tcBorders>
            <w:shd w:val="clear" w:color="auto" w:fill="auto"/>
            <w:vAlign w:val="center"/>
          </w:tcPr>
          <w:p w14:paraId="424722D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302</w:t>
            </w:r>
          </w:p>
        </w:tc>
        <w:tc>
          <w:tcPr>
            <w:tcW w:w="874" w:type="dxa"/>
            <w:tcBorders>
              <w:top w:val="nil"/>
              <w:left w:val="nil"/>
              <w:bottom w:val="nil"/>
              <w:right w:val="nil"/>
            </w:tcBorders>
            <w:shd w:val="clear" w:color="auto" w:fill="auto"/>
            <w:vAlign w:val="center"/>
          </w:tcPr>
          <w:p w14:paraId="3E10A1F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804</w:t>
            </w:r>
          </w:p>
        </w:tc>
      </w:tr>
      <w:tr w:rsidR="00376689" w:rsidRPr="008A5C48" w14:paraId="2F688914" w14:textId="77777777" w:rsidTr="002A4F43">
        <w:trPr>
          <w:trHeight w:val="215"/>
          <w:jc w:val="center"/>
        </w:trPr>
        <w:tc>
          <w:tcPr>
            <w:tcW w:w="1778" w:type="dxa"/>
            <w:tcBorders>
              <w:top w:val="nil"/>
              <w:left w:val="nil"/>
              <w:bottom w:val="nil"/>
              <w:right w:val="nil"/>
            </w:tcBorders>
            <w:shd w:val="clear" w:color="auto" w:fill="auto"/>
            <w:vAlign w:val="center"/>
          </w:tcPr>
          <w:p w14:paraId="0849330E"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BST stop density - home</w:t>
            </w:r>
          </w:p>
        </w:tc>
        <w:tc>
          <w:tcPr>
            <w:tcW w:w="1109" w:type="dxa"/>
            <w:tcBorders>
              <w:top w:val="nil"/>
              <w:left w:val="nil"/>
              <w:bottom w:val="nil"/>
              <w:right w:val="nil"/>
            </w:tcBorders>
            <w:shd w:val="clear" w:color="auto" w:fill="auto"/>
            <w:vAlign w:val="center"/>
          </w:tcPr>
          <w:p w14:paraId="7B38498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n/km2</w:t>
            </w:r>
          </w:p>
        </w:tc>
        <w:tc>
          <w:tcPr>
            <w:tcW w:w="1136" w:type="dxa"/>
            <w:tcBorders>
              <w:top w:val="nil"/>
              <w:left w:val="nil"/>
              <w:bottom w:val="nil"/>
              <w:right w:val="nil"/>
            </w:tcBorders>
            <w:shd w:val="clear" w:color="auto" w:fill="auto"/>
            <w:vAlign w:val="center"/>
          </w:tcPr>
          <w:p w14:paraId="39695E5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1A540B9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1131 (86.9%)</w:t>
            </w:r>
          </w:p>
        </w:tc>
        <w:tc>
          <w:tcPr>
            <w:tcW w:w="568" w:type="dxa"/>
            <w:tcBorders>
              <w:top w:val="nil"/>
              <w:left w:val="nil"/>
              <w:bottom w:val="nil"/>
              <w:right w:val="nil"/>
            </w:tcBorders>
            <w:shd w:val="clear" w:color="auto" w:fill="auto"/>
            <w:vAlign w:val="center"/>
          </w:tcPr>
          <w:p w14:paraId="254D623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w:t>
            </w:r>
          </w:p>
        </w:tc>
        <w:tc>
          <w:tcPr>
            <w:tcW w:w="868" w:type="dxa"/>
            <w:tcBorders>
              <w:top w:val="nil"/>
              <w:left w:val="nil"/>
              <w:bottom w:val="nil"/>
              <w:right w:val="nil"/>
            </w:tcBorders>
            <w:shd w:val="clear" w:color="auto" w:fill="auto"/>
            <w:vAlign w:val="center"/>
          </w:tcPr>
          <w:p w14:paraId="24BEBBD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w:t>
            </w:r>
          </w:p>
        </w:tc>
        <w:tc>
          <w:tcPr>
            <w:tcW w:w="874" w:type="dxa"/>
            <w:tcBorders>
              <w:top w:val="nil"/>
              <w:left w:val="nil"/>
              <w:bottom w:val="nil"/>
              <w:right w:val="nil"/>
            </w:tcBorders>
            <w:shd w:val="clear" w:color="auto" w:fill="auto"/>
            <w:vAlign w:val="center"/>
          </w:tcPr>
          <w:p w14:paraId="44380BD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14</w:t>
            </w:r>
          </w:p>
        </w:tc>
        <w:tc>
          <w:tcPr>
            <w:tcW w:w="868" w:type="dxa"/>
            <w:tcBorders>
              <w:top w:val="nil"/>
              <w:left w:val="nil"/>
              <w:bottom w:val="nil"/>
              <w:right w:val="nil"/>
            </w:tcBorders>
            <w:shd w:val="clear" w:color="auto" w:fill="auto"/>
            <w:vAlign w:val="center"/>
          </w:tcPr>
          <w:p w14:paraId="352B9C9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25</w:t>
            </w:r>
          </w:p>
        </w:tc>
        <w:tc>
          <w:tcPr>
            <w:tcW w:w="874" w:type="dxa"/>
            <w:tcBorders>
              <w:top w:val="nil"/>
              <w:left w:val="nil"/>
              <w:bottom w:val="nil"/>
              <w:right w:val="nil"/>
            </w:tcBorders>
            <w:shd w:val="clear" w:color="auto" w:fill="auto"/>
            <w:vAlign w:val="center"/>
          </w:tcPr>
          <w:p w14:paraId="6523F48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107</w:t>
            </w:r>
          </w:p>
        </w:tc>
      </w:tr>
      <w:tr w:rsidR="00376689" w:rsidRPr="008A5C48" w14:paraId="584DD39D" w14:textId="77777777" w:rsidTr="002A4F43">
        <w:trPr>
          <w:trHeight w:val="215"/>
          <w:jc w:val="center"/>
        </w:trPr>
        <w:tc>
          <w:tcPr>
            <w:tcW w:w="1778" w:type="dxa"/>
            <w:tcBorders>
              <w:top w:val="nil"/>
              <w:left w:val="nil"/>
              <w:bottom w:val="nil"/>
              <w:right w:val="nil"/>
            </w:tcBorders>
            <w:shd w:val="clear" w:color="auto" w:fill="auto"/>
            <w:vAlign w:val="center"/>
          </w:tcPr>
          <w:p w14:paraId="585F9A48"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BST stop density - school</w:t>
            </w:r>
          </w:p>
        </w:tc>
        <w:tc>
          <w:tcPr>
            <w:tcW w:w="1109" w:type="dxa"/>
            <w:tcBorders>
              <w:top w:val="nil"/>
              <w:left w:val="nil"/>
              <w:bottom w:val="nil"/>
              <w:right w:val="nil"/>
            </w:tcBorders>
            <w:shd w:val="clear" w:color="auto" w:fill="auto"/>
            <w:vAlign w:val="center"/>
          </w:tcPr>
          <w:p w14:paraId="66AEAA1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n/km2</w:t>
            </w:r>
          </w:p>
        </w:tc>
        <w:tc>
          <w:tcPr>
            <w:tcW w:w="1136" w:type="dxa"/>
            <w:tcBorders>
              <w:top w:val="nil"/>
              <w:left w:val="nil"/>
              <w:bottom w:val="nil"/>
              <w:right w:val="nil"/>
            </w:tcBorders>
            <w:shd w:val="clear" w:color="auto" w:fill="auto"/>
            <w:vAlign w:val="center"/>
          </w:tcPr>
          <w:p w14:paraId="55BF86A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2F9D6FC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1123 (86.3%)</w:t>
            </w:r>
          </w:p>
        </w:tc>
        <w:tc>
          <w:tcPr>
            <w:tcW w:w="568" w:type="dxa"/>
            <w:tcBorders>
              <w:top w:val="nil"/>
              <w:left w:val="nil"/>
              <w:bottom w:val="nil"/>
              <w:right w:val="nil"/>
            </w:tcBorders>
            <w:shd w:val="clear" w:color="auto" w:fill="auto"/>
            <w:vAlign w:val="center"/>
          </w:tcPr>
          <w:p w14:paraId="45D657E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w:t>
            </w:r>
          </w:p>
        </w:tc>
        <w:tc>
          <w:tcPr>
            <w:tcW w:w="868" w:type="dxa"/>
            <w:tcBorders>
              <w:top w:val="nil"/>
              <w:left w:val="nil"/>
              <w:bottom w:val="nil"/>
              <w:right w:val="nil"/>
            </w:tcBorders>
            <w:shd w:val="clear" w:color="auto" w:fill="auto"/>
            <w:vAlign w:val="center"/>
          </w:tcPr>
          <w:p w14:paraId="4AF7D3C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w:t>
            </w:r>
          </w:p>
        </w:tc>
        <w:tc>
          <w:tcPr>
            <w:tcW w:w="874" w:type="dxa"/>
            <w:tcBorders>
              <w:top w:val="nil"/>
              <w:left w:val="nil"/>
              <w:bottom w:val="nil"/>
              <w:right w:val="nil"/>
            </w:tcBorders>
            <w:shd w:val="clear" w:color="auto" w:fill="auto"/>
            <w:vAlign w:val="center"/>
          </w:tcPr>
          <w:p w14:paraId="2084210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14</w:t>
            </w:r>
          </w:p>
        </w:tc>
        <w:tc>
          <w:tcPr>
            <w:tcW w:w="868" w:type="dxa"/>
            <w:tcBorders>
              <w:top w:val="nil"/>
              <w:left w:val="nil"/>
              <w:bottom w:val="nil"/>
              <w:right w:val="nil"/>
            </w:tcBorders>
            <w:shd w:val="clear" w:color="auto" w:fill="auto"/>
            <w:vAlign w:val="center"/>
          </w:tcPr>
          <w:p w14:paraId="07F3078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21</w:t>
            </w:r>
          </w:p>
        </w:tc>
        <w:tc>
          <w:tcPr>
            <w:tcW w:w="874" w:type="dxa"/>
            <w:tcBorders>
              <w:top w:val="nil"/>
              <w:left w:val="nil"/>
              <w:bottom w:val="nil"/>
              <w:right w:val="nil"/>
            </w:tcBorders>
            <w:shd w:val="clear" w:color="auto" w:fill="auto"/>
            <w:vAlign w:val="center"/>
          </w:tcPr>
          <w:p w14:paraId="117533B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60</w:t>
            </w:r>
          </w:p>
        </w:tc>
      </w:tr>
      <w:tr w:rsidR="00376689" w:rsidRPr="008A5C48" w14:paraId="1A60CEF8" w14:textId="77777777" w:rsidTr="002A4F43">
        <w:trPr>
          <w:trHeight w:val="215"/>
          <w:jc w:val="center"/>
        </w:trPr>
        <w:tc>
          <w:tcPr>
            <w:tcW w:w="1778" w:type="dxa"/>
            <w:tcBorders>
              <w:top w:val="nil"/>
              <w:left w:val="nil"/>
              <w:bottom w:val="nil"/>
              <w:right w:val="nil"/>
            </w:tcBorders>
            <w:shd w:val="clear" w:color="auto" w:fill="auto"/>
            <w:vAlign w:val="center"/>
          </w:tcPr>
          <w:p w14:paraId="3CBC0999"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Facility richness - home</w:t>
            </w:r>
          </w:p>
        </w:tc>
        <w:tc>
          <w:tcPr>
            <w:tcW w:w="1109" w:type="dxa"/>
            <w:tcBorders>
              <w:top w:val="nil"/>
              <w:left w:val="nil"/>
              <w:bottom w:val="nil"/>
              <w:right w:val="nil"/>
            </w:tcBorders>
            <w:shd w:val="clear" w:color="auto" w:fill="auto"/>
            <w:vAlign w:val="center"/>
          </w:tcPr>
          <w:p w14:paraId="14C90B1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7FBA9F3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357B97A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1299 (99.8%)</w:t>
            </w:r>
          </w:p>
        </w:tc>
        <w:tc>
          <w:tcPr>
            <w:tcW w:w="568" w:type="dxa"/>
            <w:tcBorders>
              <w:top w:val="nil"/>
              <w:left w:val="nil"/>
              <w:bottom w:val="nil"/>
              <w:right w:val="nil"/>
            </w:tcBorders>
            <w:shd w:val="clear" w:color="auto" w:fill="auto"/>
            <w:vAlign w:val="center"/>
          </w:tcPr>
          <w:p w14:paraId="6175362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68AAA21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74" w:type="dxa"/>
            <w:tcBorders>
              <w:top w:val="nil"/>
              <w:left w:val="nil"/>
              <w:bottom w:val="nil"/>
              <w:right w:val="nil"/>
            </w:tcBorders>
            <w:shd w:val="clear" w:color="auto" w:fill="auto"/>
            <w:vAlign w:val="center"/>
          </w:tcPr>
          <w:p w14:paraId="75197A9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0.04</w:t>
            </w:r>
          </w:p>
        </w:tc>
        <w:tc>
          <w:tcPr>
            <w:tcW w:w="868" w:type="dxa"/>
            <w:tcBorders>
              <w:top w:val="nil"/>
              <w:left w:val="nil"/>
              <w:bottom w:val="nil"/>
              <w:right w:val="nil"/>
            </w:tcBorders>
            <w:shd w:val="clear" w:color="auto" w:fill="auto"/>
            <w:vAlign w:val="center"/>
          </w:tcPr>
          <w:p w14:paraId="6D7FCC3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0.11</w:t>
            </w:r>
          </w:p>
        </w:tc>
        <w:tc>
          <w:tcPr>
            <w:tcW w:w="874" w:type="dxa"/>
            <w:tcBorders>
              <w:top w:val="nil"/>
              <w:left w:val="nil"/>
              <w:bottom w:val="nil"/>
              <w:right w:val="nil"/>
            </w:tcBorders>
            <w:shd w:val="clear" w:color="auto" w:fill="auto"/>
            <w:vAlign w:val="center"/>
          </w:tcPr>
          <w:p w14:paraId="5ACA350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0.33</w:t>
            </w:r>
          </w:p>
        </w:tc>
      </w:tr>
      <w:tr w:rsidR="00376689" w:rsidRPr="008A5C48" w14:paraId="1A5AE224" w14:textId="77777777" w:rsidTr="002A4F43">
        <w:trPr>
          <w:trHeight w:val="215"/>
          <w:jc w:val="center"/>
        </w:trPr>
        <w:tc>
          <w:tcPr>
            <w:tcW w:w="1778" w:type="dxa"/>
            <w:tcBorders>
              <w:top w:val="nil"/>
              <w:left w:val="nil"/>
              <w:bottom w:val="nil"/>
              <w:right w:val="nil"/>
            </w:tcBorders>
            <w:shd w:val="clear" w:color="auto" w:fill="auto"/>
            <w:vAlign w:val="center"/>
          </w:tcPr>
          <w:p w14:paraId="0EF0C4E2"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Facility richness - school</w:t>
            </w:r>
          </w:p>
        </w:tc>
        <w:tc>
          <w:tcPr>
            <w:tcW w:w="1109" w:type="dxa"/>
            <w:tcBorders>
              <w:top w:val="nil"/>
              <w:left w:val="nil"/>
              <w:bottom w:val="nil"/>
              <w:right w:val="nil"/>
            </w:tcBorders>
            <w:shd w:val="clear" w:color="auto" w:fill="auto"/>
            <w:vAlign w:val="center"/>
          </w:tcPr>
          <w:p w14:paraId="45BDBBD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1ADBE14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005D2C4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1293 (99.4%)</w:t>
            </w:r>
          </w:p>
        </w:tc>
        <w:tc>
          <w:tcPr>
            <w:tcW w:w="568" w:type="dxa"/>
            <w:tcBorders>
              <w:top w:val="nil"/>
              <w:left w:val="nil"/>
              <w:bottom w:val="nil"/>
              <w:right w:val="nil"/>
            </w:tcBorders>
            <w:shd w:val="clear" w:color="auto" w:fill="auto"/>
            <w:vAlign w:val="center"/>
          </w:tcPr>
          <w:p w14:paraId="1178FD2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6993CA8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0.04</w:t>
            </w:r>
          </w:p>
        </w:tc>
        <w:tc>
          <w:tcPr>
            <w:tcW w:w="874" w:type="dxa"/>
            <w:tcBorders>
              <w:top w:val="nil"/>
              <w:left w:val="nil"/>
              <w:bottom w:val="nil"/>
              <w:right w:val="nil"/>
            </w:tcBorders>
            <w:shd w:val="clear" w:color="auto" w:fill="auto"/>
            <w:vAlign w:val="center"/>
          </w:tcPr>
          <w:p w14:paraId="65CEA38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0.07</w:t>
            </w:r>
          </w:p>
        </w:tc>
        <w:tc>
          <w:tcPr>
            <w:tcW w:w="868" w:type="dxa"/>
            <w:tcBorders>
              <w:top w:val="nil"/>
              <w:left w:val="nil"/>
              <w:bottom w:val="nil"/>
              <w:right w:val="nil"/>
            </w:tcBorders>
            <w:shd w:val="clear" w:color="auto" w:fill="auto"/>
            <w:vAlign w:val="center"/>
          </w:tcPr>
          <w:p w14:paraId="43652ED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0.14</w:t>
            </w:r>
          </w:p>
        </w:tc>
        <w:tc>
          <w:tcPr>
            <w:tcW w:w="874" w:type="dxa"/>
            <w:tcBorders>
              <w:top w:val="nil"/>
              <w:left w:val="nil"/>
              <w:bottom w:val="nil"/>
              <w:right w:val="nil"/>
            </w:tcBorders>
            <w:shd w:val="clear" w:color="auto" w:fill="auto"/>
            <w:vAlign w:val="center"/>
          </w:tcPr>
          <w:p w14:paraId="1BC2C70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0.33</w:t>
            </w:r>
          </w:p>
        </w:tc>
      </w:tr>
      <w:tr w:rsidR="00376689" w:rsidRPr="008A5C48" w14:paraId="01B58180" w14:textId="77777777" w:rsidTr="002A4F43">
        <w:trPr>
          <w:trHeight w:val="215"/>
          <w:jc w:val="center"/>
        </w:trPr>
        <w:tc>
          <w:tcPr>
            <w:tcW w:w="1778" w:type="dxa"/>
            <w:tcBorders>
              <w:top w:val="nil"/>
              <w:left w:val="nil"/>
              <w:bottom w:val="nil"/>
              <w:right w:val="nil"/>
            </w:tcBorders>
            <w:shd w:val="clear" w:color="auto" w:fill="auto"/>
            <w:vAlign w:val="center"/>
          </w:tcPr>
          <w:p w14:paraId="2BA23D32"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Landuse</w:t>
            </w:r>
            <w:proofErr w:type="spellEnd"/>
            <w:r w:rsidRPr="008A5C48">
              <w:rPr>
                <w:rFonts w:ascii="Times New Roman" w:eastAsia="Times New Roman" w:hAnsi="Times New Roman" w:cs="Times New Roman"/>
                <w:sz w:val="20"/>
                <w:szCs w:val="20"/>
              </w:rPr>
              <w:t xml:space="preserve"> Shannon's Evenness Index - home</w:t>
            </w:r>
          </w:p>
        </w:tc>
        <w:tc>
          <w:tcPr>
            <w:tcW w:w="1109" w:type="dxa"/>
            <w:tcBorders>
              <w:top w:val="nil"/>
              <w:left w:val="nil"/>
              <w:bottom w:val="nil"/>
              <w:right w:val="nil"/>
            </w:tcBorders>
            <w:shd w:val="clear" w:color="auto" w:fill="auto"/>
            <w:vAlign w:val="center"/>
          </w:tcPr>
          <w:p w14:paraId="0A1270E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0081D0D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0F35A52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1196 (91.9%)</w:t>
            </w:r>
          </w:p>
        </w:tc>
        <w:tc>
          <w:tcPr>
            <w:tcW w:w="568" w:type="dxa"/>
            <w:tcBorders>
              <w:top w:val="nil"/>
              <w:left w:val="nil"/>
              <w:bottom w:val="nil"/>
              <w:right w:val="nil"/>
            </w:tcBorders>
            <w:shd w:val="clear" w:color="auto" w:fill="auto"/>
            <w:vAlign w:val="center"/>
          </w:tcPr>
          <w:p w14:paraId="180E2D0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72E232A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0.31</w:t>
            </w:r>
          </w:p>
        </w:tc>
        <w:tc>
          <w:tcPr>
            <w:tcW w:w="874" w:type="dxa"/>
            <w:tcBorders>
              <w:top w:val="nil"/>
              <w:left w:val="nil"/>
              <w:bottom w:val="nil"/>
              <w:right w:val="nil"/>
            </w:tcBorders>
            <w:shd w:val="clear" w:color="auto" w:fill="auto"/>
            <w:vAlign w:val="center"/>
          </w:tcPr>
          <w:p w14:paraId="6ABF2A3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0.4</w:t>
            </w:r>
          </w:p>
        </w:tc>
        <w:tc>
          <w:tcPr>
            <w:tcW w:w="868" w:type="dxa"/>
            <w:tcBorders>
              <w:top w:val="nil"/>
              <w:left w:val="nil"/>
              <w:bottom w:val="nil"/>
              <w:right w:val="nil"/>
            </w:tcBorders>
            <w:shd w:val="clear" w:color="auto" w:fill="auto"/>
            <w:vAlign w:val="center"/>
          </w:tcPr>
          <w:p w14:paraId="42C28E7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0.49</w:t>
            </w:r>
          </w:p>
        </w:tc>
        <w:tc>
          <w:tcPr>
            <w:tcW w:w="874" w:type="dxa"/>
            <w:tcBorders>
              <w:top w:val="nil"/>
              <w:left w:val="nil"/>
              <w:bottom w:val="nil"/>
              <w:right w:val="nil"/>
            </w:tcBorders>
            <w:shd w:val="clear" w:color="auto" w:fill="auto"/>
            <w:vAlign w:val="center"/>
          </w:tcPr>
          <w:p w14:paraId="3CE03DF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0.7</w:t>
            </w:r>
          </w:p>
        </w:tc>
      </w:tr>
      <w:tr w:rsidR="00376689" w:rsidRPr="008A5C48" w14:paraId="3D97FD05" w14:textId="77777777" w:rsidTr="002A4F43">
        <w:trPr>
          <w:trHeight w:val="215"/>
          <w:jc w:val="center"/>
        </w:trPr>
        <w:tc>
          <w:tcPr>
            <w:tcW w:w="1778" w:type="dxa"/>
            <w:tcBorders>
              <w:top w:val="nil"/>
              <w:left w:val="nil"/>
              <w:bottom w:val="nil"/>
              <w:right w:val="nil"/>
            </w:tcBorders>
            <w:shd w:val="clear" w:color="auto" w:fill="auto"/>
            <w:vAlign w:val="center"/>
          </w:tcPr>
          <w:p w14:paraId="2B35C665"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Landuse</w:t>
            </w:r>
            <w:proofErr w:type="spellEnd"/>
            <w:r w:rsidRPr="008A5C48">
              <w:rPr>
                <w:rFonts w:ascii="Times New Roman" w:eastAsia="Times New Roman" w:hAnsi="Times New Roman" w:cs="Times New Roman"/>
                <w:sz w:val="20"/>
                <w:szCs w:val="20"/>
              </w:rPr>
              <w:t xml:space="preserve"> Shannon's Evenness Index - school</w:t>
            </w:r>
          </w:p>
        </w:tc>
        <w:tc>
          <w:tcPr>
            <w:tcW w:w="1109" w:type="dxa"/>
            <w:tcBorders>
              <w:top w:val="nil"/>
              <w:left w:val="nil"/>
              <w:bottom w:val="nil"/>
              <w:right w:val="nil"/>
            </w:tcBorders>
            <w:shd w:val="clear" w:color="auto" w:fill="auto"/>
            <w:vAlign w:val="center"/>
          </w:tcPr>
          <w:p w14:paraId="4908E1B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74C71B5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1570C2D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1185 (91.1%)</w:t>
            </w:r>
          </w:p>
        </w:tc>
        <w:tc>
          <w:tcPr>
            <w:tcW w:w="568" w:type="dxa"/>
            <w:tcBorders>
              <w:top w:val="nil"/>
              <w:left w:val="nil"/>
              <w:bottom w:val="nil"/>
              <w:right w:val="nil"/>
            </w:tcBorders>
            <w:shd w:val="clear" w:color="auto" w:fill="auto"/>
            <w:vAlign w:val="center"/>
          </w:tcPr>
          <w:p w14:paraId="21F014E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0.08</w:t>
            </w:r>
          </w:p>
        </w:tc>
        <w:tc>
          <w:tcPr>
            <w:tcW w:w="868" w:type="dxa"/>
            <w:tcBorders>
              <w:top w:val="nil"/>
              <w:left w:val="nil"/>
              <w:bottom w:val="nil"/>
              <w:right w:val="nil"/>
            </w:tcBorders>
            <w:shd w:val="clear" w:color="auto" w:fill="auto"/>
            <w:vAlign w:val="center"/>
          </w:tcPr>
          <w:p w14:paraId="125F282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0.33</w:t>
            </w:r>
          </w:p>
        </w:tc>
        <w:tc>
          <w:tcPr>
            <w:tcW w:w="874" w:type="dxa"/>
            <w:tcBorders>
              <w:top w:val="nil"/>
              <w:left w:val="nil"/>
              <w:bottom w:val="nil"/>
              <w:right w:val="nil"/>
            </w:tcBorders>
            <w:shd w:val="clear" w:color="auto" w:fill="auto"/>
            <w:vAlign w:val="center"/>
          </w:tcPr>
          <w:p w14:paraId="6795380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0.43</w:t>
            </w:r>
          </w:p>
        </w:tc>
        <w:tc>
          <w:tcPr>
            <w:tcW w:w="868" w:type="dxa"/>
            <w:tcBorders>
              <w:top w:val="nil"/>
              <w:left w:val="nil"/>
              <w:bottom w:val="nil"/>
              <w:right w:val="nil"/>
            </w:tcBorders>
            <w:shd w:val="clear" w:color="auto" w:fill="auto"/>
            <w:vAlign w:val="center"/>
          </w:tcPr>
          <w:p w14:paraId="6292B9F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0.52</w:t>
            </w:r>
          </w:p>
        </w:tc>
        <w:tc>
          <w:tcPr>
            <w:tcW w:w="874" w:type="dxa"/>
            <w:tcBorders>
              <w:top w:val="nil"/>
              <w:left w:val="nil"/>
              <w:bottom w:val="nil"/>
              <w:right w:val="nil"/>
            </w:tcBorders>
            <w:shd w:val="clear" w:color="auto" w:fill="auto"/>
            <w:vAlign w:val="center"/>
          </w:tcPr>
          <w:p w14:paraId="31F5CBC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0.73</w:t>
            </w:r>
          </w:p>
        </w:tc>
      </w:tr>
      <w:tr w:rsidR="00376689" w:rsidRPr="008A5C48" w14:paraId="682570BD" w14:textId="77777777" w:rsidTr="002A4F43">
        <w:trPr>
          <w:trHeight w:val="215"/>
          <w:jc w:val="center"/>
        </w:trPr>
        <w:tc>
          <w:tcPr>
            <w:tcW w:w="1778" w:type="dxa"/>
            <w:tcBorders>
              <w:top w:val="nil"/>
              <w:left w:val="nil"/>
              <w:bottom w:val="nil"/>
              <w:right w:val="nil"/>
            </w:tcBorders>
            <w:shd w:val="clear" w:color="auto" w:fill="auto"/>
            <w:vAlign w:val="center"/>
          </w:tcPr>
          <w:p w14:paraId="0AD26D3B"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Walkability index - home</w:t>
            </w:r>
          </w:p>
        </w:tc>
        <w:tc>
          <w:tcPr>
            <w:tcW w:w="1109" w:type="dxa"/>
            <w:tcBorders>
              <w:top w:val="nil"/>
              <w:left w:val="nil"/>
              <w:bottom w:val="nil"/>
              <w:right w:val="nil"/>
            </w:tcBorders>
            <w:shd w:val="clear" w:color="auto" w:fill="auto"/>
            <w:vAlign w:val="center"/>
          </w:tcPr>
          <w:p w14:paraId="45B51DB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5040DE0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63936EE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1109 (85.2%)</w:t>
            </w:r>
          </w:p>
        </w:tc>
        <w:tc>
          <w:tcPr>
            <w:tcW w:w="568" w:type="dxa"/>
            <w:tcBorders>
              <w:top w:val="nil"/>
              <w:left w:val="nil"/>
              <w:bottom w:val="nil"/>
              <w:right w:val="nil"/>
            </w:tcBorders>
            <w:shd w:val="clear" w:color="auto" w:fill="auto"/>
            <w:vAlign w:val="center"/>
          </w:tcPr>
          <w:p w14:paraId="2A11F65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w:t>
            </w:r>
          </w:p>
        </w:tc>
        <w:tc>
          <w:tcPr>
            <w:tcW w:w="868" w:type="dxa"/>
            <w:tcBorders>
              <w:top w:val="nil"/>
              <w:left w:val="nil"/>
              <w:bottom w:val="nil"/>
              <w:right w:val="nil"/>
            </w:tcBorders>
            <w:shd w:val="clear" w:color="auto" w:fill="auto"/>
            <w:vAlign w:val="center"/>
          </w:tcPr>
          <w:p w14:paraId="0E238B4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0.25</w:t>
            </w:r>
          </w:p>
        </w:tc>
        <w:tc>
          <w:tcPr>
            <w:tcW w:w="874" w:type="dxa"/>
            <w:tcBorders>
              <w:top w:val="nil"/>
              <w:left w:val="nil"/>
              <w:bottom w:val="nil"/>
              <w:right w:val="nil"/>
            </w:tcBorders>
            <w:shd w:val="clear" w:color="auto" w:fill="auto"/>
            <w:vAlign w:val="center"/>
          </w:tcPr>
          <w:p w14:paraId="04A39E7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w:t>
            </w:r>
          </w:p>
        </w:tc>
        <w:tc>
          <w:tcPr>
            <w:tcW w:w="868" w:type="dxa"/>
            <w:tcBorders>
              <w:top w:val="nil"/>
              <w:left w:val="nil"/>
              <w:bottom w:val="nil"/>
              <w:right w:val="nil"/>
            </w:tcBorders>
            <w:shd w:val="clear" w:color="auto" w:fill="auto"/>
            <w:vAlign w:val="center"/>
          </w:tcPr>
          <w:p w14:paraId="14038D2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0.4</w:t>
            </w:r>
          </w:p>
        </w:tc>
        <w:tc>
          <w:tcPr>
            <w:tcW w:w="874" w:type="dxa"/>
            <w:tcBorders>
              <w:top w:val="nil"/>
              <w:left w:val="nil"/>
              <w:bottom w:val="nil"/>
              <w:right w:val="nil"/>
            </w:tcBorders>
            <w:shd w:val="clear" w:color="auto" w:fill="auto"/>
            <w:vAlign w:val="center"/>
          </w:tcPr>
          <w:p w14:paraId="674BF5E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0.6</w:t>
            </w:r>
          </w:p>
        </w:tc>
      </w:tr>
      <w:tr w:rsidR="00376689" w:rsidRPr="008A5C48" w14:paraId="3A7B1E99" w14:textId="77777777" w:rsidTr="002A4F43">
        <w:trPr>
          <w:trHeight w:val="215"/>
          <w:jc w:val="center"/>
        </w:trPr>
        <w:tc>
          <w:tcPr>
            <w:tcW w:w="1778" w:type="dxa"/>
            <w:tcBorders>
              <w:top w:val="nil"/>
              <w:left w:val="nil"/>
              <w:bottom w:val="nil"/>
              <w:right w:val="nil"/>
            </w:tcBorders>
            <w:shd w:val="clear" w:color="auto" w:fill="auto"/>
            <w:vAlign w:val="center"/>
          </w:tcPr>
          <w:p w14:paraId="7F62E9FC"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Walkability index - school</w:t>
            </w:r>
          </w:p>
        </w:tc>
        <w:tc>
          <w:tcPr>
            <w:tcW w:w="1109" w:type="dxa"/>
            <w:tcBorders>
              <w:top w:val="nil"/>
              <w:left w:val="nil"/>
              <w:bottom w:val="nil"/>
              <w:right w:val="nil"/>
            </w:tcBorders>
            <w:shd w:val="clear" w:color="auto" w:fill="auto"/>
            <w:vAlign w:val="center"/>
          </w:tcPr>
          <w:p w14:paraId="10B754E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6440A1D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1E8DAE5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1117 (85.9%)</w:t>
            </w:r>
          </w:p>
        </w:tc>
        <w:tc>
          <w:tcPr>
            <w:tcW w:w="568" w:type="dxa"/>
            <w:tcBorders>
              <w:top w:val="nil"/>
              <w:left w:val="nil"/>
              <w:bottom w:val="nil"/>
              <w:right w:val="nil"/>
            </w:tcBorders>
            <w:shd w:val="clear" w:color="auto" w:fill="auto"/>
            <w:vAlign w:val="center"/>
          </w:tcPr>
          <w:p w14:paraId="3C66156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0.15</w:t>
            </w:r>
          </w:p>
        </w:tc>
        <w:tc>
          <w:tcPr>
            <w:tcW w:w="868" w:type="dxa"/>
            <w:tcBorders>
              <w:top w:val="nil"/>
              <w:left w:val="nil"/>
              <w:bottom w:val="nil"/>
              <w:right w:val="nil"/>
            </w:tcBorders>
            <w:shd w:val="clear" w:color="auto" w:fill="auto"/>
            <w:vAlign w:val="center"/>
          </w:tcPr>
          <w:p w14:paraId="334FC31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0.28</w:t>
            </w:r>
          </w:p>
        </w:tc>
        <w:tc>
          <w:tcPr>
            <w:tcW w:w="874" w:type="dxa"/>
            <w:tcBorders>
              <w:top w:val="nil"/>
              <w:left w:val="nil"/>
              <w:bottom w:val="nil"/>
              <w:right w:val="nil"/>
            </w:tcBorders>
            <w:shd w:val="clear" w:color="auto" w:fill="auto"/>
            <w:vAlign w:val="center"/>
          </w:tcPr>
          <w:p w14:paraId="15FB5B4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0.32</w:t>
            </w:r>
          </w:p>
        </w:tc>
        <w:tc>
          <w:tcPr>
            <w:tcW w:w="868" w:type="dxa"/>
            <w:tcBorders>
              <w:top w:val="nil"/>
              <w:left w:val="nil"/>
              <w:bottom w:val="nil"/>
              <w:right w:val="nil"/>
            </w:tcBorders>
            <w:shd w:val="clear" w:color="auto" w:fill="auto"/>
            <w:vAlign w:val="center"/>
          </w:tcPr>
          <w:p w14:paraId="66E9DFE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0.4</w:t>
            </w:r>
          </w:p>
        </w:tc>
        <w:tc>
          <w:tcPr>
            <w:tcW w:w="874" w:type="dxa"/>
            <w:tcBorders>
              <w:top w:val="nil"/>
              <w:left w:val="nil"/>
              <w:bottom w:val="nil"/>
              <w:right w:val="nil"/>
            </w:tcBorders>
            <w:shd w:val="clear" w:color="auto" w:fill="auto"/>
            <w:vAlign w:val="center"/>
          </w:tcPr>
          <w:p w14:paraId="353E84D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0.62</w:t>
            </w:r>
          </w:p>
        </w:tc>
      </w:tr>
      <w:tr w:rsidR="00376689" w:rsidRPr="008A5C48" w14:paraId="017F9446" w14:textId="77777777" w:rsidTr="002A4F43">
        <w:trPr>
          <w:trHeight w:val="106"/>
          <w:jc w:val="center"/>
        </w:trPr>
        <w:tc>
          <w:tcPr>
            <w:tcW w:w="1778" w:type="dxa"/>
            <w:tcBorders>
              <w:top w:val="nil"/>
              <w:left w:val="nil"/>
              <w:bottom w:val="nil"/>
              <w:right w:val="nil"/>
            </w:tcBorders>
            <w:shd w:val="clear" w:color="auto" w:fill="auto"/>
            <w:vAlign w:val="center"/>
          </w:tcPr>
          <w:p w14:paraId="20519C0A"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Pop density </w:t>
            </w:r>
          </w:p>
        </w:tc>
        <w:tc>
          <w:tcPr>
            <w:tcW w:w="1109" w:type="dxa"/>
            <w:tcBorders>
              <w:top w:val="nil"/>
              <w:left w:val="nil"/>
              <w:bottom w:val="nil"/>
              <w:right w:val="nil"/>
            </w:tcBorders>
            <w:shd w:val="clear" w:color="auto" w:fill="auto"/>
            <w:vAlign w:val="center"/>
          </w:tcPr>
          <w:p w14:paraId="75DBF7E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people/km2</w:t>
            </w:r>
          </w:p>
        </w:tc>
        <w:tc>
          <w:tcPr>
            <w:tcW w:w="1136" w:type="dxa"/>
            <w:tcBorders>
              <w:top w:val="nil"/>
              <w:left w:val="nil"/>
              <w:bottom w:val="nil"/>
              <w:right w:val="nil"/>
            </w:tcBorders>
            <w:shd w:val="clear" w:color="auto" w:fill="auto"/>
            <w:vAlign w:val="center"/>
          </w:tcPr>
          <w:p w14:paraId="12C27C0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4A1D4FB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1278 (98.2%)</w:t>
            </w:r>
          </w:p>
        </w:tc>
        <w:tc>
          <w:tcPr>
            <w:tcW w:w="568" w:type="dxa"/>
            <w:tcBorders>
              <w:top w:val="nil"/>
              <w:left w:val="nil"/>
              <w:bottom w:val="nil"/>
              <w:right w:val="nil"/>
            </w:tcBorders>
            <w:shd w:val="clear" w:color="auto" w:fill="auto"/>
            <w:vAlign w:val="center"/>
          </w:tcPr>
          <w:p w14:paraId="61890A2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6156999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2 673</w:t>
            </w:r>
          </w:p>
        </w:tc>
        <w:tc>
          <w:tcPr>
            <w:tcW w:w="874" w:type="dxa"/>
            <w:tcBorders>
              <w:top w:val="nil"/>
              <w:left w:val="nil"/>
              <w:bottom w:val="nil"/>
              <w:right w:val="nil"/>
            </w:tcBorders>
            <w:shd w:val="clear" w:color="auto" w:fill="auto"/>
            <w:vAlign w:val="center"/>
          </w:tcPr>
          <w:p w14:paraId="524EE42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5 520</w:t>
            </w:r>
          </w:p>
        </w:tc>
        <w:tc>
          <w:tcPr>
            <w:tcW w:w="868" w:type="dxa"/>
            <w:tcBorders>
              <w:top w:val="nil"/>
              <w:left w:val="nil"/>
              <w:bottom w:val="nil"/>
              <w:right w:val="nil"/>
            </w:tcBorders>
            <w:shd w:val="clear" w:color="auto" w:fill="auto"/>
            <w:vAlign w:val="center"/>
          </w:tcPr>
          <w:p w14:paraId="3793DC7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9 565</w:t>
            </w:r>
          </w:p>
        </w:tc>
        <w:tc>
          <w:tcPr>
            <w:tcW w:w="874" w:type="dxa"/>
            <w:tcBorders>
              <w:top w:val="nil"/>
              <w:left w:val="nil"/>
              <w:bottom w:val="nil"/>
              <w:right w:val="nil"/>
            </w:tcBorders>
            <w:shd w:val="clear" w:color="auto" w:fill="auto"/>
            <w:vAlign w:val="center"/>
          </w:tcPr>
          <w:p w14:paraId="3E7DF72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68 382</w:t>
            </w:r>
          </w:p>
        </w:tc>
      </w:tr>
      <w:tr w:rsidR="00376689" w:rsidRPr="008A5C48" w14:paraId="476E4BB8" w14:textId="77777777" w:rsidTr="002A4F43">
        <w:trPr>
          <w:trHeight w:val="215"/>
          <w:jc w:val="center"/>
        </w:trPr>
        <w:tc>
          <w:tcPr>
            <w:tcW w:w="1778" w:type="dxa"/>
            <w:tcBorders>
              <w:top w:val="nil"/>
              <w:left w:val="nil"/>
              <w:bottom w:val="nil"/>
              <w:right w:val="nil"/>
            </w:tcBorders>
            <w:shd w:val="clear" w:color="auto" w:fill="auto"/>
            <w:vAlign w:val="center"/>
          </w:tcPr>
          <w:p w14:paraId="1667F3A2"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Building density </w:t>
            </w:r>
          </w:p>
        </w:tc>
        <w:tc>
          <w:tcPr>
            <w:tcW w:w="1109" w:type="dxa"/>
            <w:tcBorders>
              <w:top w:val="nil"/>
              <w:left w:val="nil"/>
              <w:bottom w:val="nil"/>
              <w:right w:val="nil"/>
            </w:tcBorders>
            <w:shd w:val="clear" w:color="auto" w:fill="auto"/>
            <w:vAlign w:val="center"/>
          </w:tcPr>
          <w:p w14:paraId="2CFA5C2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m2 built/km2</w:t>
            </w:r>
          </w:p>
        </w:tc>
        <w:tc>
          <w:tcPr>
            <w:tcW w:w="1136" w:type="dxa"/>
            <w:tcBorders>
              <w:top w:val="nil"/>
              <w:left w:val="nil"/>
              <w:bottom w:val="nil"/>
              <w:right w:val="nil"/>
            </w:tcBorders>
            <w:shd w:val="clear" w:color="auto" w:fill="auto"/>
            <w:vAlign w:val="center"/>
          </w:tcPr>
          <w:p w14:paraId="1BAE226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026A2CD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1193 (91.7%)</w:t>
            </w:r>
          </w:p>
        </w:tc>
        <w:tc>
          <w:tcPr>
            <w:tcW w:w="568" w:type="dxa"/>
            <w:tcBorders>
              <w:top w:val="nil"/>
              <w:left w:val="nil"/>
              <w:bottom w:val="nil"/>
              <w:right w:val="nil"/>
            </w:tcBorders>
            <w:shd w:val="clear" w:color="auto" w:fill="auto"/>
            <w:vAlign w:val="center"/>
          </w:tcPr>
          <w:p w14:paraId="3E46C90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121</w:t>
            </w:r>
          </w:p>
        </w:tc>
        <w:tc>
          <w:tcPr>
            <w:tcW w:w="868" w:type="dxa"/>
            <w:tcBorders>
              <w:top w:val="nil"/>
              <w:left w:val="nil"/>
              <w:bottom w:val="nil"/>
              <w:right w:val="nil"/>
            </w:tcBorders>
            <w:shd w:val="clear" w:color="auto" w:fill="auto"/>
            <w:vAlign w:val="center"/>
          </w:tcPr>
          <w:p w14:paraId="3C9BB58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112 426</w:t>
            </w:r>
          </w:p>
        </w:tc>
        <w:tc>
          <w:tcPr>
            <w:tcW w:w="874" w:type="dxa"/>
            <w:tcBorders>
              <w:top w:val="nil"/>
              <w:left w:val="nil"/>
              <w:bottom w:val="nil"/>
              <w:right w:val="nil"/>
            </w:tcBorders>
            <w:shd w:val="clear" w:color="auto" w:fill="auto"/>
            <w:vAlign w:val="center"/>
          </w:tcPr>
          <w:p w14:paraId="3C8EEA6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164 430</w:t>
            </w:r>
          </w:p>
        </w:tc>
        <w:tc>
          <w:tcPr>
            <w:tcW w:w="868" w:type="dxa"/>
            <w:tcBorders>
              <w:top w:val="nil"/>
              <w:left w:val="nil"/>
              <w:bottom w:val="nil"/>
              <w:right w:val="nil"/>
            </w:tcBorders>
            <w:shd w:val="clear" w:color="auto" w:fill="auto"/>
            <w:vAlign w:val="center"/>
          </w:tcPr>
          <w:p w14:paraId="51C2873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264 093</w:t>
            </w:r>
          </w:p>
        </w:tc>
        <w:tc>
          <w:tcPr>
            <w:tcW w:w="874" w:type="dxa"/>
            <w:tcBorders>
              <w:top w:val="nil"/>
              <w:left w:val="nil"/>
              <w:bottom w:val="nil"/>
              <w:right w:val="nil"/>
            </w:tcBorders>
            <w:shd w:val="clear" w:color="auto" w:fill="auto"/>
            <w:vAlign w:val="center"/>
          </w:tcPr>
          <w:p w14:paraId="2ECB46F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652 218</w:t>
            </w:r>
          </w:p>
        </w:tc>
      </w:tr>
      <w:tr w:rsidR="00376689" w:rsidRPr="008A5C48" w14:paraId="2F234F03" w14:textId="77777777" w:rsidTr="002A4F43">
        <w:trPr>
          <w:trHeight w:val="215"/>
          <w:jc w:val="center"/>
        </w:trPr>
        <w:tc>
          <w:tcPr>
            <w:tcW w:w="1778" w:type="dxa"/>
            <w:tcBorders>
              <w:top w:val="nil"/>
              <w:left w:val="nil"/>
              <w:bottom w:val="nil"/>
              <w:right w:val="nil"/>
            </w:tcBorders>
            <w:shd w:val="clear" w:color="auto" w:fill="auto"/>
            <w:vAlign w:val="center"/>
          </w:tcPr>
          <w:p w14:paraId="6D5BB173"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Connectivity density </w:t>
            </w:r>
          </w:p>
        </w:tc>
        <w:tc>
          <w:tcPr>
            <w:tcW w:w="1109" w:type="dxa"/>
            <w:tcBorders>
              <w:top w:val="nil"/>
              <w:left w:val="nil"/>
              <w:bottom w:val="nil"/>
              <w:right w:val="nil"/>
            </w:tcBorders>
            <w:shd w:val="clear" w:color="auto" w:fill="auto"/>
            <w:vAlign w:val="center"/>
          </w:tcPr>
          <w:p w14:paraId="71B3804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intersect/km2</w:t>
            </w:r>
          </w:p>
        </w:tc>
        <w:tc>
          <w:tcPr>
            <w:tcW w:w="1136" w:type="dxa"/>
            <w:tcBorders>
              <w:top w:val="nil"/>
              <w:left w:val="nil"/>
              <w:bottom w:val="nil"/>
              <w:right w:val="nil"/>
            </w:tcBorders>
            <w:shd w:val="clear" w:color="auto" w:fill="auto"/>
            <w:vAlign w:val="center"/>
          </w:tcPr>
          <w:p w14:paraId="0E4D65E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4A4C4D9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1203 (92.5%)</w:t>
            </w:r>
          </w:p>
        </w:tc>
        <w:tc>
          <w:tcPr>
            <w:tcW w:w="568" w:type="dxa"/>
            <w:tcBorders>
              <w:top w:val="nil"/>
              <w:left w:val="nil"/>
              <w:bottom w:val="nil"/>
              <w:right w:val="nil"/>
            </w:tcBorders>
            <w:shd w:val="clear" w:color="auto" w:fill="auto"/>
            <w:vAlign w:val="center"/>
          </w:tcPr>
          <w:p w14:paraId="6C48F2B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w:t>
            </w:r>
          </w:p>
        </w:tc>
        <w:tc>
          <w:tcPr>
            <w:tcW w:w="868" w:type="dxa"/>
            <w:tcBorders>
              <w:top w:val="nil"/>
              <w:left w:val="nil"/>
              <w:bottom w:val="nil"/>
              <w:right w:val="nil"/>
            </w:tcBorders>
            <w:shd w:val="clear" w:color="auto" w:fill="auto"/>
            <w:vAlign w:val="center"/>
          </w:tcPr>
          <w:p w14:paraId="459543E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88</w:t>
            </w:r>
          </w:p>
        </w:tc>
        <w:tc>
          <w:tcPr>
            <w:tcW w:w="874" w:type="dxa"/>
            <w:tcBorders>
              <w:top w:val="nil"/>
              <w:left w:val="nil"/>
              <w:bottom w:val="nil"/>
              <w:right w:val="nil"/>
            </w:tcBorders>
            <w:shd w:val="clear" w:color="auto" w:fill="auto"/>
            <w:vAlign w:val="center"/>
          </w:tcPr>
          <w:p w14:paraId="0A5AEFE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164</w:t>
            </w:r>
          </w:p>
        </w:tc>
        <w:tc>
          <w:tcPr>
            <w:tcW w:w="868" w:type="dxa"/>
            <w:tcBorders>
              <w:top w:val="nil"/>
              <w:left w:val="nil"/>
              <w:bottom w:val="nil"/>
              <w:right w:val="nil"/>
            </w:tcBorders>
            <w:shd w:val="clear" w:color="auto" w:fill="auto"/>
            <w:vAlign w:val="center"/>
          </w:tcPr>
          <w:p w14:paraId="5DB140F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250</w:t>
            </w:r>
          </w:p>
        </w:tc>
        <w:tc>
          <w:tcPr>
            <w:tcW w:w="874" w:type="dxa"/>
            <w:tcBorders>
              <w:top w:val="nil"/>
              <w:left w:val="nil"/>
              <w:bottom w:val="nil"/>
              <w:right w:val="nil"/>
            </w:tcBorders>
            <w:shd w:val="clear" w:color="auto" w:fill="auto"/>
            <w:vAlign w:val="center"/>
          </w:tcPr>
          <w:p w14:paraId="7416F0D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745</w:t>
            </w:r>
          </w:p>
        </w:tc>
      </w:tr>
      <w:tr w:rsidR="00376689" w:rsidRPr="008A5C48" w14:paraId="162D24F9" w14:textId="77777777" w:rsidTr="002A4F43">
        <w:trPr>
          <w:trHeight w:val="106"/>
          <w:jc w:val="center"/>
        </w:trPr>
        <w:tc>
          <w:tcPr>
            <w:tcW w:w="1778" w:type="dxa"/>
            <w:tcBorders>
              <w:top w:val="nil"/>
              <w:left w:val="nil"/>
              <w:bottom w:val="nil"/>
              <w:right w:val="nil"/>
            </w:tcBorders>
            <w:shd w:val="clear" w:color="auto" w:fill="auto"/>
            <w:vAlign w:val="center"/>
          </w:tcPr>
          <w:p w14:paraId="789B0253"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BST stop density </w:t>
            </w:r>
          </w:p>
        </w:tc>
        <w:tc>
          <w:tcPr>
            <w:tcW w:w="1109" w:type="dxa"/>
            <w:tcBorders>
              <w:top w:val="nil"/>
              <w:left w:val="nil"/>
              <w:bottom w:val="nil"/>
              <w:right w:val="nil"/>
            </w:tcBorders>
            <w:shd w:val="clear" w:color="auto" w:fill="auto"/>
            <w:vAlign w:val="center"/>
          </w:tcPr>
          <w:p w14:paraId="6DB51AF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n/km2</w:t>
            </w:r>
          </w:p>
        </w:tc>
        <w:tc>
          <w:tcPr>
            <w:tcW w:w="1136" w:type="dxa"/>
            <w:tcBorders>
              <w:top w:val="nil"/>
              <w:left w:val="nil"/>
              <w:bottom w:val="nil"/>
              <w:right w:val="nil"/>
            </w:tcBorders>
            <w:shd w:val="clear" w:color="auto" w:fill="auto"/>
            <w:vAlign w:val="center"/>
          </w:tcPr>
          <w:p w14:paraId="57D9716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4BDFF18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1124 (86.4%)</w:t>
            </w:r>
          </w:p>
        </w:tc>
        <w:tc>
          <w:tcPr>
            <w:tcW w:w="568" w:type="dxa"/>
            <w:tcBorders>
              <w:top w:val="nil"/>
              <w:left w:val="nil"/>
              <w:bottom w:val="nil"/>
              <w:right w:val="nil"/>
            </w:tcBorders>
            <w:shd w:val="clear" w:color="auto" w:fill="auto"/>
            <w:vAlign w:val="center"/>
          </w:tcPr>
          <w:p w14:paraId="6942A17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w:t>
            </w:r>
          </w:p>
        </w:tc>
        <w:tc>
          <w:tcPr>
            <w:tcW w:w="868" w:type="dxa"/>
            <w:tcBorders>
              <w:top w:val="nil"/>
              <w:left w:val="nil"/>
              <w:bottom w:val="nil"/>
              <w:right w:val="nil"/>
            </w:tcBorders>
            <w:shd w:val="clear" w:color="auto" w:fill="auto"/>
            <w:vAlign w:val="center"/>
          </w:tcPr>
          <w:p w14:paraId="3C3913A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w:t>
            </w:r>
          </w:p>
        </w:tc>
        <w:tc>
          <w:tcPr>
            <w:tcW w:w="874" w:type="dxa"/>
            <w:tcBorders>
              <w:top w:val="nil"/>
              <w:left w:val="nil"/>
              <w:bottom w:val="nil"/>
              <w:right w:val="nil"/>
            </w:tcBorders>
            <w:shd w:val="clear" w:color="auto" w:fill="auto"/>
            <w:vAlign w:val="center"/>
          </w:tcPr>
          <w:p w14:paraId="74B36A5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14</w:t>
            </w:r>
          </w:p>
        </w:tc>
        <w:tc>
          <w:tcPr>
            <w:tcW w:w="868" w:type="dxa"/>
            <w:tcBorders>
              <w:top w:val="nil"/>
              <w:left w:val="nil"/>
              <w:bottom w:val="nil"/>
              <w:right w:val="nil"/>
            </w:tcBorders>
            <w:shd w:val="clear" w:color="auto" w:fill="auto"/>
            <w:vAlign w:val="center"/>
          </w:tcPr>
          <w:p w14:paraId="220498A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25</w:t>
            </w:r>
          </w:p>
        </w:tc>
        <w:tc>
          <w:tcPr>
            <w:tcW w:w="874" w:type="dxa"/>
            <w:tcBorders>
              <w:top w:val="nil"/>
              <w:left w:val="nil"/>
              <w:bottom w:val="nil"/>
              <w:right w:val="nil"/>
            </w:tcBorders>
            <w:shd w:val="clear" w:color="auto" w:fill="auto"/>
            <w:vAlign w:val="center"/>
          </w:tcPr>
          <w:p w14:paraId="256105E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93</w:t>
            </w:r>
          </w:p>
        </w:tc>
      </w:tr>
      <w:tr w:rsidR="00376689" w:rsidRPr="008A5C48" w14:paraId="698C1D74" w14:textId="77777777" w:rsidTr="002A4F43">
        <w:trPr>
          <w:trHeight w:val="106"/>
          <w:jc w:val="center"/>
        </w:trPr>
        <w:tc>
          <w:tcPr>
            <w:tcW w:w="1778" w:type="dxa"/>
            <w:tcBorders>
              <w:top w:val="nil"/>
              <w:left w:val="nil"/>
              <w:bottom w:val="nil"/>
              <w:right w:val="nil"/>
            </w:tcBorders>
            <w:shd w:val="clear" w:color="auto" w:fill="auto"/>
            <w:vAlign w:val="center"/>
          </w:tcPr>
          <w:p w14:paraId="5CF0300F"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Facility richness</w:t>
            </w:r>
          </w:p>
        </w:tc>
        <w:tc>
          <w:tcPr>
            <w:tcW w:w="1109" w:type="dxa"/>
            <w:tcBorders>
              <w:top w:val="nil"/>
              <w:left w:val="nil"/>
              <w:bottom w:val="nil"/>
              <w:right w:val="nil"/>
            </w:tcBorders>
            <w:shd w:val="clear" w:color="auto" w:fill="auto"/>
            <w:vAlign w:val="center"/>
          </w:tcPr>
          <w:p w14:paraId="057093D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4AE4FB5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4D8A4C8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1237 (95.1%)</w:t>
            </w:r>
          </w:p>
        </w:tc>
        <w:tc>
          <w:tcPr>
            <w:tcW w:w="568" w:type="dxa"/>
            <w:tcBorders>
              <w:top w:val="nil"/>
              <w:left w:val="nil"/>
              <w:bottom w:val="nil"/>
              <w:right w:val="nil"/>
            </w:tcBorders>
            <w:shd w:val="clear" w:color="auto" w:fill="auto"/>
            <w:vAlign w:val="center"/>
          </w:tcPr>
          <w:p w14:paraId="4DA7E6A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3D47C92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0.02</w:t>
            </w:r>
          </w:p>
        </w:tc>
        <w:tc>
          <w:tcPr>
            <w:tcW w:w="874" w:type="dxa"/>
            <w:tcBorders>
              <w:top w:val="nil"/>
              <w:left w:val="nil"/>
              <w:bottom w:val="nil"/>
              <w:right w:val="nil"/>
            </w:tcBorders>
            <w:shd w:val="clear" w:color="auto" w:fill="auto"/>
            <w:vAlign w:val="center"/>
          </w:tcPr>
          <w:p w14:paraId="05FC405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0.07</w:t>
            </w:r>
          </w:p>
        </w:tc>
        <w:tc>
          <w:tcPr>
            <w:tcW w:w="868" w:type="dxa"/>
            <w:tcBorders>
              <w:top w:val="nil"/>
              <w:left w:val="nil"/>
              <w:bottom w:val="nil"/>
              <w:right w:val="nil"/>
            </w:tcBorders>
            <w:shd w:val="clear" w:color="auto" w:fill="auto"/>
            <w:vAlign w:val="center"/>
          </w:tcPr>
          <w:p w14:paraId="393C664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0.14</w:t>
            </w:r>
          </w:p>
        </w:tc>
        <w:tc>
          <w:tcPr>
            <w:tcW w:w="874" w:type="dxa"/>
            <w:tcBorders>
              <w:top w:val="nil"/>
              <w:left w:val="nil"/>
              <w:bottom w:val="nil"/>
              <w:right w:val="nil"/>
            </w:tcBorders>
            <w:shd w:val="clear" w:color="auto" w:fill="auto"/>
            <w:vAlign w:val="center"/>
          </w:tcPr>
          <w:p w14:paraId="5D2B84A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0.42</w:t>
            </w:r>
          </w:p>
        </w:tc>
      </w:tr>
      <w:tr w:rsidR="00376689" w:rsidRPr="008A5C48" w14:paraId="5460384E" w14:textId="77777777" w:rsidTr="002A4F43">
        <w:trPr>
          <w:trHeight w:val="215"/>
          <w:jc w:val="center"/>
        </w:trPr>
        <w:tc>
          <w:tcPr>
            <w:tcW w:w="1778" w:type="dxa"/>
            <w:tcBorders>
              <w:top w:val="nil"/>
              <w:left w:val="nil"/>
              <w:bottom w:val="nil"/>
              <w:right w:val="nil"/>
            </w:tcBorders>
            <w:shd w:val="clear" w:color="auto" w:fill="auto"/>
            <w:vAlign w:val="center"/>
          </w:tcPr>
          <w:p w14:paraId="3F52ECD8"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Landuse</w:t>
            </w:r>
            <w:proofErr w:type="spellEnd"/>
            <w:r w:rsidRPr="008A5C48">
              <w:rPr>
                <w:rFonts w:ascii="Times New Roman" w:eastAsia="Times New Roman" w:hAnsi="Times New Roman" w:cs="Times New Roman"/>
                <w:sz w:val="20"/>
                <w:szCs w:val="20"/>
              </w:rPr>
              <w:t xml:space="preserve"> Shannon's Evenness Index</w:t>
            </w:r>
          </w:p>
        </w:tc>
        <w:tc>
          <w:tcPr>
            <w:tcW w:w="1109" w:type="dxa"/>
            <w:tcBorders>
              <w:top w:val="nil"/>
              <w:left w:val="nil"/>
              <w:bottom w:val="nil"/>
              <w:right w:val="nil"/>
            </w:tcBorders>
            <w:shd w:val="clear" w:color="auto" w:fill="auto"/>
            <w:vAlign w:val="center"/>
          </w:tcPr>
          <w:p w14:paraId="6B54DE0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31D792C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3626D87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1188 (91.3%)</w:t>
            </w:r>
          </w:p>
        </w:tc>
        <w:tc>
          <w:tcPr>
            <w:tcW w:w="568" w:type="dxa"/>
            <w:tcBorders>
              <w:top w:val="nil"/>
              <w:left w:val="nil"/>
              <w:bottom w:val="nil"/>
              <w:right w:val="nil"/>
            </w:tcBorders>
            <w:shd w:val="clear" w:color="auto" w:fill="auto"/>
            <w:vAlign w:val="center"/>
          </w:tcPr>
          <w:p w14:paraId="0B4A8CC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4608197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0.33</w:t>
            </w:r>
          </w:p>
        </w:tc>
        <w:tc>
          <w:tcPr>
            <w:tcW w:w="874" w:type="dxa"/>
            <w:tcBorders>
              <w:top w:val="nil"/>
              <w:left w:val="nil"/>
              <w:bottom w:val="nil"/>
              <w:right w:val="nil"/>
            </w:tcBorders>
            <w:shd w:val="clear" w:color="auto" w:fill="auto"/>
            <w:vAlign w:val="center"/>
          </w:tcPr>
          <w:p w14:paraId="3FC6D72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0.42</w:t>
            </w:r>
          </w:p>
        </w:tc>
        <w:tc>
          <w:tcPr>
            <w:tcW w:w="868" w:type="dxa"/>
            <w:tcBorders>
              <w:top w:val="nil"/>
              <w:left w:val="nil"/>
              <w:bottom w:val="nil"/>
              <w:right w:val="nil"/>
            </w:tcBorders>
            <w:shd w:val="clear" w:color="auto" w:fill="auto"/>
            <w:vAlign w:val="center"/>
          </w:tcPr>
          <w:p w14:paraId="4A37FD7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0.51</w:t>
            </w:r>
          </w:p>
        </w:tc>
        <w:tc>
          <w:tcPr>
            <w:tcW w:w="874" w:type="dxa"/>
            <w:tcBorders>
              <w:top w:val="nil"/>
              <w:left w:val="nil"/>
              <w:bottom w:val="nil"/>
              <w:right w:val="nil"/>
            </w:tcBorders>
            <w:shd w:val="clear" w:color="auto" w:fill="auto"/>
            <w:vAlign w:val="center"/>
          </w:tcPr>
          <w:p w14:paraId="61033DA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w:t>
            </w:r>
          </w:p>
        </w:tc>
      </w:tr>
      <w:tr w:rsidR="00376689" w:rsidRPr="008A5C48" w14:paraId="1FA3DE03" w14:textId="77777777" w:rsidTr="002A4F43">
        <w:trPr>
          <w:trHeight w:val="215"/>
          <w:jc w:val="center"/>
        </w:trPr>
        <w:tc>
          <w:tcPr>
            <w:tcW w:w="1778" w:type="dxa"/>
            <w:tcBorders>
              <w:top w:val="nil"/>
              <w:left w:val="nil"/>
              <w:bottom w:val="nil"/>
              <w:right w:val="nil"/>
            </w:tcBorders>
            <w:shd w:val="clear" w:color="auto" w:fill="auto"/>
            <w:vAlign w:val="center"/>
          </w:tcPr>
          <w:p w14:paraId="0A5CFAFB"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Walkability index </w:t>
            </w:r>
          </w:p>
        </w:tc>
        <w:tc>
          <w:tcPr>
            <w:tcW w:w="1109" w:type="dxa"/>
            <w:tcBorders>
              <w:top w:val="nil"/>
              <w:left w:val="nil"/>
              <w:bottom w:val="nil"/>
              <w:right w:val="nil"/>
            </w:tcBorders>
            <w:shd w:val="clear" w:color="auto" w:fill="auto"/>
            <w:vAlign w:val="center"/>
          </w:tcPr>
          <w:p w14:paraId="2C151F3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136" w:type="dxa"/>
            <w:tcBorders>
              <w:top w:val="nil"/>
              <w:left w:val="nil"/>
              <w:bottom w:val="nil"/>
              <w:right w:val="nil"/>
            </w:tcBorders>
            <w:shd w:val="clear" w:color="auto" w:fill="auto"/>
            <w:vAlign w:val="center"/>
          </w:tcPr>
          <w:p w14:paraId="415B450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6573819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1105 (84.9%)</w:t>
            </w:r>
          </w:p>
        </w:tc>
        <w:tc>
          <w:tcPr>
            <w:tcW w:w="568" w:type="dxa"/>
            <w:tcBorders>
              <w:top w:val="nil"/>
              <w:left w:val="nil"/>
              <w:bottom w:val="nil"/>
              <w:right w:val="nil"/>
            </w:tcBorders>
            <w:shd w:val="clear" w:color="auto" w:fill="auto"/>
            <w:vAlign w:val="center"/>
          </w:tcPr>
          <w:p w14:paraId="1B3F879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w:t>
            </w:r>
          </w:p>
        </w:tc>
        <w:tc>
          <w:tcPr>
            <w:tcW w:w="868" w:type="dxa"/>
            <w:tcBorders>
              <w:top w:val="nil"/>
              <w:left w:val="nil"/>
              <w:bottom w:val="nil"/>
              <w:right w:val="nil"/>
            </w:tcBorders>
            <w:shd w:val="clear" w:color="auto" w:fill="auto"/>
            <w:vAlign w:val="center"/>
          </w:tcPr>
          <w:p w14:paraId="6F40E6B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0.22</w:t>
            </w:r>
          </w:p>
        </w:tc>
        <w:tc>
          <w:tcPr>
            <w:tcW w:w="874" w:type="dxa"/>
            <w:tcBorders>
              <w:top w:val="nil"/>
              <w:left w:val="nil"/>
              <w:bottom w:val="nil"/>
              <w:right w:val="nil"/>
            </w:tcBorders>
            <w:shd w:val="clear" w:color="auto" w:fill="auto"/>
            <w:vAlign w:val="center"/>
          </w:tcPr>
          <w:p w14:paraId="27DF21C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0.28</w:t>
            </w:r>
          </w:p>
        </w:tc>
        <w:tc>
          <w:tcPr>
            <w:tcW w:w="868" w:type="dxa"/>
            <w:tcBorders>
              <w:top w:val="nil"/>
              <w:left w:val="nil"/>
              <w:bottom w:val="nil"/>
              <w:right w:val="nil"/>
            </w:tcBorders>
            <w:shd w:val="clear" w:color="auto" w:fill="auto"/>
            <w:vAlign w:val="center"/>
          </w:tcPr>
          <w:p w14:paraId="361F33A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0.32</w:t>
            </w:r>
          </w:p>
        </w:tc>
        <w:tc>
          <w:tcPr>
            <w:tcW w:w="874" w:type="dxa"/>
            <w:tcBorders>
              <w:top w:val="nil"/>
              <w:left w:val="nil"/>
              <w:bottom w:val="nil"/>
              <w:right w:val="nil"/>
            </w:tcBorders>
            <w:shd w:val="clear" w:color="auto" w:fill="auto"/>
            <w:vAlign w:val="center"/>
          </w:tcPr>
          <w:p w14:paraId="660D19C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0.62</w:t>
            </w:r>
          </w:p>
        </w:tc>
      </w:tr>
      <w:tr w:rsidR="00376689" w:rsidRPr="008A5C48" w14:paraId="499515CC" w14:textId="77777777" w:rsidTr="002A4F43">
        <w:trPr>
          <w:trHeight w:val="215"/>
          <w:jc w:val="center"/>
        </w:trPr>
        <w:tc>
          <w:tcPr>
            <w:tcW w:w="1778" w:type="dxa"/>
            <w:tcBorders>
              <w:top w:val="nil"/>
              <w:left w:val="nil"/>
              <w:bottom w:val="nil"/>
              <w:right w:val="nil"/>
            </w:tcBorders>
            <w:shd w:val="clear" w:color="auto" w:fill="auto"/>
            <w:vAlign w:val="center"/>
          </w:tcPr>
          <w:p w14:paraId="6C88DB53"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b/>
                <w:color w:val="000000"/>
                <w:sz w:val="20"/>
                <w:szCs w:val="20"/>
              </w:rPr>
              <w:t>Noise</w:t>
            </w:r>
          </w:p>
        </w:tc>
        <w:tc>
          <w:tcPr>
            <w:tcW w:w="1109" w:type="dxa"/>
            <w:tcBorders>
              <w:top w:val="nil"/>
              <w:left w:val="nil"/>
              <w:bottom w:val="nil"/>
              <w:right w:val="nil"/>
            </w:tcBorders>
            <w:shd w:val="clear" w:color="auto" w:fill="auto"/>
            <w:vAlign w:val="center"/>
          </w:tcPr>
          <w:p w14:paraId="5952EED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5DA2B44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223" w:type="dxa"/>
            <w:tcBorders>
              <w:top w:val="nil"/>
              <w:left w:val="nil"/>
              <w:bottom w:val="nil"/>
              <w:right w:val="nil"/>
            </w:tcBorders>
            <w:shd w:val="clear" w:color="auto" w:fill="auto"/>
            <w:vAlign w:val="center"/>
          </w:tcPr>
          <w:p w14:paraId="45EA1A3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568" w:type="dxa"/>
            <w:tcBorders>
              <w:top w:val="nil"/>
              <w:left w:val="nil"/>
              <w:bottom w:val="nil"/>
              <w:right w:val="nil"/>
            </w:tcBorders>
            <w:shd w:val="clear" w:color="auto" w:fill="auto"/>
            <w:vAlign w:val="center"/>
          </w:tcPr>
          <w:p w14:paraId="40FDCDA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63C7A00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7C52883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0540091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04A85A1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r>
      <w:tr w:rsidR="00376689" w:rsidRPr="008A5C48" w14:paraId="5E4898A2" w14:textId="77777777" w:rsidTr="002A4F43">
        <w:trPr>
          <w:trHeight w:val="215"/>
          <w:jc w:val="center"/>
        </w:trPr>
        <w:tc>
          <w:tcPr>
            <w:tcW w:w="1778" w:type="dxa"/>
            <w:tcBorders>
              <w:top w:val="nil"/>
              <w:left w:val="nil"/>
              <w:bottom w:val="nil"/>
              <w:right w:val="nil"/>
            </w:tcBorders>
            <w:shd w:val="clear" w:color="auto" w:fill="auto"/>
            <w:vAlign w:val="center"/>
          </w:tcPr>
          <w:p w14:paraId="77720D18"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Lden</w:t>
            </w:r>
            <w:proofErr w:type="spellEnd"/>
            <w:r w:rsidRPr="008A5C48">
              <w:rPr>
                <w:rFonts w:ascii="Times New Roman" w:eastAsia="Times New Roman" w:hAnsi="Times New Roman" w:cs="Times New Roman"/>
                <w:sz w:val="20"/>
                <w:szCs w:val="20"/>
              </w:rPr>
              <w:t xml:space="preserve"> - home</w:t>
            </w:r>
          </w:p>
        </w:tc>
        <w:tc>
          <w:tcPr>
            <w:tcW w:w="1109" w:type="dxa"/>
            <w:tcBorders>
              <w:top w:val="nil"/>
              <w:left w:val="nil"/>
              <w:bottom w:val="nil"/>
              <w:right w:val="nil"/>
            </w:tcBorders>
            <w:shd w:val="clear" w:color="auto" w:fill="auto"/>
            <w:vAlign w:val="center"/>
          </w:tcPr>
          <w:p w14:paraId="6D6D57B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dB(A)</w:t>
            </w:r>
          </w:p>
        </w:tc>
        <w:tc>
          <w:tcPr>
            <w:tcW w:w="1136" w:type="dxa"/>
            <w:tcBorders>
              <w:top w:val="nil"/>
              <w:left w:val="nil"/>
              <w:bottom w:val="nil"/>
              <w:right w:val="nil"/>
            </w:tcBorders>
            <w:shd w:val="clear" w:color="auto" w:fill="auto"/>
            <w:vAlign w:val="center"/>
          </w:tcPr>
          <w:p w14:paraId="16C9F27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5C66F4D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887 (68.2%)</w:t>
            </w:r>
          </w:p>
        </w:tc>
        <w:tc>
          <w:tcPr>
            <w:tcW w:w="568" w:type="dxa"/>
            <w:tcBorders>
              <w:top w:val="nil"/>
              <w:left w:val="nil"/>
              <w:bottom w:val="nil"/>
              <w:right w:val="nil"/>
            </w:tcBorders>
            <w:shd w:val="clear" w:color="auto" w:fill="auto"/>
            <w:vAlign w:val="center"/>
          </w:tcPr>
          <w:p w14:paraId="74CB34B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21</w:t>
            </w:r>
          </w:p>
        </w:tc>
        <w:tc>
          <w:tcPr>
            <w:tcW w:w="868" w:type="dxa"/>
            <w:tcBorders>
              <w:top w:val="nil"/>
              <w:left w:val="nil"/>
              <w:bottom w:val="nil"/>
              <w:right w:val="nil"/>
            </w:tcBorders>
            <w:shd w:val="clear" w:color="auto" w:fill="auto"/>
            <w:vAlign w:val="center"/>
          </w:tcPr>
          <w:p w14:paraId="32B155A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50</w:t>
            </w:r>
          </w:p>
        </w:tc>
        <w:tc>
          <w:tcPr>
            <w:tcW w:w="874" w:type="dxa"/>
            <w:tcBorders>
              <w:top w:val="nil"/>
              <w:left w:val="nil"/>
              <w:bottom w:val="nil"/>
              <w:right w:val="nil"/>
            </w:tcBorders>
            <w:shd w:val="clear" w:color="auto" w:fill="auto"/>
            <w:vAlign w:val="center"/>
          </w:tcPr>
          <w:p w14:paraId="58308C9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55.5</w:t>
            </w:r>
          </w:p>
        </w:tc>
        <w:tc>
          <w:tcPr>
            <w:tcW w:w="868" w:type="dxa"/>
            <w:tcBorders>
              <w:top w:val="nil"/>
              <w:left w:val="nil"/>
              <w:bottom w:val="nil"/>
              <w:right w:val="nil"/>
            </w:tcBorders>
            <w:shd w:val="clear" w:color="auto" w:fill="auto"/>
            <w:vAlign w:val="center"/>
          </w:tcPr>
          <w:p w14:paraId="598D4B6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62</w:t>
            </w:r>
          </w:p>
        </w:tc>
        <w:tc>
          <w:tcPr>
            <w:tcW w:w="874" w:type="dxa"/>
            <w:tcBorders>
              <w:top w:val="nil"/>
              <w:left w:val="nil"/>
              <w:bottom w:val="nil"/>
              <w:right w:val="nil"/>
            </w:tcBorders>
            <w:shd w:val="clear" w:color="auto" w:fill="auto"/>
            <w:vAlign w:val="center"/>
          </w:tcPr>
          <w:p w14:paraId="1C9369A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76</w:t>
            </w:r>
          </w:p>
        </w:tc>
      </w:tr>
      <w:tr w:rsidR="00376689" w:rsidRPr="008A5C48" w14:paraId="14319C9B" w14:textId="77777777" w:rsidTr="002A4F43">
        <w:trPr>
          <w:trHeight w:val="215"/>
          <w:jc w:val="center"/>
        </w:trPr>
        <w:tc>
          <w:tcPr>
            <w:tcW w:w="1778" w:type="dxa"/>
            <w:tcBorders>
              <w:top w:val="nil"/>
              <w:left w:val="nil"/>
              <w:bottom w:val="nil"/>
              <w:right w:val="nil"/>
            </w:tcBorders>
            <w:shd w:val="clear" w:color="auto" w:fill="auto"/>
            <w:vAlign w:val="center"/>
          </w:tcPr>
          <w:p w14:paraId="221479D0"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Lden</w:t>
            </w:r>
            <w:proofErr w:type="spellEnd"/>
            <w:r w:rsidRPr="008A5C48">
              <w:rPr>
                <w:rFonts w:ascii="Times New Roman" w:eastAsia="Times New Roman" w:hAnsi="Times New Roman" w:cs="Times New Roman"/>
                <w:sz w:val="20"/>
                <w:szCs w:val="20"/>
              </w:rPr>
              <w:t xml:space="preserve"> - school</w:t>
            </w:r>
          </w:p>
        </w:tc>
        <w:tc>
          <w:tcPr>
            <w:tcW w:w="1109" w:type="dxa"/>
            <w:tcBorders>
              <w:top w:val="nil"/>
              <w:left w:val="nil"/>
              <w:bottom w:val="nil"/>
              <w:right w:val="nil"/>
            </w:tcBorders>
            <w:shd w:val="clear" w:color="auto" w:fill="auto"/>
            <w:vAlign w:val="center"/>
          </w:tcPr>
          <w:p w14:paraId="0691D6D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dB(A)</w:t>
            </w:r>
          </w:p>
        </w:tc>
        <w:tc>
          <w:tcPr>
            <w:tcW w:w="1136" w:type="dxa"/>
            <w:tcBorders>
              <w:top w:val="nil"/>
              <w:left w:val="nil"/>
              <w:bottom w:val="nil"/>
              <w:right w:val="nil"/>
            </w:tcBorders>
            <w:shd w:val="clear" w:color="auto" w:fill="auto"/>
            <w:vAlign w:val="center"/>
          </w:tcPr>
          <w:p w14:paraId="23EAB08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7D82B8A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883 (67.9%)</w:t>
            </w:r>
          </w:p>
        </w:tc>
        <w:tc>
          <w:tcPr>
            <w:tcW w:w="568" w:type="dxa"/>
            <w:tcBorders>
              <w:top w:val="nil"/>
              <w:left w:val="nil"/>
              <w:bottom w:val="nil"/>
              <w:right w:val="nil"/>
            </w:tcBorders>
            <w:shd w:val="clear" w:color="auto" w:fill="auto"/>
            <w:vAlign w:val="center"/>
          </w:tcPr>
          <w:p w14:paraId="1AF3C74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32.2</w:t>
            </w:r>
          </w:p>
        </w:tc>
        <w:tc>
          <w:tcPr>
            <w:tcW w:w="868" w:type="dxa"/>
            <w:tcBorders>
              <w:top w:val="nil"/>
              <w:left w:val="nil"/>
              <w:bottom w:val="nil"/>
              <w:right w:val="nil"/>
            </w:tcBorders>
            <w:shd w:val="clear" w:color="auto" w:fill="auto"/>
            <w:vAlign w:val="center"/>
          </w:tcPr>
          <w:p w14:paraId="1531919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50</w:t>
            </w:r>
          </w:p>
        </w:tc>
        <w:tc>
          <w:tcPr>
            <w:tcW w:w="874" w:type="dxa"/>
            <w:tcBorders>
              <w:top w:val="nil"/>
              <w:left w:val="nil"/>
              <w:bottom w:val="nil"/>
              <w:right w:val="nil"/>
            </w:tcBorders>
            <w:shd w:val="clear" w:color="auto" w:fill="auto"/>
            <w:vAlign w:val="center"/>
          </w:tcPr>
          <w:p w14:paraId="29AB25A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52</w:t>
            </w:r>
          </w:p>
        </w:tc>
        <w:tc>
          <w:tcPr>
            <w:tcW w:w="868" w:type="dxa"/>
            <w:tcBorders>
              <w:top w:val="nil"/>
              <w:left w:val="nil"/>
              <w:bottom w:val="nil"/>
              <w:right w:val="nil"/>
            </w:tcBorders>
            <w:shd w:val="clear" w:color="auto" w:fill="auto"/>
            <w:vAlign w:val="center"/>
          </w:tcPr>
          <w:p w14:paraId="25D10CD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61.4</w:t>
            </w:r>
          </w:p>
        </w:tc>
        <w:tc>
          <w:tcPr>
            <w:tcW w:w="874" w:type="dxa"/>
            <w:tcBorders>
              <w:top w:val="nil"/>
              <w:left w:val="nil"/>
              <w:bottom w:val="nil"/>
              <w:right w:val="nil"/>
            </w:tcBorders>
            <w:shd w:val="clear" w:color="auto" w:fill="auto"/>
            <w:vAlign w:val="center"/>
          </w:tcPr>
          <w:p w14:paraId="5FE5F69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76</w:t>
            </w:r>
          </w:p>
        </w:tc>
      </w:tr>
      <w:tr w:rsidR="00376689" w:rsidRPr="008A5C48" w14:paraId="6B261EB3" w14:textId="77777777" w:rsidTr="002A4F43">
        <w:trPr>
          <w:trHeight w:val="215"/>
          <w:jc w:val="center"/>
        </w:trPr>
        <w:tc>
          <w:tcPr>
            <w:tcW w:w="1778" w:type="dxa"/>
            <w:tcBorders>
              <w:top w:val="nil"/>
              <w:left w:val="nil"/>
              <w:bottom w:val="nil"/>
              <w:right w:val="nil"/>
            </w:tcBorders>
            <w:shd w:val="clear" w:color="auto" w:fill="auto"/>
            <w:vAlign w:val="center"/>
          </w:tcPr>
          <w:p w14:paraId="4E519E0E"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Ln - home</w:t>
            </w:r>
          </w:p>
        </w:tc>
        <w:tc>
          <w:tcPr>
            <w:tcW w:w="1109" w:type="dxa"/>
            <w:tcBorders>
              <w:top w:val="nil"/>
              <w:left w:val="nil"/>
              <w:bottom w:val="nil"/>
              <w:right w:val="nil"/>
            </w:tcBorders>
            <w:shd w:val="clear" w:color="auto" w:fill="auto"/>
            <w:vAlign w:val="center"/>
          </w:tcPr>
          <w:p w14:paraId="2C295E5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dB(A)</w:t>
            </w:r>
          </w:p>
        </w:tc>
        <w:tc>
          <w:tcPr>
            <w:tcW w:w="1136" w:type="dxa"/>
            <w:tcBorders>
              <w:top w:val="nil"/>
              <w:left w:val="nil"/>
              <w:bottom w:val="nil"/>
              <w:right w:val="nil"/>
            </w:tcBorders>
            <w:shd w:val="clear" w:color="auto" w:fill="auto"/>
            <w:vAlign w:val="center"/>
          </w:tcPr>
          <w:p w14:paraId="4A14447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0693201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524 (40.3%)</w:t>
            </w:r>
          </w:p>
        </w:tc>
        <w:tc>
          <w:tcPr>
            <w:tcW w:w="568" w:type="dxa"/>
            <w:tcBorders>
              <w:top w:val="nil"/>
              <w:left w:val="nil"/>
              <w:bottom w:val="nil"/>
              <w:right w:val="nil"/>
            </w:tcBorders>
            <w:shd w:val="clear" w:color="auto" w:fill="auto"/>
            <w:vAlign w:val="center"/>
          </w:tcPr>
          <w:p w14:paraId="5542AED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34.1</w:t>
            </w:r>
          </w:p>
        </w:tc>
        <w:tc>
          <w:tcPr>
            <w:tcW w:w="868" w:type="dxa"/>
            <w:tcBorders>
              <w:top w:val="nil"/>
              <w:left w:val="nil"/>
              <w:bottom w:val="nil"/>
              <w:right w:val="nil"/>
            </w:tcBorders>
            <w:shd w:val="clear" w:color="auto" w:fill="auto"/>
            <w:vAlign w:val="center"/>
          </w:tcPr>
          <w:p w14:paraId="7A39D5C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50</w:t>
            </w:r>
          </w:p>
        </w:tc>
        <w:tc>
          <w:tcPr>
            <w:tcW w:w="874" w:type="dxa"/>
            <w:tcBorders>
              <w:top w:val="nil"/>
              <w:left w:val="nil"/>
              <w:bottom w:val="nil"/>
              <w:right w:val="nil"/>
            </w:tcBorders>
            <w:shd w:val="clear" w:color="auto" w:fill="auto"/>
            <w:vAlign w:val="center"/>
          </w:tcPr>
          <w:p w14:paraId="17CA25A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50</w:t>
            </w:r>
          </w:p>
        </w:tc>
        <w:tc>
          <w:tcPr>
            <w:tcW w:w="868" w:type="dxa"/>
            <w:tcBorders>
              <w:top w:val="nil"/>
              <w:left w:val="nil"/>
              <w:bottom w:val="nil"/>
              <w:right w:val="nil"/>
            </w:tcBorders>
            <w:shd w:val="clear" w:color="auto" w:fill="auto"/>
            <w:vAlign w:val="center"/>
          </w:tcPr>
          <w:p w14:paraId="411452A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52</w:t>
            </w:r>
          </w:p>
        </w:tc>
        <w:tc>
          <w:tcPr>
            <w:tcW w:w="874" w:type="dxa"/>
            <w:tcBorders>
              <w:top w:val="nil"/>
              <w:left w:val="nil"/>
              <w:bottom w:val="nil"/>
              <w:right w:val="nil"/>
            </w:tcBorders>
            <w:shd w:val="clear" w:color="auto" w:fill="auto"/>
            <w:vAlign w:val="center"/>
          </w:tcPr>
          <w:p w14:paraId="43B3FE0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68</w:t>
            </w:r>
          </w:p>
        </w:tc>
      </w:tr>
      <w:tr w:rsidR="00376689" w:rsidRPr="008A5C48" w14:paraId="36DDEAE5" w14:textId="77777777" w:rsidTr="002A4F43">
        <w:trPr>
          <w:trHeight w:val="215"/>
          <w:jc w:val="center"/>
        </w:trPr>
        <w:tc>
          <w:tcPr>
            <w:tcW w:w="1778" w:type="dxa"/>
            <w:tcBorders>
              <w:top w:val="nil"/>
              <w:left w:val="nil"/>
              <w:bottom w:val="nil"/>
              <w:right w:val="nil"/>
            </w:tcBorders>
            <w:shd w:val="clear" w:color="auto" w:fill="auto"/>
            <w:vAlign w:val="center"/>
          </w:tcPr>
          <w:p w14:paraId="30749B09"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Ln - school</w:t>
            </w:r>
          </w:p>
        </w:tc>
        <w:tc>
          <w:tcPr>
            <w:tcW w:w="1109" w:type="dxa"/>
            <w:tcBorders>
              <w:top w:val="nil"/>
              <w:left w:val="nil"/>
              <w:bottom w:val="nil"/>
              <w:right w:val="nil"/>
            </w:tcBorders>
            <w:shd w:val="clear" w:color="auto" w:fill="auto"/>
            <w:vAlign w:val="center"/>
          </w:tcPr>
          <w:p w14:paraId="046C723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dB(A)</w:t>
            </w:r>
          </w:p>
        </w:tc>
        <w:tc>
          <w:tcPr>
            <w:tcW w:w="1136" w:type="dxa"/>
            <w:tcBorders>
              <w:top w:val="nil"/>
              <w:left w:val="nil"/>
              <w:bottom w:val="nil"/>
              <w:right w:val="nil"/>
            </w:tcBorders>
            <w:shd w:val="clear" w:color="auto" w:fill="auto"/>
            <w:vAlign w:val="center"/>
          </w:tcPr>
          <w:p w14:paraId="4F66D94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37A9B00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523 (40.2%)</w:t>
            </w:r>
          </w:p>
        </w:tc>
        <w:tc>
          <w:tcPr>
            <w:tcW w:w="568" w:type="dxa"/>
            <w:tcBorders>
              <w:top w:val="nil"/>
              <w:left w:val="nil"/>
              <w:bottom w:val="nil"/>
              <w:right w:val="nil"/>
            </w:tcBorders>
            <w:shd w:val="clear" w:color="auto" w:fill="auto"/>
            <w:vAlign w:val="center"/>
          </w:tcPr>
          <w:p w14:paraId="03D33B2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31.3</w:t>
            </w:r>
          </w:p>
        </w:tc>
        <w:tc>
          <w:tcPr>
            <w:tcW w:w="868" w:type="dxa"/>
            <w:tcBorders>
              <w:top w:val="nil"/>
              <w:left w:val="nil"/>
              <w:bottom w:val="nil"/>
              <w:right w:val="nil"/>
            </w:tcBorders>
            <w:shd w:val="clear" w:color="auto" w:fill="auto"/>
            <w:vAlign w:val="center"/>
          </w:tcPr>
          <w:p w14:paraId="5991715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50</w:t>
            </w:r>
          </w:p>
        </w:tc>
        <w:tc>
          <w:tcPr>
            <w:tcW w:w="874" w:type="dxa"/>
            <w:tcBorders>
              <w:top w:val="nil"/>
              <w:left w:val="nil"/>
              <w:bottom w:val="nil"/>
              <w:right w:val="nil"/>
            </w:tcBorders>
            <w:shd w:val="clear" w:color="auto" w:fill="auto"/>
            <w:vAlign w:val="center"/>
          </w:tcPr>
          <w:p w14:paraId="3BB590C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50</w:t>
            </w:r>
          </w:p>
        </w:tc>
        <w:tc>
          <w:tcPr>
            <w:tcW w:w="868" w:type="dxa"/>
            <w:tcBorders>
              <w:top w:val="nil"/>
              <w:left w:val="nil"/>
              <w:bottom w:val="nil"/>
              <w:right w:val="nil"/>
            </w:tcBorders>
            <w:shd w:val="clear" w:color="auto" w:fill="auto"/>
            <w:vAlign w:val="center"/>
          </w:tcPr>
          <w:p w14:paraId="3F7F5C3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50</w:t>
            </w:r>
          </w:p>
        </w:tc>
        <w:tc>
          <w:tcPr>
            <w:tcW w:w="874" w:type="dxa"/>
            <w:tcBorders>
              <w:top w:val="nil"/>
              <w:left w:val="nil"/>
              <w:bottom w:val="nil"/>
              <w:right w:val="nil"/>
            </w:tcBorders>
            <w:shd w:val="clear" w:color="auto" w:fill="auto"/>
            <w:vAlign w:val="center"/>
          </w:tcPr>
          <w:p w14:paraId="14024A0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68</w:t>
            </w:r>
          </w:p>
        </w:tc>
      </w:tr>
      <w:tr w:rsidR="00376689" w:rsidRPr="008A5C48" w14:paraId="5C3203E2" w14:textId="77777777" w:rsidTr="002A4F43">
        <w:trPr>
          <w:trHeight w:val="106"/>
          <w:jc w:val="center"/>
        </w:trPr>
        <w:tc>
          <w:tcPr>
            <w:tcW w:w="1778" w:type="dxa"/>
            <w:tcBorders>
              <w:top w:val="nil"/>
              <w:left w:val="nil"/>
              <w:bottom w:val="nil"/>
              <w:right w:val="nil"/>
            </w:tcBorders>
            <w:shd w:val="clear" w:color="auto" w:fill="auto"/>
            <w:vAlign w:val="center"/>
          </w:tcPr>
          <w:p w14:paraId="7A89278F"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Lden</w:t>
            </w:r>
            <w:proofErr w:type="spellEnd"/>
            <w:r w:rsidRPr="008A5C48">
              <w:rPr>
                <w:rFonts w:ascii="Times New Roman" w:eastAsia="Times New Roman" w:hAnsi="Times New Roman" w:cs="Times New Roman"/>
                <w:sz w:val="20"/>
                <w:szCs w:val="20"/>
              </w:rPr>
              <w:t xml:space="preserve"> </w:t>
            </w:r>
          </w:p>
        </w:tc>
        <w:tc>
          <w:tcPr>
            <w:tcW w:w="1109" w:type="dxa"/>
            <w:tcBorders>
              <w:top w:val="nil"/>
              <w:left w:val="nil"/>
              <w:bottom w:val="nil"/>
              <w:right w:val="nil"/>
            </w:tcBorders>
            <w:shd w:val="clear" w:color="auto" w:fill="auto"/>
            <w:vAlign w:val="center"/>
          </w:tcPr>
          <w:p w14:paraId="7ABF870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dB(A)</w:t>
            </w:r>
          </w:p>
        </w:tc>
        <w:tc>
          <w:tcPr>
            <w:tcW w:w="1136" w:type="dxa"/>
            <w:tcBorders>
              <w:top w:val="nil"/>
              <w:left w:val="nil"/>
              <w:bottom w:val="nil"/>
              <w:right w:val="nil"/>
            </w:tcBorders>
            <w:shd w:val="clear" w:color="auto" w:fill="auto"/>
            <w:vAlign w:val="center"/>
          </w:tcPr>
          <w:p w14:paraId="20AB9E3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72E15DE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899 (69.1%)</w:t>
            </w:r>
          </w:p>
        </w:tc>
        <w:tc>
          <w:tcPr>
            <w:tcW w:w="568" w:type="dxa"/>
            <w:tcBorders>
              <w:top w:val="nil"/>
              <w:left w:val="nil"/>
              <w:bottom w:val="nil"/>
              <w:right w:val="nil"/>
            </w:tcBorders>
            <w:shd w:val="clear" w:color="auto" w:fill="auto"/>
            <w:vAlign w:val="center"/>
          </w:tcPr>
          <w:p w14:paraId="4ADC2A0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33.5</w:t>
            </w:r>
          </w:p>
        </w:tc>
        <w:tc>
          <w:tcPr>
            <w:tcW w:w="868" w:type="dxa"/>
            <w:tcBorders>
              <w:top w:val="nil"/>
              <w:left w:val="nil"/>
              <w:bottom w:val="nil"/>
              <w:right w:val="nil"/>
            </w:tcBorders>
            <w:shd w:val="clear" w:color="auto" w:fill="auto"/>
            <w:vAlign w:val="center"/>
          </w:tcPr>
          <w:p w14:paraId="7B462B5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50</w:t>
            </w:r>
          </w:p>
        </w:tc>
        <w:tc>
          <w:tcPr>
            <w:tcW w:w="874" w:type="dxa"/>
            <w:tcBorders>
              <w:top w:val="nil"/>
              <w:left w:val="nil"/>
              <w:bottom w:val="nil"/>
              <w:right w:val="nil"/>
            </w:tcBorders>
            <w:shd w:val="clear" w:color="auto" w:fill="auto"/>
            <w:vAlign w:val="center"/>
          </w:tcPr>
          <w:p w14:paraId="4DF94A5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57.4</w:t>
            </w:r>
          </w:p>
        </w:tc>
        <w:tc>
          <w:tcPr>
            <w:tcW w:w="868" w:type="dxa"/>
            <w:tcBorders>
              <w:top w:val="nil"/>
              <w:left w:val="nil"/>
              <w:bottom w:val="nil"/>
              <w:right w:val="nil"/>
            </w:tcBorders>
            <w:shd w:val="clear" w:color="auto" w:fill="auto"/>
            <w:vAlign w:val="center"/>
          </w:tcPr>
          <w:p w14:paraId="6FA5221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63</w:t>
            </w:r>
          </w:p>
        </w:tc>
        <w:tc>
          <w:tcPr>
            <w:tcW w:w="874" w:type="dxa"/>
            <w:tcBorders>
              <w:top w:val="nil"/>
              <w:left w:val="nil"/>
              <w:bottom w:val="nil"/>
              <w:right w:val="nil"/>
            </w:tcBorders>
            <w:shd w:val="clear" w:color="auto" w:fill="auto"/>
            <w:vAlign w:val="center"/>
          </w:tcPr>
          <w:p w14:paraId="2D1A120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77.4</w:t>
            </w:r>
          </w:p>
        </w:tc>
      </w:tr>
      <w:tr w:rsidR="00376689" w:rsidRPr="008A5C48" w14:paraId="1BC0F824" w14:textId="77777777" w:rsidTr="002A4F43">
        <w:trPr>
          <w:trHeight w:val="106"/>
          <w:jc w:val="center"/>
        </w:trPr>
        <w:tc>
          <w:tcPr>
            <w:tcW w:w="1778" w:type="dxa"/>
            <w:tcBorders>
              <w:top w:val="nil"/>
              <w:left w:val="nil"/>
              <w:bottom w:val="nil"/>
              <w:right w:val="nil"/>
            </w:tcBorders>
            <w:shd w:val="clear" w:color="auto" w:fill="auto"/>
            <w:vAlign w:val="center"/>
          </w:tcPr>
          <w:p w14:paraId="05CBEC8B"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Ln </w:t>
            </w:r>
          </w:p>
        </w:tc>
        <w:tc>
          <w:tcPr>
            <w:tcW w:w="1109" w:type="dxa"/>
            <w:tcBorders>
              <w:top w:val="nil"/>
              <w:left w:val="nil"/>
              <w:bottom w:val="nil"/>
              <w:right w:val="nil"/>
            </w:tcBorders>
            <w:shd w:val="clear" w:color="auto" w:fill="auto"/>
            <w:vAlign w:val="center"/>
          </w:tcPr>
          <w:p w14:paraId="7B3E322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dB(A)</w:t>
            </w:r>
          </w:p>
        </w:tc>
        <w:tc>
          <w:tcPr>
            <w:tcW w:w="1136" w:type="dxa"/>
            <w:tcBorders>
              <w:top w:val="nil"/>
              <w:left w:val="nil"/>
              <w:bottom w:val="nil"/>
              <w:right w:val="nil"/>
            </w:tcBorders>
            <w:shd w:val="clear" w:color="auto" w:fill="auto"/>
            <w:vAlign w:val="center"/>
          </w:tcPr>
          <w:p w14:paraId="1C1657E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20374E6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526 (40.4%)</w:t>
            </w:r>
          </w:p>
        </w:tc>
        <w:tc>
          <w:tcPr>
            <w:tcW w:w="568" w:type="dxa"/>
            <w:tcBorders>
              <w:top w:val="nil"/>
              <w:left w:val="nil"/>
              <w:bottom w:val="nil"/>
              <w:right w:val="nil"/>
            </w:tcBorders>
            <w:shd w:val="clear" w:color="auto" w:fill="auto"/>
            <w:vAlign w:val="center"/>
          </w:tcPr>
          <w:p w14:paraId="04C7873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32.8</w:t>
            </w:r>
          </w:p>
        </w:tc>
        <w:tc>
          <w:tcPr>
            <w:tcW w:w="868" w:type="dxa"/>
            <w:tcBorders>
              <w:top w:val="nil"/>
              <w:left w:val="nil"/>
              <w:bottom w:val="nil"/>
              <w:right w:val="nil"/>
            </w:tcBorders>
            <w:shd w:val="clear" w:color="auto" w:fill="auto"/>
            <w:vAlign w:val="center"/>
          </w:tcPr>
          <w:p w14:paraId="759AC22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50</w:t>
            </w:r>
          </w:p>
        </w:tc>
        <w:tc>
          <w:tcPr>
            <w:tcW w:w="874" w:type="dxa"/>
            <w:tcBorders>
              <w:top w:val="nil"/>
              <w:left w:val="nil"/>
              <w:bottom w:val="nil"/>
              <w:right w:val="nil"/>
            </w:tcBorders>
            <w:shd w:val="clear" w:color="auto" w:fill="auto"/>
            <w:vAlign w:val="center"/>
          </w:tcPr>
          <w:p w14:paraId="4D178AC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50</w:t>
            </w:r>
          </w:p>
        </w:tc>
        <w:tc>
          <w:tcPr>
            <w:tcW w:w="868" w:type="dxa"/>
            <w:tcBorders>
              <w:top w:val="nil"/>
              <w:left w:val="nil"/>
              <w:bottom w:val="nil"/>
              <w:right w:val="nil"/>
            </w:tcBorders>
            <w:shd w:val="clear" w:color="auto" w:fill="auto"/>
            <w:vAlign w:val="center"/>
          </w:tcPr>
          <w:p w14:paraId="1B3456C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53.6</w:t>
            </w:r>
          </w:p>
        </w:tc>
        <w:tc>
          <w:tcPr>
            <w:tcW w:w="874" w:type="dxa"/>
            <w:tcBorders>
              <w:top w:val="nil"/>
              <w:left w:val="nil"/>
              <w:bottom w:val="nil"/>
              <w:right w:val="nil"/>
            </w:tcBorders>
            <w:shd w:val="clear" w:color="auto" w:fill="auto"/>
            <w:vAlign w:val="center"/>
          </w:tcPr>
          <w:p w14:paraId="41F2D42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69.8</w:t>
            </w:r>
          </w:p>
        </w:tc>
      </w:tr>
      <w:tr w:rsidR="00376689" w:rsidRPr="008A5C48" w14:paraId="0DF15268" w14:textId="77777777" w:rsidTr="002A4F43">
        <w:trPr>
          <w:trHeight w:val="106"/>
          <w:jc w:val="center"/>
        </w:trPr>
        <w:tc>
          <w:tcPr>
            <w:tcW w:w="1778" w:type="dxa"/>
            <w:tcBorders>
              <w:top w:val="nil"/>
              <w:left w:val="nil"/>
              <w:bottom w:val="nil"/>
              <w:right w:val="nil"/>
            </w:tcBorders>
            <w:shd w:val="clear" w:color="auto" w:fill="auto"/>
            <w:vAlign w:val="center"/>
          </w:tcPr>
          <w:p w14:paraId="54FC441C"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
        </w:tc>
        <w:tc>
          <w:tcPr>
            <w:tcW w:w="1109" w:type="dxa"/>
            <w:tcBorders>
              <w:top w:val="nil"/>
              <w:left w:val="nil"/>
              <w:bottom w:val="nil"/>
              <w:right w:val="nil"/>
            </w:tcBorders>
            <w:shd w:val="clear" w:color="auto" w:fill="auto"/>
            <w:vAlign w:val="center"/>
          </w:tcPr>
          <w:p w14:paraId="6CCDC78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2D6B77D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223" w:type="dxa"/>
            <w:tcBorders>
              <w:top w:val="nil"/>
              <w:left w:val="nil"/>
              <w:bottom w:val="nil"/>
              <w:right w:val="nil"/>
            </w:tcBorders>
            <w:shd w:val="clear" w:color="auto" w:fill="auto"/>
            <w:vAlign w:val="center"/>
          </w:tcPr>
          <w:p w14:paraId="0EE0E37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568" w:type="dxa"/>
            <w:tcBorders>
              <w:top w:val="nil"/>
              <w:left w:val="nil"/>
              <w:bottom w:val="nil"/>
              <w:right w:val="nil"/>
            </w:tcBorders>
            <w:shd w:val="clear" w:color="auto" w:fill="auto"/>
            <w:vAlign w:val="center"/>
          </w:tcPr>
          <w:p w14:paraId="648267A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79D03AD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446DAED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3ED8F6B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247DECC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r>
      <w:tr w:rsidR="00376689" w:rsidRPr="008A5C48" w14:paraId="3AA8F715" w14:textId="77777777" w:rsidTr="002A4F43">
        <w:trPr>
          <w:trHeight w:val="106"/>
          <w:jc w:val="center"/>
        </w:trPr>
        <w:tc>
          <w:tcPr>
            <w:tcW w:w="1778" w:type="dxa"/>
            <w:tcBorders>
              <w:top w:val="nil"/>
              <w:left w:val="nil"/>
              <w:bottom w:val="nil"/>
              <w:right w:val="nil"/>
            </w:tcBorders>
            <w:shd w:val="clear" w:color="auto" w:fill="auto"/>
            <w:vAlign w:val="center"/>
          </w:tcPr>
          <w:p w14:paraId="7DF31786"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b/>
                <w:color w:val="000000"/>
                <w:sz w:val="20"/>
                <w:szCs w:val="20"/>
              </w:rPr>
              <w:t>Water DBPs</w:t>
            </w:r>
          </w:p>
        </w:tc>
        <w:tc>
          <w:tcPr>
            <w:tcW w:w="1109" w:type="dxa"/>
            <w:tcBorders>
              <w:top w:val="nil"/>
              <w:left w:val="nil"/>
              <w:bottom w:val="nil"/>
              <w:right w:val="nil"/>
            </w:tcBorders>
            <w:shd w:val="clear" w:color="auto" w:fill="auto"/>
            <w:vAlign w:val="center"/>
          </w:tcPr>
          <w:p w14:paraId="71DA754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64D1F98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223" w:type="dxa"/>
            <w:tcBorders>
              <w:top w:val="nil"/>
              <w:left w:val="nil"/>
              <w:bottom w:val="nil"/>
              <w:right w:val="nil"/>
            </w:tcBorders>
            <w:shd w:val="clear" w:color="auto" w:fill="auto"/>
            <w:vAlign w:val="center"/>
          </w:tcPr>
          <w:p w14:paraId="665EE76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568" w:type="dxa"/>
            <w:tcBorders>
              <w:top w:val="nil"/>
              <w:left w:val="nil"/>
              <w:bottom w:val="nil"/>
              <w:right w:val="nil"/>
            </w:tcBorders>
            <w:shd w:val="clear" w:color="auto" w:fill="auto"/>
            <w:vAlign w:val="center"/>
          </w:tcPr>
          <w:p w14:paraId="61DFD35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62BCE0D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030B7A1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6A56BAB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1C45BE7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r>
      <w:tr w:rsidR="00376689" w:rsidRPr="008A5C48" w14:paraId="5C80CE5E" w14:textId="77777777" w:rsidTr="002A4F43">
        <w:trPr>
          <w:trHeight w:val="106"/>
          <w:jc w:val="center"/>
        </w:trPr>
        <w:tc>
          <w:tcPr>
            <w:tcW w:w="1778" w:type="dxa"/>
            <w:tcBorders>
              <w:top w:val="nil"/>
              <w:left w:val="nil"/>
              <w:bottom w:val="nil"/>
              <w:right w:val="nil"/>
            </w:tcBorders>
            <w:shd w:val="clear" w:color="auto" w:fill="auto"/>
            <w:vAlign w:val="center"/>
          </w:tcPr>
          <w:p w14:paraId="7F1BB345"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lastRenderedPageBreak/>
              <w:t>THM</w:t>
            </w:r>
          </w:p>
        </w:tc>
        <w:tc>
          <w:tcPr>
            <w:tcW w:w="1109" w:type="dxa"/>
            <w:tcBorders>
              <w:top w:val="nil"/>
              <w:left w:val="nil"/>
              <w:bottom w:val="nil"/>
              <w:right w:val="nil"/>
            </w:tcBorders>
            <w:shd w:val="clear" w:color="auto" w:fill="auto"/>
            <w:vAlign w:val="center"/>
          </w:tcPr>
          <w:p w14:paraId="64B96BA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w:t>
            </w:r>
            <w:proofErr w:type="spellStart"/>
            <w:r w:rsidRPr="008A5C48">
              <w:rPr>
                <w:rFonts w:ascii="Times New Roman" w:eastAsia="Times New Roman" w:hAnsi="Times New Roman" w:cs="Times New Roman"/>
                <w:sz w:val="20"/>
                <w:szCs w:val="20"/>
              </w:rPr>
              <w:t>μg</w:t>
            </w:r>
            <w:proofErr w:type="spellEnd"/>
            <w:r w:rsidRPr="008A5C48">
              <w:rPr>
                <w:rFonts w:ascii="Times New Roman" w:eastAsia="Times New Roman" w:hAnsi="Times New Roman" w:cs="Times New Roman"/>
                <w:sz w:val="20"/>
                <w:szCs w:val="20"/>
              </w:rPr>
              <w:t>/L</w:t>
            </w:r>
          </w:p>
        </w:tc>
        <w:tc>
          <w:tcPr>
            <w:tcW w:w="1136" w:type="dxa"/>
            <w:tcBorders>
              <w:top w:val="nil"/>
              <w:left w:val="nil"/>
              <w:bottom w:val="nil"/>
              <w:right w:val="nil"/>
            </w:tcBorders>
            <w:shd w:val="clear" w:color="auto" w:fill="auto"/>
            <w:vAlign w:val="center"/>
          </w:tcPr>
          <w:p w14:paraId="3864D7B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0FB54C39"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1112 (85.5%)</w:t>
            </w:r>
          </w:p>
        </w:tc>
        <w:tc>
          <w:tcPr>
            <w:tcW w:w="568" w:type="dxa"/>
            <w:tcBorders>
              <w:top w:val="nil"/>
              <w:left w:val="nil"/>
              <w:bottom w:val="nil"/>
              <w:right w:val="nil"/>
            </w:tcBorders>
            <w:shd w:val="clear" w:color="auto" w:fill="auto"/>
            <w:vAlign w:val="center"/>
          </w:tcPr>
          <w:p w14:paraId="3939E30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4.1</w:t>
            </w:r>
          </w:p>
        </w:tc>
        <w:tc>
          <w:tcPr>
            <w:tcW w:w="868" w:type="dxa"/>
            <w:tcBorders>
              <w:top w:val="nil"/>
              <w:left w:val="nil"/>
              <w:bottom w:val="nil"/>
              <w:right w:val="nil"/>
            </w:tcBorders>
            <w:shd w:val="clear" w:color="auto" w:fill="auto"/>
            <w:vAlign w:val="center"/>
          </w:tcPr>
          <w:p w14:paraId="7CC73F7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8.17</w:t>
            </w:r>
          </w:p>
        </w:tc>
        <w:tc>
          <w:tcPr>
            <w:tcW w:w="874" w:type="dxa"/>
            <w:tcBorders>
              <w:top w:val="nil"/>
              <w:left w:val="nil"/>
              <w:bottom w:val="nil"/>
              <w:right w:val="nil"/>
            </w:tcBorders>
            <w:shd w:val="clear" w:color="auto" w:fill="auto"/>
            <w:vAlign w:val="center"/>
          </w:tcPr>
          <w:p w14:paraId="02DB5DE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17.81</w:t>
            </w:r>
          </w:p>
        </w:tc>
        <w:tc>
          <w:tcPr>
            <w:tcW w:w="868" w:type="dxa"/>
            <w:tcBorders>
              <w:top w:val="nil"/>
              <w:left w:val="nil"/>
              <w:bottom w:val="nil"/>
              <w:right w:val="nil"/>
            </w:tcBorders>
            <w:shd w:val="clear" w:color="auto" w:fill="auto"/>
            <w:vAlign w:val="center"/>
          </w:tcPr>
          <w:p w14:paraId="34AD2E8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48.42</w:t>
            </w:r>
          </w:p>
        </w:tc>
        <w:tc>
          <w:tcPr>
            <w:tcW w:w="874" w:type="dxa"/>
            <w:tcBorders>
              <w:top w:val="nil"/>
              <w:left w:val="nil"/>
              <w:bottom w:val="nil"/>
              <w:right w:val="nil"/>
            </w:tcBorders>
            <w:shd w:val="clear" w:color="auto" w:fill="auto"/>
            <w:vAlign w:val="center"/>
          </w:tcPr>
          <w:p w14:paraId="72DE7D7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157.59</w:t>
            </w:r>
          </w:p>
        </w:tc>
      </w:tr>
      <w:tr w:rsidR="00376689" w:rsidRPr="008A5C48" w14:paraId="1BB7282A" w14:textId="77777777" w:rsidTr="002A4F43">
        <w:trPr>
          <w:trHeight w:val="106"/>
          <w:jc w:val="center"/>
        </w:trPr>
        <w:tc>
          <w:tcPr>
            <w:tcW w:w="1778" w:type="dxa"/>
            <w:tcBorders>
              <w:top w:val="nil"/>
              <w:left w:val="nil"/>
              <w:bottom w:val="nil"/>
              <w:right w:val="nil"/>
            </w:tcBorders>
            <w:shd w:val="clear" w:color="auto" w:fill="auto"/>
            <w:vAlign w:val="center"/>
          </w:tcPr>
          <w:p w14:paraId="5479E18F"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Brominated THMs</w:t>
            </w:r>
          </w:p>
        </w:tc>
        <w:tc>
          <w:tcPr>
            <w:tcW w:w="1109" w:type="dxa"/>
            <w:tcBorders>
              <w:top w:val="nil"/>
              <w:left w:val="nil"/>
              <w:bottom w:val="nil"/>
              <w:right w:val="nil"/>
            </w:tcBorders>
            <w:shd w:val="clear" w:color="auto" w:fill="auto"/>
            <w:vAlign w:val="center"/>
          </w:tcPr>
          <w:p w14:paraId="62CF1CF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w:t>
            </w:r>
            <w:proofErr w:type="spellStart"/>
            <w:r w:rsidRPr="008A5C48">
              <w:rPr>
                <w:rFonts w:ascii="Times New Roman" w:eastAsia="Times New Roman" w:hAnsi="Times New Roman" w:cs="Times New Roman"/>
                <w:sz w:val="20"/>
                <w:szCs w:val="20"/>
              </w:rPr>
              <w:t>μg</w:t>
            </w:r>
            <w:proofErr w:type="spellEnd"/>
            <w:r w:rsidRPr="008A5C48">
              <w:rPr>
                <w:rFonts w:ascii="Times New Roman" w:eastAsia="Times New Roman" w:hAnsi="Times New Roman" w:cs="Times New Roman"/>
                <w:sz w:val="20"/>
                <w:szCs w:val="20"/>
              </w:rPr>
              <w:t>/L</w:t>
            </w:r>
          </w:p>
        </w:tc>
        <w:tc>
          <w:tcPr>
            <w:tcW w:w="1136" w:type="dxa"/>
            <w:tcBorders>
              <w:top w:val="nil"/>
              <w:left w:val="nil"/>
              <w:bottom w:val="nil"/>
              <w:right w:val="nil"/>
            </w:tcBorders>
            <w:shd w:val="clear" w:color="auto" w:fill="auto"/>
            <w:vAlign w:val="center"/>
          </w:tcPr>
          <w:p w14:paraId="3E98014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68760C2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1112 (85.5%)</w:t>
            </w:r>
          </w:p>
        </w:tc>
        <w:tc>
          <w:tcPr>
            <w:tcW w:w="568" w:type="dxa"/>
            <w:tcBorders>
              <w:top w:val="nil"/>
              <w:left w:val="nil"/>
              <w:bottom w:val="nil"/>
              <w:right w:val="nil"/>
            </w:tcBorders>
            <w:shd w:val="clear" w:color="auto" w:fill="auto"/>
            <w:vAlign w:val="center"/>
          </w:tcPr>
          <w:p w14:paraId="13BD550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0.52</w:t>
            </w:r>
          </w:p>
        </w:tc>
        <w:tc>
          <w:tcPr>
            <w:tcW w:w="868" w:type="dxa"/>
            <w:tcBorders>
              <w:top w:val="nil"/>
              <w:left w:val="nil"/>
              <w:bottom w:val="nil"/>
              <w:right w:val="nil"/>
            </w:tcBorders>
            <w:shd w:val="clear" w:color="auto" w:fill="auto"/>
            <w:vAlign w:val="center"/>
          </w:tcPr>
          <w:p w14:paraId="617439C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1.04</w:t>
            </w:r>
          </w:p>
        </w:tc>
        <w:tc>
          <w:tcPr>
            <w:tcW w:w="874" w:type="dxa"/>
            <w:tcBorders>
              <w:top w:val="nil"/>
              <w:left w:val="nil"/>
              <w:bottom w:val="nil"/>
              <w:right w:val="nil"/>
            </w:tcBorders>
            <w:shd w:val="clear" w:color="auto" w:fill="auto"/>
            <w:vAlign w:val="center"/>
          </w:tcPr>
          <w:p w14:paraId="42DA26C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1.65</w:t>
            </w:r>
          </w:p>
        </w:tc>
        <w:tc>
          <w:tcPr>
            <w:tcW w:w="868" w:type="dxa"/>
            <w:tcBorders>
              <w:top w:val="nil"/>
              <w:left w:val="nil"/>
              <w:bottom w:val="nil"/>
              <w:right w:val="nil"/>
            </w:tcBorders>
            <w:shd w:val="clear" w:color="auto" w:fill="auto"/>
            <w:vAlign w:val="center"/>
          </w:tcPr>
          <w:p w14:paraId="460F11D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16.28</w:t>
            </w:r>
          </w:p>
        </w:tc>
        <w:tc>
          <w:tcPr>
            <w:tcW w:w="874" w:type="dxa"/>
            <w:tcBorders>
              <w:top w:val="nil"/>
              <w:left w:val="nil"/>
              <w:bottom w:val="nil"/>
              <w:right w:val="nil"/>
            </w:tcBorders>
            <w:shd w:val="clear" w:color="auto" w:fill="auto"/>
            <w:vAlign w:val="center"/>
          </w:tcPr>
          <w:p w14:paraId="4B2D162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135.64</w:t>
            </w:r>
          </w:p>
        </w:tc>
      </w:tr>
      <w:tr w:rsidR="00376689" w:rsidRPr="008A5C48" w14:paraId="55DD7369" w14:textId="77777777" w:rsidTr="002A4F43">
        <w:trPr>
          <w:trHeight w:val="106"/>
          <w:jc w:val="center"/>
        </w:trPr>
        <w:tc>
          <w:tcPr>
            <w:tcW w:w="1778" w:type="dxa"/>
            <w:tcBorders>
              <w:top w:val="nil"/>
              <w:left w:val="nil"/>
              <w:bottom w:val="nil"/>
              <w:right w:val="nil"/>
            </w:tcBorders>
            <w:shd w:val="clear" w:color="auto" w:fill="auto"/>
            <w:vAlign w:val="center"/>
          </w:tcPr>
          <w:p w14:paraId="5C8C98DD"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Chloroform</w:t>
            </w:r>
          </w:p>
        </w:tc>
        <w:tc>
          <w:tcPr>
            <w:tcW w:w="1109" w:type="dxa"/>
            <w:tcBorders>
              <w:top w:val="nil"/>
              <w:left w:val="nil"/>
              <w:bottom w:val="nil"/>
              <w:right w:val="nil"/>
            </w:tcBorders>
            <w:shd w:val="clear" w:color="auto" w:fill="auto"/>
            <w:vAlign w:val="center"/>
          </w:tcPr>
          <w:p w14:paraId="18D14CA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w:t>
            </w:r>
            <w:proofErr w:type="spellStart"/>
            <w:r w:rsidRPr="008A5C48">
              <w:rPr>
                <w:rFonts w:ascii="Times New Roman" w:eastAsia="Times New Roman" w:hAnsi="Times New Roman" w:cs="Times New Roman"/>
                <w:sz w:val="20"/>
                <w:szCs w:val="20"/>
              </w:rPr>
              <w:t>μg</w:t>
            </w:r>
            <w:proofErr w:type="spellEnd"/>
            <w:r w:rsidRPr="008A5C48">
              <w:rPr>
                <w:rFonts w:ascii="Times New Roman" w:eastAsia="Times New Roman" w:hAnsi="Times New Roman" w:cs="Times New Roman"/>
                <w:sz w:val="20"/>
                <w:szCs w:val="20"/>
              </w:rPr>
              <w:t>/L</w:t>
            </w:r>
          </w:p>
        </w:tc>
        <w:tc>
          <w:tcPr>
            <w:tcW w:w="1136" w:type="dxa"/>
            <w:tcBorders>
              <w:top w:val="nil"/>
              <w:left w:val="nil"/>
              <w:bottom w:val="nil"/>
              <w:right w:val="nil"/>
            </w:tcBorders>
            <w:shd w:val="clear" w:color="auto" w:fill="auto"/>
            <w:vAlign w:val="center"/>
          </w:tcPr>
          <w:p w14:paraId="30773C0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69468E5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1112 (85.5%)</w:t>
            </w:r>
          </w:p>
        </w:tc>
        <w:tc>
          <w:tcPr>
            <w:tcW w:w="568" w:type="dxa"/>
            <w:tcBorders>
              <w:top w:val="nil"/>
              <w:left w:val="nil"/>
              <w:bottom w:val="nil"/>
              <w:right w:val="nil"/>
            </w:tcBorders>
            <w:shd w:val="clear" w:color="auto" w:fill="auto"/>
            <w:vAlign w:val="center"/>
          </w:tcPr>
          <w:p w14:paraId="52CF897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0.55</w:t>
            </w:r>
          </w:p>
        </w:tc>
        <w:tc>
          <w:tcPr>
            <w:tcW w:w="868" w:type="dxa"/>
            <w:tcBorders>
              <w:top w:val="nil"/>
              <w:left w:val="nil"/>
              <w:bottom w:val="nil"/>
              <w:right w:val="nil"/>
            </w:tcBorders>
            <w:shd w:val="clear" w:color="auto" w:fill="auto"/>
            <w:vAlign w:val="center"/>
          </w:tcPr>
          <w:p w14:paraId="7EDA006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1.09</w:t>
            </w:r>
          </w:p>
        </w:tc>
        <w:tc>
          <w:tcPr>
            <w:tcW w:w="874" w:type="dxa"/>
            <w:tcBorders>
              <w:top w:val="nil"/>
              <w:left w:val="nil"/>
              <w:bottom w:val="nil"/>
              <w:right w:val="nil"/>
            </w:tcBorders>
            <w:shd w:val="clear" w:color="auto" w:fill="auto"/>
            <w:vAlign w:val="center"/>
          </w:tcPr>
          <w:p w14:paraId="0C4E95F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4.14</w:t>
            </w:r>
          </w:p>
        </w:tc>
        <w:tc>
          <w:tcPr>
            <w:tcW w:w="868" w:type="dxa"/>
            <w:tcBorders>
              <w:top w:val="nil"/>
              <w:left w:val="nil"/>
              <w:bottom w:val="nil"/>
              <w:right w:val="nil"/>
            </w:tcBorders>
            <w:shd w:val="clear" w:color="auto" w:fill="auto"/>
            <w:vAlign w:val="center"/>
          </w:tcPr>
          <w:p w14:paraId="3DDCB64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13.6</w:t>
            </w:r>
          </w:p>
        </w:tc>
        <w:tc>
          <w:tcPr>
            <w:tcW w:w="874" w:type="dxa"/>
            <w:tcBorders>
              <w:top w:val="nil"/>
              <w:left w:val="nil"/>
              <w:bottom w:val="nil"/>
              <w:right w:val="nil"/>
            </w:tcBorders>
            <w:shd w:val="clear" w:color="auto" w:fill="auto"/>
            <w:vAlign w:val="center"/>
          </w:tcPr>
          <w:p w14:paraId="574A3B9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46.99</w:t>
            </w:r>
          </w:p>
        </w:tc>
      </w:tr>
      <w:tr w:rsidR="00376689" w:rsidRPr="008A5C48" w14:paraId="3F23A375" w14:textId="77777777" w:rsidTr="002A4F43">
        <w:trPr>
          <w:trHeight w:val="106"/>
          <w:jc w:val="center"/>
        </w:trPr>
        <w:tc>
          <w:tcPr>
            <w:tcW w:w="1778" w:type="dxa"/>
            <w:tcBorders>
              <w:top w:val="nil"/>
              <w:left w:val="nil"/>
              <w:bottom w:val="nil"/>
              <w:right w:val="nil"/>
            </w:tcBorders>
            <w:shd w:val="clear" w:color="auto" w:fill="auto"/>
            <w:vAlign w:val="center"/>
          </w:tcPr>
          <w:p w14:paraId="2BA175A3"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p>
        </w:tc>
        <w:tc>
          <w:tcPr>
            <w:tcW w:w="1109" w:type="dxa"/>
            <w:tcBorders>
              <w:top w:val="nil"/>
              <w:left w:val="nil"/>
              <w:bottom w:val="nil"/>
              <w:right w:val="nil"/>
            </w:tcBorders>
            <w:shd w:val="clear" w:color="auto" w:fill="auto"/>
            <w:vAlign w:val="center"/>
          </w:tcPr>
          <w:p w14:paraId="6C2AB6A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3DAEB0C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223" w:type="dxa"/>
            <w:tcBorders>
              <w:top w:val="nil"/>
              <w:left w:val="nil"/>
              <w:bottom w:val="nil"/>
              <w:right w:val="nil"/>
            </w:tcBorders>
            <w:shd w:val="clear" w:color="auto" w:fill="auto"/>
            <w:vAlign w:val="center"/>
          </w:tcPr>
          <w:p w14:paraId="71BFFF6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568" w:type="dxa"/>
            <w:tcBorders>
              <w:top w:val="nil"/>
              <w:left w:val="nil"/>
              <w:bottom w:val="nil"/>
              <w:right w:val="nil"/>
            </w:tcBorders>
            <w:shd w:val="clear" w:color="auto" w:fill="auto"/>
            <w:vAlign w:val="center"/>
          </w:tcPr>
          <w:p w14:paraId="6DB5249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5948EA7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5D572FE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74D5302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31A5C28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r>
      <w:tr w:rsidR="00376689" w:rsidRPr="008A5C48" w14:paraId="12DEA7DE" w14:textId="77777777" w:rsidTr="002A4F43">
        <w:trPr>
          <w:trHeight w:val="106"/>
          <w:jc w:val="center"/>
        </w:trPr>
        <w:tc>
          <w:tcPr>
            <w:tcW w:w="1778" w:type="dxa"/>
            <w:tcBorders>
              <w:top w:val="nil"/>
              <w:left w:val="nil"/>
              <w:bottom w:val="nil"/>
              <w:right w:val="nil"/>
            </w:tcBorders>
            <w:shd w:val="clear" w:color="auto" w:fill="auto"/>
            <w:vAlign w:val="center"/>
          </w:tcPr>
          <w:p w14:paraId="55429C1D"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b/>
                <w:color w:val="000000"/>
                <w:sz w:val="20"/>
                <w:szCs w:val="20"/>
              </w:rPr>
              <w:t>Traffic</w:t>
            </w:r>
          </w:p>
        </w:tc>
        <w:tc>
          <w:tcPr>
            <w:tcW w:w="1109" w:type="dxa"/>
            <w:tcBorders>
              <w:top w:val="nil"/>
              <w:left w:val="nil"/>
              <w:bottom w:val="nil"/>
              <w:right w:val="nil"/>
            </w:tcBorders>
            <w:shd w:val="clear" w:color="auto" w:fill="auto"/>
            <w:vAlign w:val="center"/>
          </w:tcPr>
          <w:p w14:paraId="776BF1D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032A38E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223" w:type="dxa"/>
            <w:tcBorders>
              <w:top w:val="nil"/>
              <w:left w:val="nil"/>
              <w:bottom w:val="nil"/>
              <w:right w:val="nil"/>
            </w:tcBorders>
            <w:shd w:val="clear" w:color="auto" w:fill="auto"/>
            <w:vAlign w:val="center"/>
          </w:tcPr>
          <w:p w14:paraId="05D691F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568" w:type="dxa"/>
            <w:tcBorders>
              <w:top w:val="nil"/>
              <w:left w:val="nil"/>
              <w:bottom w:val="nil"/>
              <w:right w:val="nil"/>
            </w:tcBorders>
            <w:shd w:val="clear" w:color="auto" w:fill="auto"/>
            <w:vAlign w:val="center"/>
          </w:tcPr>
          <w:p w14:paraId="13AAC7F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19C521C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3AAE044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68" w:type="dxa"/>
            <w:tcBorders>
              <w:top w:val="nil"/>
              <w:left w:val="nil"/>
              <w:bottom w:val="nil"/>
              <w:right w:val="nil"/>
            </w:tcBorders>
            <w:shd w:val="clear" w:color="auto" w:fill="auto"/>
            <w:vAlign w:val="center"/>
          </w:tcPr>
          <w:p w14:paraId="40E721B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7E04A29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r>
      <w:tr w:rsidR="00376689" w:rsidRPr="008A5C48" w14:paraId="624B268E" w14:textId="77777777" w:rsidTr="002A4F43">
        <w:trPr>
          <w:trHeight w:val="106"/>
          <w:jc w:val="center"/>
        </w:trPr>
        <w:tc>
          <w:tcPr>
            <w:tcW w:w="1778" w:type="dxa"/>
            <w:tcBorders>
              <w:top w:val="nil"/>
              <w:left w:val="nil"/>
              <w:bottom w:val="nil"/>
              <w:right w:val="nil"/>
            </w:tcBorders>
            <w:shd w:val="clear" w:color="auto" w:fill="auto"/>
            <w:vAlign w:val="center"/>
          </w:tcPr>
          <w:p w14:paraId="02DAB2DD"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Traffic </w:t>
            </w:r>
            <w:proofErr w:type="gramStart"/>
            <w:r w:rsidRPr="008A5C48">
              <w:rPr>
                <w:rFonts w:ascii="Times New Roman" w:eastAsia="Times New Roman" w:hAnsi="Times New Roman" w:cs="Times New Roman"/>
                <w:sz w:val="20"/>
                <w:szCs w:val="20"/>
              </w:rPr>
              <w:t>load</w:t>
            </w:r>
            <w:proofErr w:type="gramEnd"/>
            <w:r w:rsidRPr="008A5C48">
              <w:rPr>
                <w:rFonts w:ascii="Times New Roman" w:eastAsia="Times New Roman" w:hAnsi="Times New Roman" w:cs="Times New Roman"/>
                <w:sz w:val="20"/>
                <w:szCs w:val="20"/>
              </w:rPr>
              <w:t xml:space="preserve"> all roads - home</w:t>
            </w:r>
          </w:p>
        </w:tc>
        <w:tc>
          <w:tcPr>
            <w:tcW w:w="1109" w:type="dxa"/>
            <w:tcBorders>
              <w:top w:val="nil"/>
              <w:left w:val="nil"/>
              <w:bottom w:val="nil"/>
              <w:right w:val="nil"/>
            </w:tcBorders>
            <w:shd w:val="clear" w:color="auto" w:fill="auto"/>
            <w:vAlign w:val="center"/>
          </w:tcPr>
          <w:p w14:paraId="1B0C792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veh</w:t>
            </w:r>
            <w:proofErr w:type="spellEnd"/>
            <w:r w:rsidRPr="008A5C48">
              <w:rPr>
                <w:rFonts w:ascii="Times New Roman" w:eastAsia="Times New Roman" w:hAnsi="Times New Roman" w:cs="Times New Roman"/>
                <w:sz w:val="20"/>
                <w:szCs w:val="20"/>
              </w:rPr>
              <w:t xml:space="preserve"> / day m</w:t>
            </w:r>
          </w:p>
        </w:tc>
        <w:tc>
          <w:tcPr>
            <w:tcW w:w="1136" w:type="dxa"/>
            <w:tcBorders>
              <w:top w:val="nil"/>
              <w:left w:val="nil"/>
              <w:bottom w:val="nil"/>
              <w:right w:val="nil"/>
            </w:tcBorders>
            <w:shd w:val="clear" w:color="auto" w:fill="auto"/>
            <w:vAlign w:val="center"/>
          </w:tcPr>
          <w:p w14:paraId="48901E0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5BDD4CC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1257 (96.6%)</w:t>
            </w:r>
          </w:p>
        </w:tc>
        <w:tc>
          <w:tcPr>
            <w:tcW w:w="568" w:type="dxa"/>
            <w:tcBorders>
              <w:top w:val="nil"/>
              <w:left w:val="nil"/>
              <w:bottom w:val="nil"/>
              <w:right w:val="nil"/>
            </w:tcBorders>
            <w:shd w:val="clear" w:color="auto" w:fill="auto"/>
            <w:vAlign w:val="center"/>
          </w:tcPr>
          <w:p w14:paraId="53D87F9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33A4586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74" w:type="dxa"/>
            <w:tcBorders>
              <w:top w:val="nil"/>
              <w:left w:val="nil"/>
              <w:bottom w:val="nil"/>
              <w:right w:val="nil"/>
            </w:tcBorders>
            <w:shd w:val="clear" w:color="auto" w:fill="auto"/>
            <w:vAlign w:val="center"/>
          </w:tcPr>
          <w:p w14:paraId="42E0C50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241 804</w:t>
            </w:r>
          </w:p>
        </w:tc>
        <w:tc>
          <w:tcPr>
            <w:tcW w:w="868" w:type="dxa"/>
            <w:tcBorders>
              <w:top w:val="nil"/>
              <w:left w:val="nil"/>
              <w:bottom w:val="nil"/>
              <w:right w:val="nil"/>
            </w:tcBorders>
            <w:shd w:val="clear" w:color="auto" w:fill="auto"/>
            <w:vAlign w:val="center"/>
          </w:tcPr>
          <w:p w14:paraId="43F48F2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1 749 690</w:t>
            </w:r>
          </w:p>
        </w:tc>
        <w:tc>
          <w:tcPr>
            <w:tcW w:w="874" w:type="dxa"/>
            <w:tcBorders>
              <w:top w:val="nil"/>
              <w:left w:val="nil"/>
              <w:bottom w:val="nil"/>
              <w:right w:val="nil"/>
            </w:tcBorders>
            <w:shd w:val="clear" w:color="auto" w:fill="auto"/>
            <w:vAlign w:val="center"/>
          </w:tcPr>
          <w:p w14:paraId="1825196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25 308 602</w:t>
            </w:r>
          </w:p>
        </w:tc>
      </w:tr>
      <w:tr w:rsidR="00376689" w:rsidRPr="008A5C48" w14:paraId="1FEBA486" w14:textId="77777777" w:rsidTr="002A4F43">
        <w:trPr>
          <w:trHeight w:val="106"/>
          <w:jc w:val="center"/>
        </w:trPr>
        <w:tc>
          <w:tcPr>
            <w:tcW w:w="1778" w:type="dxa"/>
            <w:tcBorders>
              <w:top w:val="nil"/>
              <w:left w:val="nil"/>
              <w:bottom w:val="nil"/>
              <w:right w:val="nil"/>
            </w:tcBorders>
            <w:shd w:val="clear" w:color="auto" w:fill="auto"/>
            <w:vAlign w:val="center"/>
          </w:tcPr>
          <w:p w14:paraId="7812F5A4"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Traffic </w:t>
            </w:r>
            <w:proofErr w:type="gramStart"/>
            <w:r w:rsidRPr="008A5C48">
              <w:rPr>
                <w:rFonts w:ascii="Times New Roman" w:eastAsia="Times New Roman" w:hAnsi="Times New Roman" w:cs="Times New Roman"/>
                <w:sz w:val="20"/>
                <w:szCs w:val="20"/>
              </w:rPr>
              <w:t>load</w:t>
            </w:r>
            <w:proofErr w:type="gramEnd"/>
            <w:r w:rsidRPr="008A5C48">
              <w:rPr>
                <w:rFonts w:ascii="Times New Roman" w:eastAsia="Times New Roman" w:hAnsi="Times New Roman" w:cs="Times New Roman"/>
                <w:sz w:val="20"/>
                <w:szCs w:val="20"/>
              </w:rPr>
              <w:t xml:space="preserve"> all roads - school</w:t>
            </w:r>
          </w:p>
        </w:tc>
        <w:tc>
          <w:tcPr>
            <w:tcW w:w="1109" w:type="dxa"/>
            <w:tcBorders>
              <w:top w:val="nil"/>
              <w:left w:val="nil"/>
              <w:bottom w:val="nil"/>
              <w:right w:val="nil"/>
            </w:tcBorders>
            <w:shd w:val="clear" w:color="auto" w:fill="auto"/>
            <w:vAlign w:val="center"/>
          </w:tcPr>
          <w:p w14:paraId="0A668F8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1B9D577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7E30F16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1237 (95.1%)</w:t>
            </w:r>
          </w:p>
        </w:tc>
        <w:tc>
          <w:tcPr>
            <w:tcW w:w="568" w:type="dxa"/>
            <w:tcBorders>
              <w:top w:val="nil"/>
              <w:left w:val="nil"/>
              <w:bottom w:val="nil"/>
              <w:right w:val="nil"/>
            </w:tcBorders>
            <w:shd w:val="clear" w:color="auto" w:fill="auto"/>
            <w:vAlign w:val="center"/>
          </w:tcPr>
          <w:p w14:paraId="36AADF3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5441AA6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74" w:type="dxa"/>
            <w:tcBorders>
              <w:top w:val="nil"/>
              <w:left w:val="nil"/>
              <w:bottom w:val="nil"/>
              <w:right w:val="nil"/>
            </w:tcBorders>
            <w:shd w:val="clear" w:color="auto" w:fill="auto"/>
            <w:vAlign w:val="center"/>
          </w:tcPr>
          <w:p w14:paraId="7633FDF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258 475</w:t>
            </w:r>
          </w:p>
        </w:tc>
        <w:tc>
          <w:tcPr>
            <w:tcW w:w="868" w:type="dxa"/>
            <w:tcBorders>
              <w:top w:val="nil"/>
              <w:left w:val="nil"/>
              <w:bottom w:val="nil"/>
              <w:right w:val="nil"/>
            </w:tcBorders>
            <w:shd w:val="clear" w:color="auto" w:fill="auto"/>
            <w:vAlign w:val="center"/>
          </w:tcPr>
          <w:p w14:paraId="43A231C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1 647 213</w:t>
            </w:r>
          </w:p>
        </w:tc>
        <w:tc>
          <w:tcPr>
            <w:tcW w:w="874" w:type="dxa"/>
            <w:tcBorders>
              <w:top w:val="nil"/>
              <w:left w:val="nil"/>
              <w:bottom w:val="nil"/>
              <w:right w:val="nil"/>
            </w:tcBorders>
            <w:shd w:val="clear" w:color="auto" w:fill="auto"/>
            <w:vAlign w:val="center"/>
          </w:tcPr>
          <w:p w14:paraId="405BE1A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20 956 092</w:t>
            </w:r>
          </w:p>
        </w:tc>
      </w:tr>
      <w:tr w:rsidR="00376689" w:rsidRPr="008A5C48" w14:paraId="33CB1B52" w14:textId="77777777" w:rsidTr="002A4F43">
        <w:trPr>
          <w:trHeight w:val="106"/>
          <w:jc w:val="center"/>
        </w:trPr>
        <w:tc>
          <w:tcPr>
            <w:tcW w:w="1778" w:type="dxa"/>
            <w:tcBorders>
              <w:top w:val="nil"/>
              <w:left w:val="nil"/>
              <w:bottom w:val="nil"/>
              <w:right w:val="nil"/>
            </w:tcBorders>
            <w:shd w:val="clear" w:color="auto" w:fill="auto"/>
            <w:vAlign w:val="center"/>
          </w:tcPr>
          <w:p w14:paraId="2E1363A6"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Traffic density nearest road - home</w:t>
            </w:r>
          </w:p>
        </w:tc>
        <w:tc>
          <w:tcPr>
            <w:tcW w:w="1109" w:type="dxa"/>
            <w:tcBorders>
              <w:top w:val="nil"/>
              <w:left w:val="nil"/>
              <w:bottom w:val="nil"/>
              <w:right w:val="nil"/>
            </w:tcBorders>
            <w:shd w:val="clear" w:color="auto" w:fill="auto"/>
            <w:vAlign w:val="center"/>
          </w:tcPr>
          <w:p w14:paraId="38E2AF4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veh</w:t>
            </w:r>
            <w:proofErr w:type="spellEnd"/>
            <w:r w:rsidRPr="008A5C48">
              <w:rPr>
                <w:rFonts w:ascii="Times New Roman" w:eastAsia="Times New Roman" w:hAnsi="Times New Roman" w:cs="Times New Roman"/>
                <w:sz w:val="20"/>
                <w:szCs w:val="20"/>
              </w:rPr>
              <w:t xml:space="preserve"> / day</w:t>
            </w:r>
          </w:p>
        </w:tc>
        <w:tc>
          <w:tcPr>
            <w:tcW w:w="1136" w:type="dxa"/>
            <w:tcBorders>
              <w:top w:val="nil"/>
              <w:left w:val="nil"/>
              <w:bottom w:val="nil"/>
              <w:right w:val="nil"/>
            </w:tcBorders>
            <w:shd w:val="clear" w:color="auto" w:fill="auto"/>
            <w:vAlign w:val="center"/>
          </w:tcPr>
          <w:p w14:paraId="6B6ACD5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7B549CA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1283 (98.6%)</w:t>
            </w:r>
          </w:p>
        </w:tc>
        <w:tc>
          <w:tcPr>
            <w:tcW w:w="568" w:type="dxa"/>
            <w:tcBorders>
              <w:top w:val="nil"/>
              <w:left w:val="nil"/>
              <w:bottom w:val="nil"/>
              <w:right w:val="nil"/>
            </w:tcBorders>
            <w:shd w:val="clear" w:color="auto" w:fill="auto"/>
            <w:vAlign w:val="center"/>
          </w:tcPr>
          <w:p w14:paraId="780AC44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5017C8C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593</w:t>
            </w:r>
          </w:p>
        </w:tc>
        <w:tc>
          <w:tcPr>
            <w:tcW w:w="874" w:type="dxa"/>
            <w:tcBorders>
              <w:top w:val="nil"/>
              <w:left w:val="nil"/>
              <w:bottom w:val="nil"/>
              <w:right w:val="nil"/>
            </w:tcBorders>
            <w:shd w:val="clear" w:color="auto" w:fill="auto"/>
            <w:vAlign w:val="center"/>
          </w:tcPr>
          <w:p w14:paraId="3B7D778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3 308</w:t>
            </w:r>
          </w:p>
        </w:tc>
        <w:tc>
          <w:tcPr>
            <w:tcW w:w="868" w:type="dxa"/>
            <w:tcBorders>
              <w:top w:val="nil"/>
              <w:left w:val="nil"/>
              <w:bottom w:val="nil"/>
              <w:right w:val="nil"/>
            </w:tcBorders>
            <w:shd w:val="clear" w:color="auto" w:fill="auto"/>
            <w:vAlign w:val="center"/>
          </w:tcPr>
          <w:p w14:paraId="575FEAC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10941</w:t>
            </w:r>
          </w:p>
        </w:tc>
        <w:tc>
          <w:tcPr>
            <w:tcW w:w="874" w:type="dxa"/>
            <w:tcBorders>
              <w:top w:val="nil"/>
              <w:left w:val="nil"/>
              <w:bottom w:val="nil"/>
              <w:right w:val="nil"/>
            </w:tcBorders>
            <w:shd w:val="clear" w:color="auto" w:fill="auto"/>
            <w:vAlign w:val="center"/>
          </w:tcPr>
          <w:p w14:paraId="15BDF77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119 823</w:t>
            </w:r>
          </w:p>
        </w:tc>
      </w:tr>
      <w:tr w:rsidR="00376689" w:rsidRPr="008A5C48" w14:paraId="5D1D7BD3" w14:textId="77777777" w:rsidTr="002A4F43">
        <w:trPr>
          <w:trHeight w:val="106"/>
          <w:jc w:val="center"/>
        </w:trPr>
        <w:tc>
          <w:tcPr>
            <w:tcW w:w="1778" w:type="dxa"/>
            <w:tcBorders>
              <w:top w:val="nil"/>
              <w:left w:val="nil"/>
              <w:bottom w:val="nil"/>
              <w:right w:val="nil"/>
            </w:tcBorders>
            <w:shd w:val="clear" w:color="auto" w:fill="auto"/>
            <w:vAlign w:val="center"/>
          </w:tcPr>
          <w:p w14:paraId="11E3EE23"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Traffic density nearest road - school</w:t>
            </w:r>
          </w:p>
        </w:tc>
        <w:tc>
          <w:tcPr>
            <w:tcW w:w="1109" w:type="dxa"/>
            <w:tcBorders>
              <w:top w:val="nil"/>
              <w:left w:val="nil"/>
              <w:bottom w:val="nil"/>
              <w:right w:val="nil"/>
            </w:tcBorders>
            <w:shd w:val="clear" w:color="auto" w:fill="auto"/>
            <w:vAlign w:val="center"/>
          </w:tcPr>
          <w:p w14:paraId="703363E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7E8D18D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05FEF4A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1105 (84.9%)</w:t>
            </w:r>
          </w:p>
        </w:tc>
        <w:tc>
          <w:tcPr>
            <w:tcW w:w="568" w:type="dxa"/>
            <w:tcBorders>
              <w:top w:val="nil"/>
              <w:left w:val="nil"/>
              <w:bottom w:val="nil"/>
              <w:right w:val="nil"/>
            </w:tcBorders>
            <w:shd w:val="clear" w:color="auto" w:fill="auto"/>
            <w:vAlign w:val="center"/>
          </w:tcPr>
          <w:p w14:paraId="20FC90F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14516B6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831</w:t>
            </w:r>
          </w:p>
        </w:tc>
        <w:tc>
          <w:tcPr>
            <w:tcW w:w="874" w:type="dxa"/>
            <w:tcBorders>
              <w:top w:val="nil"/>
              <w:left w:val="nil"/>
              <w:bottom w:val="nil"/>
              <w:right w:val="nil"/>
            </w:tcBorders>
            <w:shd w:val="clear" w:color="auto" w:fill="auto"/>
            <w:vAlign w:val="center"/>
          </w:tcPr>
          <w:p w14:paraId="12933AC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3582</w:t>
            </w:r>
          </w:p>
        </w:tc>
        <w:tc>
          <w:tcPr>
            <w:tcW w:w="868" w:type="dxa"/>
            <w:tcBorders>
              <w:top w:val="nil"/>
              <w:left w:val="nil"/>
              <w:bottom w:val="nil"/>
              <w:right w:val="nil"/>
            </w:tcBorders>
            <w:shd w:val="clear" w:color="auto" w:fill="auto"/>
            <w:vAlign w:val="center"/>
          </w:tcPr>
          <w:p w14:paraId="354363C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9938</w:t>
            </w:r>
          </w:p>
        </w:tc>
        <w:tc>
          <w:tcPr>
            <w:tcW w:w="874" w:type="dxa"/>
            <w:tcBorders>
              <w:top w:val="nil"/>
              <w:left w:val="nil"/>
              <w:bottom w:val="nil"/>
              <w:right w:val="nil"/>
            </w:tcBorders>
            <w:shd w:val="clear" w:color="auto" w:fill="auto"/>
            <w:vAlign w:val="center"/>
          </w:tcPr>
          <w:p w14:paraId="75587215"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134218</w:t>
            </w:r>
          </w:p>
        </w:tc>
      </w:tr>
      <w:tr w:rsidR="00376689" w:rsidRPr="008A5C48" w14:paraId="6AD57AED" w14:textId="77777777" w:rsidTr="002A4F43">
        <w:trPr>
          <w:trHeight w:val="106"/>
          <w:jc w:val="center"/>
        </w:trPr>
        <w:tc>
          <w:tcPr>
            <w:tcW w:w="1778" w:type="dxa"/>
            <w:tcBorders>
              <w:top w:val="nil"/>
              <w:left w:val="nil"/>
              <w:bottom w:val="nil"/>
              <w:right w:val="nil"/>
            </w:tcBorders>
            <w:shd w:val="clear" w:color="auto" w:fill="auto"/>
            <w:vAlign w:val="center"/>
          </w:tcPr>
          <w:p w14:paraId="4F243295"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Inverse distance nearest road - home</w:t>
            </w:r>
          </w:p>
        </w:tc>
        <w:tc>
          <w:tcPr>
            <w:tcW w:w="1109" w:type="dxa"/>
            <w:tcBorders>
              <w:top w:val="nil"/>
              <w:left w:val="nil"/>
              <w:bottom w:val="nil"/>
              <w:right w:val="nil"/>
            </w:tcBorders>
            <w:shd w:val="clear" w:color="auto" w:fill="auto"/>
            <w:vAlign w:val="center"/>
          </w:tcPr>
          <w:p w14:paraId="3AB54B4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m-1</w:t>
            </w:r>
          </w:p>
        </w:tc>
        <w:tc>
          <w:tcPr>
            <w:tcW w:w="1136" w:type="dxa"/>
            <w:tcBorders>
              <w:top w:val="nil"/>
              <w:left w:val="nil"/>
              <w:bottom w:val="nil"/>
              <w:right w:val="nil"/>
            </w:tcBorders>
            <w:shd w:val="clear" w:color="auto" w:fill="auto"/>
            <w:vAlign w:val="center"/>
          </w:tcPr>
          <w:p w14:paraId="5816CC9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7DB4CF1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1283 (98.6%)</w:t>
            </w:r>
          </w:p>
        </w:tc>
        <w:tc>
          <w:tcPr>
            <w:tcW w:w="568" w:type="dxa"/>
            <w:tcBorders>
              <w:top w:val="nil"/>
              <w:left w:val="nil"/>
              <w:bottom w:val="nil"/>
              <w:right w:val="nil"/>
            </w:tcBorders>
            <w:shd w:val="clear" w:color="auto" w:fill="auto"/>
            <w:vAlign w:val="center"/>
          </w:tcPr>
          <w:p w14:paraId="1C78C12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0.01</w:t>
            </w:r>
          </w:p>
        </w:tc>
        <w:tc>
          <w:tcPr>
            <w:tcW w:w="868" w:type="dxa"/>
            <w:tcBorders>
              <w:top w:val="nil"/>
              <w:left w:val="nil"/>
              <w:bottom w:val="nil"/>
              <w:right w:val="nil"/>
            </w:tcBorders>
            <w:shd w:val="clear" w:color="auto" w:fill="auto"/>
            <w:vAlign w:val="center"/>
          </w:tcPr>
          <w:p w14:paraId="5F97BAE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0.01</w:t>
            </w:r>
          </w:p>
        </w:tc>
        <w:tc>
          <w:tcPr>
            <w:tcW w:w="874" w:type="dxa"/>
            <w:tcBorders>
              <w:top w:val="nil"/>
              <w:left w:val="nil"/>
              <w:bottom w:val="nil"/>
              <w:right w:val="nil"/>
            </w:tcBorders>
            <w:shd w:val="clear" w:color="auto" w:fill="auto"/>
            <w:vAlign w:val="center"/>
          </w:tcPr>
          <w:p w14:paraId="5AE93A4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0.02</w:t>
            </w:r>
          </w:p>
        </w:tc>
        <w:tc>
          <w:tcPr>
            <w:tcW w:w="868" w:type="dxa"/>
            <w:tcBorders>
              <w:top w:val="nil"/>
              <w:left w:val="nil"/>
              <w:bottom w:val="nil"/>
              <w:right w:val="nil"/>
            </w:tcBorders>
            <w:shd w:val="clear" w:color="auto" w:fill="auto"/>
            <w:vAlign w:val="center"/>
          </w:tcPr>
          <w:p w14:paraId="406DAF4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0.06</w:t>
            </w:r>
          </w:p>
        </w:tc>
        <w:tc>
          <w:tcPr>
            <w:tcW w:w="874" w:type="dxa"/>
            <w:tcBorders>
              <w:top w:val="nil"/>
              <w:left w:val="nil"/>
              <w:bottom w:val="nil"/>
              <w:right w:val="nil"/>
            </w:tcBorders>
            <w:shd w:val="clear" w:color="auto" w:fill="auto"/>
            <w:vAlign w:val="center"/>
          </w:tcPr>
          <w:p w14:paraId="4AE914F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99.48</w:t>
            </w:r>
          </w:p>
        </w:tc>
      </w:tr>
      <w:tr w:rsidR="00376689" w:rsidRPr="008A5C48" w14:paraId="62F583EF" w14:textId="77777777" w:rsidTr="002A4F43">
        <w:trPr>
          <w:trHeight w:val="106"/>
          <w:jc w:val="center"/>
        </w:trPr>
        <w:tc>
          <w:tcPr>
            <w:tcW w:w="1778" w:type="dxa"/>
            <w:tcBorders>
              <w:top w:val="nil"/>
              <w:left w:val="nil"/>
              <w:bottom w:val="nil"/>
              <w:right w:val="nil"/>
            </w:tcBorders>
            <w:shd w:val="clear" w:color="auto" w:fill="auto"/>
            <w:vAlign w:val="center"/>
          </w:tcPr>
          <w:p w14:paraId="1AD9CF56"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Inverse distance nearest road - school</w:t>
            </w:r>
          </w:p>
        </w:tc>
        <w:tc>
          <w:tcPr>
            <w:tcW w:w="1109" w:type="dxa"/>
            <w:tcBorders>
              <w:top w:val="nil"/>
              <w:left w:val="nil"/>
              <w:bottom w:val="nil"/>
              <w:right w:val="nil"/>
            </w:tcBorders>
            <w:shd w:val="clear" w:color="auto" w:fill="auto"/>
            <w:vAlign w:val="center"/>
          </w:tcPr>
          <w:p w14:paraId="30F3C5D3"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
        </w:tc>
        <w:tc>
          <w:tcPr>
            <w:tcW w:w="1136" w:type="dxa"/>
            <w:tcBorders>
              <w:top w:val="nil"/>
              <w:left w:val="nil"/>
              <w:bottom w:val="nil"/>
              <w:right w:val="nil"/>
            </w:tcBorders>
            <w:shd w:val="clear" w:color="auto" w:fill="auto"/>
            <w:vAlign w:val="center"/>
          </w:tcPr>
          <w:p w14:paraId="12F8F03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223" w:type="dxa"/>
            <w:tcBorders>
              <w:top w:val="nil"/>
              <w:left w:val="nil"/>
              <w:bottom w:val="nil"/>
              <w:right w:val="nil"/>
            </w:tcBorders>
            <w:shd w:val="clear" w:color="auto" w:fill="auto"/>
            <w:vAlign w:val="center"/>
          </w:tcPr>
          <w:p w14:paraId="7325440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1283 (98.6%)</w:t>
            </w:r>
          </w:p>
        </w:tc>
        <w:tc>
          <w:tcPr>
            <w:tcW w:w="568" w:type="dxa"/>
            <w:tcBorders>
              <w:top w:val="nil"/>
              <w:left w:val="nil"/>
              <w:bottom w:val="nil"/>
              <w:right w:val="nil"/>
            </w:tcBorders>
            <w:shd w:val="clear" w:color="auto" w:fill="auto"/>
            <w:vAlign w:val="center"/>
          </w:tcPr>
          <w:p w14:paraId="77AFA1A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0.01</w:t>
            </w:r>
          </w:p>
        </w:tc>
        <w:tc>
          <w:tcPr>
            <w:tcW w:w="868" w:type="dxa"/>
            <w:tcBorders>
              <w:top w:val="nil"/>
              <w:left w:val="nil"/>
              <w:bottom w:val="nil"/>
              <w:right w:val="nil"/>
            </w:tcBorders>
            <w:shd w:val="clear" w:color="auto" w:fill="auto"/>
            <w:vAlign w:val="center"/>
          </w:tcPr>
          <w:p w14:paraId="27D946B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0.01</w:t>
            </w:r>
          </w:p>
        </w:tc>
        <w:tc>
          <w:tcPr>
            <w:tcW w:w="874" w:type="dxa"/>
            <w:tcBorders>
              <w:top w:val="nil"/>
              <w:left w:val="nil"/>
              <w:bottom w:val="nil"/>
              <w:right w:val="nil"/>
            </w:tcBorders>
            <w:shd w:val="clear" w:color="auto" w:fill="auto"/>
            <w:vAlign w:val="center"/>
          </w:tcPr>
          <w:p w14:paraId="557B3D4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0.02</w:t>
            </w:r>
          </w:p>
        </w:tc>
        <w:tc>
          <w:tcPr>
            <w:tcW w:w="868" w:type="dxa"/>
            <w:tcBorders>
              <w:top w:val="nil"/>
              <w:left w:val="nil"/>
              <w:bottom w:val="nil"/>
              <w:right w:val="nil"/>
            </w:tcBorders>
            <w:shd w:val="clear" w:color="auto" w:fill="auto"/>
            <w:vAlign w:val="center"/>
          </w:tcPr>
          <w:p w14:paraId="73EB130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0.04</w:t>
            </w:r>
          </w:p>
        </w:tc>
        <w:tc>
          <w:tcPr>
            <w:tcW w:w="874" w:type="dxa"/>
            <w:tcBorders>
              <w:top w:val="nil"/>
              <w:left w:val="nil"/>
              <w:bottom w:val="nil"/>
              <w:right w:val="nil"/>
            </w:tcBorders>
            <w:shd w:val="clear" w:color="auto" w:fill="auto"/>
            <w:vAlign w:val="center"/>
          </w:tcPr>
          <w:p w14:paraId="1C46CB6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2.72</w:t>
            </w:r>
          </w:p>
        </w:tc>
      </w:tr>
      <w:tr w:rsidR="00376689" w:rsidRPr="008A5C48" w14:paraId="716AFFFB" w14:textId="77777777" w:rsidTr="002A4F43">
        <w:trPr>
          <w:trHeight w:val="106"/>
          <w:jc w:val="center"/>
        </w:trPr>
        <w:tc>
          <w:tcPr>
            <w:tcW w:w="1778" w:type="dxa"/>
            <w:tcBorders>
              <w:top w:val="nil"/>
              <w:left w:val="nil"/>
              <w:bottom w:val="nil"/>
              <w:right w:val="nil"/>
            </w:tcBorders>
            <w:shd w:val="clear" w:color="auto" w:fill="auto"/>
            <w:vAlign w:val="center"/>
          </w:tcPr>
          <w:p w14:paraId="7FD34209"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Traffic </w:t>
            </w:r>
            <w:proofErr w:type="gramStart"/>
            <w:r w:rsidRPr="008A5C48">
              <w:rPr>
                <w:rFonts w:ascii="Times New Roman" w:eastAsia="Times New Roman" w:hAnsi="Times New Roman" w:cs="Times New Roman"/>
                <w:sz w:val="20"/>
                <w:szCs w:val="20"/>
              </w:rPr>
              <w:t>load</w:t>
            </w:r>
            <w:proofErr w:type="gramEnd"/>
            <w:r w:rsidRPr="008A5C48">
              <w:rPr>
                <w:rFonts w:ascii="Times New Roman" w:eastAsia="Times New Roman" w:hAnsi="Times New Roman" w:cs="Times New Roman"/>
                <w:sz w:val="20"/>
                <w:szCs w:val="20"/>
              </w:rPr>
              <w:t xml:space="preserve"> all roads</w:t>
            </w:r>
          </w:p>
        </w:tc>
        <w:tc>
          <w:tcPr>
            <w:tcW w:w="1109" w:type="dxa"/>
            <w:tcBorders>
              <w:top w:val="nil"/>
              <w:left w:val="nil"/>
              <w:bottom w:val="nil"/>
              <w:right w:val="nil"/>
            </w:tcBorders>
            <w:shd w:val="clear" w:color="auto" w:fill="auto"/>
            <w:vAlign w:val="center"/>
          </w:tcPr>
          <w:p w14:paraId="669947C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veh</w:t>
            </w:r>
            <w:proofErr w:type="spellEnd"/>
            <w:r w:rsidRPr="008A5C48">
              <w:rPr>
                <w:rFonts w:ascii="Times New Roman" w:eastAsia="Times New Roman" w:hAnsi="Times New Roman" w:cs="Times New Roman"/>
                <w:sz w:val="20"/>
                <w:szCs w:val="20"/>
              </w:rPr>
              <w:t xml:space="preserve"> / day m</w:t>
            </w:r>
          </w:p>
        </w:tc>
        <w:tc>
          <w:tcPr>
            <w:tcW w:w="1136" w:type="dxa"/>
            <w:tcBorders>
              <w:top w:val="nil"/>
              <w:left w:val="nil"/>
              <w:bottom w:val="nil"/>
              <w:right w:val="nil"/>
            </w:tcBorders>
            <w:shd w:val="clear" w:color="auto" w:fill="auto"/>
            <w:vAlign w:val="center"/>
          </w:tcPr>
          <w:p w14:paraId="2163AEE1"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nil"/>
              <w:right w:val="nil"/>
            </w:tcBorders>
            <w:shd w:val="clear" w:color="auto" w:fill="auto"/>
            <w:vAlign w:val="center"/>
          </w:tcPr>
          <w:p w14:paraId="0838C4C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985 (75.7%)</w:t>
            </w:r>
          </w:p>
        </w:tc>
        <w:tc>
          <w:tcPr>
            <w:tcW w:w="568" w:type="dxa"/>
            <w:tcBorders>
              <w:top w:val="nil"/>
              <w:left w:val="nil"/>
              <w:bottom w:val="nil"/>
              <w:right w:val="nil"/>
            </w:tcBorders>
            <w:shd w:val="clear" w:color="auto" w:fill="auto"/>
            <w:vAlign w:val="center"/>
          </w:tcPr>
          <w:p w14:paraId="04E2EF3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bottom w:val="nil"/>
              <w:right w:val="nil"/>
            </w:tcBorders>
            <w:shd w:val="clear" w:color="auto" w:fill="auto"/>
            <w:vAlign w:val="center"/>
          </w:tcPr>
          <w:p w14:paraId="1100362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74" w:type="dxa"/>
            <w:tcBorders>
              <w:top w:val="nil"/>
              <w:left w:val="nil"/>
              <w:bottom w:val="nil"/>
              <w:right w:val="nil"/>
            </w:tcBorders>
            <w:shd w:val="clear" w:color="auto" w:fill="auto"/>
            <w:vAlign w:val="center"/>
          </w:tcPr>
          <w:p w14:paraId="502929F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296 741</w:t>
            </w:r>
          </w:p>
        </w:tc>
        <w:tc>
          <w:tcPr>
            <w:tcW w:w="868" w:type="dxa"/>
            <w:tcBorders>
              <w:top w:val="nil"/>
              <w:left w:val="nil"/>
              <w:bottom w:val="nil"/>
              <w:right w:val="nil"/>
            </w:tcBorders>
            <w:shd w:val="clear" w:color="auto" w:fill="auto"/>
            <w:vAlign w:val="center"/>
          </w:tcPr>
          <w:p w14:paraId="563CA9D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2 131 747</w:t>
            </w:r>
          </w:p>
        </w:tc>
        <w:tc>
          <w:tcPr>
            <w:tcW w:w="874" w:type="dxa"/>
            <w:tcBorders>
              <w:top w:val="nil"/>
              <w:left w:val="nil"/>
              <w:bottom w:val="nil"/>
              <w:right w:val="nil"/>
            </w:tcBorders>
            <w:shd w:val="clear" w:color="auto" w:fill="auto"/>
            <w:vAlign w:val="center"/>
          </w:tcPr>
          <w:p w14:paraId="704DBD7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25 490 056</w:t>
            </w:r>
          </w:p>
        </w:tc>
      </w:tr>
      <w:tr w:rsidR="00376689" w:rsidRPr="008A5C48" w14:paraId="04CBCFB1" w14:textId="77777777" w:rsidTr="002A4F43">
        <w:trPr>
          <w:trHeight w:val="106"/>
          <w:jc w:val="center"/>
        </w:trPr>
        <w:tc>
          <w:tcPr>
            <w:tcW w:w="1778" w:type="dxa"/>
            <w:tcBorders>
              <w:top w:val="nil"/>
              <w:left w:val="nil"/>
              <w:right w:val="nil"/>
            </w:tcBorders>
            <w:shd w:val="clear" w:color="auto" w:fill="auto"/>
            <w:vAlign w:val="center"/>
          </w:tcPr>
          <w:p w14:paraId="30EB3A65"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Traffic density nearest road</w:t>
            </w:r>
          </w:p>
        </w:tc>
        <w:tc>
          <w:tcPr>
            <w:tcW w:w="1109" w:type="dxa"/>
            <w:tcBorders>
              <w:top w:val="nil"/>
              <w:left w:val="nil"/>
              <w:right w:val="nil"/>
            </w:tcBorders>
            <w:shd w:val="clear" w:color="auto" w:fill="auto"/>
            <w:vAlign w:val="center"/>
          </w:tcPr>
          <w:p w14:paraId="4B2BF20F"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proofErr w:type="spellStart"/>
            <w:r w:rsidRPr="008A5C48">
              <w:rPr>
                <w:rFonts w:ascii="Times New Roman" w:eastAsia="Times New Roman" w:hAnsi="Times New Roman" w:cs="Times New Roman"/>
                <w:sz w:val="20"/>
                <w:szCs w:val="20"/>
              </w:rPr>
              <w:t>veh</w:t>
            </w:r>
            <w:proofErr w:type="spellEnd"/>
            <w:r w:rsidRPr="008A5C48">
              <w:rPr>
                <w:rFonts w:ascii="Times New Roman" w:eastAsia="Times New Roman" w:hAnsi="Times New Roman" w:cs="Times New Roman"/>
                <w:sz w:val="20"/>
                <w:szCs w:val="20"/>
              </w:rPr>
              <w:t xml:space="preserve"> / day</w:t>
            </w:r>
          </w:p>
        </w:tc>
        <w:tc>
          <w:tcPr>
            <w:tcW w:w="1136" w:type="dxa"/>
            <w:tcBorders>
              <w:top w:val="nil"/>
              <w:left w:val="nil"/>
              <w:right w:val="nil"/>
            </w:tcBorders>
            <w:shd w:val="clear" w:color="auto" w:fill="auto"/>
            <w:vAlign w:val="center"/>
          </w:tcPr>
          <w:p w14:paraId="6FF1FA3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right w:val="nil"/>
            </w:tcBorders>
            <w:shd w:val="clear" w:color="auto" w:fill="auto"/>
            <w:vAlign w:val="center"/>
          </w:tcPr>
          <w:p w14:paraId="31192F3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1281 (98.5%)</w:t>
            </w:r>
          </w:p>
        </w:tc>
        <w:tc>
          <w:tcPr>
            <w:tcW w:w="568" w:type="dxa"/>
            <w:tcBorders>
              <w:top w:val="nil"/>
              <w:left w:val="nil"/>
              <w:right w:val="nil"/>
            </w:tcBorders>
            <w:shd w:val="clear" w:color="auto" w:fill="auto"/>
            <w:vAlign w:val="center"/>
          </w:tcPr>
          <w:p w14:paraId="2E34B748"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68" w:type="dxa"/>
            <w:tcBorders>
              <w:top w:val="nil"/>
              <w:left w:val="nil"/>
              <w:right w:val="nil"/>
            </w:tcBorders>
            <w:shd w:val="clear" w:color="auto" w:fill="auto"/>
            <w:vAlign w:val="center"/>
          </w:tcPr>
          <w:p w14:paraId="3768136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493</w:t>
            </w:r>
          </w:p>
        </w:tc>
        <w:tc>
          <w:tcPr>
            <w:tcW w:w="874" w:type="dxa"/>
            <w:tcBorders>
              <w:top w:val="nil"/>
              <w:left w:val="nil"/>
              <w:right w:val="nil"/>
            </w:tcBorders>
            <w:shd w:val="clear" w:color="auto" w:fill="auto"/>
            <w:vAlign w:val="center"/>
          </w:tcPr>
          <w:p w14:paraId="2EBC625B"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1 093</w:t>
            </w:r>
          </w:p>
        </w:tc>
        <w:tc>
          <w:tcPr>
            <w:tcW w:w="868" w:type="dxa"/>
            <w:tcBorders>
              <w:top w:val="nil"/>
              <w:left w:val="nil"/>
              <w:right w:val="nil"/>
            </w:tcBorders>
            <w:shd w:val="clear" w:color="auto" w:fill="auto"/>
            <w:vAlign w:val="center"/>
          </w:tcPr>
          <w:p w14:paraId="0C16090A"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4020</w:t>
            </w:r>
          </w:p>
        </w:tc>
        <w:tc>
          <w:tcPr>
            <w:tcW w:w="874" w:type="dxa"/>
            <w:tcBorders>
              <w:top w:val="nil"/>
              <w:left w:val="nil"/>
              <w:right w:val="nil"/>
            </w:tcBorders>
            <w:shd w:val="clear" w:color="auto" w:fill="auto"/>
            <w:vAlign w:val="center"/>
          </w:tcPr>
          <w:p w14:paraId="44657F27"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60 698</w:t>
            </w:r>
          </w:p>
        </w:tc>
      </w:tr>
      <w:tr w:rsidR="00376689" w:rsidRPr="008A5C48" w14:paraId="1ADBE249" w14:textId="77777777" w:rsidTr="002A4F43">
        <w:trPr>
          <w:trHeight w:val="352"/>
          <w:jc w:val="center"/>
        </w:trPr>
        <w:tc>
          <w:tcPr>
            <w:tcW w:w="1778" w:type="dxa"/>
            <w:tcBorders>
              <w:top w:val="nil"/>
              <w:left w:val="nil"/>
              <w:bottom w:val="single" w:sz="4" w:space="0" w:color="000000"/>
              <w:right w:val="nil"/>
            </w:tcBorders>
            <w:shd w:val="clear" w:color="auto" w:fill="auto"/>
            <w:vAlign w:val="center"/>
          </w:tcPr>
          <w:p w14:paraId="19EB6895" w14:textId="77777777" w:rsidR="00376689" w:rsidRPr="008A5C48" w:rsidRDefault="00376689"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Traffic density nearest road</w:t>
            </w:r>
          </w:p>
        </w:tc>
        <w:tc>
          <w:tcPr>
            <w:tcW w:w="1109" w:type="dxa"/>
            <w:tcBorders>
              <w:top w:val="nil"/>
              <w:left w:val="nil"/>
              <w:bottom w:val="single" w:sz="4" w:space="0" w:color="000000"/>
              <w:right w:val="nil"/>
            </w:tcBorders>
            <w:shd w:val="clear" w:color="auto" w:fill="auto"/>
            <w:vAlign w:val="center"/>
          </w:tcPr>
          <w:p w14:paraId="7717E734"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m-1</w:t>
            </w:r>
          </w:p>
        </w:tc>
        <w:tc>
          <w:tcPr>
            <w:tcW w:w="1136" w:type="dxa"/>
            <w:tcBorders>
              <w:top w:val="nil"/>
              <w:left w:val="nil"/>
              <w:bottom w:val="single" w:sz="4" w:space="0" w:color="000000"/>
              <w:right w:val="nil"/>
            </w:tcBorders>
            <w:shd w:val="clear" w:color="auto" w:fill="auto"/>
            <w:vAlign w:val="center"/>
          </w:tcPr>
          <w:p w14:paraId="6B0DB63E"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223" w:type="dxa"/>
            <w:tcBorders>
              <w:top w:val="nil"/>
              <w:left w:val="nil"/>
              <w:bottom w:val="single" w:sz="4" w:space="0" w:color="000000"/>
              <w:right w:val="nil"/>
            </w:tcBorders>
            <w:shd w:val="clear" w:color="auto" w:fill="auto"/>
            <w:vAlign w:val="center"/>
          </w:tcPr>
          <w:p w14:paraId="08154836"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1280 (98.4%)</w:t>
            </w:r>
          </w:p>
        </w:tc>
        <w:tc>
          <w:tcPr>
            <w:tcW w:w="568" w:type="dxa"/>
            <w:tcBorders>
              <w:top w:val="nil"/>
              <w:left w:val="nil"/>
              <w:bottom w:val="single" w:sz="4" w:space="0" w:color="000000"/>
              <w:right w:val="nil"/>
            </w:tcBorders>
            <w:shd w:val="clear" w:color="auto" w:fill="auto"/>
            <w:vAlign w:val="center"/>
          </w:tcPr>
          <w:p w14:paraId="337FF172"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0.02</w:t>
            </w:r>
          </w:p>
        </w:tc>
        <w:tc>
          <w:tcPr>
            <w:tcW w:w="868" w:type="dxa"/>
            <w:tcBorders>
              <w:top w:val="nil"/>
              <w:left w:val="nil"/>
              <w:bottom w:val="single" w:sz="4" w:space="0" w:color="000000"/>
              <w:right w:val="nil"/>
            </w:tcBorders>
            <w:shd w:val="clear" w:color="auto" w:fill="auto"/>
            <w:vAlign w:val="center"/>
          </w:tcPr>
          <w:p w14:paraId="4E5E743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0.04</w:t>
            </w:r>
          </w:p>
        </w:tc>
        <w:tc>
          <w:tcPr>
            <w:tcW w:w="874" w:type="dxa"/>
            <w:tcBorders>
              <w:top w:val="nil"/>
              <w:left w:val="nil"/>
              <w:bottom w:val="single" w:sz="4" w:space="0" w:color="000000"/>
              <w:right w:val="nil"/>
            </w:tcBorders>
            <w:shd w:val="clear" w:color="auto" w:fill="auto"/>
            <w:vAlign w:val="center"/>
          </w:tcPr>
          <w:p w14:paraId="189E0920"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0.07</w:t>
            </w:r>
          </w:p>
        </w:tc>
        <w:tc>
          <w:tcPr>
            <w:tcW w:w="868" w:type="dxa"/>
            <w:tcBorders>
              <w:top w:val="nil"/>
              <w:left w:val="nil"/>
              <w:bottom w:val="single" w:sz="4" w:space="0" w:color="000000"/>
              <w:right w:val="nil"/>
            </w:tcBorders>
            <w:shd w:val="clear" w:color="auto" w:fill="auto"/>
            <w:vAlign w:val="center"/>
          </w:tcPr>
          <w:p w14:paraId="01D0D69D"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0.12</w:t>
            </w:r>
          </w:p>
        </w:tc>
        <w:tc>
          <w:tcPr>
            <w:tcW w:w="874" w:type="dxa"/>
            <w:tcBorders>
              <w:top w:val="nil"/>
              <w:left w:val="nil"/>
              <w:bottom w:val="single" w:sz="4" w:space="0" w:color="000000"/>
              <w:right w:val="nil"/>
            </w:tcBorders>
            <w:shd w:val="clear" w:color="auto" w:fill="auto"/>
            <w:vAlign w:val="center"/>
          </w:tcPr>
          <w:p w14:paraId="43C5EB2C" w14:textId="77777777" w:rsidR="00376689" w:rsidRPr="008A5C48" w:rsidRDefault="00376689"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16.44</w:t>
            </w:r>
          </w:p>
        </w:tc>
      </w:tr>
    </w:tbl>
    <w:p w14:paraId="72619B94" w14:textId="77777777" w:rsidR="00A20D1F" w:rsidRDefault="00376689" w:rsidP="00376689">
      <w:pPr>
        <w:spacing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u w:val="single"/>
        </w:rPr>
        <w:br/>
        <w:t>Population</w:t>
      </w:r>
      <w:r w:rsidRPr="008A5C48">
        <w:rPr>
          <w:rFonts w:ascii="Times New Roman" w:eastAsia="Times New Roman" w:hAnsi="Times New Roman" w:cs="Times New Roman"/>
          <w:sz w:val="20"/>
          <w:szCs w:val="20"/>
        </w:rPr>
        <w:t xml:space="preserve">: Helix population, n=1301. </w:t>
      </w:r>
      <w:r w:rsidRPr="008A5C48">
        <w:rPr>
          <w:rFonts w:ascii="Times New Roman" w:eastAsia="Times New Roman" w:hAnsi="Times New Roman" w:cs="Times New Roman"/>
          <w:sz w:val="20"/>
          <w:szCs w:val="20"/>
          <w:u w:val="single"/>
        </w:rPr>
        <w:t>Acronyms</w:t>
      </w:r>
      <w:r w:rsidRPr="008A5C48">
        <w:rPr>
          <w:rFonts w:ascii="Times New Roman" w:eastAsia="Times New Roman" w:hAnsi="Times New Roman" w:cs="Times New Roman"/>
          <w:sz w:val="20"/>
          <w:szCs w:val="20"/>
        </w:rPr>
        <w:t xml:space="preserve">: N=number of individuals without missing values. %=percentage of individuals without missing values over the whole Helix sample (n=1301). </w:t>
      </w:r>
      <w:r w:rsidRPr="008A5C48">
        <w:rPr>
          <w:rFonts w:ascii="Times New Roman" w:eastAsia="Times New Roman" w:hAnsi="Times New Roman" w:cs="Times New Roman"/>
          <w:sz w:val="20"/>
          <w:szCs w:val="20"/>
          <w:lang w:val="fr-FR"/>
        </w:rPr>
        <w:t>Min=minimum. Q1=first quantile. Q3=</w:t>
      </w:r>
      <w:proofErr w:type="spellStart"/>
      <w:r w:rsidRPr="008A5C48">
        <w:rPr>
          <w:rFonts w:ascii="Times New Roman" w:eastAsia="Times New Roman" w:hAnsi="Times New Roman" w:cs="Times New Roman"/>
          <w:sz w:val="20"/>
          <w:szCs w:val="20"/>
          <w:lang w:val="fr-FR"/>
        </w:rPr>
        <w:t>third</w:t>
      </w:r>
      <w:proofErr w:type="spellEnd"/>
      <w:r w:rsidRPr="008A5C48">
        <w:rPr>
          <w:rFonts w:ascii="Times New Roman" w:eastAsia="Times New Roman" w:hAnsi="Times New Roman" w:cs="Times New Roman"/>
          <w:sz w:val="20"/>
          <w:szCs w:val="20"/>
          <w:lang w:val="fr-FR"/>
        </w:rPr>
        <w:t xml:space="preserve"> quantile. Max = maximum. </w:t>
      </w:r>
      <w:r w:rsidRPr="008A5C48">
        <w:rPr>
          <w:rFonts w:ascii="Times New Roman" w:eastAsia="Times New Roman" w:hAnsi="Times New Roman" w:cs="Times New Roman"/>
          <w:sz w:val="20"/>
          <w:szCs w:val="20"/>
        </w:rPr>
        <w:t>Max=maximum.</w:t>
      </w:r>
    </w:p>
    <w:p w14:paraId="30438417" w14:textId="77777777" w:rsidR="00A20D1F" w:rsidRDefault="00A20D1F" w:rsidP="00376689">
      <w:pPr>
        <w:spacing w:line="240" w:lineRule="auto"/>
        <w:contextualSpacing/>
        <w:jc w:val="both"/>
        <w:rPr>
          <w:rFonts w:ascii="Times New Roman" w:eastAsia="Times New Roman" w:hAnsi="Times New Roman" w:cs="Times New Roman"/>
          <w:sz w:val="20"/>
          <w:szCs w:val="20"/>
        </w:rPr>
      </w:pPr>
    </w:p>
    <w:p w14:paraId="11F2D00B" w14:textId="77777777" w:rsidR="00A20D1F" w:rsidRDefault="00A20D1F">
      <w:pPr>
        <w:rPr>
          <w:rFonts w:ascii="Times New Roman" w:eastAsia="Times New Roman" w:hAnsi="Times New Roman" w:cs="Times New Roman"/>
          <w:sz w:val="20"/>
          <w:szCs w:val="20"/>
        </w:rPr>
      </w:pPr>
      <w:r>
        <w:rPr>
          <w:rFonts w:ascii="Times New Roman" w:eastAsia="Times New Roman" w:hAnsi="Times New Roman" w:cs="Times New Roman"/>
          <w:sz w:val="20"/>
          <w:szCs w:val="20"/>
        </w:rPr>
        <w:br w:type="page"/>
      </w:r>
    </w:p>
    <w:p w14:paraId="2B23DF5C" w14:textId="7A7248F3" w:rsidR="00A20D1F" w:rsidRPr="00BC7860" w:rsidRDefault="00A20D1F" w:rsidP="00A20D1F">
      <w:pPr>
        <w:pStyle w:val="Titre1"/>
        <w:rPr>
          <w:rFonts w:eastAsia="Times New Roman"/>
          <w:b w:val="0"/>
          <w:bCs w:val="0"/>
        </w:rPr>
      </w:pPr>
      <w:bookmarkStart w:id="77" w:name="_Toc127358162"/>
      <w:bookmarkStart w:id="78" w:name="_Toc132271593"/>
      <w:proofErr w:type="spellStart"/>
      <w:r w:rsidRPr="008A5C48">
        <w:rPr>
          <w:rFonts w:eastAsia="Times New Roman"/>
        </w:rPr>
        <w:lastRenderedPageBreak/>
        <w:t>eTable</w:t>
      </w:r>
      <w:proofErr w:type="spellEnd"/>
      <w:r w:rsidRPr="008A5C48">
        <w:rPr>
          <w:rFonts w:eastAsia="Times New Roman"/>
        </w:rPr>
        <w:t xml:space="preserve"> </w:t>
      </w:r>
      <w:r w:rsidR="005212D3">
        <w:rPr>
          <w:rFonts w:eastAsia="Times New Roman"/>
        </w:rPr>
        <w:t>1</w:t>
      </w:r>
      <w:r w:rsidR="00276BE5">
        <w:rPr>
          <w:rFonts w:eastAsia="Times New Roman"/>
        </w:rPr>
        <w:t>1</w:t>
      </w:r>
      <w:r w:rsidRPr="008A5C48">
        <w:rPr>
          <w:rFonts w:eastAsia="Times New Roman"/>
        </w:rPr>
        <w:t xml:space="preserve">. </w:t>
      </w:r>
      <w:r w:rsidRPr="00BC7860">
        <w:rPr>
          <w:rFonts w:eastAsia="Times New Roman"/>
          <w:b w:val="0"/>
          <w:bCs w:val="0"/>
        </w:rPr>
        <w:t>Description of exposures regarding the lifestyle</w:t>
      </w:r>
      <w:bookmarkEnd w:id="77"/>
      <w:bookmarkEnd w:id="78"/>
    </w:p>
    <w:p w14:paraId="02912630" w14:textId="77777777" w:rsidR="00A20D1F" w:rsidRPr="008A5C48" w:rsidRDefault="00A20D1F" w:rsidP="00A20D1F">
      <w:pPr>
        <w:spacing w:line="240" w:lineRule="auto"/>
        <w:contextualSpacing/>
        <w:rPr>
          <w:rFonts w:ascii="Times New Roman" w:eastAsia="Times New Roman" w:hAnsi="Times New Roman" w:cs="Times New Roman"/>
          <w:sz w:val="20"/>
          <w:szCs w:val="20"/>
        </w:rPr>
      </w:pPr>
    </w:p>
    <w:tbl>
      <w:tblPr>
        <w:tblStyle w:val="aa"/>
        <w:tblW w:w="9064" w:type="dxa"/>
        <w:jc w:val="center"/>
        <w:tblInd w:w="0" w:type="dxa"/>
        <w:tblLayout w:type="fixed"/>
        <w:tblLook w:val="0400" w:firstRow="0" w:lastRow="0" w:firstColumn="0" w:lastColumn="0" w:noHBand="0" w:noVBand="1"/>
      </w:tblPr>
      <w:tblGrid>
        <w:gridCol w:w="1616"/>
        <w:gridCol w:w="1015"/>
        <w:gridCol w:w="1085"/>
        <w:gridCol w:w="1596"/>
        <w:gridCol w:w="12"/>
        <w:gridCol w:w="7"/>
        <w:gridCol w:w="630"/>
        <w:gridCol w:w="851"/>
        <w:gridCol w:w="874"/>
        <w:gridCol w:w="34"/>
        <w:gridCol w:w="635"/>
        <w:gridCol w:w="666"/>
        <w:gridCol w:w="14"/>
        <w:gridCol w:w="29"/>
      </w:tblGrid>
      <w:tr w:rsidR="00A20D1F" w:rsidRPr="008A5C48" w14:paraId="17C0041A" w14:textId="77777777" w:rsidTr="00C32812">
        <w:trPr>
          <w:gridAfter w:val="2"/>
          <w:wAfter w:w="43" w:type="dxa"/>
          <w:trHeight w:val="341"/>
          <w:jc w:val="center"/>
        </w:trPr>
        <w:tc>
          <w:tcPr>
            <w:tcW w:w="1616" w:type="dxa"/>
            <w:tcBorders>
              <w:top w:val="single" w:sz="4" w:space="0" w:color="000000"/>
              <w:left w:val="nil"/>
              <w:bottom w:val="single" w:sz="4" w:space="0" w:color="000000"/>
              <w:right w:val="nil"/>
            </w:tcBorders>
            <w:shd w:val="clear" w:color="auto" w:fill="auto"/>
            <w:vAlign w:val="center"/>
          </w:tcPr>
          <w:p w14:paraId="1A3C8A17" w14:textId="77777777" w:rsidR="00A20D1F" w:rsidRPr="00A20D1F" w:rsidRDefault="00A20D1F" w:rsidP="0034607E">
            <w:pPr>
              <w:spacing w:after="0" w:line="240" w:lineRule="auto"/>
              <w:contextualSpacing/>
              <w:jc w:val="center"/>
              <w:rPr>
                <w:rFonts w:ascii="Times New Roman" w:eastAsia="Times New Roman" w:hAnsi="Times New Roman" w:cs="Times New Roman"/>
                <w:bCs/>
                <w:sz w:val="20"/>
                <w:szCs w:val="20"/>
              </w:rPr>
            </w:pPr>
            <w:r w:rsidRPr="00A20D1F">
              <w:rPr>
                <w:rFonts w:ascii="Times New Roman" w:eastAsia="Times New Roman" w:hAnsi="Times New Roman" w:cs="Times New Roman"/>
                <w:bCs/>
                <w:sz w:val="20"/>
                <w:szCs w:val="20"/>
              </w:rPr>
              <w:t>Variable name</w:t>
            </w:r>
          </w:p>
        </w:tc>
        <w:tc>
          <w:tcPr>
            <w:tcW w:w="1015" w:type="dxa"/>
            <w:tcBorders>
              <w:top w:val="single" w:sz="4" w:space="0" w:color="000000"/>
              <w:left w:val="nil"/>
              <w:bottom w:val="single" w:sz="4" w:space="0" w:color="000000"/>
              <w:right w:val="nil"/>
            </w:tcBorders>
            <w:shd w:val="clear" w:color="auto" w:fill="auto"/>
            <w:vAlign w:val="center"/>
          </w:tcPr>
          <w:p w14:paraId="1F8A5AA4" w14:textId="77777777" w:rsidR="00A20D1F" w:rsidRPr="00A20D1F" w:rsidRDefault="00A20D1F" w:rsidP="0034607E">
            <w:pPr>
              <w:spacing w:after="0" w:line="240" w:lineRule="auto"/>
              <w:contextualSpacing/>
              <w:jc w:val="center"/>
              <w:rPr>
                <w:rFonts w:ascii="Times New Roman" w:eastAsia="Times New Roman" w:hAnsi="Times New Roman" w:cs="Times New Roman"/>
                <w:bCs/>
                <w:sz w:val="20"/>
                <w:szCs w:val="20"/>
              </w:rPr>
            </w:pPr>
            <w:r w:rsidRPr="00A20D1F">
              <w:rPr>
                <w:rFonts w:ascii="Times New Roman" w:eastAsia="Times New Roman" w:hAnsi="Times New Roman" w:cs="Times New Roman"/>
                <w:bCs/>
                <w:sz w:val="20"/>
                <w:szCs w:val="20"/>
              </w:rPr>
              <w:t>Units</w:t>
            </w:r>
          </w:p>
        </w:tc>
        <w:tc>
          <w:tcPr>
            <w:tcW w:w="1085" w:type="dxa"/>
            <w:tcBorders>
              <w:top w:val="single" w:sz="4" w:space="0" w:color="000000"/>
              <w:left w:val="nil"/>
              <w:bottom w:val="single" w:sz="4" w:space="0" w:color="000000"/>
              <w:right w:val="nil"/>
            </w:tcBorders>
            <w:shd w:val="clear" w:color="auto" w:fill="auto"/>
            <w:vAlign w:val="center"/>
          </w:tcPr>
          <w:p w14:paraId="19C40798" w14:textId="77777777" w:rsidR="00A20D1F" w:rsidRPr="00A20D1F" w:rsidRDefault="00A20D1F" w:rsidP="0034607E">
            <w:pPr>
              <w:spacing w:after="0" w:line="240" w:lineRule="auto"/>
              <w:contextualSpacing/>
              <w:jc w:val="center"/>
              <w:rPr>
                <w:rFonts w:ascii="Times New Roman" w:eastAsia="Times New Roman" w:hAnsi="Times New Roman" w:cs="Times New Roman"/>
                <w:bCs/>
                <w:sz w:val="20"/>
                <w:szCs w:val="20"/>
              </w:rPr>
            </w:pPr>
            <w:r w:rsidRPr="00A20D1F">
              <w:rPr>
                <w:rFonts w:ascii="Times New Roman" w:eastAsia="Times New Roman" w:hAnsi="Times New Roman" w:cs="Times New Roman"/>
                <w:bCs/>
                <w:sz w:val="20"/>
                <w:szCs w:val="20"/>
              </w:rPr>
              <w:t>Period</w:t>
            </w:r>
          </w:p>
        </w:tc>
        <w:tc>
          <w:tcPr>
            <w:tcW w:w="1596" w:type="dxa"/>
            <w:tcBorders>
              <w:top w:val="single" w:sz="4" w:space="0" w:color="000000"/>
              <w:left w:val="nil"/>
              <w:bottom w:val="single" w:sz="4" w:space="0" w:color="000000"/>
              <w:right w:val="nil"/>
            </w:tcBorders>
            <w:shd w:val="clear" w:color="auto" w:fill="auto"/>
            <w:vAlign w:val="center"/>
          </w:tcPr>
          <w:p w14:paraId="106406AC" w14:textId="77777777" w:rsidR="00A20D1F" w:rsidRPr="00A20D1F" w:rsidRDefault="00A20D1F" w:rsidP="0034607E">
            <w:pPr>
              <w:spacing w:after="0" w:line="240" w:lineRule="auto"/>
              <w:contextualSpacing/>
              <w:jc w:val="center"/>
              <w:rPr>
                <w:rFonts w:ascii="Times New Roman" w:eastAsia="Times New Roman" w:hAnsi="Times New Roman" w:cs="Times New Roman"/>
                <w:bCs/>
                <w:sz w:val="20"/>
                <w:szCs w:val="20"/>
              </w:rPr>
            </w:pPr>
            <w:r w:rsidRPr="00A20D1F">
              <w:rPr>
                <w:rFonts w:ascii="Times New Roman" w:eastAsia="Times New Roman" w:hAnsi="Times New Roman" w:cs="Times New Roman"/>
                <w:bCs/>
                <w:sz w:val="20"/>
                <w:szCs w:val="20"/>
              </w:rPr>
              <w:t>N (%) before imputation</w:t>
            </w:r>
          </w:p>
        </w:tc>
        <w:tc>
          <w:tcPr>
            <w:tcW w:w="649" w:type="dxa"/>
            <w:gridSpan w:val="3"/>
            <w:tcBorders>
              <w:top w:val="single" w:sz="4" w:space="0" w:color="000000"/>
              <w:left w:val="nil"/>
              <w:bottom w:val="single" w:sz="4" w:space="0" w:color="000000"/>
              <w:right w:val="nil"/>
            </w:tcBorders>
            <w:shd w:val="clear" w:color="auto" w:fill="auto"/>
            <w:vAlign w:val="center"/>
          </w:tcPr>
          <w:p w14:paraId="6860ADA7" w14:textId="77777777" w:rsidR="00A20D1F" w:rsidRPr="00A20D1F" w:rsidRDefault="00A20D1F" w:rsidP="0034607E">
            <w:pPr>
              <w:spacing w:after="0" w:line="240" w:lineRule="auto"/>
              <w:contextualSpacing/>
              <w:jc w:val="center"/>
              <w:rPr>
                <w:rFonts w:ascii="Times New Roman" w:eastAsia="Times New Roman" w:hAnsi="Times New Roman" w:cs="Times New Roman"/>
                <w:bCs/>
                <w:sz w:val="20"/>
                <w:szCs w:val="20"/>
              </w:rPr>
            </w:pPr>
            <w:r w:rsidRPr="00A20D1F">
              <w:rPr>
                <w:rFonts w:ascii="Times New Roman" w:eastAsia="Times New Roman" w:hAnsi="Times New Roman" w:cs="Times New Roman"/>
                <w:bCs/>
                <w:sz w:val="20"/>
                <w:szCs w:val="20"/>
              </w:rPr>
              <w:t>Min, or %</w:t>
            </w:r>
          </w:p>
        </w:tc>
        <w:tc>
          <w:tcPr>
            <w:tcW w:w="851" w:type="dxa"/>
            <w:tcBorders>
              <w:top w:val="single" w:sz="4" w:space="0" w:color="000000"/>
              <w:left w:val="nil"/>
              <w:bottom w:val="single" w:sz="4" w:space="0" w:color="000000"/>
              <w:right w:val="nil"/>
            </w:tcBorders>
            <w:shd w:val="clear" w:color="auto" w:fill="auto"/>
            <w:vAlign w:val="center"/>
          </w:tcPr>
          <w:p w14:paraId="5FF2D035" w14:textId="77777777" w:rsidR="00A20D1F" w:rsidRPr="00A20D1F" w:rsidRDefault="00A20D1F" w:rsidP="0034607E">
            <w:pPr>
              <w:spacing w:after="0" w:line="240" w:lineRule="auto"/>
              <w:contextualSpacing/>
              <w:jc w:val="center"/>
              <w:rPr>
                <w:rFonts w:ascii="Times New Roman" w:eastAsia="Times New Roman" w:hAnsi="Times New Roman" w:cs="Times New Roman"/>
                <w:bCs/>
                <w:sz w:val="20"/>
                <w:szCs w:val="20"/>
              </w:rPr>
            </w:pPr>
            <w:r w:rsidRPr="00A20D1F">
              <w:rPr>
                <w:rFonts w:ascii="Times New Roman" w:eastAsia="Times New Roman" w:hAnsi="Times New Roman" w:cs="Times New Roman"/>
                <w:bCs/>
                <w:sz w:val="20"/>
                <w:szCs w:val="20"/>
              </w:rPr>
              <w:t>Q1</w:t>
            </w:r>
          </w:p>
        </w:tc>
        <w:tc>
          <w:tcPr>
            <w:tcW w:w="874" w:type="dxa"/>
            <w:tcBorders>
              <w:top w:val="single" w:sz="4" w:space="0" w:color="000000"/>
              <w:left w:val="nil"/>
              <w:bottom w:val="single" w:sz="4" w:space="0" w:color="000000"/>
              <w:right w:val="nil"/>
            </w:tcBorders>
            <w:shd w:val="clear" w:color="auto" w:fill="auto"/>
            <w:vAlign w:val="center"/>
          </w:tcPr>
          <w:p w14:paraId="012A7AB8" w14:textId="77777777" w:rsidR="00A20D1F" w:rsidRPr="00A20D1F" w:rsidRDefault="00A20D1F" w:rsidP="0034607E">
            <w:pPr>
              <w:spacing w:after="0" w:line="240" w:lineRule="auto"/>
              <w:contextualSpacing/>
              <w:jc w:val="center"/>
              <w:rPr>
                <w:rFonts w:ascii="Times New Roman" w:eastAsia="Times New Roman" w:hAnsi="Times New Roman" w:cs="Times New Roman"/>
                <w:bCs/>
                <w:sz w:val="20"/>
                <w:szCs w:val="20"/>
              </w:rPr>
            </w:pPr>
            <w:r w:rsidRPr="00A20D1F">
              <w:rPr>
                <w:rFonts w:ascii="Times New Roman" w:eastAsia="Times New Roman" w:hAnsi="Times New Roman" w:cs="Times New Roman"/>
                <w:bCs/>
                <w:sz w:val="20"/>
                <w:szCs w:val="20"/>
              </w:rPr>
              <w:t>Median</w:t>
            </w:r>
          </w:p>
        </w:tc>
        <w:tc>
          <w:tcPr>
            <w:tcW w:w="669" w:type="dxa"/>
            <w:gridSpan w:val="2"/>
            <w:tcBorders>
              <w:top w:val="single" w:sz="4" w:space="0" w:color="000000"/>
              <w:left w:val="nil"/>
              <w:bottom w:val="single" w:sz="4" w:space="0" w:color="000000"/>
              <w:right w:val="nil"/>
            </w:tcBorders>
            <w:shd w:val="clear" w:color="auto" w:fill="auto"/>
            <w:vAlign w:val="center"/>
          </w:tcPr>
          <w:p w14:paraId="55B282D0" w14:textId="77777777" w:rsidR="00A20D1F" w:rsidRPr="00A20D1F" w:rsidRDefault="00A20D1F" w:rsidP="0034607E">
            <w:pPr>
              <w:spacing w:after="0" w:line="240" w:lineRule="auto"/>
              <w:contextualSpacing/>
              <w:jc w:val="center"/>
              <w:rPr>
                <w:rFonts w:ascii="Times New Roman" w:eastAsia="Times New Roman" w:hAnsi="Times New Roman" w:cs="Times New Roman"/>
                <w:bCs/>
                <w:sz w:val="20"/>
                <w:szCs w:val="20"/>
              </w:rPr>
            </w:pPr>
            <w:r w:rsidRPr="00A20D1F">
              <w:rPr>
                <w:rFonts w:ascii="Times New Roman" w:eastAsia="Times New Roman" w:hAnsi="Times New Roman" w:cs="Times New Roman"/>
                <w:bCs/>
                <w:sz w:val="20"/>
                <w:szCs w:val="20"/>
              </w:rPr>
              <w:t>Q3</w:t>
            </w:r>
          </w:p>
        </w:tc>
        <w:tc>
          <w:tcPr>
            <w:tcW w:w="666" w:type="dxa"/>
            <w:tcBorders>
              <w:top w:val="single" w:sz="4" w:space="0" w:color="000000"/>
              <w:left w:val="nil"/>
              <w:bottom w:val="single" w:sz="4" w:space="0" w:color="000000"/>
              <w:right w:val="nil"/>
            </w:tcBorders>
            <w:shd w:val="clear" w:color="auto" w:fill="auto"/>
            <w:vAlign w:val="center"/>
          </w:tcPr>
          <w:p w14:paraId="3C515894" w14:textId="77777777" w:rsidR="00A20D1F" w:rsidRPr="00A20D1F" w:rsidRDefault="00A20D1F" w:rsidP="0034607E">
            <w:pPr>
              <w:spacing w:after="0" w:line="240" w:lineRule="auto"/>
              <w:contextualSpacing/>
              <w:jc w:val="center"/>
              <w:rPr>
                <w:rFonts w:ascii="Times New Roman" w:eastAsia="Times New Roman" w:hAnsi="Times New Roman" w:cs="Times New Roman"/>
                <w:bCs/>
                <w:sz w:val="20"/>
                <w:szCs w:val="20"/>
              </w:rPr>
            </w:pPr>
            <w:r w:rsidRPr="00A20D1F">
              <w:rPr>
                <w:rFonts w:ascii="Times New Roman" w:eastAsia="Times New Roman" w:hAnsi="Times New Roman" w:cs="Times New Roman"/>
                <w:bCs/>
                <w:sz w:val="20"/>
                <w:szCs w:val="20"/>
              </w:rPr>
              <w:t>Max</w:t>
            </w:r>
          </w:p>
        </w:tc>
      </w:tr>
      <w:tr w:rsidR="00A20D1F" w:rsidRPr="008A5C48" w14:paraId="25A50EA8" w14:textId="77777777" w:rsidTr="00C32812">
        <w:trPr>
          <w:gridAfter w:val="1"/>
          <w:wAfter w:w="29" w:type="dxa"/>
          <w:trHeight w:val="238"/>
          <w:jc w:val="center"/>
        </w:trPr>
        <w:tc>
          <w:tcPr>
            <w:tcW w:w="1616" w:type="dxa"/>
            <w:tcBorders>
              <w:top w:val="nil"/>
              <w:left w:val="nil"/>
              <w:bottom w:val="nil"/>
              <w:right w:val="nil"/>
            </w:tcBorders>
            <w:shd w:val="clear" w:color="auto" w:fill="auto"/>
            <w:vAlign w:val="center"/>
          </w:tcPr>
          <w:p w14:paraId="3C6A273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b/>
                <w:sz w:val="20"/>
                <w:szCs w:val="20"/>
              </w:rPr>
              <w:t>Tobacco</w:t>
            </w:r>
          </w:p>
        </w:tc>
        <w:tc>
          <w:tcPr>
            <w:tcW w:w="1015" w:type="dxa"/>
            <w:tcBorders>
              <w:top w:val="nil"/>
              <w:left w:val="nil"/>
              <w:bottom w:val="nil"/>
              <w:right w:val="nil"/>
            </w:tcBorders>
            <w:shd w:val="clear" w:color="auto" w:fill="auto"/>
            <w:vAlign w:val="center"/>
          </w:tcPr>
          <w:p w14:paraId="4F6F7E0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03421DC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A7DD36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682319E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59008D21" w14:textId="77777777" w:rsidTr="00C32812">
        <w:trPr>
          <w:gridAfter w:val="1"/>
          <w:wAfter w:w="29" w:type="dxa"/>
          <w:trHeight w:val="238"/>
          <w:jc w:val="center"/>
        </w:trPr>
        <w:tc>
          <w:tcPr>
            <w:tcW w:w="1616" w:type="dxa"/>
            <w:tcBorders>
              <w:top w:val="nil"/>
              <w:left w:val="nil"/>
              <w:bottom w:val="nil"/>
              <w:right w:val="nil"/>
            </w:tcBorders>
            <w:shd w:val="clear" w:color="auto" w:fill="auto"/>
            <w:vAlign w:val="center"/>
          </w:tcPr>
          <w:p w14:paraId="482FF9C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Maternal active smoking </w:t>
            </w:r>
          </w:p>
        </w:tc>
        <w:tc>
          <w:tcPr>
            <w:tcW w:w="1015" w:type="dxa"/>
            <w:tcBorders>
              <w:top w:val="nil"/>
              <w:left w:val="nil"/>
              <w:bottom w:val="nil"/>
              <w:right w:val="nil"/>
            </w:tcBorders>
            <w:shd w:val="clear" w:color="auto" w:fill="auto"/>
            <w:vAlign w:val="center"/>
          </w:tcPr>
          <w:p w14:paraId="738F253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Factor</w:t>
            </w:r>
          </w:p>
        </w:tc>
        <w:tc>
          <w:tcPr>
            <w:tcW w:w="1085" w:type="dxa"/>
            <w:tcBorders>
              <w:top w:val="nil"/>
              <w:left w:val="nil"/>
              <w:bottom w:val="nil"/>
              <w:right w:val="nil"/>
            </w:tcBorders>
            <w:shd w:val="clear" w:color="auto" w:fill="auto"/>
            <w:vAlign w:val="center"/>
          </w:tcPr>
          <w:p w14:paraId="5593462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top w:val="nil"/>
              <w:left w:val="nil"/>
              <w:bottom w:val="nil"/>
              <w:right w:val="nil"/>
            </w:tcBorders>
            <w:shd w:val="clear" w:color="auto" w:fill="auto"/>
            <w:vAlign w:val="center"/>
          </w:tcPr>
          <w:p w14:paraId="0DF6652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1259 (96.8%)</w:t>
            </w:r>
          </w:p>
        </w:tc>
        <w:tc>
          <w:tcPr>
            <w:tcW w:w="3723" w:type="dxa"/>
            <w:gridSpan w:val="9"/>
            <w:tcBorders>
              <w:top w:val="nil"/>
              <w:left w:val="nil"/>
              <w:bottom w:val="nil"/>
              <w:right w:val="nil"/>
            </w:tcBorders>
            <w:shd w:val="clear" w:color="auto" w:fill="auto"/>
            <w:vAlign w:val="center"/>
          </w:tcPr>
          <w:p w14:paraId="4092C0F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Yes, n = 190 (15.1%)</w:t>
            </w:r>
          </w:p>
        </w:tc>
      </w:tr>
      <w:tr w:rsidR="00A20D1F" w:rsidRPr="008A5C48" w14:paraId="3F22DA0C" w14:textId="77777777" w:rsidTr="00C32812">
        <w:trPr>
          <w:gridAfter w:val="1"/>
          <w:wAfter w:w="29" w:type="dxa"/>
          <w:trHeight w:val="238"/>
          <w:jc w:val="center"/>
        </w:trPr>
        <w:tc>
          <w:tcPr>
            <w:tcW w:w="1616" w:type="dxa"/>
            <w:tcBorders>
              <w:top w:val="nil"/>
              <w:left w:val="nil"/>
              <w:bottom w:val="nil"/>
              <w:right w:val="nil"/>
            </w:tcBorders>
            <w:shd w:val="clear" w:color="auto" w:fill="auto"/>
            <w:vAlign w:val="center"/>
          </w:tcPr>
          <w:p w14:paraId="053311F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Maternal passive smoking </w:t>
            </w:r>
          </w:p>
        </w:tc>
        <w:tc>
          <w:tcPr>
            <w:tcW w:w="1015" w:type="dxa"/>
            <w:tcBorders>
              <w:top w:val="nil"/>
              <w:left w:val="nil"/>
              <w:bottom w:val="nil"/>
              <w:right w:val="nil"/>
            </w:tcBorders>
            <w:shd w:val="clear" w:color="auto" w:fill="auto"/>
            <w:vAlign w:val="center"/>
          </w:tcPr>
          <w:p w14:paraId="1344140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35C23E3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top w:val="nil"/>
              <w:left w:val="nil"/>
              <w:bottom w:val="nil"/>
              <w:right w:val="nil"/>
            </w:tcBorders>
            <w:shd w:val="clear" w:color="auto" w:fill="auto"/>
            <w:vAlign w:val="center"/>
          </w:tcPr>
          <w:p w14:paraId="77D8C73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1279 (98.3%)</w:t>
            </w:r>
          </w:p>
        </w:tc>
        <w:tc>
          <w:tcPr>
            <w:tcW w:w="3723" w:type="dxa"/>
            <w:gridSpan w:val="9"/>
            <w:tcBorders>
              <w:top w:val="nil"/>
              <w:left w:val="nil"/>
              <w:bottom w:val="nil"/>
              <w:right w:val="nil"/>
            </w:tcBorders>
            <w:shd w:val="clear" w:color="auto" w:fill="auto"/>
            <w:vAlign w:val="center"/>
          </w:tcPr>
          <w:p w14:paraId="525FC55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Yes, n = 515 (40.3%)</w:t>
            </w:r>
          </w:p>
        </w:tc>
      </w:tr>
      <w:tr w:rsidR="00A20D1F" w:rsidRPr="008A5C48" w14:paraId="1DF0D8D3" w14:textId="77777777" w:rsidTr="00C32812">
        <w:trPr>
          <w:gridAfter w:val="1"/>
          <w:wAfter w:w="29" w:type="dxa"/>
          <w:trHeight w:val="238"/>
          <w:jc w:val="center"/>
        </w:trPr>
        <w:tc>
          <w:tcPr>
            <w:tcW w:w="1616" w:type="dxa"/>
            <w:tcBorders>
              <w:top w:val="nil"/>
              <w:left w:val="nil"/>
              <w:bottom w:val="nil"/>
              <w:right w:val="nil"/>
            </w:tcBorders>
            <w:shd w:val="clear" w:color="auto" w:fill="auto"/>
            <w:vAlign w:val="center"/>
          </w:tcPr>
          <w:p w14:paraId="3713DBB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Smoking status of parents (both)</w:t>
            </w:r>
          </w:p>
        </w:tc>
        <w:tc>
          <w:tcPr>
            <w:tcW w:w="1015" w:type="dxa"/>
            <w:tcBorders>
              <w:top w:val="nil"/>
              <w:left w:val="nil"/>
              <w:bottom w:val="nil"/>
              <w:right w:val="nil"/>
            </w:tcBorders>
            <w:shd w:val="clear" w:color="auto" w:fill="auto"/>
            <w:vAlign w:val="center"/>
          </w:tcPr>
          <w:p w14:paraId="0FE1082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470164C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1B84062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1286 (98.8%)</w:t>
            </w:r>
          </w:p>
        </w:tc>
        <w:tc>
          <w:tcPr>
            <w:tcW w:w="3723" w:type="dxa"/>
            <w:gridSpan w:val="9"/>
            <w:tcBorders>
              <w:top w:val="nil"/>
              <w:left w:val="nil"/>
              <w:bottom w:val="nil"/>
              <w:right w:val="nil"/>
            </w:tcBorders>
            <w:shd w:val="clear" w:color="auto" w:fill="auto"/>
            <w:vAlign w:val="center"/>
          </w:tcPr>
          <w:p w14:paraId="32EBDFA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Neither, n = 800 (62.2%)</w:t>
            </w:r>
          </w:p>
        </w:tc>
      </w:tr>
      <w:tr w:rsidR="00A20D1F" w:rsidRPr="008A5C48" w14:paraId="630559A2"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3BBADC7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0AA965F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1FB9F50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3BF8B7E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4FB4B80B"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One, n = 350 (27.2%)</w:t>
            </w:r>
          </w:p>
        </w:tc>
      </w:tr>
      <w:tr w:rsidR="00A20D1F" w:rsidRPr="008A5C48" w14:paraId="62D67FD9"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5F4C7B4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14236F4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2E70A7A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32DC4F4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48D9B3E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Both, n = 136 (10.6%)</w:t>
            </w:r>
          </w:p>
        </w:tc>
      </w:tr>
      <w:tr w:rsidR="00A20D1F" w:rsidRPr="008A5C48" w14:paraId="17714F83" w14:textId="77777777" w:rsidTr="00C32812">
        <w:trPr>
          <w:gridAfter w:val="1"/>
          <w:wAfter w:w="29" w:type="dxa"/>
          <w:trHeight w:val="238"/>
          <w:jc w:val="center"/>
        </w:trPr>
        <w:tc>
          <w:tcPr>
            <w:tcW w:w="1616" w:type="dxa"/>
            <w:tcBorders>
              <w:top w:val="nil"/>
              <w:left w:val="nil"/>
              <w:bottom w:val="nil"/>
              <w:right w:val="nil"/>
            </w:tcBorders>
            <w:shd w:val="clear" w:color="auto" w:fill="auto"/>
            <w:vAlign w:val="center"/>
          </w:tcPr>
          <w:p w14:paraId="59F3A21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Exposure to smoke</w:t>
            </w:r>
          </w:p>
        </w:tc>
        <w:tc>
          <w:tcPr>
            <w:tcW w:w="1015" w:type="dxa"/>
            <w:tcBorders>
              <w:top w:val="nil"/>
              <w:left w:val="nil"/>
              <w:bottom w:val="nil"/>
              <w:right w:val="nil"/>
            </w:tcBorders>
            <w:shd w:val="clear" w:color="auto" w:fill="auto"/>
            <w:vAlign w:val="center"/>
          </w:tcPr>
          <w:p w14:paraId="729F1D2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5D2E739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5A14CBE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1271 (97.7%)</w:t>
            </w:r>
          </w:p>
        </w:tc>
        <w:tc>
          <w:tcPr>
            <w:tcW w:w="3723" w:type="dxa"/>
            <w:gridSpan w:val="9"/>
            <w:tcBorders>
              <w:top w:val="nil"/>
              <w:left w:val="nil"/>
              <w:bottom w:val="nil"/>
              <w:right w:val="nil"/>
            </w:tcBorders>
            <w:shd w:val="clear" w:color="auto" w:fill="auto"/>
            <w:vAlign w:val="center"/>
          </w:tcPr>
          <w:p w14:paraId="6ADF66A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Exposure, n = 445 (35%)</w:t>
            </w:r>
          </w:p>
        </w:tc>
      </w:tr>
      <w:tr w:rsidR="00A20D1F" w:rsidRPr="008A5C48" w14:paraId="17AC6E2B" w14:textId="77777777" w:rsidTr="00C32812">
        <w:trPr>
          <w:gridAfter w:val="1"/>
          <w:wAfter w:w="29" w:type="dxa"/>
          <w:trHeight w:val="238"/>
          <w:jc w:val="center"/>
        </w:trPr>
        <w:tc>
          <w:tcPr>
            <w:tcW w:w="1616" w:type="dxa"/>
            <w:tcBorders>
              <w:top w:val="nil"/>
              <w:left w:val="nil"/>
              <w:bottom w:val="nil"/>
              <w:right w:val="nil"/>
            </w:tcBorders>
            <w:shd w:val="clear" w:color="auto" w:fill="auto"/>
            <w:vAlign w:val="center"/>
          </w:tcPr>
          <w:p w14:paraId="7104156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44B5EED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12980FC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6EA1700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42537B4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025A91AD"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4D0B1D4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b/>
                <w:sz w:val="20"/>
                <w:szCs w:val="20"/>
              </w:rPr>
              <w:t>Sleep</w:t>
            </w:r>
          </w:p>
        </w:tc>
        <w:tc>
          <w:tcPr>
            <w:tcW w:w="1015" w:type="dxa"/>
            <w:tcBorders>
              <w:top w:val="nil"/>
              <w:left w:val="nil"/>
              <w:bottom w:val="nil"/>
              <w:right w:val="nil"/>
            </w:tcBorders>
            <w:shd w:val="clear" w:color="auto" w:fill="auto"/>
            <w:vAlign w:val="center"/>
          </w:tcPr>
          <w:p w14:paraId="3E6EBC0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92F475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65D060F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649" w:type="dxa"/>
            <w:gridSpan w:val="3"/>
            <w:tcBorders>
              <w:top w:val="nil"/>
              <w:left w:val="nil"/>
              <w:bottom w:val="nil"/>
              <w:right w:val="nil"/>
            </w:tcBorders>
            <w:shd w:val="clear" w:color="auto" w:fill="auto"/>
            <w:vAlign w:val="center"/>
          </w:tcPr>
          <w:p w14:paraId="0624E2D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851" w:type="dxa"/>
            <w:tcBorders>
              <w:top w:val="nil"/>
              <w:left w:val="nil"/>
              <w:bottom w:val="nil"/>
              <w:right w:val="nil"/>
            </w:tcBorders>
            <w:shd w:val="clear" w:color="auto" w:fill="auto"/>
            <w:vAlign w:val="center"/>
          </w:tcPr>
          <w:p w14:paraId="501DFB6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2943C22B"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669" w:type="dxa"/>
            <w:gridSpan w:val="2"/>
            <w:tcBorders>
              <w:top w:val="nil"/>
              <w:left w:val="nil"/>
              <w:bottom w:val="nil"/>
              <w:right w:val="nil"/>
            </w:tcBorders>
            <w:shd w:val="clear" w:color="auto" w:fill="auto"/>
            <w:vAlign w:val="center"/>
          </w:tcPr>
          <w:p w14:paraId="277CB43A"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666" w:type="dxa"/>
            <w:tcBorders>
              <w:top w:val="nil"/>
              <w:left w:val="nil"/>
              <w:bottom w:val="nil"/>
              <w:right w:val="nil"/>
            </w:tcBorders>
            <w:shd w:val="clear" w:color="auto" w:fill="auto"/>
            <w:vAlign w:val="center"/>
          </w:tcPr>
          <w:p w14:paraId="761AEF4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5B6BC738"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793385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Sleep duration </w:t>
            </w:r>
          </w:p>
        </w:tc>
        <w:tc>
          <w:tcPr>
            <w:tcW w:w="1015" w:type="dxa"/>
            <w:tcBorders>
              <w:top w:val="nil"/>
              <w:left w:val="nil"/>
              <w:bottom w:val="nil"/>
              <w:right w:val="nil"/>
            </w:tcBorders>
            <w:shd w:val="clear" w:color="auto" w:fill="auto"/>
            <w:vAlign w:val="center"/>
          </w:tcPr>
          <w:p w14:paraId="15E55F0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1B7BCFA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77DA55B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1290 (99.2%)</w:t>
            </w:r>
          </w:p>
        </w:tc>
        <w:tc>
          <w:tcPr>
            <w:tcW w:w="649" w:type="dxa"/>
            <w:gridSpan w:val="3"/>
            <w:tcBorders>
              <w:top w:val="nil"/>
              <w:left w:val="nil"/>
              <w:bottom w:val="nil"/>
              <w:right w:val="nil"/>
            </w:tcBorders>
            <w:shd w:val="clear" w:color="auto" w:fill="auto"/>
            <w:vAlign w:val="center"/>
          </w:tcPr>
          <w:p w14:paraId="0E18419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7.6</w:t>
            </w:r>
          </w:p>
        </w:tc>
        <w:tc>
          <w:tcPr>
            <w:tcW w:w="851" w:type="dxa"/>
            <w:tcBorders>
              <w:top w:val="nil"/>
              <w:left w:val="nil"/>
              <w:bottom w:val="nil"/>
              <w:right w:val="nil"/>
            </w:tcBorders>
            <w:shd w:val="clear" w:color="auto" w:fill="auto"/>
            <w:vAlign w:val="center"/>
          </w:tcPr>
          <w:p w14:paraId="53987F7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9.8</w:t>
            </w:r>
          </w:p>
        </w:tc>
        <w:tc>
          <w:tcPr>
            <w:tcW w:w="874" w:type="dxa"/>
            <w:tcBorders>
              <w:top w:val="nil"/>
              <w:left w:val="nil"/>
              <w:bottom w:val="nil"/>
              <w:right w:val="nil"/>
            </w:tcBorders>
            <w:shd w:val="clear" w:color="auto" w:fill="auto"/>
            <w:vAlign w:val="center"/>
          </w:tcPr>
          <w:p w14:paraId="1C5DE02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10.3</w:t>
            </w:r>
          </w:p>
        </w:tc>
        <w:tc>
          <w:tcPr>
            <w:tcW w:w="669" w:type="dxa"/>
            <w:gridSpan w:val="2"/>
            <w:tcBorders>
              <w:top w:val="nil"/>
              <w:left w:val="nil"/>
              <w:bottom w:val="nil"/>
              <w:right w:val="nil"/>
            </w:tcBorders>
            <w:shd w:val="clear" w:color="auto" w:fill="auto"/>
            <w:vAlign w:val="center"/>
          </w:tcPr>
          <w:p w14:paraId="586C0FC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10.7</w:t>
            </w:r>
          </w:p>
        </w:tc>
        <w:tc>
          <w:tcPr>
            <w:tcW w:w="666" w:type="dxa"/>
            <w:tcBorders>
              <w:top w:val="nil"/>
              <w:left w:val="nil"/>
              <w:bottom w:val="nil"/>
              <w:right w:val="nil"/>
            </w:tcBorders>
            <w:shd w:val="clear" w:color="auto" w:fill="auto"/>
            <w:vAlign w:val="center"/>
          </w:tcPr>
          <w:p w14:paraId="44A7260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12.9</w:t>
            </w:r>
          </w:p>
        </w:tc>
      </w:tr>
      <w:tr w:rsidR="00A20D1F" w:rsidRPr="008A5C48" w14:paraId="6B69DDD7"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50C68AE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6BCBBEC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0262794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6D2D62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649" w:type="dxa"/>
            <w:gridSpan w:val="3"/>
            <w:tcBorders>
              <w:top w:val="nil"/>
              <w:left w:val="nil"/>
              <w:bottom w:val="nil"/>
              <w:right w:val="nil"/>
            </w:tcBorders>
            <w:shd w:val="clear" w:color="auto" w:fill="auto"/>
            <w:vAlign w:val="center"/>
          </w:tcPr>
          <w:p w14:paraId="316F908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851" w:type="dxa"/>
            <w:tcBorders>
              <w:top w:val="nil"/>
              <w:left w:val="nil"/>
              <w:bottom w:val="nil"/>
              <w:right w:val="nil"/>
            </w:tcBorders>
            <w:shd w:val="clear" w:color="auto" w:fill="auto"/>
            <w:vAlign w:val="center"/>
          </w:tcPr>
          <w:p w14:paraId="2009935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2A6759B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669" w:type="dxa"/>
            <w:gridSpan w:val="2"/>
            <w:tcBorders>
              <w:top w:val="nil"/>
              <w:left w:val="nil"/>
              <w:bottom w:val="nil"/>
              <w:right w:val="nil"/>
            </w:tcBorders>
            <w:shd w:val="clear" w:color="auto" w:fill="auto"/>
            <w:vAlign w:val="center"/>
          </w:tcPr>
          <w:p w14:paraId="59E874E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666" w:type="dxa"/>
            <w:tcBorders>
              <w:top w:val="nil"/>
              <w:left w:val="nil"/>
              <w:bottom w:val="nil"/>
              <w:right w:val="nil"/>
            </w:tcBorders>
            <w:shd w:val="clear" w:color="auto" w:fill="auto"/>
            <w:vAlign w:val="center"/>
          </w:tcPr>
          <w:p w14:paraId="45DA869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383D1E48" w14:textId="77777777" w:rsidTr="00C32812">
        <w:trPr>
          <w:gridAfter w:val="1"/>
          <w:wAfter w:w="29" w:type="dxa"/>
          <w:trHeight w:val="162"/>
          <w:jc w:val="center"/>
        </w:trPr>
        <w:tc>
          <w:tcPr>
            <w:tcW w:w="3716" w:type="dxa"/>
            <w:gridSpan w:val="3"/>
            <w:tcBorders>
              <w:top w:val="nil"/>
              <w:left w:val="nil"/>
              <w:right w:val="nil"/>
            </w:tcBorders>
            <w:shd w:val="clear" w:color="auto" w:fill="auto"/>
            <w:vAlign w:val="center"/>
          </w:tcPr>
          <w:p w14:paraId="5770678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b/>
                <w:sz w:val="20"/>
                <w:szCs w:val="20"/>
              </w:rPr>
              <w:t>Physical activity</w:t>
            </w:r>
          </w:p>
        </w:tc>
        <w:tc>
          <w:tcPr>
            <w:tcW w:w="1596" w:type="dxa"/>
            <w:tcBorders>
              <w:top w:val="nil"/>
              <w:left w:val="nil"/>
              <w:right w:val="nil"/>
            </w:tcBorders>
            <w:shd w:val="clear" w:color="auto" w:fill="auto"/>
            <w:vAlign w:val="center"/>
          </w:tcPr>
          <w:p w14:paraId="0E40B1F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right w:val="nil"/>
            </w:tcBorders>
            <w:shd w:val="clear" w:color="auto" w:fill="auto"/>
            <w:vAlign w:val="center"/>
          </w:tcPr>
          <w:p w14:paraId="62F6FC6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367B8282" w14:textId="77777777" w:rsidTr="00C32812">
        <w:trPr>
          <w:gridAfter w:val="1"/>
          <w:wAfter w:w="29" w:type="dxa"/>
          <w:cantSplit/>
          <w:trHeight w:val="118"/>
          <w:jc w:val="center"/>
        </w:trPr>
        <w:tc>
          <w:tcPr>
            <w:tcW w:w="1616" w:type="dxa"/>
            <w:tcBorders>
              <w:left w:val="nil"/>
              <w:bottom w:val="nil"/>
              <w:right w:val="nil"/>
            </w:tcBorders>
            <w:shd w:val="clear" w:color="auto" w:fill="auto"/>
            <w:vAlign w:val="center"/>
          </w:tcPr>
          <w:p w14:paraId="1BBF927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Moderate activity</w:t>
            </w:r>
          </w:p>
        </w:tc>
        <w:tc>
          <w:tcPr>
            <w:tcW w:w="1015" w:type="dxa"/>
            <w:tcBorders>
              <w:left w:val="nil"/>
              <w:bottom w:val="nil"/>
              <w:right w:val="nil"/>
            </w:tcBorders>
            <w:shd w:val="clear" w:color="auto" w:fill="auto"/>
            <w:vAlign w:val="center"/>
          </w:tcPr>
          <w:p w14:paraId="1F629EB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times/week</w:t>
            </w:r>
          </w:p>
        </w:tc>
        <w:tc>
          <w:tcPr>
            <w:tcW w:w="1085" w:type="dxa"/>
            <w:tcBorders>
              <w:left w:val="nil"/>
              <w:bottom w:val="nil"/>
              <w:right w:val="nil"/>
            </w:tcBorders>
            <w:shd w:val="clear" w:color="auto" w:fill="auto"/>
            <w:vAlign w:val="center"/>
          </w:tcPr>
          <w:p w14:paraId="256EE6B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left w:val="nil"/>
              <w:bottom w:val="nil"/>
              <w:right w:val="nil"/>
            </w:tcBorders>
            <w:shd w:val="clear" w:color="auto" w:fill="auto"/>
            <w:vAlign w:val="center"/>
          </w:tcPr>
          <w:p w14:paraId="2A968C7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790 (60.7%)</w:t>
            </w:r>
          </w:p>
        </w:tc>
        <w:tc>
          <w:tcPr>
            <w:tcW w:w="3723" w:type="dxa"/>
            <w:gridSpan w:val="9"/>
            <w:tcBorders>
              <w:left w:val="nil"/>
              <w:bottom w:val="nil"/>
              <w:right w:val="nil"/>
            </w:tcBorders>
            <w:shd w:val="clear" w:color="auto" w:fill="auto"/>
            <w:vAlign w:val="center"/>
          </w:tcPr>
          <w:p w14:paraId="6C98A19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None or sometimes, n = 251 (31.8%)</w:t>
            </w:r>
          </w:p>
        </w:tc>
      </w:tr>
      <w:tr w:rsidR="00A20D1F" w:rsidRPr="008A5C48" w14:paraId="144929F8" w14:textId="77777777" w:rsidTr="00C32812">
        <w:trPr>
          <w:gridAfter w:val="1"/>
          <w:wAfter w:w="29" w:type="dxa"/>
          <w:cantSplit/>
          <w:trHeight w:val="118"/>
          <w:jc w:val="center"/>
        </w:trPr>
        <w:tc>
          <w:tcPr>
            <w:tcW w:w="1616" w:type="dxa"/>
            <w:tcBorders>
              <w:left w:val="nil"/>
              <w:bottom w:val="nil"/>
              <w:right w:val="nil"/>
            </w:tcBorders>
            <w:shd w:val="clear" w:color="auto" w:fill="auto"/>
            <w:vAlign w:val="center"/>
          </w:tcPr>
          <w:p w14:paraId="3B4A83A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left w:val="nil"/>
              <w:bottom w:val="nil"/>
              <w:right w:val="nil"/>
            </w:tcBorders>
            <w:shd w:val="clear" w:color="auto" w:fill="auto"/>
            <w:vAlign w:val="center"/>
          </w:tcPr>
          <w:p w14:paraId="34AA648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left w:val="nil"/>
              <w:bottom w:val="nil"/>
              <w:right w:val="nil"/>
            </w:tcBorders>
            <w:shd w:val="clear" w:color="auto" w:fill="auto"/>
            <w:vAlign w:val="center"/>
          </w:tcPr>
          <w:p w14:paraId="07DE8ED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left w:val="nil"/>
              <w:bottom w:val="nil"/>
              <w:right w:val="nil"/>
            </w:tcBorders>
            <w:shd w:val="clear" w:color="auto" w:fill="auto"/>
            <w:vAlign w:val="center"/>
          </w:tcPr>
          <w:p w14:paraId="001AB01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left w:val="nil"/>
              <w:bottom w:val="nil"/>
              <w:right w:val="nil"/>
            </w:tcBorders>
            <w:shd w:val="clear" w:color="auto" w:fill="auto"/>
            <w:vAlign w:val="center"/>
          </w:tcPr>
          <w:p w14:paraId="1AE3127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Often, n = 303 (38.4%)</w:t>
            </w:r>
          </w:p>
        </w:tc>
      </w:tr>
      <w:tr w:rsidR="00A20D1F" w:rsidRPr="008A5C48" w14:paraId="482B0383" w14:textId="77777777" w:rsidTr="00C32812">
        <w:trPr>
          <w:gridAfter w:val="1"/>
          <w:wAfter w:w="29" w:type="dxa"/>
          <w:cantSplit/>
          <w:trHeight w:val="118"/>
          <w:jc w:val="center"/>
        </w:trPr>
        <w:tc>
          <w:tcPr>
            <w:tcW w:w="1616" w:type="dxa"/>
            <w:tcBorders>
              <w:left w:val="nil"/>
              <w:bottom w:val="nil"/>
              <w:right w:val="nil"/>
            </w:tcBorders>
            <w:shd w:val="clear" w:color="auto" w:fill="auto"/>
            <w:vAlign w:val="center"/>
          </w:tcPr>
          <w:p w14:paraId="55DBC7D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left w:val="nil"/>
              <w:bottom w:val="nil"/>
              <w:right w:val="nil"/>
            </w:tcBorders>
            <w:shd w:val="clear" w:color="auto" w:fill="auto"/>
            <w:vAlign w:val="center"/>
          </w:tcPr>
          <w:p w14:paraId="6B8D63A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left w:val="nil"/>
              <w:bottom w:val="nil"/>
              <w:right w:val="nil"/>
            </w:tcBorders>
            <w:shd w:val="clear" w:color="auto" w:fill="auto"/>
            <w:vAlign w:val="center"/>
          </w:tcPr>
          <w:p w14:paraId="2A350FD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left w:val="nil"/>
              <w:bottom w:val="nil"/>
              <w:right w:val="nil"/>
            </w:tcBorders>
            <w:shd w:val="clear" w:color="auto" w:fill="auto"/>
            <w:vAlign w:val="center"/>
          </w:tcPr>
          <w:p w14:paraId="50AE06B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left w:val="nil"/>
              <w:bottom w:val="nil"/>
              <w:right w:val="nil"/>
            </w:tcBorders>
            <w:shd w:val="clear" w:color="auto" w:fill="auto"/>
            <w:vAlign w:val="center"/>
          </w:tcPr>
          <w:p w14:paraId="3F44A99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Very Often, n = 236 (29.9%)</w:t>
            </w:r>
          </w:p>
        </w:tc>
      </w:tr>
      <w:tr w:rsidR="00A20D1F" w:rsidRPr="008A5C48" w14:paraId="4A891E3D" w14:textId="77777777" w:rsidTr="00C32812">
        <w:trPr>
          <w:gridAfter w:val="1"/>
          <w:wAfter w:w="29" w:type="dxa"/>
          <w:cantSplit/>
          <w:trHeight w:val="118"/>
          <w:jc w:val="center"/>
        </w:trPr>
        <w:tc>
          <w:tcPr>
            <w:tcW w:w="1616" w:type="dxa"/>
            <w:tcBorders>
              <w:left w:val="nil"/>
              <w:bottom w:val="nil"/>
              <w:right w:val="nil"/>
            </w:tcBorders>
            <w:shd w:val="clear" w:color="auto" w:fill="auto"/>
            <w:vAlign w:val="center"/>
          </w:tcPr>
          <w:p w14:paraId="3532838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Vigorous activity</w:t>
            </w:r>
          </w:p>
        </w:tc>
        <w:tc>
          <w:tcPr>
            <w:tcW w:w="1015" w:type="dxa"/>
            <w:tcBorders>
              <w:left w:val="nil"/>
              <w:bottom w:val="nil"/>
              <w:right w:val="nil"/>
            </w:tcBorders>
            <w:shd w:val="clear" w:color="auto" w:fill="auto"/>
            <w:vAlign w:val="center"/>
          </w:tcPr>
          <w:p w14:paraId="6DEC515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times/week</w:t>
            </w:r>
          </w:p>
        </w:tc>
        <w:tc>
          <w:tcPr>
            <w:tcW w:w="1085" w:type="dxa"/>
            <w:tcBorders>
              <w:left w:val="nil"/>
              <w:bottom w:val="nil"/>
              <w:right w:val="nil"/>
            </w:tcBorders>
            <w:shd w:val="clear" w:color="auto" w:fill="auto"/>
            <w:vAlign w:val="center"/>
          </w:tcPr>
          <w:p w14:paraId="1DFA6B0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left w:val="nil"/>
              <w:bottom w:val="nil"/>
              <w:right w:val="nil"/>
            </w:tcBorders>
            <w:shd w:val="clear" w:color="auto" w:fill="auto"/>
            <w:vAlign w:val="center"/>
          </w:tcPr>
          <w:p w14:paraId="2AE7AF8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772 (59.3%)</w:t>
            </w:r>
          </w:p>
        </w:tc>
        <w:tc>
          <w:tcPr>
            <w:tcW w:w="3723" w:type="dxa"/>
            <w:gridSpan w:val="9"/>
            <w:tcBorders>
              <w:left w:val="nil"/>
              <w:bottom w:val="nil"/>
              <w:right w:val="nil"/>
            </w:tcBorders>
            <w:shd w:val="clear" w:color="auto" w:fill="auto"/>
            <w:vAlign w:val="center"/>
          </w:tcPr>
          <w:p w14:paraId="154671D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Medium-High, n = 286 (37%) </w:t>
            </w:r>
          </w:p>
        </w:tc>
      </w:tr>
      <w:tr w:rsidR="00A20D1F" w:rsidRPr="008A5C48" w14:paraId="27B95ED6" w14:textId="77777777" w:rsidTr="00C32812">
        <w:trPr>
          <w:gridAfter w:val="2"/>
          <w:wAfter w:w="43" w:type="dxa"/>
          <w:cantSplit/>
          <w:trHeight w:val="238"/>
          <w:jc w:val="center"/>
        </w:trPr>
        <w:tc>
          <w:tcPr>
            <w:tcW w:w="1616" w:type="dxa"/>
            <w:tcBorders>
              <w:top w:val="nil"/>
              <w:left w:val="nil"/>
              <w:bottom w:val="nil"/>
              <w:right w:val="nil"/>
            </w:tcBorders>
            <w:shd w:val="clear" w:color="auto" w:fill="auto"/>
            <w:vAlign w:val="center"/>
          </w:tcPr>
          <w:p w14:paraId="0959F6A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Physical activity </w:t>
            </w:r>
          </w:p>
        </w:tc>
        <w:tc>
          <w:tcPr>
            <w:tcW w:w="1015" w:type="dxa"/>
            <w:tcBorders>
              <w:top w:val="nil"/>
              <w:left w:val="nil"/>
              <w:bottom w:val="nil"/>
              <w:right w:val="nil"/>
            </w:tcBorders>
            <w:shd w:val="clear" w:color="auto" w:fill="auto"/>
            <w:vAlign w:val="center"/>
          </w:tcPr>
          <w:p w14:paraId="5B58657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min/day</w:t>
            </w:r>
          </w:p>
        </w:tc>
        <w:tc>
          <w:tcPr>
            <w:tcW w:w="1085" w:type="dxa"/>
            <w:tcBorders>
              <w:top w:val="nil"/>
              <w:left w:val="nil"/>
              <w:bottom w:val="nil"/>
              <w:right w:val="nil"/>
            </w:tcBorders>
            <w:shd w:val="clear" w:color="auto" w:fill="auto"/>
            <w:vAlign w:val="center"/>
          </w:tcPr>
          <w:p w14:paraId="69398FA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6048B21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1036 (79.6%)</w:t>
            </w:r>
          </w:p>
        </w:tc>
        <w:tc>
          <w:tcPr>
            <w:tcW w:w="649" w:type="dxa"/>
            <w:gridSpan w:val="3"/>
            <w:tcBorders>
              <w:top w:val="nil"/>
              <w:left w:val="nil"/>
              <w:bottom w:val="nil"/>
              <w:right w:val="nil"/>
            </w:tcBorders>
            <w:shd w:val="clear" w:color="auto" w:fill="auto"/>
            <w:vAlign w:val="center"/>
          </w:tcPr>
          <w:p w14:paraId="5FE4ED9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-27.8</w:t>
            </w:r>
          </w:p>
        </w:tc>
        <w:tc>
          <w:tcPr>
            <w:tcW w:w="851" w:type="dxa"/>
            <w:tcBorders>
              <w:top w:val="nil"/>
              <w:left w:val="nil"/>
              <w:bottom w:val="nil"/>
              <w:right w:val="nil"/>
            </w:tcBorders>
            <w:shd w:val="clear" w:color="auto" w:fill="auto"/>
            <w:vAlign w:val="center"/>
          </w:tcPr>
          <w:p w14:paraId="6C7B1CB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21.6</w:t>
            </w:r>
          </w:p>
        </w:tc>
        <w:tc>
          <w:tcPr>
            <w:tcW w:w="874" w:type="dxa"/>
            <w:tcBorders>
              <w:top w:val="nil"/>
              <w:left w:val="nil"/>
              <w:bottom w:val="nil"/>
              <w:right w:val="nil"/>
            </w:tcBorders>
            <w:shd w:val="clear" w:color="auto" w:fill="auto"/>
            <w:vAlign w:val="center"/>
          </w:tcPr>
          <w:p w14:paraId="4A0932B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35.9</w:t>
            </w:r>
          </w:p>
        </w:tc>
        <w:tc>
          <w:tcPr>
            <w:tcW w:w="669" w:type="dxa"/>
            <w:gridSpan w:val="2"/>
            <w:tcBorders>
              <w:top w:val="nil"/>
              <w:left w:val="nil"/>
              <w:bottom w:val="nil"/>
              <w:right w:val="nil"/>
            </w:tcBorders>
            <w:shd w:val="clear" w:color="auto" w:fill="auto"/>
            <w:vAlign w:val="center"/>
          </w:tcPr>
          <w:p w14:paraId="5DEB136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54.6</w:t>
            </w:r>
          </w:p>
        </w:tc>
        <w:tc>
          <w:tcPr>
            <w:tcW w:w="666" w:type="dxa"/>
            <w:tcBorders>
              <w:top w:val="nil"/>
              <w:left w:val="nil"/>
              <w:bottom w:val="nil"/>
              <w:right w:val="nil"/>
            </w:tcBorders>
            <w:shd w:val="clear" w:color="auto" w:fill="auto"/>
            <w:vAlign w:val="center"/>
          </w:tcPr>
          <w:p w14:paraId="1E546BD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146.8</w:t>
            </w:r>
          </w:p>
        </w:tc>
      </w:tr>
      <w:tr w:rsidR="00A20D1F" w:rsidRPr="008A5C48" w14:paraId="1F7EEA11" w14:textId="77777777" w:rsidTr="00C32812">
        <w:trPr>
          <w:gridAfter w:val="2"/>
          <w:wAfter w:w="43" w:type="dxa"/>
          <w:cantSplit/>
          <w:trHeight w:val="238"/>
          <w:jc w:val="center"/>
        </w:trPr>
        <w:tc>
          <w:tcPr>
            <w:tcW w:w="1616" w:type="dxa"/>
            <w:tcBorders>
              <w:top w:val="nil"/>
              <w:left w:val="nil"/>
              <w:bottom w:val="nil"/>
              <w:right w:val="nil"/>
            </w:tcBorders>
            <w:shd w:val="clear" w:color="auto" w:fill="auto"/>
            <w:vAlign w:val="center"/>
          </w:tcPr>
          <w:p w14:paraId="0D7801C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Sedentary activity</w:t>
            </w:r>
          </w:p>
        </w:tc>
        <w:tc>
          <w:tcPr>
            <w:tcW w:w="1015" w:type="dxa"/>
            <w:tcBorders>
              <w:top w:val="nil"/>
              <w:left w:val="nil"/>
              <w:bottom w:val="nil"/>
              <w:right w:val="nil"/>
            </w:tcBorders>
            <w:shd w:val="clear" w:color="auto" w:fill="auto"/>
            <w:vAlign w:val="center"/>
          </w:tcPr>
          <w:p w14:paraId="4FE8CE1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min/day</w:t>
            </w:r>
          </w:p>
        </w:tc>
        <w:tc>
          <w:tcPr>
            <w:tcW w:w="1085" w:type="dxa"/>
            <w:tcBorders>
              <w:top w:val="nil"/>
              <w:left w:val="nil"/>
              <w:bottom w:val="nil"/>
              <w:right w:val="nil"/>
            </w:tcBorders>
            <w:shd w:val="clear" w:color="auto" w:fill="auto"/>
            <w:vAlign w:val="center"/>
          </w:tcPr>
          <w:p w14:paraId="313714E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292AE0B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1283 (98.6%)</w:t>
            </w:r>
          </w:p>
        </w:tc>
        <w:tc>
          <w:tcPr>
            <w:tcW w:w="649" w:type="dxa"/>
            <w:gridSpan w:val="3"/>
            <w:tcBorders>
              <w:top w:val="nil"/>
              <w:left w:val="nil"/>
              <w:bottom w:val="nil"/>
              <w:right w:val="nil"/>
            </w:tcBorders>
            <w:shd w:val="clear" w:color="auto" w:fill="auto"/>
            <w:vAlign w:val="center"/>
          </w:tcPr>
          <w:p w14:paraId="6CFC197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3.1</w:t>
            </w:r>
          </w:p>
        </w:tc>
        <w:tc>
          <w:tcPr>
            <w:tcW w:w="851" w:type="dxa"/>
            <w:tcBorders>
              <w:top w:val="nil"/>
              <w:left w:val="nil"/>
              <w:bottom w:val="nil"/>
              <w:right w:val="nil"/>
            </w:tcBorders>
            <w:shd w:val="clear" w:color="auto" w:fill="auto"/>
            <w:vAlign w:val="center"/>
          </w:tcPr>
          <w:p w14:paraId="1E6A82B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152.1</w:t>
            </w:r>
          </w:p>
        </w:tc>
        <w:tc>
          <w:tcPr>
            <w:tcW w:w="874" w:type="dxa"/>
            <w:tcBorders>
              <w:top w:val="nil"/>
              <w:left w:val="nil"/>
              <w:bottom w:val="nil"/>
              <w:right w:val="nil"/>
            </w:tcBorders>
            <w:shd w:val="clear" w:color="auto" w:fill="auto"/>
            <w:vAlign w:val="center"/>
          </w:tcPr>
          <w:p w14:paraId="77246F4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210</w:t>
            </w:r>
          </w:p>
        </w:tc>
        <w:tc>
          <w:tcPr>
            <w:tcW w:w="669" w:type="dxa"/>
            <w:gridSpan w:val="2"/>
            <w:tcBorders>
              <w:top w:val="nil"/>
              <w:left w:val="nil"/>
              <w:bottom w:val="nil"/>
              <w:right w:val="nil"/>
            </w:tcBorders>
            <w:shd w:val="clear" w:color="auto" w:fill="auto"/>
            <w:vAlign w:val="center"/>
          </w:tcPr>
          <w:p w14:paraId="4BCDF2B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282.9</w:t>
            </w:r>
          </w:p>
        </w:tc>
        <w:tc>
          <w:tcPr>
            <w:tcW w:w="666" w:type="dxa"/>
            <w:tcBorders>
              <w:top w:val="nil"/>
              <w:left w:val="nil"/>
              <w:bottom w:val="nil"/>
              <w:right w:val="nil"/>
            </w:tcBorders>
            <w:shd w:val="clear" w:color="auto" w:fill="auto"/>
            <w:vAlign w:val="center"/>
          </w:tcPr>
          <w:p w14:paraId="36E58DD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994.3</w:t>
            </w:r>
          </w:p>
        </w:tc>
      </w:tr>
      <w:tr w:rsidR="00A20D1F" w:rsidRPr="008A5C48" w14:paraId="4C11722A"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62E63EC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pet</w:t>
            </w:r>
          </w:p>
        </w:tc>
        <w:tc>
          <w:tcPr>
            <w:tcW w:w="1015" w:type="dxa"/>
            <w:tcBorders>
              <w:top w:val="nil"/>
              <w:left w:val="nil"/>
              <w:bottom w:val="nil"/>
              <w:right w:val="nil"/>
            </w:tcBorders>
            <w:shd w:val="clear" w:color="auto" w:fill="auto"/>
            <w:vAlign w:val="center"/>
          </w:tcPr>
          <w:p w14:paraId="36043A4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5B3BAC2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1B48142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1292 (99.3%)</w:t>
            </w:r>
          </w:p>
        </w:tc>
        <w:tc>
          <w:tcPr>
            <w:tcW w:w="3723" w:type="dxa"/>
            <w:gridSpan w:val="9"/>
            <w:tcBorders>
              <w:top w:val="nil"/>
              <w:left w:val="nil"/>
              <w:bottom w:val="nil"/>
              <w:right w:val="nil"/>
            </w:tcBorders>
            <w:shd w:val="clear" w:color="auto" w:fill="auto"/>
            <w:vAlign w:val="center"/>
          </w:tcPr>
          <w:p w14:paraId="373A210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Yes, n = 485 (37.5%)</w:t>
            </w:r>
          </w:p>
        </w:tc>
      </w:tr>
      <w:tr w:rsidR="00A20D1F" w:rsidRPr="008A5C48" w14:paraId="53081D52"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54559BA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73426E0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5683DA2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B54313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07F166F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34A4EC2A" w14:textId="77777777" w:rsidTr="00C32812">
        <w:trPr>
          <w:trHeight w:val="118"/>
          <w:jc w:val="center"/>
        </w:trPr>
        <w:tc>
          <w:tcPr>
            <w:tcW w:w="5331" w:type="dxa"/>
            <w:gridSpan w:val="6"/>
            <w:tcBorders>
              <w:top w:val="nil"/>
              <w:left w:val="nil"/>
              <w:bottom w:val="nil"/>
              <w:right w:val="nil"/>
            </w:tcBorders>
            <w:shd w:val="clear" w:color="auto" w:fill="auto"/>
            <w:vAlign w:val="center"/>
          </w:tcPr>
          <w:p w14:paraId="7959BBD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b/>
                <w:sz w:val="20"/>
                <w:szCs w:val="20"/>
              </w:rPr>
              <w:t>Socio-economic situation</w:t>
            </w:r>
          </w:p>
        </w:tc>
        <w:tc>
          <w:tcPr>
            <w:tcW w:w="3733" w:type="dxa"/>
            <w:gridSpan w:val="8"/>
            <w:tcBorders>
              <w:top w:val="nil"/>
              <w:left w:val="nil"/>
              <w:bottom w:val="nil"/>
              <w:right w:val="nil"/>
            </w:tcBorders>
            <w:shd w:val="clear" w:color="auto" w:fill="auto"/>
            <w:vAlign w:val="center"/>
          </w:tcPr>
          <w:p w14:paraId="0287F3E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19F8D6F8" w14:textId="77777777" w:rsidTr="00C32812">
        <w:trPr>
          <w:gridAfter w:val="1"/>
          <w:wAfter w:w="29" w:type="dxa"/>
          <w:trHeight w:val="154"/>
          <w:jc w:val="center"/>
        </w:trPr>
        <w:tc>
          <w:tcPr>
            <w:tcW w:w="1616" w:type="dxa"/>
            <w:tcBorders>
              <w:top w:val="nil"/>
              <w:left w:val="nil"/>
              <w:bottom w:val="nil"/>
              <w:right w:val="nil"/>
            </w:tcBorders>
            <w:shd w:val="clear" w:color="auto" w:fill="auto"/>
            <w:vAlign w:val="center"/>
          </w:tcPr>
          <w:p w14:paraId="3604DBC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Family Affluence Scale </w:t>
            </w:r>
          </w:p>
        </w:tc>
        <w:tc>
          <w:tcPr>
            <w:tcW w:w="1015" w:type="dxa"/>
            <w:tcBorders>
              <w:top w:val="nil"/>
              <w:left w:val="nil"/>
              <w:bottom w:val="nil"/>
              <w:right w:val="nil"/>
            </w:tcBorders>
            <w:shd w:val="clear" w:color="auto" w:fill="auto"/>
            <w:vAlign w:val="center"/>
          </w:tcPr>
          <w:p w14:paraId="73704DF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66AD89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3C02E73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1293 (99.4%)</w:t>
            </w:r>
          </w:p>
        </w:tc>
        <w:tc>
          <w:tcPr>
            <w:tcW w:w="3723" w:type="dxa"/>
            <w:gridSpan w:val="9"/>
            <w:tcBorders>
              <w:top w:val="nil"/>
              <w:left w:val="nil"/>
              <w:bottom w:val="nil"/>
              <w:right w:val="nil"/>
            </w:tcBorders>
            <w:shd w:val="clear" w:color="auto" w:fill="auto"/>
            <w:vAlign w:val="center"/>
          </w:tcPr>
          <w:p w14:paraId="566C760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Low, n = 136 (10.5%)</w:t>
            </w:r>
          </w:p>
        </w:tc>
      </w:tr>
      <w:tr w:rsidR="00A20D1F" w:rsidRPr="008A5C48" w14:paraId="32FE4C53"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7A5B953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2677ACB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582953E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4483941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06D4F66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Middle, n = 499 (38.6%)</w:t>
            </w:r>
          </w:p>
        </w:tc>
      </w:tr>
      <w:tr w:rsidR="00A20D1F" w:rsidRPr="008A5C48" w14:paraId="675991F5"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60C2E3B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2FA7D6D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54E93E9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312C37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51E207F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High, n = 658 (50.9%)</w:t>
            </w:r>
          </w:p>
        </w:tc>
      </w:tr>
      <w:tr w:rsidR="00A20D1F" w:rsidRPr="008A5C48" w14:paraId="0795A3F4"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7241596A"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Participation in organization</w:t>
            </w:r>
          </w:p>
        </w:tc>
        <w:tc>
          <w:tcPr>
            <w:tcW w:w="1015" w:type="dxa"/>
            <w:tcBorders>
              <w:top w:val="nil"/>
              <w:left w:val="nil"/>
              <w:bottom w:val="nil"/>
              <w:right w:val="nil"/>
            </w:tcBorders>
            <w:shd w:val="clear" w:color="auto" w:fill="auto"/>
            <w:vAlign w:val="center"/>
          </w:tcPr>
          <w:p w14:paraId="5010298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1716CB6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60853B2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1222 (93.9%)</w:t>
            </w:r>
          </w:p>
        </w:tc>
        <w:tc>
          <w:tcPr>
            <w:tcW w:w="3723" w:type="dxa"/>
            <w:gridSpan w:val="9"/>
            <w:tcBorders>
              <w:top w:val="nil"/>
              <w:left w:val="nil"/>
              <w:bottom w:val="nil"/>
              <w:right w:val="nil"/>
            </w:tcBorders>
            <w:shd w:val="clear" w:color="auto" w:fill="auto"/>
            <w:vAlign w:val="center"/>
          </w:tcPr>
          <w:p w14:paraId="723C1F9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None, n = 680 (55.6%)</w:t>
            </w:r>
          </w:p>
        </w:tc>
      </w:tr>
      <w:tr w:rsidR="00A20D1F" w:rsidRPr="008A5C48" w14:paraId="1D0AC95A"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12BF79E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56B501A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790CBF2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790F0FF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51E36E4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 organisation, n = 350 (28.6%)</w:t>
            </w:r>
          </w:p>
        </w:tc>
      </w:tr>
      <w:tr w:rsidR="00A20D1F" w:rsidRPr="008A5C48" w14:paraId="2FB0A3C4"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41DB4B9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14EF23F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54475B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E65521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300AF6F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 or more organisations, n = 192 (15.7%)</w:t>
            </w:r>
          </w:p>
        </w:tc>
      </w:tr>
      <w:tr w:rsidR="00A20D1F" w:rsidRPr="008A5C48" w14:paraId="0D29C094" w14:textId="77777777" w:rsidTr="00C32812">
        <w:trPr>
          <w:gridAfter w:val="1"/>
          <w:wAfter w:w="29" w:type="dxa"/>
          <w:trHeight w:val="286"/>
          <w:jc w:val="center"/>
        </w:trPr>
        <w:tc>
          <w:tcPr>
            <w:tcW w:w="1616" w:type="dxa"/>
            <w:tcBorders>
              <w:top w:val="nil"/>
              <w:left w:val="nil"/>
              <w:bottom w:val="nil"/>
              <w:right w:val="nil"/>
            </w:tcBorders>
            <w:shd w:val="clear" w:color="auto" w:fill="auto"/>
            <w:vAlign w:val="center"/>
          </w:tcPr>
          <w:p w14:paraId="268767BA"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Contact with family</w:t>
            </w:r>
          </w:p>
        </w:tc>
        <w:tc>
          <w:tcPr>
            <w:tcW w:w="1015" w:type="dxa"/>
            <w:tcBorders>
              <w:top w:val="nil"/>
              <w:left w:val="nil"/>
              <w:bottom w:val="nil"/>
              <w:right w:val="nil"/>
            </w:tcBorders>
            <w:shd w:val="clear" w:color="auto" w:fill="auto"/>
            <w:vAlign w:val="center"/>
          </w:tcPr>
          <w:p w14:paraId="33A3160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1290BAA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55553D4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1281 (98.5%)</w:t>
            </w:r>
          </w:p>
        </w:tc>
        <w:tc>
          <w:tcPr>
            <w:tcW w:w="3723" w:type="dxa"/>
            <w:gridSpan w:val="9"/>
            <w:tcBorders>
              <w:top w:val="nil"/>
              <w:left w:val="nil"/>
              <w:bottom w:val="nil"/>
              <w:right w:val="nil"/>
            </w:tcBorders>
            <w:shd w:val="clear" w:color="auto" w:fill="auto"/>
            <w:vAlign w:val="center"/>
          </w:tcPr>
          <w:p w14:paraId="421DD2B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Less than once a week, n = 63 (4.9%)</w:t>
            </w:r>
          </w:p>
        </w:tc>
      </w:tr>
      <w:tr w:rsidR="00A20D1F" w:rsidRPr="008A5C48" w14:paraId="2CF223BA"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15CD982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0B53C8D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284CDFC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2831E94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1DCF18AB"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Once a week, n = 370 (28.9%)</w:t>
            </w:r>
          </w:p>
        </w:tc>
      </w:tr>
      <w:tr w:rsidR="00A20D1F" w:rsidRPr="008A5C48" w14:paraId="7B792BEB"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6051549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2B27CDC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10EDEE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22893A6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0593358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(almost) Daily, n = 848 (66.2%)</w:t>
            </w:r>
          </w:p>
        </w:tc>
      </w:tr>
      <w:tr w:rsidR="00A20D1F" w:rsidRPr="008A5C48" w14:paraId="7C3786D9" w14:textId="77777777" w:rsidTr="00C32812">
        <w:trPr>
          <w:gridAfter w:val="2"/>
          <w:wAfter w:w="43" w:type="dxa"/>
          <w:trHeight w:val="238"/>
          <w:jc w:val="center"/>
        </w:trPr>
        <w:tc>
          <w:tcPr>
            <w:tcW w:w="1616" w:type="dxa"/>
            <w:tcBorders>
              <w:top w:val="nil"/>
              <w:left w:val="nil"/>
              <w:bottom w:val="nil"/>
              <w:right w:val="nil"/>
            </w:tcBorders>
            <w:shd w:val="clear" w:color="auto" w:fill="auto"/>
            <w:vAlign w:val="center"/>
          </w:tcPr>
          <w:p w14:paraId="7296D93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House crowding </w:t>
            </w:r>
          </w:p>
        </w:tc>
        <w:tc>
          <w:tcPr>
            <w:tcW w:w="1015" w:type="dxa"/>
            <w:tcBorders>
              <w:top w:val="nil"/>
              <w:left w:val="nil"/>
              <w:bottom w:val="nil"/>
              <w:right w:val="nil"/>
            </w:tcBorders>
            <w:shd w:val="clear" w:color="auto" w:fill="auto"/>
            <w:vAlign w:val="center"/>
          </w:tcPr>
          <w:p w14:paraId="201732B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Number of people</w:t>
            </w:r>
          </w:p>
        </w:tc>
        <w:tc>
          <w:tcPr>
            <w:tcW w:w="1085" w:type="dxa"/>
            <w:tcBorders>
              <w:top w:val="nil"/>
              <w:left w:val="nil"/>
              <w:bottom w:val="nil"/>
              <w:right w:val="nil"/>
            </w:tcBorders>
            <w:shd w:val="clear" w:color="auto" w:fill="auto"/>
            <w:vAlign w:val="center"/>
          </w:tcPr>
          <w:p w14:paraId="3500C74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top w:val="nil"/>
              <w:left w:val="nil"/>
              <w:bottom w:val="nil"/>
              <w:right w:val="nil"/>
            </w:tcBorders>
            <w:shd w:val="clear" w:color="auto" w:fill="auto"/>
            <w:vAlign w:val="center"/>
          </w:tcPr>
          <w:p w14:paraId="79E9EF3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1067 (82%)</w:t>
            </w:r>
          </w:p>
        </w:tc>
        <w:tc>
          <w:tcPr>
            <w:tcW w:w="649" w:type="dxa"/>
            <w:gridSpan w:val="3"/>
            <w:tcBorders>
              <w:top w:val="nil"/>
              <w:left w:val="nil"/>
              <w:bottom w:val="nil"/>
              <w:right w:val="nil"/>
            </w:tcBorders>
            <w:shd w:val="clear" w:color="auto" w:fill="auto"/>
            <w:vAlign w:val="center"/>
          </w:tcPr>
          <w:p w14:paraId="1E8B1DE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w:t>
            </w:r>
          </w:p>
        </w:tc>
        <w:tc>
          <w:tcPr>
            <w:tcW w:w="851" w:type="dxa"/>
            <w:tcBorders>
              <w:top w:val="nil"/>
              <w:left w:val="nil"/>
              <w:bottom w:val="nil"/>
              <w:right w:val="nil"/>
            </w:tcBorders>
            <w:shd w:val="clear" w:color="auto" w:fill="auto"/>
            <w:vAlign w:val="center"/>
          </w:tcPr>
          <w:p w14:paraId="5A07B3D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w:t>
            </w:r>
          </w:p>
        </w:tc>
        <w:tc>
          <w:tcPr>
            <w:tcW w:w="874" w:type="dxa"/>
            <w:tcBorders>
              <w:top w:val="nil"/>
              <w:left w:val="nil"/>
              <w:bottom w:val="nil"/>
              <w:right w:val="nil"/>
            </w:tcBorders>
            <w:shd w:val="clear" w:color="auto" w:fill="auto"/>
            <w:vAlign w:val="center"/>
          </w:tcPr>
          <w:p w14:paraId="748AEF0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w:t>
            </w:r>
          </w:p>
        </w:tc>
        <w:tc>
          <w:tcPr>
            <w:tcW w:w="669" w:type="dxa"/>
            <w:gridSpan w:val="2"/>
            <w:tcBorders>
              <w:top w:val="nil"/>
              <w:left w:val="nil"/>
              <w:bottom w:val="nil"/>
              <w:right w:val="nil"/>
            </w:tcBorders>
            <w:shd w:val="clear" w:color="auto" w:fill="auto"/>
            <w:vAlign w:val="center"/>
          </w:tcPr>
          <w:p w14:paraId="1101F5E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w:t>
            </w:r>
          </w:p>
        </w:tc>
        <w:tc>
          <w:tcPr>
            <w:tcW w:w="666" w:type="dxa"/>
            <w:tcBorders>
              <w:top w:val="nil"/>
              <w:left w:val="nil"/>
              <w:bottom w:val="nil"/>
              <w:right w:val="nil"/>
            </w:tcBorders>
            <w:shd w:val="clear" w:color="auto" w:fill="auto"/>
            <w:vAlign w:val="center"/>
          </w:tcPr>
          <w:p w14:paraId="1342941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11</w:t>
            </w:r>
          </w:p>
        </w:tc>
      </w:tr>
      <w:tr w:rsidR="00A20D1F" w:rsidRPr="008A5C48" w14:paraId="1775ABCF" w14:textId="77777777" w:rsidTr="00C32812">
        <w:trPr>
          <w:gridAfter w:val="2"/>
          <w:wAfter w:w="43" w:type="dxa"/>
          <w:trHeight w:val="238"/>
          <w:jc w:val="center"/>
        </w:trPr>
        <w:tc>
          <w:tcPr>
            <w:tcW w:w="1616" w:type="dxa"/>
            <w:tcBorders>
              <w:top w:val="nil"/>
              <w:left w:val="nil"/>
              <w:bottom w:val="nil"/>
              <w:right w:val="nil"/>
            </w:tcBorders>
            <w:shd w:val="clear" w:color="auto" w:fill="auto"/>
            <w:vAlign w:val="center"/>
          </w:tcPr>
          <w:p w14:paraId="793D2CE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3AEFFC9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23BB38D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6080DBE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649" w:type="dxa"/>
            <w:gridSpan w:val="3"/>
            <w:tcBorders>
              <w:top w:val="nil"/>
              <w:left w:val="nil"/>
              <w:bottom w:val="nil"/>
              <w:right w:val="nil"/>
            </w:tcBorders>
            <w:shd w:val="clear" w:color="auto" w:fill="auto"/>
            <w:vAlign w:val="center"/>
          </w:tcPr>
          <w:p w14:paraId="4A8155E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851" w:type="dxa"/>
            <w:tcBorders>
              <w:top w:val="nil"/>
              <w:left w:val="nil"/>
              <w:bottom w:val="nil"/>
              <w:right w:val="nil"/>
            </w:tcBorders>
            <w:shd w:val="clear" w:color="auto" w:fill="auto"/>
            <w:vAlign w:val="center"/>
          </w:tcPr>
          <w:p w14:paraId="5EC8899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4E52E1B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669" w:type="dxa"/>
            <w:gridSpan w:val="2"/>
            <w:tcBorders>
              <w:top w:val="nil"/>
              <w:left w:val="nil"/>
              <w:bottom w:val="nil"/>
              <w:right w:val="nil"/>
            </w:tcBorders>
            <w:shd w:val="clear" w:color="auto" w:fill="auto"/>
            <w:vAlign w:val="center"/>
          </w:tcPr>
          <w:p w14:paraId="5CAAC38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666" w:type="dxa"/>
            <w:tcBorders>
              <w:top w:val="nil"/>
              <w:left w:val="nil"/>
              <w:bottom w:val="nil"/>
              <w:right w:val="nil"/>
            </w:tcBorders>
            <w:shd w:val="clear" w:color="auto" w:fill="auto"/>
            <w:vAlign w:val="center"/>
          </w:tcPr>
          <w:p w14:paraId="1E1B46B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r>
      <w:tr w:rsidR="00A20D1F" w:rsidRPr="008A5C48" w14:paraId="49A8FF91" w14:textId="77777777" w:rsidTr="00C32812">
        <w:trPr>
          <w:gridAfter w:val="2"/>
          <w:wAfter w:w="43" w:type="dxa"/>
          <w:trHeight w:val="238"/>
          <w:jc w:val="center"/>
        </w:trPr>
        <w:tc>
          <w:tcPr>
            <w:tcW w:w="1616" w:type="dxa"/>
            <w:tcBorders>
              <w:top w:val="nil"/>
              <w:left w:val="nil"/>
              <w:bottom w:val="nil"/>
              <w:right w:val="nil"/>
            </w:tcBorders>
            <w:shd w:val="clear" w:color="auto" w:fill="auto"/>
            <w:vAlign w:val="center"/>
          </w:tcPr>
          <w:p w14:paraId="184CF44D" w14:textId="77777777" w:rsidR="00A20D1F" w:rsidRPr="008A5C48" w:rsidRDefault="00A20D1F" w:rsidP="0034607E">
            <w:pPr>
              <w:spacing w:after="0" w:line="240" w:lineRule="auto"/>
              <w:contextualSpacing/>
              <w:rPr>
                <w:rFonts w:ascii="Times New Roman" w:eastAsia="Times New Roman" w:hAnsi="Times New Roman" w:cs="Times New Roman"/>
                <w:b/>
                <w:sz w:val="20"/>
                <w:szCs w:val="20"/>
              </w:rPr>
            </w:pPr>
            <w:r w:rsidRPr="008A5C48">
              <w:rPr>
                <w:rFonts w:ascii="Times New Roman" w:eastAsia="Times New Roman" w:hAnsi="Times New Roman" w:cs="Times New Roman"/>
                <w:b/>
                <w:sz w:val="20"/>
                <w:szCs w:val="20"/>
              </w:rPr>
              <w:t>Diet</w:t>
            </w:r>
          </w:p>
        </w:tc>
        <w:tc>
          <w:tcPr>
            <w:tcW w:w="1015" w:type="dxa"/>
            <w:tcBorders>
              <w:top w:val="nil"/>
              <w:left w:val="nil"/>
              <w:bottom w:val="nil"/>
              <w:right w:val="nil"/>
            </w:tcBorders>
            <w:shd w:val="clear" w:color="auto" w:fill="auto"/>
            <w:vAlign w:val="center"/>
          </w:tcPr>
          <w:p w14:paraId="5B44E81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7D899EF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23A3477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649" w:type="dxa"/>
            <w:gridSpan w:val="3"/>
            <w:tcBorders>
              <w:top w:val="nil"/>
              <w:left w:val="nil"/>
              <w:bottom w:val="nil"/>
              <w:right w:val="nil"/>
            </w:tcBorders>
            <w:shd w:val="clear" w:color="auto" w:fill="auto"/>
            <w:vAlign w:val="center"/>
          </w:tcPr>
          <w:p w14:paraId="49F85D0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851" w:type="dxa"/>
            <w:tcBorders>
              <w:top w:val="nil"/>
              <w:left w:val="nil"/>
              <w:bottom w:val="nil"/>
              <w:right w:val="nil"/>
            </w:tcBorders>
            <w:shd w:val="clear" w:color="auto" w:fill="auto"/>
            <w:vAlign w:val="center"/>
          </w:tcPr>
          <w:p w14:paraId="5816422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874" w:type="dxa"/>
            <w:tcBorders>
              <w:top w:val="nil"/>
              <w:left w:val="nil"/>
              <w:bottom w:val="nil"/>
              <w:right w:val="nil"/>
            </w:tcBorders>
            <w:shd w:val="clear" w:color="auto" w:fill="auto"/>
            <w:vAlign w:val="center"/>
          </w:tcPr>
          <w:p w14:paraId="68F536E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669" w:type="dxa"/>
            <w:gridSpan w:val="2"/>
            <w:tcBorders>
              <w:top w:val="nil"/>
              <w:left w:val="nil"/>
              <w:bottom w:val="nil"/>
              <w:right w:val="nil"/>
            </w:tcBorders>
            <w:shd w:val="clear" w:color="auto" w:fill="auto"/>
            <w:vAlign w:val="center"/>
          </w:tcPr>
          <w:p w14:paraId="2248EAA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666" w:type="dxa"/>
            <w:tcBorders>
              <w:top w:val="nil"/>
              <w:left w:val="nil"/>
              <w:bottom w:val="nil"/>
              <w:right w:val="nil"/>
            </w:tcBorders>
            <w:shd w:val="clear" w:color="auto" w:fill="auto"/>
            <w:vAlign w:val="center"/>
          </w:tcPr>
          <w:p w14:paraId="625DF5B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r>
      <w:tr w:rsidR="00A20D1F" w:rsidRPr="008A5C48" w14:paraId="4A5813BA" w14:textId="77777777" w:rsidTr="00C32812">
        <w:trPr>
          <w:gridAfter w:val="2"/>
          <w:wAfter w:w="43" w:type="dxa"/>
          <w:trHeight w:val="238"/>
          <w:jc w:val="center"/>
        </w:trPr>
        <w:tc>
          <w:tcPr>
            <w:tcW w:w="1616" w:type="dxa"/>
            <w:tcBorders>
              <w:top w:val="nil"/>
              <w:left w:val="nil"/>
              <w:bottom w:val="nil"/>
              <w:right w:val="nil"/>
            </w:tcBorders>
            <w:shd w:val="clear" w:color="auto" w:fill="auto"/>
            <w:vAlign w:val="center"/>
          </w:tcPr>
          <w:p w14:paraId="7361487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KIDMED index</w:t>
            </w:r>
          </w:p>
        </w:tc>
        <w:tc>
          <w:tcPr>
            <w:tcW w:w="1015" w:type="dxa"/>
            <w:tcBorders>
              <w:top w:val="nil"/>
              <w:left w:val="nil"/>
              <w:bottom w:val="nil"/>
              <w:right w:val="nil"/>
            </w:tcBorders>
            <w:shd w:val="clear" w:color="auto" w:fill="auto"/>
            <w:vAlign w:val="center"/>
          </w:tcPr>
          <w:p w14:paraId="7625376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w:t>
            </w:r>
          </w:p>
        </w:tc>
        <w:tc>
          <w:tcPr>
            <w:tcW w:w="1085" w:type="dxa"/>
            <w:tcBorders>
              <w:top w:val="nil"/>
              <w:left w:val="nil"/>
              <w:bottom w:val="nil"/>
              <w:right w:val="nil"/>
            </w:tcBorders>
            <w:shd w:val="clear" w:color="auto" w:fill="auto"/>
            <w:vAlign w:val="center"/>
          </w:tcPr>
          <w:p w14:paraId="0CCB12C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Childhood</w:t>
            </w:r>
          </w:p>
        </w:tc>
        <w:tc>
          <w:tcPr>
            <w:tcW w:w="1596" w:type="dxa"/>
            <w:tcBorders>
              <w:top w:val="nil"/>
              <w:left w:val="nil"/>
              <w:bottom w:val="nil"/>
              <w:right w:val="nil"/>
            </w:tcBorders>
            <w:shd w:val="clear" w:color="auto" w:fill="auto"/>
            <w:vAlign w:val="center"/>
          </w:tcPr>
          <w:p w14:paraId="659D3F1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1290 (99.2%)</w:t>
            </w:r>
          </w:p>
        </w:tc>
        <w:tc>
          <w:tcPr>
            <w:tcW w:w="649" w:type="dxa"/>
            <w:gridSpan w:val="3"/>
            <w:tcBorders>
              <w:top w:val="nil"/>
              <w:left w:val="nil"/>
              <w:bottom w:val="nil"/>
              <w:right w:val="nil"/>
            </w:tcBorders>
            <w:shd w:val="clear" w:color="auto" w:fill="auto"/>
            <w:vAlign w:val="center"/>
          </w:tcPr>
          <w:p w14:paraId="5C89BEB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-3</w:t>
            </w:r>
          </w:p>
        </w:tc>
        <w:tc>
          <w:tcPr>
            <w:tcW w:w="851" w:type="dxa"/>
            <w:tcBorders>
              <w:top w:val="nil"/>
              <w:left w:val="nil"/>
              <w:bottom w:val="nil"/>
              <w:right w:val="nil"/>
            </w:tcBorders>
            <w:shd w:val="clear" w:color="auto" w:fill="auto"/>
            <w:vAlign w:val="center"/>
          </w:tcPr>
          <w:p w14:paraId="2B66C4F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2</w:t>
            </w:r>
          </w:p>
        </w:tc>
        <w:tc>
          <w:tcPr>
            <w:tcW w:w="874" w:type="dxa"/>
            <w:tcBorders>
              <w:top w:val="nil"/>
              <w:left w:val="nil"/>
              <w:bottom w:val="nil"/>
              <w:right w:val="nil"/>
            </w:tcBorders>
            <w:shd w:val="clear" w:color="auto" w:fill="auto"/>
            <w:vAlign w:val="center"/>
          </w:tcPr>
          <w:p w14:paraId="209EA74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3</w:t>
            </w:r>
          </w:p>
        </w:tc>
        <w:tc>
          <w:tcPr>
            <w:tcW w:w="669" w:type="dxa"/>
            <w:gridSpan w:val="2"/>
            <w:tcBorders>
              <w:top w:val="nil"/>
              <w:left w:val="nil"/>
              <w:bottom w:val="nil"/>
              <w:right w:val="nil"/>
            </w:tcBorders>
            <w:shd w:val="clear" w:color="auto" w:fill="auto"/>
            <w:vAlign w:val="center"/>
          </w:tcPr>
          <w:p w14:paraId="0182F73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4</w:t>
            </w:r>
          </w:p>
        </w:tc>
        <w:tc>
          <w:tcPr>
            <w:tcW w:w="666" w:type="dxa"/>
            <w:tcBorders>
              <w:top w:val="nil"/>
              <w:left w:val="nil"/>
              <w:bottom w:val="nil"/>
              <w:right w:val="nil"/>
            </w:tcBorders>
            <w:shd w:val="clear" w:color="auto" w:fill="auto"/>
            <w:vAlign w:val="center"/>
          </w:tcPr>
          <w:p w14:paraId="18532FA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9</w:t>
            </w:r>
          </w:p>
        </w:tc>
      </w:tr>
      <w:tr w:rsidR="00A20D1F" w:rsidRPr="008A5C48" w14:paraId="21A8E4D0"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2FF9A7CB"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Sweets</w:t>
            </w:r>
          </w:p>
        </w:tc>
        <w:tc>
          <w:tcPr>
            <w:tcW w:w="1015" w:type="dxa"/>
            <w:tcBorders>
              <w:top w:val="nil"/>
              <w:left w:val="nil"/>
              <w:bottom w:val="nil"/>
              <w:right w:val="nil"/>
            </w:tcBorders>
            <w:shd w:val="clear" w:color="auto" w:fill="auto"/>
            <w:vAlign w:val="center"/>
          </w:tcPr>
          <w:p w14:paraId="17A6D10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times/week</w:t>
            </w:r>
          </w:p>
        </w:tc>
        <w:tc>
          <w:tcPr>
            <w:tcW w:w="1085" w:type="dxa"/>
            <w:tcBorders>
              <w:top w:val="nil"/>
              <w:left w:val="nil"/>
              <w:bottom w:val="nil"/>
              <w:right w:val="nil"/>
            </w:tcBorders>
            <w:shd w:val="clear" w:color="auto" w:fill="auto"/>
            <w:vAlign w:val="center"/>
          </w:tcPr>
          <w:p w14:paraId="75AE529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3BA40CA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1288 (99%)</w:t>
            </w:r>
          </w:p>
        </w:tc>
        <w:tc>
          <w:tcPr>
            <w:tcW w:w="3723" w:type="dxa"/>
            <w:gridSpan w:val="9"/>
            <w:tcBorders>
              <w:top w:val="nil"/>
              <w:left w:val="nil"/>
              <w:bottom w:val="nil"/>
              <w:right w:val="nil"/>
            </w:tcBorders>
            <w:shd w:val="clear" w:color="auto" w:fill="auto"/>
            <w:vAlign w:val="center"/>
          </w:tcPr>
          <w:p w14:paraId="1F87392B"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&lt;4 times/week, n = 434 (33.7%)</w:t>
            </w:r>
          </w:p>
        </w:tc>
      </w:tr>
      <w:tr w:rsidR="00A20D1F" w:rsidRPr="008A5C48" w14:paraId="33596076"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75ED04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3B6865D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2F18D31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6666B9D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val="restart"/>
            <w:tcBorders>
              <w:top w:val="nil"/>
              <w:left w:val="nil"/>
              <w:right w:val="nil"/>
            </w:tcBorders>
            <w:shd w:val="clear" w:color="auto" w:fill="auto"/>
            <w:vAlign w:val="center"/>
          </w:tcPr>
          <w:p w14:paraId="0DF599C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4-8.5 times/week, n = 428 (33.2%)</w:t>
            </w:r>
          </w:p>
          <w:p w14:paraId="2218FAC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&gt;8.5 times/week, n = 426 (33.1%)</w:t>
            </w:r>
          </w:p>
        </w:tc>
      </w:tr>
      <w:tr w:rsidR="00A20D1F" w:rsidRPr="008A5C48" w14:paraId="219CBC67"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06D6633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69A9E2D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57131F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5296D05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7EC33387"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520DC909"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4F486B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Meat</w:t>
            </w:r>
          </w:p>
        </w:tc>
        <w:tc>
          <w:tcPr>
            <w:tcW w:w="1015" w:type="dxa"/>
            <w:tcBorders>
              <w:top w:val="nil"/>
              <w:left w:val="nil"/>
              <w:bottom w:val="nil"/>
              <w:right w:val="nil"/>
            </w:tcBorders>
            <w:shd w:val="clear" w:color="auto" w:fill="auto"/>
            <w:vAlign w:val="center"/>
          </w:tcPr>
          <w:p w14:paraId="03E12FB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 </w:t>
            </w:r>
          </w:p>
        </w:tc>
        <w:tc>
          <w:tcPr>
            <w:tcW w:w="1085" w:type="dxa"/>
            <w:tcBorders>
              <w:top w:val="nil"/>
              <w:left w:val="nil"/>
              <w:bottom w:val="nil"/>
              <w:right w:val="nil"/>
            </w:tcBorders>
            <w:shd w:val="clear" w:color="auto" w:fill="auto"/>
            <w:vAlign w:val="center"/>
          </w:tcPr>
          <w:p w14:paraId="70F138E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7120EE8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1289 (99.1%)</w:t>
            </w:r>
          </w:p>
        </w:tc>
        <w:tc>
          <w:tcPr>
            <w:tcW w:w="3709" w:type="dxa"/>
            <w:gridSpan w:val="8"/>
            <w:vMerge w:val="restart"/>
            <w:tcBorders>
              <w:top w:val="nil"/>
              <w:left w:val="nil"/>
              <w:right w:val="nil"/>
            </w:tcBorders>
            <w:shd w:val="clear" w:color="auto" w:fill="auto"/>
            <w:vAlign w:val="center"/>
          </w:tcPr>
          <w:p w14:paraId="176C822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&lt;6 times/week, n = 491 (38.1%)</w:t>
            </w:r>
          </w:p>
          <w:p w14:paraId="38C9A71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6-9 times/week, n = 360 (27.9%)</w:t>
            </w:r>
          </w:p>
          <w:p w14:paraId="2B1B516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&gt;9 times/week, n = 438 (34%)</w:t>
            </w:r>
          </w:p>
        </w:tc>
      </w:tr>
      <w:tr w:rsidR="00A20D1F" w:rsidRPr="008A5C48" w14:paraId="44541BA0"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75E62D1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1A5CCED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7578790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29C7063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5346205B"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4EA1F828"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9B4976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5022035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43E628A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6FB2233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1FFD2C87"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49272E24" w14:textId="77777777" w:rsidTr="00C32812">
        <w:trPr>
          <w:gridAfter w:val="2"/>
          <w:wAfter w:w="43" w:type="dxa"/>
          <w:trHeight w:val="39"/>
          <w:jc w:val="center"/>
        </w:trPr>
        <w:tc>
          <w:tcPr>
            <w:tcW w:w="1616" w:type="dxa"/>
            <w:tcBorders>
              <w:top w:val="nil"/>
              <w:left w:val="nil"/>
              <w:bottom w:val="nil"/>
              <w:right w:val="nil"/>
            </w:tcBorders>
            <w:shd w:val="clear" w:color="auto" w:fill="auto"/>
            <w:vAlign w:val="center"/>
          </w:tcPr>
          <w:p w14:paraId="36B9EA7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Processed meat</w:t>
            </w:r>
          </w:p>
        </w:tc>
        <w:tc>
          <w:tcPr>
            <w:tcW w:w="1015" w:type="dxa"/>
            <w:tcBorders>
              <w:top w:val="nil"/>
              <w:left w:val="nil"/>
              <w:bottom w:val="nil"/>
              <w:right w:val="nil"/>
            </w:tcBorders>
            <w:shd w:val="clear" w:color="auto" w:fill="auto"/>
            <w:vAlign w:val="center"/>
          </w:tcPr>
          <w:p w14:paraId="1564286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3E6EBD1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3959657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1289 (99.1%)</w:t>
            </w:r>
          </w:p>
        </w:tc>
        <w:tc>
          <w:tcPr>
            <w:tcW w:w="3043" w:type="dxa"/>
            <w:gridSpan w:val="7"/>
            <w:vMerge w:val="restart"/>
            <w:tcBorders>
              <w:top w:val="nil"/>
              <w:left w:val="nil"/>
              <w:right w:val="nil"/>
            </w:tcBorders>
            <w:shd w:val="clear" w:color="auto" w:fill="auto"/>
            <w:vAlign w:val="center"/>
          </w:tcPr>
          <w:p w14:paraId="35954F1B"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&lt;1.5 times/week, n = 470 (36.5%)</w:t>
            </w:r>
          </w:p>
          <w:p w14:paraId="3C089B5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1.5-4 times/week, n = 525 (40.7%)</w:t>
            </w:r>
          </w:p>
          <w:p w14:paraId="313C655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&gt;4 times/week, n = 294 (22.8%)</w:t>
            </w:r>
          </w:p>
        </w:tc>
        <w:tc>
          <w:tcPr>
            <w:tcW w:w="666" w:type="dxa"/>
            <w:tcBorders>
              <w:top w:val="nil"/>
              <w:left w:val="nil"/>
              <w:bottom w:val="nil"/>
              <w:right w:val="nil"/>
            </w:tcBorders>
            <w:shd w:val="clear" w:color="auto" w:fill="auto"/>
            <w:vAlign w:val="center"/>
          </w:tcPr>
          <w:p w14:paraId="7507D94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0219ABE3"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7F22018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56A0975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69D9D62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64F9FDF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vMerge/>
            <w:tcBorders>
              <w:top w:val="nil"/>
              <w:left w:val="nil"/>
              <w:right w:val="nil"/>
            </w:tcBorders>
            <w:shd w:val="clear" w:color="auto" w:fill="auto"/>
            <w:vAlign w:val="center"/>
          </w:tcPr>
          <w:p w14:paraId="6591F953"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c>
          <w:tcPr>
            <w:tcW w:w="666" w:type="dxa"/>
            <w:tcBorders>
              <w:top w:val="nil"/>
              <w:left w:val="nil"/>
              <w:bottom w:val="nil"/>
              <w:right w:val="nil"/>
            </w:tcBorders>
            <w:shd w:val="clear" w:color="auto" w:fill="auto"/>
            <w:vAlign w:val="center"/>
          </w:tcPr>
          <w:p w14:paraId="2C16CF4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1B6E4294"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2DE3CA9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16DF629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12D5142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3727D2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vMerge/>
            <w:tcBorders>
              <w:top w:val="nil"/>
              <w:left w:val="nil"/>
              <w:right w:val="nil"/>
            </w:tcBorders>
            <w:shd w:val="clear" w:color="auto" w:fill="auto"/>
            <w:vAlign w:val="center"/>
          </w:tcPr>
          <w:p w14:paraId="2A37ED01"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c>
          <w:tcPr>
            <w:tcW w:w="666" w:type="dxa"/>
            <w:tcBorders>
              <w:top w:val="nil"/>
              <w:left w:val="nil"/>
              <w:bottom w:val="nil"/>
              <w:right w:val="nil"/>
            </w:tcBorders>
            <w:shd w:val="clear" w:color="auto" w:fill="auto"/>
            <w:vAlign w:val="center"/>
          </w:tcPr>
          <w:p w14:paraId="3E8BFCC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29B80DCB" w14:textId="77777777" w:rsidTr="00C32812">
        <w:trPr>
          <w:gridAfter w:val="2"/>
          <w:wAfter w:w="43" w:type="dxa"/>
          <w:trHeight w:val="39"/>
          <w:jc w:val="center"/>
        </w:trPr>
        <w:tc>
          <w:tcPr>
            <w:tcW w:w="1616" w:type="dxa"/>
            <w:tcBorders>
              <w:top w:val="nil"/>
              <w:left w:val="nil"/>
              <w:bottom w:val="nil"/>
              <w:right w:val="nil"/>
            </w:tcBorders>
            <w:shd w:val="clear" w:color="auto" w:fill="auto"/>
            <w:vAlign w:val="center"/>
          </w:tcPr>
          <w:p w14:paraId="6FFCF62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Fish/ Seafood </w:t>
            </w:r>
          </w:p>
        </w:tc>
        <w:tc>
          <w:tcPr>
            <w:tcW w:w="1015" w:type="dxa"/>
            <w:tcBorders>
              <w:top w:val="nil"/>
              <w:left w:val="nil"/>
              <w:bottom w:val="nil"/>
              <w:right w:val="nil"/>
            </w:tcBorders>
            <w:shd w:val="clear" w:color="auto" w:fill="auto"/>
            <w:vAlign w:val="center"/>
          </w:tcPr>
          <w:p w14:paraId="567B9CC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5F39F56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4D874C7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1289 (99.1%)</w:t>
            </w:r>
          </w:p>
        </w:tc>
        <w:tc>
          <w:tcPr>
            <w:tcW w:w="3709" w:type="dxa"/>
            <w:gridSpan w:val="8"/>
            <w:vMerge w:val="restart"/>
            <w:tcBorders>
              <w:top w:val="nil"/>
              <w:left w:val="nil"/>
            </w:tcBorders>
            <w:shd w:val="clear" w:color="auto" w:fill="auto"/>
            <w:vAlign w:val="center"/>
          </w:tcPr>
          <w:p w14:paraId="5A8DADA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&lt;1.5 times/week, n = 500 (38.8%)</w:t>
            </w:r>
          </w:p>
          <w:p w14:paraId="084C990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1.5-3 times/week, n = 400 (31%)</w:t>
            </w:r>
          </w:p>
          <w:p w14:paraId="7D97201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lastRenderedPageBreak/>
              <w:t>&gt;3 times/week, n = 389 (30.2%)</w:t>
            </w:r>
          </w:p>
        </w:tc>
      </w:tr>
      <w:tr w:rsidR="00A20D1F" w:rsidRPr="008A5C48" w14:paraId="28DBCE1B"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4F5F7F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3B379D8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5FA3C84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2946D2B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tcBorders>
            <w:shd w:val="clear" w:color="auto" w:fill="auto"/>
            <w:vAlign w:val="center"/>
          </w:tcPr>
          <w:p w14:paraId="1D0D78B1"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336FB6F3"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37EB74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7F4AE87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77C5728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6CC86A2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tcBorders>
            <w:shd w:val="clear" w:color="auto" w:fill="auto"/>
            <w:vAlign w:val="center"/>
          </w:tcPr>
          <w:p w14:paraId="5F9D5FC3"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4A1F4517"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5FCA4C7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Yogurt</w:t>
            </w:r>
          </w:p>
        </w:tc>
        <w:tc>
          <w:tcPr>
            <w:tcW w:w="1015" w:type="dxa"/>
            <w:tcBorders>
              <w:top w:val="nil"/>
              <w:left w:val="nil"/>
              <w:bottom w:val="nil"/>
              <w:right w:val="nil"/>
            </w:tcBorders>
            <w:shd w:val="clear" w:color="auto" w:fill="auto"/>
            <w:vAlign w:val="center"/>
          </w:tcPr>
          <w:p w14:paraId="6EE42FF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4310320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5F5C0B9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1289 (99.1%)</w:t>
            </w:r>
          </w:p>
        </w:tc>
        <w:tc>
          <w:tcPr>
            <w:tcW w:w="3709" w:type="dxa"/>
            <w:gridSpan w:val="8"/>
            <w:vMerge w:val="restart"/>
            <w:tcBorders>
              <w:top w:val="nil"/>
              <w:left w:val="nil"/>
              <w:right w:val="nil"/>
            </w:tcBorders>
            <w:shd w:val="clear" w:color="auto" w:fill="auto"/>
            <w:vAlign w:val="center"/>
          </w:tcPr>
          <w:p w14:paraId="6935598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&lt;3 times/week, n = 564 (43.8%)</w:t>
            </w:r>
          </w:p>
          <w:p w14:paraId="3EB94AD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3-7 times/week, n = 291 (22.6%)</w:t>
            </w:r>
          </w:p>
          <w:p w14:paraId="6578108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&gt;7 times/week, n = 434 (33.7%)</w:t>
            </w:r>
          </w:p>
        </w:tc>
      </w:tr>
      <w:tr w:rsidR="00A20D1F" w:rsidRPr="008A5C48" w14:paraId="584CC8A3"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2CAA5DB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1EDA37E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4A0885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0D9C4F0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408F661A"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3604DACD"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4BA033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3F19FAF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62BDD97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284C1D6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0B116964"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4DB43C74"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734AAA2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Beverages (sodas)</w:t>
            </w:r>
          </w:p>
        </w:tc>
        <w:tc>
          <w:tcPr>
            <w:tcW w:w="1015" w:type="dxa"/>
            <w:tcBorders>
              <w:top w:val="nil"/>
              <w:left w:val="nil"/>
              <w:bottom w:val="nil"/>
              <w:right w:val="nil"/>
            </w:tcBorders>
            <w:shd w:val="clear" w:color="auto" w:fill="auto"/>
            <w:vAlign w:val="center"/>
          </w:tcPr>
          <w:p w14:paraId="126ECFD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402963E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0EEB1A4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1288 (99%)</w:t>
            </w:r>
          </w:p>
        </w:tc>
        <w:tc>
          <w:tcPr>
            <w:tcW w:w="3709" w:type="dxa"/>
            <w:gridSpan w:val="8"/>
            <w:vMerge w:val="restart"/>
            <w:tcBorders>
              <w:top w:val="nil"/>
              <w:left w:val="nil"/>
            </w:tcBorders>
            <w:shd w:val="clear" w:color="auto" w:fill="auto"/>
            <w:vAlign w:val="center"/>
          </w:tcPr>
          <w:p w14:paraId="6C5B921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&lt;1times/month, n = 488 (37.9%)</w:t>
            </w:r>
          </w:p>
          <w:p w14:paraId="10018CE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1-times/month – 1 times/week, n = 478 (37.1%)</w:t>
            </w:r>
          </w:p>
          <w:p w14:paraId="268815A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&gt;1times/week, n = 322 (25%)</w:t>
            </w:r>
          </w:p>
        </w:tc>
      </w:tr>
      <w:tr w:rsidR="00A20D1F" w:rsidRPr="008A5C48" w14:paraId="0B5B0F51"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680073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48A23B2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12C3FD0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03CF597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tcBorders>
            <w:shd w:val="clear" w:color="auto" w:fill="auto"/>
            <w:vAlign w:val="center"/>
          </w:tcPr>
          <w:p w14:paraId="44A865ED"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1C38A859"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3F673E3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76CA88C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52ED974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7FD2458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tcBorders>
            <w:shd w:val="clear" w:color="auto" w:fill="auto"/>
            <w:vAlign w:val="center"/>
          </w:tcPr>
          <w:p w14:paraId="40C33798"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1F0BC8B4"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449F27E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Bread </w:t>
            </w:r>
          </w:p>
        </w:tc>
        <w:tc>
          <w:tcPr>
            <w:tcW w:w="1015" w:type="dxa"/>
            <w:tcBorders>
              <w:top w:val="nil"/>
              <w:left w:val="nil"/>
              <w:bottom w:val="nil"/>
              <w:right w:val="nil"/>
            </w:tcBorders>
            <w:shd w:val="clear" w:color="auto" w:fill="auto"/>
            <w:vAlign w:val="center"/>
          </w:tcPr>
          <w:p w14:paraId="28CAFDB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0E74612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21BFB87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1288 (99%)</w:t>
            </w:r>
          </w:p>
        </w:tc>
        <w:tc>
          <w:tcPr>
            <w:tcW w:w="3709" w:type="dxa"/>
            <w:gridSpan w:val="8"/>
            <w:vMerge w:val="restart"/>
            <w:tcBorders>
              <w:top w:val="nil"/>
              <w:left w:val="nil"/>
            </w:tcBorders>
            <w:shd w:val="clear" w:color="auto" w:fill="auto"/>
            <w:vAlign w:val="center"/>
          </w:tcPr>
          <w:p w14:paraId="53144F8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&lt;7 times/week, n = 572 (44.4%)</w:t>
            </w:r>
          </w:p>
          <w:p w14:paraId="4D3C8F0A"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7-14 times/week, n = 388 (30.1%)</w:t>
            </w:r>
          </w:p>
          <w:p w14:paraId="2748630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&gt;14 times/week, n = 328 (25.5%)</w:t>
            </w:r>
          </w:p>
        </w:tc>
      </w:tr>
      <w:tr w:rsidR="00A20D1F" w:rsidRPr="008A5C48" w14:paraId="41661C30"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221F6DF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2ACA8EF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7DCA68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26EE47D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tcBorders>
            <w:shd w:val="clear" w:color="auto" w:fill="auto"/>
            <w:vAlign w:val="center"/>
          </w:tcPr>
          <w:p w14:paraId="1E47BE8E"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484DDAB9"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055425A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0835EED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18192A5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879285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tcBorders>
            <w:shd w:val="clear" w:color="auto" w:fill="auto"/>
            <w:vAlign w:val="center"/>
          </w:tcPr>
          <w:p w14:paraId="7B0D4CF2"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2A479896" w14:textId="77777777" w:rsidTr="00C32812">
        <w:trPr>
          <w:gridAfter w:val="2"/>
          <w:wAfter w:w="43" w:type="dxa"/>
          <w:trHeight w:val="39"/>
          <w:jc w:val="center"/>
        </w:trPr>
        <w:tc>
          <w:tcPr>
            <w:tcW w:w="1616" w:type="dxa"/>
            <w:tcBorders>
              <w:top w:val="nil"/>
              <w:left w:val="nil"/>
              <w:bottom w:val="nil"/>
              <w:right w:val="nil"/>
            </w:tcBorders>
            <w:shd w:val="clear" w:color="auto" w:fill="auto"/>
            <w:vAlign w:val="center"/>
          </w:tcPr>
          <w:p w14:paraId="6DCCB9F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Breakfast cereals </w:t>
            </w:r>
          </w:p>
        </w:tc>
        <w:tc>
          <w:tcPr>
            <w:tcW w:w="1015" w:type="dxa"/>
            <w:tcBorders>
              <w:top w:val="nil"/>
              <w:left w:val="nil"/>
              <w:bottom w:val="nil"/>
              <w:right w:val="nil"/>
            </w:tcBorders>
            <w:shd w:val="clear" w:color="auto" w:fill="auto"/>
            <w:vAlign w:val="center"/>
          </w:tcPr>
          <w:p w14:paraId="6206C22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3853E7A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05E9D69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1289 (99.1%)</w:t>
            </w:r>
          </w:p>
        </w:tc>
        <w:tc>
          <w:tcPr>
            <w:tcW w:w="3709" w:type="dxa"/>
            <w:gridSpan w:val="8"/>
            <w:vMerge w:val="restart"/>
            <w:tcBorders>
              <w:top w:val="nil"/>
              <w:left w:val="nil"/>
              <w:right w:val="nil"/>
            </w:tcBorders>
            <w:shd w:val="clear" w:color="auto" w:fill="auto"/>
            <w:vAlign w:val="center"/>
          </w:tcPr>
          <w:p w14:paraId="76D952A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&lt;1.5 times/week, n = 444 (34.4%)</w:t>
            </w:r>
          </w:p>
          <w:p w14:paraId="0A45235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1.5-5.5 times/week, n = 420 (32.6%)</w:t>
            </w:r>
          </w:p>
          <w:p w14:paraId="196A9E4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&gt;5.5 times/week, n = 425 (33%)</w:t>
            </w:r>
          </w:p>
        </w:tc>
      </w:tr>
      <w:tr w:rsidR="00A20D1F" w:rsidRPr="008A5C48" w14:paraId="599D9814"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7B5773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27AACF0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5ED4D77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265A081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66F4D509"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3265072B"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0DE020F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6A5E6F1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43D79AE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415E141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51367CF8"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40FD90C1"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8D0C4A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Potatoes</w:t>
            </w:r>
          </w:p>
        </w:tc>
        <w:tc>
          <w:tcPr>
            <w:tcW w:w="1015" w:type="dxa"/>
            <w:tcBorders>
              <w:top w:val="nil"/>
              <w:left w:val="nil"/>
              <w:bottom w:val="nil"/>
              <w:right w:val="nil"/>
            </w:tcBorders>
            <w:shd w:val="clear" w:color="auto" w:fill="auto"/>
            <w:vAlign w:val="center"/>
          </w:tcPr>
          <w:p w14:paraId="2C141D5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1AB59B8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441D0BA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1288 (99%)</w:t>
            </w:r>
          </w:p>
        </w:tc>
        <w:tc>
          <w:tcPr>
            <w:tcW w:w="3043" w:type="dxa"/>
            <w:gridSpan w:val="7"/>
            <w:vMerge w:val="restart"/>
            <w:tcBorders>
              <w:top w:val="nil"/>
              <w:left w:val="nil"/>
              <w:right w:val="nil"/>
            </w:tcBorders>
            <w:shd w:val="clear" w:color="auto" w:fill="auto"/>
            <w:vAlign w:val="center"/>
          </w:tcPr>
          <w:p w14:paraId="2954A53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&lt;3 times/week, n = 469 (36.4%)</w:t>
            </w:r>
          </w:p>
          <w:p w14:paraId="2F52F48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3-4 times/week, n = 555 (43.1%)</w:t>
            </w:r>
          </w:p>
          <w:p w14:paraId="1C7B350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&gt;4 times/week, n = 264 (20.5%)</w:t>
            </w:r>
          </w:p>
        </w:tc>
        <w:tc>
          <w:tcPr>
            <w:tcW w:w="666" w:type="dxa"/>
            <w:tcBorders>
              <w:top w:val="nil"/>
              <w:left w:val="nil"/>
              <w:bottom w:val="nil"/>
              <w:right w:val="nil"/>
            </w:tcBorders>
            <w:shd w:val="clear" w:color="auto" w:fill="auto"/>
            <w:vAlign w:val="center"/>
          </w:tcPr>
          <w:p w14:paraId="3DAD6B6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72660661"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5AA7032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543083C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643C1AE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70E0A67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vMerge/>
            <w:tcBorders>
              <w:top w:val="nil"/>
              <w:left w:val="nil"/>
              <w:right w:val="nil"/>
            </w:tcBorders>
            <w:shd w:val="clear" w:color="auto" w:fill="auto"/>
            <w:vAlign w:val="center"/>
          </w:tcPr>
          <w:p w14:paraId="755F3D48"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c>
          <w:tcPr>
            <w:tcW w:w="666" w:type="dxa"/>
            <w:tcBorders>
              <w:top w:val="nil"/>
              <w:left w:val="nil"/>
              <w:bottom w:val="nil"/>
              <w:right w:val="nil"/>
            </w:tcBorders>
            <w:shd w:val="clear" w:color="auto" w:fill="auto"/>
            <w:vAlign w:val="center"/>
          </w:tcPr>
          <w:p w14:paraId="61BEDE6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79B44CA0"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4F0F9A9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24AA8DA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E09816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0DB74E8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vMerge/>
            <w:tcBorders>
              <w:top w:val="nil"/>
              <w:left w:val="nil"/>
              <w:right w:val="nil"/>
            </w:tcBorders>
            <w:shd w:val="clear" w:color="auto" w:fill="auto"/>
            <w:vAlign w:val="center"/>
          </w:tcPr>
          <w:p w14:paraId="4C4C444B"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c>
          <w:tcPr>
            <w:tcW w:w="666" w:type="dxa"/>
            <w:tcBorders>
              <w:top w:val="nil"/>
              <w:left w:val="nil"/>
              <w:bottom w:val="nil"/>
              <w:right w:val="nil"/>
            </w:tcBorders>
            <w:shd w:val="clear" w:color="auto" w:fill="auto"/>
            <w:vAlign w:val="center"/>
          </w:tcPr>
          <w:p w14:paraId="24E4D46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73A247AC"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4EC899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Vegetables </w:t>
            </w:r>
          </w:p>
        </w:tc>
        <w:tc>
          <w:tcPr>
            <w:tcW w:w="1015" w:type="dxa"/>
            <w:tcBorders>
              <w:top w:val="nil"/>
              <w:left w:val="nil"/>
              <w:bottom w:val="nil"/>
              <w:right w:val="nil"/>
            </w:tcBorders>
            <w:shd w:val="clear" w:color="auto" w:fill="auto"/>
            <w:vAlign w:val="center"/>
          </w:tcPr>
          <w:p w14:paraId="51673C3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007F274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2912F2A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1288 (99%)</w:t>
            </w:r>
          </w:p>
        </w:tc>
        <w:tc>
          <w:tcPr>
            <w:tcW w:w="3709" w:type="dxa"/>
            <w:gridSpan w:val="8"/>
            <w:vMerge w:val="restart"/>
            <w:tcBorders>
              <w:top w:val="nil"/>
              <w:left w:val="nil"/>
              <w:right w:val="nil"/>
            </w:tcBorders>
            <w:shd w:val="clear" w:color="auto" w:fill="auto"/>
            <w:vAlign w:val="center"/>
          </w:tcPr>
          <w:p w14:paraId="56F420C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&lt;6 times/week, n = 634 (49.2%)</w:t>
            </w:r>
          </w:p>
          <w:p w14:paraId="6E99458B"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6-9 times/week, n = 241 (18.7%)</w:t>
            </w:r>
          </w:p>
          <w:p w14:paraId="090DDB4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&gt;9 times/week, n = 413 (32.1%)</w:t>
            </w:r>
          </w:p>
        </w:tc>
      </w:tr>
      <w:tr w:rsidR="00A20D1F" w:rsidRPr="008A5C48" w14:paraId="32350C84"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33A48E9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4B00041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5AA8AA4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3998F8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052331AA"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3F435DCB"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382E01EA"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580C3F4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68E5703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451003B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126B73BA"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0FB16804"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672099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Dairy </w:t>
            </w:r>
          </w:p>
        </w:tc>
        <w:tc>
          <w:tcPr>
            <w:tcW w:w="1015" w:type="dxa"/>
            <w:tcBorders>
              <w:top w:val="nil"/>
              <w:left w:val="nil"/>
              <w:bottom w:val="nil"/>
              <w:right w:val="nil"/>
            </w:tcBorders>
            <w:shd w:val="clear" w:color="auto" w:fill="auto"/>
            <w:vAlign w:val="center"/>
          </w:tcPr>
          <w:p w14:paraId="2FE5CAD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1DA307F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1275B6F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1289 (99.1%)</w:t>
            </w:r>
          </w:p>
        </w:tc>
        <w:tc>
          <w:tcPr>
            <w:tcW w:w="3709" w:type="dxa"/>
            <w:gridSpan w:val="8"/>
            <w:vMerge w:val="restart"/>
            <w:tcBorders>
              <w:top w:val="nil"/>
              <w:left w:val="nil"/>
              <w:right w:val="nil"/>
            </w:tcBorders>
            <w:shd w:val="clear" w:color="auto" w:fill="auto"/>
            <w:vAlign w:val="center"/>
          </w:tcPr>
          <w:p w14:paraId="48F8337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&lt;15 times/week, n = 429 (33.3%)</w:t>
            </w:r>
          </w:p>
          <w:p w14:paraId="74DA1B2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15-26 times/week, n = 430 (33.4%)</w:t>
            </w:r>
          </w:p>
          <w:p w14:paraId="6E500A8B"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&gt;26 times/week, n = 430 (33.4%)</w:t>
            </w:r>
          </w:p>
        </w:tc>
      </w:tr>
      <w:tr w:rsidR="00A20D1F" w:rsidRPr="008A5C48" w14:paraId="401B345C"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23F01C2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4D73B3B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6AC2673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3EFFA7B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70D1EA6C"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4D64486D"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EB4827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1DFDEF4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1D1BEA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568AEAA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2A59AD90"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49DEAE97"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B3B52A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Fruits </w:t>
            </w:r>
          </w:p>
        </w:tc>
        <w:tc>
          <w:tcPr>
            <w:tcW w:w="1015" w:type="dxa"/>
            <w:tcBorders>
              <w:top w:val="nil"/>
              <w:left w:val="nil"/>
              <w:bottom w:val="nil"/>
              <w:right w:val="nil"/>
            </w:tcBorders>
            <w:shd w:val="clear" w:color="auto" w:fill="auto"/>
            <w:vAlign w:val="center"/>
          </w:tcPr>
          <w:p w14:paraId="4DDE3DA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61EF6AC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38E163D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1287 (98.9%)</w:t>
            </w:r>
          </w:p>
        </w:tc>
        <w:tc>
          <w:tcPr>
            <w:tcW w:w="3709" w:type="dxa"/>
            <w:gridSpan w:val="8"/>
            <w:vMerge w:val="restart"/>
            <w:tcBorders>
              <w:top w:val="nil"/>
              <w:left w:val="nil"/>
            </w:tcBorders>
            <w:shd w:val="clear" w:color="auto" w:fill="auto"/>
            <w:vAlign w:val="center"/>
          </w:tcPr>
          <w:p w14:paraId="39BEE98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&lt;7 times/week, n = 431 (33.5%)</w:t>
            </w:r>
          </w:p>
          <w:p w14:paraId="6C116DA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7-17 times/week, n = 426 (33.1%)</w:t>
            </w:r>
          </w:p>
          <w:p w14:paraId="73A9884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&gt;17 times/week, n = 430 (33.4%)</w:t>
            </w:r>
          </w:p>
        </w:tc>
      </w:tr>
      <w:tr w:rsidR="00A20D1F" w:rsidRPr="008A5C48" w14:paraId="4050BFFD"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7EDCAEB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7328B1B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7B35F17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5F7D99E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tcBorders>
            <w:shd w:val="clear" w:color="auto" w:fill="auto"/>
            <w:vAlign w:val="center"/>
          </w:tcPr>
          <w:p w14:paraId="70852E5E"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3F8769C5"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74E21FDA"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21ECF15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19F2ABD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0DB6EA7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tcBorders>
            <w:shd w:val="clear" w:color="auto" w:fill="auto"/>
            <w:vAlign w:val="center"/>
          </w:tcPr>
          <w:p w14:paraId="3D4C9F48"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5CCEC0AF"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48F1718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Cereals </w:t>
            </w:r>
          </w:p>
        </w:tc>
        <w:tc>
          <w:tcPr>
            <w:tcW w:w="1015" w:type="dxa"/>
            <w:tcBorders>
              <w:top w:val="nil"/>
              <w:left w:val="nil"/>
              <w:bottom w:val="nil"/>
              <w:right w:val="nil"/>
            </w:tcBorders>
            <w:shd w:val="clear" w:color="auto" w:fill="auto"/>
            <w:vAlign w:val="center"/>
          </w:tcPr>
          <w:p w14:paraId="719CFC0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2E7E0E1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34EF1E9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1287 (98.9%)</w:t>
            </w:r>
          </w:p>
        </w:tc>
        <w:tc>
          <w:tcPr>
            <w:tcW w:w="3709" w:type="dxa"/>
            <w:gridSpan w:val="8"/>
            <w:vMerge w:val="restart"/>
            <w:tcBorders>
              <w:top w:val="nil"/>
              <w:left w:val="nil"/>
            </w:tcBorders>
            <w:shd w:val="clear" w:color="auto" w:fill="auto"/>
            <w:vAlign w:val="center"/>
          </w:tcPr>
          <w:p w14:paraId="54761E7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&lt;14 times/week, n = 426 (33.1%)</w:t>
            </w:r>
          </w:p>
          <w:p w14:paraId="527C76C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14-23 times/week, n = 426 (33.1%)</w:t>
            </w:r>
          </w:p>
          <w:p w14:paraId="0BE49FA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&gt;23 times/week, n = 435 (33.8%)</w:t>
            </w:r>
          </w:p>
        </w:tc>
      </w:tr>
      <w:tr w:rsidR="00A20D1F" w:rsidRPr="008A5C48" w14:paraId="6A74F6FC"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02C2D7B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07D933D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2A560D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0D821F3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tcBorders>
            <w:shd w:val="clear" w:color="auto" w:fill="auto"/>
            <w:vAlign w:val="center"/>
          </w:tcPr>
          <w:p w14:paraId="53F49E97"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49180908"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243407E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7B1FE10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1109185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24F7CE6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tcBorders>
            <w:shd w:val="clear" w:color="auto" w:fill="auto"/>
            <w:vAlign w:val="center"/>
          </w:tcPr>
          <w:p w14:paraId="51B5DE25"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248E0E9F" w14:textId="77777777" w:rsidTr="00C32812">
        <w:trPr>
          <w:gridAfter w:val="2"/>
          <w:wAfter w:w="43" w:type="dxa"/>
          <w:trHeight w:val="238"/>
          <w:jc w:val="center"/>
        </w:trPr>
        <w:tc>
          <w:tcPr>
            <w:tcW w:w="1616" w:type="dxa"/>
            <w:tcBorders>
              <w:top w:val="nil"/>
              <w:left w:val="nil"/>
              <w:bottom w:val="nil"/>
              <w:right w:val="nil"/>
            </w:tcBorders>
            <w:shd w:val="clear" w:color="auto" w:fill="auto"/>
            <w:vAlign w:val="center"/>
          </w:tcPr>
          <w:p w14:paraId="3A1F5EB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Bakery products</w:t>
            </w:r>
          </w:p>
        </w:tc>
        <w:tc>
          <w:tcPr>
            <w:tcW w:w="1015" w:type="dxa"/>
            <w:tcBorders>
              <w:top w:val="nil"/>
              <w:left w:val="nil"/>
              <w:bottom w:val="nil"/>
              <w:right w:val="nil"/>
            </w:tcBorders>
            <w:shd w:val="clear" w:color="auto" w:fill="auto"/>
            <w:vAlign w:val="center"/>
          </w:tcPr>
          <w:p w14:paraId="608127A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55DC4DE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7FA63F6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1289 (99.1%)</w:t>
            </w:r>
          </w:p>
        </w:tc>
        <w:tc>
          <w:tcPr>
            <w:tcW w:w="3043" w:type="dxa"/>
            <w:gridSpan w:val="7"/>
            <w:tcBorders>
              <w:top w:val="nil"/>
              <w:left w:val="nil"/>
              <w:bottom w:val="nil"/>
              <w:right w:val="nil"/>
            </w:tcBorders>
            <w:shd w:val="clear" w:color="auto" w:fill="auto"/>
            <w:vAlign w:val="center"/>
          </w:tcPr>
          <w:p w14:paraId="27DB6F7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&lt;2 times/week, n = 477 (37%)</w:t>
            </w:r>
          </w:p>
        </w:tc>
        <w:tc>
          <w:tcPr>
            <w:tcW w:w="666" w:type="dxa"/>
            <w:tcBorders>
              <w:top w:val="nil"/>
              <w:left w:val="nil"/>
              <w:bottom w:val="nil"/>
              <w:right w:val="nil"/>
            </w:tcBorders>
            <w:shd w:val="clear" w:color="auto" w:fill="auto"/>
            <w:vAlign w:val="center"/>
          </w:tcPr>
          <w:p w14:paraId="28501DA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73D6816F"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78D3AEC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6BE4A09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CF0D52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7E2F454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vMerge w:val="restart"/>
            <w:tcBorders>
              <w:top w:val="nil"/>
              <w:left w:val="nil"/>
              <w:right w:val="nil"/>
            </w:tcBorders>
            <w:shd w:val="clear" w:color="auto" w:fill="auto"/>
            <w:vAlign w:val="center"/>
          </w:tcPr>
          <w:p w14:paraId="7682F4B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2-6 times/week, n = 481 (37.3%)</w:t>
            </w:r>
          </w:p>
          <w:p w14:paraId="18F2E4A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&gt;6 times/week, n = 331 (25.7%)</w:t>
            </w:r>
          </w:p>
        </w:tc>
        <w:tc>
          <w:tcPr>
            <w:tcW w:w="666" w:type="dxa"/>
            <w:tcBorders>
              <w:top w:val="nil"/>
              <w:left w:val="nil"/>
              <w:bottom w:val="nil"/>
              <w:right w:val="nil"/>
            </w:tcBorders>
            <w:shd w:val="clear" w:color="auto" w:fill="auto"/>
            <w:vAlign w:val="center"/>
          </w:tcPr>
          <w:p w14:paraId="3939A75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52AA4D2E"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073079B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69B8F9E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7856F54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3B0C2B5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vMerge/>
            <w:tcBorders>
              <w:top w:val="nil"/>
              <w:left w:val="nil"/>
              <w:right w:val="nil"/>
            </w:tcBorders>
            <w:shd w:val="clear" w:color="auto" w:fill="auto"/>
            <w:vAlign w:val="center"/>
          </w:tcPr>
          <w:p w14:paraId="5CE66E68"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c>
          <w:tcPr>
            <w:tcW w:w="666" w:type="dxa"/>
            <w:tcBorders>
              <w:top w:val="nil"/>
              <w:left w:val="nil"/>
              <w:bottom w:val="nil"/>
              <w:right w:val="nil"/>
            </w:tcBorders>
            <w:shd w:val="clear" w:color="auto" w:fill="auto"/>
            <w:vAlign w:val="center"/>
          </w:tcPr>
          <w:p w14:paraId="0F267D8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186ED5B6"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A5FACD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Added lipids </w:t>
            </w:r>
          </w:p>
        </w:tc>
        <w:tc>
          <w:tcPr>
            <w:tcW w:w="1015" w:type="dxa"/>
            <w:tcBorders>
              <w:top w:val="nil"/>
              <w:left w:val="nil"/>
              <w:bottom w:val="nil"/>
              <w:right w:val="nil"/>
            </w:tcBorders>
            <w:shd w:val="clear" w:color="auto" w:fill="auto"/>
            <w:vAlign w:val="center"/>
          </w:tcPr>
          <w:p w14:paraId="7376606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1F5C9D3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3F082C8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1289 (99.1%)</w:t>
            </w:r>
          </w:p>
        </w:tc>
        <w:tc>
          <w:tcPr>
            <w:tcW w:w="3709" w:type="dxa"/>
            <w:gridSpan w:val="8"/>
            <w:vMerge w:val="restart"/>
            <w:tcBorders>
              <w:top w:val="nil"/>
              <w:left w:val="nil"/>
              <w:right w:val="nil"/>
            </w:tcBorders>
            <w:shd w:val="clear" w:color="auto" w:fill="auto"/>
            <w:vAlign w:val="center"/>
          </w:tcPr>
          <w:p w14:paraId="37A055C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&lt;3 times/week, n = 491 (38.1%)</w:t>
            </w:r>
          </w:p>
          <w:p w14:paraId="1D07E2B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3-7 times/week, n = 373 (28.9%)</w:t>
            </w:r>
          </w:p>
          <w:p w14:paraId="5290CF5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&gt;7 times/week, n = 425 (33%)</w:t>
            </w:r>
          </w:p>
        </w:tc>
      </w:tr>
      <w:tr w:rsidR="00A20D1F" w:rsidRPr="008A5C48" w14:paraId="6F66A421"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F0954D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5407F4D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50490CB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D7980D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59500F45"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716CA1BB"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4FB36C9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3158C3C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55B7F9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23B671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0BEF2BB6"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3D818BF5"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F85811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Caffeinated drinks </w:t>
            </w:r>
          </w:p>
        </w:tc>
        <w:tc>
          <w:tcPr>
            <w:tcW w:w="1015" w:type="dxa"/>
            <w:tcBorders>
              <w:top w:val="nil"/>
              <w:left w:val="nil"/>
              <w:bottom w:val="nil"/>
              <w:right w:val="nil"/>
            </w:tcBorders>
            <w:shd w:val="clear" w:color="auto" w:fill="auto"/>
            <w:vAlign w:val="center"/>
          </w:tcPr>
          <w:p w14:paraId="6FB70AE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5C292F6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330B8DC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1286 (98.8%)</w:t>
            </w:r>
          </w:p>
        </w:tc>
        <w:tc>
          <w:tcPr>
            <w:tcW w:w="3043" w:type="dxa"/>
            <w:gridSpan w:val="7"/>
            <w:vMerge w:val="restart"/>
            <w:tcBorders>
              <w:top w:val="nil"/>
              <w:left w:val="nil"/>
              <w:right w:val="nil"/>
            </w:tcBorders>
            <w:shd w:val="clear" w:color="auto" w:fill="auto"/>
            <w:vAlign w:val="center"/>
          </w:tcPr>
          <w:p w14:paraId="5D4A061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Never, n = 796 (61.9%)</w:t>
            </w:r>
          </w:p>
          <w:p w14:paraId="7BD7BC0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 times/month, n = 185 (14.4%)</w:t>
            </w:r>
          </w:p>
          <w:p w14:paraId="1E552A1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&gt;1 times/month, n = 305 (23.7%)</w:t>
            </w:r>
          </w:p>
        </w:tc>
        <w:tc>
          <w:tcPr>
            <w:tcW w:w="666" w:type="dxa"/>
            <w:tcBorders>
              <w:top w:val="nil"/>
              <w:left w:val="nil"/>
              <w:bottom w:val="nil"/>
              <w:right w:val="nil"/>
            </w:tcBorders>
            <w:shd w:val="clear" w:color="auto" w:fill="auto"/>
            <w:vAlign w:val="center"/>
          </w:tcPr>
          <w:p w14:paraId="443B99A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5056C609"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2DE3010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78AA7CB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F808F1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41FF42B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vMerge/>
            <w:tcBorders>
              <w:top w:val="nil"/>
              <w:left w:val="nil"/>
              <w:right w:val="nil"/>
            </w:tcBorders>
            <w:shd w:val="clear" w:color="auto" w:fill="auto"/>
            <w:vAlign w:val="center"/>
          </w:tcPr>
          <w:p w14:paraId="78B072D9"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c>
          <w:tcPr>
            <w:tcW w:w="666" w:type="dxa"/>
            <w:tcBorders>
              <w:top w:val="nil"/>
              <w:left w:val="nil"/>
              <w:bottom w:val="nil"/>
              <w:right w:val="nil"/>
            </w:tcBorders>
            <w:shd w:val="clear" w:color="auto" w:fill="auto"/>
            <w:vAlign w:val="center"/>
          </w:tcPr>
          <w:p w14:paraId="2432EA6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4173B69E"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2BF81A9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6820EC1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520E3B5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07087F8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vMerge/>
            <w:tcBorders>
              <w:top w:val="nil"/>
              <w:left w:val="nil"/>
              <w:right w:val="nil"/>
            </w:tcBorders>
            <w:shd w:val="clear" w:color="auto" w:fill="auto"/>
            <w:vAlign w:val="center"/>
          </w:tcPr>
          <w:p w14:paraId="6C106974"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c>
          <w:tcPr>
            <w:tcW w:w="666" w:type="dxa"/>
            <w:tcBorders>
              <w:top w:val="nil"/>
              <w:left w:val="nil"/>
              <w:bottom w:val="nil"/>
              <w:right w:val="nil"/>
            </w:tcBorders>
            <w:shd w:val="clear" w:color="auto" w:fill="auto"/>
            <w:vAlign w:val="center"/>
          </w:tcPr>
          <w:p w14:paraId="4CAA6F1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02EF54B3"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0F31A44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Fast food</w:t>
            </w:r>
          </w:p>
        </w:tc>
        <w:tc>
          <w:tcPr>
            <w:tcW w:w="1015" w:type="dxa"/>
            <w:tcBorders>
              <w:top w:val="nil"/>
              <w:left w:val="nil"/>
              <w:bottom w:val="nil"/>
              <w:right w:val="nil"/>
            </w:tcBorders>
            <w:shd w:val="clear" w:color="auto" w:fill="auto"/>
            <w:vAlign w:val="center"/>
          </w:tcPr>
          <w:p w14:paraId="7E77888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4ABCF23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4DA40B2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1287 (98.9%)</w:t>
            </w:r>
          </w:p>
        </w:tc>
        <w:tc>
          <w:tcPr>
            <w:tcW w:w="3723" w:type="dxa"/>
            <w:gridSpan w:val="9"/>
            <w:tcBorders>
              <w:top w:val="nil"/>
              <w:left w:val="nil"/>
              <w:bottom w:val="nil"/>
              <w:right w:val="nil"/>
            </w:tcBorders>
            <w:shd w:val="clear" w:color="auto" w:fill="auto"/>
            <w:vAlign w:val="center"/>
          </w:tcPr>
          <w:p w14:paraId="294CD0B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&lt;1 times/month, n = 734 (57%)</w:t>
            </w:r>
          </w:p>
        </w:tc>
      </w:tr>
      <w:tr w:rsidR="00A20D1F" w:rsidRPr="008A5C48" w14:paraId="0A467B8B"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3290F93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7EB4C66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782C936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612051A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val="restart"/>
            <w:tcBorders>
              <w:top w:val="nil"/>
              <w:left w:val="nil"/>
              <w:right w:val="nil"/>
            </w:tcBorders>
            <w:shd w:val="clear" w:color="auto" w:fill="auto"/>
            <w:vAlign w:val="center"/>
          </w:tcPr>
          <w:p w14:paraId="2FE94F2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 times/month, n = 410 (31.9%)</w:t>
            </w:r>
          </w:p>
          <w:p w14:paraId="248E830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&gt;2 times/month, n = 143 (11.1%)</w:t>
            </w:r>
          </w:p>
        </w:tc>
      </w:tr>
      <w:tr w:rsidR="00A20D1F" w:rsidRPr="008A5C48" w14:paraId="315AD29B"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4CFE339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4F0E65F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7669EE4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58E7BD5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4D578374"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5E9FBF4B"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044E598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Organic food </w:t>
            </w:r>
          </w:p>
        </w:tc>
        <w:tc>
          <w:tcPr>
            <w:tcW w:w="1015" w:type="dxa"/>
            <w:tcBorders>
              <w:top w:val="nil"/>
              <w:left w:val="nil"/>
              <w:bottom w:val="nil"/>
              <w:right w:val="nil"/>
            </w:tcBorders>
            <w:shd w:val="clear" w:color="auto" w:fill="auto"/>
            <w:vAlign w:val="center"/>
          </w:tcPr>
          <w:p w14:paraId="4CCC717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5A2AE17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3A1955C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1287 (98.9%)</w:t>
            </w:r>
          </w:p>
        </w:tc>
        <w:tc>
          <w:tcPr>
            <w:tcW w:w="3709" w:type="dxa"/>
            <w:gridSpan w:val="8"/>
            <w:vMerge w:val="restart"/>
            <w:tcBorders>
              <w:top w:val="nil"/>
              <w:left w:val="nil"/>
              <w:right w:val="nil"/>
            </w:tcBorders>
            <w:shd w:val="clear" w:color="auto" w:fill="auto"/>
            <w:vAlign w:val="center"/>
          </w:tcPr>
          <w:p w14:paraId="78FC4CD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&lt;1 time/month, n = 428 (33.3%)</w:t>
            </w:r>
          </w:p>
          <w:p w14:paraId="021CD1F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 time/month – 1 time/week, n = 534 (41.5%)</w:t>
            </w:r>
          </w:p>
          <w:p w14:paraId="26B0906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&gt;1 time/week, n = 325 (25.3%)</w:t>
            </w:r>
          </w:p>
        </w:tc>
      </w:tr>
      <w:tr w:rsidR="00A20D1F" w:rsidRPr="008A5C48" w14:paraId="55285AA7"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317A79D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42A1D00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54B7687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B2FDD6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164E4E8E"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26500695"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082A93E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6479F47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5A36AD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59479BF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right w:val="nil"/>
            </w:tcBorders>
            <w:shd w:val="clear" w:color="auto" w:fill="auto"/>
            <w:vAlign w:val="center"/>
          </w:tcPr>
          <w:p w14:paraId="2B3834D8"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70D638F0" w14:textId="77777777" w:rsidTr="00C32812">
        <w:trPr>
          <w:gridAfter w:val="2"/>
          <w:wAfter w:w="43" w:type="dxa"/>
          <w:trHeight w:val="49"/>
          <w:jc w:val="center"/>
        </w:trPr>
        <w:tc>
          <w:tcPr>
            <w:tcW w:w="1616" w:type="dxa"/>
            <w:tcBorders>
              <w:top w:val="nil"/>
              <w:left w:val="nil"/>
              <w:bottom w:val="nil"/>
              <w:right w:val="nil"/>
            </w:tcBorders>
            <w:shd w:val="clear" w:color="auto" w:fill="auto"/>
            <w:vAlign w:val="center"/>
          </w:tcPr>
          <w:p w14:paraId="671939E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Ready-made meal </w:t>
            </w:r>
          </w:p>
        </w:tc>
        <w:tc>
          <w:tcPr>
            <w:tcW w:w="1015" w:type="dxa"/>
            <w:tcBorders>
              <w:top w:val="nil"/>
              <w:left w:val="nil"/>
              <w:bottom w:val="nil"/>
              <w:right w:val="nil"/>
            </w:tcBorders>
            <w:shd w:val="clear" w:color="auto" w:fill="auto"/>
            <w:vAlign w:val="center"/>
          </w:tcPr>
          <w:p w14:paraId="4DCE259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7885A65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Childhood</w:t>
            </w:r>
          </w:p>
        </w:tc>
        <w:tc>
          <w:tcPr>
            <w:tcW w:w="1596" w:type="dxa"/>
            <w:tcBorders>
              <w:top w:val="nil"/>
              <w:left w:val="nil"/>
              <w:bottom w:val="nil"/>
              <w:right w:val="nil"/>
            </w:tcBorders>
            <w:shd w:val="clear" w:color="auto" w:fill="auto"/>
            <w:vAlign w:val="center"/>
          </w:tcPr>
          <w:p w14:paraId="3A4B3B3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1287 (98.9%)</w:t>
            </w:r>
          </w:p>
        </w:tc>
        <w:tc>
          <w:tcPr>
            <w:tcW w:w="3709" w:type="dxa"/>
            <w:gridSpan w:val="8"/>
            <w:vMerge w:val="restart"/>
            <w:tcBorders>
              <w:top w:val="nil"/>
              <w:left w:val="nil"/>
            </w:tcBorders>
            <w:shd w:val="clear" w:color="auto" w:fill="auto"/>
            <w:vAlign w:val="center"/>
          </w:tcPr>
          <w:p w14:paraId="732A635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&lt;1 times/month, n = 619 (48.1%)</w:t>
            </w:r>
          </w:p>
          <w:p w14:paraId="3C322F0A"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 times/month – 1 times/week, n = 341 (26.5%)</w:t>
            </w:r>
          </w:p>
          <w:p w14:paraId="6C43671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&gt;1 times/week, n = 327 (25.4%)</w:t>
            </w:r>
          </w:p>
        </w:tc>
      </w:tr>
      <w:tr w:rsidR="00A20D1F" w:rsidRPr="008A5C48" w14:paraId="2276250D"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55344E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4687132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46F7AD9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26CA760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tcBorders>
            <w:shd w:val="clear" w:color="auto" w:fill="auto"/>
            <w:vAlign w:val="center"/>
          </w:tcPr>
          <w:p w14:paraId="401FE3E2"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08035965"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2978364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03C7BB8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2072138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53648BB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vMerge/>
            <w:tcBorders>
              <w:top w:val="nil"/>
              <w:left w:val="nil"/>
            </w:tcBorders>
            <w:shd w:val="clear" w:color="auto" w:fill="auto"/>
            <w:vAlign w:val="center"/>
          </w:tcPr>
          <w:p w14:paraId="5351E678" w14:textId="77777777" w:rsidR="00A20D1F" w:rsidRPr="008A5C48" w:rsidRDefault="00A20D1F" w:rsidP="0034607E">
            <w:pPr>
              <w:widowControl w:val="0"/>
              <w:pBdr>
                <w:top w:val="nil"/>
                <w:left w:val="nil"/>
                <w:bottom w:val="nil"/>
                <w:right w:val="nil"/>
                <w:between w:val="nil"/>
              </w:pBdr>
              <w:spacing w:after="0" w:line="240" w:lineRule="auto"/>
              <w:contextualSpacing/>
              <w:rPr>
                <w:rFonts w:ascii="Times New Roman" w:eastAsia="Times New Roman" w:hAnsi="Times New Roman" w:cs="Times New Roman"/>
                <w:sz w:val="20"/>
                <w:szCs w:val="20"/>
              </w:rPr>
            </w:pPr>
          </w:p>
        </w:tc>
      </w:tr>
      <w:tr w:rsidR="00A20D1F" w:rsidRPr="008A5C48" w14:paraId="423212D1"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03893C5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Meat </w:t>
            </w:r>
          </w:p>
        </w:tc>
        <w:tc>
          <w:tcPr>
            <w:tcW w:w="1015" w:type="dxa"/>
            <w:tcBorders>
              <w:top w:val="nil"/>
              <w:left w:val="nil"/>
              <w:bottom w:val="nil"/>
              <w:right w:val="nil"/>
            </w:tcBorders>
            <w:shd w:val="clear" w:color="auto" w:fill="auto"/>
            <w:vAlign w:val="center"/>
          </w:tcPr>
          <w:p w14:paraId="42DC24A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1277E99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top w:val="nil"/>
              <w:left w:val="nil"/>
              <w:bottom w:val="nil"/>
              <w:right w:val="nil"/>
            </w:tcBorders>
            <w:shd w:val="clear" w:color="auto" w:fill="auto"/>
            <w:vAlign w:val="center"/>
          </w:tcPr>
          <w:p w14:paraId="1D4969E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940 (72.3%)</w:t>
            </w:r>
          </w:p>
        </w:tc>
        <w:tc>
          <w:tcPr>
            <w:tcW w:w="3043" w:type="dxa"/>
            <w:gridSpan w:val="7"/>
            <w:tcBorders>
              <w:top w:val="nil"/>
              <w:left w:val="nil"/>
              <w:bottom w:val="nil"/>
              <w:right w:val="nil"/>
            </w:tcBorders>
            <w:shd w:val="clear" w:color="auto" w:fill="auto"/>
            <w:vAlign w:val="center"/>
          </w:tcPr>
          <w:p w14:paraId="246F814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&lt;7 times/week, n = 313 (33.7%)</w:t>
            </w:r>
          </w:p>
        </w:tc>
        <w:tc>
          <w:tcPr>
            <w:tcW w:w="666" w:type="dxa"/>
            <w:tcBorders>
              <w:top w:val="nil"/>
              <w:left w:val="nil"/>
              <w:bottom w:val="nil"/>
              <w:right w:val="nil"/>
            </w:tcBorders>
            <w:shd w:val="clear" w:color="auto" w:fill="auto"/>
            <w:vAlign w:val="center"/>
          </w:tcPr>
          <w:p w14:paraId="64C0596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70FC54CB"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608AC5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65C7C22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B70D98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73566EE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tcBorders>
              <w:top w:val="nil"/>
              <w:left w:val="nil"/>
              <w:bottom w:val="nil"/>
              <w:right w:val="nil"/>
            </w:tcBorders>
            <w:shd w:val="clear" w:color="auto" w:fill="auto"/>
            <w:vAlign w:val="center"/>
          </w:tcPr>
          <w:p w14:paraId="55E88F3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7-10 times/week, n = 303 (32.6%)</w:t>
            </w:r>
          </w:p>
        </w:tc>
        <w:tc>
          <w:tcPr>
            <w:tcW w:w="666" w:type="dxa"/>
            <w:tcBorders>
              <w:top w:val="nil"/>
              <w:left w:val="nil"/>
              <w:bottom w:val="nil"/>
              <w:right w:val="nil"/>
            </w:tcBorders>
            <w:shd w:val="clear" w:color="auto" w:fill="auto"/>
            <w:vAlign w:val="center"/>
          </w:tcPr>
          <w:p w14:paraId="55CB3D5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51DB0923"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B4DE01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1599AA7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432C88B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E85C24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tcBorders>
              <w:top w:val="nil"/>
              <w:left w:val="nil"/>
              <w:bottom w:val="nil"/>
              <w:right w:val="nil"/>
            </w:tcBorders>
            <w:shd w:val="clear" w:color="auto" w:fill="auto"/>
            <w:vAlign w:val="center"/>
          </w:tcPr>
          <w:p w14:paraId="0C79EF1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&gt;10 times/week, n = 313 (33.7%)</w:t>
            </w:r>
          </w:p>
        </w:tc>
        <w:tc>
          <w:tcPr>
            <w:tcW w:w="666" w:type="dxa"/>
            <w:tcBorders>
              <w:top w:val="nil"/>
              <w:left w:val="nil"/>
              <w:bottom w:val="nil"/>
              <w:right w:val="nil"/>
            </w:tcBorders>
            <w:shd w:val="clear" w:color="auto" w:fill="auto"/>
            <w:vAlign w:val="center"/>
          </w:tcPr>
          <w:p w14:paraId="3CD4FC2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344D992D" w14:textId="77777777" w:rsidTr="00C32812">
        <w:trPr>
          <w:gridAfter w:val="2"/>
          <w:wAfter w:w="43" w:type="dxa"/>
          <w:trHeight w:val="39"/>
          <w:jc w:val="center"/>
        </w:trPr>
        <w:tc>
          <w:tcPr>
            <w:tcW w:w="1616" w:type="dxa"/>
            <w:tcBorders>
              <w:top w:val="nil"/>
              <w:left w:val="nil"/>
              <w:bottom w:val="nil"/>
              <w:right w:val="nil"/>
            </w:tcBorders>
            <w:shd w:val="clear" w:color="auto" w:fill="auto"/>
            <w:vAlign w:val="center"/>
          </w:tcPr>
          <w:p w14:paraId="5AFA65CB"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Fish/ Seafood</w:t>
            </w:r>
          </w:p>
        </w:tc>
        <w:tc>
          <w:tcPr>
            <w:tcW w:w="1015" w:type="dxa"/>
            <w:tcBorders>
              <w:top w:val="nil"/>
              <w:left w:val="nil"/>
              <w:bottom w:val="nil"/>
              <w:right w:val="nil"/>
            </w:tcBorders>
            <w:shd w:val="clear" w:color="auto" w:fill="auto"/>
            <w:vAlign w:val="center"/>
          </w:tcPr>
          <w:p w14:paraId="5320140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10AD575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top w:val="nil"/>
              <w:left w:val="nil"/>
              <w:bottom w:val="nil"/>
              <w:right w:val="nil"/>
            </w:tcBorders>
            <w:shd w:val="clear" w:color="auto" w:fill="auto"/>
            <w:vAlign w:val="center"/>
          </w:tcPr>
          <w:p w14:paraId="64FC75A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827 (63.6%)</w:t>
            </w:r>
          </w:p>
        </w:tc>
        <w:tc>
          <w:tcPr>
            <w:tcW w:w="3709" w:type="dxa"/>
            <w:gridSpan w:val="8"/>
            <w:tcBorders>
              <w:top w:val="nil"/>
              <w:left w:val="nil"/>
              <w:bottom w:val="nil"/>
              <w:right w:val="nil"/>
            </w:tcBorders>
            <w:shd w:val="clear" w:color="auto" w:fill="auto"/>
            <w:vAlign w:val="center"/>
          </w:tcPr>
          <w:p w14:paraId="443B5C3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&lt;2 times/week, n = 325 (34.6%)</w:t>
            </w:r>
          </w:p>
        </w:tc>
      </w:tr>
      <w:tr w:rsidR="00A20D1F" w:rsidRPr="008A5C48" w14:paraId="1CB373DA"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FFA1C1B"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5914F99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14B8287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77F62F4E"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tcBorders>
              <w:top w:val="nil"/>
              <w:left w:val="nil"/>
              <w:bottom w:val="nil"/>
              <w:right w:val="nil"/>
            </w:tcBorders>
            <w:shd w:val="clear" w:color="auto" w:fill="auto"/>
            <w:vAlign w:val="center"/>
          </w:tcPr>
          <w:p w14:paraId="3A81B2C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2-4 times/week, n = 296 (31.5%)</w:t>
            </w:r>
          </w:p>
        </w:tc>
      </w:tr>
      <w:tr w:rsidR="00A20D1F" w:rsidRPr="008A5C48" w14:paraId="4FAD1242"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2B702E9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09B819C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76C155E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7209A01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tcBorders>
              <w:top w:val="nil"/>
              <w:left w:val="nil"/>
              <w:bottom w:val="nil"/>
              <w:right w:val="nil"/>
            </w:tcBorders>
            <w:shd w:val="clear" w:color="auto" w:fill="auto"/>
            <w:vAlign w:val="center"/>
          </w:tcPr>
          <w:p w14:paraId="764F611A"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&gt;4 times/week, n = 319 (33.9%)</w:t>
            </w:r>
          </w:p>
        </w:tc>
        <w:tc>
          <w:tcPr>
            <w:tcW w:w="666" w:type="dxa"/>
            <w:tcBorders>
              <w:top w:val="nil"/>
              <w:left w:val="nil"/>
              <w:bottom w:val="nil"/>
              <w:right w:val="nil"/>
            </w:tcBorders>
            <w:shd w:val="clear" w:color="auto" w:fill="auto"/>
            <w:vAlign w:val="center"/>
          </w:tcPr>
          <w:p w14:paraId="5E4D1F0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3129F531"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3DA2545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Vegetables </w:t>
            </w:r>
          </w:p>
        </w:tc>
        <w:tc>
          <w:tcPr>
            <w:tcW w:w="1015" w:type="dxa"/>
            <w:tcBorders>
              <w:top w:val="nil"/>
              <w:left w:val="nil"/>
              <w:bottom w:val="nil"/>
              <w:right w:val="nil"/>
            </w:tcBorders>
            <w:shd w:val="clear" w:color="auto" w:fill="auto"/>
            <w:vAlign w:val="center"/>
          </w:tcPr>
          <w:p w14:paraId="1789F90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232250B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top w:val="nil"/>
              <w:left w:val="nil"/>
              <w:bottom w:val="nil"/>
              <w:right w:val="nil"/>
            </w:tcBorders>
            <w:shd w:val="clear" w:color="auto" w:fill="auto"/>
            <w:vAlign w:val="center"/>
          </w:tcPr>
          <w:p w14:paraId="767F3C8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832 (64%)</w:t>
            </w:r>
          </w:p>
        </w:tc>
        <w:tc>
          <w:tcPr>
            <w:tcW w:w="3043" w:type="dxa"/>
            <w:gridSpan w:val="7"/>
            <w:tcBorders>
              <w:top w:val="nil"/>
              <w:left w:val="nil"/>
              <w:bottom w:val="nil"/>
              <w:right w:val="nil"/>
            </w:tcBorders>
            <w:shd w:val="clear" w:color="auto" w:fill="auto"/>
            <w:vAlign w:val="center"/>
          </w:tcPr>
          <w:p w14:paraId="0A4285F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&lt;9 times/week, n = 277 (33.5%)</w:t>
            </w:r>
          </w:p>
        </w:tc>
        <w:tc>
          <w:tcPr>
            <w:tcW w:w="666" w:type="dxa"/>
            <w:tcBorders>
              <w:top w:val="nil"/>
              <w:left w:val="nil"/>
              <w:bottom w:val="nil"/>
              <w:right w:val="nil"/>
            </w:tcBorders>
            <w:shd w:val="clear" w:color="auto" w:fill="auto"/>
            <w:vAlign w:val="center"/>
          </w:tcPr>
          <w:p w14:paraId="3519930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4156C105"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31B0327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4F8DCF8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0E5E8FD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5CC1B86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tcBorders>
              <w:top w:val="nil"/>
              <w:left w:val="nil"/>
              <w:bottom w:val="nil"/>
              <w:right w:val="nil"/>
            </w:tcBorders>
            <w:shd w:val="clear" w:color="auto" w:fill="auto"/>
            <w:vAlign w:val="center"/>
          </w:tcPr>
          <w:p w14:paraId="0ECBF3DB"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9-16 times/week, n = 269 (32.5%)</w:t>
            </w:r>
          </w:p>
        </w:tc>
      </w:tr>
      <w:tr w:rsidR="00A20D1F" w:rsidRPr="008A5C48" w14:paraId="5A884564"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3837B9F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4CE5970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1EDF31F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738CD5C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tcBorders>
              <w:top w:val="nil"/>
              <w:left w:val="nil"/>
              <w:bottom w:val="nil"/>
              <w:right w:val="nil"/>
            </w:tcBorders>
            <w:shd w:val="clear" w:color="auto" w:fill="auto"/>
            <w:vAlign w:val="center"/>
          </w:tcPr>
          <w:p w14:paraId="7CF30A1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&gt;16 times/week, n = 281 (34%)</w:t>
            </w:r>
          </w:p>
        </w:tc>
        <w:tc>
          <w:tcPr>
            <w:tcW w:w="666" w:type="dxa"/>
            <w:tcBorders>
              <w:top w:val="nil"/>
              <w:left w:val="nil"/>
              <w:bottom w:val="nil"/>
              <w:right w:val="nil"/>
            </w:tcBorders>
            <w:shd w:val="clear" w:color="auto" w:fill="auto"/>
            <w:vAlign w:val="center"/>
          </w:tcPr>
          <w:p w14:paraId="12D6EE7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2A160610"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38DB039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Fruits </w:t>
            </w:r>
          </w:p>
        </w:tc>
        <w:tc>
          <w:tcPr>
            <w:tcW w:w="1015" w:type="dxa"/>
            <w:tcBorders>
              <w:top w:val="nil"/>
              <w:left w:val="nil"/>
              <w:bottom w:val="nil"/>
              <w:right w:val="nil"/>
            </w:tcBorders>
            <w:shd w:val="clear" w:color="auto" w:fill="auto"/>
            <w:vAlign w:val="center"/>
          </w:tcPr>
          <w:p w14:paraId="45249D4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28B2913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top w:val="nil"/>
              <w:left w:val="nil"/>
              <w:bottom w:val="nil"/>
              <w:right w:val="nil"/>
            </w:tcBorders>
            <w:shd w:val="clear" w:color="auto" w:fill="auto"/>
            <w:vAlign w:val="center"/>
          </w:tcPr>
          <w:p w14:paraId="6579144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829 (63.7%)</w:t>
            </w:r>
          </w:p>
        </w:tc>
        <w:tc>
          <w:tcPr>
            <w:tcW w:w="3043" w:type="dxa"/>
            <w:gridSpan w:val="7"/>
            <w:tcBorders>
              <w:top w:val="nil"/>
              <w:left w:val="nil"/>
              <w:bottom w:val="nil"/>
              <w:right w:val="nil"/>
            </w:tcBorders>
            <w:shd w:val="clear" w:color="auto" w:fill="auto"/>
            <w:vAlign w:val="center"/>
          </w:tcPr>
          <w:p w14:paraId="710C2EA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&lt;10 times/week, n = 275 (33.1%)</w:t>
            </w:r>
          </w:p>
        </w:tc>
        <w:tc>
          <w:tcPr>
            <w:tcW w:w="666" w:type="dxa"/>
            <w:tcBorders>
              <w:top w:val="nil"/>
              <w:left w:val="nil"/>
              <w:bottom w:val="nil"/>
              <w:right w:val="nil"/>
            </w:tcBorders>
            <w:shd w:val="clear" w:color="auto" w:fill="auto"/>
            <w:vAlign w:val="center"/>
          </w:tcPr>
          <w:p w14:paraId="7B66995A"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10F9F5DC"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29F34AB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7586ED9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54562EF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0953D97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tcBorders>
              <w:top w:val="nil"/>
              <w:left w:val="nil"/>
              <w:bottom w:val="nil"/>
              <w:right w:val="nil"/>
            </w:tcBorders>
            <w:shd w:val="clear" w:color="auto" w:fill="auto"/>
            <w:vAlign w:val="center"/>
          </w:tcPr>
          <w:p w14:paraId="70C9DAF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10-18 times/week, n = 274 (32.9%)</w:t>
            </w:r>
          </w:p>
        </w:tc>
        <w:tc>
          <w:tcPr>
            <w:tcW w:w="666" w:type="dxa"/>
            <w:tcBorders>
              <w:top w:val="nil"/>
              <w:left w:val="nil"/>
              <w:bottom w:val="nil"/>
              <w:right w:val="nil"/>
            </w:tcBorders>
            <w:shd w:val="clear" w:color="auto" w:fill="auto"/>
            <w:vAlign w:val="center"/>
          </w:tcPr>
          <w:p w14:paraId="0AE1BC1A"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0527C634" w14:textId="77777777" w:rsidTr="00C32812">
        <w:trPr>
          <w:gridAfter w:val="4"/>
          <w:wAfter w:w="1344" w:type="dxa"/>
          <w:trHeight w:val="118"/>
          <w:jc w:val="center"/>
        </w:trPr>
        <w:tc>
          <w:tcPr>
            <w:tcW w:w="1616" w:type="dxa"/>
            <w:tcBorders>
              <w:top w:val="nil"/>
              <w:left w:val="nil"/>
              <w:bottom w:val="nil"/>
              <w:right w:val="nil"/>
            </w:tcBorders>
            <w:shd w:val="clear" w:color="auto" w:fill="auto"/>
            <w:vAlign w:val="center"/>
          </w:tcPr>
          <w:p w14:paraId="6059A62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6A49017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0DC9E20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608" w:type="dxa"/>
            <w:gridSpan w:val="2"/>
            <w:tcBorders>
              <w:top w:val="nil"/>
              <w:left w:val="nil"/>
              <w:bottom w:val="nil"/>
              <w:right w:val="nil"/>
            </w:tcBorders>
            <w:shd w:val="clear" w:color="auto" w:fill="auto"/>
            <w:vAlign w:val="center"/>
          </w:tcPr>
          <w:p w14:paraId="14F148C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2396" w:type="dxa"/>
            <w:gridSpan w:val="5"/>
            <w:tcBorders>
              <w:top w:val="nil"/>
              <w:left w:val="nil"/>
              <w:bottom w:val="nil"/>
            </w:tcBorders>
            <w:shd w:val="clear" w:color="auto" w:fill="auto"/>
            <w:vAlign w:val="center"/>
          </w:tcPr>
          <w:p w14:paraId="0781445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&gt;18 times/week, n = 283 (34%)</w:t>
            </w:r>
          </w:p>
        </w:tc>
      </w:tr>
      <w:tr w:rsidR="00A20D1F" w:rsidRPr="008A5C48" w14:paraId="6F2147C5"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1EB716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Dairy </w:t>
            </w:r>
          </w:p>
        </w:tc>
        <w:tc>
          <w:tcPr>
            <w:tcW w:w="1015" w:type="dxa"/>
            <w:tcBorders>
              <w:top w:val="nil"/>
              <w:left w:val="nil"/>
              <w:bottom w:val="nil"/>
              <w:right w:val="nil"/>
            </w:tcBorders>
            <w:shd w:val="clear" w:color="auto" w:fill="auto"/>
            <w:vAlign w:val="center"/>
          </w:tcPr>
          <w:p w14:paraId="2069BB2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133DBF5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top w:val="nil"/>
              <w:left w:val="nil"/>
              <w:bottom w:val="nil"/>
              <w:right w:val="nil"/>
            </w:tcBorders>
            <w:shd w:val="clear" w:color="auto" w:fill="auto"/>
            <w:vAlign w:val="center"/>
          </w:tcPr>
          <w:p w14:paraId="42E2C70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832 (64%)</w:t>
            </w:r>
          </w:p>
        </w:tc>
        <w:tc>
          <w:tcPr>
            <w:tcW w:w="3043" w:type="dxa"/>
            <w:gridSpan w:val="7"/>
            <w:tcBorders>
              <w:top w:val="nil"/>
              <w:left w:val="nil"/>
              <w:bottom w:val="nil"/>
              <w:right w:val="nil"/>
            </w:tcBorders>
            <w:shd w:val="clear" w:color="auto" w:fill="auto"/>
            <w:vAlign w:val="center"/>
          </w:tcPr>
          <w:p w14:paraId="10F9F72A"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&lt;17 times/week, n = 274 (33.1%)</w:t>
            </w:r>
          </w:p>
        </w:tc>
        <w:tc>
          <w:tcPr>
            <w:tcW w:w="666" w:type="dxa"/>
            <w:tcBorders>
              <w:top w:val="nil"/>
              <w:left w:val="nil"/>
              <w:bottom w:val="nil"/>
              <w:right w:val="nil"/>
            </w:tcBorders>
            <w:shd w:val="clear" w:color="auto" w:fill="auto"/>
            <w:vAlign w:val="center"/>
          </w:tcPr>
          <w:p w14:paraId="608BD2C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79381E68"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ACB54F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15876013"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057D726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38998C9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tcBorders>
              <w:top w:val="nil"/>
              <w:left w:val="nil"/>
              <w:bottom w:val="nil"/>
              <w:right w:val="nil"/>
            </w:tcBorders>
            <w:shd w:val="clear" w:color="auto" w:fill="auto"/>
            <w:vAlign w:val="center"/>
          </w:tcPr>
          <w:p w14:paraId="75B2594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17-27 times/week, n = 273 (32.9%)</w:t>
            </w:r>
          </w:p>
        </w:tc>
        <w:tc>
          <w:tcPr>
            <w:tcW w:w="666" w:type="dxa"/>
            <w:tcBorders>
              <w:top w:val="nil"/>
              <w:left w:val="nil"/>
              <w:bottom w:val="nil"/>
              <w:right w:val="nil"/>
            </w:tcBorders>
            <w:shd w:val="clear" w:color="auto" w:fill="auto"/>
            <w:vAlign w:val="center"/>
          </w:tcPr>
          <w:p w14:paraId="561831B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2C26A10E"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78F36F51"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2E027A3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017CA0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1BAE48E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082FC85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&gt;27 times/week, n = 282 (34%)</w:t>
            </w:r>
          </w:p>
        </w:tc>
      </w:tr>
      <w:tr w:rsidR="00A20D1F" w:rsidRPr="008A5C48" w14:paraId="049BAC89"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0FD66E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Legumes </w:t>
            </w:r>
          </w:p>
        </w:tc>
        <w:tc>
          <w:tcPr>
            <w:tcW w:w="1015" w:type="dxa"/>
            <w:tcBorders>
              <w:top w:val="nil"/>
              <w:left w:val="nil"/>
              <w:bottom w:val="nil"/>
              <w:right w:val="nil"/>
            </w:tcBorders>
            <w:shd w:val="clear" w:color="auto" w:fill="auto"/>
            <w:vAlign w:val="center"/>
          </w:tcPr>
          <w:p w14:paraId="7462B84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0A44C41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top w:val="nil"/>
              <w:left w:val="nil"/>
              <w:bottom w:val="nil"/>
              <w:right w:val="nil"/>
            </w:tcBorders>
            <w:shd w:val="clear" w:color="auto" w:fill="auto"/>
            <w:vAlign w:val="center"/>
          </w:tcPr>
          <w:p w14:paraId="0B22FAF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944 (72.6%)</w:t>
            </w:r>
          </w:p>
        </w:tc>
        <w:tc>
          <w:tcPr>
            <w:tcW w:w="3709" w:type="dxa"/>
            <w:gridSpan w:val="8"/>
            <w:tcBorders>
              <w:top w:val="nil"/>
              <w:left w:val="nil"/>
              <w:bottom w:val="nil"/>
              <w:right w:val="nil"/>
            </w:tcBorders>
            <w:shd w:val="clear" w:color="auto" w:fill="auto"/>
            <w:vAlign w:val="center"/>
          </w:tcPr>
          <w:p w14:paraId="5802F5C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&lt;0.5 times/week, n = 280 (33.7%)</w:t>
            </w:r>
          </w:p>
        </w:tc>
      </w:tr>
      <w:tr w:rsidR="00A20D1F" w:rsidRPr="008A5C48" w14:paraId="6FA577CF"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336C40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470C477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3D1DABA4"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364E9A8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tcBorders>
              <w:top w:val="nil"/>
              <w:left w:val="nil"/>
              <w:bottom w:val="nil"/>
              <w:right w:val="nil"/>
            </w:tcBorders>
            <w:shd w:val="clear" w:color="auto" w:fill="auto"/>
            <w:vAlign w:val="center"/>
          </w:tcPr>
          <w:p w14:paraId="008A1E3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0.5-2 times/week, n = 304 (36.5%)</w:t>
            </w:r>
          </w:p>
        </w:tc>
        <w:tc>
          <w:tcPr>
            <w:tcW w:w="666" w:type="dxa"/>
            <w:tcBorders>
              <w:top w:val="nil"/>
              <w:left w:val="nil"/>
              <w:bottom w:val="nil"/>
              <w:right w:val="nil"/>
            </w:tcBorders>
            <w:shd w:val="clear" w:color="auto" w:fill="auto"/>
            <w:vAlign w:val="center"/>
          </w:tcPr>
          <w:p w14:paraId="4DB68F5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1C3992FD"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39F233E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1BBD76B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4E7F150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7C55A3B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09" w:type="dxa"/>
            <w:gridSpan w:val="8"/>
            <w:tcBorders>
              <w:top w:val="nil"/>
              <w:left w:val="nil"/>
              <w:bottom w:val="nil"/>
              <w:right w:val="nil"/>
            </w:tcBorders>
            <w:shd w:val="clear" w:color="auto" w:fill="auto"/>
            <w:vAlign w:val="center"/>
          </w:tcPr>
          <w:p w14:paraId="7C77D529"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&gt;2 times/week, n = 248 (29.8%)</w:t>
            </w:r>
          </w:p>
        </w:tc>
      </w:tr>
      <w:tr w:rsidR="00A20D1F" w:rsidRPr="008A5C48" w14:paraId="6229B341"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67C8A89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Cereals </w:t>
            </w:r>
          </w:p>
        </w:tc>
        <w:tc>
          <w:tcPr>
            <w:tcW w:w="1015" w:type="dxa"/>
            <w:tcBorders>
              <w:top w:val="nil"/>
              <w:left w:val="nil"/>
              <w:bottom w:val="nil"/>
              <w:right w:val="nil"/>
            </w:tcBorders>
            <w:shd w:val="clear" w:color="auto" w:fill="auto"/>
            <w:vAlign w:val="center"/>
          </w:tcPr>
          <w:p w14:paraId="17F8509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2C37AED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top w:val="nil"/>
              <w:left w:val="nil"/>
              <w:bottom w:val="nil"/>
              <w:right w:val="nil"/>
            </w:tcBorders>
            <w:shd w:val="clear" w:color="auto" w:fill="auto"/>
            <w:vAlign w:val="center"/>
          </w:tcPr>
          <w:p w14:paraId="6F3BDBC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457 (35.1%)</w:t>
            </w:r>
          </w:p>
        </w:tc>
        <w:tc>
          <w:tcPr>
            <w:tcW w:w="3043" w:type="dxa"/>
            <w:gridSpan w:val="7"/>
            <w:tcBorders>
              <w:top w:val="nil"/>
              <w:left w:val="nil"/>
              <w:bottom w:val="nil"/>
              <w:right w:val="nil"/>
            </w:tcBorders>
            <w:shd w:val="clear" w:color="auto" w:fill="auto"/>
            <w:vAlign w:val="center"/>
          </w:tcPr>
          <w:p w14:paraId="666B416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&lt;9 times/week, n = 313 (33.2%)</w:t>
            </w:r>
          </w:p>
        </w:tc>
        <w:tc>
          <w:tcPr>
            <w:tcW w:w="666" w:type="dxa"/>
            <w:tcBorders>
              <w:top w:val="nil"/>
              <w:left w:val="nil"/>
              <w:bottom w:val="nil"/>
              <w:right w:val="nil"/>
            </w:tcBorders>
            <w:shd w:val="clear" w:color="auto" w:fill="auto"/>
            <w:vAlign w:val="center"/>
          </w:tcPr>
          <w:p w14:paraId="3BB9CE3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2E086203"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74CEAE2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37FD3EA8"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095976F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4836BE72"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tcBorders>
              <w:top w:val="nil"/>
              <w:left w:val="nil"/>
              <w:bottom w:val="nil"/>
              <w:right w:val="nil"/>
            </w:tcBorders>
            <w:shd w:val="clear" w:color="auto" w:fill="auto"/>
            <w:vAlign w:val="center"/>
          </w:tcPr>
          <w:p w14:paraId="773502E3"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9-27 times/week, n = 310 (32.8%)</w:t>
            </w:r>
          </w:p>
        </w:tc>
        <w:tc>
          <w:tcPr>
            <w:tcW w:w="666" w:type="dxa"/>
            <w:tcBorders>
              <w:top w:val="nil"/>
              <w:left w:val="nil"/>
              <w:bottom w:val="nil"/>
              <w:right w:val="nil"/>
            </w:tcBorders>
            <w:shd w:val="clear" w:color="auto" w:fill="auto"/>
            <w:vAlign w:val="center"/>
          </w:tcPr>
          <w:p w14:paraId="47BCB8BF"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09EC3983" w14:textId="77777777" w:rsidTr="00C32812">
        <w:trPr>
          <w:gridAfter w:val="1"/>
          <w:wAfter w:w="29" w:type="dxa"/>
          <w:trHeight w:val="118"/>
          <w:jc w:val="center"/>
        </w:trPr>
        <w:tc>
          <w:tcPr>
            <w:tcW w:w="1616" w:type="dxa"/>
            <w:tcBorders>
              <w:top w:val="nil"/>
              <w:left w:val="nil"/>
              <w:bottom w:val="nil"/>
              <w:right w:val="nil"/>
            </w:tcBorders>
            <w:shd w:val="clear" w:color="auto" w:fill="auto"/>
            <w:vAlign w:val="center"/>
          </w:tcPr>
          <w:p w14:paraId="12A4D2C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5836CCE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49604F2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0EC967B5"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723" w:type="dxa"/>
            <w:gridSpan w:val="9"/>
            <w:tcBorders>
              <w:top w:val="nil"/>
              <w:left w:val="nil"/>
              <w:bottom w:val="nil"/>
              <w:right w:val="nil"/>
            </w:tcBorders>
            <w:shd w:val="clear" w:color="auto" w:fill="auto"/>
            <w:vAlign w:val="center"/>
          </w:tcPr>
          <w:p w14:paraId="5F9C4AB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&gt;27 times/week, n = 321 (34%)</w:t>
            </w:r>
          </w:p>
        </w:tc>
      </w:tr>
      <w:tr w:rsidR="00A20D1F" w:rsidRPr="008A5C48" w14:paraId="4D3C1F2F"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46670BF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Fast food </w:t>
            </w:r>
          </w:p>
        </w:tc>
        <w:tc>
          <w:tcPr>
            <w:tcW w:w="1015" w:type="dxa"/>
            <w:tcBorders>
              <w:top w:val="nil"/>
              <w:left w:val="nil"/>
              <w:bottom w:val="nil"/>
              <w:right w:val="nil"/>
            </w:tcBorders>
            <w:shd w:val="clear" w:color="auto" w:fill="auto"/>
            <w:vAlign w:val="center"/>
          </w:tcPr>
          <w:p w14:paraId="7A41DC9C"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4BB9587D"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top w:val="nil"/>
              <w:left w:val="nil"/>
              <w:bottom w:val="nil"/>
              <w:right w:val="nil"/>
            </w:tcBorders>
            <w:shd w:val="clear" w:color="auto" w:fill="auto"/>
            <w:vAlign w:val="center"/>
          </w:tcPr>
          <w:p w14:paraId="20848B27"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457 (35.1%)</w:t>
            </w:r>
          </w:p>
        </w:tc>
        <w:tc>
          <w:tcPr>
            <w:tcW w:w="3709" w:type="dxa"/>
            <w:gridSpan w:val="8"/>
            <w:tcBorders>
              <w:top w:val="nil"/>
              <w:left w:val="nil"/>
              <w:bottom w:val="nil"/>
              <w:right w:val="nil"/>
            </w:tcBorders>
            <w:shd w:val="clear" w:color="auto" w:fill="auto"/>
            <w:vAlign w:val="center"/>
          </w:tcPr>
          <w:p w14:paraId="17DB258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&lt;1 times/month, n = 229 (50.1%)</w:t>
            </w:r>
          </w:p>
        </w:tc>
      </w:tr>
      <w:tr w:rsidR="00A20D1F" w:rsidRPr="008A5C48" w14:paraId="59773DEA"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1685382D"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nil"/>
              <w:right w:val="nil"/>
            </w:tcBorders>
            <w:shd w:val="clear" w:color="auto" w:fill="auto"/>
            <w:vAlign w:val="center"/>
          </w:tcPr>
          <w:p w14:paraId="0FC8D19F"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nil"/>
              <w:right w:val="nil"/>
            </w:tcBorders>
            <w:shd w:val="clear" w:color="auto" w:fill="auto"/>
            <w:vAlign w:val="center"/>
          </w:tcPr>
          <w:p w14:paraId="261E67E0"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nil"/>
              <w:right w:val="nil"/>
            </w:tcBorders>
            <w:shd w:val="clear" w:color="auto" w:fill="auto"/>
            <w:vAlign w:val="center"/>
          </w:tcPr>
          <w:p w14:paraId="7783CF2B"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2374" w:type="dxa"/>
            <w:gridSpan w:val="5"/>
            <w:tcBorders>
              <w:top w:val="nil"/>
              <w:left w:val="nil"/>
              <w:bottom w:val="nil"/>
              <w:right w:val="nil"/>
            </w:tcBorders>
            <w:shd w:val="clear" w:color="auto" w:fill="auto"/>
            <w:vAlign w:val="center"/>
          </w:tcPr>
          <w:p w14:paraId="16AF99D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1 times/month, n = 74 (16.2%)</w:t>
            </w:r>
          </w:p>
        </w:tc>
        <w:tc>
          <w:tcPr>
            <w:tcW w:w="669" w:type="dxa"/>
            <w:gridSpan w:val="2"/>
            <w:tcBorders>
              <w:top w:val="nil"/>
              <w:left w:val="nil"/>
              <w:bottom w:val="nil"/>
              <w:right w:val="nil"/>
            </w:tcBorders>
            <w:shd w:val="clear" w:color="auto" w:fill="auto"/>
            <w:vAlign w:val="center"/>
          </w:tcPr>
          <w:p w14:paraId="69AC775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666" w:type="dxa"/>
            <w:tcBorders>
              <w:top w:val="nil"/>
              <w:left w:val="nil"/>
              <w:bottom w:val="nil"/>
              <w:right w:val="nil"/>
            </w:tcBorders>
            <w:shd w:val="clear" w:color="auto" w:fill="auto"/>
            <w:vAlign w:val="center"/>
          </w:tcPr>
          <w:p w14:paraId="186AEF9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13EE127B" w14:textId="77777777" w:rsidTr="00C32812">
        <w:trPr>
          <w:gridAfter w:val="2"/>
          <w:wAfter w:w="43" w:type="dxa"/>
          <w:trHeight w:val="118"/>
          <w:jc w:val="center"/>
        </w:trPr>
        <w:tc>
          <w:tcPr>
            <w:tcW w:w="1616" w:type="dxa"/>
            <w:tcBorders>
              <w:top w:val="nil"/>
              <w:left w:val="nil"/>
              <w:right w:val="nil"/>
            </w:tcBorders>
            <w:shd w:val="clear" w:color="auto" w:fill="auto"/>
            <w:vAlign w:val="center"/>
          </w:tcPr>
          <w:p w14:paraId="4E8F18B7"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right w:val="nil"/>
            </w:tcBorders>
            <w:shd w:val="clear" w:color="auto" w:fill="auto"/>
            <w:vAlign w:val="center"/>
          </w:tcPr>
          <w:p w14:paraId="62B4151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right w:val="nil"/>
            </w:tcBorders>
            <w:shd w:val="clear" w:color="auto" w:fill="auto"/>
            <w:vAlign w:val="center"/>
          </w:tcPr>
          <w:p w14:paraId="319A3A2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right w:val="nil"/>
            </w:tcBorders>
            <w:shd w:val="clear" w:color="auto" w:fill="auto"/>
            <w:vAlign w:val="center"/>
          </w:tcPr>
          <w:p w14:paraId="04B58406"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3043" w:type="dxa"/>
            <w:gridSpan w:val="7"/>
            <w:tcBorders>
              <w:top w:val="nil"/>
              <w:left w:val="nil"/>
              <w:right w:val="nil"/>
            </w:tcBorders>
            <w:shd w:val="clear" w:color="auto" w:fill="auto"/>
            <w:vAlign w:val="center"/>
          </w:tcPr>
          <w:p w14:paraId="429680D8"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&gt;1 times/month, n = 154 (33.7%)</w:t>
            </w:r>
          </w:p>
        </w:tc>
        <w:tc>
          <w:tcPr>
            <w:tcW w:w="666" w:type="dxa"/>
            <w:tcBorders>
              <w:top w:val="nil"/>
              <w:left w:val="nil"/>
              <w:right w:val="nil"/>
            </w:tcBorders>
            <w:shd w:val="clear" w:color="auto" w:fill="auto"/>
            <w:vAlign w:val="center"/>
          </w:tcPr>
          <w:p w14:paraId="22D9ADD2"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616FFA9D" w14:textId="77777777" w:rsidTr="00C32812">
        <w:trPr>
          <w:gridAfter w:val="2"/>
          <w:wAfter w:w="43" w:type="dxa"/>
          <w:trHeight w:val="118"/>
          <w:jc w:val="center"/>
        </w:trPr>
        <w:tc>
          <w:tcPr>
            <w:tcW w:w="1616" w:type="dxa"/>
            <w:tcBorders>
              <w:top w:val="nil"/>
              <w:left w:val="nil"/>
              <w:bottom w:val="nil"/>
              <w:right w:val="nil"/>
            </w:tcBorders>
            <w:shd w:val="clear" w:color="auto" w:fill="auto"/>
            <w:vAlign w:val="center"/>
          </w:tcPr>
          <w:p w14:paraId="2F47AD36"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Folic Acid </w:t>
            </w:r>
          </w:p>
        </w:tc>
        <w:tc>
          <w:tcPr>
            <w:tcW w:w="1015" w:type="dxa"/>
            <w:tcBorders>
              <w:top w:val="nil"/>
              <w:left w:val="nil"/>
              <w:bottom w:val="nil"/>
              <w:right w:val="nil"/>
            </w:tcBorders>
            <w:shd w:val="clear" w:color="auto" w:fill="auto"/>
            <w:vAlign w:val="center"/>
          </w:tcPr>
          <w:p w14:paraId="6BCCB0C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w:t>
            </w:r>
          </w:p>
        </w:tc>
        <w:tc>
          <w:tcPr>
            <w:tcW w:w="1085" w:type="dxa"/>
            <w:tcBorders>
              <w:top w:val="nil"/>
              <w:left w:val="nil"/>
              <w:bottom w:val="nil"/>
              <w:right w:val="nil"/>
            </w:tcBorders>
            <w:shd w:val="clear" w:color="auto" w:fill="auto"/>
            <w:vAlign w:val="center"/>
          </w:tcPr>
          <w:p w14:paraId="26A5C889"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Pregnancy</w:t>
            </w:r>
          </w:p>
        </w:tc>
        <w:tc>
          <w:tcPr>
            <w:tcW w:w="1596" w:type="dxa"/>
            <w:tcBorders>
              <w:top w:val="nil"/>
              <w:left w:val="nil"/>
              <w:bottom w:val="nil"/>
              <w:right w:val="nil"/>
            </w:tcBorders>
            <w:shd w:val="clear" w:color="auto" w:fill="auto"/>
            <w:vAlign w:val="center"/>
          </w:tcPr>
          <w:p w14:paraId="410B035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875 (67.3%)</w:t>
            </w:r>
          </w:p>
        </w:tc>
        <w:tc>
          <w:tcPr>
            <w:tcW w:w="3043" w:type="dxa"/>
            <w:gridSpan w:val="7"/>
            <w:tcBorders>
              <w:top w:val="nil"/>
              <w:left w:val="nil"/>
              <w:bottom w:val="nil"/>
              <w:right w:val="nil"/>
            </w:tcBorders>
            <w:shd w:val="clear" w:color="auto" w:fill="auto"/>
            <w:vAlign w:val="center"/>
          </w:tcPr>
          <w:p w14:paraId="5E8B0235"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No, n = 386 (44.1%)</w:t>
            </w:r>
          </w:p>
        </w:tc>
        <w:tc>
          <w:tcPr>
            <w:tcW w:w="666" w:type="dxa"/>
            <w:tcBorders>
              <w:top w:val="nil"/>
              <w:left w:val="nil"/>
              <w:bottom w:val="nil"/>
              <w:right w:val="nil"/>
            </w:tcBorders>
            <w:shd w:val="clear" w:color="auto" w:fill="auto"/>
            <w:vAlign w:val="center"/>
          </w:tcPr>
          <w:p w14:paraId="15E0858C"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r w:rsidR="00A20D1F" w:rsidRPr="008A5C48" w14:paraId="64F45C3F" w14:textId="77777777" w:rsidTr="00C32812">
        <w:trPr>
          <w:gridAfter w:val="2"/>
          <w:wAfter w:w="43" w:type="dxa"/>
          <w:trHeight w:val="118"/>
          <w:jc w:val="center"/>
        </w:trPr>
        <w:tc>
          <w:tcPr>
            <w:tcW w:w="1616" w:type="dxa"/>
            <w:tcBorders>
              <w:top w:val="nil"/>
              <w:left w:val="nil"/>
              <w:bottom w:val="single" w:sz="4" w:space="0" w:color="000000"/>
              <w:right w:val="nil"/>
            </w:tcBorders>
            <w:shd w:val="clear" w:color="auto" w:fill="auto"/>
            <w:vAlign w:val="center"/>
          </w:tcPr>
          <w:p w14:paraId="1FEE4010"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1015" w:type="dxa"/>
            <w:tcBorders>
              <w:top w:val="nil"/>
              <w:left w:val="nil"/>
              <w:bottom w:val="single" w:sz="4" w:space="0" w:color="000000"/>
              <w:right w:val="nil"/>
            </w:tcBorders>
            <w:shd w:val="clear" w:color="auto" w:fill="auto"/>
            <w:vAlign w:val="center"/>
          </w:tcPr>
          <w:p w14:paraId="121C764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085" w:type="dxa"/>
            <w:tcBorders>
              <w:top w:val="nil"/>
              <w:left w:val="nil"/>
              <w:bottom w:val="single" w:sz="4" w:space="0" w:color="000000"/>
              <w:right w:val="nil"/>
            </w:tcBorders>
            <w:shd w:val="clear" w:color="auto" w:fill="auto"/>
            <w:vAlign w:val="center"/>
          </w:tcPr>
          <w:p w14:paraId="68F2AB81"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1596" w:type="dxa"/>
            <w:tcBorders>
              <w:top w:val="nil"/>
              <w:left w:val="nil"/>
              <w:bottom w:val="single" w:sz="4" w:space="0" w:color="000000"/>
              <w:right w:val="nil"/>
            </w:tcBorders>
            <w:shd w:val="clear" w:color="auto" w:fill="auto"/>
            <w:vAlign w:val="center"/>
          </w:tcPr>
          <w:p w14:paraId="40AA5DAA" w14:textId="77777777" w:rsidR="00A20D1F" w:rsidRPr="008A5C48" w:rsidRDefault="00A20D1F" w:rsidP="0034607E">
            <w:pPr>
              <w:spacing w:after="0" w:line="240" w:lineRule="auto"/>
              <w:contextualSpacing/>
              <w:jc w:val="center"/>
              <w:rPr>
                <w:rFonts w:ascii="Times New Roman" w:eastAsia="Times New Roman" w:hAnsi="Times New Roman" w:cs="Times New Roman"/>
                <w:sz w:val="20"/>
                <w:szCs w:val="20"/>
              </w:rPr>
            </w:pPr>
          </w:p>
        </w:tc>
        <w:tc>
          <w:tcPr>
            <w:tcW w:w="2374" w:type="dxa"/>
            <w:gridSpan w:val="5"/>
            <w:tcBorders>
              <w:top w:val="nil"/>
              <w:left w:val="nil"/>
              <w:bottom w:val="single" w:sz="4" w:space="0" w:color="000000"/>
              <w:right w:val="nil"/>
            </w:tcBorders>
            <w:shd w:val="clear" w:color="auto" w:fill="auto"/>
            <w:vAlign w:val="center"/>
          </w:tcPr>
          <w:p w14:paraId="62D80884"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Yes, n = 489 (55.9%)</w:t>
            </w:r>
          </w:p>
        </w:tc>
        <w:tc>
          <w:tcPr>
            <w:tcW w:w="669" w:type="dxa"/>
            <w:gridSpan w:val="2"/>
            <w:tcBorders>
              <w:top w:val="nil"/>
              <w:left w:val="nil"/>
              <w:bottom w:val="single" w:sz="4" w:space="0" w:color="000000"/>
              <w:right w:val="nil"/>
            </w:tcBorders>
            <w:shd w:val="clear" w:color="auto" w:fill="auto"/>
            <w:vAlign w:val="center"/>
          </w:tcPr>
          <w:p w14:paraId="14CB8DEB"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c>
          <w:tcPr>
            <w:tcW w:w="666" w:type="dxa"/>
            <w:tcBorders>
              <w:top w:val="nil"/>
              <w:left w:val="nil"/>
              <w:bottom w:val="single" w:sz="4" w:space="0" w:color="000000"/>
              <w:right w:val="nil"/>
            </w:tcBorders>
            <w:shd w:val="clear" w:color="auto" w:fill="auto"/>
            <w:vAlign w:val="center"/>
          </w:tcPr>
          <w:p w14:paraId="60101B4E" w14:textId="77777777" w:rsidR="00A20D1F" w:rsidRPr="008A5C48" w:rsidRDefault="00A20D1F" w:rsidP="0034607E">
            <w:pPr>
              <w:spacing w:after="0" w:line="240" w:lineRule="auto"/>
              <w:contextualSpacing/>
              <w:rPr>
                <w:rFonts w:ascii="Times New Roman" w:eastAsia="Times New Roman" w:hAnsi="Times New Roman" w:cs="Times New Roman"/>
                <w:sz w:val="20"/>
                <w:szCs w:val="20"/>
              </w:rPr>
            </w:pPr>
          </w:p>
        </w:tc>
      </w:tr>
    </w:tbl>
    <w:p w14:paraId="0D83BFB8" w14:textId="77777777" w:rsidR="00A20D1F" w:rsidRPr="008A5C48" w:rsidRDefault="00A20D1F" w:rsidP="00A20D1F">
      <w:pPr>
        <w:spacing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u w:val="single"/>
        </w:rPr>
        <w:br/>
        <w:t>Population</w:t>
      </w:r>
      <w:r w:rsidRPr="008A5C48">
        <w:rPr>
          <w:rFonts w:ascii="Times New Roman" w:eastAsia="Times New Roman" w:hAnsi="Times New Roman" w:cs="Times New Roman"/>
          <w:sz w:val="20"/>
          <w:szCs w:val="20"/>
        </w:rPr>
        <w:t xml:space="preserve">: Helix population, n=1301. </w:t>
      </w:r>
      <w:r w:rsidRPr="008A5C48">
        <w:rPr>
          <w:rFonts w:ascii="Times New Roman" w:eastAsia="Times New Roman" w:hAnsi="Times New Roman" w:cs="Times New Roman"/>
          <w:sz w:val="20"/>
          <w:szCs w:val="20"/>
          <w:u w:val="single"/>
        </w:rPr>
        <w:t>Acronyms</w:t>
      </w:r>
      <w:r w:rsidRPr="008A5C48">
        <w:rPr>
          <w:rFonts w:ascii="Times New Roman" w:eastAsia="Times New Roman" w:hAnsi="Times New Roman" w:cs="Times New Roman"/>
          <w:sz w:val="20"/>
          <w:szCs w:val="20"/>
        </w:rPr>
        <w:t xml:space="preserve">: N=number of individuals without missing values. %=percentage of individuals without missing values over the whole Helix sample (n=1301). </w:t>
      </w:r>
      <w:r w:rsidRPr="008A5C48">
        <w:rPr>
          <w:rFonts w:ascii="Times New Roman" w:eastAsia="Times New Roman" w:hAnsi="Times New Roman" w:cs="Times New Roman"/>
          <w:sz w:val="20"/>
          <w:szCs w:val="20"/>
          <w:lang w:val="fr-FR"/>
        </w:rPr>
        <w:t>Min=minimum. Q1=first quantile. Q3=</w:t>
      </w:r>
      <w:proofErr w:type="spellStart"/>
      <w:r w:rsidRPr="008A5C48">
        <w:rPr>
          <w:rFonts w:ascii="Times New Roman" w:eastAsia="Times New Roman" w:hAnsi="Times New Roman" w:cs="Times New Roman"/>
          <w:sz w:val="20"/>
          <w:szCs w:val="20"/>
          <w:lang w:val="fr-FR"/>
        </w:rPr>
        <w:t>third</w:t>
      </w:r>
      <w:proofErr w:type="spellEnd"/>
      <w:r w:rsidRPr="008A5C48">
        <w:rPr>
          <w:rFonts w:ascii="Times New Roman" w:eastAsia="Times New Roman" w:hAnsi="Times New Roman" w:cs="Times New Roman"/>
          <w:sz w:val="20"/>
          <w:szCs w:val="20"/>
          <w:lang w:val="fr-FR"/>
        </w:rPr>
        <w:t xml:space="preserve"> quantile. Max = maximum. </w:t>
      </w:r>
      <w:r w:rsidRPr="008A5C48">
        <w:rPr>
          <w:rFonts w:ascii="Times New Roman" w:eastAsia="Times New Roman" w:hAnsi="Times New Roman" w:cs="Times New Roman"/>
          <w:sz w:val="20"/>
          <w:szCs w:val="20"/>
        </w:rPr>
        <w:t>Max=maximum.</w:t>
      </w:r>
    </w:p>
    <w:p w14:paraId="5780CF17" w14:textId="292F2D8A" w:rsidR="00C03B92" w:rsidRPr="00376689" w:rsidRDefault="00376689" w:rsidP="00376689">
      <w:pPr>
        <w:spacing w:line="240" w:lineRule="auto"/>
        <w:contextualSpacing/>
        <w:jc w:val="both"/>
        <w:rPr>
          <w:rFonts w:ascii="Times New Roman" w:eastAsia="Times New Roman" w:hAnsi="Times New Roman" w:cs="Times New Roman"/>
          <w:sz w:val="20"/>
          <w:szCs w:val="20"/>
        </w:rPr>
      </w:pPr>
      <w:r w:rsidRPr="008A5C48">
        <w:rPr>
          <w:rFonts w:ascii="Times New Roman" w:hAnsi="Times New Roman" w:cs="Times New Roman"/>
          <w:sz w:val="20"/>
          <w:szCs w:val="20"/>
        </w:rPr>
        <w:br w:type="page"/>
      </w:r>
      <w:bookmarkStart w:id="79" w:name="_Hlk126576760"/>
    </w:p>
    <w:p w14:paraId="03957742" w14:textId="431CC8D3" w:rsidR="00C03B92" w:rsidRPr="00BC7860" w:rsidRDefault="00C03B92" w:rsidP="002D561D">
      <w:pPr>
        <w:pStyle w:val="Titre1"/>
        <w:rPr>
          <w:rFonts w:eastAsia="Times New Roman"/>
          <w:b w:val="0"/>
          <w:bCs w:val="0"/>
        </w:rPr>
      </w:pPr>
      <w:bookmarkStart w:id="80" w:name="_Toc127358163"/>
      <w:bookmarkStart w:id="81" w:name="_Toc132271594"/>
      <w:bookmarkStart w:id="82" w:name="_Hlk127367230"/>
      <w:proofErr w:type="spellStart"/>
      <w:r w:rsidRPr="008A5C48">
        <w:rPr>
          <w:rFonts w:eastAsia="Times New Roman"/>
        </w:rPr>
        <w:lastRenderedPageBreak/>
        <w:t>eTable</w:t>
      </w:r>
      <w:proofErr w:type="spellEnd"/>
      <w:r w:rsidRPr="008A5C48">
        <w:rPr>
          <w:rFonts w:eastAsia="Times New Roman"/>
        </w:rPr>
        <w:t xml:space="preserve"> </w:t>
      </w:r>
      <w:r w:rsidR="005212D3">
        <w:rPr>
          <w:rFonts w:eastAsia="Times New Roman"/>
        </w:rPr>
        <w:t>1</w:t>
      </w:r>
      <w:r w:rsidR="00276BE5">
        <w:rPr>
          <w:rFonts w:eastAsia="Times New Roman"/>
        </w:rPr>
        <w:t>2</w:t>
      </w:r>
      <w:r w:rsidR="00DA3331">
        <w:rPr>
          <w:rFonts w:eastAsia="Times New Roman"/>
        </w:rPr>
        <w:t>.</w:t>
      </w:r>
      <w:r w:rsidRPr="008A5C48">
        <w:rPr>
          <w:rFonts w:eastAsia="Times New Roman"/>
        </w:rPr>
        <w:t xml:space="preserve"> </w:t>
      </w:r>
      <w:r w:rsidRPr="00BC7860">
        <w:rPr>
          <w:rFonts w:eastAsia="Times New Roman"/>
          <w:b w:val="0"/>
          <w:bCs w:val="0"/>
        </w:rPr>
        <w:t>Description of biomarkers in the Helix population</w:t>
      </w:r>
      <w:bookmarkEnd w:id="80"/>
      <w:bookmarkEnd w:id="81"/>
    </w:p>
    <w:bookmarkEnd w:id="82"/>
    <w:p w14:paraId="72D21C9D" w14:textId="77777777" w:rsidR="002D561D" w:rsidRPr="002D561D" w:rsidRDefault="002D561D" w:rsidP="002D561D"/>
    <w:tbl>
      <w:tblPr>
        <w:tblStyle w:val="a8"/>
        <w:tblW w:w="9710" w:type="dxa"/>
        <w:jc w:val="center"/>
        <w:tblInd w:w="0" w:type="dxa"/>
        <w:tblLayout w:type="fixed"/>
        <w:tblLook w:val="0400" w:firstRow="0" w:lastRow="0" w:firstColumn="0" w:lastColumn="0" w:noHBand="0" w:noVBand="1"/>
      </w:tblPr>
      <w:tblGrid>
        <w:gridCol w:w="1163"/>
        <w:gridCol w:w="634"/>
        <w:gridCol w:w="1111"/>
        <w:gridCol w:w="1360"/>
        <w:gridCol w:w="13"/>
        <w:gridCol w:w="1473"/>
        <w:gridCol w:w="13"/>
        <w:gridCol w:w="783"/>
        <w:gridCol w:w="13"/>
        <w:gridCol w:w="683"/>
        <w:gridCol w:w="15"/>
        <w:gridCol w:w="890"/>
        <w:gridCol w:w="15"/>
        <w:gridCol w:w="715"/>
        <w:gridCol w:w="15"/>
        <w:gridCol w:w="15"/>
        <w:gridCol w:w="766"/>
        <w:gridCol w:w="18"/>
        <w:gridCol w:w="15"/>
      </w:tblGrid>
      <w:tr w:rsidR="00C03B92" w:rsidRPr="008A5C48" w14:paraId="3432575B" w14:textId="77777777" w:rsidTr="00376689">
        <w:trPr>
          <w:gridAfter w:val="1"/>
          <w:wAfter w:w="15" w:type="dxa"/>
          <w:trHeight w:val="557"/>
          <w:jc w:val="center"/>
        </w:trPr>
        <w:tc>
          <w:tcPr>
            <w:tcW w:w="1164" w:type="dxa"/>
            <w:tcBorders>
              <w:top w:val="single" w:sz="8" w:space="0" w:color="000000"/>
              <w:left w:val="nil"/>
              <w:bottom w:val="single" w:sz="4" w:space="0" w:color="auto"/>
              <w:right w:val="nil"/>
            </w:tcBorders>
            <w:shd w:val="clear" w:color="auto" w:fill="auto"/>
            <w:vAlign w:val="center"/>
          </w:tcPr>
          <w:bookmarkEnd w:id="79"/>
          <w:p w14:paraId="180CC08C" w14:textId="77777777" w:rsidR="00C03B92" w:rsidRPr="00376689" w:rsidRDefault="00C03B92" w:rsidP="0034607E">
            <w:pPr>
              <w:spacing w:after="0" w:line="240" w:lineRule="auto"/>
              <w:contextualSpacing/>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Exposure</w:t>
            </w:r>
          </w:p>
        </w:tc>
        <w:tc>
          <w:tcPr>
            <w:tcW w:w="634" w:type="dxa"/>
            <w:tcBorders>
              <w:top w:val="single" w:sz="8" w:space="0" w:color="000000"/>
              <w:left w:val="nil"/>
              <w:bottom w:val="single" w:sz="4" w:space="0" w:color="auto"/>
              <w:right w:val="nil"/>
            </w:tcBorders>
            <w:shd w:val="clear" w:color="auto" w:fill="auto"/>
            <w:vAlign w:val="center"/>
          </w:tcPr>
          <w:p w14:paraId="3C437CB9" w14:textId="77777777" w:rsidR="00C03B92" w:rsidRPr="00376689" w:rsidRDefault="00C03B92"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Unit</w:t>
            </w:r>
          </w:p>
        </w:tc>
        <w:tc>
          <w:tcPr>
            <w:tcW w:w="1111" w:type="dxa"/>
            <w:tcBorders>
              <w:top w:val="single" w:sz="8" w:space="0" w:color="000000"/>
              <w:left w:val="nil"/>
              <w:bottom w:val="single" w:sz="4" w:space="0" w:color="auto"/>
              <w:right w:val="nil"/>
            </w:tcBorders>
            <w:shd w:val="clear" w:color="auto" w:fill="auto"/>
            <w:vAlign w:val="center"/>
          </w:tcPr>
          <w:p w14:paraId="04149216" w14:textId="77777777" w:rsidR="00C03B92" w:rsidRPr="00376689" w:rsidRDefault="00C03B92"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Period</w:t>
            </w:r>
          </w:p>
        </w:tc>
        <w:tc>
          <w:tcPr>
            <w:tcW w:w="1360" w:type="dxa"/>
            <w:tcBorders>
              <w:top w:val="single" w:sz="8" w:space="0" w:color="000000"/>
              <w:left w:val="nil"/>
              <w:bottom w:val="single" w:sz="4" w:space="0" w:color="auto"/>
              <w:right w:val="nil"/>
            </w:tcBorders>
            <w:shd w:val="clear" w:color="auto" w:fill="auto"/>
            <w:vAlign w:val="center"/>
          </w:tcPr>
          <w:p w14:paraId="24351768" w14:textId="77777777" w:rsidR="00C03B92" w:rsidRPr="00376689" w:rsidRDefault="00C03B92"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N (%) before imputation</w:t>
            </w:r>
          </w:p>
        </w:tc>
        <w:tc>
          <w:tcPr>
            <w:tcW w:w="1486" w:type="dxa"/>
            <w:gridSpan w:val="2"/>
            <w:tcBorders>
              <w:top w:val="single" w:sz="8" w:space="0" w:color="000000"/>
              <w:left w:val="nil"/>
              <w:bottom w:val="single" w:sz="4" w:space="0" w:color="auto"/>
              <w:right w:val="nil"/>
            </w:tcBorders>
            <w:shd w:val="clear" w:color="auto" w:fill="auto"/>
            <w:vAlign w:val="center"/>
          </w:tcPr>
          <w:p w14:paraId="23CFBA37" w14:textId="77777777" w:rsidR="00C03B92" w:rsidRPr="00376689" w:rsidRDefault="00C03B92"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 xml:space="preserve">% </w:t>
            </w:r>
            <w:proofErr w:type="gramStart"/>
            <w:r w:rsidRPr="00376689">
              <w:rPr>
                <w:rFonts w:ascii="Times New Roman" w:eastAsia="Times New Roman" w:hAnsi="Times New Roman" w:cs="Times New Roman"/>
                <w:bCs/>
                <w:color w:val="000000"/>
                <w:sz w:val="20"/>
                <w:szCs w:val="20"/>
              </w:rPr>
              <w:t>quantifiable</w:t>
            </w:r>
            <w:proofErr w:type="gramEnd"/>
          </w:p>
        </w:tc>
        <w:tc>
          <w:tcPr>
            <w:tcW w:w="796" w:type="dxa"/>
            <w:gridSpan w:val="2"/>
            <w:tcBorders>
              <w:top w:val="single" w:sz="8" w:space="0" w:color="000000"/>
              <w:left w:val="nil"/>
              <w:bottom w:val="single" w:sz="4" w:space="0" w:color="auto"/>
              <w:right w:val="nil"/>
            </w:tcBorders>
            <w:shd w:val="clear" w:color="auto" w:fill="auto"/>
            <w:vAlign w:val="center"/>
          </w:tcPr>
          <w:p w14:paraId="732783C1" w14:textId="77777777" w:rsidR="00C03B92" w:rsidRPr="00376689" w:rsidRDefault="00C03B92"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Min</w:t>
            </w:r>
          </w:p>
        </w:tc>
        <w:tc>
          <w:tcPr>
            <w:tcW w:w="696" w:type="dxa"/>
            <w:gridSpan w:val="2"/>
            <w:tcBorders>
              <w:top w:val="single" w:sz="8" w:space="0" w:color="000000"/>
              <w:left w:val="nil"/>
              <w:bottom w:val="single" w:sz="4" w:space="0" w:color="auto"/>
              <w:right w:val="nil"/>
            </w:tcBorders>
            <w:shd w:val="clear" w:color="auto" w:fill="auto"/>
            <w:vAlign w:val="center"/>
          </w:tcPr>
          <w:p w14:paraId="4DF670A8" w14:textId="77777777" w:rsidR="00C03B92" w:rsidRPr="00376689" w:rsidRDefault="00C03B92"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Q1</w:t>
            </w:r>
          </w:p>
        </w:tc>
        <w:tc>
          <w:tcPr>
            <w:tcW w:w="905" w:type="dxa"/>
            <w:gridSpan w:val="2"/>
            <w:tcBorders>
              <w:top w:val="single" w:sz="8" w:space="0" w:color="000000"/>
              <w:left w:val="nil"/>
              <w:bottom w:val="single" w:sz="4" w:space="0" w:color="auto"/>
              <w:right w:val="nil"/>
            </w:tcBorders>
            <w:shd w:val="clear" w:color="auto" w:fill="auto"/>
            <w:vAlign w:val="center"/>
          </w:tcPr>
          <w:p w14:paraId="024CCC74" w14:textId="77777777" w:rsidR="00C03B92" w:rsidRPr="00376689" w:rsidRDefault="00C03B92"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Median</w:t>
            </w:r>
          </w:p>
        </w:tc>
        <w:tc>
          <w:tcPr>
            <w:tcW w:w="745" w:type="dxa"/>
            <w:gridSpan w:val="3"/>
            <w:tcBorders>
              <w:top w:val="single" w:sz="8" w:space="0" w:color="000000"/>
              <w:left w:val="nil"/>
              <w:bottom w:val="single" w:sz="4" w:space="0" w:color="auto"/>
              <w:right w:val="nil"/>
            </w:tcBorders>
            <w:shd w:val="clear" w:color="auto" w:fill="auto"/>
            <w:vAlign w:val="center"/>
          </w:tcPr>
          <w:p w14:paraId="574C3570" w14:textId="77777777" w:rsidR="00C03B92" w:rsidRPr="00376689" w:rsidRDefault="00C03B92"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Q3</w:t>
            </w:r>
          </w:p>
        </w:tc>
        <w:tc>
          <w:tcPr>
            <w:tcW w:w="799" w:type="dxa"/>
            <w:gridSpan w:val="3"/>
            <w:tcBorders>
              <w:top w:val="single" w:sz="8" w:space="0" w:color="000000"/>
              <w:left w:val="nil"/>
              <w:bottom w:val="single" w:sz="4" w:space="0" w:color="auto"/>
              <w:right w:val="nil"/>
            </w:tcBorders>
            <w:shd w:val="clear" w:color="auto" w:fill="auto"/>
            <w:vAlign w:val="center"/>
          </w:tcPr>
          <w:p w14:paraId="21AAE57B" w14:textId="77777777" w:rsidR="00C03B92" w:rsidRPr="00376689" w:rsidRDefault="00C03B92" w:rsidP="0034607E">
            <w:pPr>
              <w:spacing w:after="0" w:line="240" w:lineRule="auto"/>
              <w:contextualSpacing/>
              <w:jc w:val="center"/>
              <w:rPr>
                <w:rFonts w:ascii="Times New Roman" w:eastAsia="Times New Roman" w:hAnsi="Times New Roman" w:cs="Times New Roman"/>
                <w:bCs/>
                <w:color w:val="000000"/>
                <w:sz w:val="20"/>
                <w:szCs w:val="20"/>
              </w:rPr>
            </w:pPr>
            <w:r w:rsidRPr="00376689">
              <w:rPr>
                <w:rFonts w:ascii="Times New Roman" w:eastAsia="Times New Roman" w:hAnsi="Times New Roman" w:cs="Times New Roman"/>
                <w:bCs/>
                <w:color w:val="000000"/>
                <w:sz w:val="20"/>
                <w:szCs w:val="20"/>
              </w:rPr>
              <w:t>Max</w:t>
            </w:r>
          </w:p>
        </w:tc>
      </w:tr>
      <w:tr w:rsidR="00C03B92" w:rsidRPr="008A5C48" w14:paraId="1AB9DCDD" w14:textId="77777777" w:rsidTr="00376689">
        <w:trPr>
          <w:gridAfter w:val="1"/>
          <w:wAfter w:w="15" w:type="dxa"/>
          <w:trHeight w:val="194"/>
          <w:jc w:val="center"/>
        </w:trPr>
        <w:tc>
          <w:tcPr>
            <w:tcW w:w="1164" w:type="dxa"/>
            <w:tcBorders>
              <w:top w:val="single" w:sz="4" w:space="0" w:color="auto"/>
              <w:left w:val="nil"/>
              <w:bottom w:val="nil"/>
              <w:right w:val="nil"/>
            </w:tcBorders>
            <w:shd w:val="clear" w:color="auto" w:fill="auto"/>
            <w:vAlign w:val="center"/>
          </w:tcPr>
          <w:p w14:paraId="0A4E1654" w14:textId="77777777" w:rsidR="00C03B92" w:rsidRPr="008A5C48" w:rsidRDefault="00C03B92" w:rsidP="0034607E">
            <w:pPr>
              <w:spacing w:after="0" w:line="240" w:lineRule="auto"/>
              <w:contextualSpacing/>
              <w:rPr>
                <w:rFonts w:ascii="Times New Roman" w:eastAsia="Times New Roman" w:hAnsi="Times New Roman" w:cs="Times New Roman"/>
                <w:b/>
                <w:color w:val="000000"/>
                <w:sz w:val="20"/>
                <w:szCs w:val="20"/>
              </w:rPr>
            </w:pPr>
            <w:proofErr w:type="spellStart"/>
            <w:r w:rsidRPr="008A5C48">
              <w:rPr>
                <w:rFonts w:ascii="Times New Roman" w:eastAsia="Times New Roman" w:hAnsi="Times New Roman" w:cs="Times New Roman"/>
                <w:b/>
                <w:color w:val="000000"/>
                <w:sz w:val="20"/>
                <w:szCs w:val="20"/>
              </w:rPr>
              <w:t>Phthlates</w:t>
            </w:r>
            <w:proofErr w:type="spellEnd"/>
          </w:p>
        </w:tc>
        <w:tc>
          <w:tcPr>
            <w:tcW w:w="634" w:type="dxa"/>
            <w:tcBorders>
              <w:top w:val="single" w:sz="4" w:space="0" w:color="auto"/>
              <w:left w:val="nil"/>
              <w:bottom w:val="nil"/>
              <w:right w:val="nil"/>
            </w:tcBorders>
            <w:shd w:val="clear" w:color="auto" w:fill="auto"/>
            <w:vAlign w:val="center"/>
          </w:tcPr>
          <w:p w14:paraId="70BB46F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111" w:type="dxa"/>
            <w:tcBorders>
              <w:top w:val="single" w:sz="4" w:space="0" w:color="auto"/>
              <w:left w:val="nil"/>
              <w:bottom w:val="nil"/>
              <w:right w:val="nil"/>
            </w:tcBorders>
            <w:shd w:val="clear" w:color="auto" w:fill="auto"/>
            <w:vAlign w:val="center"/>
          </w:tcPr>
          <w:p w14:paraId="5B9D6EC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360" w:type="dxa"/>
            <w:tcBorders>
              <w:top w:val="single" w:sz="4" w:space="0" w:color="auto"/>
              <w:left w:val="nil"/>
              <w:bottom w:val="nil"/>
              <w:right w:val="nil"/>
            </w:tcBorders>
            <w:shd w:val="clear" w:color="auto" w:fill="auto"/>
            <w:vAlign w:val="center"/>
          </w:tcPr>
          <w:p w14:paraId="41AECED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486" w:type="dxa"/>
            <w:gridSpan w:val="2"/>
            <w:tcBorders>
              <w:top w:val="single" w:sz="4" w:space="0" w:color="auto"/>
              <w:left w:val="nil"/>
              <w:bottom w:val="nil"/>
              <w:right w:val="nil"/>
            </w:tcBorders>
            <w:shd w:val="clear" w:color="auto" w:fill="auto"/>
            <w:vAlign w:val="center"/>
          </w:tcPr>
          <w:p w14:paraId="6A41B0B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6" w:type="dxa"/>
            <w:gridSpan w:val="2"/>
            <w:tcBorders>
              <w:top w:val="single" w:sz="4" w:space="0" w:color="auto"/>
              <w:left w:val="nil"/>
              <w:bottom w:val="nil"/>
              <w:right w:val="nil"/>
            </w:tcBorders>
            <w:shd w:val="clear" w:color="auto" w:fill="auto"/>
            <w:vAlign w:val="center"/>
          </w:tcPr>
          <w:p w14:paraId="75257FE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696" w:type="dxa"/>
            <w:gridSpan w:val="2"/>
            <w:tcBorders>
              <w:top w:val="single" w:sz="4" w:space="0" w:color="auto"/>
              <w:left w:val="nil"/>
              <w:bottom w:val="nil"/>
              <w:right w:val="nil"/>
            </w:tcBorders>
            <w:shd w:val="clear" w:color="auto" w:fill="auto"/>
            <w:vAlign w:val="center"/>
          </w:tcPr>
          <w:p w14:paraId="3AA87A7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905" w:type="dxa"/>
            <w:gridSpan w:val="2"/>
            <w:tcBorders>
              <w:top w:val="single" w:sz="4" w:space="0" w:color="auto"/>
              <w:left w:val="nil"/>
              <w:bottom w:val="nil"/>
              <w:right w:val="nil"/>
            </w:tcBorders>
            <w:shd w:val="clear" w:color="auto" w:fill="auto"/>
            <w:vAlign w:val="center"/>
          </w:tcPr>
          <w:p w14:paraId="6C6EEDE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45" w:type="dxa"/>
            <w:gridSpan w:val="3"/>
            <w:tcBorders>
              <w:top w:val="single" w:sz="4" w:space="0" w:color="auto"/>
              <w:left w:val="nil"/>
              <w:bottom w:val="nil"/>
              <w:right w:val="nil"/>
            </w:tcBorders>
            <w:shd w:val="clear" w:color="auto" w:fill="auto"/>
            <w:vAlign w:val="center"/>
          </w:tcPr>
          <w:p w14:paraId="76A9025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9" w:type="dxa"/>
            <w:gridSpan w:val="3"/>
            <w:tcBorders>
              <w:top w:val="single" w:sz="4" w:space="0" w:color="auto"/>
              <w:left w:val="nil"/>
              <w:bottom w:val="nil"/>
              <w:right w:val="nil"/>
            </w:tcBorders>
            <w:shd w:val="clear" w:color="auto" w:fill="auto"/>
            <w:vAlign w:val="center"/>
          </w:tcPr>
          <w:p w14:paraId="4CCACA2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r>
      <w:tr w:rsidR="00C03B92" w:rsidRPr="008A5C48" w14:paraId="4210E3D5"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75AC195"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MBzP</w:t>
            </w:r>
            <w:proofErr w:type="spellEnd"/>
          </w:p>
        </w:tc>
        <w:tc>
          <w:tcPr>
            <w:tcW w:w="634" w:type="dxa"/>
            <w:tcBorders>
              <w:top w:val="nil"/>
              <w:left w:val="nil"/>
              <w:bottom w:val="nil"/>
              <w:right w:val="nil"/>
            </w:tcBorders>
            <w:shd w:val="clear" w:color="auto" w:fill="auto"/>
            <w:vAlign w:val="center"/>
          </w:tcPr>
          <w:p w14:paraId="1FC14CE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55B09A6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732042B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1300 (99.9%)</w:t>
            </w:r>
          </w:p>
        </w:tc>
        <w:tc>
          <w:tcPr>
            <w:tcW w:w="1486" w:type="dxa"/>
            <w:gridSpan w:val="2"/>
            <w:tcBorders>
              <w:top w:val="nil"/>
              <w:left w:val="nil"/>
              <w:bottom w:val="nil"/>
              <w:right w:val="nil"/>
            </w:tcBorders>
            <w:shd w:val="clear" w:color="auto" w:fill="auto"/>
            <w:vAlign w:val="center"/>
          </w:tcPr>
          <w:p w14:paraId="37AD97B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99.70%</w:t>
            </w:r>
          </w:p>
        </w:tc>
        <w:tc>
          <w:tcPr>
            <w:tcW w:w="796" w:type="dxa"/>
            <w:gridSpan w:val="2"/>
            <w:tcBorders>
              <w:top w:val="nil"/>
              <w:left w:val="nil"/>
              <w:bottom w:val="nil"/>
              <w:right w:val="nil"/>
            </w:tcBorders>
            <w:shd w:val="clear" w:color="auto" w:fill="auto"/>
            <w:vAlign w:val="center"/>
          </w:tcPr>
          <w:p w14:paraId="19A22AE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3.7</w:t>
            </w:r>
          </w:p>
        </w:tc>
        <w:tc>
          <w:tcPr>
            <w:tcW w:w="696" w:type="dxa"/>
            <w:gridSpan w:val="2"/>
            <w:tcBorders>
              <w:top w:val="nil"/>
              <w:left w:val="nil"/>
              <w:bottom w:val="nil"/>
              <w:right w:val="nil"/>
            </w:tcBorders>
            <w:shd w:val="clear" w:color="auto" w:fill="auto"/>
            <w:vAlign w:val="center"/>
          </w:tcPr>
          <w:p w14:paraId="7D5507E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w:t>
            </w:r>
          </w:p>
        </w:tc>
        <w:tc>
          <w:tcPr>
            <w:tcW w:w="905" w:type="dxa"/>
            <w:gridSpan w:val="2"/>
            <w:tcBorders>
              <w:top w:val="nil"/>
              <w:left w:val="nil"/>
              <w:bottom w:val="nil"/>
              <w:right w:val="nil"/>
            </w:tcBorders>
            <w:shd w:val="clear" w:color="auto" w:fill="auto"/>
            <w:vAlign w:val="center"/>
          </w:tcPr>
          <w:p w14:paraId="421D324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w:t>
            </w:r>
          </w:p>
        </w:tc>
        <w:tc>
          <w:tcPr>
            <w:tcW w:w="745" w:type="dxa"/>
            <w:gridSpan w:val="3"/>
            <w:tcBorders>
              <w:top w:val="nil"/>
              <w:left w:val="nil"/>
              <w:bottom w:val="nil"/>
              <w:right w:val="nil"/>
            </w:tcBorders>
            <w:shd w:val="clear" w:color="auto" w:fill="auto"/>
            <w:vAlign w:val="center"/>
          </w:tcPr>
          <w:p w14:paraId="751E0C3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11.5</w:t>
            </w:r>
          </w:p>
        </w:tc>
        <w:tc>
          <w:tcPr>
            <w:tcW w:w="799" w:type="dxa"/>
            <w:gridSpan w:val="3"/>
            <w:tcBorders>
              <w:top w:val="nil"/>
              <w:left w:val="nil"/>
              <w:bottom w:val="nil"/>
              <w:right w:val="nil"/>
            </w:tcBorders>
            <w:shd w:val="clear" w:color="auto" w:fill="auto"/>
            <w:vAlign w:val="center"/>
          </w:tcPr>
          <w:p w14:paraId="1CC80FB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354.6</w:t>
            </w:r>
          </w:p>
        </w:tc>
      </w:tr>
      <w:tr w:rsidR="00C03B92" w:rsidRPr="008A5C48" w14:paraId="7A161232"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D014D3B"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MECPP</w:t>
            </w:r>
          </w:p>
        </w:tc>
        <w:tc>
          <w:tcPr>
            <w:tcW w:w="634" w:type="dxa"/>
            <w:tcBorders>
              <w:top w:val="nil"/>
              <w:left w:val="nil"/>
              <w:bottom w:val="nil"/>
              <w:right w:val="nil"/>
            </w:tcBorders>
            <w:shd w:val="clear" w:color="auto" w:fill="auto"/>
            <w:vAlign w:val="center"/>
          </w:tcPr>
          <w:p w14:paraId="55FC84A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537A120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D1246B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1300 (99.9%)</w:t>
            </w:r>
          </w:p>
        </w:tc>
        <w:tc>
          <w:tcPr>
            <w:tcW w:w="1486" w:type="dxa"/>
            <w:gridSpan w:val="2"/>
            <w:tcBorders>
              <w:top w:val="nil"/>
              <w:left w:val="nil"/>
              <w:bottom w:val="nil"/>
              <w:right w:val="nil"/>
            </w:tcBorders>
            <w:shd w:val="clear" w:color="auto" w:fill="auto"/>
            <w:vAlign w:val="center"/>
          </w:tcPr>
          <w:p w14:paraId="112FF92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99.90%</w:t>
            </w:r>
          </w:p>
        </w:tc>
        <w:tc>
          <w:tcPr>
            <w:tcW w:w="796" w:type="dxa"/>
            <w:gridSpan w:val="2"/>
            <w:tcBorders>
              <w:top w:val="nil"/>
              <w:left w:val="nil"/>
              <w:bottom w:val="nil"/>
              <w:right w:val="nil"/>
            </w:tcBorders>
            <w:shd w:val="clear" w:color="auto" w:fill="auto"/>
            <w:vAlign w:val="center"/>
          </w:tcPr>
          <w:p w14:paraId="7877289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27.7</w:t>
            </w:r>
          </w:p>
        </w:tc>
        <w:tc>
          <w:tcPr>
            <w:tcW w:w="696" w:type="dxa"/>
            <w:gridSpan w:val="2"/>
            <w:tcBorders>
              <w:top w:val="nil"/>
              <w:left w:val="nil"/>
              <w:bottom w:val="nil"/>
              <w:right w:val="nil"/>
            </w:tcBorders>
            <w:shd w:val="clear" w:color="auto" w:fill="auto"/>
            <w:vAlign w:val="center"/>
          </w:tcPr>
          <w:p w14:paraId="0E5DCCC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43.1</w:t>
            </w:r>
          </w:p>
        </w:tc>
        <w:tc>
          <w:tcPr>
            <w:tcW w:w="905" w:type="dxa"/>
            <w:gridSpan w:val="2"/>
            <w:tcBorders>
              <w:top w:val="nil"/>
              <w:left w:val="nil"/>
              <w:bottom w:val="nil"/>
              <w:right w:val="nil"/>
            </w:tcBorders>
            <w:shd w:val="clear" w:color="auto" w:fill="auto"/>
            <w:vAlign w:val="center"/>
          </w:tcPr>
          <w:p w14:paraId="3F85BB8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56.9</w:t>
            </w:r>
          </w:p>
        </w:tc>
        <w:tc>
          <w:tcPr>
            <w:tcW w:w="745" w:type="dxa"/>
            <w:gridSpan w:val="3"/>
            <w:tcBorders>
              <w:top w:val="nil"/>
              <w:left w:val="nil"/>
              <w:bottom w:val="nil"/>
              <w:right w:val="nil"/>
            </w:tcBorders>
            <w:shd w:val="clear" w:color="auto" w:fill="auto"/>
            <w:vAlign w:val="center"/>
          </w:tcPr>
          <w:p w14:paraId="0878A7C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81</w:t>
            </w:r>
          </w:p>
        </w:tc>
        <w:tc>
          <w:tcPr>
            <w:tcW w:w="799" w:type="dxa"/>
            <w:gridSpan w:val="3"/>
            <w:tcBorders>
              <w:top w:val="nil"/>
              <w:left w:val="nil"/>
              <w:bottom w:val="nil"/>
              <w:right w:val="nil"/>
            </w:tcBorders>
            <w:shd w:val="clear" w:color="auto" w:fill="auto"/>
            <w:vAlign w:val="center"/>
          </w:tcPr>
          <w:p w14:paraId="17C84BF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3691</w:t>
            </w:r>
          </w:p>
        </w:tc>
      </w:tr>
      <w:tr w:rsidR="00C03B92" w:rsidRPr="008A5C48" w14:paraId="0552335B"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BC50A77"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MEHHP</w:t>
            </w:r>
          </w:p>
        </w:tc>
        <w:tc>
          <w:tcPr>
            <w:tcW w:w="634" w:type="dxa"/>
            <w:tcBorders>
              <w:top w:val="nil"/>
              <w:left w:val="nil"/>
              <w:bottom w:val="nil"/>
              <w:right w:val="nil"/>
            </w:tcBorders>
            <w:shd w:val="clear" w:color="auto" w:fill="auto"/>
            <w:vAlign w:val="center"/>
          </w:tcPr>
          <w:p w14:paraId="112F4C4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5E8DF97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7A9050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7A31D3F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649DE4C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15.7</w:t>
            </w:r>
          </w:p>
        </w:tc>
        <w:tc>
          <w:tcPr>
            <w:tcW w:w="696" w:type="dxa"/>
            <w:gridSpan w:val="2"/>
            <w:tcBorders>
              <w:top w:val="nil"/>
              <w:left w:val="nil"/>
              <w:bottom w:val="nil"/>
              <w:right w:val="nil"/>
            </w:tcBorders>
            <w:shd w:val="clear" w:color="auto" w:fill="auto"/>
            <w:vAlign w:val="center"/>
          </w:tcPr>
          <w:p w14:paraId="185E80B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24.4</w:t>
            </w:r>
          </w:p>
        </w:tc>
        <w:tc>
          <w:tcPr>
            <w:tcW w:w="905" w:type="dxa"/>
            <w:gridSpan w:val="2"/>
            <w:tcBorders>
              <w:top w:val="nil"/>
              <w:left w:val="nil"/>
              <w:bottom w:val="nil"/>
              <w:right w:val="nil"/>
            </w:tcBorders>
            <w:shd w:val="clear" w:color="auto" w:fill="auto"/>
            <w:vAlign w:val="center"/>
          </w:tcPr>
          <w:p w14:paraId="7C7D68F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32.2</w:t>
            </w:r>
          </w:p>
        </w:tc>
        <w:tc>
          <w:tcPr>
            <w:tcW w:w="745" w:type="dxa"/>
            <w:gridSpan w:val="3"/>
            <w:tcBorders>
              <w:top w:val="nil"/>
              <w:left w:val="nil"/>
              <w:bottom w:val="nil"/>
              <w:right w:val="nil"/>
            </w:tcBorders>
            <w:shd w:val="clear" w:color="auto" w:fill="auto"/>
            <w:vAlign w:val="center"/>
          </w:tcPr>
          <w:p w14:paraId="723190B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45.3</w:t>
            </w:r>
          </w:p>
        </w:tc>
        <w:tc>
          <w:tcPr>
            <w:tcW w:w="799" w:type="dxa"/>
            <w:gridSpan w:val="3"/>
            <w:tcBorders>
              <w:top w:val="nil"/>
              <w:left w:val="nil"/>
              <w:bottom w:val="nil"/>
              <w:right w:val="nil"/>
            </w:tcBorders>
            <w:shd w:val="clear" w:color="auto" w:fill="auto"/>
            <w:vAlign w:val="center"/>
          </w:tcPr>
          <w:p w14:paraId="7288CDF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2257</w:t>
            </w:r>
          </w:p>
        </w:tc>
      </w:tr>
      <w:tr w:rsidR="00C03B92" w:rsidRPr="008A5C48" w14:paraId="41539A58"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D88ED92"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MEHP</w:t>
            </w:r>
          </w:p>
        </w:tc>
        <w:tc>
          <w:tcPr>
            <w:tcW w:w="634" w:type="dxa"/>
            <w:tcBorders>
              <w:top w:val="nil"/>
              <w:left w:val="nil"/>
              <w:bottom w:val="nil"/>
              <w:right w:val="nil"/>
            </w:tcBorders>
            <w:shd w:val="clear" w:color="auto" w:fill="auto"/>
            <w:vAlign w:val="center"/>
          </w:tcPr>
          <w:p w14:paraId="490EC6C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56EC270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3CA2A2A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1260 (96.8%)</w:t>
            </w:r>
          </w:p>
        </w:tc>
        <w:tc>
          <w:tcPr>
            <w:tcW w:w="1486" w:type="dxa"/>
            <w:gridSpan w:val="2"/>
            <w:tcBorders>
              <w:top w:val="nil"/>
              <w:left w:val="nil"/>
              <w:bottom w:val="nil"/>
              <w:right w:val="nil"/>
            </w:tcBorders>
            <w:shd w:val="clear" w:color="auto" w:fill="auto"/>
            <w:vAlign w:val="center"/>
          </w:tcPr>
          <w:p w14:paraId="4647538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99.50%</w:t>
            </w:r>
          </w:p>
        </w:tc>
        <w:tc>
          <w:tcPr>
            <w:tcW w:w="796" w:type="dxa"/>
            <w:gridSpan w:val="2"/>
            <w:tcBorders>
              <w:top w:val="nil"/>
              <w:left w:val="nil"/>
              <w:bottom w:val="nil"/>
              <w:right w:val="nil"/>
            </w:tcBorders>
            <w:shd w:val="clear" w:color="auto" w:fill="auto"/>
            <w:vAlign w:val="center"/>
          </w:tcPr>
          <w:p w14:paraId="395B96D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w:t>
            </w:r>
          </w:p>
        </w:tc>
        <w:tc>
          <w:tcPr>
            <w:tcW w:w="696" w:type="dxa"/>
            <w:gridSpan w:val="2"/>
            <w:tcBorders>
              <w:top w:val="nil"/>
              <w:left w:val="nil"/>
              <w:bottom w:val="nil"/>
              <w:right w:val="nil"/>
            </w:tcBorders>
            <w:shd w:val="clear" w:color="auto" w:fill="auto"/>
            <w:vAlign w:val="center"/>
          </w:tcPr>
          <w:p w14:paraId="09B59BA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3.4</w:t>
            </w:r>
          </w:p>
        </w:tc>
        <w:tc>
          <w:tcPr>
            <w:tcW w:w="905" w:type="dxa"/>
            <w:gridSpan w:val="2"/>
            <w:tcBorders>
              <w:top w:val="nil"/>
              <w:left w:val="nil"/>
              <w:bottom w:val="nil"/>
              <w:right w:val="nil"/>
            </w:tcBorders>
            <w:shd w:val="clear" w:color="auto" w:fill="auto"/>
            <w:vAlign w:val="center"/>
          </w:tcPr>
          <w:p w14:paraId="17222E3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4.6</w:t>
            </w:r>
          </w:p>
        </w:tc>
        <w:tc>
          <w:tcPr>
            <w:tcW w:w="745" w:type="dxa"/>
            <w:gridSpan w:val="3"/>
            <w:tcBorders>
              <w:top w:val="nil"/>
              <w:left w:val="nil"/>
              <w:bottom w:val="nil"/>
              <w:right w:val="nil"/>
            </w:tcBorders>
            <w:shd w:val="clear" w:color="auto" w:fill="auto"/>
            <w:vAlign w:val="center"/>
          </w:tcPr>
          <w:p w14:paraId="1552C85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6.8</w:t>
            </w:r>
          </w:p>
        </w:tc>
        <w:tc>
          <w:tcPr>
            <w:tcW w:w="799" w:type="dxa"/>
            <w:gridSpan w:val="3"/>
            <w:tcBorders>
              <w:top w:val="nil"/>
              <w:left w:val="nil"/>
              <w:bottom w:val="nil"/>
              <w:right w:val="nil"/>
            </w:tcBorders>
            <w:shd w:val="clear" w:color="auto" w:fill="auto"/>
            <w:vAlign w:val="center"/>
          </w:tcPr>
          <w:p w14:paraId="23DBC64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284</w:t>
            </w:r>
          </w:p>
        </w:tc>
      </w:tr>
      <w:tr w:rsidR="00C03B92" w:rsidRPr="008A5C48" w14:paraId="412EFB6B"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F54ED0C"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MEOHP</w:t>
            </w:r>
          </w:p>
        </w:tc>
        <w:tc>
          <w:tcPr>
            <w:tcW w:w="634" w:type="dxa"/>
            <w:tcBorders>
              <w:top w:val="nil"/>
              <w:left w:val="nil"/>
              <w:bottom w:val="nil"/>
              <w:right w:val="nil"/>
            </w:tcBorders>
            <w:shd w:val="clear" w:color="auto" w:fill="auto"/>
            <w:vAlign w:val="center"/>
          </w:tcPr>
          <w:p w14:paraId="3816BF5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5BB798F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2D7326B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1300 (99.9%)</w:t>
            </w:r>
          </w:p>
        </w:tc>
        <w:tc>
          <w:tcPr>
            <w:tcW w:w="1486" w:type="dxa"/>
            <w:gridSpan w:val="2"/>
            <w:tcBorders>
              <w:top w:val="nil"/>
              <w:left w:val="nil"/>
              <w:bottom w:val="nil"/>
              <w:right w:val="nil"/>
            </w:tcBorders>
            <w:shd w:val="clear" w:color="auto" w:fill="auto"/>
            <w:vAlign w:val="center"/>
          </w:tcPr>
          <w:p w14:paraId="35A0700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66F59B1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9.8</w:t>
            </w:r>
          </w:p>
        </w:tc>
        <w:tc>
          <w:tcPr>
            <w:tcW w:w="696" w:type="dxa"/>
            <w:gridSpan w:val="2"/>
            <w:tcBorders>
              <w:top w:val="nil"/>
              <w:left w:val="nil"/>
              <w:bottom w:val="nil"/>
              <w:right w:val="nil"/>
            </w:tcBorders>
            <w:shd w:val="clear" w:color="auto" w:fill="auto"/>
            <w:vAlign w:val="center"/>
          </w:tcPr>
          <w:p w14:paraId="774AF10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15.3</w:t>
            </w:r>
          </w:p>
        </w:tc>
        <w:tc>
          <w:tcPr>
            <w:tcW w:w="905" w:type="dxa"/>
            <w:gridSpan w:val="2"/>
            <w:tcBorders>
              <w:top w:val="nil"/>
              <w:left w:val="nil"/>
              <w:bottom w:val="nil"/>
              <w:right w:val="nil"/>
            </w:tcBorders>
            <w:shd w:val="clear" w:color="auto" w:fill="auto"/>
            <w:vAlign w:val="center"/>
          </w:tcPr>
          <w:p w14:paraId="110DA48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20.3</w:t>
            </w:r>
          </w:p>
        </w:tc>
        <w:tc>
          <w:tcPr>
            <w:tcW w:w="745" w:type="dxa"/>
            <w:gridSpan w:val="3"/>
            <w:tcBorders>
              <w:top w:val="nil"/>
              <w:left w:val="nil"/>
              <w:bottom w:val="nil"/>
              <w:right w:val="nil"/>
            </w:tcBorders>
            <w:shd w:val="clear" w:color="auto" w:fill="auto"/>
            <w:vAlign w:val="center"/>
          </w:tcPr>
          <w:p w14:paraId="536DF38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28.4</w:t>
            </w:r>
          </w:p>
        </w:tc>
        <w:tc>
          <w:tcPr>
            <w:tcW w:w="799" w:type="dxa"/>
            <w:gridSpan w:val="3"/>
            <w:tcBorders>
              <w:top w:val="nil"/>
              <w:left w:val="nil"/>
              <w:bottom w:val="nil"/>
              <w:right w:val="nil"/>
            </w:tcBorders>
            <w:shd w:val="clear" w:color="auto" w:fill="auto"/>
            <w:vAlign w:val="center"/>
          </w:tcPr>
          <w:p w14:paraId="3C23B6F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1296</w:t>
            </w:r>
          </w:p>
        </w:tc>
      </w:tr>
      <w:tr w:rsidR="00C03B92" w:rsidRPr="008A5C48" w14:paraId="511582F9"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427021F8"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MEP</w:t>
            </w:r>
          </w:p>
        </w:tc>
        <w:tc>
          <w:tcPr>
            <w:tcW w:w="634" w:type="dxa"/>
            <w:tcBorders>
              <w:top w:val="nil"/>
              <w:left w:val="nil"/>
              <w:bottom w:val="nil"/>
              <w:right w:val="nil"/>
            </w:tcBorders>
            <w:shd w:val="clear" w:color="auto" w:fill="auto"/>
            <w:vAlign w:val="center"/>
          </w:tcPr>
          <w:p w14:paraId="62D408B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7B5F950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1CE5C02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bottom w:val="nil"/>
              <w:right w:val="nil"/>
            </w:tcBorders>
            <w:shd w:val="clear" w:color="auto" w:fill="auto"/>
            <w:vAlign w:val="center"/>
          </w:tcPr>
          <w:p w14:paraId="35098D6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99.00%</w:t>
            </w:r>
          </w:p>
        </w:tc>
        <w:tc>
          <w:tcPr>
            <w:tcW w:w="796" w:type="dxa"/>
            <w:gridSpan w:val="2"/>
            <w:tcBorders>
              <w:top w:val="nil"/>
              <w:left w:val="nil"/>
              <w:bottom w:val="nil"/>
              <w:right w:val="nil"/>
            </w:tcBorders>
            <w:shd w:val="clear" w:color="auto" w:fill="auto"/>
            <w:vAlign w:val="center"/>
          </w:tcPr>
          <w:p w14:paraId="4A83991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3.4</w:t>
            </w:r>
          </w:p>
        </w:tc>
        <w:tc>
          <w:tcPr>
            <w:tcW w:w="696" w:type="dxa"/>
            <w:gridSpan w:val="2"/>
            <w:tcBorders>
              <w:top w:val="nil"/>
              <w:left w:val="nil"/>
              <w:bottom w:val="nil"/>
              <w:right w:val="nil"/>
            </w:tcBorders>
            <w:shd w:val="clear" w:color="auto" w:fill="auto"/>
            <w:vAlign w:val="center"/>
          </w:tcPr>
          <w:p w14:paraId="3593EE6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16.4</w:t>
            </w:r>
          </w:p>
        </w:tc>
        <w:tc>
          <w:tcPr>
            <w:tcW w:w="905" w:type="dxa"/>
            <w:gridSpan w:val="2"/>
            <w:tcBorders>
              <w:top w:val="nil"/>
              <w:left w:val="nil"/>
              <w:bottom w:val="nil"/>
              <w:right w:val="nil"/>
            </w:tcBorders>
            <w:shd w:val="clear" w:color="auto" w:fill="auto"/>
            <w:vAlign w:val="center"/>
          </w:tcPr>
          <w:p w14:paraId="072EAFD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33.6</w:t>
            </w:r>
          </w:p>
        </w:tc>
        <w:tc>
          <w:tcPr>
            <w:tcW w:w="745" w:type="dxa"/>
            <w:gridSpan w:val="3"/>
            <w:tcBorders>
              <w:top w:val="nil"/>
              <w:left w:val="nil"/>
              <w:bottom w:val="nil"/>
              <w:right w:val="nil"/>
            </w:tcBorders>
            <w:shd w:val="clear" w:color="auto" w:fill="auto"/>
            <w:vAlign w:val="center"/>
          </w:tcPr>
          <w:p w14:paraId="251D196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76.1</w:t>
            </w:r>
          </w:p>
        </w:tc>
        <w:tc>
          <w:tcPr>
            <w:tcW w:w="799" w:type="dxa"/>
            <w:gridSpan w:val="3"/>
            <w:tcBorders>
              <w:top w:val="nil"/>
              <w:left w:val="nil"/>
              <w:bottom w:val="nil"/>
              <w:right w:val="nil"/>
            </w:tcBorders>
            <w:shd w:val="clear" w:color="auto" w:fill="auto"/>
            <w:vAlign w:val="center"/>
          </w:tcPr>
          <w:p w14:paraId="6863A09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3191.5</w:t>
            </w:r>
          </w:p>
        </w:tc>
      </w:tr>
      <w:tr w:rsidR="00C03B92" w:rsidRPr="008A5C48" w14:paraId="7C14F89B"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414E5F6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MiBP</w:t>
            </w:r>
            <w:proofErr w:type="spellEnd"/>
          </w:p>
        </w:tc>
        <w:tc>
          <w:tcPr>
            <w:tcW w:w="634" w:type="dxa"/>
            <w:tcBorders>
              <w:top w:val="nil"/>
              <w:left w:val="nil"/>
              <w:bottom w:val="nil"/>
              <w:right w:val="nil"/>
            </w:tcBorders>
            <w:shd w:val="clear" w:color="auto" w:fill="auto"/>
            <w:vAlign w:val="center"/>
          </w:tcPr>
          <w:p w14:paraId="76AFB1A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4D4085A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3F5433E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bottom w:val="nil"/>
              <w:right w:val="nil"/>
            </w:tcBorders>
            <w:shd w:val="clear" w:color="auto" w:fill="auto"/>
            <w:vAlign w:val="center"/>
          </w:tcPr>
          <w:p w14:paraId="1C5815C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99.90%</w:t>
            </w:r>
          </w:p>
        </w:tc>
        <w:tc>
          <w:tcPr>
            <w:tcW w:w="796" w:type="dxa"/>
            <w:gridSpan w:val="2"/>
            <w:tcBorders>
              <w:top w:val="nil"/>
              <w:left w:val="nil"/>
              <w:bottom w:val="nil"/>
              <w:right w:val="nil"/>
            </w:tcBorders>
            <w:shd w:val="clear" w:color="auto" w:fill="auto"/>
            <w:vAlign w:val="center"/>
          </w:tcPr>
          <w:p w14:paraId="7A47A27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w:t>
            </w:r>
          </w:p>
        </w:tc>
        <w:tc>
          <w:tcPr>
            <w:tcW w:w="696" w:type="dxa"/>
            <w:gridSpan w:val="2"/>
            <w:tcBorders>
              <w:top w:val="nil"/>
              <w:left w:val="nil"/>
              <w:bottom w:val="nil"/>
              <w:right w:val="nil"/>
            </w:tcBorders>
            <w:shd w:val="clear" w:color="auto" w:fill="auto"/>
            <w:vAlign w:val="center"/>
          </w:tcPr>
          <w:p w14:paraId="292FC9A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26</w:t>
            </w:r>
          </w:p>
        </w:tc>
        <w:tc>
          <w:tcPr>
            <w:tcW w:w="905" w:type="dxa"/>
            <w:gridSpan w:val="2"/>
            <w:tcBorders>
              <w:top w:val="nil"/>
              <w:left w:val="nil"/>
              <w:bottom w:val="nil"/>
              <w:right w:val="nil"/>
            </w:tcBorders>
            <w:shd w:val="clear" w:color="auto" w:fill="auto"/>
            <w:vAlign w:val="center"/>
          </w:tcPr>
          <w:p w14:paraId="2956F3A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41.6</w:t>
            </w:r>
          </w:p>
        </w:tc>
        <w:tc>
          <w:tcPr>
            <w:tcW w:w="745" w:type="dxa"/>
            <w:gridSpan w:val="3"/>
            <w:tcBorders>
              <w:top w:val="nil"/>
              <w:left w:val="nil"/>
              <w:bottom w:val="nil"/>
              <w:right w:val="nil"/>
            </w:tcBorders>
            <w:shd w:val="clear" w:color="auto" w:fill="auto"/>
            <w:vAlign w:val="center"/>
          </w:tcPr>
          <w:p w14:paraId="07CD9F5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73</w:t>
            </w:r>
          </w:p>
        </w:tc>
        <w:tc>
          <w:tcPr>
            <w:tcW w:w="799" w:type="dxa"/>
            <w:gridSpan w:val="3"/>
            <w:tcBorders>
              <w:top w:val="nil"/>
              <w:left w:val="nil"/>
              <w:bottom w:val="nil"/>
              <w:right w:val="nil"/>
            </w:tcBorders>
            <w:shd w:val="clear" w:color="auto" w:fill="auto"/>
            <w:vAlign w:val="center"/>
          </w:tcPr>
          <w:p w14:paraId="766782E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861.1</w:t>
            </w:r>
          </w:p>
        </w:tc>
      </w:tr>
      <w:tr w:rsidR="00C03B92" w:rsidRPr="008A5C48" w14:paraId="54E1B00D"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4B9250B6"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MnBP</w:t>
            </w:r>
            <w:proofErr w:type="spellEnd"/>
          </w:p>
        </w:tc>
        <w:tc>
          <w:tcPr>
            <w:tcW w:w="634" w:type="dxa"/>
            <w:tcBorders>
              <w:top w:val="nil"/>
              <w:left w:val="nil"/>
              <w:bottom w:val="nil"/>
              <w:right w:val="nil"/>
            </w:tcBorders>
            <w:shd w:val="clear" w:color="auto" w:fill="auto"/>
            <w:vAlign w:val="center"/>
          </w:tcPr>
          <w:p w14:paraId="472F407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7AC7FF3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6597152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bottom w:val="nil"/>
              <w:right w:val="nil"/>
            </w:tcBorders>
            <w:shd w:val="clear" w:color="auto" w:fill="auto"/>
            <w:vAlign w:val="center"/>
          </w:tcPr>
          <w:p w14:paraId="7014801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5D81FDC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2.1</w:t>
            </w:r>
          </w:p>
        </w:tc>
        <w:tc>
          <w:tcPr>
            <w:tcW w:w="696" w:type="dxa"/>
            <w:gridSpan w:val="2"/>
            <w:tcBorders>
              <w:top w:val="nil"/>
              <w:left w:val="nil"/>
              <w:bottom w:val="nil"/>
              <w:right w:val="nil"/>
            </w:tcBorders>
            <w:shd w:val="clear" w:color="auto" w:fill="auto"/>
            <w:vAlign w:val="center"/>
          </w:tcPr>
          <w:p w14:paraId="5EF1302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15.3</w:t>
            </w:r>
          </w:p>
        </w:tc>
        <w:tc>
          <w:tcPr>
            <w:tcW w:w="905" w:type="dxa"/>
            <w:gridSpan w:val="2"/>
            <w:tcBorders>
              <w:top w:val="nil"/>
              <w:left w:val="nil"/>
              <w:bottom w:val="nil"/>
              <w:right w:val="nil"/>
            </w:tcBorders>
            <w:shd w:val="clear" w:color="auto" w:fill="auto"/>
            <w:vAlign w:val="center"/>
          </w:tcPr>
          <w:p w14:paraId="65D0395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23.9</w:t>
            </w:r>
          </w:p>
        </w:tc>
        <w:tc>
          <w:tcPr>
            <w:tcW w:w="745" w:type="dxa"/>
            <w:gridSpan w:val="3"/>
            <w:tcBorders>
              <w:top w:val="nil"/>
              <w:left w:val="nil"/>
              <w:bottom w:val="nil"/>
              <w:right w:val="nil"/>
            </w:tcBorders>
            <w:shd w:val="clear" w:color="auto" w:fill="auto"/>
            <w:vAlign w:val="center"/>
          </w:tcPr>
          <w:p w14:paraId="003529F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38.3</w:t>
            </w:r>
          </w:p>
        </w:tc>
        <w:tc>
          <w:tcPr>
            <w:tcW w:w="799" w:type="dxa"/>
            <w:gridSpan w:val="3"/>
            <w:tcBorders>
              <w:top w:val="nil"/>
              <w:left w:val="nil"/>
              <w:bottom w:val="nil"/>
              <w:right w:val="nil"/>
            </w:tcBorders>
            <w:shd w:val="clear" w:color="auto" w:fill="auto"/>
            <w:vAlign w:val="center"/>
          </w:tcPr>
          <w:p w14:paraId="129763F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487.8</w:t>
            </w:r>
          </w:p>
        </w:tc>
      </w:tr>
      <w:tr w:rsidR="00C03B92" w:rsidRPr="008A5C48" w14:paraId="69C3D57A"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712BBDF7"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Oh-MINP</w:t>
            </w:r>
          </w:p>
        </w:tc>
        <w:tc>
          <w:tcPr>
            <w:tcW w:w="634" w:type="dxa"/>
            <w:tcBorders>
              <w:top w:val="nil"/>
              <w:left w:val="nil"/>
              <w:bottom w:val="nil"/>
              <w:right w:val="nil"/>
            </w:tcBorders>
            <w:shd w:val="clear" w:color="auto" w:fill="auto"/>
            <w:vAlign w:val="center"/>
          </w:tcPr>
          <w:p w14:paraId="3623979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0E7AE38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1B76A46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bottom w:val="nil"/>
              <w:right w:val="nil"/>
            </w:tcBorders>
            <w:shd w:val="clear" w:color="auto" w:fill="auto"/>
            <w:vAlign w:val="center"/>
          </w:tcPr>
          <w:p w14:paraId="318EDE4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92.60%</w:t>
            </w:r>
          </w:p>
        </w:tc>
        <w:tc>
          <w:tcPr>
            <w:tcW w:w="796" w:type="dxa"/>
            <w:gridSpan w:val="2"/>
            <w:tcBorders>
              <w:top w:val="nil"/>
              <w:left w:val="nil"/>
              <w:bottom w:val="nil"/>
              <w:right w:val="nil"/>
            </w:tcBorders>
            <w:shd w:val="clear" w:color="auto" w:fill="auto"/>
            <w:vAlign w:val="center"/>
          </w:tcPr>
          <w:p w14:paraId="50F1830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0.6</w:t>
            </w:r>
          </w:p>
        </w:tc>
        <w:tc>
          <w:tcPr>
            <w:tcW w:w="696" w:type="dxa"/>
            <w:gridSpan w:val="2"/>
            <w:tcBorders>
              <w:top w:val="nil"/>
              <w:left w:val="nil"/>
              <w:bottom w:val="nil"/>
              <w:right w:val="nil"/>
            </w:tcBorders>
            <w:shd w:val="clear" w:color="auto" w:fill="auto"/>
            <w:vAlign w:val="center"/>
          </w:tcPr>
          <w:p w14:paraId="5C3DC4A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3.4</w:t>
            </w:r>
          </w:p>
        </w:tc>
        <w:tc>
          <w:tcPr>
            <w:tcW w:w="905" w:type="dxa"/>
            <w:gridSpan w:val="2"/>
            <w:tcBorders>
              <w:top w:val="nil"/>
              <w:left w:val="nil"/>
              <w:bottom w:val="nil"/>
              <w:right w:val="nil"/>
            </w:tcBorders>
            <w:shd w:val="clear" w:color="auto" w:fill="auto"/>
            <w:vAlign w:val="center"/>
          </w:tcPr>
          <w:p w14:paraId="48AEB56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5.4</w:t>
            </w:r>
          </w:p>
        </w:tc>
        <w:tc>
          <w:tcPr>
            <w:tcW w:w="745" w:type="dxa"/>
            <w:gridSpan w:val="3"/>
            <w:tcBorders>
              <w:top w:val="nil"/>
              <w:left w:val="nil"/>
              <w:bottom w:val="nil"/>
              <w:right w:val="nil"/>
            </w:tcBorders>
            <w:shd w:val="clear" w:color="auto" w:fill="auto"/>
            <w:vAlign w:val="center"/>
          </w:tcPr>
          <w:p w14:paraId="71711B3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9.2</w:t>
            </w:r>
          </w:p>
        </w:tc>
        <w:tc>
          <w:tcPr>
            <w:tcW w:w="799" w:type="dxa"/>
            <w:gridSpan w:val="3"/>
            <w:tcBorders>
              <w:top w:val="nil"/>
              <w:left w:val="nil"/>
              <w:bottom w:val="nil"/>
              <w:right w:val="nil"/>
            </w:tcBorders>
            <w:shd w:val="clear" w:color="auto" w:fill="auto"/>
            <w:vAlign w:val="center"/>
          </w:tcPr>
          <w:p w14:paraId="1B2EB43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548.7</w:t>
            </w:r>
          </w:p>
        </w:tc>
      </w:tr>
      <w:tr w:rsidR="00C03B92" w:rsidRPr="008A5C48" w14:paraId="08F5C230"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8E19811"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Oxo-MINP</w:t>
            </w:r>
          </w:p>
        </w:tc>
        <w:tc>
          <w:tcPr>
            <w:tcW w:w="634" w:type="dxa"/>
            <w:tcBorders>
              <w:top w:val="nil"/>
              <w:left w:val="nil"/>
              <w:bottom w:val="nil"/>
              <w:right w:val="nil"/>
            </w:tcBorders>
            <w:shd w:val="clear" w:color="auto" w:fill="auto"/>
            <w:vAlign w:val="center"/>
          </w:tcPr>
          <w:p w14:paraId="2193897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340E349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20033BF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bottom w:val="nil"/>
              <w:right w:val="nil"/>
            </w:tcBorders>
            <w:shd w:val="clear" w:color="auto" w:fill="auto"/>
            <w:vAlign w:val="center"/>
          </w:tcPr>
          <w:p w14:paraId="37209A1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95.70%</w:t>
            </w:r>
          </w:p>
        </w:tc>
        <w:tc>
          <w:tcPr>
            <w:tcW w:w="796" w:type="dxa"/>
            <w:gridSpan w:val="2"/>
            <w:tcBorders>
              <w:top w:val="nil"/>
              <w:left w:val="nil"/>
              <w:bottom w:val="nil"/>
              <w:right w:val="nil"/>
            </w:tcBorders>
            <w:shd w:val="clear" w:color="auto" w:fill="auto"/>
            <w:vAlign w:val="center"/>
          </w:tcPr>
          <w:p w14:paraId="78C568D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0.5</w:t>
            </w:r>
          </w:p>
        </w:tc>
        <w:tc>
          <w:tcPr>
            <w:tcW w:w="696" w:type="dxa"/>
            <w:gridSpan w:val="2"/>
            <w:tcBorders>
              <w:top w:val="nil"/>
              <w:left w:val="nil"/>
              <w:bottom w:val="nil"/>
              <w:right w:val="nil"/>
            </w:tcBorders>
            <w:shd w:val="clear" w:color="auto" w:fill="auto"/>
            <w:vAlign w:val="center"/>
          </w:tcPr>
          <w:p w14:paraId="4854925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w:t>
            </w:r>
          </w:p>
        </w:tc>
        <w:tc>
          <w:tcPr>
            <w:tcW w:w="905" w:type="dxa"/>
            <w:gridSpan w:val="2"/>
            <w:tcBorders>
              <w:top w:val="nil"/>
              <w:left w:val="nil"/>
              <w:bottom w:val="nil"/>
              <w:right w:val="nil"/>
            </w:tcBorders>
            <w:shd w:val="clear" w:color="auto" w:fill="auto"/>
            <w:vAlign w:val="center"/>
          </w:tcPr>
          <w:p w14:paraId="6F7F0C5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w:t>
            </w:r>
          </w:p>
        </w:tc>
        <w:tc>
          <w:tcPr>
            <w:tcW w:w="745" w:type="dxa"/>
            <w:gridSpan w:val="3"/>
            <w:tcBorders>
              <w:top w:val="nil"/>
              <w:left w:val="nil"/>
              <w:bottom w:val="nil"/>
              <w:right w:val="nil"/>
            </w:tcBorders>
            <w:shd w:val="clear" w:color="auto" w:fill="auto"/>
            <w:vAlign w:val="center"/>
          </w:tcPr>
          <w:p w14:paraId="78084AC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4.9</w:t>
            </w:r>
          </w:p>
        </w:tc>
        <w:tc>
          <w:tcPr>
            <w:tcW w:w="799" w:type="dxa"/>
            <w:gridSpan w:val="3"/>
            <w:tcBorders>
              <w:top w:val="nil"/>
              <w:left w:val="nil"/>
              <w:bottom w:val="nil"/>
              <w:right w:val="nil"/>
            </w:tcBorders>
            <w:shd w:val="clear" w:color="auto" w:fill="auto"/>
            <w:vAlign w:val="center"/>
          </w:tcPr>
          <w:p w14:paraId="712A907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680.3</w:t>
            </w:r>
          </w:p>
        </w:tc>
      </w:tr>
      <w:tr w:rsidR="00C03B92" w:rsidRPr="008A5C48" w14:paraId="029C14DE"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57275685"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MBzP</w:t>
            </w:r>
            <w:proofErr w:type="spellEnd"/>
          </w:p>
        </w:tc>
        <w:tc>
          <w:tcPr>
            <w:tcW w:w="634" w:type="dxa"/>
            <w:tcBorders>
              <w:top w:val="nil"/>
              <w:left w:val="nil"/>
              <w:bottom w:val="nil"/>
              <w:right w:val="nil"/>
            </w:tcBorders>
            <w:shd w:val="clear" w:color="auto" w:fill="auto"/>
            <w:vAlign w:val="center"/>
          </w:tcPr>
          <w:p w14:paraId="1B2F172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789880D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0D93CF7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1088 (83.6%)</w:t>
            </w:r>
          </w:p>
        </w:tc>
        <w:tc>
          <w:tcPr>
            <w:tcW w:w="1486" w:type="dxa"/>
            <w:gridSpan w:val="2"/>
            <w:tcBorders>
              <w:top w:val="nil"/>
              <w:left w:val="nil"/>
              <w:bottom w:val="nil"/>
              <w:right w:val="nil"/>
            </w:tcBorders>
            <w:shd w:val="clear" w:color="auto" w:fill="auto"/>
            <w:vAlign w:val="center"/>
          </w:tcPr>
          <w:p w14:paraId="7A8AB86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99.90%</w:t>
            </w:r>
          </w:p>
        </w:tc>
        <w:tc>
          <w:tcPr>
            <w:tcW w:w="796" w:type="dxa"/>
            <w:gridSpan w:val="2"/>
            <w:tcBorders>
              <w:top w:val="nil"/>
              <w:left w:val="nil"/>
              <w:bottom w:val="nil"/>
              <w:right w:val="nil"/>
            </w:tcBorders>
            <w:shd w:val="clear" w:color="auto" w:fill="auto"/>
            <w:vAlign w:val="center"/>
          </w:tcPr>
          <w:p w14:paraId="36D1661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3.9</w:t>
            </w:r>
          </w:p>
        </w:tc>
        <w:tc>
          <w:tcPr>
            <w:tcW w:w="696" w:type="dxa"/>
            <w:gridSpan w:val="2"/>
            <w:tcBorders>
              <w:top w:val="nil"/>
              <w:left w:val="nil"/>
              <w:bottom w:val="nil"/>
              <w:right w:val="nil"/>
            </w:tcBorders>
            <w:shd w:val="clear" w:color="auto" w:fill="auto"/>
            <w:vAlign w:val="center"/>
          </w:tcPr>
          <w:p w14:paraId="1A475BF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7.3</w:t>
            </w:r>
          </w:p>
        </w:tc>
        <w:tc>
          <w:tcPr>
            <w:tcW w:w="905" w:type="dxa"/>
            <w:gridSpan w:val="2"/>
            <w:tcBorders>
              <w:top w:val="nil"/>
              <w:left w:val="nil"/>
              <w:bottom w:val="nil"/>
              <w:right w:val="nil"/>
            </w:tcBorders>
            <w:shd w:val="clear" w:color="auto" w:fill="auto"/>
            <w:vAlign w:val="center"/>
          </w:tcPr>
          <w:p w14:paraId="3E9F44F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10.9</w:t>
            </w:r>
          </w:p>
        </w:tc>
        <w:tc>
          <w:tcPr>
            <w:tcW w:w="745" w:type="dxa"/>
            <w:gridSpan w:val="3"/>
            <w:tcBorders>
              <w:top w:val="nil"/>
              <w:left w:val="nil"/>
              <w:bottom w:val="nil"/>
              <w:right w:val="nil"/>
            </w:tcBorders>
            <w:shd w:val="clear" w:color="auto" w:fill="auto"/>
            <w:vAlign w:val="center"/>
          </w:tcPr>
          <w:p w14:paraId="7F25300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18.9</w:t>
            </w:r>
          </w:p>
        </w:tc>
        <w:tc>
          <w:tcPr>
            <w:tcW w:w="799" w:type="dxa"/>
            <w:gridSpan w:val="3"/>
            <w:tcBorders>
              <w:top w:val="nil"/>
              <w:left w:val="nil"/>
              <w:bottom w:val="nil"/>
              <w:right w:val="nil"/>
            </w:tcBorders>
            <w:shd w:val="clear" w:color="auto" w:fill="auto"/>
            <w:vAlign w:val="center"/>
          </w:tcPr>
          <w:p w14:paraId="50AFC81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781.4</w:t>
            </w:r>
          </w:p>
        </w:tc>
      </w:tr>
      <w:tr w:rsidR="00C03B92" w:rsidRPr="008A5C48" w14:paraId="477718B8"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8D93B73"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MECPP</w:t>
            </w:r>
          </w:p>
        </w:tc>
        <w:tc>
          <w:tcPr>
            <w:tcW w:w="634" w:type="dxa"/>
            <w:tcBorders>
              <w:top w:val="nil"/>
              <w:left w:val="nil"/>
              <w:bottom w:val="nil"/>
              <w:right w:val="nil"/>
            </w:tcBorders>
            <w:shd w:val="clear" w:color="auto" w:fill="auto"/>
            <w:vAlign w:val="center"/>
          </w:tcPr>
          <w:p w14:paraId="00CA8A7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752EBFF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1D880EB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913 (70.2%)</w:t>
            </w:r>
          </w:p>
        </w:tc>
        <w:tc>
          <w:tcPr>
            <w:tcW w:w="1486" w:type="dxa"/>
            <w:gridSpan w:val="2"/>
            <w:tcBorders>
              <w:top w:val="nil"/>
              <w:left w:val="nil"/>
              <w:bottom w:val="nil"/>
              <w:right w:val="nil"/>
            </w:tcBorders>
            <w:shd w:val="clear" w:color="auto" w:fill="auto"/>
            <w:vAlign w:val="center"/>
          </w:tcPr>
          <w:p w14:paraId="07A8BA7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99.90%</w:t>
            </w:r>
          </w:p>
        </w:tc>
        <w:tc>
          <w:tcPr>
            <w:tcW w:w="796" w:type="dxa"/>
            <w:gridSpan w:val="2"/>
            <w:tcBorders>
              <w:top w:val="nil"/>
              <w:left w:val="nil"/>
              <w:bottom w:val="nil"/>
              <w:right w:val="nil"/>
            </w:tcBorders>
            <w:shd w:val="clear" w:color="auto" w:fill="auto"/>
            <w:vAlign w:val="center"/>
          </w:tcPr>
          <w:p w14:paraId="6F069EC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27.9</w:t>
            </w:r>
          </w:p>
        </w:tc>
        <w:tc>
          <w:tcPr>
            <w:tcW w:w="696" w:type="dxa"/>
            <w:gridSpan w:val="2"/>
            <w:tcBorders>
              <w:top w:val="nil"/>
              <w:left w:val="nil"/>
              <w:bottom w:val="nil"/>
              <w:right w:val="nil"/>
            </w:tcBorders>
            <w:shd w:val="clear" w:color="auto" w:fill="auto"/>
            <w:vAlign w:val="center"/>
          </w:tcPr>
          <w:p w14:paraId="6C071F6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44.9</w:t>
            </w:r>
          </w:p>
        </w:tc>
        <w:tc>
          <w:tcPr>
            <w:tcW w:w="905" w:type="dxa"/>
            <w:gridSpan w:val="2"/>
            <w:tcBorders>
              <w:top w:val="nil"/>
              <w:left w:val="nil"/>
              <w:bottom w:val="nil"/>
              <w:right w:val="nil"/>
            </w:tcBorders>
            <w:shd w:val="clear" w:color="auto" w:fill="auto"/>
            <w:vAlign w:val="center"/>
          </w:tcPr>
          <w:p w14:paraId="684D634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56.1</w:t>
            </w:r>
          </w:p>
        </w:tc>
        <w:tc>
          <w:tcPr>
            <w:tcW w:w="745" w:type="dxa"/>
            <w:gridSpan w:val="3"/>
            <w:tcBorders>
              <w:top w:val="nil"/>
              <w:left w:val="nil"/>
              <w:bottom w:val="nil"/>
              <w:right w:val="nil"/>
            </w:tcBorders>
            <w:shd w:val="clear" w:color="auto" w:fill="auto"/>
            <w:vAlign w:val="center"/>
          </w:tcPr>
          <w:p w14:paraId="7BE75E8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74.5</w:t>
            </w:r>
          </w:p>
        </w:tc>
        <w:tc>
          <w:tcPr>
            <w:tcW w:w="799" w:type="dxa"/>
            <w:gridSpan w:val="3"/>
            <w:tcBorders>
              <w:top w:val="nil"/>
              <w:left w:val="nil"/>
              <w:bottom w:val="nil"/>
              <w:right w:val="nil"/>
            </w:tcBorders>
            <w:shd w:val="clear" w:color="auto" w:fill="auto"/>
            <w:vAlign w:val="center"/>
          </w:tcPr>
          <w:p w14:paraId="762368C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1379.6</w:t>
            </w:r>
          </w:p>
        </w:tc>
      </w:tr>
      <w:tr w:rsidR="00C03B92" w:rsidRPr="008A5C48" w14:paraId="68198120"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EFC2BE0"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MEHHP</w:t>
            </w:r>
          </w:p>
        </w:tc>
        <w:tc>
          <w:tcPr>
            <w:tcW w:w="634" w:type="dxa"/>
            <w:tcBorders>
              <w:top w:val="nil"/>
              <w:left w:val="nil"/>
              <w:bottom w:val="nil"/>
              <w:right w:val="nil"/>
            </w:tcBorders>
            <w:shd w:val="clear" w:color="auto" w:fill="auto"/>
            <w:vAlign w:val="center"/>
          </w:tcPr>
          <w:p w14:paraId="6B2C12D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14DB42C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3A9DBE8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1089 (83.7%)</w:t>
            </w:r>
          </w:p>
        </w:tc>
        <w:tc>
          <w:tcPr>
            <w:tcW w:w="1486" w:type="dxa"/>
            <w:gridSpan w:val="2"/>
            <w:tcBorders>
              <w:top w:val="nil"/>
              <w:left w:val="nil"/>
              <w:bottom w:val="nil"/>
              <w:right w:val="nil"/>
            </w:tcBorders>
            <w:shd w:val="clear" w:color="auto" w:fill="auto"/>
            <w:vAlign w:val="center"/>
          </w:tcPr>
          <w:p w14:paraId="50A44DD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99.80%</w:t>
            </w:r>
          </w:p>
        </w:tc>
        <w:tc>
          <w:tcPr>
            <w:tcW w:w="796" w:type="dxa"/>
            <w:gridSpan w:val="2"/>
            <w:tcBorders>
              <w:top w:val="nil"/>
              <w:left w:val="nil"/>
              <w:bottom w:val="nil"/>
              <w:right w:val="nil"/>
            </w:tcBorders>
            <w:shd w:val="clear" w:color="auto" w:fill="auto"/>
            <w:vAlign w:val="center"/>
          </w:tcPr>
          <w:p w14:paraId="4A4BEFE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11.2</w:t>
            </w:r>
          </w:p>
        </w:tc>
        <w:tc>
          <w:tcPr>
            <w:tcW w:w="696" w:type="dxa"/>
            <w:gridSpan w:val="2"/>
            <w:tcBorders>
              <w:top w:val="nil"/>
              <w:left w:val="nil"/>
              <w:bottom w:val="nil"/>
              <w:right w:val="nil"/>
            </w:tcBorders>
            <w:shd w:val="clear" w:color="auto" w:fill="auto"/>
            <w:vAlign w:val="center"/>
          </w:tcPr>
          <w:p w14:paraId="5E402C5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21.1</w:t>
            </w:r>
          </w:p>
        </w:tc>
        <w:tc>
          <w:tcPr>
            <w:tcW w:w="905" w:type="dxa"/>
            <w:gridSpan w:val="2"/>
            <w:tcBorders>
              <w:top w:val="nil"/>
              <w:left w:val="nil"/>
              <w:bottom w:val="nil"/>
              <w:right w:val="nil"/>
            </w:tcBorders>
            <w:shd w:val="clear" w:color="auto" w:fill="auto"/>
            <w:vAlign w:val="center"/>
          </w:tcPr>
          <w:p w14:paraId="5EF2E0B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28.6</w:t>
            </w:r>
          </w:p>
        </w:tc>
        <w:tc>
          <w:tcPr>
            <w:tcW w:w="745" w:type="dxa"/>
            <w:gridSpan w:val="3"/>
            <w:tcBorders>
              <w:top w:val="nil"/>
              <w:left w:val="nil"/>
              <w:bottom w:val="nil"/>
              <w:right w:val="nil"/>
            </w:tcBorders>
            <w:shd w:val="clear" w:color="auto" w:fill="auto"/>
            <w:vAlign w:val="center"/>
          </w:tcPr>
          <w:p w14:paraId="26A4EDF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41.6</w:t>
            </w:r>
          </w:p>
        </w:tc>
        <w:tc>
          <w:tcPr>
            <w:tcW w:w="799" w:type="dxa"/>
            <w:gridSpan w:val="3"/>
            <w:tcBorders>
              <w:top w:val="nil"/>
              <w:left w:val="nil"/>
              <w:bottom w:val="nil"/>
              <w:right w:val="nil"/>
            </w:tcBorders>
            <w:shd w:val="clear" w:color="auto" w:fill="auto"/>
            <w:vAlign w:val="center"/>
          </w:tcPr>
          <w:p w14:paraId="204A93E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975.5</w:t>
            </w:r>
          </w:p>
        </w:tc>
      </w:tr>
      <w:tr w:rsidR="00C03B92" w:rsidRPr="008A5C48" w14:paraId="1C1C61EA"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57B91E6"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MEHP</w:t>
            </w:r>
          </w:p>
        </w:tc>
        <w:tc>
          <w:tcPr>
            <w:tcW w:w="634" w:type="dxa"/>
            <w:tcBorders>
              <w:top w:val="nil"/>
              <w:left w:val="nil"/>
              <w:bottom w:val="nil"/>
              <w:right w:val="nil"/>
            </w:tcBorders>
            <w:shd w:val="clear" w:color="auto" w:fill="auto"/>
            <w:vAlign w:val="center"/>
          </w:tcPr>
          <w:p w14:paraId="6099064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69920CC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230149B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1085 (83.4%)</w:t>
            </w:r>
          </w:p>
        </w:tc>
        <w:tc>
          <w:tcPr>
            <w:tcW w:w="1486" w:type="dxa"/>
            <w:gridSpan w:val="2"/>
            <w:tcBorders>
              <w:top w:val="nil"/>
              <w:left w:val="nil"/>
              <w:bottom w:val="nil"/>
              <w:right w:val="nil"/>
            </w:tcBorders>
            <w:shd w:val="clear" w:color="auto" w:fill="auto"/>
            <w:vAlign w:val="center"/>
          </w:tcPr>
          <w:p w14:paraId="037500D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96.80%</w:t>
            </w:r>
          </w:p>
        </w:tc>
        <w:tc>
          <w:tcPr>
            <w:tcW w:w="796" w:type="dxa"/>
            <w:gridSpan w:val="2"/>
            <w:tcBorders>
              <w:top w:val="nil"/>
              <w:left w:val="nil"/>
              <w:bottom w:val="nil"/>
              <w:right w:val="nil"/>
            </w:tcBorders>
            <w:shd w:val="clear" w:color="auto" w:fill="auto"/>
            <w:vAlign w:val="center"/>
          </w:tcPr>
          <w:p w14:paraId="3AAEF7E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4.8</w:t>
            </w:r>
          </w:p>
        </w:tc>
        <w:tc>
          <w:tcPr>
            <w:tcW w:w="696" w:type="dxa"/>
            <w:gridSpan w:val="2"/>
            <w:tcBorders>
              <w:top w:val="nil"/>
              <w:left w:val="nil"/>
              <w:bottom w:val="nil"/>
              <w:right w:val="nil"/>
            </w:tcBorders>
            <w:shd w:val="clear" w:color="auto" w:fill="auto"/>
            <w:vAlign w:val="center"/>
          </w:tcPr>
          <w:p w14:paraId="656915A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8.9</w:t>
            </w:r>
          </w:p>
        </w:tc>
        <w:tc>
          <w:tcPr>
            <w:tcW w:w="905" w:type="dxa"/>
            <w:gridSpan w:val="2"/>
            <w:tcBorders>
              <w:top w:val="nil"/>
              <w:left w:val="nil"/>
              <w:bottom w:val="nil"/>
              <w:right w:val="nil"/>
            </w:tcBorders>
            <w:shd w:val="clear" w:color="auto" w:fill="auto"/>
            <w:vAlign w:val="center"/>
          </w:tcPr>
          <w:p w14:paraId="0B71C05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13.2</w:t>
            </w:r>
          </w:p>
        </w:tc>
        <w:tc>
          <w:tcPr>
            <w:tcW w:w="745" w:type="dxa"/>
            <w:gridSpan w:val="3"/>
            <w:tcBorders>
              <w:top w:val="nil"/>
              <w:left w:val="nil"/>
              <w:bottom w:val="nil"/>
              <w:right w:val="nil"/>
            </w:tcBorders>
            <w:shd w:val="clear" w:color="auto" w:fill="auto"/>
            <w:vAlign w:val="center"/>
          </w:tcPr>
          <w:p w14:paraId="25EC239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19.7</w:t>
            </w:r>
          </w:p>
        </w:tc>
        <w:tc>
          <w:tcPr>
            <w:tcW w:w="799" w:type="dxa"/>
            <w:gridSpan w:val="3"/>
            <w:tcBorders>
              <w:top w:val="nil"/>
              <w:left w:val="nil"/>
              <w:bottom w:val="nil"/>
              <w:right w:val="nil"/>
            </w:tcBorders>
            <w:shd w:val="clear" w:color="auto" w:fill="auto"/>
            <w:vAlign w:val="center"/>
          </w:tcPr>
          <w:p w14:paraId="6F1F3AB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421.7</w:t>
            </w:r>
          </w:p>
        </w:tc>
      </w:tr>
      <w:tr w:rsidR="00C03B92" w:rsidRPr="008A5C48" w14:paraId="6144DC25"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07E502FC"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MEOHP</w:t>
            </w:r>
          </w:p>
        </w:tc>
        <w:tc>
          <w:tcPr>
            <w:tcW w:w="634" w:type="dxa"/>
            <w:tcBorders>
              <w:top w:val="nil"/>
              <w:left w:val="nil"/>
              <w:bottom w:val="nil"/>
              <w:right w:val="nil"/>
            </w:tcBorders>
            <w:shd w:val="clear" w:color="auto" w:fill="auto"/>
            <w:vAlign w:val="center"/>
          </w:tcPr>
          <w:p w14:paraId="77B0412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3FBF890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31F9672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1089 (83.7%)</w:t>
            </w:r>
          </w:p>
        </w:tc>
        <w:tc>
          <w:tcPr>
            <w:tcW w:w="1486" w:type="dxa"/>
            <w:gridSpan w:val="2"/>
            <w:tcBorders>
              <w:top w:val="nil"/>
              <w:left w:val="nil"/>
              <w:bottom w:val="nil"/>
              <w:right w:val="nil"/>
            </w:tcBorders>
            <w:shd w:val="clear" w:color="auto" w:fill="auto"/>
            <w:vAlign w:val="center"/>
          </w:tcPr>
          <w:p w14:paraId="47F71C2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99.90%</w:t>
            </w:r>
          </w:p>
        </w:tc>
        <w:tc>
          <w:tcPr>
            <w:tcW w:w="796" w:type="dxa"/>
            <w:gridSpan w:val="2"/>
            <w:tcBorders>
              <w:top w:val="nil"/>
              <w:left w:val="nil"/>
              <w:bottom w:val="nil"/>
              <w:right w:val="nil"/>
            </w:tcBorders>
            <w:shd w:val="clear" w:color="auto" w:fill="auto"/>
            <w:vAlign w:val="center"/>
          </w:tcPr>
          <w:p w14:paraId="6E0108D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8.9</w:t>
            </w:r>
          </w:p>
        </w:tc>
        <w:tc>
          <w:tcPr>
            <w:tcW w:w="696" w:type="dxa"/>
            <w:gridSpan w:val="2"/>
            <w:tcBorders>
              <w:top w:val="nil"/>
              <w:left w:val="nil"/>
              <w:bottom w:val="nil"/>
              <w:right w:val="nil"/>
            </w:tcBorders>
            <w:shd w:val="clear" w:color="auto" w:fill="auto"/>
            <w:vAlign w:val="center"/>
          </w:tcPr>
          <w:p w14:paraId="38BC40A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16.6</w:t>
            </w:r>
          </w:p>
        </w:tc>
        <w:tc>
          <w:tcPr>
            <w:tcW w:w="905" w:type="dxa"/>
            <w:gridSpan w:val="2"/>
            <w:tcBorders>
              <w:top w:val="nil"/>
              <w:left w:val="nil"/>
              <w:bottom w:val="nil"/>
              <w:right w:val="nil"/>
            </w:tcBorders>
            <w:shd w:val="clear" w:color="auto" w:fill="auto"/>
            <w:vAlign w:val="center"/>
          </w:tcPr>
          <w:p w14:paraId="2908EA8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22.3</w:t>
            </w:r>
          </w:p>
        </w:tc>
        <w:tc>
          <w:tcPr>
            <w:tcW w:w="745" w:type="dxa"/>
            <w:gridSpan w:val="3"/>
            <w:tcBorders>
              <w:top w:val="nil"/>
              <w:left w:val="nil"/>
              <w:bottom w:val="nil"/>
              <w:right w:val="nil"/>
            </w:tcBorders>
            <w:shd w:val="clear" w:color="auto" w:fill="auto"/>
            <w:vAlign w:val="center"/>
          </w:tcPr>
          <w:p w14:paraId="561B4A0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32</w:t>
            </w:r>
          </w:p>
        </w:tc>
        <w:tc>
          <w:tcPr>
            <w:tcW w:w="799" w:type="dxa"/>
            <w:gridSpan w:val="3"/>
            <w:tcBorders>
              <w:top w:val="nil"/>
              <w:left w:val="nil"/>
              <w:bottom w:val="nil"/>
              <w:right w:val="nil"/>
            </w:tcBorders>
            <w:shd w:val="clear" w:color="auto" w:fill="auto"/>
            <w:vAlign w:val="center"/>
          </w:tcPr>
          <w:p w14:paraId="6FF33BA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792.4</w:t>
            </w:r>
          </w:p>
        </w:tc>
      </w:tr>
      <w:tr w:rsidR="00C03B92" w:rsidRPr="008A5C48" w14:paraId="61AF665C"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29BE6D28"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MEP</w:t>
            </w:r>
          </w:p>
        </w:tc>
        <w:tc>
          <w:tcPr>
            <w:tcW w:w="634" w:type="dxa"/>
            <w:tcBorders>
              <w:top w:val="nil"/>
              <w:left w:val="nil"/>
              <w:bottom w:val="nil"/>
              <w:right w:val="nil"/>
            </w:tcBorders>
            <w:shd w:val="clear" w:color="auto" w:fill="auto"/>
            <w:vAlign w:val="center"/>
          </w:tcPr>
          <w:p w14:paraId="096E58B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694E65B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7FA19D6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1080 (83%)</w:t>
            </w:r>
          </w:p>
        </w:tc>
        <w:tc>
          <w:tcPr>
            <w:tcW w:w="1486" w:type="dxa"/>
            <w:gridSpan w:val="2"/>
            <w:tcBorders>
              <w:top w:val="nil"/>
              <w:left w:val="nil"/>
              <w:bottom w:val="nil"/>
              <w:right w:val="nil"/>
            </w:tcBorders>
            <w:shd w:val="clear" w:color="auto" w:fill="auto"/>
            <w:vAlign w:val="center"/>
          </w:tcPr>
          <w:p w14:paraId="762197B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01C74DF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73</w:t>
            </w:r>
          </w:p>
        </w:tc>
        <w:tc>
          <w:tcPr>
            <w:tcW w:w="696" w:type="dxa"/>
            <w:gridSpan w:val="2"/>
            <w:tcBorders>
              <w:top w:val="nil"/>
              <w:left w:val="nil"/>
              <w:bottom w:val="nil"/>
              <w:right w:val="nil"/>
            </w:tcBorders>
            <w:shd w:val="clear" w:color="auto" w:fill="auto"/>
            <w:vAlign w:val="center"/>
          </w:tcPr>
          <w:p w14:paraId="560591A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145</w:t>
            </w:r>
          </w:p>
        </w:tc>
        <w:tc>
          <w:tcPr>
            <w:tcW w:w="905" w:type="dxa"/>
            <w:gridSpan w:val="2"/>
            <w:tcBorders>
              <w:top w:val="nil"/>
              <w:left w:val="nil"/>
              <w:bottom w:val="nil"/>
              <w:right w:val="nil"/>
            </w:tcBorders>
            <w:shd w:val="clear" w:color="auto" w:fill="auto"/>
            <w:vAlign w:val="center"/>
          </w:tcPr>
          <w:p w14:paraId="2EB2A17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250.7</w:t>
            </w:r>
          </w:p>
        </w:tc>
        <w:tc>
          <w:tcPr>
            <w:tcW w:w="745" w:type="dxa"/>
            <w:gridSpan w:val="3"/>
            <w:tcBorders>
              <w:top w:val="nil"/>
              <w:left w:val="nil"/>
              <w:bottom w:val="nil"/>
              <w:right w:val="nil"/>
            </w:tcBorders>
            <w:shd w:val="clear" w:color="auto" w:fill="auto"/>
            <w:vAlign w:val="center"/>
          </w:tcPr>
          <w:p w14:paraId="15E9609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541.2</w:t>
            </w:r>
          </w:p>
        </w:tc>
        <w:tc>
          <w:tcPr>
            <w:tcW w:w="799" w:type="dxa"/>
            <w:gridSpan w:val="3"/>
            <w:tcBorders>
              <w:top w:val="nil"/>
              <w:left w:val="nil"/>
              <w:bottom w:val="nil"/>
              <w:right w:val="nil"/>
            </w:tcBorders>
            <w:shd w:val="clear" w:color="auto" w:fill="auto"/>
            <w:vAlign w:val="center"/>
          </w:tcPr>
          <w:p w14:paraId="352B858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17805</w:t>
            </w:r>
          </w:p>
        </w:tc>
      </w:tr>
      <w:tr w:rsidR="00C03B92" w:rsidRPr="008A5C48" w14:paraId="1F2C13CF"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20F6C618"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MiBP</w:t>
            </w:r>
            <w:proofErr w:type="spellEnd"/>
          </w:p>
        </w:tc>
        <w:tc>
          <w:tcPr>
            <w:tcW w:w="634" w:type="dxa"/>
            <w:tcBorders>
              <w:top w:val="nil"/>
              <w:left w:val="nil"/>
              <w:bottom w:val="nil"/>
              <w:right w:val="nil"/>
            </w:tcBorders>
            <w:shd w:val="clear" w:color="auto" w:fill="auto"/>
            <w:vAlign w:val="center"/>
          </w:tcPr>
          <w:p w14:paraId="361A450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28D82F1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0893224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1088 (83.6%)</w:t>
            </w:r>
          </w:p>
        </w:tc>
        <w:tc>
          <w:tcPr>
            <w:tcW w:w="1486" w:type="dxa"/>
            <w:gridSpan w:val="2"/>
            <w:tcBorders>
              <w:top w:val="nil"/>
              <w:left w:val="nil"/>
              <w:bottom w:val="nil"/>
              <w:right w:val="nil"/>
            </w:tcBorders>
            <w:shd w:val="clear" w:color="auto" w:fill="auto"/>
            <w:vAlign w:val="center"/>
          </w:tcPr>
          <w:p w14:paraId="0F96DBF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2981EC0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25.3</w:t>
            </w:r>
          </w:p>
        </w:tc>
        <w:tc>
          <w:tcPr>
            <w:tcW w:w="696" w:type="dxa"/>
            <w:gridSpan w:val="2"/>
            <w:tcBorders>
              <w:top w:val="nil"/>
              <w:left w:val="nil"/>
              <w:bottom w:val="nil"/>
              <w:right w:val="nil"/>
            </w:tcBorders>
            <w:shd w:val="clear" w:color="auto" w:fill="auto"/>
            <w:vAlign w:val="center"/>
          </w:tcPr>
          <w:p w14:paraId="784872B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46.5</w:t>
            </w:r>
          </w:p>
        </w:tc>
        <w:tc>
          <w:tcPr>
            <w:tcW w:w="905" w:type="dxa"/>
            <w:gridSpan w:val="2"/>
            <w:tcBorders>
              <w:top w:val="nil"/>
              <w:left w:val="nil"/>
              <w:bottom w:val="nil"/>
              <w:right w:val="nil"/>
            </w:tcBorders>
            <w:shd w:val="clear" w:color="auto" w:fill="auto"/>
            <w:vAlign w:val="center"/>
          </w:tcPr>
          <w:p w14:paraId="0E662D8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61.8</w:t>
            </w:r>
          </w:p>
        </w:tc>
        <w:tc>
          <w:tcPr>
            <w:tcW w:w="745" w:type="dxa"/>
            <w:gridSpan w:val="3"/>
            <w:tcBorders>
              <w:top w:val="nil"/>
              <w:left w:val="nil"/>
              <w:bottom w:val="nil"/>
              <w:right w:val="nil"/>
            </w:tcBorders>
            <w:shd w:val="clear" w:color="auto" w:fill="auto"/>
            <w:vAlign w:val="center"/>
          </w:tcPr>
          <w:p w14:paraId="00ED538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83.9</w:t>
            </w:r>
          </w:p>
        </w:tc>
        <w:tc>
          <w:tcPr>
            <w:tcW w:w="799" w:type="dxa"/>
            <w:gridSpan w:val="3"/>
            <w:tcBorders>
              <w:top w:val="nil"/>
              <w:left w:val="nil"/>
              <w:bottom w:val="nil"/>
              <w:right w:val="nil"/>
            </w:tcBorders>
            <w:shd w:val="clear" w:color="auto" w:fill="auto"/>
            <w:vAlign w:val="center"/>
          </w:tcPr>
          <w:p w14:paraId="2BA9764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729.1</w:t>
            </w:r>
          </w:p>
        </w:tc>
      </w:tr>
      <w:tr w:rsidR="00C03B92" w:rsidRPr="008A5C48" w14:paraId="12B074C1"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7900B524"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MnBP</w:t>
            </w:r>
            <w:proofErr w:type="spellEnd"/>
          </w:p>
        </w:tc>
        <w:tc>
          <w:tcPr>
            <w:tcW w:w="634" w:type="dxa"/>
            <w:tcBorders>
              <w:top w:val="nil"/>
              <w:left w:val="nil"/>
              <w:bottom w:val="nil"/>
              <w:right w:val="nil"/>
            </w:tcBorders>
            <w:shd w:val="clear" w:color="auto" w:fill="auto"/>
            <w:vAlign w:val="center"/>
          </w:tcPr>
          <w:p w14:paraId="2B320C7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3A15267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587293E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1089 (83.7%)</w:t>
            </w:r>
          </w:p>
        </w:tc>
        <w:tc>
          <w:tcPr>
            <w:tcW w:w="1486" w:type="dxa"/>
            <w:gridSpan w:val="2"/>
            <w:tcBorders>
              <w:top w:val="nil"/>
              <w:left w:val="nil"/>
              <w:bottom w:val="nil"/>
              <w:right w:val="nil"/>
            </w:tcBorders>
            <w:shd w:val="clear" w:color="auto" w:fill="auto"/>
            <w:vAlign w:val="center"/>
          </w:tcPr>
          <w:p w14:paraId="3E9FEBF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182D2D2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18.9</w:t>
            </w:r>
          </w:p>
        </w:tc>
        <w:tc>
          <w:tcPr>
            <w:tcW w:w="696" w:type="dxa"/>
            <w:gridSpan w:val="2"/>
            <w:tcBorders>
              <w:top w:val="nil"/>
              <w:left w:val="nil"/>
              <w:bottom w:val="nil"/>
              <w:right w:val="nil"/>
            </w:tcBorders>
            <w:shd w:val="clear" w:color="auto" w:fill="auto"/>
            <w:vAlign w:val="center"/>
          </w:tcPr>
          <w:p w14:paraId="182A7F7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36.8</w:t>
            </w:r>
          </w:p>
        </w:tc>
        <w:tc>
          <w:tcPr>
            <w:tcW w:w="905" w:type="dxa"/>
            <w:gridSpan w:val="2"/>
            <w:tcBorders>
              <w:top w:val="nil"/>
              <w:left w:val="nil"/>
              <w:bottom w:val="nil"/>
              <w:right w:val="nil"/>
            </w:tcBorders>
            <w:shd w:val="clear" w:color="auto" w:fill="auto"/>
            <w:vAlign w:val="center"/>
          </w:tcPr>
          <w:p w14:paraId="3168146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47.8</w:t>
            </w:r>
          </w:p>
        </w:tc>
        <w:tc>
          <w:tcPr>
            <w:tcW w:w="745" w:type="dxa"/>
            <w:gridSpan w:val="3"/>
            <w:tcBorders>
              <w:top w:val="nil"/>
              <w:left w:val="nil"/>
              <w:bottom w:val="nil"/>
              <w:right w:val="nil"/>
            </w:tcBorders>
            <w:shd w:val="clear" w:color="auto" w:fill="auto"/>
            <w:vAlign w:val="center"/>
          </w:tcPr>
          <w:p w14:paraId="00E4758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65.8</w:t>
            </w:r>
          </w:p>
        </w:tc>
        <w:tc>
          <w:tcPr>
            <w:tcW w:w="799" w:type="dxa"/>
            <w:gridSpan w:val="3"/>
            <w:tcBorders>
              <w:top w:val="nil"/>
              <w:left w:val="nil"/>
              <w:bottom w:val="nil"/>
              <w:right w:val="nil"/>
            </w:tcBorders>
            <w:shd w:val="clear" w:color="auto" w:fill="auto"/>
            <w:vAlign w:val="center"/>
          </w:tcPr>
          <w:p w14:paraId="577DDDB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6472</w:t>
            </w:r>
          </w:p>
        </w:tc>
      </w:tr>
      <w:tr w:rsidR="00C03B92" w:rsidRPr="008A5C48" w14:paraId="4464D39E"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67BCDEF"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Oh-MINP</w:t>
            </w:r>
          </w:p>
        </w:tc>
        <w:tc>
          <w:tcPr>
            <w:tcW w:w="634" w:type="dxa"/>
            <w:tcBorders>
              <w:top w:val="nil"/>
              <w:left w:val="nil"/>
              <w:bottom w:val="nil"/>
              <w:right w:val="nil"/>
            </w:tcBorders>
            <w:shd w:val="clear" w:color="auto" w:fill="auto"/>
            <w:vAlign w:val="center"/>
          </w:tcPr>
          <w:p w14:paraId="2697F7A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2F05AE5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07FE418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914 (70.3%)</w:t>
            </w:r>
          </w:p>
        </w:tc>
        <w:tc>
          <w:tcPr>
            <w:tcW w:w="1486" w:type="dxa"/>
            <w:gridSpan w:val="2"/>
            <w:tcBorders>
              <w:top w:val="nil"/>
              <w:left w:val="nil"/>
              <w:bottom w:val="nil"/>
              <w:right w:val="nil"/>
            </w:tcBorders>
            <w:shd w:val="clear" w:color="auto" w:fill="auto"/>
            <w:vAlign w:val="center"/>
          </w:tcPr>
          <w:p w14:paraId="4024D6E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6054FCE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0.6</w:t>
            </w:r>
          </w:p>
        </w:tc>
        <w:tc>
          <w:tcPr>
            <w:tcW w:w="696" w:type="dxa"/>
            <w:gridSpan w:val="2"/>
            <w:tcBorders>
              <w:top w:val="nil"/>
              <w:left w:val="nil"/>
              <w:bottom w:val="nil"/>
              <w:right w:val="nil"/>
            </w:tcBorders>
            <w:shd w:val="clear" w:color="auto" w:fill="auto"/>
            <w:vAlign w:val="center"/>
          </w:tcPr>
          <w:p w14:paraId="3776674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w:t>
            </w:r>
          </w:p>
        </w:tc>
        <w:tc>
          <w:tcPr>
            <w:tcW w:w="905" w:type="dxa"/>
            <w:gridSpan w:val="2"/>
            <w:tcBorders>
              <w:top w:val="nil"/>
              <w:left w:val="nil"/>
              <w:bottom w:val="nil"/>
              <w:right w:val="nil"/>
            </w:tcBorders>
            <w:shd w:val="clear" w:color="auto" w:fill="auto"/>
            <w:vAlign w:val="center"/>
          </w:tcPr>
          <w:p w14:paraId="5466092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w:t>
            </w:r>
          </w:p>
        </w:tc>
        <w:tc>
          <w:tcPr>
            <w:tcW w:w="745" w:type="dxa"/>
            <w:gridSpan w:val="3"/>
            <w:tcBorders>
              <w:top w:val="nil"/>
              <w:left w:val="nil"/>
              <w:bottom w:val="nil"/>
              <w:right w:val="nil"/>
            </w:tcBorders>
            <w:shd w:val="clear" w:color="auto" w:fill="auto"/>
            <w:vAlign w:val="center"/>
          </w:tcPr>
          <w:p w14:paraId="697B0E7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2.1</w:t>
            </w:r>
          </w:p>
        </w:tc>
        <w:tc>
          <w:tcPr>
            <w:tcW w:w="799" w:type="dxa"/>
            <w:gridSpan w:val="3"/>
            <w:tcBorders>
              <w:top w:val="nil"/>
              <w:left w:val="nil"/>
              <w:bottom w:val="nil"/>
              <w:right w:val="nil"/>
            </w:tcBorders>
            <w:shd w:val="clear" w:color="auto" w:fill="auto"/>
            <w:vAlign w:val="center"/>
          </w:tcPr>
          <w:p w14:paraId="30E7B70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67.2</w:t>
            </w:r>
          </w:p>
        </w:tc>
      </w:tr>
      <w:tr w:rsidR="00C03B92" w:rsidRPr="008A5C48" w14:paraId="5099ECB9"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B1732F5"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Oxo-MINP</w:t>
            </w:r>
          </w:p>
        </w:tc>
        <w:tc>
          <w:tcPr>
            <w:tcW w:w="634" w:type="dxa"/>
            <w:tcBorders>
              <w:top w:val="nil"/>
              <w:left w:val="nil"/>
              <w:bottom w:val="nil"/>
              <w:right w:val="nil"/>
            </w:tcBorders>
            <w:shd w:val="clear" w:color="auto" w:fill="auto"/>
            <w:vAlign w:val="center"/>
          </w:tcPr>
          <w:p w14:paraId="740AC3A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5C01F2F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51D2678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914 (70.3%)</w:t>
            </w:r>
          </w:p>
        </w:tc>
        <w:tc>
          <w:tcPr>
            <w:tcW w:w="1486" w:type="dxa"/>
            <w:gridSpan w:val="2"/>
            <w:tcBorders>
              <w:top w:val="nil"/>
              <w:left w:val="nil"/>
              <w:bottom w:val="nil"/>
              <w:right w:val="nil"/>
            </w:tcBorders>
            <w:shd w:val="clear" w:color="auto" w:fill="auto"/>
            <w:vAlign w:val="center"/>
          </w:tcPr>
          <w:p w14:paraId="0FD9E38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34F9C0A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0.6</w:t>
            </w:r>
          </w:p>
        </w:tc>
        <w:tc>
          <w:tcPr>
            <w:tcW w:w="696" w:type="dxa"/>
            <w:gridSpan w:val="2"/>
            <w:tcBorders>
              <w:top w:val="nil"/>
              <w:left w:val="nil"/>
              <w:bottom w:val="nil"/>
              <w:right w:val="nil"/>
            </w:tcBorders>
            <w:shd w:val="clear" w:color="auto" w:fill="auto"/>
            <w:vAlign w:val="center"/>
          </w:tcPr>
          <w:p w14:paraId="6C618D8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w:t>
            </w:r>
          </w:p>
        </w:tc>
        <w:tc>
          <w:tcPr>
            <w:tcW w:w="905" w:type="dxa"/>
            <w:gridSpan w:val="2"/>
            <w:tcBorders>
              <w:top w:val="nil"/>
              <w:left w:val="nil"/>
              <w:bottom w:val="nil"/>
              <w:right w:val="nil"/>
            </w:tcBorders>
            <w:shd w:val="clear" w:color="auto" w:fill="auto"/>
            <w:vAlign w:val="center"/>
          </w:tcPr>
          <w:p w14:paraId="757E73D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w:t>
            </w:r>
          </w:p>
        </w:tc>
        <w:tc>
          <w:tcPr>
            <w:tcW w:w="745" w:type="dxa"/>
            <w:gridSpan w:val="3"/>
            <w:tcBorders>
              <w:top w:val="nil"/>
              <w:left w:val="nil"/>
              <w:bottom w:val="nil"/>
              <w:right w:val="nil"/>
            </w:tcBorders>
            <w:shd w:val="clear" w:color="auto" w:fill="auto"/>
            <w:vAlign w:val="center"/>
          </w:tcPr>
          <w:p w14:paraId="0F2EE13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2.4</w:t>
            </w:r>
          </w:p>
        </w:tc>
        <w:tc>
          <w:tcPr>
            <w:tcW w:w="799" w:type="dxa"/>
            <w:gridSpan w:val="3"/>
            <w:tcBorders>
              <w:top w:val="nil"/>
              <w:left w:val="nil"/>
              <w:bottom w:val="nil"/>
              <w:right w:val="nil"/>
            </w:tcBorders>
            <w:shd w:val="clear" w:color="auto" w:fill="auto"/>
            <w:vAlign w:val="center"/>
          </w:tcPr>
          <w:p w14:paraId="1481BF7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75.6</w:t>
            </w:r>
          </w:p>
        </w:tc>
      </w:tr>
      <w:tr w:rsidR="00C03B92" w:rsidRPr="008A5C48" w14:paraId="6C514282"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C1B6886"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c>
          <w:tcPr>
            <w:tcW w:w="634" w:type="dxa"/>
            <w:tcBorders>
              <w:top w:val="nil"/>
              <w:left w:val="nil"/>
              <w:bottom w:val="nil"/>
              <w:right w:val="nil"/>
            </w:tcBorders>
            <w:shd w:val="clear" w:color="auto" w:fill="auto"/>
            <w:vAlign w:val="center"/>
          </w:tcPr>
          <w:p w14:paraId="0285A51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111" w:type="dxa"/>
            <w:tcBorders>
              <w:top w:val="nil"/>
              <w:left w:val="nil"/>
              <w:bottom w:val="nil"/>
              <w:right w:val="nil"/>
            </w:tcBorders>
            <w:shd w:val="clear" w:color="auto" w:fill="auto"/>
            <w:vAlign w:val="center"/>
          </w:tcPr>
          <w:p w14:paraId="5C1A1C1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360" w:type="dxa"/>
            <w:tcBorders>
              <w:top w:val="nil"/>
              <w:left w:val="nil"/>
              <w:bottom w:val="nil"/>
              <w:right w:val="nil"/>
            </w:tcBorders>
            <w:shd w:val="clear" w:color="auto" w:fill="auto"/>
            <w:vAlign w:val="center"/>
          </w:tcPr>
          <w:p w14:paraId="70B5ABC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486" w:type="dxa"/>
            <w:gridSpan w:val="2"/>
            <w:tcBorders>
              <w:top w:val="nil"/>
              <w:left w:val="nil"/>
              <w:bottom w:val="nil"/>
              <w:right w:val="nil"/>
            </w:tcBorders>
            <w:shd w:val="clear" w:color="auto" w:fill="auto"/>
            <w:vAlign w:val="center"/>
          </w:tcPr>
          <w:p w14:paraId="048BCBF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6" w:type="dxa"/>
            <w:gridSpan w:val="2"/>
            <w:tcBorders>
              <w:top w:val="nil"/>
              <w:left w:val="nil"/>
              <w:bottom w:val="nil"/>
              <w:right w:val="nil"/>
            </w:tcBorders>
            <w:shd w:val="clear" w:color="auto" w:fill="auto"/>
            <w:vAlign w:val="center"/>
          </w:tcPr>
          <w:p w14:paraId="021C47C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696" w:type="dxa"/>
            <w:gridSpan w:val="2"/>
            <w:tcBorders>
              <w:top w:val="nil"/>
              <w:left w:val="nil"/>
              <w:bottom w:val="nil"/>
              <w:right w:val="nil"/>
            </w:tcBorders>
            <w:shd w:val="clear" w:color="auto" w:fill="auto"/>
            <w:vAlign w:val="center"/>
          </w:tcPr>
          <w:p w14:paraId="11F9711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905" w:type="dxa"/>
            <w:gridSpan w:val="2"/>
            <w:tcBorders>
              <w:top w:val="nil"/>
              <w:left w:val="nil"/>
              <w:bottom w:val="nil"/>
              <w:right w:val="nil"/>
            </w:tcBorders>
            <w:shd w:val="clear" w:color="auto" w:fill="auto"/>
            <w:vAlign w:val="center"/>
          </w:tcPr>
          <w:p w14:paraId="2975094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45" w:type="dxa"/>
            <w:gridSpan w:val="3"/>
            <w:tcBorders>
              <w:top w:val="nil"/>
              <w:left w:val="nil"/>
              <w:bottom w:val="nil"/>
              <w:right w:val="nil"/>
            </w:tcBorders>
            <w:shd w:val="clear" w:color="auto" w:fill="auto"/>
            <w:vAlign w:val="center"/>
          </w:tcPr>
          <w:p w14:paraId="09F1CBE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9" w:type="dxa"/>
            <w:gridSpan w:val="3"/>
            <w:tcBorders>
              <w:top w:val="nil"/>
              <w:left w:val="nil"/>
              <w:bottom w:val="nil"/>
              <w:right w:val="nil"/>
            </w:tcBorders>
            <w:shd w:val="clear" w:color="auto" w:fill="auto"/>
            <w:vAlign w:val="center"/>
          </w:tcPr>
          <w:p w14:paraId="1C29027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r>
      <w:tr w:rsidR="00C03B92" w:rsidRPr="008A5C48" w14:paraId="0A8687AB"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047171E9"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b/>
                <w:color w:val="000000"/>
                <w:sz w:val="20"/>
                <w:szCs w:val="20"/>
              </w:rPr>
              <w:t>Phenols</w:t>
            </w:r>
          </w:p>
        </w:tc>
        <w:tc>
          <w:tcPr>
            <w:tcW w:w="634" w:type="dxa"/>
            <w:tcBorders>
              <w:top w:val="nil"/>
              <w:left w:val="nil"/>
              <w:bottom w:val="nil"/>
              <w:right w:val="nil"/>
            </w:tcBorders>
            <w:shd w:val="clear" w:color="auto" w:fill="auto"/>
            <w:vAlign w:val="center"/>
          </w:tcPr>
          <w:p w14:paraId="0F2BB4B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111" w:type="dxa"/>
            <w:tcBorders>
              <w:top w:val="nil"/>
              <w:left w:val="nil"/>
              <w:bottom w:val="nil"/>
              <w:right w:val="nil"/>
            </w:tcBorders>
            <w:shd w:val="clear" w:color="auto" w:fill="auto"/>
            <w:vAlign w:val="center"/>
          </w:tcPr>
          <w:p w14:paraId="1AC0856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360" w:type="dxa"/>
            <w:tcBorders>
              <w:top w:val="nil"/>
              <w:left w:val="nil"/>
              <w:bottom w:val="nil"/>
              <w:right w:val="nil"/>
            </w:tcBorders>
            <w:shd w:val="clear" w:color="auto" w:fill="auto"/>
            <w:vAlign w:val="center"/>
          </w:tcPr>
          <w:p w14:paraId="66C9BD3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486" w:type="dxa"/>
            <w:gridSpan w:val="2"/>
            <w:tcBorders>
              <w:top w:val="nil"/>
              <w:left w:val="nil"/>
              <w:bottom w:val="nil"/>
              <w:right w:val="nil"/>
            </w:tcBorders>
            <w:shd w:val="clear" w:color="auto" w:fill="auto"/>
            <w:vAlign w:val="center"/>
          </w:tcPr>
          <w:p w14:paraId="646CE52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6" w:type="dxa"/>
            <w:gridSpan w:val="2"/>
            <w:tcBorders>
              <w:top w:val="nil"/>
              <w:left w:val="nil"/>
              <w:bottom w:val="nil"/>
              <w:right w:val="nil"/>
            </w:tcBorders>
            <w:shd w:val="clear" w:color="auto" w:fill="auto"/>
            <w:vAlign w:val="center"/>
          </w:tcPr>
          <w:p w14:paraId="40A02B3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696" w:type="dxa"/>
            <w:gridSpan w:val="2"/>
            <w:tcBorders>
              <w:top w:val="nil"/>
              <w:left w:val="nil"/>
              <w:bottom w:val="nil"/>
              <w:right w:val="nil"/>
            </w:tcBorders>
            <w:shd w:val="clear" w:color="auto" w:fill="auto"/>
            <w:vAlign w:val="center"/>
          </w:tcPr>
          <w:p w14:paraId="5BA798B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905" w:type="dxa"/>
            <w:gridSpan w:val="2"/>
            <w:tcBorders>
              <w:top w:val="nil"/>
              <w:left w:val="nil"/>
              <w:bottom w:val="nil"/>
              <w:right w:val="nil"/>
            </w:tcBorders>
            <w:shd w:val="clear" w:color="auto" w:fill="auto"/>
            <w:vAlign w:val="center"/>
          </w:tcPr>
          <w:p w14:paraId="479B020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45" w:type="dxa"/>
            <w:gridSpan w:val="3"/>
            <w:tcBorders>
              <w:top w:val="nil"/>
              <w:left w:val="nil"/>
              <w:bottom w:val="nil"/>
              <w:right w:val="nil"/>
            </w:tcBorders>
            <w:shd w:val="clear" w:color="auto" w:fill="auto"/>
            <w:vAlign w:val="center"/>
          </w:tcPr>
          <w:p w14:paraId="20AA3E1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9" w:type="dxa"/>
            <w:gridSpan w:val="3"/>
            <w:tcBorders>
              <w:top w:val="nil"/>
              <w:left w:val="nil"/>
              <w:bottom w:val="nil"/>
              <w:right w:val="nil"/>
            </w:tcBorders>
            <w:shd w:val="clear" w:color="auto" w:fill="auto"/>
            <w:vAlign w:val="center"/>
          </w:tcPr>
          <w:p w14:paraId="3E1D710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r>
      <w:tr w:rsidR="00C03B92" w:rsidRPr="008A5C48" w14:paraId="16A459E3"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60F6856"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BPA</w:t>
            </w:r>
          </w:p>
        </w:tc>
        <w:tc>
          <w:tcPr>
            <w:tcW w:w="634" w:type="dxa"/>
            <w:tcBorders>
              <w:top w:val="nil"/>
              <w:left w:val="nil"/>
              <w:bottom w:val="nil"/>
              <w:right w:val="nil"/>
            </w:tcBorders>
            <w:shd w:val="clear" w:color="auto" w:fill="auto"/>
            <w:vAlign w:val="center"/>
          </w:tcPr>
          <w:p w14:paraId="7822947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61A58DC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273D570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1084 (83.3%)</w:t>
            </w:r>
          </w:p>
        </w:tc>
        <w:tc>
          <w:tcPr>
            <w:tcW w:w="1486" w:type="dxa"/>
            <w:gridSpan w:val="2"/>
            <w:tcBorders>
              <w:top w:val="nil"/>
              <w:left w:val="nil"/>
              <w:bottom w:val="nil"/>
              <w:right w:val="nil"/>
            </w:tcBorders>
            <w:shd w:val="clear" w:color="auto" w:fill="auto"/>
            <w:vAlign w:val="center"/>
          </w:tcPr>
          <w:p w14:paraId="7740567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99.40%</w:t>
            </w:r>
          </w:p>
        </w:tc>
        <w:tc>
          <w:tcPr>
            <w:tcW w:w="796" w:type="dxa"/>
            <w:gridSpan w:val="2"/>
            <w:tcBorders>
              <w:top w:val="nil"/>
              <w:left w:val="nil"/>
              <w:bottom w:val="nil"/>
              <w:right w:val="nil"/>
            </w:tcBorders>
            <w:shd w:val="clear" w:color="auto" w:fill="auto"/>
            <w:vAlign w:val="center"/>
          </w:tcPr>
          <w:p w14:paraId="7A41486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w:t>
            </w:r>
          </w:p>
        </w:tc>
        <w:tc>
          <w:tcPr>
            <w:tcW w:w="696" w:type="dxa"/>
            <w:gridSpan w:val="2"/>
            <w:tcBorders>
              <w:top w:val="nil"/>
              <w:left w:val="nil"/>
              <w:bottom w:val="nil"/>
              <w:right w:val="nil"/>
            </w:tcBorders>
            <w:shd w:val="clear" w:color="auto" w:fill="auto"/>
            <w:vAlign w:val="center"/>
          </w:tcPr>
          <w:p w14:paraId="3582798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3.1</w:t>
            </w:r>
          </w:p>
        </w:tc>
        <w:tc>
          <w:tcPr>
            <w:tcW w:w="905" w:type="dxa"/>
            <w:gridSpan w:val="2"/>
            <w:tcBorders>
              <w:top w:val="nil"/>
              <w:left w:val="nil"/>
              <w:bottom w:val="nil"/>
              <w:right w:val="nil"/>
            </w:tcBorders>
            <w:shd w:val="clear" w:color="auto" w:fill="auto"/>
            <w:vAlign w:val="center"/>
          </w:tcPr>
          <w:p w14:paraId="697DAE4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4.4</w:t>
            </w:r>
          </w:p>
        </w:tc>
        <w:tc>
          <w:tcPr>
            <w:tcW w:w="745" w:type="dxa"/>
            <w:gridSpan w:val="3"/>
            <w:tcBorders>
              <w:top w:val="nil"/>
              <w:left w:val="nil"/>
              <w:bottom w:val="nil"/>
              <w:right w:val="nil"/>
            </w:tcBorders>
            <w:shd w:val="clear" w:color="auto" w:fill="auto"/>
            <w:vAlign w:val="center"/>
          </w:tcPr>
          <w:p w14:paraId="1593990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8.1</w:t>
            </w:r>
          </w:p>
        </w:tc>
        <w:tc>
          <w:tcPr>
            <w:tcW w:w="799" w:type="dxa"/>
            <w:gridSpan w:val="3"/>
            <w:tcBorders>
              <w:top w:val="nil"/>
              <w:left w:val="nil"/>
              <w:bottom w:val="nil"/>
              <w:right w:val="nil"/>
            </w:tcBorders>
            <w:shd w:val="clear" w:color="auto" w:fill="auto"/>
            <w:vAlign w:val="center"/>
          </w:tcPr>
          <w:p w14:paraId="5A62AD6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108.4</w:t>
            </w:r>
          </w:p>
        </w:tc>
      </w:tr>
      <w:tr w:rsidR="00C03B92" w:rsidRPr="008A5C48" w14:paraId="4B051055"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A1915C8"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BUPA</w:t>
            </w:r>
          </w:p>
        </w:tc>
        <w:tc>
          <w:tcPr>
            <w:tcW w:w="634" w:type="dxa"/>
            <w:tcBorders>
              <w:top w:val="nil"/>
              <w:left w:val="nil"/>
              <w:bottom w:val="nil"/>
              <w:right w:val="nil"/>
            </w:tcBorders>
            <w:shd w:val="clear" w:color="auto" w:fill="auto"/>
            <w:vAlign w:val="center"/>
          </w:tcPr>
          <w:p w14:paraId="6F657BF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2351723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0696BC5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1083 (83.2%)</w:t>
            </w:r>
          </w:p>
        </w:tc>
        <w:tc>
          <w:tcPr>
            <w:tcW w:w="1486" w:type="dxa"/>
            <w:gridSpan w:val="2"/>
            <w:tcBorders>
              <w:top w:val="nil"/>
              <w:left w:val="nil"/>
              <w:bottom w:val="nil"/>
              <w:right w:val="nil"/>
            </w:tcBorders>
            <w:shd w:val="clear" w:color="auto" w:fill="auto"/>
            <w:vAlign w:val="center"/>
          </w:tcPr>
          <w:p w14:paraId="5FC2FBD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97.00%</w:t>
            </w:r>
          </w:p>
        </w:tc>
        <w:tc>
          <w:tcPr>
            <w:tcW w:w="796" w:type="dxa"/>
            <w:gridSpan w:val="2"/>
            <w:tcBorders>
              <w:top w:val="nil"/>
              <w:left w:val="nil"/>
              <w:bottom w:val="nil"/>
              <w:right w:val="nil"/>
            </w:tcBorders>
            <w:shd w:val="clear" w:color="auto" w:fill="auto"/>
            <w:vAlign w:val="center"/>
          </w:tcPr>
          <w:p w14:paraId="56452CF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696" w:type="dxa"/>
            <w:gridSpan w:val="2"/>
            <w:tcBorders>
              <w:top w:val="nil"/>
              <w:left w:val="nil"/>
              <w:bottom w:val="nil"/>
              <w:right w:val="nil"/>
            </w:tcBorders>
            <w:shd w:val="clear" w:color="auto" w:fill="auto"/>
            <w:vAlign w:val="center"/>
          </w:tcPr>
          <w:p w14:paraId="36DAFE3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0.7</w:t>
            </w:r>
          </w:p>
        </w:tc>
        <w:tc>
          <w:tcPr>
            <w:tcW w:w="905" w:type="dxa"/>
            <w:gridSpan w:val="2"/>
            <w:tcBorders>
              <w:top w:val="nil"/>
              <w:left w:val="nil"/>
              <w:bottom w:val="nil"/>
              <w:right w:val="nil"/>
            </w:tcBorders>
            <w:shd w:val="clear" w:color="auto" w:fill="auto"/>
            <w:vAlign w:val="center"/>
          </w:tcPr>
          <w:p w14:paraId="0A57287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3.7</w:t>
            </w:r>
          </w:p>
        </w:tc>
        <w:tc>
          <w:tcPr>
            <w:tcW w:w="745" w:type="dxa"/>
            <w:gridSpan w:val="3"/>
            <w:tcBorders>
              <w:top w:val="nil"/>
              <w:left w:val="nil"/>
              <w:bottom w:val="nil"/>
              <w:right w:val="nil"/>
            </w:tcBorders>
            <w:shd w:val="clear" w:color="auto" w:fill="auto"/>
            <w:vAlign w:val="center"/>
          </w:tcPr>
          <w:p w14:paraId="4CB86F0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14.6</w:t>
            </w:r>
          </w:p>
        </w:tc>
        <w:tc>
          <w:tcPr>
            <w:tcW w:w="799" w:type="dxa"/>
            <w:gridSpan w:val="3"/>
            <w:tcBorders>
              <w:top w:val="nil"/>
              <w:left w:val="nil"/>
              <w:bottom w:val="nil"/>
              <w:right w:val="nil"/>
            </w:tcBorders>
            <w:shd w:val="clear" w:color="auto" w:fill="auto"/>
            <w:vAlign w:val="center"/>
          </w:tcPr>
          <w:p w14:paraId="5A88BE9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372.2</w:t>
            </w:r>
          </w:p>
        </w:tc>
      </w:tr>
      <w:tr w:rsidR="00C03B92" w:rsidRPr="008A5C48" w14:paraId="0297CA8F"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C50666C"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ETPA</w:t>
            </w:r>
          </w:p>
        </w:tc>
        <w:tc>
          <w:tcPr>
            <w:tcW w:w="634" w:type="dxa"/>
            <w:tcBorders>
              <w:top w:val="nil"/>
              <w:left w:val="nil"/>
              <w:bottom w:val="nil"/>
              <w:right w:val="nil"/>
            </w:tcBorders>
            <w:shd w:val="clear" w:color="auto" w:fill="auto"/>
            <w:vAlign w:val="center"/>
          </w:tcPr>
          <w:p w14:paraId="5375F30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6EF963C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7075BC6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817 (62.8%)</w:t>
            </w:r>
          </w:p>
        </w:tc>
        <w:tc>
          <w:tcPr>
            <w:tcW w:w="1486" w:type="dxa"/>
            <w:gridSpan w:val="2"/>
            <w:tcBorders>
              <w:top w:val="nil"/>
              <w:left w:val="nil"/>
              <w:bottom w:val="nil"/>
              <w:right w:val="nil"/>
            </w:tcBorders>
            <w:shd w:val="clear" w:color="auto" w:fill="auto"/>
            <w:vAlign w:val="center"/>
          </w:tcPr>
          <w:p w14:paraId="6FC8D57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97.40%</w:t>
            </w:r>
          </w:p>
        </w:tc>
        <w:tc>
          <w:tcPr>
            <w:tcW w:w="796" w:type="dxa"/>
            <w:gridSpan w:val="2"/>
            <w:tcBorders>
              <w:top w:val="nil"/>
              <w:left w:val="nil"/>
              <w:bottom w:val="nil"/>
              <w:right w:val="nil"/>
            </w:tcBorders>
            <w:shd w:val="clear" w:color="auto" w:fill="auto"/>
            <w:vAlign w:val="center"/>
          </w:tcPr>
          <w:p w14:paraId="06B121C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w:t>
            </w:r>
          </w:p>
        </w:tc>
        <w:tc>
          <w:tcPr>
            <w:tcW w:w="696" w:type="dxa"/>
            <w:gridSpan w:val="2"/>
            <w:tcBorders>
              <w:top w:val="nil"/>
              <w:left w:val="nil"/>
              <w:bottom w:val="nil"/>
              <w:right w:val="nil"/>
            </w:tcBorders>
            <w:shd w:val="clear" w:color="auto" w:fill="auto"/>
            <w:vAlign w:val="center"/>
          </w:tcPr>
          <w:p w14:paraId="546A6F8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2.3</w:t>
            </w:r>
          </w:p>
        </w:tc>
        <w:tc>
          <w:tcPr>
            <w:tcW w:w="905" w:type="dxa"/>
            <w:gridSpan w:val="2"/>
            <w:tcBorders>
              <w:top w:val="nil"/>
              <w:left w:val="nil"/>
              <w:bottom w:val="nil"/>
              <w:right w:val="nil"/>
            </w:tcBorders>
            <w:shd w:val="clear" w:color="auto" w:fill="auto"/>
            <w:vAlign w:val="center"/>
          </w:tcPr>
          <w:p w14:paraId="1245F89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7.4</w:t>
            </w:r>
          </w:p>
        </w:tc>
        <w:tc>
          <w:tcPr>
            <w:tcW w:w="745" w:type="dxa"/>
            <w:gridSpan w:val="3"/>
            <w:tcBorders>
              <w:top w:val="nil"/>
              <w:left w:val="nil"/>
              <w:bottom w:val="nil"/>
              <w:right w:val="nil"/>
            </w:tcBorders>
            <w:shd w:val="clear" w:color="auto" w:fill="auto"/>
            <w:vAlign w:val="center"/>
          </w:tcPr>
          <w:p w14:paraId="215DC10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27.9</w:t>
            </w:r>
          </w:p>
        </w:tc>
        <w:tc>
          <w:tcPr>
            <w:tcW w:w="799" w:type="dxa"/>
            <w:gridSpan w:val="3"/>
            <w:tcBorders>
              <w:top w:val="nil"/>
              <w:left w:val="nil"/>
              <w:bottom w:val="nil"/>
              <w:right w:val="nil"/>
            </w:tcBorders>
            <w:shd w:val="clear" w:color="auto" w:fill="auto"/>
            <w:vAlign w:val="center"/>
          </w:tcPr>
          <w:p w14:paraId="24C3B23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6793.8</w:t>
            </w:r>
          </w:p>
        </w:tc>
      </w:tr>
      <w:tr w:rsidR="00C03B92" w:rsidRPr="008A5C48" w14:paraId="3C66F5EE"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44291B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MEPA</w:t>
            </w:r>
          </w:p>
        </w:tc>
        <w:tc>
          <w:tcPr>
            <w:tcW w:w="634" w:type="dxa"/>
            <w:tcBorders>
              <w:top w:val="nil"/>
              <w:left w:val="nil"/>
              <w:bottom w:val="nil"/>
              <w:right w:val="nil"/>
            </w:tcBorders>
            <w:shd w:val="clear" w:color="auto" w:fill="auto"/>
            <w:vAlign w:val="center"/>
          </w:tcPr>
          <w:p w14:paraId="58DDC59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4EF14E9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1A6043C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815 (62.6%)</w:t>
            </w:r>
          </w:p>
        </w:tc>
        <w:tc>
          <w:tcPr>
            <w:tcW w:w="1486" w:type="dxa"/>
            <w:gridSpan w:val="2"/>
            <w:tcBorders>
              <w:top w:val="nil"/>
              <w:left w:val="nil"/>
              <w:bottom w:val="nil"/>
              <w:right w:val="nil"/>
            </w:tcBorders>
            <w:shd w:val="clear" w:color="auto" w:fill="auto"/>
            <w:vAlign w:val="center"/>
          </w:tcPr>
          <w:p w14:paraId="7A14219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99.80%</w:t>
            </w:r>
          </w:p>
        </w:tc>
        <w:tc>
          <w:tcPr>
            <w:tcW w:w="796" w:type="dxa"/>
            <w:gridSpan w:val="2"/>
            <w:tcBorders>
              <w:top w:val="nil"/>
              <w:left w:val="nil"/>
              <w:bottom w:val="nil"/>
              <w:right w:val="nil"/>
            </w:tcBorders>
            <w:shd w:val="clear" w:color="auto" w:fill="auto"/>
            <w:vAlign w:val="center"/>
          </w:tcPr>
          <w:p w14:paraId="7159C64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40.5</w:t>
            </w:r>
          </w:p>
        </w:tc>
        <w:tc>
          <w:tcPr>
            <w:tcW w:w="696" w:type="dxa"/>
            <w:gridSpan w:val="2"/>
            <w:tcBorders>
              <w:top w:val="nil"/>
              <w:left w:val="nil"/>
              <w:bottom w:val="nil"/>
              <w:right w:val="nil"/>
            </w:tcBorders>
            <w:shd w:val="clear" w:color="auto" w:fill="auto"/>
            <w:vAlign w:val="center"/>
          </w:tcPr>
          <w:p w14:paraId="1C1911A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79.3</w:t>
            </w:r>
          </w:p>
        </w:tc>
        <w:tc>
          <w:tcPr>
            <w:tcW w:w="905" w:type="dxa"/>
            <w:gridSpan w:val="2"/>
            <w:tcBorders>
              <w:top w:val="nil"/>
              <w:left w:val="nil"/>
              <w:bottom w:val="nil"/>
              <w:right w:val="nil"/>
            </w:tcBorders>
            <w:shd w:val="clear" w:color="auto" w:fill="auto"/>
            <w:vAlign w:val="center"/>
          </w:tcPr>
          <w:p w14:paraId="08C7D90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206.5</w:t>
            </w:r>
          </w:p>
        </w:tc>
        <w:tc>
          <w:tcPr>
            <w:tcW w:w="745" w:type="dxa"/>
            <w:gridSpan w:val="3"/>
            <w:tcBorders>
              <w:top w:val="nil"/>
              <w:left w:val="nil"/>
              <w:bottom w:val="nil"/>
              <w:right w:val="nil"/>
            </w:tcBorders>
            <w:shd w:val="clear" w:color="auto" w:fill="auto"/>
            <w:vAlign w:val="center"/>
          </w:tcPr>
          <w:p w14:paraId="75DD26A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427.6</w:t>
            </w:r>
          </w:p>
        </w:tc>
        <w:tc>
          <w:tcPr>
            <w:tcW w:w="799" w:type="dxa"/>
            <w:gridSpan w:val="3"/>
            <w:tcBorders>
              <w:top w:val="nil"/>
              <w:left w:val="nil"/>
              <w:bottom w:val="nil"/>
              <w:right w:val="nil"/>
            </w:tcBorders>
            <w:shd w:val="clear" w:color="auto" w:fill="auto"/>
            <w:vAlign w:val="center"/>
          </w:tcPr>
          <w:p w14:paraId="402090F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39239</w:t>
            </w:r>
          </w:p>
        </w:tc>
      </w:tr>
      <w:tr w:rsidR="00C03B92" w:rsidRPr="008A5C48" w14:paraId="4AA401D4"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54F571E5"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OXBE</w:t>
            </w:r>
          </w:p>
        </w:tc>
        <w:tc>
          <w:tcPr>
            <w:tcW w:w="634" w:type="dxa"/>
            <w:tcBorders>
              <w:top w:val="nil"/>
              <w:left w:val="nil"/>
              <w:bottom w:val="nil"/>
              <w:right w:val="nil"/>
            </w:tcBorders>
            <w:shd w:val="clear" w:color="auto" w:fill="auto"/>
            <w:vAlign w:val="center"/>
          </w:tcPr>
          <w:p w14:paraId="671F2E2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3239EDA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735ED99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1085 (83.4%)</w:t>
            </w:r>
          </w:p>
        </w:tc>
        <w:tc>
          <w:tcPr>
            <w:tcW w:w="1486" w:type="dxa"/>
            <w:gridSpan w:val="2"/>
            <w:tcBorders>
              <w:top w:val="nil"/>
              <w:left w:val="nil"/>
              <w:bottom w:val="nil"/>
              <w:right w:val="nil"/>
            </w:tcBorders>
            <w:shd w:val="clear" w:color="auto" w:fill="auto"/>
            <w:vAlign w:val="center"/>
          </w:tcPr>
          <w:p w14:paraId="18CE38F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98.50%</w:t>
            </w:r>
          </w:p>
        </w:tc>
        <w:tc>
          <w:tcPr>
            <w:tcW w:w="796" w:type="dxa"/>
            <w:gridSpan w:val="2"/>
            <w:tcBorders>
              <w:top w:val="nil"/>
              <w:left w:val="nil"/>
              <w:bottom w:val="nil"/>
              <w:right w:val="nil"/>
            </w:tcBorders>
            <w:shd w:val="clear" w:color="auto" w:fill="auto"/>
            <w:vAlign w:val="center"/>
          </w:tcPr>
          <w:p w14:paraId="3A6D388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w:t>
            </w:r>
          </w:p>
        </w:tc>
        <w:tc>
          <w:tcPr>
            <w:tcW w:w="696" w:type="dxa"/>
            <w:gridSpan w:val="2"/>
            <w:tcBorders>
              <w:top w:val="nil"/>
              <w:left w:val="nil"/>
              <w:bottom w:val="nil"/>
              <w:right w:val="nil"/>
            </w:tcBorders>
            <w:shd w:val="clear" w:color="auto" w:fill="auto"/>
            <w:vAlign w:val="center"/>
          </w:tcPr>
          <w:p w14:paraId="0B1E34C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2.9</w:t>
            </w:r>
          </w:p>
        </w:tc>
        <w:tc>
          <w:tcPr>
            <w:tcW w:w="905" w:type="dxa"/>
            <w:gridSpan w:val="2"/>
            <w:tcBorders>
              <w:top w:val="nil"/>
              <w:left w:val="nil"/>
              <w:bottom w:val="nil"/>
              <w:right w:val="nil"/>
            </w:tcBorders>
            <w:shd w:val="clear" w:color="auto" w:fill="auto"/>
            <w:vAlign w:val="center"/>
          </w:tcPr>
          <w:p w14:paraId="20DAECA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6.4</w:t>
            </w:r>
          </w:p>
        </w:tc>
        <w:tc>
          <w:tcPr>
            <w:tcW w:w="745" w:type="dxa"/>
            <w:gridSpan w:val="3"/>
            <w:tcBorders>
              <w:top w:val="nil"/>
              <w:left w:val="nil"/>
              <w:bottom w:val="nil"/>
              <w:right w:val="nil"/>
            </w:tcBorders>
            <w:shd w:val="clear" w:color="auto" w:fill="auto"/>
            <w:vAlign w:val="center"/>
          </w:tcPr>
          <w:p w14:paraId="09B5143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28.8</w:t>
            </w:r>
          </w:p>
        </w:tc>
        <w:tc>
          <w:tcPr>
            <w:tcW w:w="799" w:type="dxa"/>
            <w:gridSpan w:val="3"/>
            <w:tcBorders>
              <w:top w:val="nil"/>
              <w:left w:val="nil"/>
              <w:bottom w:val="nil"/>
              <w:right w:val="nil"/>
            </w:tcBorders>
            <w:shd w:val="clear" w:color="auto" w:fill="auto"/>
            <w:vAlign w:val="center"/>
          </w:tcPr>
          <w:p w14:paraId="02D5442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12854</w:t>
            </w:r>
          </w:p>
        </w:tc>
      </w:tr>
      <w:tr w:rsidR="00C03B92" w:rsidRPr="008A5C48" w14:paraId="6F3DDC67"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0E6F950"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PRPA</w:t>
            </w:r>
          </w:p>
        </w:tc>
        <w:tc>
          <w:tcPr>
            <w:tcW w:w="634" w:type="dxa"/>
            <w:tcBorders>
              <w:top w:val="nil"/>
              <w:left w:val="nil"/>
              <w:bottom w:val="nil"/>
              <w:right w:val="nil"/>
            </w:tcBorders>
            <w:shd w:val="clear" w:color="auto" w:fill="auto"/>
            <w:vAlign w:val="center"/>
          </w:tcPr>
          <w:p w14:paraId="07F72DA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309E62D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4742946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1083 (83.2%)</w:t>
            </w:r>
          </w:p>
        </w:tc>
        <w:tc>
          <w:tcPr>
            <w:tcW w:w="1486" w:type="dxa"/>
            <w:gridSpan w:val="2"/>
            <w:tcBorders>
              <w:top w:val="nil"/>
              <w:left w:val="nil"/>
              <w:bottom w:val="nil"/>
              <w:right w:val="nil"/>
            </w:tcBorders>
            <w:shd w:val="clear" w:color="auto" w:fill="auto"/>
            <w:vAlign w:val="center"/>
          </w:tcPr>
          <w:p w14:paraId="60449D3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97.30%</w:t>
            </w:r>
          </w:p>
        </w:tc>
        <w:tc>
          <w:tcPr>
            <w:tcW w:w="796" w:type="dxa"/>
            <w:gridSpan w:val="2"/>
            <w:tcBorders>
              <w:top w:val="nil"/>
              <w:left w:val="nil"/>
              <w:bottom w:val="nil"/>
              <w:right w:val="nil"/>
            </w:tcBorders>
            <w:shd w:val="clear" w:color="auto" w:fill="auto"/>
            <w:vAlign w:val="center"/>
          </w:tcPr>
          <w:p w14:paraId="434F563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8.9</w:t>
            </w:r>
          </w:p>
        </w:tc>
        <w:tc>
          <w:tcPr>
            <w:tcW w:w="696" w:type="dxa"/>
            <w:gridSpan w:val="2"/>
            <w:tcBorders>
              <w:top w:val="nil"/>
              <w:left w:val="nil"/>
              <w:bottom w:val="nil"/>
              <w:right w:val="nil"/>
            </w:tcBorders>
            <w:shd w:val="clear" w:color="auto" w:fill="auto"/>
            <w:vAlign w:val="center"/>
          </w:tcPr>
          <w:p w14:paraId="55AB47A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17.8</w:t>
            </w:r>
          </w:p>
        </w:tc>
        <w:tc>
          <w:tcPr>
            <w:tcW w:w="905" w:type="dxa"/>
            <w:gridSpan w:val="2"/>
            <w:tcBorders>
              <w:top w:val="nil"/>
              <w:left w:val="nil"/>
              <w:bottom w:val="nil"/>
              <w:right w:val="nil"/>
            </w:tcBorders>
            <w:shd w:val="clear" w:color="auto" w:fill="auto"/>
            <w:vAlign w:val="center"/>
          </w:tcPr>
          <w:p w14:paraId="26E8E36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53.1</w:t>
            </w:r>
          </w:p>
        </w:tc>
        <w:tc>
          <w:tcPr>
            <w:tcW w:w="745" w:type="dxa"/>
            <w:gridSpan w:val="3"/>
            <w:tcBorders>
              <w:top w:val="nil"/>
              <w:left w:val="nil"/>
              <w:bottom w:val="nil"/>
              <w:right w:val="nil"/>
            </w:tcBorders>
            <w:shd w:val="clear" w:color="auto" w:fill="auto"/>
            <w:vAlign w:val="center"/>
          </w:tcPr>
          <w:p w14:paraId="4F68CB6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143</w:t>
            </w:r>
          </w:p>
        </w:tc>
        <w:tc>
          <w:tcPr>
            <w:tcW w:w="799" w:type="dxa"/>
            <w:gridSpan w:val="3"/>
            <w:tcBorders>
              <w:top w:val="nil"/>
              <w:left w:val="nil"/>
              <w:bottom w:val="nil"/>
              <w:right w:val="nil"/>
            </w:tcBorders>
            <w:shd w:val="clear" w:color="auto" w:fill="auto"/>
            <w:vAlign w:val="center"/>
          </w:tcPr>
          <w:p w14:paraId="0250C26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12503</w:t>
            </w:r>
          </w:p>
        </w:tc>
      </w:tr>
      <w:tr w:rsidR="00C03B92" w:rsidRPr="008A5C48" w14:paraId="27FD873B"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33D3B1B"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TRCS</w:t>
            </w:r>
          </w:p>
        </w:tc>
        <w:tc>
          <w:tcPr>
            <w:tcW w:w="634" w:type="dxa"/>
            <w:tcBorders>
              <w:top w:val="nil"/>
              <w:left w:val="nil"/>
              <w:bottom w:val="nil"/>
              <w:right w:val="nil"/>
            </w:tcBorders>
            <w:shd w:val="clear" w:color="auto" w:fill="auto"/>
            <w:vAlign w:val="center"/>
          </w:tcPr>
          <w:p w14:paraId="4F11439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6459D37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6512422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1085 (83.4%)</w:t>
            </w:r>
          </w:p>
        </w:tc>
        <w:tc>
          <w:tcPr>
            <w:tcW w:w="1486" w:type="dxa"/>
            <w:gridSpan w:val="2"/>
            <w:tcBorders>
              <w:top w:val="nil"/>
              <w:left w:val="nil"/>
              <w:bottom w:val="nil"/>
              <w:right w:val="nil"/>
            </w:tcBorders>
            <w:shd w:val="clear" w:color="auto" w:fill="auto"/>
            <w:vAlign w:val="center"/>
          </w:tcPr>
          <w:p w14:paraId="0880249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99.30%</w:t>
            </w:r>
          </w:p>
        </w:tc>
        <w:tc>
          <w:tcPr>
            <w:tcW w:w="796" w:type="dxa"/>
            <w:gridSpan w:val="2"/>
            <w:tcBorders>
              <w:top w:val="nil"/>
              <w:left w:val="nil"/>
              <w:bottom w:val="nil"/>
              <w:right w:val="nil"/>
            </w:tcBorders>
            <w:shd w:val="clear" w:color="auto" w:fill="auto"/>
            <w:vAlign w:val="center"/>
          </w:tcPr>
          <w:p w14:paraId="3709641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w:t>
            </w:r>
          </w:p>
        </w:tc>
        <w:tc>
          <w:tcPr>
            <w:tcW w:w="696" w:type="dxa"/>
            <w:gridSpan w:val="2"/>
            <w:tcBorders>
              <w:top w:val="nil"/>
              <w:left w:val="nil"/>
              <w:bottom w:val="nil"/>
              <w:right w:val="nil"/>
            </w:tcBorders>
            <w:shd w:val="clear" w:color="auto" w:fill="auto"/>
            <w:vAlign w:val="center"/>
          </w:tcPr>
          <w:p w14:paraId="7E51A40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w:t>
            </w:r>
          </w:p>
        </w:tc>
        <w:tc>
          <w:tcPr>
            <w:tcW w:w="905" w:type="dxa"/>
            <w:gridSpan w:val="2"/>
            <w:tcBorders>
              <w:top w:val="nil"/>
              <w:left w:val="nil"/>
              <w:bottom w:val="nil"/>
              <w:right w:val="nil"/>
            </w:tcBorders>
            <w:shd w:val="clear" w:color="auto" w:fill="auto"/>
            <w:vAlign w:val="center"/>
          </w:tcPr>
          <w:p w14:paraId="1D0E093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7.8</w:t>
            </w:r>
          </w:p>
        </w:tc>
        <w:tc>
          <w:tcPr>
            <w:tcW w:w="745" w:type="dxa"/>
            <w:gridSpan w:val="3"/>
            <w:tcBorders>
              <w:top w:val="nil"/>
              <w:left w:val="nil"/>
              <w:bottom w:val="nil"/>
              <w:right w:val="nil"/>
            </w:tcBorders>
            <w:shd w:val="clear" w:color="auto" w:fill="auto"/>
            <w:vAlign w:val="center"/>
          </w:tcPr>
          <w:p w14:paraId="3E8556A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81</w:t>
            </w:r>
          </w:p>
        </w:tc>
        <w:tc>
          <w:tcPr>
            <w:tcW w:w="799" w:type="dxa"/>
            <w:gridSpan w:val="3"/>
            <w:tcBorders>
              <w:top w:val="nil"/>
              <w:left w:val="nil"/>
              <w:bottom w:val="nil"/>
              <w:right w:val="nil"/>
            </w:tcBorders>
            <w:shd w:val="clear" w:color="auto" w:fill="auto"/>
            <w:vAlign w:val="center"/>
          </w:tcPr>
          <w:p w14:paraId="1C5946C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1652</w:t>
            </w:r>
          </w:p>
        </w:tc>
      </w:tr>
      <w:tr w:rsidR="00C03B92" w:rsidRPr="008A5C48" w14:paraId="28CD5594"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44399FBA"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BPA</w:t>
            </w:r>
          </w:p>
        </w:tc>
        <w:tc>
          <w:tcPr>
            <w:tcW w:w="634" w:type="dxa"/>
            <w:tcBorders>
              <w:top w:val="nil"/>
              <w:left w:val="nil"/>
              <w:bottom w:val="nil"/>
              <w:right w:val="nil"/>
            </w:tcBorders>
            <w:shd w:val="clear" w:color="auto" w:fill="auto"/>
            <w:vAlign w:val="center"/>
          </w:tcPr>
          <w:p w14:paraId="71B16C5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3E97757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53833BB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1289 (99.1%)</w:t>
            </w:r>
          </w:p>
        </w:tc>
        <w:tc>
          <w:tcPr>
            <w:tcW w:w="1486" w:type="dxa"/>
            <w:gridSpan w:val="2"/>
            <w:tcBorders>
              <w:top w:val="nil"/>
              <w:left w:val="nil"/>
              <w:bottom w:val="nil"/>
              <w:right w:val="nil"/>
            </w:tcBorders>
            <w:shd w:val="clear" w:color="auto" w:fill="auto"/>
            <w:vAlign w:val="center"/>
          </w:tcPr>
          <w:p w14:paraId="6C96A64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98.30%</w:t>
            </w:r>
          </w:p>
        </w:tc>
        <w:tc>
          <w:tcPr>
            <w:tcW w:w="796" w:type="dxa"/>
            <w:gridSpan w:val="2"/>
            <w:tcBorders>
              <w:top w:val="nil"/>
              <w:left w:val="nil"/>
              <w:bottom w:val="nil"/>
              <w:right w:val="nil"/>
            </w:tcBorders>
            <w:shd w:val="clear" w:color="auto" w:fill="auto"/>
            <w:vAlign w:val="center"/>
          </w:tcPr>
          <w:p w14:paraId="6A75167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2.4</w:t>
            </w:r>
          </w:p>
        </w:tc>
        <w:tc>
          <w:tcPr>
            <w:tcW w:w="696" w:type="dxa"/>
            <w:gridSpan w:val="2"/>
            <w:tcBorders>
              <w:top w:val="nil"/>
              <w:left w:val="nil"/>
              <w:bottom w:val="nil"/>
              <w:right w:val="nil"/>
            </w:tcBorders>
            <w:shd w:val="clear" w:color="auto" w:fill="auto"/>
            <w:vAlign w:val="center"/>
          </w:tcPr>
          <w:p w14:paraId="28EB504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4.8</w:t>
            </w:r>
          </w:p>
        </w:tc>
        <w:tc>
          <w:tcPr>
            <w:tcW w:w="905" w:type="dxa"/>
            <w:gridSpan w:val="2"/>
            <w:tcBorders>
              <w:top w:val="nil"/>
              <w:left w:val="nil"/>
              <w:bottom w:val="nil"/>
              <w:right w:val="nil"/>
            </w:tcBorders>
            <w:shd w:val="clear" w:color="auto" w:fill="auto"/>
            <w:vAlign w:val="center"/>
          </w:tcPr>
          <w:p w14:paraId="6674BD5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6.5</w:t>
            </w:r>
          </w:p>
        </w:tc>
        <w:tc>
          <w:tcPr>
            <w:tcW w:w="745" w:type="dxa"/>
            <w:gridSpan w:val="3"/>
            <w:tcBorders>
              <w:top w:val="nil"/>
              <w:left w:val="nil"/>
              <w:bottom w:val="nil"/>
              <w:right w:val="nil"/>
            </w:tcBorders>
            <w:shd w:val="clear" w:color="auto" w:fill="auto"/>
            <w:vAlign w:val="center"/>
          </w:tcPr>
          <w:p w14:paraId="278FA55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9.6</w:t>
            </w:r>
          </w:p>
        </w:tc>
        <w:tc>
          <w:tcPr>
            <w:tcW w:w="799" w:type="dxa"/>
            <w:gridSpan w:val="3"/>
            <w:tcBorders>
              <w:top w:val="nil"/>
              <w:left w:val="nil"/>
              <w:bottom w:val="nil"/>
              <w:right w:val="nil"/>
            </w:tcBorders>
            <w:shd w:val="clear" w:color="auto" w:fill="auto"/>
            <w:vAlign w:val="center"/>
          </w:tcPr>
          <w:p w14:paraId="4CC7D1E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364.6</w:t>
            </w:r>
          </w:p>
        </w:tc>
      </w:tr>
      <w:tr w:rsidR="00C03B92" w:rsidRPr="008A5C48" w14:paraId="1171CA55"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858D87E"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BUPA</w:t>
            </w:r>
          </w:p>
        </w:tc>
        <w:tc>
          <w:tcPr>
            <w:tcW w:w="634" w:type="dxa"/>
            <w:tcBorders>
              <w:top w:val="nil"/>
              <w:left w:val="nil"/>
              <w:bottom w:val="nil"/>
              <w:right w:val="nil"/>
            </w:tcBorders>
            <w:shd w:val="clear" w:color="auto" w:fill="auto"/>
            <w:vAlign w:val="center"/>
          </w:tcPr>
          <w:p w14:paraId="33764FC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5CDFAF1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C4C830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1296 (99.6%)</w:t>
            </w:r>
          </w:p>
        </w:tc>
        <w:tc>
          <w:tcPr>
            <w:tcW w:w="1486" w:type="dxa"/>
            <w:gridSpan w:val="2"/>
            <w:tcBorders>
              <w:top w:val="nil"/>
              <w:left w:val="nil"/>
              <w:bottom w:val="nil"/>
              <w:right w:val="nil"/>
            </w:tcBorders>
            <w:shd w:val="clear" w:color="auto" w:fill="auto"/>
            <w:vAlign w:val="center"/>
          </w:tcPr>
          <w:p w14:paraId="6E4BB1E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96.60%</w:t>
            </w:r>
          </w:p>
        </w:tc>
        <w:tc>
          <w:tcPr>
            <w:tcW w:w="796" w:type="dxa"/>
            <w:gridSpan w:val="2"/>
            <w:tcBorders>
              <w:top w:val="nil"/>
              <w:left w:val="nil"/>
              <w:bottom w:val="nil"/>
              <w:right w:val="nil"/>
            </w:tcBorders>
            <w:shd w:val="clear" w:color="auto" w:fill="auto"/>
            <w:vAlign w:val="center"/>
          </w:tcPr>
          <w:p w14:paraId="68F4EF9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w:t>
            </w:r>
          </w:p>
        </w:tc>
        <w:tc>
          <w:tcPr>
            <w:tcW w:w="696" w:type="dxa"/>
            <w:gridSpan w:val="2"/>
            <w:tcBorders>
              <w:top w:val="nil"/>
              <w:left w:val="nil"/>
              <w:bottom w:val="nil"/>
              <w:right w:val="nil"/>
            </w:tcBorders>
            <w:shd w:val="clear" w:color="auto" w:fill="auto"/>
            <w:vAlign w:val="center"/>
          </w:tcPr>
          <w:p w14:paraId="17994E4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w:t>
            </w:r>
          </w:p>
        </w:tc>
        <w:tc>
          <w:tcPr>
            <w:tcW w:w="905" w:type="dxa"/>
            <w:gridSpan w:val="2"/>
            <w:tcBorders>
              <w:top w:val="nil"/>
              <w:left w:val="nil"/>
              <w:bottom w:val="nil"/>
              <w:right w:val="nil"/>
            </w:tcBorders>
            <w:shd w:val="clear" w:color="auto" w:fill="auto"/>
            <w:vAlign w:val="center"/>
          </w:tcPr>
          <w:p w14:paraId="6F5BBC8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w:t>
            </w:r>
          </w:p>
        </w:tc>
        <w:tc>
          <w:tcPr>
            <w:tcW w:w="745" w:type="dxa"/>
            <w:gridSpan w:val="3"/>
            <w:tcBorders>
              <w:top w:val="nil"/>
              <w:left w:val="nil"/>
              <w:bottom w:val="nil"/>
              <w:right w:val="nil"/>
            </w:tcBorders>
            <w:shd w:val="clear" w:color="auto" w:fill="auto"/>
            <w:vAlign w:val="center"/>
          </w:tcPr>
          <w:p w14:paraId="2D5C414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0.2</w:t>
            </w:r>
          </w:p>
        </w:tc>
        <w:tc>
          <w:tcPr>
            <w:tcW w:w="799" w:type="dxa"/>
            <w:gridSpan w:val="3"/>
            <w:tcBorders>
              <w:top w:val="nil"/>
              <w:left w:val="nil"/>
              <w:bottom w:val="nil"/>
              <w:right w:val="nil"/>
            </w:tcBorders>
            <w:shd w:val="clear" w:color="auto" w:fill="auto"/>
            <w:vAlign w:val="center"/>
          </w:tcPr>
          <w:p w14:paraId="4740866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97</w:t>
            </w:r>
          </w:p>
        </w:tc>
      </w:tr>
      <w:tr w:rsidR="00C03B92" w:rsidRPr="008A5C48" w14:paraId="40BB7EE9"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556BE456"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ETPA</w:t>
            </w:r>
          </w:p>
        </w:tc>
        <w:tc>
          <w:tcPr>
            <w:tcW w:w="634" w:type="dxa"/>
            <w:tcBorders>
              <w:top w:val="nil"/>
              <w:left w:val="nil"/>
              <w:bottom w:val="nil"/>
              <w:right w:val="nil"/>
            </w:tcBorders>
            <w:shd w:val="clear" w:color="auto" w:fill="auto"/>
            <w:vAlign w:val="center"/>
          </w:tcPr>
          <w:p w14:paraId="27239FB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1CB22B1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7A2BA00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76A7908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99.30%</w:t>
            </w:r>
          </w:p>
        </w:tc>
        <w:tc>
          <w:tcPr>
            <w:tcW w:w="796" w:type="dxa"/>
            <w:gridSpan w:val="2"/>
            <w:tcBorders>
              <w:top w:val="nil"/>
              <w:left w:val="nil"/>
              <w:bottom w:val="nil"/>
              <w:right w:val="nil"/>
            </w:tcBorders>
            <w:shd w:val="clear" w:color="auto" w:fill="auto"/>
            <w:vAlign w:val="center"/>
          </w:tcPr>
          <w:p w14:paraId="156140E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696" w:type="dxa"/>
            <w:gridSpan w:val="2"/>
            <w:tcBorders>
              <w:top w:val="nil"/>
              <w:left w:val="nil"/>
              <w:bottom w:val="nil"/>
              <w:right w:val="nil"/>
            </w:tcBorders>
            <w:shd w:val="clear" w:color="auto" w:fill="auto"/>
            <w:vAlign w:val="center"/>
          </w:tcPr>
          <w:p w14:paraId="4F02882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0.9</w:t>
            </w:r>
          </w:p>
        </w:tc>
        <w:tc>
          <w:tcPr>
            <w:tcW w:w="905" w:type="dxa"/>
            <w:gridSpan w:val="2"/>
            <w:tcBorders>
              <w:top w:val="nil"/>
              <w:left w:val="nil"/>
              <w:bottom w:val="nil"/>
              <w:right w:val="nil"/>
            </w:tcBorders>
            <w:shd w:val="clear" w:color="auto" w:fill="auto"/>
            <w:vAlign w:val="center"/>
          </w:tcPr>
          <w:p w14:paraId="2F2DEB2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w:t>
            </w:r>
          </w:p>
        </w:tc>
        <w:tc>
          <w:tcPr>
            <w:tcW w:w="745" w:type="dxa"/>
            <w:gridSpan w:val="3"/>
            <w:tcBorders>
              <w:top w:val="nil"/>
              <w:left w:val="nil"/>
              <w:bottom w:val="nil"/>
              <w:right w:val="nil"/>
            </w:tcBorders>
            <w:shd w:val="clear" w:color="auto" w:fill="auto"/>
            <w:vAlign w:val="center"/>
          </w:tcPr>
          <w:p w14:paraId="0FA4013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w:t>
            </w:r>
          </w:p>
        </w:tc>
        <w:tc>
          <w:tcPr>
            <w:tcW w:w="799" w:type="dxa"/>
            <w:gridSpan w:val="3"/>
            <w:tcBorders>
              <w:top w:val="nil"/>
              <w:left w:val="nil"/>
              <w:bottom w:val="nil"/>
              <w:right w:val="nil"/>
            </w:tcBorders>
            <w:shd w:val="clear" w:color="auto" w:fill="auto"/>
            <w:vAlign w:val="center"/>
          </w:tcPr>
          <w:p w14:paraId="21CFECC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2033.9</w:t>
            </w:r>
          </w:p>
        </w:tc>
      </w:tr>
      <w:tr w:rsidR="00C03B92" w:rsidRPr="008A5C48" w14:paraId="5FE6BC83"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74008AB5"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MEPA</w:t>
            </w:r>
          </w:p>
        </w:tc>
        <w:tc>
          <w:tcPr>
            <w:tcW w:w="634" w:type="dxa"/>
            <w:tcBorders>
              <w:top w:val="nil"/>
              <w:left w:val="nil"/>
              <w:bottom w:val="nil"/>
              <w:right w:val="nil"/>
            </w:tcBorders>
            <w:shd w:val="clear" w:color="auto" w:fill="auto"/>
            <w:vAlign w:val="center"/>
          </w:tcPr>
          <w:p w14:paraId="53D6285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59D611F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47CA08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1299 (99.8%)</w:t>
            </w:r>
          </w:p>
        </w:tc>
        <w:tc>
          <w:tcPr>
            <w:tcW w:w="1486" w:type="dxa"/>
            <w:gridSpan w:val="2"/>
            <w:tcBorders>
              <w:top w:val="nil"/>
              <w:left w:val="nil"/>
              <w:bottom w:val="nil"/>
              <w:right w:val="nil"/>
            </w:tcBorders>
            <w:shd w:val="clear" w:color="auto" w:fill="auto"/>
            <w:vAlign w:val="center"/>
          </w:tcPr>
          <w:p w14:paraId="3C2631E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99.70%</w:t>
            </w:r>
          </w:p>
        </w:tc>
        <w:tc>
          <w:tcPr>
            <w:tcW w:w="796" w:type="dxa"/>
            <w:gridSpan w:val="2"/>
            <w:tcBorders>
              <w:top w:val="nil"/>
              <w:left w:val="nil"/>
              <w:bottom w:val="nil"/>
              <w:right w:val="nil"/>
            </w:tcBorders>
            <w:shd w:val="clear" w:color="auto" w:fill="auto"/>
            <w:vAlign w:val="center"/>
          </w:tcPr>
          <w:p w14:paraId="205652B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3.3</w:t>
            </w:r>
          </w:p>
        </w:tc>
        <w:tc>
          <w:tcPr>
            <w:tcW w:w="696" w:type="dxa"/>
            <w:gridSpan w:val="2"/>
            <w:tcBorders>
              <w:top w:val="nil"/>
              <w:left w:val="nil"/>
              <w:bottom w:val="nil"/>
              <w:right w:val="nil"/>
            </w:tcBorders>
            <w:shd w:val="clear" w:color="auto" w:fill="auto"/>
            <w:vAlign w:val="center"/>
          </w:tcPr>
          <w:p w14:paraId="2AB0663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6.5</w:t>
            </w:r>
          </w:p>
        </w:tc>
        <w:tc>
          <w:tcPr>
            <w:tcW w:w="905" w:type="dxa"/>
            <w:gridSpan w:val="2"/>
            <w:tcBorders>
              <w:top w:val="nil"/>
              <w:left w:val="nil"/>
              <w:bottom w:val="nil"/>
              <w:right w:val="nil"/>
            </w:tcBorders>
            <w:shd w:val="clear" w:color="auto" w:fill="auto"/>
            <w:vAlign w:val="center"/>
          </w:tcPr>
          <w:p w14:paraId="4C4D174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9.8</w:t>
            </w:r>
          </w:p>
        </w:tc>
        <w:tc>
          <w:tcPr>
            <w:tcW w:w="745" w:type="dxa"/>
            <w:gridSpan w:val="3"/>
            <w:tcBorders>
              <w:top w:val="nil"/>
              <w:left w:val="nil"/>
              <w:bottom w:val="nil"/>
              <w:right w:val="nil"/>
            </w:tcBorders>
            <w:shd w:val="clear" w:color="auto" w:fill="auto"/>
            <w:vAlign w:val="center"/>
          </w:tcPr>
          <w:p w14:paraId="4481EDF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29.7</w:t>
            </w:r>
          </w:p>
        </w:tc>
        <w:tc>
          <w:tcPr>
            <w:tcW w:w="799" w:type="dxa"/>
            <w:gridSpan w:val="3"/>
            <w:tcBorders>
              <w:top w:val="nil"/>
              <w:left w:val="nil"/>
              <w:bottom w:val="nil"/>
              <w:right w:val="nil"/>
            </w:tcBorders>
            <w:shd w:val="clear" w:color="auto" w:fill="auto"/>
            <w:vAlign w:val="center"/>
          </w:tcPr>
          <w:p w14:paraId="4792A59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23987</w:t>
            </w:r>
          </w:p>
        </w:tc>
      </w:tr>
      <w:tr w:rsidR="00C03B92" w:rsidRPr="008A5C48" w14:paraId="03EC152F"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1DACBB3"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OXBE</w:t>
            </w:r>
          </w:p>
        </w:tc>
        <w:tc>
          <w:tcPr>
            <w:tcW w:w="634" w:type="dxa"/>
            <w:tcBorders>
              <w:top w:val="nil"/>
              <w:left w:val="nil"/>
              <w:bottom w:val="nil"/>
              <w:right w:val="nil"/>
            </w:tcBorders>
            <w:shd w:val="clear" w:color="auto" w:fill="auto"/>
            <w:vAlign w:val="center"/>
          </w:tcPr>
          <w:p w14:paraId="31C5714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7E96EC0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7EE8EC4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bottom w:val="nil"/>
              <w:right w:val="nil"/>
            </w:tcBorders>
            <w:shd w:val="clear" w:color="auto" w:fill="auto"/>
            <w:vAlign w:val="center"/>
          </w:tcPr>
          <w:p w14:paraId="48BE559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48E7237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w:t>
            </w:r>
          </w:p>
        </w:tc>
        <w:tc>
          <w:tcPr>
            <w:tcW w:w="696" w:type="dxa"/>
            <w:gridSpan w:val="2"/>
            <w:tcBorders>
              <w:top w:val="nil"/>
              <w:left w:val="nil"/>
              <w:bottom w:val="nil"/>
              <w:right w:val="nil"/>
            </w:tcBorders>
            <w:shd w:val="clear" w:color="auto" w:fill="auto"/>
            <w:vAlign w:val="center"/>
          </w:tcPr>
          <w:p w14:paraId="6647F48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0.9</w:t>
            </w:r>
          </w:p>
        </w:tc>
        <w:tc>
          <w:tcPr>
            <w:tcW w:w="905" w:type="dxa"/>
            <w:gridSpan w:val="2"/>
            <w:tcBorders>
              <w:top w:val="nil"/>
              <w:left w:val="nil"/>
              <w:bottom w:val="nil"/>
              <w:right w:val="nil"/>
            </w:tcBorders>
            <w:shd w:val="clear" w:color="auto" w:fill="auto"/>
            <w:vAlign w:val="center"/>
          </w:tcPr>
          <w:p w14:paraId="717DB62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2.2</w:t>
            </w:r>
          </w:p>
        </w:tc>
        <w:tc>
          <w:tcPr>
            <w:tcW w:w="745" w:type="dxa"/>
            <w:gridSpan w:val="3"/>
            <w:tcBorders>
              <w:top w:val="nil"/>
              <w:left w:val="nil"/>
              <w:bottom w:val="nil"/>
              <w:right w:val="nil"/>
            </w:tcBorders>
            <w:shd w:val="clear" w:color="auto" w:fill="auto"/>
            <w:vAlign w:val="center"/>
          </w:tcPr>
          <w:p w14:paraId="7EC152A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6.9</w:t>
            </w:r>
          </w:p>
        </w:tc>
        <w:tc>
          <w:tcPr>
            <w:tcW w:w="799" w:type="dxa"/>
            <w:gridSpan w:val="3"/>
            <w:tcBorders>
              <w:top w:val="nil"/>
              <w:left w:val="nil"/>
              <w:bottom w:val="nil"/>
              <w:right w:val="nil"/>
            </w:tcBorders>
            <w:shd w:val="clear" w:color="auto" w:fill="auto"/>
            <w:vAlign w:val="center"/>
          </w:tcPr>
          <w:p w14:paraId="598CA6E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7968</w:t>
            </w:r>
          </w:p>
        </w:tc>
      </w:tr>
      <w:tr w:rsidR="00C03B92" w:rsidRPr="008A5C48" w14:paraId="36FDE882"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2F56C11"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PRPA</w:t>
            </w:r>
          </w:p>
        </w:tc>
        <w:tc>
          <w:tcPr>
            <w:tcW w:w="634" w:type="dxa"/>
            <w:tcBorders>
              <w:top w:val="nil"/>
              <w:left w:val="nil"/>
              <w:bottom w:val="nil"/>
              <w:right w:val="nil"/>
            </w:tcBorders>
            <w:shd w:val="clear" w:color="auto" w:fill="auto"/>
            <w:vAlign w:val="center"/>
          </w:tcPr>
          <w:p w14:paraId="6C3F804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5B29BF5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6B9D933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1284 (98.7%)</w:t>
            </w:r>
          </w:p>
        </w:tc>
        <w:tc>
          <w:tcPr>
            <w:tcW w:w="1486" w:type="dxa"/>
            <w:gridSpan w:val="2"/>
            <w:tcBorders>
              <w:top w:val="nil"/>
              <w:left w:val="nil"/>
              <w:bottom w:val="nil"/>
              <w:right w:val="nil"/>
            </w:tcBorders>
            <w:shd w:val="clear" w:color="auto" w:fill="auto"/>
            <w:vAlign w:val="center"/>
          </w:tcPr>
          <w:p w14:paraId="17258A7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67.30%</w:t>
            </w:r>
          </w:p>
        </w:tc>
        <w:tc>
          <w:tcPr>
            <w:tcW w:w="796" w:type="dxa"/>
            <w:gridSpan w:val="2"/>
            <w:tcBorders>
              <w:top w:val="nil"/>
              <w:left w:val="nil"/>
              <w:bottom w:val="nil"/>
              <w:right w:val="nil"/>
            </w:tcBorders>
            <w:shd w:val="clear" w:color="auto" w:fill="auto"/>
            <w:vAlign w:val="center"/>
          </w:tcPr>
          <w:p w14:paraId="163C9C1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w:t>
            </w:r>
          </w:p>
        </w:tc>
        <w:tc>
          <w:tcPr>
            <w:tcW w:w="696" w:type="dxa"/>
            <w:gridSpan w:val="2"/>
            <w:tcBorders>
              <w:top w:val="nil"/>
              <w:left w:val="nil"/>
              <w:bottom w:val="nil"/>
              <w:right w:val="nil"/>
            </w:tcBorders>
            <w:shd w:val="clear" w:color="auto" w:fill="auto"/>
            <w:vAlign w:val="center"/>
          </w:tcPr>
          <w:p w14:paraId="2E3C068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w:t>
            </w:r>
          </w:p>
        </w:tc>
        <w:tc>
          <w:tcPr>
            <w:tcW w:w="905" w:type="dxa"/>
            <w:gridSpan w:val="2"/>
            <w:tcBorders>
              <w:top w:val="nil"/>
              <w:left w:val="nil"/>
              <w:bottom w:val="nil"/>
              <w:right w:val="nil"/>
            </w:tcBorders>
            <w:shd w:val="clear" w:color="auto" w:fill="auto"/>
            <w:vAlign w:val="center"/>
          </w:tcPr>
          <w:p w14:paraId="4FD428E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745" w:type="dxa"/>
            <w:gridSpan w:val="3"/>
            <w:tcBorders>
              <w:top w:val="nil"/>
              <w:left w:val="nil"/>
              <w:bottom w:val="nil"/>
              <w:right w:val="nil"/>
            </w:tcBorders>
            <w:shd w:val="clear" w:color="auto" w:fill="auto"/>
            <w:vAlign w:val="center"/>
          </w:tcPr>
          <w:p w14:paraId="19325CB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w:t>
            </w:r>
          </w:p>
        </w:tc>
        <w:tc>
          <w:tcPr>
            <w:tcW w:w="799" w:type="dxa"/>
            <w:gridSpan w:val="3"/>
            <w:tcBorders>
              <w:top w:val="nil"/>
              <w:left w:val="nil"/>
              <w:bottom w:val="nil"/>
              <w:right w:val="nil"/>
            </w:tcBorders>
            <w:shd w:val="clear" w:color="auto" w:fill="auto"/>
            <w:vAlign w:val="center"/>
          </w:tcPr>
          <w:p w14:paraId="3C1CC6A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1782.9</w:t>
            </w:r>
          </w:p>
        </w:tc>
      </w:tr>
      <w:tr w:rsidR="00C03B92" w:rsidRPr="008A5C48" w14:paraId="7471984E"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45CD9606"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TRCS</w:t>
            </w:r>
          </w:p>
        </w:tc>
        <w:tc>
          <w:tcPr>
            <w:tcW w:w="634" w:type="dxa"/>
            <w:tcBorders>
              <w:top w:val="nil"/>
              <w:left w:val="nil"/>
              <w:bottom w:val="nil"/>
              <w:right w:val="nil"/>
            </w:tcBorders>
            <w:shd w:val="clear" w:color="auto" w:fill="auto"/>
            <w:vAlign w:val="center"/>
          </w:tcPr>
          <w:p w14:paraId="7B01330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780E8A7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60E421F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bottom w:val="nil"/>
              <w:right w:val="nil"/>
            </w:tcBorders>
            <w:shd w:val="clear" w:color="auto" w:fill="auto"/>
            <w:vAlign w:val="center"/>
          </w:tcPr>
          <w:p w14:paraId="2AF72BD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99.90%</w:t>
            </w:r>
          </w:p>
        </w:tc>
        <w:tc>
          <w:tcPr>
            <w:tcW w:w="796" w:type="dxa"/>
            <w:gridSpan w:val="2"/>
            <w:tcBorders>
              <w:top w:val="nil"/>
              <w:left w:val="nil"/>
              <w:bottom w:val="nil"/>
              <w:right w:val="nil"/>
            </w:tcBorders>
            <w:shd w:val="clear" w:color="auto" w:fill="auto"/>
            <w:vAlign w:val="center"/>
          </w:tcPr>
          <w:p w14:paraId="6759924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w:t>
            </w:r>
          </w:p>
        </w:tc>
        <w:tc>
          <w:tcPr>
            <w:tcW w:w="696" w:type="dxa"/>
            <w:gridSpan w:val="2"/>
            <w:tcBorders>
              <w:top w:val="nil"/>
              <w:left w:val="nil"/>
              <w:bottom w:val="nil"/>
              <w:right w:val="nil"/>
            </w:tcBorders>
            <w:shd w:val="clear" w:color="auto" w:fill="auto"/>
            <w:vAlign w:val="center"/>
          </w:tcPr>
          <w:p w14:paraId="724E5A7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905" w:type="dxa"/>
            <w:gridSpan w:val="2"/>
            <w:tcBorders>
              <w:top w:val="nil"/>
              <w:left w:val="nil"/>
              <w:bottom w:val="nil"/>
              <w:right w:val="nil"/>
            </w:tcBorders>
            <w:shd w:val="clear" w:color="auto" w:fill="auto"/>
            <w:vAlign w:val="center"/>
          </w:tcPr>
          <w:p w14:paraId="42F1F79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0.6</w:t>
            </w:r>
          </w:p>
        </w:tc>
        <w:tc>
          <w:tcPr>
            <w:tcW w:w="745" w:type="dxa"/>
            <w:gridSpan w:val="3"/>
            <w:tcBorders>
              <w:top w:val="nil"/>
              <w:left w:val="nil"/>
              <w:bottom w:val="nil"/>
              <w:right w:val="nil"/>
            </w:tcBorders>
            <w:shd w:val="clear" w:color="auto" w:fill="auto"/>
            <w:vAlign w:val="center"/>
          </w:tcPr>
          <w:p w14:paraId="57B49D6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w:t>
            </w:r>
          </w:p>
        </w:tc>
        <w:tc>
          <w:tcPr>
            <w:tcW w:w="799" w:type="dxa"/>
            <w:gridSpan w:val="3"/>
            <w:tcBorders>
              <w:top w:val="nil"/>
              <w:left w:val="nil"/>
              <w:bottom w:val="nil"/>
              <w:right w:val="nil"/>
            </w:tcBorders>
            <w:shd w:val="clear" w:color="auto" w:fill="auto"/>
            <w:vAlign w:val="center"/>
          </w:tcPr>
          <w:p w14:paraId="47070C5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724.1</w:t>
            </w:r>
          </w:p>
        </w:tc>
      </w:tr>
      <w:tr w:rsidR="00C03B92" w:rsidRPr="008A5C48" w14:paraId="30748BCB"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44ECF0B5"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c>
          <w:tcPr>
            <w:tcW w:w="634" w:type="dxa"/>
            <w:tcBorders>
              <w:top w:val="nil"/>
              <w:left w:val="nil"/>
              <w:bottom w:val="nil"/>
              <w:right w:val="nil"/>
            </w:tcBorders>
            <w:shd w:val="clear" w:color="auto" w:fill="auto"/>
            <w:vAlign w:val="center"/>
          </w:tcPr>
          <w:p w14:paraId="50DB19B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111" w:type="dxa"/>
            <w:tcBorders>
              <w:top w:val="nil"/>
              <w:left w:val="nil"/>
              <w:bottom w:val="nil"/>
              <w:right w:val="nil"/>
            </w:tcBorders>
            <w:shd w:val="clear" w:color="auto" w:fill="auto"/>
            <w:vAlign w:val="center"/>
          </w:tcPr>
          <w:p w14:paraId="0076195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360" w:type="dxa"/>
            <w:tcBorders>
              <w:top w:val="nil"/>
              <w:left w:val="nil"/>
              <w:bottom w:val="nil"/>
              <w:right w:val="nil"/>
            </w:tcBorders>
            <w:shd w:val="clear" w:color="auto" w:fill="auto"/>
            <w:vAlign w:val="center"/>
          </w:tcPr>
          <w:p w14:paraId="4DB5BC6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486" w:type="dxa"/>
            <w:gridSpan w:val="2"/>
            <w:tcBorders>
              <w:top w:val="nil"/>
              <w:left w:val="nil"/>
              <w:bottom w:val="nil"/>
              <w:right w:val="nil"/>
            </w:tcBorders>
            <w:shd w:val="clear" w:color="auto" w:fill="auto"/>
            <w:vAlign w:val="center"/>
          </w:tcPr>
          <w:p w14:paraId="5009609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6" w:type="dxa"/>
            <w:gridSpan w:val="2"/>
            <w:tcBorders>
              <w:top w:val="nil"/>
              <w:left w:val="nil"/>
              <w:bottom w:val="nil"/>
              <w:right w:val="nil"/>
            </w:tcBorders>
            <w:shd w:val="clear" w:color="auto" w:fill="auto"/>
            <w:vAlign w:val="center"/>
          </w:tcPr>
          <w:p w14:paraId="12CB1D0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696" w:type="dxa"/>
            <w:gridSpan w:val="2"/>
            <w:tcBorders>
              <w:top w:val="nil"/>
              <w:left w:val="nil"/>
              <w:bottom w:val="nil"/>
              <w:right w:val="nil"/>
            </w:tcBorders>
            <w:shd w:val="clear" w:color="auto" w:fill="auto"/>
            <w:vAlign w:val="center"/>
          </w:tcPr>
          <w:p w14:paraId="15257AC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905" w:type="dxa"/>
            <w:gridSpan w:val="2"/>
            <w:tcBorders>
              <w:top w:val="nil"/>
              <w:left w:val="nil"/>
              <w:bottom w:val="nil"/>
              <w:right w:val="nil"/>
            </w:tcBorders>
            <w:shd w:val="clear" w:color="auto" w:fill="auto"/>
            <w:vAlign w:val="center"/>
          </w:tcPr>
          <w:p w14:paraId="59E3C09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45" w:type="dxa"/>
            <w:gridSpan w:val="3"/>
            <w:tcBorders>
              <w:top w:val="nil"/>
              <w:left w:val="nil"/>
              <w:bottom w:val="nil"/>
              <w:right w:val="nil"/>
            </w:tcBorders>
            <w:shd w:val="clear" w:color="auto" w:fill="auto"/>
            <w:vAlign w:val="center"/>
          </w:tcPr>
          <w:p w14:paraId="11613A3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9" w:type="dxa"/>
            <w:gridSpan w:val="3"/>
            <w:tcBorders>
              <w:top w:val="nil"/>
              <w:left w:val="nil"/>
              <w:bottom w:val="nil"/>
              <w:right w:val="nil"/>
            </w:tcBorders>
            <w:shd w:val="clear" w:color="auto" w:fill="auto"/>
            <w:vAlign w:val="center"/>
          </w:tcPr>
          <w:p w14:paraId="5A02975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r>
      <w:tr w:rsidR="00C03B92" w:rsidRPr="008A5C48" w14:paraId="5ECB0954" w14:textId="77777777" w:rsidTr="0034607E">
        <w:trPr>
          <w:trHeight w:val="194"/>
          <w:jc w:val="center"/>
        </w:trPr>
        <w:tc>
          <w:tcPr>
            <w:tcW w:w="8167" w:type="dxa"/>
            <w:gridSpan w:val="13"/>
            <w:tcBorders>
              <w:top w:val="nil"/>
              <w:left w:val="nil"/>
              <w:bottom w:val="nil"/>
              <w:right w:val="nil"/>
            </w:tcBorders>
            <w:shd w:val="clear" w:color="auto" w:fill="auto"/>
            <w:vAlign w:val="center"/>
          </w:tcPr>
          <w:p w14:paraId="0223C484"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b/>
                <w:color w:val="000000"/>
                <w:sz w:val="20"/>
                <w:szCs w:val="20"/>
              </w:rPr>
              <w:t>Organochlorines compounds (OCs)</w:t>
            </w:r>
          </w:p>
        </w:tc>
        <w:tc>
          <w:tcPr>
            <w:tcW w:w="745" w:type="dxa"/>
            <w:gridSpan w:val="3"/>
            <w:tcBorders>
              <w:top w:val="nil"/>
              <w:left w:val="nil"/>
              <w:bottom w:val="nil"/>
              <w:right w:val="nil"/>
            </w:tcBorders>
            <w:shd w:val="clear" w:color="auto" w:fill="auto"/>
            <w:vAlign w:val="center"/>
          </w:tcPr>
          <w:p w14:paraId="3136A04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9" w:type="dxa"/>
            <w:gridSpan w:val="3"/>
            <w:tcBorders>
              <w:top w:val="nil"/>
              <w:left w:val="nil"/>
              <w:bottom w:val="nil"/>
              <w:right w:val="nil"/>
            </w:tcBorders>
            <w:shd w:val="clear" w:color="auto" w:fill="auto"/>
            <w:vAlign w:val="center"/>
          </w:tcPr>
          <w:p w14:paraId="17B03AC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r>
      <w:tr w:rsidR="00C03B92" w:rsidRPr="008A5C48" w14:paraId="031235D0"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2E31C817"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DDE</w:t>
            </w:r>
          </w:p>
        </w:tc>
        <w:tc>
          <w:tcPr>
            <w:tcW w:w="634" w:type="dxa"/>
            <w:tcBorders>
              <w:top w:val="nil"/>
              <w:left w:val="nil"/>
              <w:bottom w:val="nil"/>
              <w:right w:val="nil"/>
            </w:tcBorders>
            <w:shd w:val="clear" w:color="auto" w:fill="auto"/>
            <w:vAlign w:val="center"/>
          </w:tcPr>
          <w:p w14:paraId="46D5D56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146888F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095C311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1048 (80.6%)</w:t>
            </w:r>
          </w:p>
        </w:tc>
        <w:tc>
          <w:tcPr>
            <w:tcW w:w="1486" w:type="dxa"/>
            <w:gridSpan w:val="2"/>
            <w:tcBorders>
              <w:top w:val="nil"/>
              <w:left w:val="nil"/>
              <w:bottom w:val="nil"/>
              <w:right w:val="nil"/>
            </w:tcBorders>
            <w:shd w:val="clear" w:color="auto" w:fill="auto"/>
            <w:vAlign w:val="center"/>
          </w:tcPr>
          <w:p w14:paraId="30D34D3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99.90%</w:t>
            </w:r>
          </w:p>
        </w:tc>
        <w:tc>
          <w:tcPr>
            <w:tcW w:w="796" w:type="dxa"/>
            <w:gridSpan w:val="2"/>
            <w:tcBorders>
              <w:top w:val="nil"/>
              <w:left w:val="nil"/>
              <w:bottom w:val="nil"/>
              <w:right w:val="nil"/>
            </w:tcBorders>
            <w:shd w:val="clear" w:color="auto" w:fill="auto"/>
            <w:vAlign w:val="center"/>
          </w:tcPr>
          <w:p w14:paraId="354704D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388</w:t>
            </w:r>
          </w:p>
        </w:tc>
        <w:tc>
          <w:tcPr>
            <w:tcW w:w="696" w:type="dxa"/>
            <w:gridSpan w:val="2"/>
            <w:tcBorders>
              <w:top w:val="nil"/>
              <w:left w:val="nil"/>
              <w:bottom w:val="nil"/>
              <w:right w:val="nil"/>
            </w:tcBorders>
            <w:shd w:val="clear" w:color="auto" w:fill="auto"/>
            <w:vAlign w:val="center"/>
          </w:tcPr>
          <w:p w14:paraId="009254C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675</w:t>
            </w:r>
          </w:p>
        </w:tc>
        <w:tc>
          <w:tcPr>
            <w:tcW w:w="905" w:type="dxa"/>
            <w:gridSpan w:val="2"/>
            <w:tcBorders>
              <w:top w:val="nil"/>
              <w:left w:val="nil"/>
              <w:bottom w:val="nil"/>
              <w:right w:val="nil"/>
            </w:tcBorders>
            <w:shd w:val="clear" w:color="auto" w:fill="auto"/>
            <w:vAlign w:val="center"/>
          </w:tcPr>
          <w:p w14:paraId="08CA01A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1024</w:t>
            </w:r>
          </w:p>
        </w:tc>
        <w:tc>
          <w:tcPr>
            <w:tcW w:w="745" w:type="dxa"/>
            <w:gridSpan w:val="3"/>
            <w:tcBorders>
              <w:top w:val="nil"/>
              <w:left w:val="nil"/>
              <w:bottom w:val="nil"/>
              <w:right w:val="nil"/>
            </w:tcBorders>
            <w:shd w:val="clear" w:color="auto" w:fill="auto"/>
            <w:vAlign w:val="center"/>
          </w:tcPr>
          <w:p w14:paraId="48AE041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1663</w:t>
            </w:r>
          </w:p>
        </w:tc>
        <w:tc>
          <w:tcPr>
            <w:tcW w:w="799" w:type="dxa"/>
            <w:gridSpan w:val="3"/>
            <w:tcBorders>
              <w:top w:val="nil"/>
              <w:left w:val="nil"/>
              <w:bottom w:val="nil"/>
              <w:right w:val="nil"/>
            </w:tcBorders>
            <w:shd w:val="clear" w:color="auto" w:fill="auto"/>
            <w:vAlign w:val="center"/>
          </w:tcPr>
          <w:p w14:paraId="56E0A47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21618</w:t>
            </w:r>
          </w:p>
        </w:tc>
      </w:tr>
      <w:tr w:rsidR="00C03B92" w:rsidRPr="008A5C48" w14:paraId="1817DEC1"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CA71219"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DDT</w:t>
            </w:r>
          </w:p>
        </w:tc>
        <w:tc>
          <w:tcPr>
            <w:tcW w:w="634" w:type="dxa"/>
            <w:tcBorders>
              <w:top w:val="nil"/>
              <w:left w:val="nil"/>
              <w:bottom w:val="nil"/>
              <w:right w:val="nil"/>
            </w:tcBorders>
            <w:shd w:val="clear" w:color="auto" w:fill="auto"/>
            <w:vAlign w:val="center"/>
          </w:tcPr>
          <w:p w14:paraId="606E495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02013E2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04B9BE4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855 (65.7%)</w:t>
            </w:r>
          </w:p>
        </w:tc>
        <w:tc>
          <w:tcPr>
            <w:tcW w:w="1486" w:type="dxa"/>
            <w:gridSpan w:val="2"/>
            <w:tcBorders>
              <w:top w:val="nil"/>
              <w:left w:val="nil"/>
              <w:bottom w:val="nil"/>
              <w:right w:val="nil"/>
            </w:tcBorders>
            <w:shd w:val="clear" w:color="auto" w:fill="auto"/>
            <w:vAlign w:val="center"/>
          </w:tcPr>
          <w:p w14:paraId="64C4688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65.60%</w:t>
            </w:r>
          </w:p>
        </w:tc>
        <w:tc>
          <w:tcPr>
            <w:tcW w:w="796" w:type="dxa"/>
            <w:gridSpan w:val="2"/>
            <w:tcBorders>
              <w:top w:val="nil"/>
              <w:left w:val="nil"/>
              <w:bottom w:val="nil"/>
              <w:right w:val="nil"/>
            </w:tcBorders>
            <w:shd w:val="clear" w:color="auto" w:fill="auto"/>
            <w:vAlign w:val="center"/>
          </w:tcPr>
          <w:p w14:paraId="5DEBEF1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10.9</w:t>
            </w:r>
          </w:p>
        </w:tc>
        <w:tc>
          <w:tcPr>
            <w:tcW w:w="696" w:type="dxa"/>
            <w:gridSpan w:val="2"/>
            <w:tcBorders>
              <w:top w:val="nil"/>
              <w:left w:val="nil"/>
              <w:bottom w:val="nil"/>
              <w:right w:val="nil"/>
            </w:tcBorders>
            <w:shd w:val="clear" w:color="auto" w:fill="auto"/>
            <w:vAlign w:val="center"/>
          </w:tcPr>
          <w:p w14:paraId="3F40E66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21.7</w:t>
            </w:r>
          </w:p>
        </w:tc>
        <w:tc>
          <w:tcPr>
            <w:tcW w:w="905" w:type="dxa"/>
            <w:gridSpan w:val="2"/>
            <w:tcBorders>
              <w:top w:val="nil"/>
              <w:left w:val="nil"/>
              <w:bottom w:val="nil"/>
              <w:right w:val="nil"/>
            </w:tcBorders>
            <w:shd w:val="clear" w:color="auto" w:fill="auto"/>
            <w:vAlign w:val="center"/>
          </w:tcPr>
          <w:p w14:paraId="37D4DAF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27.7</w:t>
            </w:r>
          </w:p>
        </w:tc>
        <w:tc>
          <w:tcPr>
            <w:tcW w:w="745" w:type="dxa"/>
            <w:gridSpan w:val="3"/>
            <w:tcBorders>
              <w:top w:val="nil"/>
              <w:left w:val="nil"/>
              <w:bottom w:val="nil"/>
              <w:right w:val="nil"/>
            </w:tcBorders>
            <w:shd w:val="clear" w:color="auto" w:fill="auto"/>
            <w:vAlign w:val="center"/>
          </w:tcPr>
          <w:p w14:paraId="7BE0D06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56.1</w:t>
            </w:r>
          </w:p>
        </w:tc>
        <w:tc>
          <w:tcPr>
            <w:tcW w:w="799" w:type="dxa"/>
            <w:gridSpan w:val="3"/>
            <w:tcBorders>
              <w:top w:val="nil"/>
              <w:left w:val="nil"/>
              <w:bottom w:val="nil"/>
              <w:right w:val="nil"/>
            </w:tcBorders>
            <w:shd w:val="clear" w:color="auto" w:fill="auto"/>
            <w:vAlign w:val="center"/>
          </w:tcPr>
          <w:p w14:paraId="7AA7F2B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1120.6</w:t>
            </w:r>
          </w:p>
        </w:tc>
      </w:tr>
      <w:tr w:rsidR="00C03B92" w:rsidRPr="008A5C48" w14:paraId="2B7E98F6"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6C95E77"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HCB</w:t>
            </w:r>
          </w:p>
        </w:tc>
        <w:tc>
          <w:tcPr>
            <w:tcW w:w="634" w:type="dxa"/>
            <w:tcBorders>
              <w:top w:val="nil"/>
              <w:left w:val="nil"/>
              <w:bottom w:val="nil"/>
              <w:right w:val="nil"/>
            </w:tcBorders>
            <w:shd w:val="clear" w:color="auto" w:fill="auto"/>
            <w:vAlign w:val="center"/>
          </w:tcPr>
          <w:p w14:paraId="5639D89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0436FF2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4CE692D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1048 (80.6%)</w:t>
            </w:r>
          </w:p>
        </w:tc>
        <w:tc>
          <w:tcPr>
            <w:tcW w:w="1486" w:type="dxa"/>
            <w:gridSpan w:val="2"/>
            <w:tcBorders>
              <w:top w:val="nil"/>
              <w:left w:val="nil"/>
              <w:bottom w:val="nil"/>
              <w:right w:val="nil"/>
            </w:tcBorders>
            <w:shd w:val="clear" w:color="auto" w:fill="auto"/>
            <w:vAlign w:val="center"/>
          </w:tcPr>
          <w:p w14:paraId="449D2E7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99.10%</w:t>
            </w:r>
          </w:p>
        </w:tc>
        <w:tc>
          <w:tcPr>
            <w:tcW w:w="796" w:type="dxa"/>
            <w:gridSpan w:val="2"/>
            <w:tcBorders>
              <w:top w:val="nil"/>
              <w:left w:val="nil"/>
              <w:bottom w:val="nil"/>
              <w:right w:val="nil"/>
            </w:tcBorders>
            <w:shd w:val="clear" w:color="auto" w:fill="auto"/>
            <w:vAlign w:val="center"/>
          </w:tcPr>
          <w:p w14:paraId="5D0D0AB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73</w:t>
            </w:r>
          </w:p>
        </w:tc>
        <w:tc>
          <w:tcPr>
            <w:tcW w:w="696" w:type="dxa"/>
            <w:gridSpan w:val="2"/>
            <w:tcBorders>
              <w:top w:val="nil"/>
              <w:left w:val="nil"/>
              <w:bottom w:val="nil"/>
              <w:right w:val="nil"/>
            </w:tcBorders>
            <w:shd w:val="clear" w:color="auto" w:fill="auto"/>
            <w:vAlign w:val="center"/>
          </w:tcPr>
          <w:p w14:paraId="5861B74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143</w:t>
            </w:r>
          </w:p>
        </w:tc>
        <w:tc>
          <w:tcPr>
            <w:tcW w:w="905" w:type="dxa"/>
            <w:gridSpan w:val="2"/>
            <w:tcBorders>
              <w:top w:val="nil"/>
              <w:left w:val="nil"/>
              <w:bottom w:val="nil"/>
              <w:right w:val="nil"/>
            </w:tcBorders>
            <w:shd w:val="clear" w:color="auto" w:fill="auto"/>
            <w:vAlign w:val="center"/>
          </w:tcPr>
          <w:p w14:paraId="37C0BE4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178.5</w:t>
            </w:r>
          </w:p>
        </w:tc>
        <w:tc>
          <w:tcPr>
            <w:tcW w:w="745" w:type="dxa"/>
            <w:gridSpan w:val="3"/>
            <w:tcBorders>
              <w:top w:val="nil"/>
              <w:left w:val="nil"/>
              <w:bottom w:val="nil"/>
              <w:right w:val="nil"/>
            </w:tcBorders>
            <w:shd w:val="clear" w:color="auto" w:fill="auto"/>
            <w:vAlign w:val="center"/>
          </w:tcPr>
          <w:p w14:paraId="784FF54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232.3</w:t>
            </w:r>
          </w:p>
        </w:tc>
        <w:tc>
          <w:tcPr>
            <w:tcW w:w="799" w:type="dxa"/>
            <w:gridSpan w:val="3"/>
            <w:tcBorders>
              <w:top w:val="nil"/>
              <w:left w:val="nil"/>
              <w:bottom w:val="nil"/>
              <w:right w:val="nil"/>
            </w:tcBorders>
            <w:shd w:val="clear" w:color="auto" w:fill="auto"/>
            <w:vAlign w:val="center"/>
          </w:tcPr>
          <w:p w14:paraId="2E81253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1488.9</w:t>
            </w:r>
          </w:p>
        </w:tc>
      </w:tr>
      <w:tr w:rsidR="00C03B92" w:rsidRPr="008A5C48" w14:paraId="16BBC019"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2BEDC40"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PCB 118</w:t>
            </w:r>
          </w:p>
        </w:tc>
        <w:tc>
          <w:tcPr>
            <w:tcW w:w="634" w:type="dxa"/>
            <w:tcBorders>
              <w:top w:val="nil"/>
              <w:left w:val="nil"/>
              <w:bottom w:val="nil"/>
              <w:right w:val="nil"/>
            </w:tcBorders>
            <w:shd w:val="clear" w:color="auto" w:fill="auto"/>
            <w:vAlign w:val="center"/>
          </w:tcPr>
          <w:p w14:paraId="5F1456A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2A4CD82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610D0C5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858 (65.9%)</w:t>
            </w:r>
          </w:p>
        </w:tc>
        <w:tc>
          <w:tcPr>
            <w:tcW w:w="1486" w:type="dxa"/>
            <w:gridSpan w:val="2"/>
            <w:tcBorders>
              <w:top w:val="nil"/>
              <w:left w:val="nil"/>
              <w:bottom w:val="nil"/>
              <w:right w:val="nil"/>
            </w:tcBorders>
            <w:shd w:val="clear" w:color="auto" w:fill="auto"/>
            <w:vAlign w:val="center"/>
          </w:tcPr>
          <w:p w14:paraId="4C9F139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79.10%</w:t>
            </w:r>
          </w:p>
        </w:tc>
        <w:tc>
          <w:tcPr>
            <w:tcW w:w="796" w:type="dxa"/>
            <w:gridSpan w:val="2"/>
            <w:tcBorders>
              <w:top w:val="nil"/>
              <w:left w:val="nil"/>
              <w:bottom w:val="nil"/>
              <w:right w:val="nil"/>
            </w:tcBorders>
            <w:shd w:val="clear" w:color="auto" w:fill="auto"/>
            <w:vAlign w:val="center"/>
          </w:tcPr>
          <w:p w14:paraId="0DC035B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20.4</w:t>
            </w:r>
          </w:p>
        </w:tc>
        <w:tc>
          <w:tcPr>
            <w:tcW w:w="696" w:type="dxa"/>
            <w:gridSpan w:val="2"/>
            <w:tcBorders>
              <w:top w:val="nil"/>
              <w:left w:val="nil"/>
              <w:bottom w:val="nil"/>
              <w:right w:val="nil"/>
            </w:tcBorders>
            <w:shd w:val="clear" w:color="auto" w:fill="auto"/>
            <w:vAlign w:val="center"/>
          </w:tcPr>
          <w:p w14:paraId="21DA8D5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38.1</w:t>
            </w:r>
          </w:p>
        </w:tc>
        <w:tc>
          <w:tcPr>
            <w:tcW w:w="905" w:type="dxa"/>
            <w:gridSpan w:val="2"/>
            <w:tcBorders>
              <w:top w:val="nil"/>
              <w:left w:val="nil"/>
              <w:bottom w:val="nil"/>
              <w:right w:val="nil"/>
            </w:tcBorders>
            <w:shd w:val="clear" w:color="auto" w:fill="auto"/>
            <w:vAlign w:val="center"/>
          </w:tcPr>
          <w:p w14:paraId="586D423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55.3</w:t>
            </w:r>
          </w:p>
        </w:tc>
        <w:tc>
          <w:tcPr>
            <w:tcW w:w="745" w:type="dxa"/>
            <w:gridSpan w:val="3"/>
            <w:tcBorders>
              <w:top w:val="nil"/>
              <w:left w:val="nil"/>
              <w:bottom w:val="nil"/>
              <w:right w:val="nil"/>
            </w:tcBorders>
            <w:shd w:val="clear" w:color="auto" w:fill="auto"/>
            <w:vAlign w:val="center"/>
          </w:tcPr>
          <w:p w14:paraId="7291D1E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84.4</w:t>
            </w:r>
          </w:p>
        </w:tc>
        <w:tc>
          <w:tcPr>
            <w:tcW w:w="799" w:type="dxa"/>
            <w:gridSpan w:val="3"/>
            <w:tcBorders>
              <w:top w:val="nil"/>
              <w:left w:val="nil"/>
              <w:bottom w:val="nil"/>
              <w:right w:val="nil"/>
            </w:tcBorders>
            <w:shd w:val="clear" w:color="auto" w:fill="auto"/>
            <w:vAlign w:val="center"/>
          </w:tcPr>
          <w:p w14:paraId="5F2E854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600.5</w:t>
            </w:r>
          </w:p>
        </w:tc>
      </w:tr>
      <w:tr w:rsidR="00C03B92" w:rsidRPr="008A5C48" w14:paraId="54C77737"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BC5479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PCB 138</w:t>
            </w:r>
          </w:p>
        </w:tc>
        <w:tc>
          <w:tcPr>
            <w:tcW w:w="634" w:type="dxa"/>
            <w:tcBorders>
              <w:top w:val="nil"/>
              <w:left w:val="nil"/>
              <w:bottom w:val="nil"/>
              <w:right w:val="nil"/>
            </w:tcBorders>
            <w:shd w:val="clear" w:color="auto" w:fill="auto"/>
            <w:vAlign w:val="center"/>
          </w:tcPr>
          <w:p w14:paraId="1A59254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68F80D6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0F27F96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1048 (80.6%)</w:t>
            </w:r>
          </w:p>
        </w:tc>
        <w:tc>
          <w:tcPr>
            <w:tcW w:w="1486" w:type="dxa"/>
            <w:gridSpan w:val="2"/>
            <w:tcBorders>
              <w:top w:val="nil"/>
              <w:left w:val="nil"/>
              <w:bottom w:val="nil"/>
              <w:right w:val="nil"/>
            </w:tcBorders>
            <w:shd w:val="clear" w:color="auto" w:fill="auto"/>
            <w:vAlign w:val="center"/>
          </w:tcPr>
          <w:p w14:paraId="0B96852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96.50%</w:t>
            </w:r>
          </w:p>
        </w:tc>
        <w:tc>
          <w:tcPr>
            <w:tcW w:w="796" w:type="dxa"/>
            <w:gridSpan w:val="2"/>
            <w:tcBorders>
              <w:top w:val="nil"/>
              <w:left w:val="nil"/>
              <w:bottom w:val="nil"/>
              <w:right w:val="nil"/>
            </w:tcBorders>
            <w:shd w:val="clear" w:color="auto" w:fill="auto"/>
            <w:vAlign w:val="center"/>
          </w:tcPr>
          <w:p w14:paraId="287E381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76.6</w:t>
            </w:r>
          </w:p>
        </w:tc>
        <w:tc>
          <w:tcPr>
            <w:tcW w:w="696" w:type="dxa"/>
            <w:gridSpan w:val="2"/>
            <w:tcBorders>
              <w:top w:val="nil"/>
              <w:left w:val="nil"/>
              <w:bottom w:val="nil"/>
              <w:right w:val="nil"/>
            </w:tcBorders>
            <w:shd w:val="clear" w:color="auto" w:fill="auto"/>
            <w:vAlign w:val="center"/>
          </w:tcPr>
          <w:p w14:paraId="0D3B139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125.4</w:t>
            </w:r>
          </w:p>
        </w:tc>
        <w:tc>
          <w:tcPr>
            <w:tcW w:w="905" w:type="dxa"/>
            <w:gridSpan w:val="2"/>
            <w:tcBorders>
              <w:top w:val="nil"/>
              <w:left w:val="nil"/>
              <w:bottom w:val="nil"/>
              <w:right w:val="nil"/>
            </w:tcBorders>
            <w:shd w:val="clear" w:color="auto" w:fill="auto"/>
            <w:vAlign w:val="center"/>
          </w:tcPr>
          <w:p w14:paraId="2E6C438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174.9</w:t>
            </w:r>
          </w:p>
        </w:tc>
        <w:tc>
          <w:tcPr>
            <w:tcW w:w="745" w:type="dxa"/>
            <w:gridSpan w:val="3"/>
            <w:tcBorders>
              <w:top w:val="nil"/>
              <w:left w:val="nil"/>
              <w:bottom w:val="nil"/>
              <w:right w:val="nil"/>
            </w:tcBorders>
            <w:shd w:val="clear" w:color="auto" w:fill="auto"/>
            <w:vAlign w:val="center"/>
          </w:tcPr>
          <w:p w14:paraId="0A67758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256</w:t>
            </w:r>
          </w:p>
        </w:tc>
        <w:tc>
          <w:tcPr>
            <w:tcW w:w="799" w:type="dxa"/>
            <w:gridSpan w:val="3"/>
            <w:tcBorders>
              <w:top w:val="nil"/>
              <w:left w:val="nil"/>
              <w:bottom w:val="nil"/>
              <w:right w:val="nil"/>
            </w:tcBorders>
            <w:shd w:val="clear" w:color="auto" w:fill="auto"/>
            <w:vAlign w:val="center"/>
          </w:tcPr>
          <w:p w14:paraId="3E155E1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1951</w:t>
            </w:r>
          </w:p>
        </w:tc>
      </w:tr>
      <w:tr w:rsidR="00C03B92" w:rsidRPr="008A5C48" w14:paraId="3B32523A"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0335512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PCB 153</w:t>
            </w:r>
          </w:p>
        </w:tc>
        <w:tc>
          <w:tcPr>
            <w:tcW w:w="634" w:type="dxa"/>
            <w:tcBorders>
              <w:top w:val="nil"/>
              <w:left w:val="nil"/>
              <w:bottom w:val="nil"/>
              <w:right w:val="nil"/>
            </w:tcBorders>
            <w:shd w:val="clear" w:color="auto" w:fill="auto"/>
            <w:vAlign w:val="center"/>
          </w:tcPr>
          <w:p w14:paraId="2F77D6C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2378842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61731C3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1048 (80.6%)</w:t>
            </w:r>
          </w:p>
        </w:tc>
        <w:tc>
          <w:tcPr>
            <w:tcW w:w="1486" w:type="dxa"/>
            <w:gridSpan w:val="2"/>
            <w:tcBorders>
              <w:top w:val="nil"/>
              <w:left w:val="nil"/>
              <w:bottom w:val="nil"/>
              <w:right w:val="nil"/>
            </w:tcBorders>
            <w:shd w:val="clear" w:color="auto" w:fill="auto"/>
            <w:vAlign w:val="center"/>
          </w:tcPr>
          <w:p w14:paraId="180F605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99.60%</w:t>
            </w:r>
          </w:p>
        </w:tc>
        <w:tc>
          <w:tcPr>
            <w:tcW w:w="796" w:type="dxa"/>
            <w:gridSpan w:val="2"/>
            <w:tcBorders>
              <w:top w:val="nil"/>
              <w:left w:val="nil"/>
              <w:bottom w:val="nil"/>
              <w:right w:val="nil"/>
            </w:tcBorders>
            <w:shd w:val="clear" w:color="auto" w:fill="auto"/>
            <w:vAlign w:val="center"/>
          </w:tcPr>
          <w:p w14:paraId="20EF15E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146</w:t>
            </w:r>
          </w:p>
        </w:tc>
        <w:tc>
          <w:tcPr>
            <w:tcW w:w="696" w:type="dxa"/>
            <w:gridSpan w:val="2"/>
            <w:tcBorders>
              <w:top w:val="nil"/>
              <w:left w:val="nil"/>
              <w:bottom w:val="nil"/>
              <w:right w:val="nil"/>
            </w:tcBorders>
            <w:shd w:val="clear" w:color="auto" w:fill="auto"/>
            <w:vAlign w:val="center"/>
          </w:tcPr>
          <w:p w14:paraId="0F28699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245.6</w:t>
            </w:r>
          </w:p>
        </w:tc>
        <w:tc>
          <w:tcPr>
            <w:tcW w:w="905" w:type="dxa"/>
            <w:gridSpan w:val="2"/>
            <w:tcBorders>
              <w:top w:val="nil"/>
              <w:left w:val="nil"/>
              <w:bottom w:val="nil"/>
              <w:right w:val="nil"/>
            </w:tcBorders>
            <w:shd w:val="clear" w:color="auto" w:fill="auto"/>
            <w:vAlign w:val="center"/>
          </w:tcPr>
          <w:p w14:paraId="1C68309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340.1</w:t>
            </w:r>
          </w:p>
        </w:tc>
        <w:tc>
          <w:tcPr>
            <w:tcW w:w="745" w:type="dxa"/>
            <w:gridSpan w:val="3"/>
            <w:tcBorders>
              <w:top w:val="nil"/>
              <w:left w:val="nil"/>
              <w:bottom w:val="nil"/>
              <w:right w:val="nil"/>
            </w:tcBorders>
            <w:shd w:val="clear" w:color="auto" w:fill="auto"/>
            <w:vAlign w:val="center"/>
          </w:tcPr>
          <w:p w14:paraId="641D873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494.6</w:t>
            </w:r>
          </w:p>
        </w:tc>
        <w:tc>
          <w:tcPr>
            <w:tcW w:w="799" w:type="dxa"/>
            <w:gridSpan w:val="3"/>
            <w:tcBorders>
              <w:top w:val="nil"/>
              <w:left w:val="nil"/>
              <w:bottom w:val="nil"/>
              <w:right w:val="nil"/>
            </w:tcBorders>
            <w:shd w:val="clear" w:color="auto" w:fill="auto"/>
            <w:vAlign w:val="center"/>
          </w:tcPr>
          <w:p w14:paraId="5BD9522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3213.7</w:t>
            </w:r>
          </w:p>
        </w:tc>
      </w:tr>
      <w:tr w:rsidR="00C03B92" w:rsidRPr="008A5C48" w14:paraId="10FF58B6"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48958A9"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PCB 170</w:t>
            </w:r>
          </w:p>
        </w:tc>
        <w:tc>
          <w:tcPr>
            <w:tcW w:w="634" w:type="dxa"/>
            <w:tcBorders>
              <w:top w:val="nil"/>
              <w:left w:val="nil"/>
              <w:bottom w:val="nil"/>
              <w:right w:val="nil"/>
            </w:tcBorders>
            <w:shd w:val="clear" w:color="auto" w:fill="auto"/>
            <w:vAlign w:val="center"/>
          </w:tcPr>
          <w:p w14:paraId="741AF9D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49EFEB5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1424965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855 (65.7%)</w:t>
            </w:r>
          </w:p>
        </w:tc>
        <w:tc>
          <w:tcPr>
            <w:tcW w:w="1486" w:type="dxa"/>
            <w:gridSpan w:val="2"/>
            <w:tcBorders>
              <w:top w:val="nil"/>
              <w:left w:val="nil"/>
              <w:bottom w:val="nil"/>
              <w:right w:val="nil"/>
            </w:tcBorders>
            <w:shd w:val="clear" w:color="auto" w:fill="auto"/>
            <w:vAlign w:val="center"/>
          </w:tcPr>
          <w:p w14:paraId="5AA9503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99.50%</w:t>
            </w:r>
          </w:p>
        </w:tc>
        <w:tc>
          <w:tcPr>
            <w:tcW w:w="796" w:type="dxa"/>
            <w:gridSpan w:val="2"/>
            <w:tcBorders>
              <w:top w:val="nil"/>
              <w:left w:val="nil"/>
              <w:bottom w:val="nil"/>
              <w:right w:val="nil"/>
            </w:tcBorders>
            <w:shd w:val="clear" w:color="auto" w:fill="auto"/>
            <w:vAlign w:val="center"/>
          </w:tcPr>
          <w:p w14:paraId="2C7827E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24.4</w:t>
            </w:r>
          </w:p>
        </w:tc>
        <w:tc>
          <w:tcPr>
            <w:tcW w:w="696" w:type="dxa"/>
            <w:gridSpan w:val="2"/>
            <w:tcBorders>
              <w:top w:val="nil"/>
              <w:left w:val="nil"/>
              <w:bottom w:val="nil"/>
              <w:right w:val="nil"/>
            </w:tcBorders>
            <w:shd w:val="clear" w:color="auto" w:fill="auto"/>
            <w:vAlign w:val="center"/>
          </w:tcPr>
          <w:p w14:paraId="18A07AE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47.8</w:t>
            </w:r>
          </w:p>
        </w:tc>
        <w:tc>
          <w:tcPr>
            <w:tcW w:w="905" w:type="dxa"/>
            <w:gridSpan w:val="2"/>
            <w:tcBorders>
              <w:top w:val="nil"/>
              <w:left w:val="nil"/>
              <w:bottom w:val="nil"/>
              <w:right w:val="nil"/>
            </w:tcBorders>
            <w:shd w:val="clear" w:color="auto" w:fill="auto"/>
            <w:vAlign w:val="center"/>
          </w:tcPr>
          <w:p w14:paraId="5F98A90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69.6</w:t>
            </w:r>
          </w:p>
        </w:tc>
        <w:tc>
          <w:tcPr>
            <w:tcW w:w="745" w:type="dxa"/>
            <w:gridSpan w:val="3"/>
            <w:tcBorders>
              <w:top w:val="nil"/>
              <w:left w:val="nil"/>
              <w:bottom w:val="nil"/>
              <w:right w:val="nil"/>
            </w:tcBorders>
            <w:shd w:val="clear" w:color="auto" w:fill="auto"/>
            <w:vAlign w:val="center"/>
          </w:tcPr>
          <w:p w14:paraId="7E99E7C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117</w:t>
            </w:r>
          </w:p>
        </w:tc>
        <w:tc>
          <w:tcPr>
            <w:tcW w:w="799" w:type="dxa"/>
            <w:gridSpan w:val="3"/>
            <w:tcBorders>
              <w:top w:val="nil"/>
              <w:left w:val="nil"/>
              <w:bottom w:val="nil"/>
              <w:right w:val="nil"/>
            </w:tcBorders>
            <w:shd w:val="clear" w:color="auto" w:fill="auto"/>
            <w:vAlign w:val="center"/>
          </w:tcPr>
          <w:p w14:paraId="715CD25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1438.2</w:t>
            </w:r>
          </w:p>
        </w:tc>
      </w:tr>
      <w:tr w:rsidR="00C03B92" w:rsidRPr="008A5C48" w14:paraId="3A28AE15"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2EFAFBA2"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PCB 180</w:t>
            </w:r>
          </w:p>
        </w:tc>
        <w:tc>
          <w:tcPr>
            <w:tcW w:w="634" w:type="dxa"/>
            <w:tcBorders>
              <w:top w:val="nil"/>
              <w:left w:val="nil"/>
              <w:bottom w:val="nil"/>
              <w:right w:val="nil"/>
            </w:tcBorders>
            <w:shd w:val="clear" w:color="auto" w:fill="auto"/>
            <w:vAlign w:val="center"/>
          </w:tcPr>
          <w:p w14:paraId="6D94548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6E7CE29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480CAED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1048 (80.6%)</w:t>
            </w:r>
          </w:p>
        </w:tc>
        <w:tc>
          <w:tcPr>
            <w:tcW w:w="1486" w:type="dxa"/>
            <w:gridSpan w:val="2"/>
            <w:tcBorders>
              <w:top w:val="nil"/>
              <w:left w:val="nil"/>
              <w:bottom w:val="nil"/>
              <w:right w:val="nil"/>
            </w:tcBorders>
            <w:shd w:val="clear" w:color="auto" w:fill="auto"/>
            <w:vAlign w:val="center"/>
          </w:tcPr>
          <w:p w14:paraId="299B4F2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97.60%</w:t>
            </w:r>
          </w:p>
        </w:tc>
        <w:tc>
          <w:tcPr>
            <w:tcW w:w="796" w:type="dxa"/>
            <w:gridSpan w:val="2"/>
            <w:tcBorders>
              <w:top w:val="nil"/>
              <w:left w:val="nil"/>
              <w:bottom w:val="nil"/>
              <w:right w:val="nil"/>
            </w:tcBorders>
            <w:shd w:val="clear" w:color="auto" w:fill="auto"/>
            <w:vAlign w:val="center"/>
          </w:tcPr>
          <w:p w14:paraId="46398DF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75.1</w:t>
            </w:r>
          </w:p>
        </w:tc>
        <w:tc>
          <w:tcPr>
            <w:tcW w:w="696" w:type="dxa"/>
            <w:gridSpan w:val="2"/>
            <w:tcBorders>
              <w:top w:val="nil"/>
              <w:left w:val="nil"/>
              <w:bottom w:val="nil"/>
              <w:right w:val="nil"/>
            </w:tcBorders>
            <w:shd w:val="clear" w:color="auto" w:fill="auto"/>
            <w:vAlign w:val="center"/>
          </w:tcPr>
          <w:p w14:paraId="29076EE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136.2</w:t>
            </w:r>
          </w:p>
        </w:tc>
        <w:tc>
          <w:tcPr>
            <w:tcW w:w="905" w:type="dxa"/>
            <w:gridSpan w:val="2"/>
            <w:tcBorders>
              <w:top w:val="nil"/>
              <w:left w:val="nil"/>
              <w:bottom w:val="nil"/>
              <w:right w:val="nil"/>
            </w:tcBorders>
            <w:shd w:val="clear" w:color="auto" w:fill="auto"/>
            <w:vAlign w:val="center"/>
          </w:tcPr>
          <w:p w14:paraId="1D35922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196.7</w:t>
            </w:r>
          </w:p>
        </w:tc>
        <w:tc>
          <w:tcPr>
            <w:tcW w:w="745" w:type="dxa"/>
            <w:gridSpan w:val="3"/>
            <w:tcBorders>
              <w:top w:val="nil"/>
              <w:left w:val="nil"/>
              <w:bottom w:val="nil"/>
              <w:right w:val="nil"/>
            </w:tcBorders>
            <w:shd w:val="clear" w:color="auto" w:fill="auto"/>
            <w:vAlign w:val="center"/>
          </w:tcPr>
          <w:p w14:paraId="2B34583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290</w:t>
            </w:r>
          </w:p>
        </w:tc>
        <w:tc>
          <w:tcPr>
            <w:tcW w:w="799" w:type="dxa"/>
            <w:gridSpan w:val="3"/>
            <w:tcBorders>
              <w:top w:val="nil"/>
              <w:left w:val="nil"/>
              <w:bottom w:val="nil"/>
              <w:right w:val="nil"/>
            </w:tcBorders>
            <w:shd w:val="clear" w:color="auto" w:fill="auto"/>
            <w:vAlign w:val="center"/>
          </w:tcPr>
          <w:p w14:paraId="122896A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3444.3</w:t>
            </w:r>
          </w:p>
        </w:tc>
      </w:tr>
      <w:tr w:rsidR="00C03B92" w:rsidRPr="008A5C48" w14:paraId="2BE600A7"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45AB298E"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DDE</w:t>
            </w:r>
          </w:p>
        </w:tc>
        <w:tc>
          <w:tcPr>
            <w:tcW w:w="634" w:type="dxa"/>
            <w:tcBorders>
              <w:top w:val="nil"/>
              <w:left w:val="nil"/>
              <w:bottom w:val="nil"/>
              <w:right w:val="nil"/>
            </w:tcBorders>
            <w:shd w:val="clear" w:color="auto" w:fill="auto"/>
            <w:vAlign w:val="center"/>
          </w:tcPr>
          <w:p w14:paraId="526602D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2E875B7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19CD36B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1296 (99.6%)</w:t>
            </w:r>
          </w:p>
        </w:tc>
        <w:tc>
          <w:tcPr>
            <w:tcW w:w="1486" w:type="dxa"/>
            <w:gridSpan w:val="2"/>
            <w:tcBorders>
              <w:top w:val="nil"/>
              <w:left w:val="nil"/>
              <w:bottom w:val="nil"/>
              <w:right w:val="nil"/>
            </w:tcBorders>
            <w:shd w:val="clear" w:color="auto" w:fill="auto"/>
            <w:vAlign w:val="center"/>
          </w:tcPr>
          <w:p w14:paraId="70B879F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99.90%</w:t>
            </w:r>
          </w:p>
        </w:tc>
        <w:tc>
          <w:tcPr>
            <w:tcW w:w="796" w:type="dxa"/>
            <w:gridSpan w:val="2"/>
            <w:tcBorders>
              <w:top w:val="nil"/>
              <w:left w:val="nil"/>
              <w:bottom w:val="nil"/>
              <w:right w:val="nil"/>
            </w:tcBorders>
            <w:shd w:val="clear" w:color="auto" w:fill="auto"/>
            <w:vAlign w:val="center"/>
          </w:tcPr>
          <w:p w14:paraId="702D06F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141</w:t>
            </w:r>
          </w:p>
        </w:tc>
        <w:tc>
          <w:tcPr>
            <w:tcW w:w="696" w:type="dxa"/>
            <w:gridSpan w:val="2"/>
            <w:tcBorders>
              <w:top w:val="nil"/>
              <w:left w:val="nil"/>
              <w:bottom w:val="nil"/>
              <w:right w:val="nil"/>
            </w:tcBorders>
            <w:shd w:val="clear" w:color="auto" w:fill="auto"/>
            <w:vAlign w:val="center"/>
          </w:tcPr>
          <w:p w14:paraId="0A71687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237.2</w:t>
            </w:r>
          </w:p>
        </w:tc>
        <w:tc>
          <w:tcPr>
            <w:tcW w:w="905" w:type="dxa"/>
            <w:gridSpan w:val="2"/>
            <w:tcBorders>
              <w:top w:val="nil"/>
              <w:left w:val="nil"/>
              <w:bottom w:val="nil"/>
              <w:right w:val="nil"/>
            </w:tcBorders>
            <w:shd w:val="clear" w:color="auto" w:fill="auto"/>
            <w:vAlign w:val="center"/>
          </w:tcPr>
          <w:p w14:paraId="3BC2116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335.5</w:t>
            </w:r>
          </w:p>
        </w:tc>
        <w:tc>
          <w:tcPr>
            <w:tcW w:w="745" w:type="dxa"/>
            <w:gridSpan w:val="3"/>
            <w:tcBorders>
              <w:top w:val="nil"/>
              <w:left w:val="nil"/>
              <w:bottom w:val="nil"/>
              <w:right w:val="nil"/>
            </w:tcBorders>
            <w:shd w:val="clear" w:color="auto" w:fill="auto"/>
            <w:vAlign w:val="center"/>
          </w:tcPr>
          <w:p w14:paraId="1F2334C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564.2</w:t>
            </w:r>
          </w:p>
        </w:tc>
        <w:tc>
          <w:tcPr>
            <w:tcW w:w="799" w:type="dxa"/>
            <w:gridSpan w:val="3"/>
            <w:tcBorders>
              <w:top w:val="nil"/>
              <w:left w:val="nil"/>
              <w:bottom w:val="nil"/>
              <w:right w:val="nil"/>
            </w:tcBorders>
            <w:shd w:val="clear" w:color="auto" w:fill="auto"/>
            <w:vAlign w:val="center"/>
          </w:tcPr>
          <w:p w14:paraId="24AD6AC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24662</w:t>
            </w:r>
          </w:p>
        </w:tc>
      </w:tr>
      <w:tr w:rsidR="00C03B92" w:rsidRPr="008A5C48" w14:paraId="789254AE"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1B3CE87"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DDT</w:t>
            </w:r>
          </w:p>
        </w:tc>
        <w:tc>
          <w:tcPr>
            <w:tcW w:w="634" w:type="dxa"/>
            <w:tcBorders>
              <w:top w:val="nil"/>
              <w:left w:val="nil"/>
              <w:bottom w:val="nil"/>
              <w:right w:val="nil"/>
            </w:tcBorders>
            <w:shd w:val="clear" w:color="auto" w:fill="auto"/>
            <w:vAlign w:val="center"/>
          </w:tcPr>
          <w:p w14:paraId="5A06CBE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51CA872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61B0FD7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1296 (99.6%)</w:t>
            </w:r>
          </w:p>
        </w:tc>
        <w:tc>
          <w:tcPr>
            <w:tcW w:w="1486" w:type="dxa"/>
            <w:gridSpan w:val="2"/>
            <w:tcBorders>
              <w:top w:val="nil"/>
              <w:left w:val="nil"/>
              <w:bottom w:val="nil"/>
              <w:right w:val="nil"/>
            </w:tcBorders>
            <w:shd w:val="clear" w:color="auto" w:fill="auto"/>
            <w:vAlign w:val="center"/>
          </w:tcPr>
          <w:p w14:paraId="5DF8FE4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100.00%</w:t>
            </w:r>
          </w:p>
        </w:tc>
        <w:tc>
          <w:tcPr>
            <w:tcW w:w="796" w:type="dxa"/>
            <w:gridSpan w:val="2"/>
            <w:tcBorders>
              <w:top w:val="nil"/>
              <w:left w:val="nil"/>
              <w:bottom w:val="nil"/>
              <w:right w:val="nil"/>
            </w:tcBorders>
            <w:shd w:val="clear" w:color="auto" w:fill="auto"/>
            <w:vAlign w:val="center"/>
          </w:tcPr>
          <w:p w14:paraId="343F8BD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63.1</w:t>
            </w:r>
          </w:p>
        </w:tc>
        <w:tc>
          <w:tcPr>
            <w:tcW w:w="696" w:type="dxa"/>
            <w:gridSpan w:val="2"/>
            <w:tcBorders>
              <w:top w:val="nil"/>
              <w:left w:val="nil"/>
              <w:bottom w:val="nil"/>
              <w:right w:val="nil"/>
            </w:tcBorders>
            <w:shd w:val="clear" w:color="auto" w:fill="auto"/>
            <w:vAlign w:val="center"/>
          </w:tcPr>
          <w:p w14:paraId="04E36FE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123.6</w:t>
            </w:r>
          </w:p>
        </w:tc>
        <w:tc>
          <w:tcPr>
            <w:tcW w:w="905" w:type="dxa"/>
            <w:gridSpan w:val="2"/>
            <w:tcBorders>
              <w:top w:val="nil"/>
              <w:left w:val="nil"/>
              <w:bottom w:val="nil"/>
              <w:right w:val="nil"/>
            </w:tcBorders>
            <w:shd w:val="clear" w:color="auto" w:fill="auto"/>
            <w:vAlign w:val="center"/>
          </w:tcPr>
          <w:p w14:paraId="2447988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143</w:t>
            </w:r>
          </w:p>
        </w:tc>
        <w:tc>
          <w:tcPr>
            <w:tcW w:w="745" w:type="dxa"/>
            <w:gridSpan w:val="3"/>
            <w:tcBorders>
              <w:top w:val="nil"/>
              <w:left w:val="nil"/>
              <w:bottom w:val="nil"/>
              <w:right w:val="nil"/>
            </w:tcBorders>
            <w:shd w:val="clear" w:color="auto" w:fill="auto"/>
            <w:vAlign w:val="center"/>
          </w:tcPr>
          <w:p w14:paraId="69B336B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174.9</w:t>
            </w:r>
          </w:p>
        </w:tc>
        <w:tc>
          <w:tcPr>
            <w:tcW w:w="799" w:type="dxa"/>
            <w:gridSpan w:val="3"/>
            <w:tcBorders>
              <w:top w:val="nil"/>
              <w:left w:val="nil"/>
              <w:bottom w:val="nil"/>
              <w:right w:val="nil"/>
            </w:tcBorders>
            <w:shd w:val="clear" w:color="auto" w:fill="auto"/>
            <w:vAlign w:val="center"/>
          </w:tcPr>
          <w:p w14:paraId="1B46720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867.1</w:t>
            </w:r>
          </w:p>
        </w:tc>
      </w:tr>
      <w:tr w:rsidR="00C03B92" w:rsidRPr="008A5C48" w14:paraId="474E97B5"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20C78FFF"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HCB</w:t>
            </w:r>
          </w:p>
        </w:tc>
        <w:tc>
          <w:tcPr>
            <w:tcW w:w="634" w:type="dxa"/>
            <w:tcBorders>
              <w:top w:val="nil"/>
              <w:left w:val="nil"/>
              <w:bottom w:val="nil"/>
              <w:right w:val="nil"/>
            </w:tcBorders>
            <w:shd w:val="clear" w:color="auto" w:fill="auto"/>
            <w:vAlign w:val="center"/>
          </w:tcPr>
          <w:p w14:paraId="22EBFBF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522EBDE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6638FC9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1296 (99.6%)</w:t>
            </w:r>
          </w:p>
        </w:tc>
        <w:tc>
          <w:tcPr>
            <w:tcW w:w="1486" w:type="dxa"/>
            <w:gridSpan w:val="2"/>
            <w:tcBorders>
              <w:top w:val="nil"/>
              <w:left w:val="nil"/>
              <w:bottom w:val="nil"/>
              <w:right w:val="nil"/>
            </w:tcBorders>
            <w:shd w:val="clear" w:color="auto" w:fill="auto"/>
            <w:vAlign w:val="center"/>
          </w:tcPr>
          <w:p w14:paraId="333F48B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99.90%</w:t>
            </w:r>
          </w:p>
        </w:tc>
        <w:tc>
          <w:tcPr>
            <w:tcW w:w="796" w:type="dxa"/>
            <w:gridSpan w:val="2"/>
            <w:tcBorders>
              <w:top w:val="nil"/>
              <w:left w:val="nil"/>
              <w:bottom w:val="nil"/>
              <w:right w:val="nil"/>
            </w:tcBorders>
            <w:shd w:val="clear" w:color="auto" w:fill="auto"/>
            <w:vAlign w:val="center"/>
          </w:tcPr>
          <w:p w14:paraId="1DD51A6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33.8</w:t>
            </w:r>
          </w:p>
        </w:tc>
        <w:tc>
          <w:tcPr>
            <w:tcW w:w="696" w:type="dxa"/>
            <w:gridSpan w:val="2"/>
            <w:tcBorders>
              <w:top w:val="nil"/>
              <w:left w:val="nil"/>
              <w:bottom w:val="nil"/>
              <w:right w:val="nil"/>
            </w:tcBorders>
            <w:shd w:val="clear" w:color="auto" w:fill="auto"/>
            <w:vAlign w:val="center"/>
          </w:tcPr>
          <w:p w14:paraId="1362A24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66.7</w:t>
            </w:r>
          </w:p>
        </w:tc>
        <w:tc>
          <w:tcPr>
            <w:tcW w:w="905" w:type="dxa"/>
            <w:gridSpan w:val="2"/>
            <w:tcBorders>
              <w:top w:val="nil"/>
              <w:left w:val="nil"/>
              <w:bottom w:val="nil"/>
              <w:right w:val="nil"/>
            </w:tcBorders>
            <w:shd w:val="clear" w:color="auto" w:fill="auto"/>
            <w:vAlign w:val="center"/>
          </w:tcPr>
          <w:p w14:paraId="49F96FB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87.4</w:t>
            </w:r>
          </w:p>
        </w:tc>
        <w:tc>
          <w:tcPr>
            <w:tcW w:w="745" w:type="dxa"/>
            <w:gridSpan w:val="3"/>
            <w:tcBorders>
              <w:top w:val="nil"/>
              <w:left w:val="nil"/>
              <w:bottom w:val="nil"/>
              <w:right w:val="nil"/>
            </w:tcBorders>
            <w:shd w:val="clear" w:color="auto" w:fill="auto"/>
            <w:vAlign w:val="center"/>
          </w:tcPr>
          <w:p w14:paraId="013F901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119.4</w:t>
            </w:r>
          </w:p>
        </w:tc>
        <w:tc>
          <w:tcPr>
            <w:tcW w:w="799" w:type="dxa"/>
            <w:gridSpan w:val="3"/>
            <w:tcBorders>
              <w:top w:val="nil"/>
              <w:left w:val="nil"/>
              <w:bottom w:val="nil"/>
              <w:right w:val="nil"/>
            </w:tcBorders>
            <w:shd w:val="clear" w:color="auto" w:fill="auto"/>
            <w:vAlign w:val="center"/>
          </w:tcPr>
          <w:p w14:paraId="7E88205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2120.2</w:t>
            </w:r>
          </w:p>
        </w:tc>
      </w:tr>
      <w:tr w:rsidR="00C03B92" w:rsidRPr="008A5C48" w14:paraId="1AC4ECBF"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2D1ECCC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PCB 118</w:t>
            </w:r>
          </w:p>
        </w:tc>
        <w:tc>
          <w:tcPr>
            <w:tcW w:w="634" w:type="dxa"/>
            <w:tcBorders>
              <w:top w:val="nil"/>
              <w:left w:val="nil"/>
              <w:bottom w:val="nil"/>
              <w:right w:val="nil"/>
            </w:tcBorders>
            <w:shd w:val="clear" w:color="auto" w:fill="auto"/>
            <w:vAlign w:val="center"/>
          </w:tcPr>
          <w:p w14:paraId="11A3AA5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4ECAAB9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50258D7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1296 (99.6%)</w:t>
            </w:r>
          </w:p>
        </w:tc>
        <w:tc>
          <w:tcPr>
            <w:tcW w:w="1486" w:type="dxa"/>
            <w:gridSpan w:val="2"/>
            <w:tcBorders>
              <w:top w:val="nil"/>
              <w:left w:val="nil"/>
              <w:bottom w:val="nil"/>
              <w:right w:val="nil"/>
            </w:tcBorders>
            <w:shd w:val="clear" w:color="auto" w:fill="auto"/>
            <w:vAlign w:val="center"/>
          </w:tcPr>
          <w:p w14:paraId="4BB1886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99.80%</w:t>
            </w:r>
          </w:p>
        </w:tc>
        <w:tc>
          <w:tcPr>
            <w:tcW w:w="796" w:type="dxa"/>
            <w:gridSpan w:val="2"/>
            <w:tcBorders>
              <w:top w:val="nil"/>
              <w:left w:val="nil"/>
              <w:bottom w:val="nil"/>
              <w:right w:val="nil"/>
            </w:tcBorders>
            <w:shd w:val="clear" w:color="auto" w:fill="auto"/>
            <w:vAlign w:val="center"/>
          </w:tcPr>
          <w:p w14:paraId="74CB377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99.7</w:t>
            </w:r>
          </w:p>
        </w:tc>
        <w:tc>
          <w:tcPr>
            <w:tcW w:w="696" w:type="dxa"/>
            <w:gridSpan w:val="2"/>
            <w:tcBorders>
              <w:top w:val="nil"/>
              <w:left w:val="nil"/>
              <w:bottom w:val="nil"/>
              <w:right w:val="nil"/>
            </w:tcBorders>
            <w:shd w:val="clear" w:color="auto" w:fill="auto"/>
            <w:vAlign w:val="center"/>
          </w:tcPr>
          <w:p w14:paraId="331B3B0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143</w:t>
            </w:r>
          </w:p>
        </w:tc>
        <w:tc>
          <w:tcPr>
            <w:tcW w:w="905" w:type="dxa"/>
            <w:gridSpan w:val="2"/>
            <w:tcBorders>
              <w:top w:val="nil"/>
              <w:left w:val="nil"/>
              <w:bottom w:val="nil"/>
              <w:right w:val="nil"/>
            </w:tcBorders>
            <w:shd w:val="clear" w:color="auto" w:fill="auto"/>
            <w:vAlign w:val="center"/>
          </w:tcPr>
          <w:p w14:paraId="36B445F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184.8</w:t>
            </w:r>
          </w:p>
        </w:tc>
        <w:tc>
          <w:tcPr>
            <w:tcW w:w="745" w:type="dxa"/>
            <w:gridSpan w:val="3"/>
            <w:tcBorders>
              <w:top w:val="nil"/>
              <w:left w:val="nil"/>
              <w:bottom w:val="nil"/>
              <w:right w:val="nil"/>
            </w:tcBorders>
            <w:shd w:val="clear" w:color="auto" w:fill="auto"/>
            <w:vAlign w:val="center"/>
          </w:tcPr>
          <w:p w14:paraId="3CEC3CE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257.8</w:t>
            </w:r>
          </w:p>
        </w:tc>
        <w:tc>
          <w:tcPr>
            <w:tcW w:w="799" w:type="dxa"/>
            <w:gridSpan w:val="3"/>
            <w:tcBorders>
              <w:top w:val="nil"/>
              <w:left w:val="nil"/>
              <w:bottom w:val="nil"/>
              <w:right w:val="nil"/>
            </w:tcBorders>
            <w:shd w:val="clear" w:color="auto" w:fill="auto"/>
            <w:vAlign w:val="center"/>
          </w:tcPr>
          <w:p w14:paraId="4DE9BB5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2195</w:t>
            </w:r>
          </w:p>
        </w:tc>
      </w:tr>
      <w:tr w:rsidR="00C03B92" w:rsidRPr="008A5C48" w14:paraId="04A36CC7"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0FBB23B2"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PCB 138</w:t>
            </w:r>
          </w:p>
        </w:tc>
        <w:tc>
          <w:tcPr>
            <w:tcW w:w="634" w:type="dxa"/>
            <w:tcBorders>
              <w:top w:val="nil"/>
              <w:left w:val="nil"/>
              <w:bottom w:val="nil"/>
              <w:right w:val="nil"/>
            </w:tcBorders>
            <w:shd w:val="clear" w:color="auto" w:fill="auto"/>
            <w:vAlign w:val="center"/>
          </w:tcPr>
          <w:p w14:paraId="1955220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72065EF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7977464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1296 (99.6%)</w:t>
            </w:r>
          </w:p>
        </w:tc>
        <w:tc>
          <w:tcPr>
            <w:tcW w:w="1486" w:type="dxa"/>
            <w:gridSpan w:val="2"/>
            <w:tcBorders>
              <w:top w:val="nil"/>
              <w:left w:val="nil"/>
              <w:bottom w:val="nil"/>
              <w:right w:val="nil"/>
            </w:tcBorders>
            <w:shd w:val="clear" w:color="auto" w:fill="auto"/>
            <w:vAlign w:val="center"/>
          </w:tcPr>
          <w:p w14:paraId="6FD03CD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99.80%</w:t>
            </w:r>
          </w:p>
        </w:tc>
        <w:tc>
          <w:tcPr>
            <w:tcW w:w="796" w:type="dxa"/>
            <w:gridSpan w:val="2"/>
            <w:tcBorders>
              <w:top w:val="nil"/>
              <w:left w:val="nil"/>
              <w:bottom w:val="nil"/>
              <w:right w:val="nil"/>
            </w:tcBorders>
            <w:shd w:val="clear" w:color="auto" w:fill="auto"/>
            <w:vAlign w:val="center"/>
          </w:tcPr>
          <w:p w14:paraId="22BB6B6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16.1</w:t>
            </w:r>
          </w:p>
        </w:tc>
        <w:tc>
          <w:tcPr>
            <w:tcW w:w="696" w:type="dxa"/>
            <w:gridSpan w:val="2"/>
            <w:tcBorders>
              <w:top w:val="nil"/>
              <w:left w:val="nil"/>
              <w:bottom w:val="nil"/>
              <w:right w:val="nil"/>
            </w:tcBorders>
            <w:shd w:val="clear" w:color="auto" w:fill="auto"/>
            <w:vAlign w:val="center"/>
          </w:tcPr>
          <w:p w14:paraId="0B146A7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31.3</w:t>
            </w:r>
          </w:p>
        </w:tc>
        <w:tc>
          <w:tcPr>
            <w:tcW w:w="905" w:type="dxa"/>
            <w:gridSpan w:val="2"/>
            <w:tcBorders>
              <w:top w:val="nil"/>
              <w:left w:val="nil"/>
              <w:bottom w:val="nil"/>
              <w:right w:val="nil"/>
            </w:tcBorders>
            <w:shd w:val="clear" w:color="auto" w:fill="auto"/>
            <w:vAlign w:val="center"/>
          </w:tcPr>
          <w:p w14:paraId="29464B5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53.1</w:t>
            </w:r>
          </w:p>
        </w:tc>
        <w:tc>
          <w:tcPr>
            <w:tcW w:w="745" w:type="dxa"/>
            <w:gridSpan w:val="3"/>
            <w:tcBorders>
              <w:top w:val="nil"/>
              <w:left w:val="nil"/>
              <w:bottom w:val="nil"/>
              <w:right w:val="nil"/>
            </w:tcBorders>
            <w:shd w:val="clear" w:color="auto" w:fill="auto"/>
            <w:vAlign w:val="center"/>
          </w:tcPr>
          <w:p w14:paraId="08C48A0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96.3</w:t>
            </w:r>
          </w:p>
        </w:tc>
        <w:tc>
          <w:tcPr>
            <w:tcW w:w="799" w:type="dxa"/>
            <w:gridSpan w:val="3"/>
            <w:tcBorders>
              <w:top w:val="nil"/>
              <w:left w:val="nil"/>
              <w:bottom w:val="nil"/>
              <w:right w:val="nil"/>
            </w:tcBorders>
            <w:shd w:val="clear" w:color="auto" w:fill="auto"/>
            <w:vAlign w:val="center"/>
          </w:tcPr>
          <w:p w14:paraId="76F0882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657.1</w:t>
            </w:r>
          </w:p>
        </w:tc>
      </w:tr>
      <w:tr w:rsidR="00C03B92" w:rsidRPr="008A5C48" w14:paraId="6F0F8F1E"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0C90BB7A"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PCB 153</w:t>
            </w:r>
          </w:p>
        </w:tc>
        <w:tc>
          <w:tcPr>
            <w:tcW w:w="634" w:type="dxa"/>
            <w:tcBorders>
              <w:top w:val="nil"/>
              <w:left w:val="nil"/>
              <w:bottom w:val="nil"/>
              <w:right w:val="nil"/>
            </w:tcBorders>
            <w:shd w:val="clear" w:color="auto" w:fill="auto"/>
            <w:vAlign w:val="center"/>
          </w:tcPr>
          <w:p w14:paraId="2774FF1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4E6B62B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8B79B6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1296 (99.6%)</w:t>
            </w:r>
          </w:p>
        </w:tc>
        <w:tc>
          <w:tcPr>
            <w:tcW w:w="1486" w:type="dxa"/>
            <w:gridSpan w:val="2"/>
            <w:tcBorders>
              <w:top w:val="nil"/>
              <w:left w:val="nil"/>
              <w:bottom w:val="nil"/>
              <w:right w:val="nil"/>
            </w:tcBorders>
            <w:shd w:val="clear" w:color="auto" w:fill="auto"/>
            <w:vAlign w:val="center"/>
          </w:tcPr>
          <w:p w14:paraId="06D2188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4504103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2.9</w:t>
            </w:r>
          </w:p>
        </w:tc>
        <w:tc>
          <w:tcPr>
            <w:tcW w:w="696" w:type="dxa"/>
            <w:gridSpan w:val="2"/>
            <w:tcBorders>
              <w:top w:val="nil"/>
              <w:left w:val="nil"/>
              <w:bottom w:val="nil"/>
              <w:right w:val="nil"/>
            </w:tcBorders>
            <w:shd w:val="clear" w:color="auto" w:fill="auto"/>
            <w:vAlign w:val="center"/>
          </w:tcPr>
          <w:p w14:paraId="47EFF78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5.6</w:t>
            </w:r>
          </w:p>
        </w:tc>
        <w:tc>
          <w:tcPr>
            <w:tcW w:w="905" w:type="dxa"/>
            <w:gridSpan w:val="2"/>
            <w:tcBorders>
              <w:top w:val="nil"/>
              <w:left w:val="nil"/>
              <w:bottom w:val="nil"/>
              <w:right w:val="nil"/>
            </w:tcBorders>
            <w:shd w:val="clear" w:color="auto" w:fill="auto"/>
            <w:vAlign w:val="center"/>
          </w:tcPr>
          <w:p w14:paraId="5BF7200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9.8</w:t>
            </w:r>
          </w:p>
        </w:tc>
        <w:tc>
          <w:tcPr>
            <w:tcW w:w="745" w:type="dxa"/>
            <w:gridSpan w:val="3"/>
            <w:tcBorders>
              <w:top w:val="nil"/>
              <w:left w:val="nil"/>
              <w:bottom w:val="nil"/>
              <w:right w:val="nil"/>
            </w:tcBorders>
            <w:shd w:val="clear" w:color="auto" w:fill="auto"/>
            <w:vAlign w:val="center"/>
          </w:tcPr>
          <w:p w14:paraId="3294724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18.8</w:t>
            </w:r>
          </w:p>
        </w:tc>
        <w:tc>
          <w:tcPr>
            <w:tcW w:w="799" w:type="dxa"/>
            <w:gridSpan w:val="3"/>
            <w:tcBorders>
              <w:top w:val="nil"/>
              <w:left w:val="nil"/>
              <w:bottom w:val="nil"/>
              <w:right w:val="nil"/>
            </w:tcBorders>
            <w:shd w:val="clear" w:color="auto" w:fill="auto"/>
            <w:vAlign w:val="center"/>
          </w:tcPr>
          <w:p w14:paraId="03F1D1F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2256.7</w:t>
            </w:r>
          </w:p>
        </w:tc>
      </w:tr>
      <w:tr w:rsidR="00C03B92" w:rsidRPr="008A5C48" w14:paraId="110C06C1"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42F2752C"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PCB 170</w:t>
            </w:r>
          </w:p>
        </w:tc>
        <w:tc>
          <w:tcPr>
            <w:tcW w:w="634" w:type="dxa"/>
            <w:tcBorders>
              <w:top w:val="nil"/>
              <w:left w:val="nil"/>
              <w:bottom w:val="nil"/>
              <w:right w:val="nil"/>
            </w:tcBorders>
            <w:shd w:val="clear" w:color="auto" w:fill="auto"/>
            <w:vAlign w:val="center"/>
          </w:tcPr>
          <w:p w14:paraId="6A85FBD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311A4AC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58B49E6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1296 (99.6%)</w:t>
            </w:r>
          </w:p>
        </w:tc>
        <w:tc>
          <w:tcPr>
            <w:tcW w:w="1486" w:type="dxa"/>
            <w:gridSpan w:val="2"/>
            <w:tcBorders>
              <w:top w:val="nil"/>
              <w:left w:val="nil"/>
              <w:bottom w:val="nil"/>
              <w:right w:val="nil"/>
            </w:tcBorders>
            <w:shd w:val="clear" w:color="auto" w:fill="auto"/>
            <w:vAlign w:val="center"/>
          </w:tcPr>
          <w:p w14:paraId="242E6A0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90.70%</w:t>
            </w:r>
          </w:p>
        </w:tc>
        <w:tc>
          <w:tcPr>
            <w:tcW w:w="796" w:type="dxa"/>
            <w:gridSpan w:val="2"/>
            <w:tcBorders>
              <w:top w:val="nil"/>
              <w:left w:val="nil"/>
              <w:bottom w:val="nil"/>
              <w:right w:val="nil"/>
            </w:tcBorders>
            <w:shd w:val="clear" w:color="auto" w:fill="auto"/>
            <w:vAlign w:val="center"/>
          </w:tcPr>
          <w:p w14:paraId="23A7663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w:t>
            </w:r>
          </w:p>
        </w:tc>
        <w:tc>
          <w:tcPr>
            <w:tcW w:w="696" w:type="dxa"/>
            <w:gridSpan w:val="2"/>
            <w:tcBorders>
              <w:top w:val="nil"/>
              <w:left w:val="nil"/>
              <w:bottom w:val="nil"/>
              <w:right w:val="nil"/>
            </w:tcBorders>
            <w:shd w:val="clear" w:color="auto" w:fill="auto"/>
            <w:vAlign w:val="center"/>
          </w:tcPr>
          <w:p w14:paraId="680A131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29.7</w:t>
            </w:r>
          </w:p>
        </w:tc>
        <w:tc>
          <w:tcPr>
            <w:tcW w:w="905" w:type="dxa"/>
            <w:gridSpan w:val="2"/>
            <w:tcBorders>
              <w:top w:val="nil"/>
              <w:left w:val="nil"/>
              <w:bottom w:val="nil"/>
              <w:right w:val="nil"/>
            </w:tcBorders>
            <w:shd w:val="clear" w:color="auto" w:fill="auto"/>
            <w:vAlign w:val="center"/>
          </w:tcPr>
          <w:p w14:paraId="658C416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35</w:t>
            </w:r>
          </w:p>
        </w:tc>
        <w:tc>
          <w:tcPr>
            <w:tcW w:w="745" w:type="dxa"/>
            <w:gridSpan w:val="3"/>
            <w:tcBorders>
              <w:top w:val="nil"/>
              <w:left w:val="nil"/>
              <w:bottom w:val="nil"/>
              <w:right w:val="nil"/>
            </w:tcBorders>
            <w:shd w:val="clear" w:color="auto" w:fill="auto"/>
            <w:vAlign w:val="center"/>
          </w:tcPr>
          <w:p w14:paraId="50B5447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43.4</w:t>
            </w:r>
          </w:p>
        </w:tc>
        <w:tc>
          <w:tcPr>
            <w:tcW w:w="799" w:type="dxa"/>
            <w:gridSpan w:val="3"/>
            <w:tcBorders>
              <w:top w:val="nil"/>
              <w:left w:val="nil"/>
              <w:bottom w:val="nil"/>
              <w:right w:val="nil"/>
            </w:tcBorders>
            <w:shd w:val="clear" w:color="auto" w:fill="auto"/>
            <w:vAlign w:val="center"/>
          </w:tcPr>
          <w:p w14:paraId="55113AD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1314.2</w:t>
            </w:r>
          </w:p>
        </w:tc>
      </w:tr>
      <w:tr w:rsidR="00C03B92" w:rsidRPr="008A5C48" w14:paraId="6E33D259"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56BE51F"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PCB 180</w:t>
            </w:r>
          </w:p>
        </w:tc>
        <w:tc>
          <w:tcPr>
            <w:tcW w:w="634" w:type="dxa"/>
            <w:tcBorders>
              <w:top w:val="nil"/>
              <w:left w:val="nil"/>
              <w:bottom w:val="nil"/>
              <w:right w:val="nil"/>
            </w:tcBorders>
            <w:shd w:val="clear" w:color="auto" w:fill="auto"/>
            <w:vAlign w:val="center"/>
          </w:tcPr>
          <w:p w14:paraId="674182E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5748551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CF5973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1296 (99.6%)</w:t>
            </w:r>
          </w:p>
        </w:tc>
        <w:tc>
          <w:tcPr>
            <w:tcW w:w="1486" w:type="dxa"/>
            <w:gridSpan w:val="2"/>
            <w:tcBorders>
              <w:top w:val="nil"/>
              <w:left w:val="nil"/>
              <w:bottom w:val="nil"/>
              <w:right w:val="nil"/>
            </w:tcBorders>
            <w:shd w:val="clear" w:color="auto" w:fill="auto"/>
            <w:vAlign w:val="center"/>
          </w:tcPr>
          <w:p w14:paraId="44B711D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99.20%</w:t>
            </w:r>
          </w:p>
        </w:tc>
        <w:tc>
          <w:tcPr>
            <w:tcW w:w="796" w:type="dxa"/>
            <w:gridSpan w:val="2"/>
            <w:tcBorders>
              <w:top w:val="nil"/>
              <w:left w:val="nil"/>
              <w:bottom w:val="nil"/>
              <w:right w:val="nil"/>
            </w:tcBorders>
            <w:shd w:val="clear" w:color="auto" w:fill="auto"/>
            <w:vAlign w:val="center"/>
          </w:tcPr>
          <w:p w14:paraId="3E343E6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5.7</w:t>
            </w:r>
          </w:p>
        </w:tc>
        <w:tc>
          <w:tcPr>
            <w:tcW w:w="696" w:type="dxa"/>
            <w:gridSpan w:val="2"/>
            <w:tcBorders>
              <w:top w:val="nil"/>
              <w:left w:val="nil"/>
              <w:bottom w:val="nil"/>
              <w:right w:val="nil"/>
            </w:tcBorders>
            <w:shd w:val="clear" w:color="auto" w:fill="auto"/>
            <w:vAlign w:val="center"/>
          </w:tcPr>
          <w:p w14:paraId="754B7C7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11.2</w:t>
            </w:r>
          </w:p>
        </w:tc>
        <w:tc>
          <w:tcPr>
            <w:tcW w:w="905" w:type="dxa"/>
            <w:gridSpan w:val="2"/>
            <w:tcBorders>
              <w:top w:val="nil"/>
              <w:left w:val="nil"/>
              <w:bottom w:val="nil"/>
              <w:right w:val="nil"/>
            </w:tcBorders>
            <w:shd w:val="clear" w:color="auto" w:fill="auto"/>
            <w:vAlign w:val="center"/>
          </w:tcPr>
          <w:p w14:paraId="6BF3BDA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18.3</w:t>
            </w:r>
          </w:p>
        </w:tc>
        <w:tc>
          <w:tcPr>
            <w:tcW w:w="745" w:type="dxa"/>
            <w:gridSpan w:val="3"/>
            <w:tcBorders>
              <w:top w:val="nil"/>
              <w:left w:val="nil"/>
              <w:bottom w:val="nil"/>
              <w:right w:val="nil"/>
            </w:tcBorders>
            <w:shd w:val="clear" w:color="auto" w:fill="auto"/>
            <w:vAlign w:val="center"/>
          </w:tcPr>
          <w:p w14:paraId="00BF551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33.4</w:t>
            </w:r>
          </w:p>
        </w:tc>
        <w:tc>
          <w:tcPr>
            <w:tcW w:w="799" w:type="dxa"/>
            <w:gridSpan w:val="3"/>
            <w:tcBorders>
              <w:top w:val="nil"/>
              <w:left w:val="nil"/>
              <w:bottom w:val="nil"/>
              <w:right w:val="nil"/>
            </w:tcBorders>
            <w:shd w:val="clear" w:color="auto" w:fill="auto"/>
            <w:vAlign w:val="center"/>
          </w:tcPr>
          <w:p w14:paraId="472EEC8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230.7</w:t>
            </w:r>
          </w:p>
        </w:tc>
      </w:tr>
      <w:tr w:rsidR="00C03B92" w:rsidRPr="008A5C48" w14:paraId="30489409"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5519A28E"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lastRenderedPageBreak/>
              <w:t>PBDE 153</w:t>
            </w:r>
          </w:p>
        </w:tc>
        <w:tc>
          <w:tcPr>
            <w:tcW w:w="634" w:type="dxa"/>
            <w:tcBorders>
              <w:top w:val="nil"/>
              <w:left w:val="nil"/>
              <w:bottom w:val="nil"/>
              <w:right w:val="nil"/>
            </w:tcBorders>
            <w:shd w:val="clear" w:color="auto" w:fill="auto"/>
            <w:vAlign w:val="center"/>
          </w:tcPr>
          <w:p w14:paraId="537E161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2722A83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779CAF8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648 (49.8%)</w:t>
            </w:r>
          </w:p>
        </w:tc>
        <w:tc>
          <w:tcPr>
            <w:tcW w:w="1486" w:type="dxa"/>
            <w:gridSpan w:val="2"/>
            <w:tcBorders>
              <w:top w:val="nil"/>
              <w:left w:val="nil"/>
              <w:bottom w:val="nil"/>
              <w:right w:val="nil"/>
            </w:tcBorders>
            <w:shd w:val="clear" w:color="auto" w:fill="auto"/>
            <w:vAlign w:val="center"/>
          </w:tcPr>
          <w:p w14:paraId="5106D4E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72.90%</w:t>
            </w:r>
          </w:p>
        </w:tc>
        <w:tc>
          <w:tcPr>
            <w:tcW w:w="796" w:type="dxa"/>
            <w:gridSpan w:val="2"/>
            <w:tcBorders>
              <w:top w:val="nil"/>
              <w:left w:val="nil"/>
              <w:bottom w:val="nil"/>
              <w:right w:val="nil"/>
            </w:tcBorders>
            <w:shd w:val="clear" w:color="auto" w:fill="auto"/>
            <w:vAlign w:val="center"/>
          </w:tcPr>
          <w:p w14:paraId="0E22ED0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696" w:type="dxa"/>
            <w:gridSpan w:val="2"/>
            <w:tcBorders>
              <w:top w:val="nil"/>
              <w:left w:val="nil"/>
              <w:bottom w:val="nil"/>
              <w:right w:val="nil"/>
            </w:tcBorders>
            <w:shd w:val="clear" w:color="auto" w:fill="auto"/>
            <w:vAlign w:val="center"/>
          </w:tcPr>
          <w:p w14:paraId="6CECCF9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0.6</w:t>
            </w:r>
          </w:p>
        </w:tc>
        <w:tc>
          <w:tcPr>
            <w:tcW w:w="905" w:type="dxa"/>
            <w:gridSpan w:val="2"/>
            <w:tcBorders>
              <w:top w:val="nil"/>
              <w:left w:val="nil"/>
              <w:bottom w:val="nil"/>
              <w:right w:val="nil"/>
            </w:tcBorders>
            <w:shd w:val="clear" w:color="auto" w:fill="auto"/>
            <w:vAlign w:val="center"/>
          </w:tcPr>
          <w:p w14:paraId="53E55CE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6.5</w:t>
            </w:r>
          </w:p>
        </w:tc>
        <w:tc>
          <w:tcPr>
            <w:tcW w:w="745" w:type="dxa"/>
            <w:gridSpan w:val="3"/>
            <w:tcBorders>
              <w:top w:val="nil"/>
              <w:left w:val="nil"/>
              <w:bottom w:val="nil"/>
              <w:right w:val="nil"/>
            </w:tcBorders>
            <w:shd w:val="clear" w:color="auto" w:fill="auto"/>
            <w:vAlign w:val="center"/>
          </w:tcPr>
          <w:p w14:paraId="2128E90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9.5</w:t>
            </w:r>
          </w:p>
        </w:tc>
        <w:tc>
          <w:tcPr>
            <w:tcW w:w="799" w:type="dxa"/>
            <w:gridSpan w:val="3"/>
            <w:tcBorders>
              <w:top w:val="nil"/>
              <w:left w:val="nil"/>
              <w:bottom w:val="nil"/>
              <w:right w:val="nil"/>
            </w:tcBorders>
            <w:shd w:val="clear" w:color="auto" w:fill="auto"/>
            <w:vAlign w:val="center"/>
          </w:tcPr>
          <w:p w14:paraId="39814BE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2721.1</w:t>
            </w:r>
          </w:p>
        </w:tc>
      </w:tr>
      <w:tr w:rsidR="00C03B92" w:rsidRPr="008A5C48" w14:paraId="1B749F30"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B63F7EE"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PBDE 47</w:t>
            </w:r>
          </w:p>
        </w:tc>
        <w:tc>
          <w:tcPr>
            <w:tcW w:w="634" w:type="dxa"/>
            <w:tcBorders>
              <w:top w:val="nil"/>
              <w:left w:val="nil"/>
              <w:bottom w:val="nil"/>
              <w:right w:val="nil"/>
            </w:tcBorders>
            <w:shd w:val="clear" w:color="auto" w:fill="auto"/>
            <w:vAlign w:val="center"/>
          </w:tcPr>
          <w:p w14:paraId="752B5D6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1BABCAB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288D415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684 (52.6%)</w:t>
            </w:r>
          </w:p>
        </w:tc>
        <w:tc>
          <w:tcPr>
            <w:tcW w:w="1486" w:type="dxa"/>
            <w:gridSpan w:val="2"/>
            <w:tcBorders>
              <w:top w:val="nil"/>
              <w:left w:val="nil"/>
              <w:bottom w:val="nil"/>
              <w:right w:val="nil"/>
            </w:tcBorders>
            <w:shd w:val="clear" w:color="auto" w:fill="auto"/>
            <w:vAlign w:val="center"/>
          </w:tcPr>
          <w:p w14:paraId="4E0FDB6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80.90%</w:t>
            </w:r>
          </w:p>
        </w:tc>
        <w:tc>
          <w:tcPr>
            <w:tcW w:w="796" w:type="dxa"/>
            <w:gridSpan w:val="2"/>
            <w:tcBorders>
              <w:top w:val="nil"/>
              <w:left w:val="nil"/>
              <w:bottom w:val="nil"/>
              <w:right w:val="nil"/>
            </w:tcBorders>
            <w:shd w:val="clear" w:color="auto" w:fill="auto"/>
            <w:vAlign w:val="center"/>
          </w:tcPr>
          <w:p w14:paraId="515FE3F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w:t>
            </w:r>
          </w:p>
        </w:tc>
        <w:tc>
          <w:tcPr>
            <w:tcW w:w="696" w:type="dxa"/>
            <w:gridSpan w:val="2"/>
            <w:tcBorders>
              <w:top w:val="nil"/>
              <w:left w:val="nil"/>
              <w:bottom w:val="nil"/>
              <w:right w:val="nil"/>
            </w:tcBorders>
            <w:shd w:val="clear" w:color="auto" w:fill="auto"/>
            <w:vAlign w:val="center"/>
          </w:tcPr>
          <w:p w14:paraId="66BA534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7.7</w:t>
            </w:r>
          </w:p>
        </w:tc>
        <w:tc>
          <w:tcPr>
            <w:tcW w:w="905" w:type="dxa"/>
            <w:gridSpan w:val="2"/>
            <w:tcBorders>
              <w:top w:val="nil"/>
              <w:left w:val="nil"/>
              <w:bottom w:val="nil"/>
              <w:right w:val="nil"/>
            </w:tcBorders>
            <w:shd w:val="clear" w:color="auto" w:fill="auto"/>
            <w:vAlign w:val="center"/>
          </w:tcPr>
          <w:p w14:paraId="15189F2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9.8</w:t>
            </w:r>
          </w:p>
        </w:tc>
        <w:tc>
          <w:tcPr>
            <w:tcW w:w="745" w:type="dxa"/>
            <w:gridSpan w:val="3"/>
            <w:tcBorders>
              <w:top w:val="nil"/>
              <w:left w:val="nil"/>
              <w:bottom w:val="nil"/>
              <w:right w:val="nil"/>
            </w:tcBorders>
            <w:shd w:val="clear" w:color="auto" w:fill="auto"/>
            <w:vAlign w:val="center"/>
          </w:tcPr>
          <w:p w14:paraId="6C9DAFD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14.7</w:t>
            </w:r>
          </w:p>
        </w:tc>
        <w:tc>
          <w:tcPr>
            <w:tcW w:w="799" w:type="dxa"/>
            <w:gridSpan w:val="3"/>
            <w:tcBorders>
              <w:top w:val="nil"/>
              <w:left w:val="nil"/>
              <w:bottom w:val="nil"/>
              <w:right w:val="nil"/>
            </w:tcBorders>
            <w:shd w:val="clear" w:color="auto" w:fill="auto"/>
            <w:vAlign w:val="center"/>
          </w:tcPr>
          <w:p w14:paraId="7870D3A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675.6</w:t>
            </w:r>
          </w:p>
        </w:tc>
      </w:tr>
      <w:tr w:rsidR="00C03B92" w:rsidRPr="008A5C48" w14:paraId="5858C58F"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40BAF1B"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PBDE 153</w:t>
            </w:r>
          </w:p>
        </w:tc>
        <w:tc>
          <w:tcPr>
            <w:tcW w:w="634" w:type="dxa"/>
            <w:tcBorders>
              <w:top w:val="nil"/>
              <w:left w:val="nil"/>
              <w:bottom w:val="nil"/>
              <w:right w:val="nil"/>
            </w:tcBorders>
            <w:shd w:val="clear" w:color="auto" w:fill="auto"/>
            <w:vAlign w:val="center"/>
          </w:tcPr>
          <w:p w14:paraId="2F49814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31F0DB1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01266A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1279 (98.3%)</w:t>
            </w:r>
          </w:p>
        </w:tc>
        <w:tc>
          <w:tcPr>
            <w:tcW w:w="1486" w:type="dxa"/>
            <w:gridSpan w:val="2"/>
            <w:tcBorders>
              <w:top w:val="nil"/>
              <w:left w:val="nil"/>
              <w:bottom w:val="nil"/>
              <w:right w:val="nil"/>
            </w:tcBorders>
            <w:shd w:val="clear" w:color="auto" w:fill="auto"/>
            <w:vAlign w:val="center"/>
          </w:tcPr>
          <w:p w14:paraId="5CF84E2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54.40%</w:t>
            </w:r>
          </w:p>
        </w:tc>
        <w:tc>
          <w:tcPr>
            <w:tcW w:w="796" w:type="dxa"/>
            <w:gridSpan w:val="2"/>
            <w:tcBorders>
              <w:top w:val="nil"/>
              <w:left w:val="nil"/>
              <w:bottom w:val="nil"/>
              <w:right w:val="nil"/>
            </w:tcBorders>
            <w:shd w:val="clear" w:color="auto" w:fill="auto"/>
            <w:vAlign w:val="center"/>
          </w:tcPr>
          <w:p w14:paraId="3CDB57A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696" w:type="dxa"/>
            <w:gridSpan w:val="2"/>
            <w:tcBorders>
              <w:top w:val="nil"/>
              <w:left w:val="nil"/>
              <w:bottom w:val="nil"/>
              <w:right w:val="nil"/>
            </w:tcBorders>
            <w:shd w:val="clear" w:color="auto" w:fill="auto"/>
            <w:vAlign w:val="center"/>
          </w:tcPr>
          <w:p w14:paraId="45BEAA9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0.5</w:t>
            </w:r>
          </w:p>
        </w:tc>
        <w:tc>
          <w:tcPr>
            <w:tcW w:w="905" w:type="dxa"/>
            <w:gridSpan w:val="2"/>
            <w:tcBorders>
              <w:top w:val="nil"/>
              <w:left w:val="nil"/>
              <w:bottom w:val="nil"/>
              <w:right w:val="nil"/>
            </w:tcBorders>
            <w:shd w:val="clear" w:color="auto" w:fill="auto"/>
            <w:vAlign w:val="center"/>
          </w:tcPr>
          <w:p w14:paraId="3EA22AA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w:t>
            </w:r>
          </w:p>
        </w:tc>
        <w:tc>
          <w:tcPr>
            <w:tcW w:w="745" w:type="dxa"/>
            <w:gridSpan w:val="3"/>
            <w:tcBorders>
              <w:top w:val="nil"/>
              <w:left w:val="nil"/>
              <w:bottom w:val="nil"/>
              <w:right w:val="nil"/>
            </w:tcBorders>
            <w:shd w:val="clear" w:color="auto" w:fill="auto"/>
            <w:vAlign w:val="center"/>
          </w:tcPr>
          <w:p w14:paraId="6E4C434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4.4</w:t>
            </w:r>
          </w:p>
        </w:tc>
        <w:tc>
          <w:tcPr>
            <w:tcW w:w="799" w:type="dxa"/>
            <w:gridSpan w:val="3"/>
            <w:tcBorders>
              <w:top w:val="nil"/>
              <w:left w:val="nil"/>
              <w:bottom w:val="nil"/>
              <w:right w:val="nil"/>
            </w:tcBorders>
            <w:shd w:val="clear" w:color="auto" w:fill="auto"/>
            <w:vAlign w:val="center"/>
          </w:tcPr>
          <w:p w14:paraId="7EBDF47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135.3</w:t>
            </w:r>
          </w:p>
        </w:tc>
      </w:tr>
      <w:tr w:rsidR="00C03B92" w:rsidRPr="008A5C48" w14:paraId="3BF570BB"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09FE5A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PBDE 47</w:t>
            </w:r>
          </w:p>
        </w:tc>
        <w:tc>
          <w:tcPr>
            <w:tcW w:w="634" w:type="dxa"/>
            <w:tcBorders>
              <w:top w:val="nil"/>
              <w:left w:val="nil"/>
              <w:bottom w:val="nil"/>
              <w:right w:val="nil"/>
            </w:tcBorders>
            <w:shd w:val="clear" w:color="auto" w:fill="auto"/>
            <w:vAlign w:val="center"/>
          </w:tcPr>
          <w:p w14:paraId="713AF8C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Pg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7E680AA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786E2A7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1279 (98.3%)</w:t>
            </w:r>
          </w:p>
        </w:tc>
        <w:tc>
          <w:tcPr>
            <w:tcW w:w="1486" w:type="dxa"/>
            <w:gridSpan w:val="2"/>
            <w:tcBorders>
              <w:top w:val="nil"/>
              <w:left w:val="nil"/>
              <w:bottom w:val="nil"/>
              <w:right w:val="nil"/>
            </w:tcBorders>
            <w:shd w:val="clear" w:color="auto" w:fill="auto"/>
            <w:vAlign w:val="center"/>
          </w:tcPr>
          <w:p w14:paraId="3561250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90.80%</w:t>
            </w:r>
          </w:p>
        </w:tc>
        <w:tc>
          <w:tcPr>
            <w:tcW w:w="796" w:type="dxa"/>
            <w:gridSpan w:val="2"/>
            <w:tcBorders>
              <w:top w:val="nil"/>
              <w:left w:val="nil"/>
              <w:bottom w:val="nil"/>
              <w:right w:val="nil"/>
            </w:tcBorders>
            <w:shd w:val="clear" w:color="auto" w:fill="auto"/>
            <w:vAlign w:val="center"/>
          </w:tcPr>
          <w:p w14:paraId="6AD63DC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w:t>
            </w:r>
          </w:p>
        </w:tc>
        <w:tc>
          <w:tcPr>
            <w:tcW w:w="696" w:type="dxa"/>
            <w:gridSpan w:val="2"/>
            <w:tcBorders>
              <w:top w:val="nil"/>
              <w:left w:val="nil"/>
              <w:bottom w:val="nil"/>
              <w:right w:val="nil"/>
            </w:tcBorders>
            <w:shd w:val="clear" w:color="auto" w:fill="auto"/>
            <w:vAlign w:val="center"/>
          </w:tcPr>
          <w:p w14:paraId="380C088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3.1</w:t>
            </w:r>
          </w:p>
        </w:tc>
        <w:tc>
          <w:tcPr>
            <w:tcW w:w="905" w:type="dxa"/>
            <w:gridSpan w:val="2"/>
            <w:tcBorders>
              <w:top w:val="nil"/>
              <w:left w:val="nil"/>
              <w:bottom w:val="nil"/>
              <w:right w:val="nil"/>
            </w:tcBorders>
            <w:shd w:val="clear" w:color="auto" w:fill="auto"/>
            <w:vAlign w:val="center"/>
          </w:tcPr>
          <w:p w14:paraId="40AF0C3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3.8</w:t>
            </w:r>
          </w:p>
        </w:tc>
        <w:tc>
          <w:tcPr>
            <w:tcW w:w="745" w:type="dxa"/>
            <w:gridSpan w:val="3"/>
            <w:tcBorders>
              <w:top w:val="nil"/>
              <w:left w:val="nil"/>
              <w:bottom w:val="nil"/>
              <w:right w:val="nil"/>
            </w:tcBorders>
            <w:shd w:val="clear" w:color="auto" w:fill="auto"/>
            <w:vAlign w:val="center"/>
          </w:tcPr>
          <w:p w14:paraId="16745B2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5.1</w:t>
            </w:r>
          </w:p>
        </w:tc>
        <w:tc>
          <w:tcPr>
            <w:tcW w:w="799" w:type="dxa"/>
            <w:gridSpan w:val="3"/>
            <w:tcBorders>
              <w:top w:val="nil"/>
              <w:left w:val="nil"/>
              <w:bottom w:val="nil"/>
              <w:right w:val="nil"/>
            </w:tcBorders>
            <w:shd w:val="clear" w:color="auto" w:fill="auto"/>
            <w:vAlign w:val="center"/>
          </w:tcPr>
          <w:p w14:paraId="08DA5B8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342.5</w:t>
            </w:r>
          </w:p>
        </w:tc>
      </w:tr>
      <w:tr w:rsidR="00C03B92" w:rsidRPr="008A5C48" w14:paraId="32356B94"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51F27BFE"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c>
          <w:tcPr>
            <w:tcW w:w="634" w:type="dxa"/>
            <w:tcBorders>
              <w:top w:val="nil"/>
              <w:left w:val="nil"/>
              <w:bottom w:val="nil"/>
              <w:right w:val="nil"/>
            </w:tcBorders>
            <w:shd w:val="clear" w:color="auto" w:fill="auto"/>
            <w:vAlign w:val="center"/>
          </w:tcPr>
          <w:p w14:paraId="5E8B92B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111" w:type="dxa"/>
            <w:tcBorders>
              <w:top w:val="nil"/>
              <w:left w:val="nil"/>
              <w:bottom w:val="nil"/>
              <w:right w:val="nil"/>
            </w:tcBorders>
            <w:shd w:val="clear" w:color="auto" w:fill="auto"/>
            <w:vAlign w:val="center"/>
          </w:tcPr>
          <w:p w14:paraId="2B896A3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360" w:type="dxa"/>
            <w:tcBorders>
              <w:top w:val="nil"/>
              <w:left w:val="nil"/>
              <w:bottom w:val="nil"/>
              <w:right w:val="nil"/>
            </w:tcBorders>
            <w:shd w:val="clear" w:color="auto" w:fill="auto"/>
            <w:vAlign w:val="center"/>
          </w:tcPr>
          <w:p w14:paraId="51BC04F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486" w:type="dxa"/>
            <w:gridSpan w:val="2"/>
            <w:tcBorders>
              <w:top w:val="nil"/>
              <w:left w:val="nil"/>
              <w:bottom w:val="nil"/>
              <w:right w:val="nil"/>
            </w:tcBorders>
            <w:shd w:val="clear" w:color="auto" w:fill="auto"/>
            <w:vAlign w:val="center"/>
          </w:tcPr>
          <w:p w14:paraId="35163FE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6" w:type="dxa"/>
            <w:gridSpan w:val="2"/>
            <w:tcBorders>
              <w:top w:val="nil"/>
              <w:left w:val="nil"/>
              <w:bottom w:val="nil"/>
              <w:right w:val="nil"/>
            </w:tcBorders>
            <w:shd w:val="clear" w:color="auto" w:fill="auto"/>
            <w:vAlign w:val="center"/>
          </w:tcPr>
          <w:p w14:paraId="319F780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696" w:type="dxa"/>
            <w:gridSpan w:val="2"/>
            <w:tcBorders>
              <w:top w:val="nil"/>
              <w:left w:val="nil"/>
              <w:bottom w:val="nil"/>
              <w:right w:val="nil"/>
            </w:tcBorders>
            <w:shd w:val="clear" w:color="auto" w:fill="auto"/>
            <w:vAlign w:val="center"/>
          </w:tcPr>
          <w:p w14:paraId="4DCBC9C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905" w:type="dxa"/>
            <w:gridSpan w:val="2"/>
            <w:tcBorders>
              <w:top w:val="nil"/>
              <w:left w:val="nil"/>
              <w:bottom w:val="nil"/>
              <w:right w:val="nil"/>
            </w:tcBorders>
            <w:shd w:val="clear" w:color="auto" w:fill="auto"/>
            <w:vAlign w:val="center"/>
          </w:tcPr>
          <w:p w14:paraId="1E09BEF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45" w:type="dxa"/>
            <w:gridSpan w:val="3"/>
            <w:tcBorders>
              <w:top w:val="nil"/>
              <w:left w:val="nil"/>
              <w:bottom w:val="nil"/>
              <w:right w:val="nil"/>
            </w:tcBorders>
            <w:shd w:val="clear" w:color="auto" w:fill="auto"/>
            <w:vAlign w:val="center"/>
          </w:tcPr>
          <w:p w14:paraId="76EF455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9" w:type="dxa"/>
            <w:gridSpan w:val="3"/>
            <w:tcBorders>
              <w:top w:val="nil"/>
              <w:left w:val="nil"/>
              <w:bottom w:val="nil"/>
              <w:right w:val="nil"/>
            </w:tcBorders>
            <w:shd w:val="clear" w:color="auto" w:fill="auto"/>
            <w:vAlign w:val="center"/>
          </w:tcPr>
          <w:p w14:paraId="54433AD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r>
      <w:tr w:rsidR="00C03B92" w:rsidRPr="008A5C48" w14:paraId="1EBD812C" w14:textId="77777777" w:rsidTr="0034607E">
        <w:trPr>
          <w:trHeight w:val="194"/>
          <w:jc w:val="center"/>
        </w:trPr>
        <w:tc>
          <w:tcPr>
            <w:tcW w:w="8912" w:type="dxa"/>
            <w:gridSpan w:val="16"/>
            <w:tcBorders>
              <w:top w:val="nil"/>
              <w:left w:val="nil"/>
              <w:bottom w:val="nil"/>
              <w:right w:val="nil"/>
            </w:tcBorders>
            <w:shd w:val="clear" w:color="auto" w:fill="auto"/>
            <w:vAlign w:val="center"/>
          </w:tcPr>
          <w:p w14:paraId="466CD0F3"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b/>
                <w:color w:val="000000"/>
                <w:sz w:val="20"/>
                <w:szCs w:val="20"/>
              </w:rPr>
              <w:t>Per- and poly-fluoroalkyl substance (PFAS)</w:t>
            </w:r>
          </w:p>
        </w:tc>
        <w:tc>
          <w:tcPr>
            <w:tcW w:w="799" w:type="dxa"/>
            <w:gridSpan w:val="3"/>
            <w:tcBorders>
              <w:top w:val="nil"/>
              <w:left w:val="nil"/>
              <w:bottom w:val="nil"/>
              <w:right w:val="nil"/>
            </w:tcBorders>
            <w:shd w:val="clear" w:color="auto" w:fill="auto"/>
            <w:vAlign w:val="center"/>
          </w:tcPr>
          <w:p w14:paraId="5798DF5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r>
      <w:tr w:rsidR="00C03B92" w:rsidRPr="008A5C48" w14:paraId="6600A7FC"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7114A07"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PFHXS</w:t>
            </w:r>
          </w:p>
        </w:tc>
        <w:tc>
          <w:tcPr>
            <w:tcW w:w="634" w:type="dxa"/>
            <w:tcBorders>
              <w:top w:val="nil"/>
              <w:left w:val="nil"/>
              <w:bottom w:val="nil"/>
              <w:right w:val="nil"/>
            </w:tcBorders>
            <w:shd w:val="clear" w:color="auto" w:fill="auto"/>
            <w:vAlign w:val="center"/>
          </w:tcPr>
          <w:p w14:paraId="1D51CE9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666FBE8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67ED90B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1240 (95.3%)</w:t>
            </w:r>
          </w:p>
        </w:tc>
        <w:tc>
          <w:tcPr>
            <w:tcW w:w="1486" w:type="dxa"/>
            <w:gridSpan w:val="2"/>
            <w:tcBorders>
              <w:top w:val="nil"/>
              <w:left w:val="nil"/>
              <w:bottom w:val="nil"/>
              <w:right w:val="nil"/>
            </w:tcBorders>
            <w:shd w:val="clear" w:color="auto" w:fill="auto"/>
            <w:vAlign w:val="center"/>
          </w:tcPr>
          <w:p w14:paraId="1FD6B65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97.50%</w:t>
            </w:r>
          </w:p>
        </w:tc>
        <w:tc>
          <w:tcPr>
            <w:tcW w:w="796" w:type="dxa"/>
            <w:gridSpan w:val="2"/>
            <w:tcBorders>
              <w:top w:val="nil"/>
              <w:left w:val="nil"/>
              <w:bottom w:val="nil"/>
              <w:right w:val="nil"/>
            </w:tcBorders>
            <w:shd w:val="clear" w:color="auto" w:fill="auto"/>
            <w:vAlign w:val="center"/>
          </w:tcPr>
          <w:p w14:paraId="0B1E285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696" w:type="dxa"/>
            <w:gridSpan w:val="2"/>
            <w:tcBorders>
              <w:top w:val="nil"/>
              <w:left w:val="nil"/>
              <w:bottom w:val="nil"/>
              <w:right w:val="nil"/>
            </w:tcBorders>
            <w:shd w:val="clear" w:color="auto" w:fill="auto"/>
            <w:vAlign w:val="center"/>
          </w:tcPr>
          <w:p w14:paraId="1EFE20F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0.6</w:t>
            </w:r>
          </w:p>
        </w:tc>
        <w:tc>
          <w:tcPr>
            <w:tcW w:w="905" w:type="dxa"/>
            <w:gridSpan w:val="2"/>
            <w:tcBorders>
              <w:top w:val="nil"/>
              <w:left w:val="nil"/>
              <w:bottom w:val="nil"/>
              <w:right w:val="nil"/>
            </w:tcBorders>
            <w:shd w:val="clear" w:color="auto" w:fill="auto"/>
            <w:vAlign w:val="center"/>
          </w:tcPr>
          <w:p w14:paraId="164386A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0.9</w:t>
            </w:r>
          </w:p>
        </w:tc>
        <w:tc>
          <w:tcPr>
            <w:tcW w:w="745" w:type="dxa"/>
            <w:gridSpan w:val="3"/>
            <w:tcBorders>
              <w:top w:val="nil"/>
              <w:left w:val="nil"/>
              <w:bottom w:val="nil"/>
              <w:right w:val="nil"/>
            </w:tcBorders>
            <w:shd w:val="clear" w:color="auto" w:fill="auto"/>
            <w:vAlign w:val="center"/>
          </w:tcPr>
          <w:p w14:paraId="3790EC1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w:t>
            </w:r>
          </w:p>
        </w:tc>
        <w:tc>
          <w:tcPr>
            <w:tcW w:w="799" w:type="dxa"/>
            <w:gridSpan w:val="3"/>
            <w:tcBorders>
              <w:top w:val="nil"/>
              <w:left w:val="nil"/>
              <w:bottom w:val="nil"/>
              <w:right w:val="nil"/>
            </w:tcBorders>
            <w:shd w:val="clear" w:color="auto" w:fill="auto"/>
            <w:vAlign w:val="center"/>
          </w:tcPr>
          <w:p w14:paraId="4DBCFB4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21.1</w:t>
            </w:r>
          </w:p>
        </w:tc>
      </w:tr>
      <w:tr w:rsidR="00C03B92" w:rsidRPr="008A5C48" w14:paraId="2E360F08"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42395C8B"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PFNA</w:t>
            </w:r>
          </w:p>
        </w:tc>
        <w:tc>
          <w:tcPr>
            <w:tcW w:w="634" w:type="dxa"/>
            <w:tcBorders>
              <w:top w:val="nil"/>
              <w:left w:val="nil"/>
              <w:bottom w:val="nil"/>
              <w:right w:val="nil"/>
            </w:tcBorders>
            <w:shd w:val="clear" w:color="auto" w:fill="auto"/>
            <w:vAlign w:val="center"/>
          </w:tcPr>
          <w:p w14:paraId="2DA00CD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7019BE3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26A2441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1240 (95.3%)</w:t>
            </w:r>
          </w:p>
        </w:tc>
        <w:tc>
          <w:tcPr>
            <w:tcW w:w="1486" w:type="dxa"/>
            <w:gridSpan w:val="2"/>
            <w:tcBorders>
              <w:top w:val="nil"/>
              <w:left w:val="nil"/>
              <w:bottom w:val="nil"/>
              <w:right w:val="nil"/>
            </w:tcBorders>
            <w:shd w:val="clear" w:color="auto" w:fill="auto"/>
            <w:vAlign w:val="center"/>
          </w:tcPr>
          <w:p w14:paraId="3A1A8AD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97.90%</w:t>
            </w:r>
          </w:p>
        </w:tc>
        <w:tc>
          <w:tcPr>
            <w:tcW w:w="796" w:type="dxa"/>
            <w:gridSpan w:val="2"/>
            <w:tcBorders>
              <w:top w:val="nil"/>
              <w:left w:val="nil"/>
              <w:bottom w:val="nil"/>
              <w:right w:val="nil"/>
            </w:tcBorders>
            <w:shd w:val="clear" w:color="auto" w:fill="auto"/>
            <w:vAlign w:val="center"/>
          </w:tcPr>
          <w:p w14:paraId="274DDA5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696" w:type="dxa"/>
            <w:gridSpan w:val="2"/>
            <w:tcBorders>
              <w:top w:val="nil"/>
              <w:left w:val="nil"/>
              <w:bottom w:val="nil"/>
              <w:right w:val="nil"/>
            </w:tcBorders>
            <w:shd w:val="clear" w:color="auto" w:fill="auto"/>
            <w:vAlign w:val="center"/>
          </w:tcPr>
          <w:p w14:paraId="70BEDD5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0.9</w:t>
            </w:r>
          </w:p>
        </w:tc>
        <w:tc>
          <w:tcPr>
            <w:tcW w:w="905" w:type="dxa"/>
            <w:gridSpan w:val="2"/>
            <w:tcBorders>
              <w:top w:val="nil"/>
              <w:left w:val="nil"/>
              <w:bottom w:val="nil"/>
              <w:right w:val="nil"/>
            </w:tcBorders>
            <w:shd w:val="clear" w:color="auto" w:fill="auto"/>
            <w:vAlign w:val="center"/>
          </w:tcPr>
          <w:p w14:paraId="653EAF0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w:t>
            </w:r>
          </w:p>
        </w:tc>
        <w:tc>
          <w:tcPr>
            <w:tcW w:w="745" w:type="dxa"/>
            <w:gridSpan w:val="3"/>
            <w:tcBorders>
              <w:top w:val="nil"/>
              <w:left w:val="nil"/>
              <w:bottom w:val="nil"/>
              <w:right w:val="nil"/>
            </w:tcBorders>
            <w:shd w:val="clear" w:color="auto" w:fill="auto"/>
            <w:vAlign w:val="center"/>
          </w:tcPr>
          <w:p w14:paraId="30CE21D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w:t>
            </w:r>
          </w:p>
        </w:tc>
        <w:tc>
          <w:tcPr>
            <w:tcW w:w="799" w:type="dxa"/>
            <w:gridSpan w:val="3"/>
            <w:tcBorders>
              <w:top w:val="nil"/>
              <w:left w:val="nil"/>
              <w:bottom w:val="nil"/>
              <w:right w:val="nil"/>
            </w:tcBorders>
            <w:shd w:val="clear" w:color="auto" w:fill="auto"/>
            <w:vAlign w:val="center"/>
          </w:tcPr>
          <w:p w14:paraId="6EF4538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6.4</w:t>
            </w:r>
          </w:p>
        </w:tc>
      </w:tr>
      <w:tr w:rsidR="00C03B92" w:rsidRPr="008A5C48" w14:paraId="3EBDEE04"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AEB7268"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PFOA</w:t>
            </w:r>
          </w:p>
        </w:tc>
        <w:tc>
          <w:tcPr>
            <w:tcW w:w="634" w:type="dxa"/>
            <w:tcBorders>
              <w:top w:val="nil"/>
              <w:left w:val="nil"/>
              <w:bottom w:val="nil"/>
              <w:right w:val="nil"/>
            </w:tcBorders>
            <w:shd w:val="clear" w:color="auto" w:fill="auto"/>
            <w:vAlign w:val="center"/>
          </w:tcPr>
          <w:p w14:paraId="6590EB1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03973C4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5BF12E3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1240 (95.3%)</w:t>
            </w:r>
          </w:p>
        </w:tc>
        <w:tc>
          <w:tcPr>
            <w:tcW w:w="1486" w:type="dxa"/>
            <w:gridSpan w:val="2"/>
            <w:tcBorders>
              <w:top w:val="nil"/>
              <w:left w:val="nil"/>
              <w:bottom w:val="nil"/>
              <w:right w:val="nil"/>
            </w:tcBorders>
            <w:shd w:val="clear" w:color="auto" w:fill="auto"/>
            <w:vAlign w:val="center"/>
          </w:tcPr>
          <w:p w14:paraId="4E87B2F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46E8F77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w:t>
            </w:r>
          </w:p>
        </w:tc>
        <w:tc>
          <w:tcPr>
            <w:tcW w:w="696" w:type="dxa"/>
            <w:gridSpan w:val="2"/>
            <w:tcBorders>
              <w:top w:val="nil"/>
              <w:left w:val="nil"/>
              <w:bottom w:val="nil"/>
              <w:right w:val="nil"/>
            </w:tcBorders>
            <w:shd w:val="clear" w:color="auto" w:fill="auto"/>
            <w:vAlign w:val="center"/>
          </w:tcPr>
          <w:p w14:paraId="726B166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w:t>
            </w:r>
          </w:p>
        </w:tc>
        <w:tc>
          <w:tcPr>
            <w:tcW w:w="905" w:type="dxa"/>
            <w:gridSpan w:val="2"/>
            <w:tcBorders>
              <w:top w:val="nil"/>
              <w:left w:val="nil"/>
              <w:bottom w:val="nil"/>
              <w:right w:val="nil"/>
            </w:tcBorders>
            <w:shd w:val="clear" w:color="auto" w:fill="auto"/>
            <w:vAlign w:val="center"/>
          </w:tcPr>
          <w:p w14:paraId="11475CC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3.7</w:t>
            </w:r>
          </w:p>
        </w:tc>
        <w:tc>
          <w:tcPr>
            <w:tcW w:w="745" w:type="dxa"/>
            <w:gridSpan w:val="3"/>
            <w:tcBorders>
              <w:top w:val="nil"/>
              <w:left w:val="nil"/>
              <w:bottom w:val="nil"/>
              <w:right w:val="nil"/>
            </w:tcBorders>
            <w:shd w:val="clear" w:color="auto" w:fill="auto"/>
            <w:vAlign w:val="center"/>
          </w:tcPr>
          <w:p w14:paraId="79BE7BA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4.7</w:t>
            </w:r>
          </w:p>
        </w:tc>
        <w:tc>
          <w:tcPr>
            <w:tcW w:w="799" w:type="dxa"/>
            <w:gridSpan w:val="3"/>
            <w:tcBorders>
              <w:top w:val="nil"/>
              <w:left w:val="nil"/>
              <w:bottom w:val="nil"/>
              <w:right w:val="nil"/>
            </w:tcBorders>
            <w:shd w:val="clear" w:color="auto" w:fill="auto"/>
            <w:vAlign w:val="center"/>
          </w:tcPr>
          <w:p w14:paraId="1B9BB00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33.1</w:t>
            </w:r>
          </w:p>
        </w:tc>
      </w:tr>
      <w:tr w:rsidR="00C03B92" w:rsidRPr="008A5C48" w14:paraId="2FD879EB"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760DCA2"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PFOS</w:t>
            </w:r>
          </w:p>
        </w:tc>
        <w:tc>
          <w:tcPr>
            <w:tcW w:w="634" w:type="dxa"/>
            <w:tcBorders>
              <w:top w:val="nil"/>
              <w:left w:val="nil"/>
              <w:bottom w:val="nil"/>
              <w:right w:val="nil"/>
            </w:tcBorders>
            <w:shd w:val="clear" w:color="auto" w:fill="auto"/>
            <w:vAlign w:val="center"/>
          </w:tcPr>
          <w:p w14:paraId="79FCE9C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76A1303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20C46FC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1240 (95.3%)</w:t>
            </w:r>
          </w:p>
        </w:tc>
        <w:tc>
          <w:tcPr>
            <w:tcW w:w="1486" w:type="dxa"/>
            <w:gridSpan w:val="2"/>
            <w:tcBorders>
              <w:top w:val="nil"/>
              <w:left w:val="nil"/>
              <w:bottom w:val="nil"/>
              <w:right w:val="nil"/>
            </w:tcBorders>
            <w:shd w:val="clear" w:color="auto" w:fill="auto"/>
            <w:vAlign w:val="center"/>
          </w:tcPr>
          <w:p w14:paraId="2B01C4A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7DE1B81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4.4</w:t>
            </w:r>
          </w:p>
        </w:tc>
        <w:tc>
          <w:tcPr>
            <w:tcW w:w="696" w:type="dxa"/>
            <w:gridSpan w:val="2"/>
            <w:tcBorders>
              <w:top w:val="nil"/>
              <w:left w:val="nil"/>
              <w:bottom w:val="nil"/>
              <w:right w:val="nil"/>
            </w:tcBorders>
            <w:shd w:val="clear" w:color="auto" w:fill="auto"/>
            <w:vAlign w:val="center"/>
          </w:tcPr>
          <w:p w14:paraId="5761505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w:t>
            </w:r>
          </w:p>
        </w:tc>
        <w:tc>
          <w:tcPr>
            <w:tcW w:w="905" w:type="dxa"/>
            <w:gridSpan w:val="2"/>
            <w:tcBorders>
              <w:top w:val="nil"/>
              <w:left w:val="nil"/>
              <w:bottom w:val="nil"/>
              <w:right w:val="nil"/>
            </w:tcBorders>
            <w:shd w:val="clear" w:color="auto" w:fill="auto"/>
            <w:vAlign w:val="center"/>
          </w:tcPr>
          <w:p w14:paraId="4B549DD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10.6</w:t>
            </w:r>
          </w:p>
        </w:tc>
        <w:tc>
          <w:tcPr>
            <w:tcW w:w="745" w:type="dxa"/>
            <w:gridSpan w:val="3"/>
            <w:tcBorders>
              <w:top w:val="nil"/>
              <w:left w:val="nil"/>
              <w:bottom w:val="nil"/>
              <w:right w:val="nil"/>
            </w:tcBorders>
            <w:shd w:val="clear" w:color="auto" w:fill="auto"/>
            <w:vAlign w:val="center"/>
          </w:tcPr>
          <w:p w14:paraId="0837C80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13.7</w:t>
            </w:r>
          </w:p>
        </w:tc>
        <w:tc>
          <w:tcPr>
            <w:tcW w:w="799" w:type="dxa"/>
            <w:gridSpan w:val="3"/>
            <w:tcBorders>
              <w:top w:val="nil"/>
              <w:left w:val="nil"/>
              <w:bottom w:val="nil"/>
              <w:right w:val="nil"/>
            </w:tcBorders>
            <w:shd w:val="clear" w:color="auto" w:fill="auto"/>
            <w:vAlign w:val="center"/>
          </w:tcPr>
          <w:p w14:paraId="5F0076C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52</w:t>
            </w:r>
          </w:p>
        </w:tc>
      </w:tr>
      <w:tr w:rsidR="00C03B92" w:rsidRPr="008A5C48" w14:paraId="29D5CE93"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ECA01DE"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PFUNDA</w:t>
            </w:r>
          </w:p>
        </w:tc>
        <w:tc>
          <w:tcPr>
            <w:tcW w:w="634" w:type="dxa"/>
            <w:tcBorders>
              <w:top w:val="nil"/>
              <w:left w:val="nil"/>
              <w:bottom w:val="nil"/>
              <w:right w:val="nil"/>
            </w:tcBorders>
            <w:shd w:val="clear" w:color="auto" w:fill="auto"/>
            <w:vAlign w:val="center"/>
          </w:tcPr>
          <w:p w14:paraId="46B65EC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5D5F4D9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2C315EE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1032 (79.3%)</w:t>
            </w:r>
          </w:p>
        </w:tc>
        <w:tc>
          <w:tcPr>
            <w:tcW w:w="1486" w:type="dxa"/>
            <w:gridSpan w:val="2"/>
            <w:tcBorders>
              <w:top w:val="nil"/>
              <w:left w:val="nil"/>
              <w:bottom w:val="nil"/>
              <w:right w:val="nil"/>
            </w:tcBorders>
            <w:shd w:val="clear" w:color="auto" w:fill="auto"/>
            <w:vAlign w:val="center"/>
          </w:tcPr>
          <w:p w14:paraId="7D124F6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95.40%</w:t>
            </w:r>
          </w:p>
        </w:tc>
        <w:tc>
          <w:tcPr>
            <w:tcW w:w="796" w:type="dxa"/>
            <w:gridSpan w:val="2"/>
            <w:tcBorders>
              <w:top w:val="nil"/>
              <w:left w:val="nil"/>
              <w:bottom w:val="nil"/>
              <w:right w:val="nil"/>
            </w:tcBorders>
            <w:shd w:val="clear" w:color="auto" w:fill="auto"/>
            <w:vAlign w:val="center"/>
          </w:tcPr>
          <w:p w14:paraId="427C346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w:t>
            </w:r>
          </w:p>
        </w:tc>
        <w:tc>
          <w:tcPr>
            <w:tcW w:w="696" w:type="dxa"/>
            <w:gridSpan w:val="2"/>
            <w:tcBorders>
              <w:top w:val="nil"/>
              <w:left w:val="nil"/>
              <w:bottom w:val="nil"/>
              <w:right w:val="nil"/>
            </w:tcBorders>
            <w:shd w:val="clear" w:color="auto" w:fill="auto"/>
            <w:vAlign w:val="center"/>
          </w:tcPr>
          <w:p w14:paraId="31F3FA9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0.2</w:t>
            </w:r>
          </w:p>
        </w:tc>
        <w:tc>
          <w:tcPr>
            <w:tcW w:w="905" w:type="dxa"/>
            <w:gridSpan w:val="2"/>
            <w:tcBorders>
              <w:top w:val="nil"/>
              <w:left w:val="nil"/>
              <w:bottom w:val="nil"/>
              <w:right w:val="nil"/>
            </w:tcBorders>
            <w:shd w:val="clear" w:color="auto" w:fill="auto"/>
            <w:vAlign w:val="center"/>
          </w:tcPr>
          <w:p w14:paraId="77E02C4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745" w:type="dxa"/>
            <w:gridSpan w:val="3"/>
            <w:tcBorders>
              <w:top w:val="nil"/>
              <w:left w:val="nil"/>
              <w:bottom w:val="nil"/>
              <w:right w:val="nil"/>
            </w:tcBorders>
            <w:shd w:val="clear" w:color="auto" w:fill="auto"/>
            <w:vAlign w:val="center"/>
          </w:tcPr>
          <w:p w14:paraId="6E102C1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799" w:type="dxa"/>
            <w:gridSpan w:val="3"/>
            <w:tcBorders>
              <w:top w:val="nil"/>
              <w:left w:val="nil"/>
              <w:bottom w:val="nil"/>
              <w:right w:val="nil"/>
            </w:tcBorders>
            <w:shd w:val="clear" w:color="auto" w:fill="auto"/>
            <w:vAlign w:val="center"/>
          </w:tcPr>
          <w:p w14:paraId="7D79198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w:t>
            </w:r>
          </w:p>
        </w:tc>
      </w:tr>
      <w:tr w:rsidR="00C03B92" w:rsidRPr="008A5C48" w14:paraId="337F6F40"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0A62B898"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PFHXS</w:t>
            </w:r>
          </w:p>
        </w:tc>
        <w:tc>
          <w:tcPr>
            <w:tcW w:w="634" w:type="dxa"/>
            <w:tcBorders>
              <w:top w:val="nil"/>
              <w:left w:val="nil"/>
              <w:bottom w:val="nil"/>
              <w:right w:val="nil"/>
            </w:tcBorders>
            <w:shd w:val="clear" w:color="auto" w:fill="auto"/>
            <w:vAlign w:val="center"/>
          </w:tcPr>
          <w:p w14:paraId="085054D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0CD4A49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54BAE37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bottom w:val="nil"/>
              <w:right w:val="nil"/>
            </w:tcBorders>
            <w:shd w:val="clear" w:color="auto" w:fill="auto"/>
            <w:vAlign w:val="center"/>
          </w:tcPr>
          <w:p w14:paraId="20B4FEF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99.70%</w:t>
            </w:r>
          </w:p>
        </w:tc>
        <w:tc>
          <w:tcPr>
            <w:tcW w:w="796" w:type="dxa"/>
            <w:gridSpan w:val="2"/>
            <w:tcBorders>
              <w:top w:val="nil"/>
              <w:left w:val="nil"/>
              <w:bottom w:val="nil"/>
              <w:right w:val="nil"/>
            </w:tcBorders>
            <w:shd w:val="clear" w:color="auto" w:fill="auto"/>
            <w:vAlign w:val="center"/>
          </w:tcPr>
          <w:p w14:paraId="5AA5D5B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w:t>
            </w:r>
          </w:p>
        </w:tc>
        <w:tc>
          <w:tcPr>
            <w:tcW w:w="696" w:type="dxa"/>
            <w:gridSpan w:val="2"/>
            <w:tcBorders>
              <w:top w:val="nil"/>
              <w:left w:val="nil"/>
              <w:bottom w:val="nil"/>
              <w:right w:val="nil"/>
            </w:tcBorders>
            <w:shd w:val="clear" w:color="auto" w:fill="auto"/>
            <w:vAlign w:val="center"/>
          </w:tcPr>
          <w:p w14:paraId="2704D01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0.2</w:t>
            </w:r>
          </w:p>
        </w:tc>
        <w:tc>
          <w:tcPr>
            <w:tcW w:w="905" w:type="dxa"/>
            <w:gridSpan w:val="2"/>
            <w:tcBorders>
              <w:top w:val="nil"/>
              <w:left w:val="nil"/>
              <w:bottom w:val="nil"/>
              <w:right w:val="nil"/>
            </w:tcBorders>
            <w:shd w:val="clear" w:color="auto" w:fill="auto"/>
            <w:vAlign w:val="center"/>
          </w:tcPr>
          <w:p w14:paraId="7EAF801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745" w:type="dxa"/>
            <w:gridSpan w:val="3"/>
            <w:tcBorders>
              <w:top w:val="nil"/>
              <w:left w:val="nil"/>
              <w:bottom w:val="nil"/>
              <w:right w:val="nil"/>
            </w:tcBorders>
            <w:shd w:val="clear" w:color="auto" w:fill="auto"/>
            <w:vAlign w:val="center"/>
          </w:tcPr>
          <w:p w14:paraId="2DD27AC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0.6</w:t>
            </w:r>
          </w:p>
        </w:tc>
        <w:tc>
          <w:tcPr>
            <w:tcW w:w="799" w:type="dxa"/>
            <w:gridSpan w:val="3"/>
            <w:tcBorders>
              <w:top w:val="nil"/>
              <w:left w:val="nil"/>
              <w:bottom w:val="nil"/>
              <w:right w:val="nil"/>
            </w:tcBorders>
            <w:shd w:val="clear" w:color="auto" w:fill="auto"/>
            <w:vAlign w:val="center"/>
          </w:tcPr>
          <w:p w14:paraId="7EBCFE9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27.9</w:t>
            </w:r>
          </w:p>
        </w:tc>
      </w:tr>
      <w:tr w:rsidR="00C03B92" w:rsidRPr="008A5C48" w14:paraId="072BBB36"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ADBAAEA"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PFNA</w:t>
            </w:r>
          </w:p>
        </w:tc>
        <w:tc>
          <w:tcPr>
            <w:tcW w:w="634" w:type="dxa"/>
            <w:tcBorders>
              <w:top w:val="nil"/>
              <w:left w:val="nil"/>
              <w:bottom w:val="nil"/>
              <w:right w:val="nil"/>
            </w:tcBorders>
            <w:shd w:val="clear" w:color="auto" w:fill="auto"/>
            <w:vAlign w:val="center"/>
          </w:tcPr>
          <w:p w14:paraId="1838A37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4FE482A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C75C3E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bottom w:val="nil"/>
              <w:right w:val="nil"/>
            </w:tcBorders>
            <w:shd w:val="clear" w:color="auto" w:fill="auto"/>
            <w:vAlign w:val="center"/>
          </w:tcPr>
          <w:p w14:paraId="1CE9FA7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99.50%</w:t>
            </w:r>
          </w:p>
        </w:tc>
        <w:tc>
          <w:tcPr>
            <w:tcW w:w="796" w:type="dxa"/>
            <w:gridSpan w:val="2"/>
            <w:tcBorders>
              <w:top w:val="nil"/>
              <w:left w:val="nil"/>
              <w:bottom w:val="nil"/>
              <w:right w:val="nil"/>
            </w:tcBorders>
            <w:shd w:val="clear" w:color="auto" w:fill="auto"/>
            <w:vAlign w:val="center"/>
          </w:tcPr>
          <w:p w14:paraId="573B91B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w:t>
            </w:r>
          </w:p>
        </w:tc>
        <w:tc>
          <w:tcPr>
            <w:tcW w:w="696" w:type="dxa"/>
            <w:gridSpan w:val="2"/>
            <w:tcBorders>
              <w:top w:val="nil"/>
              <w:left w:val="nil"/>
              <w:bottom w:val="nil"/>
              <w:right w:val="nil"/>
            </w:tcBorders>
            <w:shd w:val="clear" w:color="auto" w:fill="auto"/>
            <w:vAlign w:val="center"/>
          </w:tcPr>
          <w:p w14:paraId="2352AA9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905" w:type="dxa"/>
            <w:gridSpan w:val="2"/>
            <w:tcBorders>
              <w:top w:val="nil"/>
              <w:left w:val="nil"/>
              <w:bottom w:val="nil"/>
              <w:right w:val="nil"/>
            </w:tcBorders>
            <w:shd w:val="clear" w:color="auto" w:fill="auto"/>
            <w:vAlign w:val="center"/>
          </w:tcPr>
          <w:p w14:paraId="3567662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0.5</w:t>
            </w:r>
          </w:p>
        </w:tc>
        <w:tc>
          <w:tcPr>
            <w:tcW w:w="745" w:type="dxa"/>
            <w:gridSpan w:val="3"/>
            <w:tcBorders>
              <w:top w:val="nil"/>
              <w:left w:val="nil"/>
              <w:bottom w:val="nil"/>
              <w:right w:val="nil"/>
            </w:tcBorders>
            <w:shd w:val="clear" w:color="auto" w:fill="auto"/>
            <w:vAlign w:val="center"/>
          </w:tcPr>
          <w:p w14:paraId="5AC5E2D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0.8</w:t>
            </w:r>
          </w:p>
        </w:tc>
        <w:tc>
          <w:tcPr>
            <w:tcW w:w="799" w:type="dxa"/>
            <w:gridSpan w:val="3"/>
            <w:tcBorders>
              <w:top w:val="nil"/>
              <w:left w:val="nil"/>
              <w:bottom w:val="nil"/>
              <w:right w:val="nil"/>
            </w:tcBorders>
            <w:shd w:val="clear" w:color="auto" w:fill="auto"/>
            <w:vAlign w:val="center"/>
          </w:tcPr>
          <w:p w14:paraId="749B5C2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11.3</w:t>
            </w:r>
          </w:p>
        </w:tc>
      </w:tr>
      <w:tr w:rsidR="00C03B92" w:rsidRPr="008A5C48" w14:paraId="4130A009"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3B9B526"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PFOA</w:t>
            </w:r>
          </w:p>
        </w:tc>
        <w:tc>
          <w:tcPr>
            <w:tcW w:w="634" w:type="dxa"/>
            <w:tcBorders>
              <w:top w:val="nil"/>
              <w:left w:val="nil"/>
              <w:bottom w:val="nil"/>
              <w:right w:val="nil"/>
            </w:tcBorders>
            <w:shd w:val="clear" w:color="auto" w:fill="auto"/>
            <w:vAlign w:val="center"/>
          </w:tcPr>
          <w:p w14:paraId="766744E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72CC14E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1A4BF0C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bottom w:val="nil"/>
              <w:right w:val="nil"/>
            </w:tcBorders>
            <w:shd w:val="clear" w:color="auto" w:fill="auto"/>
            <w:vAlign w:val="center"/>
          </w:tcPr>
          <w:p w14:paraId="6E603DE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99.80%</w:t>
            </w:r>
          </w:p>
        </w:tc>
        <w:tc>
          <w:tcPr>
            <w:tcW w:w="796" w:type="dxa"/>
            <w:gridSpan w:val="2"/>
            <w:tcBorders>
              <w:top w:val="nil"/>
              <w:left w:val="nil"/>
              <w:bottom w:val="nil"/>
              <w:right w:val="nil"/>
            </w:tcBorders>
            <w:shd w:val="clear" w:color="auto" w:fill="auto"/>
            <w:vAlign w:val="center"/>
          </w:tcPr>
          <w:p w14:paraId="7D32E72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0.2</w:t>
            </w:r>
          </w:p>
        </w:tc>
        <w:tc>
          <w:tcPr>
            <w:tcW w:w="696" w:type="dxa"/>
            <w:gridSpan w:val="2"/>
            <w:tcBorders>
              <w:top w:val="nil"/>
              <w:left w:val="nil"/>
              <w:bottom w:val="nil"/>
              <w:right w:val="nil"/>
            </w:tcBorders>
            <w:shd w:val="clear" w:color="auto" w:fill="auto"/>
            <w:vAlign w:val="center"/>
          </w:tcPr>
          <w:p w14:paraId="24DAE4A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w:t>
            </w:r>
          </w:p>
        </w:tc>
        <w:tc>
          <w:tcPr>
            <w:tcW w:w="905" w:type="dxa"/>
            <w:gridSpan w:val="2"/>
            <w:tcBorders>
              <w:top w:val="nil"/>
              <w:left w:val="nil"/>
              <w:bottom w:val="nil"/>
              <w:right w:val="nil"/>
            </w:tcBorders>
            <w:shd w:val="clear" w:color="auto" w:fill="auto"/>
            <w:vAlign w:val="center"/>
          </w:tcPr>
          <w:p w14:paraId="7C822BD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w:t>
            </w:r>
          </w:p>
        </w:tc>
        <w:tc>
          <w:tcPr>
            <w:tcW w:w="745" w:type="dxa"/>
            <w:gridSpan w:val="3"/>
            <w:tcBorders>
              <w:top w:val="nil"/>
              <w:left w:val="nil"/>
              <w:bottom w:val="nil"/>
              <w:right w:val="nil"/>
            </w:tcBorders>
            <w:shd w:val="clear" w:color="auto" w:fill="auto"/>
            <w:vAlign w:val="center"/>
          </w:tcPr>
          <w:p w14:paraId="28D89CC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w:t>
            </w:r>
          </w:p>
        </w:tc>
        <w:tc>
          <w:tcPr>
            <w:tcW w:w="799" w:type="dxa"/>
            <w:gridSpan w:val="3"/>
            <w:tcBorders>
              <w:top w:val="nil"/>
              <w:left w:val="nil"/>
              <w:bottom w:val="nil"/>
              <w:right w:val="nil"/>
            </w:tcBorders>
            <w:shd w:val="clear" w:color="auto" w:fill="auto"/>
            <w:vAlign w:val="center"/>
          </w:tcPr>
          <w:p w14:paraId="1903C88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6.7</w:t>
            </w:r>
          </w:p>
        </w:tc>
      </w:tr>
      <w:tr w:rsidR="00C03B92" w:rsidRPr="008A5C48" w14:paraId="631F85DF" w14:textId="77777777" w:rsidTr="0034607E">
        <w:trPr>
          <w:gridAfter w:val="1"/>
          <w:wAfter w:w="15" w:type="dxa"/>
          <w:trHeight w:val="194"/>
          <w:jc w:val="center"/>
        </w:trPr>
        <w:tc>
          <w:tcPr>
            <w:tcW w:w="1164" w:type="dxa"/>
            <w:tcBorders>
              <w:top w:val="nil"/>
              <w:left w:val="nil"/>
              <w:right w:val="nil"/>
            </w:tcBorders>
            <w:shd w:val="clear" w:color="auto" w:fill="auto"/>
            <w:vAlign w:val="center"/>
          </w:tcPr>
          <w:p w14:paraId="01784D91"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PFOS</w:t>
            </w:r>
          </w:p>
        </w:tc>
        <w:tc>
          <w:tcPr>
            <w:tcW w:w="634" w:type="dxa"/>
            <w:tcBorders>
              <w:top w:val="nil"/>
              <w:left w:val="nil"/>
              <w:right w:val="nil"/>
            </w:tcBorders>
            <w:shd w:val="clear" w:color="auto" w:fill="auto"/>
            <w:vAlign w:val="center"/>
          </w:tcPr>
          <w:p w14:paraId="7F44746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right w:val="nil"/>
            </w:tcBorders>
            <w:shd w:val="clear" w:color="auto" w:fill="auto"/>
            <w:vAlign w:val="center"/>
          </w:tcPr>
          <w:p w14:paraId="0032DDF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right w:val="nil"/>
            </w:tcBorders>
            <w:shd w:val="clear" w:color="auto" w:fill="auto"/>
            <w:vAlign w:val="center"/>
          </w:tcPr>
          <w:p w14:paraId="3A7997C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right w:val="nil"/>
            </w:tcBorders>
            <w:shd w:val="clear" w:color="auto" w:fill="auto"/>
            <w:vAlign w:val="center"/>
          </w:tcPr>
          <w:p w14:paraId="65BFB73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99.80%</w:t>
            </w:r>
          </w:p>
        </w:tc>
        <w:tc>
          <w:tcPr>
            <w:tcW w:w="796" w:type="dxa"/>
            <w:gridSpan w:val="2"/>
            <w:tcBorders>
              <w:top w:val="nil"/>
              <w:left w:val="nil"/>
              <w:right w:val="nil"/>
            </w:tcBorders>
            <w:shd w:val="clear" w:color="auto" w:fill="auto"/>
            <w:vAlign w:val="center"/>
          </w:tcPr>
          <w:p w14:paraId="06E44A4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0.2</w:t>
            </w:r>
          </w:p>
        </w:tc>
        <w:tc>
          <w:tcPr>
            <w:tcW w:w="696" w:type="dxa"/>
            <w:gridSpan w:val="2"/>
            <w:tcBorders>
              <w:top w:val="nil"/>
              <w:left w:val="nil"/>
              <w:right w:val="nil"/>
            </w:tcBorders>
            <w:shd w:val="clear" w:color="auto" w:fill="auto"/>
            <w:vAlign w:val="center"/>
          </w:tcPr>
          <w:p w14:paraId="7F02D12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w:t>
            </w:r>
          </w:p>
        </w:tc>
        <w:tc>
          <w:tcPr>
            <w:tcW w:w="905" w:type="dxa"/>
            <w:gridSpan w:val="2"/>
            <w:tcBorders>
              <w:top w:val="nil"/>
              <w:left w:val="nil"/>
              <w:right w:val="nil"/>
            </w:tcBorders>
            <w:shd w:val="clear" w:color="auto" w:fill="auto"/>
            <w:vAlign w:val="center"/>
          </w:tcPr>
          <w:p w14:paraId="2A1E779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2.2</w:t>
            </w:r>
          </w:p>
        </w:tc>
        <w:tc>
          <w:tcPr>
            <w:tcW w:w="745" w:type="dxa"/>
            <w:gridSpan w:val="3"/>
            <w:tcBorders>
              <w:top w:val="nil"/>
              <w:left w:val="nil"/>
              <w:right w:val="nil"/>
            </w:tcBorders>
            <w:shd w:val="clear" w:color="auto" w:fill="auto"/>
            <w:vAlign w:val="center"/>
          </w:tcPr>
          <w:p w14:paraId="6DDEE57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3.4</w:t>
            </w:r>
          </w:p>
        </w:tc>
        <w:tc>
          <w:tcPr>
            <w:tcW w:w="799" w:type="dxa"/>
            <w:gridSpan w:val="3"/>
            <w:tcBorders>
              <w:top w:val="nil"/>
              <w:left w:val="nil"/>
              <w:right w:val="nil"/>
            </w:tcBorders>
            <w:shd w:val="clear" w:color="auto" w:fill="auto"/>
            <w:vAlign w:val="center"/>
          </w:tcPr>
          <w:p w14:paraId="1B172CD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34.1</w:t>
            </w:r>
          </w:p>
        </w:tc>
      </w:tr>
      <w:tr w:rsidR="00C03B92" w:rsidRPr="008A5C48" w14:paraId="0DCBD52C" w14:textId="77777777" w:rsidTr="0034607E">
        <w:trPr>
          <w:gridAfter w:val="1"/>
          <w:wAfter w:w="15" w:type="dxa"/>
          <w:trHeight w:val="194"/>
          <w:jc w:val="center"/>
        </w:trPr>
        <w:tc>
          <w:tcPr>
            <w:tcW w:w="1164" w:type="dxa"/>
            <w:tcBorders>
              <w:top w:val="nil"/>
              <w:left w:val="nil"/>
              <w:right w:val="nil"/>
            </w:tcBorders>
            <w:shd w:val="clear" w:color="auto" w:fill="auto"/>
            <w:vAlign w:val="center"/>
          </w:tcPr>
          <w:p w14:paraId="4B5FB971"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PFUNDA</w:t>
            </w:r>
          </w:p>
        </w:tc>
        <w:tc>
          <w:tcPr>
            <w:tcW w:w="634" w:type="dxa"/>
            <w:tcBorders>
              <w:top w:val="nil"/>
              <w:left w:val="nil"/>
              <w:right w:val="nil"/>
            </w:tcBorders>
            <w:shd w:val="clear" w:color="auto" w:fill="auto"/>
            <w:vAlign w:val="center"/>
          </w:tcPr>
          <w:p w14:paraId="325A007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right w:val="nil"/>
            </w:tcBorders>
            <w:shd w:val="clear" w:color="auto" w:fill="auto"/>
            <w:vAlign w:val="center"/>
          </w:tcPr>
          <w:p w14:paraId="41CFA11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right w:val="nil"/>
            </w:tcBorders>
            <w:shd w:val="clear" w:color="auto" w:fill="auto"/>
            <w:vAlign w:val="center"/>
          </w:tcPr>
          <w:p w14:paraId="5564492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right w:val="nil"/>
            </w:tcBorders>
            <w:shd w:val="clear" w:color="auto" w:fill="auto"/>
            <w:vAlign w:val="center"/>
          </w:tcPr>
          <w:p w14:paraId="0357F7F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68.60%</w:t>
            </w:r>
          </w:p>
        </w:tc>
        <w:tc>
          <w:tcPr>
            <w:tcW w:w="796" w:type="dxa"/>
            <w:gridSpan w:val="2"/>
            <w:tcBorders>
              <w:top w:val="nil"/>
              <w:left w:val="nil"/>
              <w:right w:val="nil"/>
            </w:tcBorders>
            <w:shd w:val="clear" w:color="auto" w:fill="auto"/>
            <w:vAlign w:val="center"/>
          </w:tcPr>
          <w:p w14:paraId="60CFEC6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w:t>
            </w:r>
          </w:p>
        </w:tc>
        <w:tc>
          <w:tcPr>
            <w:tcW w:w="696" w:type="dxa"/>
            <w:gridSpan w:val="2"/>
            <w:tcBorders>
              <w:top w:val="nil"/>
              <w:left w:val="nil"/>
              <w:right w:val="nil"/>
            </w:tcBorders>
            <w:shd w:val="clear" w:color="auto" w:fill="auto"/>
            <w:vAlign w:val="center"/>
          </w:tcPr>
          <w:p w14:paraId="23AC53E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w:t>
            </w:r>
          </w:p>
        </w:tc>
        <w:tc>
          <w:tcPr>
            <w:tcW w:w="905" w:type="dxa"/>
            <w:gridSpan w:val="2"/>
            <w:tcBorders>
              <w:top w:val="nil"/>
              <w:left w:val="nil"/>
              <w:right w:val="nil"/>
            </w:tcBorders>
            <w:shd w:val="clear" w:color="auto" w:fill="auto"/>
            <w:vAlign w:val="center"/>
          </w:tcPr>
          <w:p w14:paraId="251B98C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w:t>
            </w:r>
          </w:p>
        </w:tc>
        <w:tc>
          <w:tcPr>
            <w:tcW w:w="745" w:type="dxa"/>
            <w:gridSpan w:val="3"/>
            <w:tcBorders>
              <w:top w:val="nil"/>
              <w:left w:val="nil"/>
              <w:right w:val="nil"/>
            </w:tcBorders>
            <w:shd w:val="clear" w:color="auto" w:fill="auto"/>
            <w:vAlign w:val="center"/>
          </w:tcPr>
          <w:p w14:paraId="2EC0547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w:t>
            </w:r>
          </w:p>
        </w:tc>
        <w:tc>
          <w:tcPr>
            <w:tcW w:w="799" w:type="dxa"/>
            <w:gridSpan w:val="3"/>
            <w:tcBorders>
              <w:top w:val="nil"/>
              <w:left w:val="nil"/>
              <w:right w:val="nil"/>
            </w:tcBorders>
            <w:shd w:val="clear" w:color="auto" w:fill="auto"/>
            <w:vAlign w:val="center"/>
          </w:tcPr>
          <w:p w14:paraId="237655F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w:t>
            </w:r>
          </w:p>
        </w:tc>
      </w:tr>
      <w:tr w:rsidR="00C03B92" w:rsidRPr="008A5C48" w14:paraId="15CADD2A" w14:textId="77777777" w:rsidTr="0034607E">
        <w:trPr>
          <w:gridAfter w:val="1"/>
          <w:wAfter w:w="15" w:type="dxa"/>
          <w:trHeight w:val="194"/>
          <w:jc w:val="center"/>
        </w:trPr>
        <w:tc>
          <w:tcPr>
            <w:tcW w:w="1164" w:type="dxa"/>
            <w:tcBorders>
              <w:top w:val="nil"/>
              <w:left w:val="nil"/>
              <w:right w:val="nil"/>
            </w:tcBorders>
            <w:shd w:val="clear" w:color="auto" w:fill="auto"/>
            <w:vAlign w:val="center"/>
          </w:tcPr>
          <w:p w14:paraId="5FBDAB8F"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c>
          <w:tcPr>
            <w:tcW w:w="634" w:type="dxa"/>
            <w:tcBorders>
              <w:top w:val="nil"/>
              <w:left w:val="nil"/>
              <w:right w:val="nil"/>
            </w:tcBorders>
            <w:shd w:val="clear" w:color="auto" w:fill="auto"/>
            <w:vAlign w:val="center"/>
          </w:tcPr>
          <w:p w14:paraId="0A6B7E1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111" w:type="dxa"/>
            <w:tcBorders>
              <w:top w:val="nil"/>
              <w:left w:val="nil"/>
              <w:right w:val="nil"/>
            </w:tcBorders>
            <w:shd w:val="clear" w:color="auto" w:fill="auto"/>
            <w:vAlign w:val="center"/>
          </w:tcPr>
          <w:p w14:paraId="58D11CD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360" w:type="dxa"/>
            <w:tcBorders>
              <w:top w:val="nil"/>
              <w:left w:val="nil"/>
              <w:right w:val="nil"/>
            </w:tcBorders>
            <w:shd w:val="clear" w:color="auto" w:fill="auto"/>
            <w:vAlign w:val="center"/>
          </w:tcPr>
          <w:p w14:paraId="694C077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486" w:type="dxa"/>
            <w:gridSpan w:val="2"/>
            <w:tcBorders>
              <w:top w:val="nil"/>
              <w:left w:val="nil"/>
              <w:right w:val="nil"/>
            </w:tcBorders>
            <w:shd w:val="clear" w:color="auto" w:fill="auto"/>
            <w:vAlign w:val="center"/>
          </w:tcPr>
          <w:p w14:paraId="24C77C9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6" w:type="dxa"/>
            <w:gridSpan w:val="2"/>
            <w:tcBorders>
              <w:top w:val="nil"/>
              <w:left w:val="nil"/>
              <w:right w:val="nil"/>
            </w:tcBorders>
            <w:shd w:val="clear" w:color="auto" w:fill="auto"/>
            <w:vAlign w:val="center"/>
          </w:tcPr>
          <w:p w14:paraId="1404235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696" w:type="dxa"/>
            <w:gridSpan w:val="2"/>
            <w:tcBorders>
              <w:top w:val="nil"/>
              <w:left w:val="nil"/>
              <w:right w:val="nil"/>
            </w:tcBorders>
            <w:shd w:val="clear" w:color="auto" w:fill="auto"/>
            <w:vAlign w:val="center"/>
          </w:tcPr>
          <w:p w14:paraId="7DCDBDE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905" w:type="dxa"/>
            <w:gridSpan w:val="2"/>
            <w:tcBorders>
              <w:top w:val="nil"/>
              <w:left w:val="nil"/>
              <w:right w:val="nil"/>
            </w:tcBorders>
            <w:shd w:val="clear" w:color="auto" w:fill="auto"/>
            <w:vAlign w:val="center"/>
          </w:tcPr>
          <w:p w14:paraId="58FBA20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45" w:type="dxa"/>
            <w:gridSpan w:val="3"/>
            <w:tcBorders>
              <w:top w:val="nil"/>
              <w:left w:val="nil"/>
              <w:right w:val="nil"/>
            </w:tcBorders>
            <w:shd w:val="clear" w:color="auto" w:fill="auto"/>
            <w:vAlign w:val="center"/>
          </w:tcPr>
          <w:p w14:paraId="4883051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9" w:type="dxa"/>
            <w:gridSpan w:val="3"/>
            <w:tcBorders>
              <w:top w:val="nil"/>
              <w:left w:val="nil"/>
              <w:right w:val="nil"/>
            </w:tcBorders>
            <w:shd w:val="clear" w:color="auto" w:fill="auto"/>
            <w:vAlign w:val="center"/>
          </w:tcPr>
          <w:p w14:paraId="6566049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r>
      <w:tr w:rsidR="00C03B92" w:rsidRPr="008A5C48" w14:paraId="53087FB0" w14:textId="77777777" w:rsidTr="0034607E">
        <w:trPr>
          <w:trHeight w:val="194"/>
          <w:jc w:val="center"/>
        </w:trPr>
        <w:tc>
          <w:tcPr>
            <w:tcW w:w="7262" w:type="dxa"/>
            <w:gridSpan w:val="11"/>
            <w:tcBorders>
              <w:left w:val="nil"/>
              <w:bottom w:val="nil"/>
              <w:right w:val="nil"/>
            </w:tcBorders>
            <w:shd w:val="clear" w:color="auto" w:fill="auto"/>
            <w:vAlign w:val="center"/>
          </w:tcPr>
          <w:p w14:paraId="2293529A"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b/>
                <w:color w:val="000000"/>
                <w:sz w:val="20"/>
                <w:szCs w:val="20"/>
              </w:rPr>
              <w:t>Metals and essential minerals</w:t>
            </w:r>
          </w:p>
        </w:tc>
        <w:tc>
          <w:tcPr>
            <w:tcW w:w="905" w:type="dxa"/>
            <w:gridSpan w:val="2"/>
            <w:tcBorders>
              <w:left w:val="nil"/>
              <w:bottom w:val="nil"/>
              <w:right w:val="nil"/>
            </w:tcBorders>
            <w:shd w:val="clear" w:color="auto" w:fill="auto"/>
            <w:vAlign w:val="center"/>
          </w:tcPr>
          <w:p w14:paraId="08D4963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45" w:type="dxa"/>
            <w:gridSpan w:val="3"/>
            <w:tcBorders>
              <w:left w:val="nil"/>
              <w:bottom w:val="nil"/>
              <w:right w:val="nil"/>
            </w:tcBorders>
            <w:shd w:val="clear" w:color="auto" w:fill="auto"/>
            <w:vAlign w:val="center"/>
          </w:tcPr>
          <w:p w14:paraId="5E93A5A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9" w:type="dxa"/>
            <w:gridSpan w:val="3"/>
            <w:tcBorders>
              <w:left w:val="nil"/>
              <w:bottom w:val="nil"/>
              <w:right w:val="nil"/>
            </w:tcBorders>
            <w:shd w:val="clear" w:color="auto" w:fill="auto"/>
            <w:vAlign w:val="center"/>
          </w:tcPr>
          <w:p w14:paraId="6145EFA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r>
      <w:tr w:rsidR="00C03B92" w:rsidRPr="008A5C48" w14:paraId="604115ED"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0817537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K</w:t>
            </w:r>
          </w:p>
        </w:tc>
        <w:tc>
          <w:tcPr>
            <w:tcW w:w="634" w:type="dxa"/>
            <w:tcBorders>
              <w:top w:val="nil"/>
              <w:left w:val="nil"/>
              <w:bottom w:val="nil"/>
              <w:right w:val="nil"/>
            </w:tcBorders>
            <w:shd w:val="clear" w:color="auto" w:fill="auto"/>
            <w:vAlign w:val="center"/>
          </w:tcPr>
          <w:p w14:paraId="01EAA00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210905A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722BAA5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1032E36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0B4B0D4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2896</w:t>
            </w:r>
          </w:p>
        </w:tc>
        <w:tc>
          <w:tcPr>
            <w:tcW w:w="696" w:type="dxa"/>
            <w:gridSpan w:val="2"/>
            <w:tcBorders>
              <w:top w:val="nil"/>
              <w:left w:val="nil"/>
              <w:bottom w:val="nil"/>
              <w:right w:val="nil"/>
            </w:tcBorders>
            <w:shd w:val="clear" w:color="auto" w:fill="auto"/>
            <w:vAlign w:val="center"/>
          </w:tcPr>
          <w:p w14:paraId="594970B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3565</w:t>
            </w:r>
          </w:p>
        </w:tc>
        <w:tc>
          <w:tcPr>
            <w:tcW w:w="905" w:type="dxa"/>
            <w:gridSpan w:val="2"/>
            <w:tcBorders>
              <w:top w:val="nil"/>
              <w:left w:val="nil"/>
              <w:bottom w:val="nil"/>
              <w:right w:val="nil"/>
            </w:tcBorders>
            <w:shd w:val="clear" w:color="auto" w:fill="auto"/>
            <w:vAlign w:val="center"/>
          </w:tcPr>
          <w:p w14:paraId="7175724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3565</w:t>
            </w:r>
          </w:p>
        </w:tc>
        <w:tc>
          <w:tcPr>
            <w:tcW w:w="745" w:type="dxa"/>
            <w:gridSpan w:val="3"/>
            <w:tcBorders>
              <w:top w:val="nil"/>
              <w:left w:val="nil"/>
              <w:bottom w:val="nil"/>
              <w:right w:val="nil"/>
            </w:tcBorders>
            <w:shd w:val="clear" w:color="auto" w:fill="auto"/>
            <w:vAlign w:val="center"/>
          </w:tcPr>
          <w:p w14:paraId="41AE9D5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3821</w:t>
            </w:r>
          </w:p>
        </w:tc>
        <w:tc>
          <w:tcPr>
            <w:tcW w:w="799" w:type="dxa"/>
            <w:gridSpan w:val="3"/>
            <w:tcBorders>
              <w:top w:val="nil"/>
              <w:left w:val="nil"/>
              <w:bottom w:val="nil"/>
              <w:right w:val="nil"/>
            </w:tcBorders>
            <w:shd w:val="clear" w:color="auto" w:fill="auto"/>
            <w:vAlign w:val="center"/>
          </w:tcPr>
          <w:p w14:paraId="62D6A9E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7131</w:t>
            </w:r>
          </w:p>
        </w:tc>
      </w:tr>
      <w:tr w:rsidR="00C03B92" w:rsidRPr="008A5C48" w14:paraId="780B3547"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BF30D79"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Mg</w:t>
            </w:r>
          </w:p>
        </w:tc>
        <w:tc>
          <w:tcPr>
            <w:tcW w:w="634" w:type="dxa"/>
            <w:tcBorders>
              <w:top w:val="nil"/>
              <w:left w:val="nil"/>
              <w:bottom w:val="nil"/>
              <w:right w:val="nil"/>
            </w:tcBorders>
            <w:shd w:val="clear" w:color="auto" w:fill="auto"/>
            <w:vAlign w:val="center"/>
          </w:tcPr>
          <w:p w14:paraId="7658B5C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4442261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38BC7DB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322F161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536F56E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39.1</w:t>
            </w:r>
          </w:p>
        </w:tc>
        <w:tc>
          <w:tcPr>
            <w:tcW w:w="696" w:type="dxa"/>
            <w:gridSpan w:val="2"/>
            <w:tcBorders>
              <w:top w:val="nil"/>
              <w:left w:val="nil"/>
              <w:bottom w:val="nil"/>
              <w:right w:val="nil"/>
            </w:tcBorders>
            <w:shd w:val="clear" w:color="auto" w:fill="auto"/>
            <w:vAlign w:val="center"/>
          </w:tcPr>
          <w:p w14:paraId="7166DBD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50.9</w:t>
            </w:r>
          </w:p>
        </w:tc>
        <w:tc>
          <w:tcPr>
            <w:tcW w:w="905" w:type="dxa"/>
            <w:gridSpan w:val="2"/>
            <w:tcBorders>
              <w:top w:val="nil"/>
              <w:left w:val="nil"/>
              <w:bottom w:val="nil"/>
              <w:right w:val="nil"/>
            </w:tcBorders>
            <w:shd w:val="clear" w:color="auto" w:fill="auto"/>
            <w:vAlign w:val="center"/>
          </w:tcPr>
          <w:p w14:paraId="120D098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53.8</w:t>
            </w:r>
          </w:p>
        </w:tc>
        <w:tc>
          <w:tcPr>
            <w:tcW w:w="745" w:type="dxa"/>
            <w:gridSpan w:val="3"/>
            <w:tcBorders>
              <w:top w:val="nil"/>
              <w:left w:val="nil"/>
              <w:bottom w:val="nil"/>
              <w:right w:val="nil"/>
            </w:tcBorders>
            <w:shd w:val="clear" w:color="auto" w:fill="auto"/>
            <w:vAlign w:val="center"/>
          </w:tcPr>
          <w:p w14:paraId="1934012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56.5</w:t>
            </w:r>
          </w:p>
        </w:tc>
        <w:tc>
          <w:tcPr>
            <w:tcW w:w="799" w:type="dxa"/>
            <w:gridSpan w:val="3"/>
            <w:tcBorders>
              <w:top w:val="nil"/>
              <w:left w:val="nil"/>
              <w:bottom w:val="nil"/>
              <w:right w:val="nil"/>
            </w:tcBorders>
            <w:shd w:val="clear" w:color="auto" w:fill="auto"/>
            <w:vAlign w:val="center"/>
          </w:tcPr>
          <w:p w14:paraId="7B1BE41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77.7</w:t>
            </w:r>
          </w:p>
        </w:tc>
      </w:tr>
      <w:tr w:rsidR="00C03B92" w:rsidRPr="008A5C48" w14:paraId="780BA713"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107D1A9"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Na</w:t>
            </w:r>
          </w:p>
        </w:tc>
        <w:tc>
          <w:tcPr>
            <w:tcW w:w="634" w:type="dxa"/>
            <w:tcBorders>
              <w:top w:val="nil"/>
              <w:left w:val="nil"/>
              <w:bottom w:val="nil"/>
              <w:right w:val="nil"/>
            </w:tcBorders>
            <w:shd w:val="clear" w:color="auto" w:fill="auto"/>
            <w:vAlign w:val="center"/>
          </w:tcPr>
          <w:p w14:paraId="04033DC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0B64C42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33C6822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617C1EE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71B9A29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2896</w:t>
            </w:r>
          </w:p>
        </w:tc>
        <w:tc>
          <w:tcPr>
            <w:tcW w:w="696" w:type="dxa"/>
            <w:gridSpan w:val="2"/>
            <w:tcBorders>
              <w:top w:val="nil"/>
              <w:left w:val="nil"/>
              <w:bottom w:val="nil"/>
              <w:right w:val="nil"/>
            </w:tcBorders>
            <w:shd w:val="clear" w:color="auto" w:fill="auto"/>
            <w:vAlign w:val="center"/>
          </w:tcPr>
          <w:p w14:paraId="799F303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3565</w:t>
            </w:r>
          </w:p>
        </w:tc>
        <w:tc>
          <w:tcPr>
            <w:tcW w:w="905" w:type="dxa"/>
            <w:gridSpan w:val="2"/>
            <w:tcBorders>
              <w:top w:val="nil"/>
              <w:left w:val="nil"/>
              <w:bottom w:val="nil"/>
              <w:right w:val="nil"/>
            </w:tcBorders>
            <w:shd w:val="clear" w:color="auto" w:fill="auto"/>
            <w:vAlign w:val="center"/>
          </w:tcPr>
          <w:p w14:paraId="6B09215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3565</w:t>
            </w:r>
          </w:p>
        </w:tc>
        <w:tc>
          <w:tcPr>
            <w:tcW w:w="745" w:type="dxa"/>
            <w:gridSpan w:val="3"/>
            <w:tcBorders>
              <w:top w:val="nil"/>
              <w:left w:val="nil"/>
              <w:bottom w:val="nil"/>
              <w:right w:val="nil"/>
            </w:tcBorders>
            <w:shd w:val="clear" w:color="auto" w:fill="auto"/>
            <w:vAlign w:val="center"/>
          </w:tcPr>
          <w:p w14:paraId="585005F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3821</w:t>
            </w:r>
          </w:p>
        </w:tc>
        <w:tc>
          <w:tcPr>
            <w:tcW w:w="799" w:type="dxa"/>
            <w:gridSpan w:val="3"/>
            <w:tcBorders>
              <w:top w:val="nil"/>
              <w:left w:val="nil"/>
              <w:bottom w:val="nil"/>
              <w:right w:val="nil"/>
            </w:tcBorders>
            <w:shd w:val="clear" w:color="auto" w:fill="auto"/>
            <w:vAlign w:val="center"/>
          </w:tcPr>
          <w:p w14:paraId="1101404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4390</w:t>
            </w:r>
          </w:p>
        </w:tc>
      </w:tr>
      <w:tr w:rsidR="00C03B92" w:rsidRPr="008A5C48" w14:paraId="7C038625"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72158873"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Se</w:t>
            </w:r>
          </w:p>
        </w:tc>
        <w:tc>
          <w:tcPr>
            <w:tcW w:w="634" w:type="dxa"/>
            <w:tcBorders>
              <w:top w:val="nil"/>
              <w:left w:val="nil"/>
              <w:bottom w:val="nil"/>
              <w:right w:val="nil"/>
            </w:tcBorders>
            <w:shd w:val="clear" w:color="auto" w:fill="auto"/>
            <w:vAlign w:val="center"/>
          </w:tcPr>
          <w:p w14:paraId="3F208A0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5E5D12A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33A25DA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76EF8B3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5EBD662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111.4</w:t>
            </w:r>
          </w:p>
        </w:tc>
        <w:tc>
          <w:tcPr>
            <w:tcW w:w="696" w:type="dxa"/>
            <w:gridSpan w:val="2"/>
            <w:tcBorders>
              <w:top w:val="nil"/>
              <w:left w:val="nil"/>
              <w:bottom w:val="nil"/>
              <w:right w:val="nil"/>
            </w:tcBorders>
            <w:shd w:val="clear" w:color="auto" w:fill="auto"/>
            <w:vAlign w:val="center"/>
          </w:tcPr>
          <w:p w14:paraId="2304824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147</w:t>
            </w:r>
          </w:p>
        </w:tc>
        <w:tc>
          <w:tcPr>
            <w:tcW w:w="905" w:type="dxa"/>
            <w:gridSpan w:val="2"/>
            <w:tcBorders>
              <w:top w:val="nil"/>
              <w:left w:val="nil"/>
              <w:bottom w:val="nil"/>
              <w:right w:val="nil"/>
            </w:tcBorders>
            <w:shd w:val="clear" w:color="auto" w:fill="auto"/>
            <w:vAlign w:val="center"/>
          </w:tcPr>
          <w:p w14:paraId="7F0648F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157.6</w:t>
            </w:r>
          </w:p>
        </w:tc>
        <w:tc>
          <w:tcPr>
            <w:tcW w:w="745" w:type="dxa"/>
            <w:gridSpan w:val="3"/>
            <w:tcBorders>
              <w:top w:val="nil"/>
              <w:left w:val="nil"/>
              <w:bottom w:val="nil"/>
              <w:right w:val="nil"/>
            </w:tcBorders>
            <w:shd w:val="clear" w:color="auto" w:fill="auto"/>
            <w:vAlign w:val="center"/>
          </w:tcPr>
          <w:p w14:paraId="2F29F28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170.1</w:t>
            </w:r>
          </w:p>
        </w:tc>
        <w:tc>
          <w:tcPr>
            <w:tcW w:w="799" w:type="dxa"/>
            <w:gridSpan w:val="3"/>
            <w:tcBorders>
              <w:top w:val="nil"/>
              <w:left w:val="nil"/>
              <w:bottom w:val="nil"/>
              <w:right w:val="nil"/>
            </w:tcBorders>
            <w:shd w:val="clear" w:color="auto" w:fill="auto"/>
            <w:vAlign w:val="center"/>
          </w:tcPr>
          <w:p w14:paraId="774A64A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249</w:t>
            </w:r>
          </w:p>
        </w:tc>
      </w:tr>
      <w:tr w:rsidR="00C03B92" w:rsidRPr="008A5C48" w14:paraId="4404AA7D"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2E3E3DD7"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Zn</w:t>
            </w:r>
          </w:p>
        </w:tc>
        <w:tc>
          <w:tcPr>
            <w:tcW w:w="634" w:type="dxa"/>
            <w:tcBorders>
              <w:top w:val="nil"/>
              <w:left w:val="nil"/>
              <w:bottom w:val="nil"/>
              <w:right w:val="nil"/>
            </w:tcBorders>
            <w:shd w:val="clear" w:color="auto" w:fill="auto"/>
            <w:vAlign w:val="center"/>
          </w:tcPr>
          <w:p w14:paraId="24D7397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6FC3AA2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4064391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5FEE2E5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4F74D8C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6208</w:t>
            </w:r>
          </w:p>
        </w:tc>
        <w:tc>
          <w:tcPr>
            <w:tcW w:w="696" w:type="dxa"/>
            <w:gridSpan w:val="2"/>
            <w:tcBorders>
              <w:top w:val="nil"/>
              <w:left w:val="nil"/>
              <w:bottom w:val="nil"/>
              <w:right w:val="nil"/>
            </w:tcBorders>
            <w:shd w:val="clear" w:color="auto" w:fill="auto"/>
            <w:vAlign w:val="center"/>
          </w:tcPr>
          <w:p w14:paraId="50AC6EC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8780</w:t>
            </w:r>
          </w:p>
        </w:tc>
        <w:tc>
          <w:tcPr>
            <w:tcW w:w="905" w:type="dxa"/>
            <w:gridSpan w:val="2"/>
            <w:tcBorders>
              <w:top w:val="nil"/>
              <w:left w:val="nil"/>
              <w:bottom w:val="nil"/>
              <w:right w:val="nil"/>
            </w:tcBorders>
            <w:shd w:val="clear" w:color="auto" w:fill="auto"/>
            <w:vAlign w:val="center"/>
          </w:tcPr>
          <w:p w14:paraId="0223B6F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10085</w:t>
            </w:r>
          </w:p>
        </w:tc>
        <w:tc>
          <w:tcPr>
            <w:tcW w:w="745" w:type="dxa"/>
            <w:gridSpan w:val="3"/>
            <w:tcBorders>
              <w:top w:val="nil"/>
              <w:left w:val="nil"/>
              <w:bottom w:val="nil"/>
              <w:right w:val="nil"/>
            </w:tcBorders>
            <w:shd w:val="clear" w:color="auto" w:fill="auto"/>
            <w:vAlign w:val="center"/>
          </w:tcPr>
          <w:p w14:paraId="2F30062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10809</w:t>
            </w:r>
          </w:p>
        </w:tc>
        <w:tc>
          <w:tcPr>
            <w:tcW w:w="799" w:type="dxa"/>
            <w:gridSpan w:val="3"/>
            <w:tcBorders>
              <w:top w:val="nil"/>
              <w:left w:val="nil"/>
              <w:bottom w:val="nil"/>
              <w:right w:val="nil"/>
            </w:tcBorders>
            <w:shd w:val="clear" w:color="auto" w:fill="auto"/>
            <w:vAlign w:val="center"/>
          </w:tcPr>
          <w:p w14:paraId="6069559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37640</w:t>
            </w:r>
          </w:p>
        </w:tc>
      </w:tr>
      <w:tr w:rsidR="00C03B92" w:rsidRPr="008A5C48" w14:paraId="0E2AB949"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020D5F32"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As</w:t>
            </w:r>
          </w:p>
        </w:tc>
        <w:tc>
          <w:tcPr>
            <w:tcW w:w="634" w:type="dxa"/>
            <w:tcBorders>
              <w:top w:val="nil"/>
              <w:left w:val="nil"/>
              <w:bottom w:val="nil"/>
              <w:right w:val="nil"/>
            </w:tcBorders>
            <w:shd w:val="clear" w:color="auto" w:fill="auto"/>
            <w:vAlign w:val="center"/>
          </w:tcPr>
          <w:p w14:paraId="5609B63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4DA0268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13F33C5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755EEF5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58.50%</w:t>
            </w:r>
          </w:p>
        </w:tc>
        <w:tc>
          <w:tcPr>
            <w:tcW w:w="796" w:type="dxa"/>
            <w:gridSpan w:val="2"/>
            <w:tcBorders>
              <w:top w:val="nil"/>
              <w:left w:val="nil"/>
              <w:bottom w:val="nil"/>
              <w:right w:val="nil"/>
            </w:tcBorders>
            <w:shd w:val="clear" w:color="auto" w:fill="auto"/>
            <w:vAlign w:val="center"/>
          </w:tcPr>
          <w:p w14:paraId="56116BC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696" w:type="dxa"/>
            <w:gridSpan w:val="2"/>
            <w:tcBorders>
              <w:top w:val="nil"/>
              <w:left w:val="nil"/>
              <w:bottom w:val="nil"/>
              <w:right w:val="nil"/>
            </w:tcBorders>
            <w:shd w:val="clear" w:color="auto" w:fill="auto"/>
            <w:vAlign w:val="center"/>
          </w:tcPr>
          <w:p w14:paraId="75604C3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0.6</w:t>
            </w:r>
          </w:p>
        </w:tc>
        <w:tc>
          <w:tcPr>
            <w:tcW w:w="905" w:type="dxa"/>
            <w:gridSpan w:val="2"/>
            <w:tcBorders>
              <w:top w:val="nil"/>
              <w:left w:val="nil"/>
              <w:bottom w:val="nil"/>
              <w:right w:val="nil"/>
            </w:tcBorders>
            <w:shd w:val="clear" w:color="auto" w:fill="auto"/>
            <w:vAlign w:val="center"/>
          </w:tcPr>
          <w:p w14:paraId="0A57D5A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w:t>
            </w:r>
          </w:p>
        </w:tc>
        <w:tc>
          <w:tcPr>
            <w:tcW w:w="745" w:type="dxa"/>
            <w:gridSpan w:val="3"/>
            <w:tcBorders>
              <w:top w:val="nil"/>
              <w:left w:val="nil"/>
              <w:bottom w:val="nil"/>
              <w:right w:val="nil"/>
            </w:tcBorders>
            <w:shd w:val="clear" w:color="auto" w:fill="auto"/>
            <w:vAlign w:val="center"/>
          </w:tcPr>
          <w:p w14:paraId="66AC708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2.5</w:t>
            </w:r>
          </w:p>
        </w:tc>
        <w:tc>
          <w:tcPr>
            <w:tcW w:w="799" w:type="dxa"/>
            <w:gridSpan w:val="3"/>
            <w:tcBorders>
              <w:top w:val="nil"/>
              <w:left w:val="nil"/>
              <w:bottom w:val="nil"/>
              <w:right w:val="nil"/>
            </w:tcBorders>
            <w:shd w:val="clear" w:color="auto" w:fill="auto"/>
            <w:vAlign w:val="center"/>
          </w:tcPr>
          <w:p w14:paraId="006718B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90.5</w:t>
            </w:r>
          </w:p>
        </w:tc>
      </w:tr>
      <w:tr w:rsidR="00C03B92" w:rsidRPr="008A5C48" w14:paraId="66E093DA"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812D27B"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Cd</w:t>
            </w:r>
          </w:p>
        </w:tc>
        <w:tc>
          <w:tcPr>
            <w:tcW w:w="634" w:type="dxa"/>
            <w:tcBorders>
              <w:top w:val="nil"/>
              <w:left w:val="nil"/>
              <w:bottom w:val="nil"/>
              <w:right w:val="nil"/>
            </w:tcBorders>
            <w:shd w:val="clear" w:color="auto" w:fill="auto"/>
            <w:vAlign w:val="center"/>
          </w:tcPr>
          <w:p w14:paraId="252179E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104F62C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508E3F7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7C26A9A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99.60%</w:t>
            </w:r>
          </w:p>
        </w:tc>
        <w:tc>
          <w:tcPr>
            <w:tcW w:w="796" w:type="dxa"/>
            <w:gridSpan w:val="2"/>
            <w:tcBorders>
              <w:top w:val="nil"/>
              <w:left w:val="nil"/>
              <w:bottom w:val="nil"/>
              <w:right w:val="nil"/>
            </w:tcBorders>
            <w:shd w:val="clear" w:color="auto" w:fill="auto"/>
            <w:vAlign w:val="center"/>
          </w:tcPr>
          <w:p w14:paraId="72464BB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0.2</w:t>
            </w:r>
          </w:p>
        </w:tc>
        <w:tc>
          <w:tcPr>
            <w:tcW w:w="696" w:type="dxa"/>
            <w:gridSpan w:val="2"/>
            <w:tcBorders>
              <w:top w:val="nil"/>
              <w:left w:val="nil"/>
              <w:bottom w:val="nil"/>
              <w:right w:val="nil"/>
            </w:tcBorders>
            <w:shd w:val="clear" w:color="auto" w:fill="auto"/>
            <w:vAlign w:val="center"/>
          </w:tcPr>
          <w:p w14:paraId="0DD2CD2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905" w:type="dxa"/>
            <w:gridSpan w:val="2"/>
            <w:tcBorders>
              <w:top w:val="nil"/>
              <w:left w:val="nil"/>
              <w:bottom w:val="nil"/>
              <w:right w:val="nil"/>
            </w:tcBorders>
            <w:shd w:val="clear" w:color="auto" w:fill="auto"/>
            <w:vAlign w:val="center"/>
          </w:tcPr>
          <w:p w14:paraId="6B14EA6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745" w:type="dxa"/>
            <w:gridSpan w:val="3"/>
            <w:tcBorders>
              <w:top w:val="nil"/>
              <w:left w:val="nil"/>
              <w:bottom w:val="nil"/>
              <w:right w:val="nil"/>
            </w:tcBorders>
            <w:shd w:val="clear" w:color="auto" w:fill="auto"/>
            <w:vAlign w:val="center"/>
          </w:tcPr>
          <w:p w14:paraId="1C71ECE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0.5</w:t>
            </w:r>
          </w:p>
        </w:tc>
        <w:tc>
          <w:tcPr>
            <w:tcW w:w="799" w:type="dxa"/>
            <w:gridSpan w:val="3"/>
            <w:tcBorders>
              <w:top w:val="nil"/>
              <w:left w:val="nil"/>
              <w:bottom w:val="nil"/>
              <w:right w:val="nil"/>
            </w:tcBorders>
            <w:shd w:val="clear" w:color="auto" w:fill="auto"/>
            <w:vAlign w:val="center"/>
          </w:tcPr>
          <w:p w14:paraId="59993DB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27.9</w:t>
            </w:r>
          </w:p>
        </w:tc>
      </w:tr>
      <w:tr w:rsidR="00C03B92" w:rsidRPr="008A5C48" w14:paraId="21BD15A2"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50950941"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Co</w:t>
            </w:r>
          </w:p>
        </w:tc>
        <w:tc>
          <w:tcPr>
            <w:tcW w:w="634" w:type="dxa"/>
            <w:tcBorders>
              <w:top w:val="nil"/>
              <w:left w:val="nil"/>
              <w:bottom w:val="nil"/>
              <w:right w:val="nil"/>
            </w:tcBorders>
            <w:shd w:val="clear" w:color="auto" w:fill="auto"/>
            <w:vAlign w:val="center"/>
          </w:tcPr>
          <w:p w14:paraId="0090F48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5400D64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3F2A0ED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4B88C66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5930CF0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0.2</w:t>
            </w:r>
          </w:p>
        </w:tc>
        <w:tc>
          <w:tcPr>
            <w:tcW w:w="696" w:type="dxa"/>
            <w:gridSpan w:val="2"/>
            <w:tcBorders>
              <w:top w:val="nil"/>
              <w:left w:val="nil"/>
              <w:bottom w:val="nil"/>
              <w:right w:val="nil"/>
            </w:tcBorders>
            <w:shd w:val="clear" w:color="auto" w:fill="auto"/>
            <w:vAlign w:val="center"/>
          </w:tcPr>
          <w:p w14:paraId="40846AA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905" w:type="dxa"/>
            <w:gridSpan w:val="2"/>
            <w:tcBorders>
              <w:top w:val="nil"/>
              <w:left w:val="nil"/>
              <w:bottom w:val="nil"/>
              <w:right w:val="nil"/>
            </w:tcBorders>
            <w:shd w:val="clear" w:color="auto" w:fill="auto"/>
            <w:vAlign w:val="center"/>
          </w:tcPr>
          <w:p w14:paraId="32FBB02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745" w:type="dxa"/>
            <w:gridSpan w:val="3"/>
            <w:tcBorders>
              <w:top w:val="nil"/>
              <w:left w:val="nil"/>
              <w:bottom w:val="nil"/>
              <w:right w:val="nil"/>
            </w:tcBorders>
            <w:shd w:val="clear" w:color="auto" w:fill="auto"/>
            <w:vAlign w:val="center"/>
          </w:tcPr>
          <w:p w14:paraId="7CA29AB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799" w:type="dxa"/>
            <w:gridSpan w:val="3"/>
            <w:tcBorders>
              <w:top w:val="nil"/>
              <w:left w:val="nil"/>
              <w:bottom w:val="nil"/>
              <w:right w:val="nil"/>
            </w:tcBorders>
            <w:shd w:val="clear" w:color="auto" w:fill="auto"/>
            <w:vAlign w:val="center"/>
          </w:tcPr>
          <w:p w14:paraId="05156B2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5.7</w:t>
            </w:r>
          </w:p>
        </w:tc>
      </w:tr>
      <w:tr w:rsidR="00C03B92" w:rsidRPr="008A5C48" w14:paraId="611E7000"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DF3A67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Cu</w:t>
            </w:r>
          </w:p>
        </w:tc>
        <w:tc>
          <w:tcPr>
            <w:tcW w:w="634" w:type="dxa"/>
            <w:tcBorders>
              <w:top w:val="nil"/>
              <w:left w:val="nil"/>
              <w:bottom w:val="nil"/>
              <w:right w:val="nil"/>
            </w:tcBorders>
            <w:shd w:val="clear" w:color="auto" w:fill="auto"/>
            <w:vAlign w:val="center"/>
          </w:tcPr>
          <w:p w14:paraId="374703E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3A6E279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2EF2725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2618AE2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1BDDB30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1782.9</w:t>
            </w:r>
          </w:p>
        </w:tc>
        <w:tc>
          <w:tcPr>
            <w:tcW w:w="696" w:type="dxa"/>
            <w:gridSpan w:val="2"/>
            <w:tcBorders>
              <w:top w:val="nil"/>
              <w:left w:val="nil"/>
              <w:bottom w:val="nil"/>
              <w:right w:val="nil"/>
            </w:tcBorders>
            <w:shd w:val="clear" w:color="auto" w:fill="auto"/>
            <w:vAlign w:val="center"/>
          </w:tcPr>
          <w:p w14:paraId="232A21D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2521</w:t>
            </w:r>
          </w:p>
        </w:tc>
        <w:tc>
          <w:tcPr>
            <w:tcW w:w="905" w:type="dxa"/>
            <w:gridSpan w:val="2"/>
            <w:tcBorders>
              <w:top w:val="nil"/>
              <w:left w:val="nil"/>
              <w:bottom w:val="nil"/>
              <w:right w:val="nil"/>
            </w:tcBorders>
            <w:shd w:val="clear" w:color="auto" w:fill="auto"/>
            <w:vAlign w:val="center"/>
          </w:tcPr>
          <w:p w14:paraId="2260BFB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2702</w:t>
            </w:r>
          </w:p>
        </w:tc>
        <w:tc>
          <w:tcPr>
            <w:tcW w:w="745" w:type="dxa"/>
            <w:gridSpan w:val="3"/>
            <w:tcBorders>
              <w:top w:val="nil"/>
              <w:left w:val="nil"/>
              <w:bottom w:val="nil"/>
              <w:right w:val="nil"/>
            </w:tcBorders>
            <w:shd w:val="clear" w:color="auto" w:fill="auto"/>
            <w:vAlign w:val="center"/>
          </w:tcPr>
          <w:p w14:paraId="74A8D44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2896</w:t>
            </w:r>
          </w:p>
        </w:tc>
        <w:tc>
          <w:tcPr>
            <w:tcW w:w="799" w:type="dxa"/>
            <w:gridSpan w:val="3"/>
            <w:tcBorders>
              <w:top w:val="nil"/>
              <w:left w:val="nil"/>
              <w:bottom w:val="nil"/>
              <w:right w:val="nil"/>
            </w:tcBorders>
            <w:shd w:val="clear" w:color="auto" w:fill="auto"/>
            <w:vAlign w:val="center"/>
          </w:tcPr>
          <w:p w14:paraId="0BE4BC7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3565</w:t>
            </w:r>
          </w:p>
        </w:tc>
      </w:tr>
      <w:tr w:rsidR="00C03B92" w:rsidRPr="008A5C48" w14:paraId="6ED94BEA"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7BBA33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Cs</w:t>
            </w:r>
          </w:p>
        </w:tc>
        <w:tc>
          <w:tcPr>
            <w:tcW w:w="634" w:type="dxa"/>
            <w:tcBorders>
              <w:top w:val="nil"/>
              <w:left w:val="nil"/>
              <w:bottom w:val="nil"/>
              <w:right w:val="nil"/>
            </w:tcBorders>
            <w:shd w:val="clear" w:color="auto" w:fill="auto"/>
            <w:vAlign w:val="center"/>
          </w:tcPr>
          <w:p w14:paraId="247242F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4E7EBA9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6ECA198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5A428A5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45C10E7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w:t>
            </w:r>
          </w:p>
        </w:tc>
        <w:tc>
          <w:tcPr>
            <w:tcW w:w="696" w:type="dxa"/>
            <w:gridSpan w:val="2"/>
            <w:tcBorders>
              <w:top w:val="nil"/>
              <w:left w:val="nil"/>
              <w:bottom w:val="nil"/>
              <w:right w:val="nil"/>
            </w:tcBorders>
            <w:shd w:val="clear" w:color="auto" w:fill="auto"/>
            <w:vAlign w:val="center"/>
          </w:tcPr>
          <w:p w14:paraId="1A55625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2.4</w:t>
            </w:r>
          </w:p>
        </w:tc>
        <w:tc>
          <w:tcPr>
            <w:tcW w:w="905" w:type="dxa"/>
            <w:gridSpan w:val="2"/>
            <w:tcBorders>
              <w:top w:val="nil"/>
              <w:left w:val="nil"/>
              <w:bottom w:val="nil"/>
              <w:right w:val="nil"/>
            </w:tcBorders>
            <w:shd w:val="clear" w:color="auto" w:fill="auto"/>
            <w:vAlign w:val="center"/>
          </w:tcPr>
          <w:p w14:paraId="58AAA5C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w:t>
            </w:r>
          </w:p>
        </w:tc>
        <w:tc>
          <w:tcPr>
            <w:tcW w:w="745" w:type="dxa"/>
            <w:gridSpan w:val="3"/>
            <w:tcBorders>
              <w:top w:val="nil"/>
              <w:left w:val="nil"/>
              <w:bottom w:val="nil"/>
              <w:right w:val="nil"/>
            </w:tcBorders>
            <w:shd w:val="clear" w:color="auto" w:fill="auto"/>
            <w:vAlign w:val="center"/>
          </w:tcPr>
          <w:p w14:paraId="25A5CA8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3.3</w:t>
            </w:r>
          </w:p>
        </w:tc>
        <w:tc>
          <w:tcPr>
            <w:tcW w:w="799" w:type="dxa"/>
            <w:gridSpan w:val="3"/>
            <w:tcBorders>
              <w:top w:val="nil"/>
              <w:left w:val="nil"/>
              <w:bottom w:val="nil"/>
              <w:right w:val="nil"/>
            </w:tcBorders>
            <w:shd w:val="clear" w:color="auto" w:fill="auto"/>
            <w:vAlign w:val="center"/>
          </w:tcPr>
          <w:p w14:paraId="6456BE8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12.1</w:t>
            </w:r>
          </w:p>
        </w:tc>
      </w:tr>
      <w:tr w:rsidR="00C03B92" w:rsidRPr="008A5C48" w14:paraId="35790B17"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2142334A"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Hg</w:t>
            </w:r>
          </w:p>
        </w:tc>
        <w:tc>
          <w:tcPr>
            <w:tcW w:w="634" w:type="dxa"/>
            <w:tcBorders>
              <w:top w:val="nil"/>
              <w:left w:val="nil"/>
              <w:bottom w:val="nil"/>
              <w:right w:val="nil"/>
            </w:tcBorders>
            <w:shd w:val="clear" w:color="auto" w:fill="auto"/>
            <w:vAlign w:val="center"/>
          </w:tcPr>
          <w:p w14:paraId="03B66B4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083E9B5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64DA784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1020 (78.4%)</w:t>
            </w:r>
          </w:p>
        </w:tc>
        <w:tc>
          <w:tcPr>
            <w:tcW w:w="1486" w:type="dxa"/>
            <w:gridSpan w:val="2"/>
            <w:tcBorders>
              <w:top w:val="nil"/>
              <w:left w:val="nil"/>
              <w:bottom w:val="nil"/>
              <w:right w:val="nil"/>
            </w:tcBorders>
            <w:shd w:val="clear" w:color="auto" w:fill="auto"/>
            <w:vAlign w:val="center"/>
          </w:tcPr>
          <w:p w14:paraId="2C45188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98.80%</w:t>
            </w:r>
          </w:p>
        </w:tc>
        <w:tc>
          <w:tcPr>
            <w:tcW w:w="796" w:type="dxa"/>
            <w:gridSpan w:val="2"/>
            <w:tcBorders>
              <w:top w:val="nil"/>
              <w:left w:val="nil"/>
              <w:bottom w:val="nil"/>
              <w:right w:val="nil"/>
            </w:tcBorders>
            <w:shd w:val="clear" w:color="auto" w:fill="auto"/>
            <w:vAlign w:val="center"/>
          </w:tcPr>
          <w:p w14:paraId="71CBD47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w:t>
            </w:r>
          </w:p>
        </w:tc>
        <w:tc>
          <w:tcPr>
            <w:tcW w:w="696" w:type="dxa"/>
            <w:gridSpan w:val="2"/>
            <w:tcBorders>
              <w:top w:val="nil"/>
              <w:left w:val="nil"/>
              <w:bottom w:val="nil"/>
              <w:right w:val="nil"/>
            </w:tcBorders>
            <w:shd w:val="clear" w:color="auto" w:fill="auto"/>
            <w:vAlign w:val="center"/>
          </w:tcPr>
          <w:p w14:paraId="33A344C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w:t>
            </w:r>
          </w:p>
        </w:tc>
        <w:tc>
          <w:tcPr>
            <w:tcW w:w="905" w:type="dxa"/>
            <w:gridSpan w:val="2"/>
            <w:tcBorders>
              <w:top w:val="nil"/>
              <w:left w:val="nil"/>
              <w:bottom w:val="nil"/>
              <w:right w:val="nil"/>
            </w:tcBorders>
            <w:shd w:val="clear" w:color="auto" w:fill="auto"/>
            <w:vAlign w:val="center"/>
          </w:tcPr>
          <w:p w14:paraId="19936FA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2.9</w:t>
            </w:r>
          </w:p>
        </w:tc>
        <w:tc>
          <w:tcPr>
            <w:tcW w:w="745" w:type="dxa"/>
            <w:gridSpan w:val="3"/>
            <w:tcBorders>
              <w:top w:val="nil"/>
              <w:left w:val="nil"/>
              <w:bottom w:val="nil"/>
              <w:right w:val="nil"/>
            </w:tcBorders>
            <w:shd w:val="clear" w:color="auto" w:fill="auto"/>
            <w:vAlign w:val="center"/>
          </w:tcPr>
          <w:p w14:paraId="482FF55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4.4</w:t>
            </w:r>
          </w:p>
        </w:tc>
        <w:tc>
          <w:tcPr>
            <w:tcW w:w="799" w:type="dxa"/>
            <w:gridSpan w:val="3"/>
            <w:tcBorders>
              <w:top w:val="nil"/>
              <w:left w:val="nil"/>
              <w:bottom w:val="nil"/>
              <w:right w:val="nil"/>
            </w:tcBorders>
            <w:shd w:val="clear" w:color="auto" w:fill="auto"/>
            <w:vAlign w:val="center"/>
          </w:tcPr>
          <w:p w14:paraId="72E4255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44.6</w:t>
            </w:r>
          </w:p>
        </w:tc>
      </w:tr>
      <w:tr w:rsidR="00C03B92" w:rsidRPr="008A5C48" w14:paraId="1BCA6C94"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7FAB49B1"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Mn</w:t>
            </w:r>
          </w:p>
        </w:tc>
        <w:tc>
          <w:tcPr>
            <w:tcW w:w="634" w:type="dxa"/>
            <w:tcBorders>
              <w:top w:val="nil"/>
              <w:left w:val="nil"/>
              <w:bottom w:val="nil"/>
              <w:right w:val="nil"/>
            </w:tcBorders>
            <w:shd w:val="clear" w:color="auto" w:fill="auto"/>
            <w:vAlign w:val="center"/>
          </w:tcPr>
          <w:p w14:paraId="6937116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00A43B7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378A3F4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4DA9D0E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06C0BC0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11.6</w:t>
            </w:r>
          </w:p>
        </w:tc>
        <w:tc>
          <w:tcPr>
            <w:tcW w:w="696" w:type="dxa"/>
            <w:gridSpan w:val="2"/>
            <w:tcBorders>
              <w:top w:val="nil"/>
              <w:left w:val="nil"/>
              <w:bottom w:val="nil"/>
              <w:right w:val="nil"/>
            </w:tcBorders>
            <w:shd w:val="clear" w:color="auto" w:fill="auto"/>
            <w:vAlign w:val="center"/>
          </w:tcPr>
          <w:p w14:paraId="2AFA77F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16.9</w:t>
            </w:r>
          </w:p>
        </w:tc>
        <w:tc>
          <w:tcPr>
            <w:tcW w:w="905" w:type="dxa"/>
            <w:gridSpan w:val="2"/>
            <w:tcBorders>
              <w:top w:val="nil"/>
              <w:left w:val="nil"/>
              <w:bottom w:val="nil"/>
              <w:right w:val="nil"/>
            </w:tcBorders>
            <w:shd w:val="clear" w:color="auto" w:fill="auto"/>
            <w:vAlign w:val="center"/>
          </w:tcPr>
          <w:p w14:paraId="65DA132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19.6</w:t>
            </w:r>
          </w:p>
        </w:tc>
        <w:tc>
          <w:tcPr>
            <w:tcW w:w="745" w:type="dxa"/>
            <w:gridSpan w:val="3"/>
            <w:tcBorders>
              <w:top w:val="nil"/>
              <w:left w:val="nil"/>
              <w:bottom w:val="nil"/>
              <w:right w:val="nil"/>
            </w:tcBorders>
            <w:shd w:val="clear" w:color="auto" w:fill="auto"/>
            <w:vAlign w:val="center"/>
          </w:tcPr>
          <w:p w14:paraId="7A1CBA3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22.8</w:t>
            </w:r>
          </w:p>
        </w:tc>
        <w:tc>
          <w:tcPr>
            <w:tcW w:w="799" w:type="dxa"/>
            <w:gridSpan w:val="3"/>
            <w:tcBorders>
              <w:top w:val="nil"/>
              <w:left w:val="nil"/>
              <w:bottom w:val="nil"/>
              <w:right w:val="nil"/>
            </w:tcBorders>
            <w:shd w:val="clear" w:color="auto" w:fill="auto"/>
            <w:vAlign w:val="center"/>
          </w:tcPr>
          <w:p w14:paraId="3B21D3E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57.7</w:t>
            </w:r>
          </w:p>
        </w:tc>
      </w:tr>
      <w:tr w:rsidR="00C03B92" w:rsidRPr="008A5C48" w14:paraId="5DE25A56"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FB43DB0"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Mo</w:t>
            </w:r>
          </w:p>
        </w:tc>
        <w:tc>
          <w:tcPr>
            <w:tcW w:w="634" w:type="dxa"/>
            <w:tcBorders>
              <w:top w:val="nil"/>
              <w:left w:val="nil"/>
              <w:bottom w:val="nil"/>
              <w:right w:val="nil"/>
            </w:tcBorders>
            <w:shd w:val="clear" w:color="auto" w:fill="auto"/>
            <w:vAlign w:val="center"/>
          </w:tcPr>
          <w:p w14:paraId="00AF4D3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6031633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61B7E59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66F0728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3167861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0.6</w:t>
            </w:r>
          </w:p>
        </w:tc>
        <w:tc>
          <w:tcPr>
            <w:tcW w:w="696" w:type="dxa"/>
            <w:gridSpan w:val="2"/>
            <w:tcBorders>
              <w:top w:val="nil"/>
              <w:left w:val="nil"/>
              <w:bottom w:val="nil"/>
              <w:right w:val="nil"/>
            </w:tcBorders>
            <w:shd w:val="clear" w:color="auto" w:fill="auto"/>
            <w:vAlign w:val="center"/>
          </w:tcPr>
          <w:p w14:paraId="6B908F7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w:t>
            </w:r>
          </w:p>
        </w:tc>
        <w:tc>
          <w:tcPr>
            <w:tcW w:w="905" w:type="dxa"/>
            <w:gridSpan w:val="2"/>
            <w:tcBorders>
              <w:top w:val="nil"/>
              <w:left w:val="nil"/>
              <w:bottom w:val="nil"/>
              <w:right w:val="nil"/>
            </w:tcBorders>
            <w:shd w:val="clear" w:color="auto" w:fill="auto"/>
            <w:vAlign w:val="center"/>
          </w:tcPr>
          <w:p w14:paraId="23DC203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w:t>
            </w:r>
          </w:p>
        </w:tc>
        <w:tc>
          <w:tcPr>
            <w:tcW w:w="745" w:type="dxa"/>
            <w:gridSpan w:val="3"/>
            <w:tcBorders>
              <w:top w:val="nil"/>
              <w:left w:val="nil"/>
              <w:bottom w:val="nil"/>
              <w:right w:val="nil"/>
            </w:tcBorders>
            <w:shd w:val="clear" w:color="auto" w:fill="auto"/>
            <w:vAlign w:val="center"/>
          </w:tcPr>
          <w:p w14:paraId="4ECCDE7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w:t>
            </w:r>
          </w:p>
        </w:tc>
        <w:tc>
          <w:tcPr>
            <w:tcW w:w="799" w:type="dxa"/>
            <w:gridSpan w:val="3"/>
            <w:tcBorders>
              <w:top w:val="nil"/>
              <w:left w:val="nil"/>
              <w:bottom w:val="nil"/>
              <w:right w:val="nil"/>
            </w:tcBorders>
            <w:shd w:val="clear" w:color="auto" w:fill="auto"/>
            <w:vAlign w:val="center"/>
          </w:tcPr>
          <w:p w14:paraId="2480023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70.5</w:t>
            </w:r>
          </w:p>
        </w:tc>
      </w:tr>
      <w:tr w:rsidR="00C03B92" w:rsidRPr="008A5C48" w14:paraId="3AFA5536"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4FB08B54"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Pb</w:t>
            </w:r>
          </w:p>
        </w:tc>
        <w:tc>
          <w:tcPr>
            <w:tcW w:w="634" w:type="dxa"/>
            <w:tcBorders>
              <w:top w:val="nil"/>
              <w:left w:val="nil"/>
              <w:bottom w:val="nil"/>
              <w:right w:val="nil"/>
            </w:tcBorders>
            <w:shd w:val="clear" w:color="auto" w:fill="auto"/>
            <w:vAlign w:val="center"/>
          </w:tcPr>
          <w:p w14:paraId="42DDF98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58BB362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2118EB7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 (64%)</w:t>
            </w:r>
          </w:p>
        </w:tc>
        <w:tc>
          <w:tcPr>
            <w:tcW w:w="1486" w:type="dxa"/>
            <w:gridSpan w:val="2"/>
            <w:tcBorders>
              <w:top w:val="nil"/>
              <w:left w:val="nil"/>
              <w:bottom w:val="nil"/>
              <w:right w:val="nil"/>
            </w:tcBorders>
            <w:shd w:val="clear" w:color="auto" w:fill="auto"/>
            <w:vAlign w:val="center"/>
          </w:tcPr>
          <w:p w14:paraId="540D9BF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2924BF2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9.4</w:t>
            </w:r>
          </w:p>
        </w:tc>
        <w:tc>
          <w:tcPr>
            <w:tcW w:w="696" w:type="dxa"/>
            <w:gridSpan w:val="2"/>
            <w:tcBorders>
              <w:top w:val="nil"/>
              <w:left w:val="nil"/>
              <w:bottom w:val="nil"/>
              <w:right w:val="nil"/>
            </w:tcBorders>
            <w:shd w:val="clear" w:color="auto" w:fill="auto"/>
            <w:vAlign w:val="center"/>
          </w:tcPr>
          <w:p w14:paraId="01C6EB8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14.3</w:t>
            </w:r>
          </w:p>
        </w:tc>
        <w:tc>
          <w:tcPr>
            <w:tcW w:w="905" w:type="dxa"/>
            <w:gridSpan w:val="2"/>
            <w:tcBorders>
              <w:top w:val="nil"/>
              <w:left w:val="nil"/>
              <w:bottom w:val="nil"/>
              <w:right w:val="nil"/>
            </w:tcBorders>
            <w:shd w:val="clear" w:color="auto" w:fill="auto"/>
            <w:vAlign w:val="center"/>
          </w:tcPr>
          <w:p w14:paraId="47466D2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16.8</w:t>
            </w:r>
          </w:p>
        </w:tc>
        <w:tc>
          <w:tcPr>
            <w:tcW w:w="745" w:type="dxa"/>
            <w:gridSpan w:val="3"/>
            <w:tcBorders>
              <w:top w:val="nil"/>
              <w:left w:val="nil"/>
              <w:bottom w:val="nil"/>
              <w:right w:val="nil"/>
            </w:tcBorders>
            <w:shd w:val="clear" w:color="auto" w:fill="auto"/>
            <w:vAlign w:val="center"/>
          </w:tcPr>
          <w:p w14:paraId="73D5C26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20.4</w:t>
            </w:r>
          </w:p>
        </w:tc>
        <w:tc>
          <w:tcPr>
            <w:tcW w:w="799" w:type="dxa"/>
            <w:gridSpan w:val="3"/>
            <w:tcBorders>
              <w:top w:val="nil"/>
              <w:left w:val="nil"/>
              <w:bottom w:val="nil"/>
              <w:right w:val="nil"/>
            </w:tcBorders>
            <w:shd w:val="clear" w:color="auto" w:fill="auto"/>
            <w:vAlign w:val="center"/>
          </w:tcPr>
          <w:p w14:paraId="6A90402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194</w:t>
            </w:r>
          </w:p>
        </w:tc>
      </w:tr>
      <w:tr w:rsidR="00C03B92" w:rsidRPr="008A5C48" w14:paraId="55613B12"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0A3DD2C"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K</w:t>
            </w:r>
          </w:p>
        </w:tc>
        <w:tc>
          <w:tcPr>
            <w:tcW w:w="634" w:type="dxa"/>
            <w:tcBorders>
              <w:top w:val="nil"/>
              <w:left w:val="nil"/>
              <w:bottom w:val="nil"/>
              <w:right w:val="nil"/>
            </w:tcBorders>
            <w:shd w:val="clear" w:color="auto" w:fill="auto"/>
            <w:vAlign w:val="center"/>
          </w:tcPr>
          <w:p w14:paraId="1968B1A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6075521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FDB8CE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74B880F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653916F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3104</w:t>
            </w:r>
          </w:p>
        </w:tc>
        <w:tc>
          <w:tcPr>
            <w:tcW w:w="696" w:type="dxa"/>
            <w:gridSpan w:val="2"/>
            <w:tcBorders>
              <w:top w:val="nil"/>
              <w:left w:val="nil"/>
              <w:bottom w:val="nil"/>
              <w:right w:val="nil"/>
            </w:tcBorders>
            <w:shd w:val="clear" w:color="auto" w:fill="auto"/>
            <w:vAlign w:val="center"/>
          </w:tcPr>
          <w:p w14:paraId="5A31FBD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3821</w:t>
            </w:r>
          </w:p>
        </w:tc>
        <w:tc>
          <w:tcPr>
            <w:tcW w:w="905" w:type="dxa"/>
            <w:gridSpan w:val="2"/>
            <w:tcBorders>
              <w:top w:val="nil"/>
              <w:left w:val="nil"/>
              <w:bottom w:val="nil"/>
              <w:right w:val="nil"/>
            </w:tcBorders>
            <w:shd w:val="clear" w:color="auto" w:fill="auto"/>
            <w:vAlign w:val="center"/>
          </w:tcPr>
          <w:p w14:paraId="4A9703E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4096</w:t>
            </w:r>
          </w:p>
        </w:tc>
        <w:tc>
          <w:tcPr>
            <w:tcW w:w="745" w:type="dxa"/>
            <w:gridSpan w:val="3"/>
            <w:tcBorders>
              <w:top w:val="nil"/>
              <w:left w:val="nil"/>
              <w:bottom w:val="nil"/>
              <w:right w:val="nil"/>
            </w:tcBorders>
            <w:shd w:val="clear" w:color="auto" w:fill="auto"/>
            <w:vAlign w:val="center"/>
          </w:tcPr>
          <w:p w14:paraId="1E7C9EF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4096</w:t>
            </w:r>
          </w:p>
        </w:tc>
        <w:tc>
          <w:tcPr>
            <w:tcW w:w="799" w:type="dxa"/>
            <w:gridSpan w:val="3"/>
            <w:tcBorders>
              <w:top w:val="nil"/>
              <w:left w:val="nil"/>
              <w:bottom w:val="nil"/>
              <w:right w:val="nil"/>
            </w:tcBorders>
            <w:shd w:val="clear" w:color="auto" w:fill="auto"/>
            <w:vAlign w:val="center"/>
          </w:tcPr>
          <w:p w14:paraId="2DEC17F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5792</w:t>
            </w:r>
          </w:p>
        </w:tc>
      </w:tr>
      <w:tr w:rsidR="00C03B92" w:rsidRPr="008A5C48" w14:paraId="7A891706"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0E240C8A"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Mg</w:t>
            </w:r>
          </w:p>
        </w:tc>
        <w:tc>
          <w:tcPr>
            <w:tcW w:w="634" w:type="dxa"/>
            <w:tcBorders>
              <w:top w:val="nil"/>
              <w:left w:val="nil"/>
              <w:bottom w:val="nil"/>
              <w:right w:val="nil"/>
            </w:tcBorders>
            <w:shd w:val="clear" w:color="auto" w:fill="auto"/>
            <w:vAlign w:val="center"/>
          </w:tcPr>
          <w:p w14:paraId="1801CC4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1807420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697BAAE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4859376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21AEC36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53.1</w:t>
            </w:r>
          </w:p>
        </w:tc>
        <w:tc>
          <w:tcPr>
            <w:tcW w:w="696" w:type="dxa"/>
            <w:gridSpan w:val="2"/>
            <w:tcBorders>
              <w:top w:val="nil"/>
              <w:left w:val="nil"/>
              <w:bottom w:val="nil"/>
              <w:right w:val="nil"/>
            </w:tcBorders>
            <w:shd w:val="clear" w:color="auto" w:fill="auto"/>
            <w:vAlign w:val="center"/>
          </w:tcPr>
          <w:p w14:paraId="488A481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58.9</w:t>
            </w:r>
          </w:p>
        </w:tc>
        <w:tc>
          <w:tcPr>
            <w:tcW w:w="905" w:type="dxa"/>
            <w:gridSpan w:val="2"/>
            <w:tcBorders>
              <w:top w:val="nil"/>
              <w:left w:val="nil"/>
              <w:bottom w:val="nil"/>
              <w:right w:val="nil"/>
            </w:tcBorders>
            <w:shd w:val="clear" w:color="auto" w:fill="auto"/>
            <w:vAlign w:val="center"/>
          </w:tcPr>
          <w:p w14:paraId="7BFC6AC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61.4</w:t>
            </w:r>
          </w:p>
        </w:tc>
        <w:tc>
          <w:tcPr>
            <w:tcW w:w="745" w:type="dxa"/>
            <w:gridSpan w:val="3"/>
            <w:tcBorders>
              <w:top w:val="nil"/>
              <w:left w:val="nil"/>
              <w:bottom w:val="nil"/>
              <w:right w:val="nil"/>
            </w:tcBorders>
            <w:shd w:val="clear" w:color="auto" w:fill="auto"/>
            <w:vAlign w:val="center"/>
          </w:tcPr>
          <w:p w14:paraId="1D98442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64</w:t>
            </w:r>
          </w:p>
        </w:tc>
        <w:tc>
          <w:tcPr>
            <w:tcW w:w="799" w:type="dxa"/>
            <w:gridSpan w:val="3"/>
            <w:tcBorders>
              <w:top w:val="nil"/>
              <w:left w:val="nil"/>
              <w:bottom w:val="nil"/>
              <w:right w:val="nil"/>
            </w:tcBorders>
            <w:shd w:val="clear" w:color="auto" w:fill="auto"/>
            <w:vAlign w:val="center"/>
          </w:tcPr>
          <w:p w14:paraId="757A93E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86.8</w:t>
            </w:r>
          </w:p>
        </w:tc>
      </w:tr>
      <w:tr w:rsidR="00C03B92" w:rsidRPr="008A5C48" w14:paraId="775FFCF1"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7845492C"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Na</w:t>
            </w:r>
          </w:p>
        </w:tc>
        <w:tc>
          <w:tcPr>
            <w:tcW w:w="634" w:type="dxa"/>
            <w:tcBorders>
              <w:top w:val="nil"/>
              <w:left w:val="nil"/>
              <w:bottom w:val="nil"/>
              <w:right w:val="nil"/>
            </w:tcBorders>
            <w:shd w:val="clear" w:color="auto" w:fill="auto"/>
            <w:vAlign w:val="center"/>
          </w:tcPr>
          <w:p w14:paraId="151510E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6436216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BABF15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5E57562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5791CA9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2195</w:t>
            </w:r>
          </w:p>
        </w:tc>
        <w:tc>
          <w:tcPr>
            <w:tcW w:w="696" w:type="dxa"/>
            <w:gridSpan w:val="2"/>
            <w:tcBorders>
              <w:top w:val="nil"/>
              <w:left w:val="nil"/>
              <w:bottom w:val="nil"/>
              <w:right w:val="nil"/>
            </w:tcBorders>
            <w:shd w:val="clear" w:color="auto" w:fill="auto"/>
            <w:vAlign w:val="center"/>
          </w:tcPr>
          <w:p w14:paraId="0F15352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3565</w:t>
            </w:r>
          </w:p>
        </w:tc>
        <w:tc>
          <w:tcPr>
            <w:tcW w:w="905" w:type="dxa"/>
            <w:gridSpan w:val="2"/>
            <w:tcBorders>
              <w:top w:val="nil"/>
              <w:left w:val="nil"/>
              <w:bottom w:val="nil"/>
              <w:right w:val="nil"/>
            </w:tcBorders>
            <w:shd w:val="clear" w:color="auto" w:fill="auto"/>
            <w:vAlign w:val="center"/>
          </w:tcPr>
          <w:p w14:paraId="3BA50B8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3565</w:t>
            </w:r>
          </w:p>
        </w:tc>
        <w:tc>
          <w:tcPr>
            <w:tcW w:w="745" w:type="dxa"/>
            <w:gridSpan w:val="3"/>
            <w:tcBorders>
              <w:top w:val="nil"/>
              <w:left w:val="nil"/>
              <w:bottom w:val="nil"/>
              <w:right w:val="nil"/>
            </w:tcBorders>
            <w:shd w:val="clear" w:color="auto" w:fill="auto"/>
            <w:vAlign w:val="center"/>
          </w:tcPr>
          <w:p w14:paraId="45B75B1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3821</w:t>
            </w:r>
          </w:p>
        </w:tc>
        <w:tc>
          <w:tcPr>
            <w:tcW w:w="799" w:type="dxa"/>
            <w:gridSpan w:val="3"/>
            <w:tcBorders>
              <w:top w:val="nil"/>
              <w:left w:val="nil"/>
              <w:bottom w:val="nil"/>
              <w:right w:val="nil"/>
            </w:tcBorders>
            <w:shd w:val="clear" w:color="auto" w:fill="auto"/>
            <w:vAlign w:val="center"/>
          </w:tcPr>
          <w:p w14:paraId="262F15B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4705</w:t>
            </w:r>
          </w:p>
        </w:tc>
      </w:tr>
      <w:tr w:rsidR="00C03B92" w:rsidRPr="008A5C48" w14:paraId="0147101C"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8779AFE"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Se</w:t>
            </w:r>
          </w:p>
        </w:tc>
        <w:tc>
          <w:tcPr>
            <w:tcW w:w="634" w:type="dxa"/>
            <w:tcBorders>
              <w:top w:val="nil"/>
              <w:left w:val="nil"/>
              <w:bottom w:val="nil"/>
              <w:right w:val="nil"/>
            </w:tcBorders>
            <w:shd w:val="clear" w:color="auto" w:fill="auto"/>
            <w:vAlign w:val="center"/>
          </w:tcPr>
          <w:p w14:paraId="5F81DC6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13F195B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3608703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7CC570F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3D8C0AD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128</w:t>
            </w:r>
          </w:p>
        </w:tc>
        <w:tc>
          <w:tcPr>
            <w:tcW w:w="696" w:type="dxa"/>
            <w:gridSpan w:val="2"/>
            <w:tcBorders>
              <w:top w:val="nil"/>
              <w:left w:val="nil"/>
              <w:bottom w:val="nil"/>
              <w:right w:val="nil"/>
            </w:tcBorders>
            <w:shd w:val="clear" w:color="auto" w:fill="auto"/>
            <w:vAlign w:val="center"/>
          </w:tcPr>
          <w:p w14:paraId="4089138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166</w:t>
            </w:r>
          </w:p>
        </w:tc>
        <w:tc>
          <w:tcPr>
            <w:tcW w:w="905" w:type="dxa"/>
            <w:gridSpan w:val="2"/>
            <w:tcBorders>
              <w:top w:val="nil"/>
              <w:left w:val="nil"/>
              <w:bottom w:val="nil"/>
              <w:right w:val="nil"/>
            </w:tcBorders>
            <w:shd w:val="clear" w:color="auto" w:fill="auto"/>
            <w:vAlign w:val="center"/>
          </w:tcPr>
          <w:p w14:paraId="65BFF79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178.5</w:t>
            </w:r>
          </w:p>
        </w:tc>
        <w:tc>
          <w:tcPr>
            <w:tcW w:w="745" w:type="dxa"/>
            <w:gridSpan w:val="3"/>
            <w:tcBorders>
              <w:top w:val="nil"/>
              <w:left w:val="nil"/>
              <w:bottom w:val="nil"/>
              <w:right w:val="nil"/>
            </w:tcBorders>
            <w:shd w:val="clear" w:color="auto" w:fill="auto"/>
            <w:vAlign w:val="center"/>
          </w:tcPr>
          <w:p w14:paraId="10894C5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190</w:t>
            </w:r>
          </w:p>
        </w:tc>
        <w:tc>
          <w:tcPr>
            <w:tcW w:w="799" w:type="dxa"/>
            <w:gridSpan w:val="3"/>
            <w:tcBorders>
              <w:top w:val="nil"/>
              <w:left w:val="nil"/>
              <w:bottom w:val="nil"/>
              <w:right w:val="nil"/>
            </w:tcBorders>
            <w:shd w:val="clear" w:color="auto" w:fill="auto"/>
            <w:vAlign w:val="center"/>
          </w:tcPr>
          <w:p w14:paraId="7E43920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238</w:t>
            </w:r>
          </w:p>
        </w:tc>
      </w:tr>
      <w:tr w:rsidR="00C03B92" w:rsidRPr="008A5C48" w14:paraId="547E7342"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E41C0B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Zn</w:t>
            </w:r>
          </w:p>
        </w:tc>
        <w:tc>
          <w:tcPr>
            <w:tcW w:w="634" w:type="dxa"/>
            <w:tcBorders>
              <w:top w:val="nil"/>
              <w:left w:val="nil"/>
              <w:bottom w:val="nil"/>
              <w:right w:val="nil"/>
            </w:tcBorders>
            <w:shd w:val="clear" w:color="auto" w:fill="auto"/>
            <w:vAlign w:val="center"/>
          </w:tcPr>
          <w:p w14:paraId="5B8BDFD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2016FD8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2D09120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5005D5F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0AEF01E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5404</w:t>
            </w:r>
          </w:p>
        </w:tc>
        <w:tc>
          <w:tcPr>
            <w:tcW w:w="696" w:type="dxa"/>
            <w:gridSpan w:val="2"/>
            <w:tcBorders>
              <w:top w:val="nil"/>
              <w:left w:val="nil"/>
              <w:bottom w:val="nil"/>
              <w:right w:val="nil"/>
            </w:tcBorders>
            <w:shd w:val="clear" w:color="auto" w:fill="auto"/>
            <w:vAlign w:val="center"/>
          </w:tcPr>
          <w:p w14:paraId="0E29079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7643</w:t>
            </w:r>
          </w:p>
        </w:tc>
        <w:tc>
          <w:tcPr>
            <w:tcW w:w="905" w:type="dxa"/>
            <w:gridSpan w:val="2"/>
            <w:tcBorders>
              <w:top w:val="nil"/>
              <w:left w:val="nil"/>
              <w:bottom w:val="nil"/>
              <w:right w:val="nil"/>
            </w:tcBorders>
            <w:shd w:val="clear" w:color="auto" w:fill="auto"/>
            <w:vAlign w:val="center"/>
          </w:tcPr>
          <w:p w14:paraId="5713D07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8192</w:t>
            </w:r>
          </w:p>
        </w:tc>
        <w:tc>
          <w:tcPr>
            <w:tcW w:w="745" w:type="dxa"/>
            <w:gridSpan w:val="3"/>
            <w:tcBorders>
              <w:top w:val="nil"/>
              <w:left w:val="nil"/>
              <w:bottom w:val="nil"/>
              <w:right w:val="nil"/>
            </w:tcBorders>
            <w:shd w:val="clear" w:color="auto" w:fill="auto"/>
            <w:vAlign w:val="center"/>
          </w:tcPr>
          <w:p w14:paraId="2E31451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8780</w:t>
            </w:r>
          </w:p>
        </w:tc>
        <w:tc>
          <w:tcPr>
            <w:tcW w:w="799" w:type="dxa"/>
            <w:gridSpan w:val="3"/>
            <w:tcBorders>
              <w:top w:val="nil"/>
              <w:left w:val="nil"/>
              <w:bottom w:val="nil"/>
              <w:right w:val="nil"/>
            </w:tcBorders>
            <w:shd w:val="clear" w:color="auto" w:fill="auto"/>
            <w:vAlign w:val="center"/>
          </w:tcPr>
          <w:p w14:paraId="33335CD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15286</w:t>
            </w:r>
          </w:p>
        </w:tc>
      </w:tr>
      <w:tr w:rsidR="00C03B92" w:rsidRPr="008A5C48" w14:paraId="56005610"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218972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As</w:t>
            </w:r>
          </w:p>
        </w:tc>
        <w:tc>
          <w:tcPr>
            <w:tcW w:w="634" w:type="dxa"/>
            <w:tcBorders>
              <w:top w:val="nil"/>
              <w:left w:val="nil"/>
              <w:bottom w:val="nil"/>
              <w:right w:val="nil"/>
            </w:tcBorders>
            <w:shd w:val="clear" w:color="auto" w:fill="auto"/>
            <w:vAlign w:val="center"/>
          </w:tcPr>
          <w:p w14:paraId="546C57E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5B75792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44B6DD5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3656F1B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67.10%</w:t>
            </w:r>
          </w:p>
        </w:tc>
        <w:tc>
          <w:tcPr>
            <w:tcW w:w="796" w:type="dxa"/>
            <w:gridSpan w:val="2"/>
            <w:tcBorders>
              <w:top w:val="nil"/>
              <w:left w:val="nil"/>
              <w:bottom w:val="nil"/>
              <w:right w:val="nil"/>
            </w:tcBorders>
            <w:shd w:val="clear" w:color="auto" w:fill="auto"/>
            <w:vAlign w:val="center"/>
          </w:tcPr>
          <w:p w14:paraId="40846E9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696" w:type="dxa"/>
            <w:gridSpan w:val="2"/>
            <w:tcBorders>
              <w:top w:val="nil"/>
              <w:left w:val="nil"/>
              <w:bottom w:val="nil"/>
              <w:right w:val="nil"/>
            </w:tcBorders>
            <w:shd w:val="clear" w:color="auto" w:fill="auto"/>
            <w:vAlign w:val="center"/>
          </w:tcPr>
          <w:p w14:paraId="3392B68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0.6</w:t>
            </w:r>
          </w:p>
        </w:tc>
        <w:tc>
          <w:tcPr>
            <w:tcW w:w="905" w:type="dxa"/>
            <w:gridSpan w:val="2"/>
            <w:tcBorders>
              <w:top w:val="nil"/>
              <w:left w:val="nil"/>
              <w:bottom w:val="nil"/>
              <w:right w:val="nil"/>
            </w:tcBorders>
            <w:shd w:val="clear" w:color="auto" w:fill="auto"/>
            <w:vAlign w:val="center"/>
          </w:tcPr>
          <w:p w14:paraId="1E700FB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w:t>
            </w:r>
          </w:p>
        </w:tc>
        <w:tc>
          <w:tcPr>
            <w:tcW w:w="745" w:type="dxa"/>
            <w:gridSpan w:val="3"/>
            <w:tcBorders>
              <w:top w:val="nil"/>
              <w:left w:val="nil"/>
              <w:bottom w:val="nil"/>
              <w:right w:val="nil"/>
            </w:tcBorders>
            <w:shd w:val="clear" w:color="auto" w:fill="auto"/>
            <w:vAlign w:val="center"/>
          </w:tcPr>
          <w:p w14:paraId="4C17905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2.6</w:t>
            </w:r>
          </w:p>
        </w:tc>
        <w:tc>
          <w:tcPr>
            <w:tcW w:w="799" w:type="dxa"/>
            <w:gridSpan w:val="3"/>
            <w:tcBorders>
              <w:top w:val="nil"/>
              <w:left w:val="nil"/>
              <w:bottom w:val="nil"/>
              <w:right w:val="nil"/>
            </w:tcBorders>
            <w:shd w:val="clear" w:color="auto" w:fill="auto"/>
            <w:vAlign w:val="center"/>
          </w:tcPr>
          <w:p w14:paraId="3F08F73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64</w:t>
            </w:r>
          </w:p>
        </w:tc>
      </w:tr>
      <w:tr w:rsidR="00C03B92" w:rsidRPr="008A5C48" w14:paraId="2B5F3EE7"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5F28B49"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Cd</w:t>
            </w:r>
          </w:p>
        </w:tc>
        <w:tc>
          <w:tcPr>
            <w:tcW w:w="634" w:type="dxa"/>
            <w:tcBorders>
              <w:top w:val="nil"/>
              <w:left w:val="nil"/>
              <w:bottom w:val="nil"/>
              <w:right w:val="nil"/>
            </w:tcBorders>
            <w:shd w:val="clear" w:color="auto" w:fill="auto"/>
            <w:vAlign w:val="center"/>
          </w:tcPr>
          <w:p w14:paraId="24D669C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50A5C81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2FA2CC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5294323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86.50%</w:t>
            </w:r>
          </w:p>
        </w:tc>
        <w:tc>
          <w:tcPr>
            <w:tcW w:w="796" w:type="dxa"/>
            <w:gridSpan w:val="2"/>
            <w:tcBorders>
              <w:top w:val="nil"/>
              <w:left w:val="nil"/>
              <w:bottom w:val="nil"/>
              <w:right w:val="nil"/>
            </w:tcBorders>
            <w:shd w:val="clear" w:color="auto" w:fill="auto"/>
            <w:vAlign w:val="center"/>
          </w:tcPr>
          <w:p w14:paraId="1A567D9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w:t>
            </w:r>
          </w:p>
        </w:tc>
        <w:tc>
          <w:tcPr>
            <w:tcW w:w="696" w:type="dxa"/>
            <w:gridSpan w:val="2"/>
            <w:tcBorders>
              <w:top w:val="nil"/>
              <w:left w:val="nil"/>
              <w:bottom w:val="nil"/>
              <w:right w:val="nil"/>
            </w:tcBorders>
            <w:shd w:val="clear" w:color="auto" w:fill="auto"/>
            <w:vAlign w:val="center"/>
          </w:tcPr>
          <w:p w14:paraId="031CB0A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w:t>
            </w:r>
          </w:p>
        </w:tc>
        <w:tc>
          <w:tcPr>
            <w:tcW w:w="905" w:type="dxa"/>
            <w:gridSpan w:val="2"/>
            <w:tcBorders>
              <w:top w:val="nil"/>
              <w:left w:val="nil"/>
              <w:bottom w:val="nil"/>
              <w:right w:val="nil"/>
            </w:tcBorders>
            <w:shd w:val="clear" w:color="auto" w:fill="auto"/>
            <w:vAlign w:val="center"/>
          </w:tcPr>
          <w:p w14:paraId="7EB26D6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w:t>
            </w:r>
          </w:p>
        </w:tc>
        <w:tc>
          <w:tcPr>
            <w:tcW w:w="745" w:type="dxa"/>
            <w:gridSpan w:val="3"/>
            <w:tcBorders>
              <w:top w:val="nil"/>
              <w:left w:val="nil"/>
              <w:bottom w:val="nil"/>
              <w:right w:val="nil"/>
            </w:tcBorders>
            <w:shd w:val="clear" w:color="auto" w:fill="auto"/>
            <w:vAlign w:val="center"/>
          </w:tcPr>
          <w:p w14:paraId="1E1C0E1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w:t>
            </w:r>
          </w:p>
        </w:tc>
        <w:tc>
          <w:tcPr>
            <w:tcW w:w="799" w:type="dxa"/>
            <w:gridSpan w:val="3"/>
            <w:tcBorders>
              <w:top w:val="nil"/>
              <w:left w:val="nil"/>
              <w:bottom w:val="nil"/>
              <w:right w:val="nil"/>
            </w:tcBorders>
            <w:shd w:val="clear" w:color="auto" w:fill="auto"/>
            <w:vAlign w:val="center"/>
          </w:tcPr>
          <w:p w14:paraId="35557B1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w:t>
            </w:r>
          </w:p>
        </w:tc>
      </w:tr>
      <w:tr w:rsidR="00C03B92" w:rsidRPr="008A5C48" w14:paraId="5E131927"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7FFCE3D4"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Co</w:t>
            </w:r>
          </w:p>
        </w:tc>
        <w:tc>
          <w:tcPr>
            <w:tcW w:w="634" w:type="dxa"/>
            <w:tcBorders>
              <w:top w:val="nil"/>
              <w:left w:val="nil"/>
              <w:bottom w:val="nil"/>
              <w:right w:val="nil"/>
            </w:tcBorders>
            <w:shd w:val="clear" w:color="auto" w:fill="auto"/>
            <w:vAlign w:val="center"/>
          </w:tcPr>
          <w:p w14:paraId="23BD39E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2D62E60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461F5A3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3BD5726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99.90%</w:t>
            </w:r>
          </w:p>
        </w:tc>
        <w:tc>
          <w:tcPr>
            <w:tcW w:w="796" w:type="dxa"/>
            <w:gridSpan w:val="2"/>
            <w:tcBorders>
              <w:top w:val="nil"/>
              <w:left w:val="nil"/>
              <w:bottom w:val="nil"/>
              <w:right w:val="nil"/>
            </w:tcBorders>
            <w:shd w:val="clear" w:color="auto" w:fill="auto"/>
            <w:vAlign w:val="center"/>
          </w:tcPr>
          <w:p w14:paraId="0692EBF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0.2</w:t>
            </w:r>
          </w:p>
        </w:tc>
        <w:tc>
          <w:tcPr>
            <w:tcW w:w="696" w:type="dxa"/>
            <w:gridSpan w:val="2"/>
            <w:tcBorders>
              <w:top w:val="nil"/>
              <w:left w:val="nil"/>
              <w:bottom w:val="nil"/>
              <w:right w:val="nil"/>
            </w:tcBorders>
            <w:shd w:val="clear" w:color="auto" w:fill="auto"/>
            <w:vAlign w:val="center"/>
          </w:tcPr>
          <w:p w14:paraId="4D73BAC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905" w:type="dxa"/>
            <w:gridSpan w:val="2"/>
            <w:tcBorders>
              <w:top w:val="nil"/>
              <w:left w:val="nil"/>
              <w:bottom w:val="nil"/>
              <w:right w:val="nil"/>
            </w:tcBorders>
            <w:shd w:val="clear" w:color="auto" w:fill="auto"/>
            <w:vAlign w:val="center"/>
          </w:tcPr>
          <w:p w14:paraId="6BD024E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745" w:type="dxa"/>
            <w:gridSpan w:val="3"/>
            <w:tcBorders>
              <w:top w:val="nil"/>
              <w:left w:val="nil"/>
              <w:bottom w:val="nil"/>
              <w:right w:val="nil"/>
            </w:tcBorders>
            <w:shd w:val="clear" w:color="auto" w:fill="auto"/>
            <w:vAlign w:val="center"/>
          </w:tcPr>
          <w:p w14:paraId="2B25756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799" w:type="dxa"/>
            <w:gridSpan w:val="3"/>
            <w:tcBorders>
              <w:top w:val="nil"/>
              <w:left w:val="nil"/>
              <w:bottom w:val="nil"/>
              <w:right w:val="nil"/>
            </w:tcBorders>
            <w:shd w:val="clear" w:color="auto" w:fill="auto"/>
            <w:vAlign w:val="center"/>
          </w:tcPr>
          <w:p w14:paraId="57150FF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w:t>
            </w:r>
          </w:p>
        </w:tc>
      </w:tr>
      <w:tr w:rsidR="00C03B92" w:rsidRPr="008A5C48" w14:paraId="019C0E0E"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DB8C882"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Cu</w:t>
            </w:r>
          </w:p>
        </w:tc>
        <w:tc>
          <w:tcPr>
            <w:tcW w:w="634" w:type="dxa"/>
            <w:tcBorders>
              <w:top w:val="nil"/>
              <w:left w:val="nil"/>
              <w:bottom w:val="nil"/>
              <w:right w:val="nil"/>
            </w:tcBorders>
            <w:shd w:val="clear" w:color="auto" w:fill="auto"/>
            <w:vAlign w:val="center"/>
          </w:tcPr>
          <w:p w14:paraId="54F0E6D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38D38D4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26DEF2B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521168B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00EAE3F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1351</w:t>
            </w:r>
          </w:p>
        </w:tc>
        <w:tc>
          <w:tcPr>
            <w:tcW w:w="696" w:type="dxa"/>
            <w:gridSpan w:val="2"/>
            <w:tcBorders>
              <w:top w:val="nil"/>
              <w:left w:val="nil"/>
              <w:bottom w:val="nil"/>
              <w:right w:val="nil"/>
            </w:tcBorders>
            <w:shd w:val="clear" w:color="auto" w:fill="auto"/>
            <w:vAlign w:val="center"/>
          </w:tcPr>
          <w:p w14:paraId="4E391A8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1663</w:t>
            </w:r>
          </w:p>
        </w:tc>
        <w:tc>
          <w:tcPr>
            <w:tcW w:w="905" w:type="dxa"/>
            <w:gridSpan w:val="2"/>
            <w:tcBorders>
              <w:top w:val="nil"/>
              <w:left w:val="nil"/>
              <w:bottom w:val="nil"/>
              <w:right w:val="nil"/>
            </w:tcBorders>
            <w:shd w:val="clear" w:color="auto" w:fill="auto"/>
            <w:vAlign w:val="center"/>
          </w:tcPr>
          <w:p w14:paraId="7FBBA10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1663</w:t>
            </w:r>
          </w:p>
        </w:tc>
        <w:tc>
          <w:tcPr>
            <w:tcW w:w="745" w:type="dxa"/>
            <w:gridSpan w:val="3"/>
            <w:tcBorders>
              <w:top w:val="nil"/>
              <w:left w:val="nil"/>
              <w:bottom w:val="nil"/>
              <w:right w:val="nil"/>
            </w:tcBorders>
            <w:shd w:val="clear" w:color="auto" w:fill="auto"/>
            <w:vAlign w:val="center"/>
          </w:tcPr>
          <w:p w14:paraId="5C1D9C1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1782</w:t>
            </w:r>
          </w:p>
        </w:tc>
        <w:tc>
          <w:tcPr>
            <w:tcW w:w="799" w:type="dxa"/>
            <w:gridSpan w:val="3"/>
            <w:tcBorders>
              <w:top w:val="nil"/>
              <w:left w:val="nil"/>
              <w:bottom w:val="nil"/>
              <w:right w:val="nil"/>
            </w:tcBorders>
            <w:shd w:val="clear" w:color="auto" w:fill="auto"/>
            <w:vAlign w:val="center"/>
          </w:tcPr>
          <w:p w14:paraId="76FA765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5404</w:t>
            </w:r>
          </w:p>
        </w:tc>
      </w:tr>
      <w:tr w:rsidR="00C03B92" w:rsidRPr="008A5C48" w14:paraId="1C3FEF44"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5AD3E628"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Cs</w:t>
            </w:r>
          </w:p>
        </w:tc>
        <w:tc>
          <w:tcPr>
            <w:tcW w:w="634" w:type="dxa"/>
            <w:tcBorders>
              <w:top w:val="nil"/>
              <w:left w:val="nil"/>
              <w:bottom w:val="nil"/>
              <w:right w:val="nil"/>
            </w:tcBorders>
            <w:shd w:val="clear" w:color="auto" w:fill="auto"/>
            <w:vAlign w:val="center"/>
          </w:tcPr>
          <w:p w14:paraId="0E3179C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1B19A62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4207FE5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47B5E13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278EEED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w:t>
            </w:r>
          </w:p>
        </w:tc>
        <w:tc>
          <w:tcPr>
            <w:tcW w:w="696" w:type="dxa"/>
            <w:gridSpan w:val="2"/>
            <w:tcBorders>
              <w:top w:val="nil"/>
              <w:left w:val="nil"/>
              <w:bottom w:val="nil"/>
              <w:right w:val="nil"/>
            </w:tcBorders>
            <w:shd w:val="clear" w:color="auto" w:fill="auto"/>
            <w:vAlign w:val="center"/>
          </w:tcPr>
          <w:p w14:paraId="316DE72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2.1</w:t>
            </w:r>
          </w:p>
        </w:tc>
        <w:tc>
          <w:tcPr>
            <w:tcW w:w="905" w:type="dxa"/>
            <w:gridSpan w:val="2"/>
            <w:tcBorders>
              <w:top w:val="nil"/>
              <w:left w:val="nil"/>
              <w:bottom w:val="nil"/>
              <w:right w:val="nil"/>
            </w:tcBorders>
            <w:shd w:val="clear" w:color="auto" w:fill="auto"/>
            <w:vAlign w:val="center"/>
          </w:tcPr>
          <w:p w14:paraId="604A9C3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2.4</w:t>
            </w:r>
          </w:p>
        </w:tc>
        <w:tc>
          <w:tcPr>
            <w:tcW w:w="745" w:type="dxa"/>
            <w:gridSpan w:val="3"/>
            <w:tcBorders>
              <w:top w:val="nil"/>
              <w:left w:val="nil"/>
              <w:bottom w:val="nil"/>
              <w:right w:val="nil"/>
            </w:tcBorders>
            <w:shd w:val="clear" w:color="auto" w:fill="auto"/>
            <w:vAlign w:val="center"/>
          </w:tcPr>
          <w:p w14:paraId="2957AEE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2.8</w:t>
            </w:r>
          </w:p>
        </w:tc>
        <w:tc>
          <w:tcPr>
            <w:tcW w:w="799" w:type="dxa"/>
            <w:gridSpan w:val="3"/>
            <w:tcBorders>
              <w:top w:val="nil"/>
              <w:left w:val="nil"/>
              <w:bottom w:val="nil"/>
              <w:right w:val="nil"/>
            </w:tcBorders>
            <w:shd w:val="clear" w:color="auto" w:fill="auto"/>
            <w:vAlign w:val="center"/>
          </w:tcPr>
          <w:p w14:paraId="23DE250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9.4</w:t>
            </w:r>
          </w:p>
        </w:tc>
      </w:tr>
      <w:tr w:rsidR="00C03B92" w:rsidRPr="008A5C48" w14:paraId="25D6E56B"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5BCAB621"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Hg</w:t>
            </w:r>
          </w:p>
        </w:tc>
        <w:tc>
          <w:tcPr>
            <w:tcW w:w="634" w:type="dxa"/>
            <w:tcBorders>
              <w:top w:val="nil"/>
              <w:left w:val="nil"/>
              <w:bottom w:val="nil"/>
              <w:right w:val="nil"/>
            </w:tcBorders>
            <w:shd w:val="clear" w:color="auto" w:fill="auto"/>
            <w:vAlign w:val="center"/>
          </w:tcPr>
          <w:p w14:paraId="0AB9F33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1AB38B8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74FC5CA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107B961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97.70%</w:t>
            </w:r>
          </w:p>
        </w:tc>
        <w:tc>
          <w:tcPr>
            <w:tcW w:w="796" w:type="dxa"/>
            <w:gridSpan w:val="2"/>
            <w:tcBorders>
              <w:top w:val="nil"/>
              <w:left w:val="nil"/>
              <w:bottom w:val="nil"/>
              <w:right w:val="nil"/>
            </w:tcBorders>
            <w:shd w:val="clear" w:color="auto" w:fill="auto"/>
            <w:vAlign w:val="center"/>
          </w:tcPr>
          <w:p w14:paraId="7039A9F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696" w:type="dxa"/>
            <w:gridSpan w:val="2"/>
            <w:tcBorders>
              <w:top w:val="nil"/>
              <w:left w:val="nil"/>
              <w:bottom w:val="nil"/>
              <w:right w:val="nil"/>
            </w:tcBorders>
            <w:shd w:val="clear" w:color="auto" w:fill="auto"/>
            <w:vAlign w:val="center"/>
          </w:tcPr>
          <w:p w14:paraId="6F3AA97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0.8</w:t>
            </w:r>
          </w:p>
        </w:tc>
        <w:tc>
          <w:tcPr>
            <w:tcW w:w="905" w:type="dxa"/>
            <w:gridSpan w:val="2"/>
            <w:tcBorders>
              <w:top w:val="nil"/>
              <w:left w:val="nil"/>
              <w:bottom w:val="nil"/>
              <w:right w:val="nil"/>
            </w:tcBorders>
            <w:shd w:val="clear" w:color="auto" w:fill="auto"/>
            <w:vAlign w:val="center"/>
          </w:tcPr>
          <w:p w14:paraId="38835B2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w:t>
            </w:r>
          </w:p>
        </w:tc>
        <w:tc>
          <w:tcPr>
            <w:tcW w:w="745" w:type="dxa"/>
            <w:gridSpan w:val="3"/>
            <w:tcBorders>
              <w:top w:val="nil"/>
              <w:left w:val="nil"/>
              <w:bottom w:val="nil"/>
              <w:right w:val="nil"/>
            </w:tcBorders>
            <w:shd w:val="clear" w:color="auto" w:fill="auto"/>
            <w:vAlign w:val="center"/>
          </w:tcPr>
          <w:p w14:paraId="224C877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2.2</w:t>
            </w:r>
          </w:p>
        </w:tc>
        <w:tc>
          <w:tcPr>
            <w:tcW w:w="799" w:type="dxa"/>
            <w:gridSpan w:val="3"/>
            <w:tcBorders>
              <w:top w:val="nil"/>
              <w:left w:val="nil"/>
              <w:bottom w:val="nil"/>
              <w:right w:val="nil"/>
            </w:tcBorders>
            <w:shd w:val="clear" w:color="auto" w:fill="auto"/>
            <w:vAlign w:val="center"/>
          </w:tcPr>
          <w:p w14:paraId="6CF59EB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20.5</w:t>
            </w:r>
          </w:p>
        </w:tc>
      </w:tr>
      <w:tr w:rsidR="00C03B92" w:rsidRPr="008A5C48" w14:paraId="565042E4"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402BF4F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Mn</w:t>
            </w:r>
          </w:p>
        </w:tc>
        <w:tc>
          <w:tcPr>
            <w:tcW w:w="634" w:type="dxa"/>
            <w:tcBorders>
              <w:top w:val="nil"/>
              <w:left w:val="nil"/>
              <w:bottom w:val="nil"/>
              <w:right w:val="nil"/>
            </w:tcBorders>
            <w:shd w:val="clear" w:color="auto" w:fill="auto"/>
            <w:vAlign w:val="center"/>
          </w:tcPr>
          <w:p w14:paraId="716273C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6901CD9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5395B1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046892D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3AD71EB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10.4</w:t>
            </w:r>
          </w:p>
        </w:tc>
        <w:tc>
          <w:tcPr>
            <w:tcW w:w="696" w:type="dxa"/>
            <w:gridSpan w:val="2"/>
            <w:tcBorders>
              <w:top w:val="nil"/>
              <w:left w:val="nil"/>
              <w:bottom w:val="nil"/>
              <w:right w:val="nil"/>
            </w:tcBorders>
            <w:shd w:val="clear" w:color="auto" w:fill="auto"/>
            <w:vAlign w:val="center"/>
          </w:tcPr>
          <w:p w14:paraId="69C365E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14.2</w:t>
            </w:r>
          </w:p>
        </w:tc>
        <w:tc>
          <w:tcPr>
            <w:tcW w:w="905" w:type="dxa"/>
            <w:gridSpan w:val="2"/>
            <w:tcBorders>
              <w:top w:val="nil"/>
              <w:left w:val="nil"/>
              <w:bottom w:val="nil"/>
              <w:right w:val="nil"/>
            </w:tcBorders>
            <w:shd w:val="clear" w:color="auto" w:fill="auto"/>
            <w:vAlign w:val="center"/>
          </w:tcPr>
          <w:p w14:paraId="0828DA3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15.7</w:t>
            </w:r>
          </w:p>
        </w:tc>
        <w:tc>
          <w:tcPr>
            <w:tcW w:w="745" w:type="dxa"/>
            <w:gridSpan w:val="3"/>
            <w:tcBorders>
              <w:top w:val="nil"/>
              <w:left w:val="nil"/>
              <w:bottom w:val="nil"/>
              <w:right w:val="nil"/>
            </w:tcBorders>
            <w:shd w:val="clear" w:color="auto" w:fill="auto"/>
            <w:vAlign w:val="center"/>
          </w:tcPr>
          <w:p w14:paraId="2248F3A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17.6</w:t>
            </w:r>
          </w:p>
        </w:tc>
        <w:tc>
          <w:tcPr>
            <w:tcW w:w="799" w:type="dxa"/>
            <w:gridSpan w:val="3"/>
            <w:tcBorders>
              <w:top w:val="nil"/>
              <w:left w:val="nil"/>
              <w:bottom w:val="nil"/>
              <w:right w:val="nil"/>
            </w:tcBorders>
            <w:shd w:val="clear" w:color="auto" w:fill="auto"/>
            <w:vAlign w:val="center"/>
          </w:tcPr>
          <w:p w14:paraId="63B949C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34.8</w:t>
            </w:r>
          </w:p>
        </w:tc>
      </w:tr>
      <w:tr w:rsidR="00C03B92" w:rsidRPr="008A5C48" w14:paraId="1868DB76"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022F85F"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Mo</w:t>
            </w:r>
          </w:p>
        </w:tc>
        <w:tc>
          <w:tcPr>
            <w:tcW w:w="634" w:type="dxa"/>
            <w:tcBorders>
              <w:top w:val="nil"/>
              <w:left w:val="nil"/>
              <w:bottom w:val="nil"/>
              <w:right w:val="nil"/>
            </w:tcBorders>
            <w:shd w:val="clear" w:color="auto" w:fill="auto"/>
            <w:vAlign w:val="center"/>
          </w:tcPr>
          <w:p w14:paraId="389F42A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50CD015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63B87BE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37765A4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99.50%</w:t>
            </w:r>
          </w:p>
        </w:tc>
        <w:tc>
          <w:tcPr>
            <w:tcW w:w="796" w:type="dxa"/>
            <w:gridSpan w:val="2"/>
            <w:tcBorders>
              <w:top w:val="nil"/>
              <w:left w:val="nil"/>
              <w:bottom w:val="nil"/>
              <w:right w:val="nil"/>
            </w:tcBorders>
            <w:shd w:val="clear" w:color="auto" w:fill="auto"/>
            <w:vAlign w:val="center"/>
          </w:tcPr>
          <w:p w14:paraId="5273592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0.6</w:t>
            </w:r>
          </w:p>
        </w:tc>
        <w:tc>
          <w:tcPr>
            <w:tcW w:w="696" w:type="dxa"/>
            <w:gridSpan w:val="2"/>
            <w:tcBorders>
              <w:top w:val="nil"/>
              <w:left w:val="nil"/>
              <w:bottom w:val="nil"/>
              <w:right w:val="nil"/>
            </w:tcBorders>
            <w:shd w:val="clear" w:color="auto" w:fill="auto"/>
            <w:vAlign w:val="center"/>
          </w:tcPr>
          <w:p w14:paraId="2E30C9F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w:t>
            </w:r>
          </w:p>
        </w:tc>
        <w:tc>
          <w:tcPr>
            <w:tcW w:w="905" w:type="dxa"/>
            <w:gridSpan w:val="2"/>
            <w:tcBorders>
              <w:top w:val="nil"/>
              <w:left w:val="nil"/>
              <w:bottom w:val="nil"/>
              <w:right w:val="nil"/>
            </w:tcBorders>
            <w:shd w:val="clear" w:color="auto" w:fill="auto"/>
            <w:vAlign w:val="center"/>
          </w:tcPr>
          <w:p w14:paraId="20C118E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w:t>
            </w:r>
          </w:p>
        </w:tc>
        <w:tc>
          <w:tcPr>
            <w:tcW w:w="745" w:type="dxa"/>
            <w:gridSpan w:val="3"/>
            <w:tcBorders>
              <w:top w:val="nil"/>
              <w:left w:val="nil"/>
              <w:bottom w:val="nil"/>
              <w:right w:val="nil"/>
            </w:tcBorders>
            <w:shd w:val="clear" w:color="auto" w:fill="auto"/>
            <w:vAlign w:val="center"/>
          </w:tcPr>
          <w:p w14:paraId="2AE4CEF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w:t>
            </w:r>
          </w:p>
        </w:tc>
        <w:tc>
          <w:tcPr>
            <w:tcW w:w="799" w:type="dxa"/>
            <w:gridSpan w:val="3"/>
            <w:tcBorders>
              <w:top w:val="nil"/>
              <w:left w:val="nil"/>
              <w:bottom w:val="nil"/>
              <w:right w:val="nil"/>
            </w:tcBorders>
            <w:shd w:val="clear" w:color="auto" w:fill="auto"/>
            <w:vAlign w:val="center"/>
          </w:tcPr>
          <w:p w14:paraId="26E41E3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35.5</w:t>
            </w:r>
          </w:p>
        </w:tc>
      </w:tr>
      <w:tr w:rsidR="00C03B92" w:rsidRPr="008A5C48" w14:paraId="04C46B08"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09B7F46B"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Pb</w:t>
            </w:r>
          </w:p>
        </w:tc>
        <w:tc>
          <w:tcPr>
            <w:tcW w:w="634" w:type="dxa"/>
            <w:tcBorders>
              <w:top w:val="nil"/>
              <w:left w:val="nil"/>
              <w:bottom w:val="nil"/>
              <w:right w:val="nil"/>
            </w:tcBorders>
            <w:shd w:val="clear" w:color="auto" w:fill="auto"/>
            <w:vAlign w:val="center"/>
          </w:tcPr>
          <w:p w14:paraId="7128695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µg/L</w:t>
            </w:r>
          </w:p>
        </w:tc>
        <w:tc>
          <w:tcPr>
            <w:tcW w:w="1111" w:type="dxa"/>
            <w:tcBorders>
              <w:top w:val="nil"/>
              <w:left w:val="nil"/>
              <w:bottom w:val="nil"/>
              <w:right w:val="nil"/>
            </w:tcBorders>
            <w:shd w:val="clear" w:color="auto" w:fill="auto"/>
            <w:vAlign w:val="center"/>
          </w:tcPr>
          <w:p w14:paraId="365DF87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4E128AC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3862FD6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100%</w:t>
            </w:r>
          </w:p>
        </w:tc>
        <w:tc>
          <w:tcPr>
            <w:tcW w:w="796" w:type="dxa"/>
            <w:gridSpan w:val="2"/>
            <w:tcBorders>
              <w:top w:val="nil"/>
              <w:left w:val="nil"/>
              <w:bottom w:val="nil"/>
              <w:right w:val="nil"/>
            </w:tcBorders>
            <w:shd w:val="clear" w:color="auto" w:fill="auto"/>
            <w:vAlign w:val="center"/>
          </w:tcPr>
          <w:p w14:paraId="48A08E6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8.5</w:t>
            </w:r>
          </w:p>
        </w:tc>
        <w:tc>
          <w:tcPr>
            <w:tcW w:w="696" w:type="dxa"/>
            <w:gridSpan w:val="2"/>
            <w:tcBorders>
              <w:top w:val="nil"/>
              <w:left w:val="nil"/>
              <w:bottom w:val="nil"/>
              <w:right w:val="nil"/>
            </w:tcBorders>
            <w:shd w:val="clear" w:color="auto" w:fill="auto"/>
            <w:vAlign w:val="center"/>
          </w:tcPr>
          <w:p w14:paraId="5284809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12.8</w:t>
            </w:r>
          </w:p>
        </w:tc>
        <w:tc>
          <w:tcPr>
            <w:tcW w:w="905" w:type="dxa"/>
            <w:gridSpan w:val="2"/>
            <w:tcBorders>
              <w:top w:val="nil"/>
              <w:left w:val="nil"/>
              <w:bottom w:val="nil"/>
              <w:right w:val="nil"/>
            </w:tcBorders>
            <w:shd w:val="clear" w:color="auto" w:fill="auto"/>
            <w:vAlign w:val="center"/>
          </w:tcPr>
          <w:p w14:paraId="4045823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14.9</w:t>
            </w:r>
          </w:p>
        </w:tc>
        <w:tc>
          <w:tcPr>
            <w:tcW w:w="745" w:type="dxa"/>
            <w:gridSpan w:val="3"/>
            <w:tcBorders>
              <w:top w:val="nil"/>
              <w:left w:val="nil"/>
              <w:bottom w:val="nil"/>
              <w:right w:val="nil"/>
            </w:tcBorders>
            <w:shd w:val="clear" w:color="auto" w:fill="auto"/>
            <w:vAlign w:val="center"/>
          </w:tcPr>
          <w:p w14:paraId="45A1204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17.5</w:t>
            </w:r>
          </w:p>
        </w:tc>
        <w:tc>
          <w:tcPr>
            <w:tcW w:w="799" w:type="dxa"/>
            <w:gridSpan w:val="3"/>
            <w:tcBorders>
              <w:top w:val="nil"/>
              <w:left w:val="nil"/>
              <w:bottom w:val="nil"/>
              <w:right w:val="nil"/>
            </w:tcBorders>
            <w:shd w:val="clear" w:color="auto" w:fill="auto"/>
            <w:vAlign w:val="center"/>
          </w:tcPr>
          <w:p w14:paraId="5160AC7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219.8</w:t>
            </w:r>
          </w:p>
        </w:tc>
      </w:tr>
      <w:tr w:rsidR="00C03B92" w:rsidRPr="008A5C48" w14:paraId="10B8B0B6" w14:textId="77777777" w:rsidTr="0034607E">
        <w:trPr>
          <w:gridAfter w:val="2"/>
          <w:wAfter w:w="33" w:type="dxa"/>
          <w:trHeight w:val="194"/>
          <w:jc w:val="center"/>
        </w:trPr>
        <w:tc>
          <w:tcPr>
            <w:tcW w:w="1164" w:type="dxa"/>
            <w:tcBorders>
              <w:top w:val="nil"/>
              <w:left w:val="nil"/>
              <w:bottom w:val="nil"/>
              <w:right w:val="nil"/>
            </w:tcBorders>
            <w:shd w:val="clear" w:color="auto" w:fill="auto"/>
            <w:vAlign w:val="center"/>
          </w:tcPr>
          <w:p w14:paraId="7E4ACEAB"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Tl</w:t>
            </w:r>
          </w:p>
        </w:tc>
        <w:tc>
          <w:tcPr>
            <w:tcW w:w="634" w:type="dxa"/>
            <w:tcBorders>
              <w:top w:val="nil"/>
              <w:left w:val="nil"/>
              <w:bottom w:val="nil"/>
              <w:right w:val="nil"/>
            </w:tcBorders>
            <w:shd w:val="clear" w:color="auto" w:fill="auto"/>
            <w:vAlign w:val="center"/>
          </w:tcPr>
          <w:p w14:paraId="16E7823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w:t>
            </w:r>
          </w:p>
        </w:tc>
        <w:tc>
          <w:tcPr>
            <w:tcW w:w="1111" w:type="dxa"/>
            <w:tcBorders>
              <w:top w:val="nil"/>
              <w:left w:val="nil"/>
              <w:bottom w:val="nil"/>
              <w:right w:val="nil"/>
            </w:tcBorders>
            <w:shd w:val="clear" w:color="auto" w:fill="auto"/>
            <w:vAlign w:val="center"/>
          </w:tcPr>
          <w:p w14:paraId="4A7C2B6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189A3F6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1298 (99.8%)</w:t>
            </w:r>
          </w:p>
        </w:tc>
        <w:tc>
          <w:tcPr>
            <w:tcW w:w="1486" w:type="dxa"/>
            <w:gridSpan w:val="2"/>
            <w:tcBorders>
              <w:top w:val="nil"/>
              <w:left w:val="nil"/>
              <w:bottom w:val="nil"/>
              <w:right w:val="nil"/>
            </w:tcBorders>
            <w:shd w:val="clear" w:color="auto" w:fill="auto"/>
            <w:vAlign w:val="center"/>
          </w:tcPr>
          <w:p w14:paraId="707F073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7.20%</w:t>
            </w:r>
          </w:p>
        </w:tc>
        <w:tc>
          <w:tcPr>
            <w:tcW w:w="3923" w:type="dxa"/>
            <w:gridSpan w:val="11"/>
            <w:tcBorders>
              <w:top w:val="nil"/>
              <w:left w:val="nil"/>
              <w:bottom w:val="nil"/>
              <w:right w:val="nil"/>
            </w:tcBorders>
            <w:shd w:val="clear" w:color="auto" w:fill="auto"/>
            <w:vAlign w:val="center"/>
          </w:tcPr>
          <w:p w14:paraId="5445B189"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Detected, n = 93 (7.2%)</w:t>
            </w:r>
          </w:p>
        </w:tc>
      </w:tr>
      <w:tr w:rsidR="00C03B92" w:rsidRPr="008A5C48" w14:paraId="36AF8E0D" w14:textId="77777777" w:rsidTr="0034607E">
        <w:trPr>
          <w:gridAfter w:val="2"/>
          <w:wAfter w:w="33" w:type="dxa"/>
          <w:trHeight w:val="194"/>
          <w:jc w:val="center"/>
        </w:trPr>
        <w:tc>
          <w:tcPr>
            <w:tcW w:w="1164" w:type="dxa"/>
            <w:tcBorders>
              <w:top w:val="nil"/>
              <w:left w:val="nil"/>
              <w:bottom w:val="nil"/>
              <w:right w:val="nil"/>
            </w:tcBorders>
            <w:shd w:val="clear" w:color="auto" w:fill="auto"/>
            <w:vAlign w:val="center"/>
          </w:tcPr>
          <w:p w14:paraId="185FE4BA"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c>
          <w:tcPr>
            <w:tcW w:w="634" w:type="dxa"/>
            <w:tcBorders>
              <w:top w:val="nil"/>
              <w:left w:val="nil"/>
              <w:bottom w:val="nil"/>
              <w:right w:val="nil"/>
            </w:tcBorders>
            <w:shd w:val="clear" w:color="auto" w:fill="auto"/>
            <w:vAlign w:val="center"/>
          </w:tcPr>
          <w:p w14:paraId="31D6664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111" w:type="dxa"/>
            <w:tcBorders>
              <w:top w:val="nil"/>
              <w:left w:val="nil"/>
              <w:bottom w:val="nil"/>
              <w:right w:val="nil"/>
            </w:tcBorders>
            <w:shd w:val="clear" w:color="auto" w:fill="auto"/>
            <w:vAlign w:val="center"/>
          </w:tcPr>
          <w:p w14:paraId="091F4A5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360" w:type="dxa"/>
            <w:tcBorders>
              <w:top w:val="nil"/>
              <w:left w:val="nil"/>
              <w:bottom w:val="nil"/>
              <w:right w:val="nil"/>
            </w:tcBorders>
            <w:shd w:val="clear" w:color="auto" w:fill="auto"/>
            <w:vAlign w:val="center"/>
          </w:tcPr>
          <w:p w14:paraId="10732E6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486" w:type="dxa"/>
            <w:gridSpan w:val="2"/>
            <w:tcBorders>
              <w:top w:val="nil"/>
              <w:left w:val="nil"/>
              <w:bottom w:val="nil"/>
              <w:right w:val="nil"/>
            </w:tcBorders>
            <w:shd w:val="clear" w:color="auto" w:fill="auto"/>
            <w:vAlign w:val="center"/>
          </w:tcPr>
          <w:p w14:paraId="2DC77CC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3923" w:type="dxa"/>
            <w:gridSpan w:val="11"/>
            <w:tcBorders>
              <w:top w:val="nil"/>
              <w:left w:val="nil"/>
              <w:bottom w:val="nil"/>
              <w:right w:val="nil"/>
            </w:tcBorders>
            <w:shd w:val="clear" w:color="auto" w:fill="auto"/>
            <w:vAlign w:val="center"/>
          </w:tcPr>
          <w:p w14:paraId="590BD9CE"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r>
      <w:tr w:rsidR="00C03B92" w:rsidRPr="008A5C48" w14:paraId="54C1BE38" w14:textId="77777777" w:rsidTr="0034607E">
        <w:trPr>
          <w:trHeight w:val="194"/>
          <w:jc w:val="center"/>
        </w:trPr>
        <w:tc>
          <w:tcPr>
            <w:tcW w:w="4282" w:type="dxa"/>
            <w:gridSpan w:val="5"/>
            <w:tcBorders>
              <w:top w:val="nil"/>
              <w:left w:val="nil"/>
              <w:bottom w:val="nil"/>
              <w:right w:val="nil"/>
            </w:tcBorders>
            <w:shd w:val="clear" w:color="auto" w:fill="auto"/>
            <w:vAlign w:val="center"/>
          </w:tcPr>
          <w:p w14:paraId="07E956E0"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b/>
                <w:color w:val="000000"/>
                <w:sz w:val="20"/>
                <w:szCs w:val="20"/>
              </w:rPr>
              <w:t>Organophosphate pesticides (OP)</w:t>
            </w:r>
          </w:p>
        </w:tc>
        <w:tc>
          <w:tcPr>
            <w:tcW w:w="1486" w:type="dxa"/>
            <w:gridSpan w:val="2"/>
            <w:tcBorders>
              <w:top w:val="nil"/>
              <w:left w:val="nil"/>
              <w:bottom w:val="nil"/>
              <w:right w:val="nil"/>
            </w:tcBorders>
            <w:shd w:val="clear" w:color="auto" w:fill="auto"/>
            <w:vAlign w:val="center"/>
          </w:tcPr>
          <w:p w14:paraId="1DB6942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6" w:type="dxa"/>
            <w:gridSpan w:val="2"/>
            <w:tcBorders>
              <w:top w:val="nil"/>
              <w:left w:val="nil"/>
              <w:bottom w:val="nil"/>
              <w:right w:val="nil"/>
            </w:tcBorders>
            <w:shd w:val="clear" w:color="auto" w:fill="auto"/>
            <w:vAlign w:val="center"/>
          </w:tcPr>
          <w:p w14:paraId="005EB8F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698" w:type="dxa"/>
            <w:gridSpan w:val="2"/>
            <w:tcBorders>
              <w:top w:val="nil"/>
              <w:left w:val="nil"/>
              <w:bottom w:val="nil"/>
              <w:right w:val="nil"/>
            </w:tcBorders>
            <w:shd w:val="clear" w:color="auto" w:fill="auto"/>
            <w:vAlign w:val="center"/>
          </w:tcPr>
          <w:p w14:paraId="4CEBC8C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905" w:type="dxa"/>
            <w:gridSpan w:val="2"/>
            <w:tcBorders>
              <w:top w:val="nil"/>
              <w:left w:val="nil"/>
              <w:bottom w:val="nil"/>
              <w:right w:val="nil"/>
            </w:tcBorders>
            <w:shd w:val="clear" w:color="auto" w:fill="auto"/>
            <w:vAlign w:val="center"/>
          </w:tcPr>
          <w:p w14:paraId="0C8278B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45" w:type="dxa"/>
            <w:gridSpan w:val="3"/>
            <w:tcBorders>
              <w:top w:val="nil"/>
              <w:left w:val="nil"/>
              <w:bottom w:val="nil"/>
              <w:right w:val="nil"/>
            </w:tcBorders>
            <w:shd w:val="clear" w:color="auto" w:fill="auto"/>
            <w:vAlign w:val="center"/>
          </w:tcPr>
          <w:p w14:paraId="045D3D4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799" w:type="dxa"/>
            <w:gridSpan w:val="3"/>
            <w:tcBorders>
              <w:top w:val="nil"/>
              <w:left w:val="nil"/>
              <w:bottom w:val="nil"/>
              <w:right w:val="nil"/>
            </w:tcBorders>
            <w:shd w:val="clear" w:color="auto" w:fill="auto"/>
            <w:vAlign w:val="center"/>
          </w:tcPr>
          <w:p w14:paraId="0805776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r>
      <w:tr w:rsidR="00C03B92" w:rsidRPr="008A5C48" w14:paraId="47521288"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27AB5F75"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DEP</w:t>
            </w:r>
          </w:p>
        </w:tc>
        <w:tc>
          <w:tcPr>
            <w:tcW w:w="634" w:type="dxa"/>
            <w:tcBorders>
              <w:top w:val="nil"/>
              <w:left w:val="nil"/>
              <w:bottom w:val="nil"/>
              <w:right w:val="nil"/>
            </w:tcBorders>
            <w:shd w:val="clear" w:color="auto" w:fill="auto"/>
            <w:vAlign w:val="center"/>
          </w:tcPr>
          <w:p w14:paraId="7479E1A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02D358F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0109526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1082 (83.2%)</w:t>
            </w:r>
          </w:p>
        </w:tc>
        <w:tc>
          <w:tcPr>
            <w:tcW w:w="1486" w:type="dxa"/>
            <w:gridSpan w:val="2"/>
            <w:tcBorders>
              <w:top w:val="nil"/>
              <w:left w:val="nil"/>
              <w:bottom w:val="nil"/>
              <w:right w:val="nil"/>
            </w:tcBorders>
            <w:shd w:val="clear" w:color="auto" w:fill="auto"/>
            <w:vAlign w:val="center"/>
          </w:tcPr>
          <w:p w14:paraId="5DAAFC4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97.80%</w:t>
            </w:r>
          </w:p>
        </w:tc>
        <w:tc>
          <w:tcPr>
            <w:tcW w:w="796" w:type="dxa"/>
            <w:gridSpan w:val="2"/>
            <w:tcBorders>
              <w:top w:val="nil"/>
              <w:left w:val="nil"/>
              <w:bottom w:val="nil"/>
              <w:right w:val="nil"/>
            </w:tcBorders>
            <w:shd w:val="clear" w:color="auto" w:fill="auto"/>
            <w:vAlign w:val="center"/>
          </w:tcPr>
          <w:p w14:paraId="039C3B5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w:t>
            </w:r>
          </w:p>
        </w:tc>
        <w:tc>
          <w:tcPr>
            <w:tcW w:w="696" w:type="dxa"/>
            <w:gridSpan w:val="2"/>
            <w:tcBorders>
              <w:top w:val="nil"/>
              <w:left w:val="nil"/>
              <w:bottom w:val="nil"/>
              <w:right w:val="nil"/>
            </w:tcBorders>
            <w:shd w:val="clear" w:color="auto" w:fill="auto"/>
            <w:vAlign w:val="center"/>
          </w:tcPr>
          <w:p w14:paraId="1B9DA81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3.7</w:t>
            </w:r>
          </w:p>
        </w:tc>
        <w:tc>
          <w:tcPr>
            <w:tcW w:w="905" w:type="dxa"/>
            <w:gridSpan w:val="2"/>
            <w:tcBorders>
              <w:top w:val="nil"/>
              <w:left w:val="nil"/>
              <w:bottom w:val="nil"/>
              <w:right w:val="nil"/>
            </w:tcBorders>
            <w:shd w:val="clear" w:color="auto" w:fill="auto"/>
            <w:vAlign w:val="center"/>
          </w:tcPr>
          <w:p w14:paraId="0A463D4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5.2</w:t>
            </w:r>
          </w:p>
        </w:tc>
        <w:tc>
          <w:tcPr>
            <w:tcW w:w="745" w:type="dxa"/>
            <w:gridSpan w:val="3"/>
            <w:tcBorders>
              <w:top w:val="nil"/>
              <w:left w:val="nil"/>
              <w:bottom w:val="nil"/>
              <w:right w:val="nil"/>
            </w:tcBorders>
            <w:shd w:val="clear" w:color="auto" w:fill="auto"/>
            <w:vAlign w:val="center"/>
          </w:tcPr>
          <w:p w14:paraId="43A93B6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w:t>
            </w:r>
          </w:p>
        </w:tc>
        <w:tc>
          <w:tcPr>
            <w:tcW w:w="799" w:type="dxa"/>
            <w:gridSpan w:val="3"/>
            <w:tcBorders>
              <w:top w:val="nil"/>
              <w:left w:val="nil"/>
              <w:bottom w:val="nil"/>
              <w:right w:val="nil"/>
            </w:tcBorders>
            <w:shd w:val="clear" w:color="auto" w:fill="auto"/>
            <w:vAlign w:val="center"/>
          </w:tcPr>
          <w:p w14:paraId="4E58FF9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199.5</w:t>
            </w:r>
          </w:p>
        </w:tc>
      </w:tr>
      <w:tr w:rsidR="00C03B92" w:rsidRPr="008A5C48" w14:paraId="4CCCF002"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29DBA9B"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DETP</w:t>
            </w:r>
          </w:p>
        </w:tc>
        <w:tc>
          <w:tcPr>
            <w:tcW w:w="634" w:type="dxa"/>
            <w:tcBorders>
              <w:top w:val="nil"/>
              <w:left w:val="nil"/>
              <w:bottom w:val="nil"/>
              <w:right w:val="nil"/>
            </w:tcBorders>
            <w:shd w:val="clear" w:color="auto" w:fill="auto"/>
            <w:vAlign w:val="center"/>
          </w:tcPr>
          <w:p w14:paraId="680CA5E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484631D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47F3D10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1037 (79.7%)</w:t>
            </w:r>
          </w:p>
        </w:tc>
        <w:tc>
          <w:tcPr>
            <w:tcW w:w="1486" w:type="dxa"/>
            <w:gridSpan w:val="2"/>
            <w:tcBorders>
              <w:top w:val="nil"/>
              <w:left w:val="nil"/>
              <w:bottom w:val="nil"/>
              <w:right w:val="nil"/>
            </w:tcBorders>
            <w:shd w:val="clear" w:color="auto" w:fill="auto"/>
            <w:vAlign w:val="center"/>
          </w:tcPr>
          <w:p w14:paraId="6FA739B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50.00%</w:t>
            </w:r>
          </w:p>
        </w:tc>
        <w:tc>
          <w:tcPr>
            <w:tcW w:w="796" w:type="dxa"/>
            <w:gridSpan w:val="2"/>
            <w:tcBorders>
              <w:top w:val="nil"/>
              <w:left w:val="nil"/>
              <w:bottom w:val="nil"/>
              <w:right w:val="nil"/>
            </w:tcBorders>
            <w:shd w:val="clear" w:color="auto" w:fill="auto"/>
            <w:vAlign w:val="center"/>
          </w:tcPr>
          <w:p w14:paraId="7D5EB79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w:t>
            </w:r>
          </w:p>
        </w:tc>
        <w:tc>
          <w:tcPr>
            <w:tcW w:w="696" w:type="dxa"/>
            <w:gridSpan w:val="2"/>
            <w:tcBorders>
              <w:top w:val="nil"/>
              <w:left w:val="nil"/>
              <w:bottom w:val="nil"/>
              <w:right w:val="nil"/>
            </w:tcBorders>
            <w:shd w:val="clear" w:color="auto" w:fill="auto"/>
            <w:vAlign w:val="center"/>
          </w:tcPr>
          <w:p w14:paraId="35B6E57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905" w:type="dxa"/>
            <w:gridSpan w:val="2"/>
            <w:tcBorders>
              <w:top w:val="nil"/>
              <w:left w:val="nil"/>
              <w:bottom w:val="nil"/>
              <w:right w:val="nil"/>
            </w:tcBorders>
            <w:shd w:val="clear" w:color="auto" w:fill="auto"/>
            <w:vAlign w:val="center"/>
          </w:tcPr>
          <w:p w14:paraId="448DE19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0.7</w:t>
            </w:r>
          </w:p>
        </w:tc>
        <w:tc>
          <w:tcPr>
            <w:tcW w:w="745" w:type="dxa"/>
            <w:gridSpan w:val="3"/>
            <w:tcBorders>
              <w:top w:val="nil"/>
              <w:left w:val="nil"/>
              <w:bottom w:val="nil"/>
              <w:right w:val="nil"/>
            </w:tcBorders>
            <w:shd w:val="clear" w:color="auto" w:fill="auto"/>
            <w:vAlign w:val="center"/>
          </w:tcPr>
          <w:p w14:paraId="121361A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2.6</w:t>
            </w:r>
          </w:p>
        </w:tc>
        <w:tc>
          <w:tcPr>
            <w:tcW w:w="799" w:type="dxa"/>
            <w:gridSpan w:val="3"/>
            <w:tcBorders>
              <w:top w:val="nil"/>
              <w:left w:val="nil"/>
              <w:bottom w:val="nil"/>
              <w:right w:val="nil"/>
            </w:tcBorders>
            <w:shd w:val="clear" w:color="auto" w:fill="auto"/>
            <w:vAlign w:val="center"/>
          </w:tcPr>
          <w:p w14:paraId="0C950AD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45.3</w:t>
            </w:r>
          </w:p>
        </w:tc>
      </w:tr>
      <w:tr w:rsidR="00C03B92" w:rsidRPr="008A5C48" w14:paraId="6E17C933"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6D204EC5"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DMP</w:t>
            </w:r>
          </w:p>
        </w:tc>
        <w:tc>
          <w:tcPr>
            <w:tcW w:w="634" w:type="dxa"/>
            <w:tcBorders>
              <w:top w:val="nil"/>
              <w:left w:val="nil"/>
              <w:bottom w:val="nil"/>
              <w:right w:val="nil"/>
            </w:tcBorders>
            <w:shd w:val="clear" w:color="auto" w:fill="auto"/>
            <w:vAlign w:val="center"/>
          </w:tcPr>
          <w:p w14:paraId="0B7AD7C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02B58D3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09F85F1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1080 (83%)</w:t>
            </w:r>
          </w:p>
        </w:tc>
        <w:tc>
          <w:tcPr>
            <w:tcW w:w="1486" w:type="dxa"/>
            <w:gridSpan w:val="2"/>
            <w:tcBorders>
              <w:top w:val="nil"/>
              <w:left w:val="nil"/>
              <w:bottom w:val="nil"/>
              <w:right w:val="nil"/>
            </w:tcBorders>
            <w:shd w:val="clear" w:color="auto" w:fill="auto"/>
            <w:vAlign w:val="center"/>
          </w:tcPr>
          <w:p w14:paraId="1864A77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90.80%</w:t>
            </w:r>
          </w:p>
        </w:tc>
        <w:tc>
          <w:tcPr>
            <w:tcW w:w="796" w:type="dxa"/>
            <w:gridSpan w:val="2"/>
            <w:tcBorders>
              <w:top w:val="nil"/>
              <w:left w:val="nil"/>
              <w:bottom w:val="nil"/>
              <w:right w:val="nil"/>
            </w:tcBorders>
            <w:shd w:val="clear" w:color="auto" w:fill="auto"/>
            <w:vAlign w:val="center"/>
          </w:tcPr>
          <w:p w14:paraId="687A1E5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4.2</w:t>
            </w:r>
          </w:p>
        </w:tc>
        <w:tc>
          <w:tcPr>
            <w:tcW w:w="696" w:type="dxa"/>
            <w:gridSpan w:val="2"/>
            <w:tcBorders>
              <w:top w:val="nil"/>
              <w:left w:val="nil"/>
              <w:bottom w:val="nil"/>
              <w:right w:val="nil"/>
            </w:tcBorders>
            <w:shd w:val="clear" w:color="auto" w:fill="auto"/>
            <w:vAlign w:val="center"/>
          </w:tcPr>
          <w:p w14:paraId="2FEC076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w:t>
            </w:r>
          </w:p>
        </w:tc>
        <w:tc>
          <w:tcPr>
            <w:tcW w:w="905" w:type="dxa"/>
            <w:gridSpan w:val="2"/>
            <w:tcBorders>
              <w:top w:val="nil"/>
              <w:left w:val="nil"/>
              <w:bottom w:val="nil"/>
              <w:right w:val="nil"/>
            </w:tcBorders>
            <w:shd w:val="clear" w:color="auto" w:fill="auto"/>
            <w:vAlign w:val="center"/>
          </w:tcPr>
          <w:p w14:paraId="0CE4D75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12.5</w:t>
            </w:r>
          </w:p>
        </w:tc>
        <w:tc>
          <w:tcPr>
            <w:tcW w:w="745" w:type="dxa"/>
            <w:gridSpan w:val="3"/>
            <w:tcBorders>
              <w:top w:val="nil"/>
              <w:left w:val="nil"/>
              <w:bottom w:val="nil"/>
              <w:right w:val="nil"/>
            </w:tcBorders>
            <w:shd w:val="clear" w:color="auto" w:fill="auto"/>
            <w:vAlign w:val="center"/>
          </w:tcPr>
          <w:p w14:paraId="4225945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20.5</w:t>
            </w:r>
          </w:p>
        </w:tc>
        <w:tc>
          <w:tcPr>
            <w:tcW w:w="799" w:type="dxa"/>
            <w:gridSpan w:val="3"/>
            <w:tcBorders>
              <w:top w:val="nil"/>
              <w:left w:val="nil"/>
              <w:bottom w:val="nil"/>
              <w:right w:val="nil"/>
            </w:tcBorders>
            <w:shd w:val="clear" w:color="auto" w:fill="auto"/>
            <w:vAlign w:val="center"/>
          </w:tcPr>
          <w:p w14:paraId="36B8E43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326.3</w:t>
            </w:r>
          </w:p>
        </w:tc>
      </w:tr>
      <w:tr w:rsidR="00C03B92" w:rsidRPr="008A5C48" w14:paraId="515B8854"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218EA4B6"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DMTP</w:t>
            </w:r>
          </w:p>
        </w:tc>
        <w:tc>
          <w:tcPr>
            <w:tcW w:w="634" w:type="dxa"/>
            <w:tcBorders>
              <w:top w:val="nil"/>
              <w:left w:val="nil"/>
              <w:bottom w:val="nil"/>
              <w:right w:val="nil"/>
            </w:tcBorders>
            <w:shd w:val="clear" w:color="auto" w:fill="auto"/>
            <w:vAlign w:val="center"/>
          </w:tcPr>
          <w:p w14:paraId="7851A54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6F3E290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3EB8A6D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1084 (83.3%)</w:t>
            </w:r>
          </w:p>
        </w:tc>
        <w:tc>
          <w:tcPr>
            <w:tcW w:w="1486" w:type="dxa"/>
            <w:gridSpan w:val="2"/>
            <w:tcBorders>
              <w:top w:val="nil"/>
              <w:left w:val="nil"/>
              <w:bottom w:val="nil"/>
              <w:right w:val="nil"/>
            </w:tcBorders>
            <w:shd w:val="clear" w:color="auto" w:fill="auto"/>
            <w:vAlign w:val="center"/>
          </w:tcPr>
          <w:p w14:paraId="4CE47F7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88.90%</w:t>
            </w:r>
          </w:p>
        </w:tc>
        <w:tc>
          <w:tcPr>
            <w:tcW w:w="796" w:type="dxa"/>
            <w:gridSpan w:val="2"/>
            <w:tcBorders>
              <w:top w:val="nil"/>
              <w:left w:val="nil"/>
              <w:bottom w:val="nil"/>
              <w:right w:val="nil"/>
            </w:tcBorders>
            <w:shd w:val="clear" w:color="auto" w:fill="auto"/>
            <w:vAlign w:val="center"/>
          </w:tcPr>
          <w:p w14:paraId="74FA9C0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2.1</w:t>
            </w:r>
          </w:p>
        </w:tc>
        <w:tc>
          <w:tcPr>
            <w:tcW w:w="696" w:type="dxa"/>
            <w:gridSpan w:val="2"/>
            <w:tcBorders>
              <w:top w:val="nil"/>
              <w:left w:val="nil"/>
              <w:bottom w:val="nil"/>
              <w:right w:val="nil"/>
            </w:tcBorders>
            <w:shd w:val="clear" w:color="auto" w:fill="auto"/>
            <w:vAlign w:val="center"/>
          </w:tcPr>
          <w:p w14:paraId="4D414B7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4.1</w:t>
            </w:r>
          </w:p>
        </w:tc>
        <w:tc>
          <w:tcPr>
            <w:tcW w:w="905" w:type="dxa"/>
            <w:gridSpan w:val="2"/>
            <w:tcBorders>
              <w:top w:val="nil"/>
              <w:left w:val="nil"/>
              <w:bottom w:val="nil"/>
              <w:right w:val="nil"/>
            </w:tcBorders>
            <w:shd w:val="clear" w:color="auto" w:fill="auto"/>
            <w:vAlign w:val="center"/>
          </w:tcPr>
          <w:p w14:paraId="5CF88BE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w:t>
            </w:r>
          </w:p>
        </w:tc>
        <w:tc>
          <w:tcPr>
            <w:tcW w:w="745" w:type="dxa"/>
            <w:gridSpan w:val="3"/>
            <w:tcBorders>
              <w:top w:val="nil"/>
              <w:left w:val="nil"/>
              <w:bottom w:val="nil"/>
              <w:right w:val="nil"/>
            </w:tcBorders>
            <w:shd w:val="clear" w:color="auto" w:fill="auto"/>
            <w:vAlign w:val="center"/>
          </w:tcPr>
          <w:p w14:paraId="461C63A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14.4</w:t>
            </w:r>
          </w:p>
        </w:tc>
        <w:tc>
          <w:tcPr>
            <w:tcW w:w="799" w:type="dxa"/>
            <w:gridSpan w:val="3"/>
            <w:tcBorders>
              <w:top w:val="nil"/>
              <w:left w:val="nil"/>
              <w:bottom w:val="nil"/>
              <w:right w:val="nil"/>
            </w:tcBorders>
            <w:shd w:val="clear" w:color="auto" w:fill="auto"/>
            <w:vAlign w:val="center"/>
          </w:tcPr>
          <w:p w14:paraId="4A26E63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221.3</w:t>
            </w:r>
          </w:p>
        </w:tc>
      </w:tr>
      <w:tr w:rsidR="00C03B92" w:rsidRPr="008A5C48" w14:paraId="65F13ECD"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3F89D402"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DMDTP</w:t>
            </w:r>
          </w:p>
        </w:tc>
        <w:tc>
          <w:tcPr>
            <w:tcW w:w="634" w:type="dxa"/>
            <w:tcBorders>
              <w:top w:val="nil"/>
              <w:left w:val="nil"/>
              <w:bottom w:val="nil"/>
              <w:right w:val="nil"/>
            </w:tcBorders>
            <w:shd w:val="clear" w:color="auto" w:fill="auto"/>
            <w:vAlign w:val="center"/>
          </w:tcPr>
          <w:p w14:paraId="2597343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34BB9DA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1C9C619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969 (74.5%)</w:t>
            </w:r>
          </w:p>
        </w:tc>
        <w:tc>
          <w:tcPr>
            <w:tcW w:w="1486" w:type="dxa"/>
            <w:gridSpan w:val="2"/>
            <w:tcBorders>
              <w:top w:val="nil"/>
              <w:left w:val="nil"/>
              <w:bottom w:val="nil"/>
              <w:right w:val="nil"/>
            </w:tcBorders>
            <w:shd w:val="clear" w:color="auto" w:fill="auto"/>
            <w:vAlign w:val="center"/>
          </w:tcPr>
          <w:p w14:paraId="3659C29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41.60%</w:t>
            </w:r>
          </w:p>
        </w:tc>
        <w:tc>
          <w:tcPr>
            <w:tcW w:w="796" w:type="dxa"/>
            <w:gridSpan w:val="2"/>
            <w:tcBorders>
              <w:top w:val="nil"/>
              <w:left w:val="nil"/>
              <w:bottom w:val="nil"/>
              <w:right w:val="nil"/>
            </w:tcBorders>
            <w:shd w:val="clear" w:color="auto" w:fill="auto"/>
            <w:vAlign w:val="center"/>
          </w:tcPr>
          <w:p w14:paraId="2C8AECA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0.2</w:t>
            </w:r>
          </w:p>
        </w:tc>
        <w:tc>
          <w:tcPr>
            <w:tcW w:w="696" w:type="dxa"/>
            <w:gridSpan w:val="2"/>
            <w:tcBorders>
              <w:top w:val="nil"/>
              <w:left w:val="nil"/>
              <w:bottom w:val="nil"/>
              <w:right w:val="nil"/>
            </w:tcBorders>
            <w:shd w:val="clear" w:color="auto" w:fill="auto"/>
            <w:vAlign w:val="center"/>
          </w:tcPr>
          <w:p w14:paraId="68A6902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905" w:type="dxa"/>
            <w:gridSpan w:val="2"/>
            <w:tcBorders>
              <w:top w:val="nil"/>
              <w:left w:val="nil"/>
              <w:bottom w:val="nil"/>
              <w:right w:val="nil"/>
            </w:tcBorders>
            <w:shd w:val="clear" w:color="auto" w:fill="auto"/>
            <w:vAlign w:val="center"/>
          </w:tcPr>
          <w:p w14:paraId="58F5D45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745" w:type="dxa"/>
            <w:gridSpan w:val="3"/>
            <w:tcBorders>
              <w:top w:val="nil"/>
              <w:left w:val="nil"/>
              <w:bottom w:val="nil"/>
              <w:right w:val="nil"/>
            </w:tcBorders>
            <w:shd w:val="clear" w:color="auto" w:fill="auto"/>
            <w:vAlign w:val="center"/>
          </w:tcPr>
          <w:p w14:paraId="69DF8D6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w:t>
            </w:r>
          </w:p>
        </w:tc>
        <w:tc>
          <w:tcPr>
            <w:tcW w:w="799" w:type="dxa"/>
            <w:gridSpan w:val="3"/>
            <w:tcBorders>
              <w:top w:val="nil"/>
              <w:left w:val="nil"/>
              <w:bottom w:val="nil"/>
              <w:right w:val="nil"/>
            </w:tcBorders>
            <w:shd w:val="clear" w:color="auto" w:fill="auto"/>
            <w:vAlign w:val="center"/>
          </w:tcPr>
          <w:p w14:paraId="403FAD8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588.1</w:t>
            </w:r>
          </w:p>
        </w:tc>
      </w:tr>
      <w:tr w:rsidR="00C03B92" w:rsidRPr="008A5C48" w14:paraId="6057AF55"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73033D19"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DEP</w:t>
            </w:r>
          </w:p>
        </w:tc>
        <w:tc>
          <w:tcPr>
            <w:tcW w:w="634" w:type="dxa"/>
            <w:tcBorders>
              <w:top w:val="nil"/>
              <w:left w:val="nil"/>
              <w:bottom w:val="nil"/>
              <w:right w:val="nil"/>
            </w:tcBorders>
            <w:shd w:val="clear" w:color="auto" w:fill="auto"/>
            <w:vAlign w:val="center"/>
          </w:tcPr>
          <w:p w14:paraId="5E4BE73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20F2CC1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1D8BE89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1299 (99.8%)</w:t>
            </w:r>
          </w:p>
        </w:tc>
        <w:tc>
          <w:tcPr>
            <w:tcW w:w="1486" w:type="dxa"/>
            <w:gridSpan w:val="2"/>
            <w:tcBorders>
              <w:top w:val="nil"/>
              <w:left w:val="nil"/>
              <w:bottom w:val="nil"/>
              <w:right w:val="nil"/>
            </w:tcBorders>
            <w:shd w:val="clear" w:color="auto" w:fill="auto"/>
            <w:vAlign w:val="center"/>
          </w:tcPr>
          <w:p w14:paraId="1B66D41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80.90%</w:t>
            </w:r>
          </w:p>
        </w:tc>
        <w:tc>
          <w:tcPr>
            <w:tcW w:w="796" w:type="dxa"/>
            <w:gridSpan w:val="2"/>
            <w:tcBorders>
              <w:top w:val="nil"/>
              <w:left w:val="nil"/>
              <w:bottom w:val="nil"/>
              <w:right w:val="nil"/>
            </w:tcBorders>
            <w:shd w:val="clear" w:color="auto" w:fill="auto"/>
            <w:vAlign w:val="center"/>
          </w:tcPr>
          <w:p w14:paraId="52E2DA5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0.5</w:t>
            </w:r>
          </w:p>
        </w:tc>
        <w:tc>
          <w:tcPr>
            <w:tcW w:w="696" w:type="dxa"/>
            <w:gridSpan w:val="2"/>
            <w:tcBorders>
              <w:top w:val="nil"/>
              <w:left w:val="nil"/>
              <w:bottom w:val="nil"/>
              <w:right w:val="nil"/>
            </w:tcBorders>
            <w:shd w:val="clear" w:color="auto" w:fill="auto"/>
            <w:vAlign w:val="center"/>
          </w:tcPr>
          <w:p w14:paraId="63DECB4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w:t>
            </w:r>
          </w:p>
        </w:tc>
        <w:tc>
          <w:tcPr>
            <w:tcW w:w="905" w:type="dxa"/>
            <w:gridSpan w:val="2"/>
            <w:tcBorders>
              <w:top w:val="nil"/>
              <w:left w:val="nil"/>
              <w:bottom w:val="nil"/>
              <w:right w:val="nil"/>
            </w:tcBorders>
            <w:shd w:val="clear" w:color="auto" w:fill="auto"/>
            <w:vAlign w:val="center"/>
          </w:tcPr>
          <w:p w14:paraId="7528C81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2.3</w:t>
            </w:r>
          </w:p>
        </w:tc>
        <w:tc>
          <w:tcPr>
            <w:tcW w:w="745" w:type="dxa"/>
            <w:gridSpan w:val="3"/>
            <w:tcBorders>
              <w:top w:val="nil"/>
              <w:left w:val="nil"/>
              <w:bottom w:val="nil"/>
              <w:right w:val="nil"/>
            </w:tcBorders>
            <w:shd w:val="clear" w:color="auto" w:fill="auto"/>
            <w:vAlign w:val="center"/>
          </w:tcPr>
          <w:p w14:paraId="38920DA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w:t>
            </w:r>
          </w:p>
        </w:tc>
        <w:tc>
          <w:tcPr>
            <w:tcW w:w="799" w:type="dxa"/>
            <w:gridSpan w:val="3"/>
            <w:tcBorders>
              <w:top w:val="nil"/>
              <w:left w:val="nil"/>
              <w:bottom w:val="nil"/>
              <w:right w:val="nil"/>
            </w:tcBorders>
            <w:shd w:val="clear" w:color="auto" w:fill="auto"/>
            <w:vAlign w:val="center"/>
          </w:tcPr>
          <w:p w14:paraId="56218E2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666.3</w:t>
            </w:r>
          </w:p>
        </w:tc>
      </w:tr>
      <w:tr w:rsidR="00C03B92" w:rsidRPr="008A5C48" w14:paraId="74EF536C"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EEE340F"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DETP</w:t>
            </w:r>
          </w:p>
        </w:tc>
        <w:tc>
          <w:tcPr>
            <w:tcW w:w="634" w:type="dxa"/>
            <w:tcBorders>
              <w:top w:val="nil"/>
              <w:left w:val="nil"/>
              <w:bottom w:val="nil"/>
              <w:right w:val="nil"/>
            </w:tcBorders>
            <w:shd w:val="clear" w:color="auto" w:fill="auto"/>
            <w:vAlign w:val="center"/>
          </w:tcPr>
          <w:p w14:paraId="334FF7A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1DDD3B4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4B37082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1280 (98.4%)</w:t>
            </w:r>
          </w:p>
        </w:tc>
        <w:tc>
          <w:tcPr>
            <w:tcW w:w="1486" w:type="dxa"/>
            <w:gridSpan w:val="2"/>
            <w:tcBorders>
              <w:top w:val="nil"/>
              <w:left w:val="nil"/>
              <w:bottom w:val="nil"/>
              <w:right w:val="nil"/>
            </w:tcBorders>
            <w:shd w:val="clear" w:color="auto" w:fill="auto"/>
            <w:vAlign w:val="center"/>
          </w:tcPr>
          <w:p w14:paraId="19417ED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43.30%</w:t>
            </w:r>
          </w:p>
        </w:tc>
        <w:tc>
          <w:tcPr>
            <w:tcW w:w="796" w:type="dxa"/>
            <w:gridSpan w:val="2"/>
            <w:tcBorders>
              <w:top w:val="nil"/>
              <w:left w:val="nil"/>
              <w:bottom w:val="nil"/>
              <w:right w:val="nil"/>
            </w:tcBorders>
            <w:shd w:val="clear" w:color="auto" w:fill="auto"/>
            <w:vAlign w:val="center"/>
          </w:tcPr>
          <w:p w14:paraId="00ABC57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w:t>
            </w:r>
          </w:p>
        </w:tc>
        <w:tc>
          <w:tcPr>
            <w:tcW w:w="696" w:type="dxa"/>
            <w:gridSpan w:val="2"/>
            <w:tcBorders>
              <w:top w:val="nil"/>
              <w:left w:val="nil"/>
              <w:bottom w:val="nil"/>
              <w:right w:val="nil"/>
            </w:tcBorders>
            <w:shd w:val="clear" w:color="auto" w:fill="auto"/>
            <w:vAlign w:val="center"/>
          </w:tcPr>
          <w:p w14:paraId="58C2308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0.2</w:t>
            </w:r>
          </w:p>
        </w:tc>
        <w:tc>
          <w:tcPr>
            <w:tcW w:w="905" w:type="dxa"/>
            <w:gridSpan w:val="2"/>
            <w:tcBorders>
              <w:top w:val="nil"/>
              <w:left w:val="nil"/>
              <w:bottom w:val="nil"/>
              <w:right w:val="nil"/>
            </w:tcBorders>
            <w:shd w:val="clear" w:color="auto" w:fill="auto"/>
            <w:vAlign w:val="center"/>
          </w:tcPr>
          <w:p w14:paraId="2CCC98E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0.3</w:t>
            </w:r>
          </w:p>
        </w:tc>
        <w:tc>
          <w:tcPr>
            <w:tcW w:w="745" w:type="dxa"/>
            <w:gridSpan w:val="3"/>
            <w:tcBorders>
              <w:top w:val="nil"/>
              <w:left w:val="nil"/>
              <w:bottom w:val="nil"/>
              <w:right w:val="nil"/>
            </w:tcBorders>
            <w:shd w:val="clear" w:color="auto" w:fill="auto"/>
            <w:vAlign w:val="center"/>
          </w:tcPr>
          <w:p w14:paraId="40122CB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w:t>
            </w:r>
          </w:p>
        </w:tc>
        <w:tc>
          <w:tcPr>
            <w:tcW w:w="799" w:type="dxa"/>
            <w:gridSpan w:val="3"/>
            <w:tcBorders>
              <w:top w:val="nil"/>
              <w:left w:val="nil"/>
              <w:bottom w:val="nil"/>
              <w:right w:val="nil"/>
            </w:tcBorders>
            <w:shd w:val="clear" w:color="auto" w:fill="auto"/>
            <w:vAlign w:val="center"/>
          </w:tcPr>
          <w:p w14:paraId="1449F95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78.8</w:t>
            </w:r>
          </w:p>
        </w:tc>
      </w:tr>
      <w:tr w:rsidR="00C03B92" w:rsidRPr="008A5C48" w14:paraId="70537633"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1C6047C1"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DMP</w:t>
            </w:r>
          </w:p>
        </w:tc>
        <w:tc>
          <w:tcPr>
            <w:tcW w:w="634" w:type="dxa"/>
            <w:tcBorders>
              <w:top w:val="nil"/>
              <w:left w:val="nil"/>
              <w:bottom w:val="nil"/>
              <w:right w:val="nil"/>
            </w:tcBorders>
            <w:shd w:val="clear" w:color="auto" w:fill="auto"/>
            <w:vAlign w:val="center"/>
          </w:tcPr>
          <w:p w14:paraId="34AD71C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7CF2E81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0DBF6DF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1295 (99.5%)</w:t>
            </w:r>
          </w:p>
        </w:tc>
        <w:tc>
          <w:tcPr>
            <w:tcW w:w="1486" w:type="dxa"/>
            <w:gridSpan w:val="2"/>
            <w:tcBorders>
              <w:top w:val="nil"/>
              <w:left w:val="nil"/>
              <w:bottom w:val="nil"/>
              <w:right w:val="nil"/>
            </w:tcBorders>
            <w:shd w:val="clear" w:color="auto" w:fill="auto"/>
            <w:vAlign w:val="center"/>
          </w:tcPr>
          <w:p w14:paraId="03E95C1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49.30%</w:t>
            </w:r>
          </w:p>
        </w:tc>
        <w:tc>
          <w:tcPr>
            <w:tcW w:w="796" w:type="dxa"/>
            <w:gridSpan w:val="2"/>
            <w:tcBorders>
              <w:top w:val="nil"/>
              <w:left w:val="nil"/>
              <w:bottom w:val="nil"/>
              <w:right w:val="nil"/>
            </w:tcBorders>
            <w:shd w:val="clear" w:color="auto" w:fill="auto"/>
            <w:vAlign w:val="center"/>
          </w:tcPr>
          <w:p w14:paraId="2A7EB84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0.4</w:t>
            </w:r>
          </w:p>
        </w:tc>
        <w:tc>
          <w:tcPr>
            <w:tcW w:w="696" w:type="dxa"/>
            <w:gridSpan w:val="2"/>
            <w:tcBorders>
              <w:top w:val="nil"/>
              <w:left w:val="nil"/>
              <w:bottom w:val="nil"/>
              <w:right w:val="nil"/>
            </w:tcBorders>
            <w:shd w:val="clear" w:color="auto" w:fill="auto"/>
            <w:vAlign w:val="center"/>
          </w:tcPr>
          <w:p w14:paraId="5A7007B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0.6</w:t>
            </w:r>
          </w:p>
        </w:tc>
        <w:tc>
          <w:tcPr>
            <w:tcW w:w="905" w:type="dxa"/>
            <w:gridSpan w:val="2"/>
            <w:tcBorders>
              <w:top w:val="nil"/>
              <w:left w:val="nil"/>
              <w:bottom w:val="nil"/>
              <w:right w:val="nil"/>
            </w:tcBorders>
            <w:shd w:val="clear" w:color="auto" w:fill="auto"/>
            <w:vAlign w:val="center"/>
          </w:tcPr>
          <w:p w14:paraId="16E48006"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w:t>
            </w:r>
          </w:p>
        </w:tc>
        <w:tc>
          <w:tcPr>
            <w:tcW w:w="745" w:type="dxa"/>
            <w:gridSpan w:val="3"/>
            <w:tcBorders>
              <w:top w:val="nil"/>
              <w:left w:val="nil"/>
              <w:bottom w:val="nil"/>
              <w:right w:val="nil"/>
            </w:tcBorders>
            <w:shd w:val="clear" w:color="auto" w:fill="auto"/>
            <w:vAlign w:val="center"/>
          </w:tcPr>
          <w:p w14:paraId="571034C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w:t>
            </w:r>
          </w:p>
        </w:tc>
        <w:tc>
          <w:tcPr>
            <w:tcW w:w="799" w:type="dxa"/>
            <w:gridSpan w:val="3"/>
            <w:tcBorders>
              <w:top w:val="nil"/>
              <w:left w:val="nil"/>
              <w:bottom w:val="nil"/>
              <w:right w:val="nil"/>
            </w:tcBorders>
            <w:shd w:val="clear" w:color="auto" w:fill="auto"/>
            <w:vAlign w:val="center"/>
          </w:tcPr>
          <w:p w14:paraId="23C5A4E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83.3</w:t>
            </w:r>
          </w:p>
        </w:tc>
      </w:tr>
      <w:tr w:rsidR="00C03B92" w:rsidRPr="008A5C48" w14:paraId="68D66025" w14:textId="77777777" w:rsidTr="0034607E">
        <w:trPr>
          <w:gridAfter w:val="1"/>
          <w:wAfter w:w="15" w:type="dxa"/>
          <w:trHeight w:val="194"/>
          <w:jc w:val="center"/>
        </w:trPr>
        <w:tc>
          <w:tcPr>
            <w:tcW w:w="1164" w:type="dxa"/>
            <w:tcBorders>
              <w:top w:val="nil"/>
              <w:left w:val="nil"/>
              <w:bottom w:val="nil"/>
              <w:right w:val="nil"/>
            </w:tcBorders>
            <w:shd w:val="clear" w:color="auto" w:fill="auto"/>
            <w:vAlign w:val="center"/>
          </w:tcPr>
          <w:p w14:paraId="4CEA6548"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DMTP</w:t>
            </w:r>
          </w:p>
        </w:tc>
        <w:tc>
          <w:tcPr>
            <w:tcW w:w="634" w:type="dxa"/>
            <w:tcBorders>
              <w:top w:val="nil"/>
              <w:left w:val="nil"/>
              <w:bottom w:val="nil"/>
              <w:right w:val="nil"/>
            </w:tcBorders>
            <w:shd w:val="clear" w:color="auto" w:fill="auto"/>
            <w:vAlign w:val="center"/>
          </w:tcPr>
          <w:p w14:paraId="573C649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μg</w:t>
            </w:r>
            <w:proofErr w:type="spellEnd"/>
            <w:r w:rsidRPr="008A5C48">
              <w:rPr>
                <w:rFonts w:ascii="Times New Roman" w:eastAsia="Times New Roman" w:hAnsi="Times New Roman" w:cs="Times New Roman"/>
                <w:color w:val="000000"/>
                <w:sz w:val="20"/>
                <w:szCs w:val="20"/>
              </w:rPr>
              <w:t>/g</w:t>
            </w:r>
          </w:p>
        </w:tc>
        <w:tc>
          <w:tcPr>
            <w:tcW w:w="1111" w:type="dxa"/>
            <w:tcBorders>
              <w:top w:val="nil"/>
              <w:left w:val="nil"/>
              <w:bottom w:val="nil"/>
              <w:right w:val="nil"/>
            </w:tcBorders>
            <w:shd w:val="clear" w:color="auto" w:fill="auto"/>
            <w:vAlign w:val="center"/>
          </w:tcPr>
          <w:p w14:paraId="42EB7169"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5D6A955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1300 (99.9%)</w:t>
            </w:r>
          </w:p>
        </w:tc>
        <w:tc>
          <w:tcPr>
            <w:tcW w:w="1486" w:type="dxa"/>
            <w:gridSpan w:val="2"/>
            <w:tcBorders>
              <w:top w:val="nil"/>
              <w:left w:val="nil"/>
              <w:bottom w:val="nil"/>
              <w:right w:val="nil"/>
            </w:tcBorders>
            <w:shd w:val="clear" w:color="auto" w:fill="auto"/>
            <w:vAlign w:val="center"/>
          </w:tcPr>
          <w:p w14:paraId="5CF046C1"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90.40%</w:t>
            </w:r>
          </w:p>
        </w:tc>
        <w:tc>
          <w:tcPr>
            <w:tcW w:w="796" w:type="dxa"/>
            <w:gridSpan w:val="2"/>
            <w:tcBorders>
              <w:top w:val="nil"/>
              <w:left w:val="nil"/>
              <w:bottom w:val="nil"/>
              <w:right w:val="nil"/>
            </w:tcBorders>
            <w:shd w:val="clear" w:color="auto" w:fill="auto"/>
            <w:vAlign w:val="center"/>
          </w:tcPr>
          <w:p w14:paraId="08D748A3"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w:t>
            </w:r>
          </w:p>
        </w:tc>
        <w:tc>
          <w:tcPr>
            <w:tcW w:w="696" w:type="dxa"/>
            <w:gridSpan w:val="2"/>
            <w:tcBorders>
              <w:top w:val="nil"/>
              <w:left w:val="nil"/>
              <w:bottom w:val="nil"/>
              <w:right w:val="nil"/>
            </w:tcBorders>
            <w:shd w:val="clear" w:color="auto" w:fill="auto"/>
            <w:vAlign w:val="center"/>
          </w:tcPr>
          <w:p w14:paraId="460A459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2.5</w:t>
            </w:r>
          </w:p>
        </w:tc>
        <w:tc>
          <w:tcPr>
            <w:tcW w:w="905" w:type="dxa"/>
            <w:gridSpan w:val="2"/>
            <w:tcBorders>
              <w:top w:val="nil"/>
              <w:left w:val="nil"/>
              <w:bottom w:val="nil"/>
              <w:right w:val="nil"/>
            </w:tcBorders>
            <w:shd w:val="clear" w:color="auto" w:fill="auto"/>
            <w:vAlign w:val="center"/>
          </w:tcPr>
          <w:p w14:paraId="131DA54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4.3</w:t>
            </w:r>
          </w:p>
        </w:tc>
        <w:tc>
          <w:tcPr>
            <w:tcW w:w="745" w:type="dxa"/>
            <w:gridSpan w:val="3"/>
            <w:tcBorders>
              <w:top w:val="nil"/>
              <w:left w:val="nil"/>
              <w:bottom w:val="nil"/>
              <w:right w:val="nil"/>
            </w:tcBorders>
            <w:shd w:val="clear" w:color="auto" w:fill="auto"/>
            <w:vAlign w:val="center"/>
          </w:tcPr>
          <w:p w14:paraId="735A5754"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7.8</w:t>
            </w:r>
          </w:p>
        </w:tc>
        <w:tc>
          <w:tcPr>
            <w:tcW w:w="799" w:type="dxa"/>
            <w:gridSpan w:val="3"/>
            <w:tcBorders>
              <w:top w:val="nil"/>
              <w:left w:val="nil"/>
              <w:bottom w:val="nil"/>
              <w:right w:val="nil"/>
            </w:tcBorders>
            <w:shd w:val="clear" w:color="auto" w:fill="auto"/>
            <w:vAlign w:val="center"/>
          </w:tcPr>
          <w:p w14:paraId="6BD516B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407.3</w:t>
            </w:r>
          </w:p>
        </w:tc>
      </w:tr>
      <w:tr w:rsidR="00C03B92" w:rsidRPr="008A5C48" w14:paraId="1568FD29" w14:textId="77777777" w:rsidTr="0034607E">
        <w:trPr>
          <w:gridAfter w:val="2"/>
          <w:wAfter w:w="33" w:type="dxa"/>
          <w:trHeight w:val="194"/>
          <w:jc w:val="center"/>
        </w:trPr>
        <w:tc>
          <w:tcPr>
            <w:tcW w:w="1164" w:type="dxa"/>
            <w:tcBorders>
              <w:top w:val="nil"/>
              <w:left w:val="nil"/>
              <w:bottom w:val="nil"/>
              <w:right w:val="nil"/>
            </w:tcBorders>
            <w:shd w:val="clear" w:color="auto" w:fill="auto"/>
            <w:vAlign w:val="center"/>
          </w:tcPr>
          <w:p w14:paraId="033365A7"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DMDTP</w:t>
            </w:r>
          </w:p>
        </w:tc>
        <w:tc>
          <w:tcPr>
            <w:tcW w:w="634" w:type="dxa"/>
            <w:tcBorders>
              <w:top w:val="nil"/>
              <w:left w:val="nil"/>
              <w:bottom w:val="nil"/>
              <w:right w:val="nil"/>
            </w:tcBorders>
            <w:shd w:val="clear" w:color="auto" w:fill="auto"/>
            <w:vAlign w:val="center"/>
          </w:tcPr>
          <w:p w14:paraId="65CF74F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w:t>
            </w:r>
          </w:p>
        </w:tc>
        <w:tc>
          <w:tcPr>
            <w:tcW w:w="1111" w:type="dxa"/>
            <w:tcBorders>
              <w:top w:val="nil"/>
              <w:left w:val="nil"/>
              <w:bottom w:val="nil"/>
              <w:right w:val="nil"/>
            </w:tcBorders>
            <w:shd w:val="clear" w:color="auto" w:fill="auto"/>
            <w:vAlign w:val="center"/>
          </w:tcPr>
          <w:p w14:paraId="62C6CB2C"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nil"/>
              <w:right w:val="nil"/>
            </w:tcBorders>
            <w:shd w:val="clear" w:color="auto" w:fill="auto"/>
            <w:vAlign w:val="center"/>
          </w:tcPr>
          <w:p w14:paraId="7F6D449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1300 (99.9%)</w:t>
            </w:r>
          </w:p>
        </w:tc>
        <w:tc>
          <w:tcPr>
            <w:tcW w:w="1486" w:type="dxa"/>
            <w:gridSpan w:val="2"/>
            <w:tcBorders>
              <w:top w:val="nil"/>
              <w:left w:val="nil"/>
              <w:bottom w:val="nil"/>
              <w:right w:val="nil"/>
            </w:tcBorders>
            <w:shd w:val="clear" w:color="auto" w:fill="auto"/>
            <w:vAlign w:val="center"/>
          </w:tcPr>
          <w:p w14:paraId="1DEDBE2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18.20%</w:t>
            </w:r>
          </w:p>
        </w:tc>
        <w:tc>
          <w:tcPr>
            <w:tcW w:w="3127" w:type="dxa"/>
            <w:gridSpan w:val="8"/>
            <w:tcBorders>
              <w:top w:val="nil"/>
              <w:left w:val="nil"/>
              <w:bottom w:val="nil"/>
              <w:right w:val="nil"/>
            </w:tcBorders>
            <w:shd w:val="clear" w:color="auto" w:fill="auto"/>
            <w:vAlign w:val="center"/>
          </w:tcPr>
          <w:p w14:paraId="44A5DCD4"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Detected, n = 237 (18.2%)</w:t>
            </w:r>
          </w:p>
        </w:tc>
        <w:tc>
          <w:tcPr>
            <w:tcW w:w="796" w:type="dxa"/>
            <w:gridSpan w:val="3"/>
            <w:tcBorders>
              <w:top w:val="nil"/>
              <w:left w:val="nil"/>
              <w:bottom w:val="nil"/>
              <w:right w:val="nil"/>
            </w:tcBorders>
            <w:shd w:val="clear" w:color="auto" w:fill="auto"/>
            <w:vAlign w:val="center"/>
          </w:tcPr>
          <w:p w14:paraId="2A157CFF"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r>
      <w:tr w:rsidR="00C03B92" w:rsidRPr="008A5C48" w14:paraId="424DA891" w14:textId="77777777" w:rsidTr="0034607E">
        <w:trPr>
          <w:gridAfter w:val="2"/>
          <w:wAfter w:w="33" w:type="dxa"/>
          <w:trHeight w:val="194"/>
          <w:jc w:val="center"/>
        </w:trPr>
        <w:tc>
          <w:tcPr>
            <w:tcW w:w="1164" w:type="dxa"/>
            <w:tcBorders>
              <w:top w:val="nil"/>
              <w:left w:val="nil"/>
              <w:bottom w:val="nil"/>
              <w:right w:val="nil"/>
            </w:tcBorders>
            <w:shd w:val="clear" w:color="auto" w:fill="auto"/>
            <w:vAlign w:val="center"/>
          </w:tcPr>
          <w:p w14:paraId="77C4BC0C"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c>
          <w:tcPr>
            <w:tcW w:w="634" w:type="dxa"/>
            <w:tcBorders>
              <w:top w:val="nil"/>
              <w:left w:val="nil"/>
              <w:bottom w:val="nil"/>
              <w:right w:val="nil"/>
            </w:tcBorders>
            <w:shd w:val="clear" w:color="auto" w:fill="auto"/>
            <w:vAlign w:val="center"/>
          </w:tcPr>
          <w:p w14:paraId="516F145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111" w:type="dxa"/>
            <w:tcBorders>
              <w:top w:val="nil"/>
              <w:left w:val="nil"/>
              <w:bottom w:val="nil"/>
              <w:right w:val="nil"/>
            </w:tcBorders>
            <w:shd w:val="clear" w:color="auto" w:fill="auto"/>
            <w:vAlign w:val="center"/>
          </w:tcPr>
          <w:p w14:paraId="2D6D254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360" w:type="dxa"/>
            <w:tcBorders>
              <w:top w:val="nil"/>
              <w:left w:val="nil"/>
              <w:bottom w:val="nil"/>
              <w:right w:val="nil"/>
            </w:tcBorders>
            <w:shd w:val="clear" w:color="auto" w:fill="auto"/>
            <w:vAlign w:val="center"/>
          </w:tcPr>
          <w:p w14:paraId="4F3CDBE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486" w:type="dxa"/>
            <w:gridSpan w:val="2"/>
            <w:tcBorders>
              <w:top w:val="nil"/>
              <w:left w:val="nil"/>
              <w:bottom w:val="nil"/>
              <w:right w:val="nil"/>
            </w:tcBorders>
            <w:shd w:val="clear" w:color="auto" w:fill="auto"/>
            <w:vAlign w:val="center"/>
          </w:tcPr>
          <w:p w14:paraId="6CCE14F2"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3127" w:type="dxa"/>
            <w:gridSpan w:val="8"/>
            <w:tcBorders>
              <w:top w:val="nil"/>
              <w:left w:val="nil"/>
              <w:bottom w:val="nil"/>
              <w:right w:val="nil"/>
            </w:tcBorders>
            <w:shd w:val="clear" w:color="auto" w:fill="auto"/>
            <w:vAlign w:val="center"/>
          </w:tcPr>
          <w:p w14:paraId="39067FC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c>
          <w:tcPr>
            <w:tcW w:w="796" w:type="dxa"/>
            <w:gridSpan w:val="3"/>
            <w:tcBorders>
              <w:top w:val="nil"/>
              <w:left w:val="nil"/>
              <w:bottom w:val="nil"/>
              <w:right w:val="nil"/>
            </w:tcBorders>
            <w:shd w:val="clear" w:color="auto" w:fill="auto"/>
            <w:vAlign w:val="center"/>
          </w:tcPr>
          <w:p w14:paraId="4961A6E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r>
      <w:tr w:rsidR="00C03B92" w:rsidRPr="008A5C48" w14:paraId="789CF28D" w14:textId="77777777" w:rsidTr="0034607E">
        <w:trPr>
          <w:gridAfter w:val="2"/>
          <w:wAfter w:w="33" w:type="dxa"/>
          <w:trHeight w:val="194"/>
          <w:jc w:val="center"/>
        </w:trPr>
        <w:tc>
          <w:tcPr>
            <w:tcW w:w="1164" w:type="dxa"/>
            <w:tcBorders>
              <w:top w:val="nil"/>
              <w:left w:val="nil"/>
              <w:bottom w:val="nil"/>
              <w:right w:val="nil"/>
            </w:tcBorders>
            <w:shd w:val="clear" w:color="auto" w:fill="auto"/>
            <w:vAlign w:val="center"/>
          </w:tcPr>
          <w:p w14:paraId="38488DAE"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b/>
                <w:color w:val="000000"/>
                <w:sz w:val="20"/>
                <w:szCs w:val="20"/>
              </w:rPr>
              <w:lastRenderedPageBreak/>
              <w:t>Tobacco</w:t>
            </w:r>
          </w:p>
        </w:tc>
        <w:tc>
          <w:tcPr>
            <w:tcW w:w="634" w:type="dxa"/>
            <w:tcBorders>
              <w:top w:val="nil"/>
              <w:left w:val="nil"/>
              <w:bottom w:val="nil"/>
              <w:right w:val="nil"/>
            </w:tcBorders>
            <w:shd w:val="clear" w:color="auto" w:fill="auto"/>
            <w:vAlign w:val="center"/>
          </w:tcPr>
          <w:p w14:paraId="52701F3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111" w:type="dxa"/>
            <w:tcBorders>
              <w:top w:val="nil"/>
              <w:left w:val="nil"/>
              <w:bottom w:val="nil"/>
              <w:right w:val="nil"/>
            </w:tcBorders>
            <w:shd w:val="clear" w:color="auto" w:fill="auto"/>
            <w:vAlign w:val="center"/>
          </w:tcPr>
          <w:p w14:paraId="326AFE2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360" w:type="dxa"/>
            <w:tcBorders>
              <w:top w:val="nil"/>
              <w:left w:val="nil"/>
              <w:bottom w:val="nil"/>
              <w:right w:val="nil"/>
            </w:tcBorders>
            <w:shd w:val="clear" w:color="auto" w:fill="auto"/>
            <w:vAlign w:val="center"/>
          </w:tcPr>
          <w:p w14:paraId="4DA56208"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1486" w:type="dxa"/>
            <w:gridSpan w:val="2"/>
            <w:tcBorders>
              <w:top w:val="nil"/>
              <w:left w:val="nil"/>
              <w:bottom w:val="nil"/>
              <w:right w:val="nil"/>
            </w:tcBorders>
            <w:shd w:val="clear" w:color="auto" w:fill="auto"/>
            <w:vAlign w:val="center"/>
          </w:tcPr>
          <w:p w14:paraId="5CAE9F6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p>
        </w:tc>
        <w:tc>
          <w:tcPr>
            <w:tcW w:w="3923" w:type="dxa"/>
            <w:gridSpan w:val="11"/>
            <w:tcBorders>
              <w:top w:val="nil"/>
              <w:left w:val="nil"/>
              <w:bottom w:val="nil"/>
              <w:right w:val="nil"/>
            </w:tcBorders>
            <w:shd w:val="clear" w:color="auto" w:fill="auto"/>
            <w:vAlign w:val="center"/>
          </w:tcPr>
          <w:p w14:paraId="32260BBC"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r>
      <w:tr w:rsidR="00C03B92" w:rsidRPr="008A5C48" w14:paraId="39846729" w14:textId="77777777" w:rsidTr="0034607E">
        <w:trPr>
          <w:gridAfter w:val="2"/>
          <w:wAfter w:w="33" w:type="dxa"/>
          <w:trHeight w:val="194"/>
          <w:jc w:val="center"/>
        </w:trPr>
        <w:tc>
          <w:tcPr>
            <w:tcW w:w="1164" w:type="dxa"/>
            <w:tcBorders>
              <w:top w:val="nil"/>
              <w:left w:val="nil"/>
              <w:bottom w:val="nil"/>
              <w:right w:val="nil"/>
            </w:tcBorders>
            <w:shd w:val="clear" w:color="auto" w:fill="auto"/>
            <w:vAlign w:val="center"/>
          </w:tcPr>
          <w:p w14:paraId="38120176"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Cotinine</w:t>
            </w:r>
          </w:p>
        </w:tc>
        <w:tc>
          <w:tcPr>
            <w:tcW w:w="634" w:type="dxa"/>
            <w:tcBorders>
              <w:top w:val="nil"/>
              <w:left w:val="nil"/>
              <w:bottom w:val="nil"/>
              <w:right w:val="nil"/>
            </w:tcBorders>
            <w:shd w:val="clear" w:color="auto" w:fill="auto"/>
            <w:vAlign w:val="center"/>
          </w:tcPr>
          <w:p w14:paraId="25CED79F"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w:t>
            </w:r>
          </w:p>
        </w:tc>
        <w:tc>
          <w:tcPr>
            <w:tcW w:w="1111" w:type="dxa"/>
            <w:tcBorders>
              <w:top w:val="nil"/>
              <w:left w:val="nil"/>
              <w:bottom w:val="nil"/>
              <w:right w:val="nil"/>
            </w:tcBorders>
            <w:shd w:val="clear" w:color="auto" w:fill="auto"/>
            <w:vAlign w:val="center"/>
          </w:tcPr>
          <w:p w14:paraId="0B32BABE"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Pregnancy</w:t>
            </w:r>
          </w:p>
        </w:tc>
        <w:tc>
          <w:tcPr>
            <w:tcW w:w="1360" w:type="dxa"/>
            <w:tcBorders>
              <w:top w:val="nil"/>
              <w:left w:val="nil"/>
              <w:bottom w:val="nil"/>
              <w:right w:val="nil"/>
            </w:tcBorders>
            <w:shd w:val="clear" w:color="auto" w:fill="auto"/>
            <w:vAlign w:val="center"/>
          </w:tcPr>
          <w:p w14:paraId="3432C58B"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1093 (84%)</w:t>
            </w:r>
          </w:p>
        </w:tc>
        <w:tc>
          <w:tcPr>
            <w:tcW w:w="1486" w:type="dxa"/>
            <w:gridSpan w:val="2"/>
            <w:tcBorders>
              <w:top w:val="nil"/>
              <w:left w:val="nil"/>
              <w:bottom w:val="nil"/>
              <w:right w:val="nil"/>
            </w:tcBorders>
            <w:shd w:val="clear" w:color="auto" w:fill="auto"/>
            <w:vAlign w:val="center"/>
          </w:tcPr>
          <w:p w14:paraId="1AD13A05"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w:t>
            </w:r>
          </w:p>
        </w:tc>
        <w:tc>
          <w:tcPr>
            <w:tcW w:w="3923" w:type="dxa"/>
            <w:gridSpan w:val="11"/>
            <w:tcBorders>
              <w:top w:val="nil"/>
              <w:left w:val="nil"/>
              <w:right w:val="nil"/>
            </w:tcBorders>
            <w:shd w:val="clear" w:color="auto" w:fill="auto"/>
            <w:vAlign w:val="center"/>
          </w:tcPr>
          <w:p w14:paraId="67AB8118"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18.5-50 µg/L, n = 137 (12.5%)</w:t>
            </w:r>
          </w:p>
        </w:tc>
      </w:tr>
      <w:tr w:rsidR="00C03B92" w:rsidRPr="008A5C48" w14:paraId="71219BE9" w14:textId="77777777" w:rsidTr="0034607E">
        <w:trPr>
          <w:gridAfter w:val="2"/>
          <w:wAfter w:w="33" w:type="dxa"/>
          <w:trHeight w:val="194"/>
          <w:jc w:val="center"/>
        </w:trPr>
        <w:tc>
          <w:tcPr>
            <w:tcW w:w="1164" w:type="dxa"/>
            <w:tcBorders>
              <w:top w:val="nil"/>
              <w:left w:val="nil"/>
              <w:bottom w:val="nil"/>
              <w:right w:val="nil"/>
            </w:tcBorders>
            <w:shd w:val="clear" w:color="auto" w:fill="auto"/>
            <w:vAlign w:val="center"/>
          </w:tcPr>
          <w:p w14:paraId="277669E3"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c>
          <w:tcPr>
            <w:tcW w:w="634" w:type="dxa"/>
            <w:tcBorders>
              <w:top w:val="nil"/>
              <w:left w:val="nil"/>
              <w:bottom w:val="nil"/>
              <w:right w:val="nil"/>
            </w:tcBorders>
            <w:shd w:val="clear" w:color="auto" w:fill="auto"/>
            <w:vAlign w:val="center"/>
          </w:tcPr>
          <w:p w14:paraId="04C8E2B7" w14:textId="77777777" w:rsidR="00C03B92" w:rsidRPr="008A5C48" w:rsidRDefault="00C03B92" w:rsidP="0034607E">
            <w:pPr>
              <w:spacing w:after="0" w:line="240" w:lineRule="auto"/>
              <w:contextualSpacing/>
              <w:rPr>
                <w:rFonts w:ascii="Times New Roman" w:eastAsia="Times New Roman" w:hAnsi="Times New Roman" w:cs="Times New Roman"/>
                <w:sz w:val="20"/>
                <w:szCs w:val="20"/>
              </w:rPr>
            </w:pPr>
          </w:p>
        </w:tc>
        <w:tc>
          <w:tcPr>
            <w:tcW w:w="1111" w:type="dxa"/>
            <w:tcBorders>
              <w:top w:val="nil"/>
              <w:left w:val="nil"/>
              <w:bottom w:val="nil"/>
              <w:right w:val="nil"/>
            </w:tcBorders>
            <w:shd w:val="clear" w:color="auto" w:fill="auto"/>
            <w:vAlign w:val="center"/>
          </w:tcPr>
          <w:p w14:paraId="29AE3144" w14:textId="77777777" w:rsidR="00C03B92" w:rsidRPr="008A5C48" w:rsidRDefault="00C03B92" w:rsidP="0034607E">
            <w:pPr>
              <w:spacing w:after="0" w:line="240" w:lineRule="auto"/>
              <w:contextualSpacing/>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vAlign w:val="center"/>
          </w:tcPr>
          <w:p w14:paraId="1AA4CCAE" w14:textId="77777777" w:rsidR="00C03B92" w:rsidRPr="008A5C48" w:rsidRDefault="00C03B92" w:rsidP="0034607E">
            <w:pPr>
              <w:spacing w:after="0" w:line="240" w:lineRule="auto"/>
              <w:contextualSpacing/>
              <w:rPr>
                <w:rFonts w:ascii="Times New Roman" w:eastAsia="Times New Roman" w:hAnsi="Times New Roman" w:cs="Times New Roman"/>
                <w:sz w:val="20"/>
                <w:szCs w:val="20"/>
              </w:rPr>
            </w:pPr>
          </w:p>
        </w:tc>
        <w:tc>
          <w:tcPr>
            <w:tcW w:w="1486" w:type="dxa"/>
            <w:gridSpan w:val="2"/>
            <w:tcBorders>
              <w:top w:val="nil"/>
              <w:left w:val="nil"/>
              <w:bottom w:val="nil"/>
              <w:right w:val="nil"/>
            </w:tcBorders>
            <w:shd w:val="clear" w:color="auto" w:fill="auto"/>
            <w:vAlign w:val="center"/>
          </w:tcPr>
          <w:p w14:paraId="3F4CF3EC" w14:textId="77777777" w:rsidR="00C03B92" w:rsidRPr="008A5C48" w:rsidRDefault="00C03B92" w:rsidP="0034607E">
            <w:pPr>
              <w:spacing w:after="0" w:line="240" w:lineRule="auto"/>
              <w:contextualSpacing/>
              <w:rPr>
                <w:rFonts w:ascii="Times New Roman" w:eastAsia="Times New Roman" w:hAnsi="Times New Roman" w:cs="Times New Roman"/>
                <w:sz w:val="20"/>
                <w:szCs w:val="20"/>
              </w:rPr>
            </w:pPr>
          </w:p>
        </w:tc>
        <w:tc>
          <w:tcPr>
            <w:tcW w:w="3923" w:type="dxa"/>
            <w:gridSpan w:val="11"/>
            <w:tcBorders>
              <w:top w:val="nil"/>
              <w:left w:val="nil"/>
              <w:bottom w:val="nil"/>
              <w:right w:val="nil"/>
            </w:tcBorders>
            <w:shd w:val="clear" w:color="auto" w:fill="auto"/>
            <w:vAlign w:val="center"/>
          </w:tcPr>
          <w:p w14:paraId="06366DDE"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&gt;50 µg/L, n = 186 (17%)</w:t>
            </w:r>
          </w:p>
        </w:tc>
      </w:tr>
      <w:tr w:rsidR="00C03B92" w:rsidRPr="008A5C48" w14:paraId="6524CCBE" w14:textId="77777777" w:rsidTr="0034607E">
        <w:trPr>
          <w:gridAfter w:val="2"/>
          <w:wAfter w:w="33" w:type="dxa"/>
          <w:trHeight w:val="194"/>
          <w:jc w:val="center"/>
        </w:trPr>
        <w:tc>
          <w:tcPr>
            <w:tcW w:w="1164" w:type="dxa"/>
            <w:tcBorders>
              <w:top w:val="nil"/>
              <w:left w:val="nil"/>
              <w:bottom w:val="single" w:sz="4" w:space="0" w:color="000000"/>
              <w:right w:val="nil"/>
            </w:tcBorders>
            <w:shd w:val="clear" w:color="auto" w:fill="auto"/>
            <w:vAlign w:val="center"/>
          </w:tcPr>
          <w:p w14:paraId="316737AD"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Cotinine</w:t>
            </w:r>
          </w:p>
        </w:tc>
        <w:tc>
          <w:tcPr>
            <w:tcW w:w="634" w:type="dxa"/>
            <w:tcBorders>
              <w:top w:val="nil"/>
              <w:left w:val="nil"/>
              <w:bottom w:val="single" w:sz="4" w:space="0" w:color="000000"/>
              <w:right w:val="nil"/>
            </w:tcBorders>
            <w:shd w:val="clear" w:color="auto" w:fill="auto"/>
            <w:vAlign w:val="center"/>
          </w:tcPr>
          <w:p w14:paraId="5FCFAF67"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w:t>
            </w:r>
          </w:p>
        </w:tc>
        <w:tc>
          <w:tcPr>
            <w:tcW w:w="1111" w:type="dxa"/>
            <w:tcBorders>
              <w:top w:val="nil"/>
              <w:left w:val="nil"/>
              <w:bottom w:val="single" w:sz="4" w:space="0" w:color="000000"/>
              <w:right w:val="nil"/>
            </w:tcBorders>
            <w:shd w:val="clear" w:color="auto" w:fill="auto"/>
            <w:vAlign w:val="center"/>
          </w:tcPr>
          <w:p w14:paraId="3D88EE2A"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Childhood</w:t>
            </w:r>
          </w:p>
        </w:tc>
        <w:tc>
          <w:tcPr>
            <w:tcW w:w="1360" w:type="dxa"/>
            <w:tcBorders>
              <w:top w:val="nil"/>
              <w:left w:val="nil"/>
              <w:bottom w:val="single" w:sz="4" w:space="0" w:color="000000"/>
              <w:right w:val="nil"/>
            </w:tcBorders>
            <w:shd w:val="clear" w:color="auto" w:fill="auto"/>
            <w:vAlign w:val="center"/>
          </w:tcPr>
          <w:p w14:paraId="4925A2BD"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1301 (100%)</w:t>
            </w:r>
          </w:p>
        </w:tc>
        <w:tc>
          <w:tcPr>
            <w:tcW w:w="1486" w:type="dxa"/>
            <w:gridSpan w:val="2"/>
            <w:tcBorders>
              <w:top w:val="nil"/>
              <w:left w:val="nil"/>
              <w:bottom w:val="single" w:sz="4" w:space="0" w:color="000000"/>
              <w:right w:val="nil"/>
            </w:tcBorders>
            <w:shd w:val="clear" w:color="auto" w:fill="auto"/>
            <w:vAlign w:val="center"/>
          </w:tcPr>
          <w:p w14:paraId="43E11290" w14:textId="77777777" w:rsidR="00C03B92" w:rsidRPr="008A5C48" w:rsidRDefault="00C03B92" w:rsidP="0034607E">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w:t>
            </w:r>
          </w:p>
        </w:tc>
        <w:tc>
          <w:tcPr>
            <w:tcW w:w="3127" w:type="dxa"/>
            <w:gridSpan w:val="8"/>
            <w:tcBorders>
              <w:top w:val="nil"/>
              <w:left w:val="nil"/>
              <w:bottom w:val="single" w:sz="4" w:space="0" w:color="000000"/>
              <w:right w:val="nil"/>
            </w:tcBorders>
            <w:shd w:val="clear" w:color="auto" w:fill="auto"/>
            <w:vAlign w:val="center"/>
          </w:tcPr>
          <w:p w14:paraId="2C91F95A"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Detected, n = 237 (18.2%)</w:t>
            </w:r>
          </w:p>
        </w:tc>
        <w:tc>
          <w:tcPr>
            <w:tcW w:w="796" w:type="dxa"/>
            <w:gridSpan w:val="3"/>
            <w:tcBorders>
              <w:top w:val="nil"/>
              <w:left w:val="nil"/>
              <w:bottom w:val="single" w:sz="4" w:space="0" w:color="000000"/>
              <w:right w:val="nil"/>
            </w:tcBorders>
            <w:shd w:val="clear" w:color="auto" w:fill="auto"/>
            <w:vAlign w:val="center"/>
          </w:tcPr>
          <w:p w14:paraId="7717BFC4" w14:textId="77777777" w:rsidR="00C03B92" w:rsidRPr="008A5C48" w:rsidRDefault="00C03B92" w:rsidP="0034607E">
            <w:pPr>
              <w:spacing w:after="0" w:line="240" w:lineRule="auto"/>
              <w:contextualSpacing/>
              <w:rPr>
                <w:rFonts w:ascii="Times New Roman" w:eastAsia="Times New Roman" w:hAnsi="Times New Roman" w:cs="Times New Roman"/>
                <w:color w:val="000000"/>
                <w:sz w:val="20"/>
                <w:szCs w:val="20"/>
              </w:rPr>
            </w:pPr>
          </w:p>
        </w:tc>
      </w:tr>
    </w:tbl>
    <w:p w14:paraId="4FCF8FAE" w14:textId="77777777" w:rsidR="00C03B92" w:rsidRPr="008A5C48" w:rsidRDefault="00C03B92" w:rsidP="00C03B92">
      <w:pPr>
        <w:spacing w:line="240" w:lineRule="auto"/>
        <w:contextualSpacing/>
        <w:jc w:val="both"/>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u w:val="single"/>
        </w:rPr>
        <w:br/>
        <w:t>Population</w:t>
      </w:r>
      <w:r w:rsidRPr="008A5C48">
        <w:rPr>
          <w:rFonts w:ascii="Times New Roman" w:eastAsia="Times New Roman" w:hAnsi="Times New Roman" w:cs="Times New Roman"/>
          <w:sz w:val="20"/>
          <w:szCs w:val="20"/>
        </w:rPr>
        <w:t xml:space="preserve">: Helix population, n=1301. </w:t>
      </w:r>
      <w:r w:rsidRPr="008A5C48">
        <w:rPr>
          <w:rFonts w:ascii="Times New Roman" w:eastAsia="Times New Roman" w:hAnsi="Times New Roman" w:cs="Times New Roman"/>
          <w:sz w:val="20"/>
          <w:szCs w:val="20"/>
          <w:u w:val="single"/>
        </w:rPr>
        <w:t>Acronyms</w:t>
      </w:r>
      <w:r w:rsidRPr="008A5C48">
        <w:rPr>
          <w:rFonts w:ascii="Times New Roman" w:eastAsia="Times New Roman" w:hAnsi="Times New Roman" w:cs="Times New Roman"/>
          <w:sz w:val="20"/>
          <w:szCs w:val="20"/>
        </w:rPr>
        <w:t xml:space="preserve">: N=number of individuals without missing values. %=percentage of individuals without missing values over the whole Helix sample (n=1301). </w:t>
      </w:r>
      <w:r w:rsidRPr="008A5C48">
        <w:rPr>
          <w:rFonts w:ascii="Times New Roman" w:eastAsia="Times New Roman" w:hAnsi="Times New Roman" w:cs="Times New Roman"/>
          <w:sz w:val="20"/>
          <w:szCs w:val="20"/>
          <w:lang w:val="fr-FR"/>
        </w:rPr>
        <w:t>Min=minimum. Q1=first quantile. Q3=</w:t>
      </w:r>
      <w:proofErr w:type="spellStart"/>
      <w:r w:rsidRPr="008A5C48">
        <w:rPr>
          <w:rFonts w:ascii="Times New Roman" w:eastAsia="Times New Roman" w:hAnsi="Times New Roman" w:cs="Times New Roman"/>
          <w:sz w:val="20"/>
          <w:szCs w:val="20"/>
          <w:lang w:val="fr-FR"/>
        </w:rPr>
        <w:t>third</w:t>
      </w:r>
      <w:proofErr w:type="spellEnd"/>
      <w:r w:rsidRPr="008A5C48">
        <w:rPr>
          <w:rFonts w:ascii="Times New Roman" w:eastAsia="Times New Roman" w:hAnsi="Times New Roman" w:cs="Times New Roman"/>
          <w:sz w:val="20"/>
          <w:szCs w:val="20"/>
          <w:lang w:val="fr-FR"/>
        </w:rPr>
        <w:t xml:space="preserve"> quantile. Max = maximum. </w:t>
      </w:r>
      <w:r w:rsidRPr="008A5C48">
        <w:rPr>
          <w:rFonts w:ascii="Times New Roman" w:eastAsia="Times New Roman" w:hAnsi="Times New Roman" w:cs="Times New Roman"/>
          <w:sz w:val="20"/>
          <w:szCs w:val="20"/>
        </w:rPr>
        <w:t>Max=maximum.</w:t>
      </w:r>
    </w:p>
    <w:p w14:paraId="7C4F0C86" w14:textId="77777777" w:rsidR="00C03B92" w:rsidRPr="005345EE" w:rsidRDefault="00C03B92" w:rsidP="005345EE"/>
    <w:p w14:paraId="0B73AF38" w14:textId="77777777" w:rsidR="002D561D" w:rsidRDefault="002D561D">
      <w:pPr>
        <w:rPr>
          <w:rFonts w:ascii="Times New Roman" w:eastAsia="Times New Roman" w:hAnsi="Times New Roman" w:cs="Times New Roman"/>
          <w:b/>
          <w:bCs/>
        </w:rPr>
      </w:pPr>
      <w:r>
        <w:rPr>
          <w:rFonts w:eastAsia="Times New Roman"/>
        </w:rPr>
        <w:br w:type="page"/>
      </w:r>
    </w:p>
    <w:p w14:paraId="2F99E122" w14:textId="3C867CE3" w:rsidR="005E717B" w:rsidRPr="00BC7860" w:rsidRDefault="009500CF" w:rsidP="002D561D">
      <w:pPr>
        <w:pStyle w:val="Titre1"/>
        <w:rPr>
          <w:rFonts w:eastAsia="Times New Roman"/>
          <w:b w:val="0"/>
          <w:bCs w:val="0"/>
        </w:rPr>
      </w:pPr>
      <w:bookmarkStart w:id="83" w:name="_Toc127358164"/>
      <w:bookmarkStart w:id="84" w:name="_Toc132271595"/>
      <w:bookmarkStart w:id="85" w:name="_Hlk127367246"/>
      <w:proofErr w:type="spellStart"/>
      <w:r w:rsidRPr="008A5C48">
        <w:rPr>
          <w:rFonts w:eastAsia="Times New Roman"/>
        </w:rPr>
        <w:lastRenderedPageBreak/>
        <w:t>eTable</w:t>
      </w:r>
      <w:proofErr w:type="spellEnd"/>
      <w:r w:rsidR="00966211" w:rsidRPr="008A5C48">
        <w:rPr>
          <w:rFonts w:eastAsia="Times New Roman"/>
        </w:rPr>
        <w:t xml:space="preserve"> </w:t>
      </w:r>
      <w:r w:rsidR="00E41E3E">
        <w:rPr>
          <w:rFonts w:eastAsia="Times New Roman"/>
        </w:rPr>
        <w:t>1</w:t>
      </w:r>
      <w:r w:rsidR="00276BE5">
        <w:rPr>
          <w:rFonts w:eastAsia="Times New Roman"/>
        </w:rPr>
        <w:t>3</w:t>
      </w:r>
      <w:r w:rsidR="000F7444">
        <w:rPr>
          <w:rFonts w:eastAsia="Times New Roman"/>
        </w:rPr>
        <w:t>.</w:t>
      </w:r>
      <w:r w:rsidR="00966211" w:rsidRPr="008A5C48">
        <w:rPr>
          <w:rFonts w:eastAsia="Times New Roman"/>
        </w:rPr>
        <w:t xml:space="preserve"> </w:t>
      </w:r>
      <w:r w:rsidR="00966211" w:rsidRPr="00BC7860">
        <w:rPr>
          <w:rFonts w:eastAsia="Times New Roman"/>
          <w:b w:val="0"/>
          <w:bCs w:val="0"/>
        </w:rPr>
        <w:t>Description of the health parameters</w:t>
      </w:r>
      <w:r w:rsidR="001468C7" w:rsidRPr="00BC7860">
        <w:rPr>
          <w:rFonts w:eastAsia="Times New Roman"/>
          <w:b w:val="0"/>
          <w:bCs w:val="0"/>
        </w:rPr>
        <w:t xml:space="preserve"> considered</w:t>
      </w:r>
      <w:bookmarkEnd w:id="83"/>
      <w:bookmarkEnd w:id="84"/>
    </w:p>
    <w:bookmarkEnd w:id="85"/>
    <w:p w14:paraId="284520E1" w14:textId="77777777" w:rsidR="00AF0ED1" w:rsidRPr="00BC7860" w:rsidRDefault="00AF0ED1" w:rsidP="00AF0ED1"/>
    <w:tbl>
      <w:tblPr>
        <w:tblStyle w:val="ad"/>
        <w:tblW w:w="9612" w:type="dxa"/>
        <w:jc w:val="center"/>
        <w:tblInd w:w="0" w:type="dxa"/>
        <w:tblLayout w:type="fixed"/>
        <w:tblLook w:val="0400" w:firstRow="0" w:lastRow="0" w:firstColumn="0" w:lastColumn="0" w:noHBand="0" w:noVBand="1"/>
      </w:tblPr>
      <w:tblGrid>
        <w:gridCol w:w="2471"/>
        <w:gridCol w:w="2344"/>
        <w:gridCol w:w="1308"/>
        <w:gridCol w:w="621"/>
        <w:gridCol w:w="588"/>
        <w:gridCol w:w="897"/>
        <w:gridCol w:w="689"/>
        <w:gridCol w:w="694"/>
      </w:tblGrid>
      <w:tr w:rsidR="005E717B" w:rsidRPr="008A5C48" w14:paraId="09D78D27" w14:textId="77777777" w:rsidTr="002D5EF6">
        <w:trPr>
          <w:trHeight w:val="342"/>
          <w:jc w:val="center"/>
        </w:trPr>
        <w:tc>
          <w:tcPr>
            <w:tcW w:w="2471" w:type="dxa"/>
            <w:tcBorders>
              <w:top w:val="single" w:sz="8" w:space="0" w:color="000000"/>
              <w:left w:val="nil"/>
              <w:bottom w:val="single" w:sz="8" w:space="0" w:color="000000"/>
              <w:right w:val="nil"/>
            </w:tcBorders>
            <w:shd w:val="clear" w:color="auto" w:fill="auto"/>
            <w:vAlign w:val="center"/>
          </w:tcPr>
          <w:bookmarkEnd w:id="52"/>
          <w:p w14:paraId="3D5EAF31"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Variable name</w:t>
            </w:r>
          </w:p>
        </w:tc>
        <w:tc>
          <w:tcPr>
            <w:tcW w:w="2344" w:type="dxa"/>
            <w:tcBorders>
              <w:top w:val="single" w:sz="8" w:space="0" w:color="000000"/>
              <w:left w:val="nil"/>
              <w:bottom w:val="single" w:sz="8" w:space="0" w:color="000000"/>
              <w:right w:val="nil"/>
            </w:tcBorders>
          </w:tcPr>
          <w:p w14:paraId="7473BC78"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Health domain</w:t>
            </w:r>
          </w:p>
        </w:tc>
        <w:tc>
          <w:tcPr>
            <w:tcW w:w="1308" w:type="dxa"/>
            <w:tcBorders>
              <w:top w:val="single" w:sz="8" w:space="0" w:color="000000"/>
              <w:left w:val="nil"/>
              <w:bottom w:val="single" w:sz="8" w:space="0" w:color="000000"/>
              <w:right w:val="nil"/>
            </w:tcBorders>
            <w:shd w:val="clear" w:color="auto" w:fill="auto"/>
            <w:vAlign w:val="center"/>
          </w:tcPr>
          <w:p w14:paraId="17124759"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N (%)</w:t>
            </w:r>
          </w:p>
        </w:tc>
        <w:tc>
          <w:tcPr>
            <w:tcW w:w="621" w:type="dxa"/>
            <w:tcBorders>
              <w:top w:val="single" w:sz="8" w:space="0" w:color="000000"/>
              <w:left w:val="nil"/>
              <w:bottom w:val="single" w:sz="8" w:space="0" w:color="000000"/>
              <w:right w:val="nil"/>
            </w:tcBorders>
            <w:shd w:val="clear" w:color="auto" w:fill="auto"/>
            <w:vAlign w:val="center"/>
          </w:tcPr>
          <w:p w14:paraId="3347EFA2"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Min</w:t>
            </w:r>
          </w:p>
        </w:tc>
        <w:tc>
          <w:tcPr>
            <w:tcW w:w="588" w:type="dxa"/>
            <w:tcBorders>
              <w:top w:val="single" w:sz="8" w:space="0" w:color="000000"/>
              <w:left w:val="nil"/>
              <w:bottom w:val="single" w:sz="8" w:space="0" w:color="000000"/>
              <w:right w:val="nil"/>
            </w:tcBorders>
            <w:shd w:val="clear" w:color="auto" w:fill="auto"/>
            <w:vAlign w:val="center"/>
          </w:tcPr>
          <w:p w14:paraId="69C0EC92"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Q1</w:t>
            </w:r>
          </w:p>
        </w:tc>
        <w:tc>
          <w:tcPr>
            <w:tcW w:w="897" w:type="dxa"/>
            <w:tcBorders>
              <w:top w:val="single" w:sz="8" w:space="0" w:color="000000"/>
              <w:left w:val="nil"/>
              <w:bottom w:val="single" w:sz="8" w:space="0" w:color="000000"/>
              <w:right w:val="nil"/>
            </w:tcBorders>
            <w:shd w:val="clear" w:color="auto" w:fill="auto"/>
            <w:vAlign w:val="center"/>
          </w:tcPr>
          <w:p w14:paraId="29408B43"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Median</w:t>
            </w:r>
          </w:p>
        </w:tc>
        <w:tc>
          <w:tcPr>
            <w:tcW w:w="689" w:type="dxa"/>
            <w:tcBorders>
              <w:top w:val="single" w:sz="8" w:space="0" w:color="000000"/>
              <w:left w:val="nil"/>
              <w:bottom w:val="single" w:sz="8" w:space="0" w:color="000000"/>
              <w:right w:val="nil"/>
            </w:tcBorders>
            <w:shd w:val="clear" w:color="auto" w:fill="auto"/>
            <w:vAlign w:val="center"/>
          </w:tcPr>
          <w:p w14:paraId="2C2B443C"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Q3</w:t>
            </w:r>
          </w:p>
        </w:tc>
        <w:tc>
          <w:tcPr>
            <w:tcW w:w="691" w:type="dxa"/>
            <w:tcBorders>
              <w:top w:val="single" w:sz="8" w:space="0" w:color="000000"/>
              <w:left w:val="nil"/>
              <w:bottom w:val="single" w:sz="8" w:space="0" w:color="000000"/>
              <w:right w:val="nil"/>
            </w:tcBorders>
            <w:shd w:val="clear" w:color="auto" w:fill="auto"/>
            <w:vAlign w:val="center"/>
          </w:tcPr>
          <w:p w14:paraId="12E582CC"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Max</w:t>
            </w:r>
          </w:p>
        </w:tc>
      </w:tr>
      <w:tr w:rsidR="005E717B" w:rsidRPr="008A5C48" w14:paraId="5C7242F7" w14:textId="77777777" w:rsidTr="002D5EF6">
        <w:trPr>
          <w:trHeight w:val="325"/>
          <w:jc w:val="center"/>
        </w:trPr>
        <w:tc>
          <w:tcPr>
            <w:tcW w:w="2471" w:type="dxa"/>
            <w:tcBorders>
              <w:top w:val="nil"/>
              <w:left w:val="nil"/>
              <w:bottom w:val="nil"/>
              <w:right w:val="nil"/>
            </w:tcBorders>
            <w:shd w:val="clear" w:color="auto" w:fill="auto"/>
            <w:vAlign w:val="center"/>
          </w:tcPr>
          <w:p w14:paraId="2D4EB7C2"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HDL cholesterol</w:t>
            </w:r>
          </w:p>
        </w:tc>
        <w:tc>
          <w:tcPr>
            <w:tcW w:w="2344" w:type="dxa"/>
            <w:tcBorders>
              <w:top w:val="nil"/>
              <w:left w:val="nil"/>
              <w:bottom w:val="nil"/>
              <w:right w:val="nil"/>
            </w:tcBorders>
            <w:vAlign w:val="center"/>
          </w:tcPr>
          <w:p w14:paraId="3FEC55DC"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Cardiometabolic</w:t>
            </w:r>
          </w:p>
        </w:tc>
        <w:tc>
          <w:tcPr>
            <w:tcW w:w="1308" w:type="dxa"/>
            <w:tcBorders>
              <w:top w:val="nil"/>
              <w:left w:val="nil"/>
              <w:bottom w:val="nil"/>
              <w:right w:val="nil"/>
            </w:tcBorders>
            <w:shd w:val="clear" w:color="auto" w:fill="auto"/>
            <w:vAlign w:val="center"/>
          </w:tcPr>
          <w:p w14:paraId="68A69E3A"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1284 (98.7%)</w:t>
            </w:r>
          </w:p>
        </w:tc>
        <w:tc>
          <w:tcPr>
            <w:tcW w:w="621" w:type="dxa"/>
            <w:tcBorders>
              <w:top w:val="nil"/>
              <w:left w:val="nil"/>
              <w:bottom w:val="nil"/>
              <w:right w:val="nil"/>
            </w:tcBorders>
            <w:shd w:val="clear" w:color="auto" w:fill="auto"/>
            <w:vAlign w:val="center"/>
          </w:tcPr>
          <w:p w14:paraId="5B1117F2"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0.7</w:t>
            </w:r>
          </w:p>
        </w:tc>
        <w:tc>
          <w:tcPr>
            <w:tcW w:w="588" w:type="dxa"/>
            <w:tcBorders>
              <w:top w:val="nil"/>
              <w:left w:val="nil"/>
              <w:bottom w:val="nil"/>
              <w:right w:val="nil"/>
            </w:tcBorders>
            <w:shd w:val="clear" w:color="auto" w:fill="auto"/>
            <w:vAlign w:val="center"/>
          </w:tcPr>
          <w:p w14:paraId="39D088F0"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1.3</w:t>
            </w:r>
          </w:p>
        </w:tc>
        <w:tc>
          <w:tcPr>
            <w:tcW w:w="897" w:type="dxa"/>
            <w:tcBorders>
              <w:top w:val="nil"/>
              <w:left w:val="nil"/>
              <w:bottom w:val="nil"/>
              <w:right w:val="nil"/>
            </w:tcBorders>
            <w:shd w:val="clear" w:color="auto" w:fill="auto"/>
            <w:vAlign w:val="center"/>
          </w:tcPr>
          <w:p w14:paraId="102239DB"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1.5</w:t>
            </w:r>
          </w:p>
        </w:tc>
        <w:tc>
          <w:tcPr>
            <w:tcW w:w="689" w:type="dxa"/>
            <w:tcBorders>
              <w:top w:val="nil"/>
              <w:left w:val="nil"/>
              <w:bottom w:val="nil"/>
              <w:right w:val="nil"/>
            </w:tcBorders>
            <w:shd w:val="clear" w:color="auto" w:fill="auto"/>
            <w:vAlign w:val="center"/>
          </w:tcPr>
          <w:p w14:paraId="0C1231CC"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1.7</w:t>
            </w:r>
          </w:p>
        </w:tc>
        <w:tc>
          <w:tcPr>
            <w:tcW w:w="691" w:type="dxa"/>
            <w:tcBorders>
              <w:top w:val="nil"/>
              <w:left w:val="nil"/>
              <w:bottom w:val="nil"/>
              <w:right w:val="nil"/>
            </w:tcBorders>
            <w:shd w:val="clear" w:color="auto" w:fill="auto"/>
            <w:vAlign w:val="center"/>
          </w:tcPr>
          <w:p w14:paraId="310D0B2B"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2.9</w:t>
            </w:r>
          </w:p>
        </w:tc>
      </w:tr>
      <w:tr w:rsidR="005E717B" w:rsidRPr="008A5C48" w14:paraId="1020C8BC" w14:textId="77777777" w:rsidTr="002D5EF6">
        <w:trPr>
          <w:trHeight w:val="325"/>
          <w:jc w:val="center"/>
        </w:trPr>
        <w:tc>
          <w:tcPr>
            <w:tcW w:w="2471" w:type="dxa"/>
            <w:tcBorders>
              <w:top w:val="nil"/>
              <w:left w:val="nil"/>
              <w:bottom w:val="nil"/>
              <w:right w:val="nil"/>
            </w:tcBorders>
            <w:shd w:val="clear" w:color="auto" w:fill="auto"/>
            <w:vAlign w:val="center"/>
          </w:tcPr>
          <w:p w14:paraId="043329A1"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Triglycerides</w:t>
            </w:r>
          </w:p>
        </w:tc>
        <w:tc>
          <w:tcPr>
            <w:tcW w:w="2344" w:type="dxa"/>
            <w:tcBorders>
              <w:top w:val="nil"/>
              <w:left w:val="nil"/>
              <w:bottom w:val="nil"/>
              <w:right w:val="nil"/>
            </w:tcBorders>
            <w:vAlign w:val="center"/>
          </w:tcPr>
          <w:p w14:paraId="39D0ACFA"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Cardiometabolic</w:t>
            </w:r>
          </w:p>
        </w:tc>
        <w:tc>
          <w:tcPr>
            <w:tcW w:w="1308" w:type="dxa"/>
            <w:tcBorders>
              <w:top w:val="nil"/>
              <w:left w:val="nil"/>
              <w:bottom w:val="nil"/>
              <w:right w:val="nil"/>
            </w:tcBorders>
            <w:shd w:val="clear" w:color="auto" w:fill="auto"/>
            <w:vAlign w:val="center"/>
          </w:tcPr>
          <w:p w14:paraId="1588C219"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1284 (98.7%)</w:t>
            </w:r>
          </w:p>
        </w:tc>
        <w:tc>
          <w:tcPr>
            <w:tcW w:w="621" w:type="dxa"/>
            <w:tcBorders>
              <w:top w:val="nil"/>
              <w:left w:val="nil"/>
              <w:bottom w:val="nil"/>
              <w:right w:val="nil"/>
            </w:tcBorders>
            <w:shd w:val="clear" w:color="auto" w:fill="auto"/>
            <w:vAlign w:val="center"/>
          </w:tcPr>
          <w:p w14:paraId="3A8AF34D"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0.28</w:t>
            </w:r>
          </w:p>
        </w:tc>
        <w:tc>
          <w:tcPr>
            <w:tcW w:w="588" w:type="dxa"/>
            <w:tcBorders>
              <w:top w:val="nil"/>
              <w:left w:val="nil"/>
              <w:bottom w:val="nil"/>
              <w:right w:val="nil"/>
            </w:tcBorders>
            <w:shd w:val="clear" w:color="auto" w:fill="auto"/>
            <w:vAlign w:val="center"/>
          </w:tcPr>
          <w:p w14:paraId="7FA4AFFA"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0.66</w:t>
            </w:r>
          </w:p>
        </w:tc>
        <w:tc>
          <w:tcPr>
            <w:tcW w:w="897" w:type="dxa"/>
            <w:tcBorders>
              <w:top w:val="nil"/>
              <w:left w:val="nil"/>
              <w:bottom w:val="nil"/>
              <w:right w:val="nil"/>
            </w:tcBorders>
            <w:shd w:val="clear" w:color="auto" w:fill="auto"/>
            <w:vAlign w:val="center"/>
          </w:tcPr>
          <w:p w14:paraId="6C00164F"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0.85</w:t>
            </w:r>
          </w:p>
        </w:tc>
        <w:tc>
          <w:tcPr>
            <w:tcW w:w="689" w:type="dxa"/>
            <w:tcBorders>
              <w:top w:val="nil"/>
              <w:left w:val="nil"/>
              <w:bottom w:val="nil"/>
              <w:right w:val="nil"/>
            </w:tcBorders>
            <w:shd w:val="clear" w:color="auto" w:fill="auto"/>
            <w:vAlign w:val="center"/>
          </w:tcPr>
          <w:p w14:paraId="5A64C4B7"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1.15</w:t>
            </w:r>
          </w:p>
        </w:tc>
        <w:tc>
          <w:tcPr>
            <w:tcW w:w="691" w:type="dxa"/>
            <w:tcBorders>
              <w:top w:val="nil"/>
              <w:left w:val="nil"/>
              <w:bottom w:val="nil"/>
              <w:right w:val="nil"/>
            </w:tcBorders>
            <w:shd w:val="clear" w:color="auto" w:fill="auto"/>
            <w:vAlign w:val="center"/>
          </w:tcPr>
          <w:p w14:paraId="66DB8F99"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4.37</w:t>
            </w:r>
          </w:p>
        </w:tc>
      </w:tr>
      <w:tr w:rsidR="005E717B" w:rsidRPr="008A5C48" w14:paraId="1D6B0A37" w14:textId="77777777" w:rsidTr="002D5EF6">
        <w:trPr>
          <w:trHeight w:val="325"/>
          <w:jc w:val="center"/>
        </w:trPr>
        <w:tc>
          <w:tcPr>
            <w:tcW w:w="2471" w:type="dxa"/>
            <w:tcBorders>
              <w:top w:val="nil"/>
              <w:left w:val="nil"/>
              <w:bottom w:val="nil"/>
              <w:right w:val="nil"/>
            </w:tcBorders>
            <w:shd w:val="clear" w:color="auto" w:fill="auto"/>
            <w:vAlign w:val="center"/>
          </w:tcPr>
          <w:p w14:paraId="54C19A34"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Insulin</w:t>
            </w:r>
            <w:r w:rsidRPr="00AF0ED1">
              <w:rPr>
                <w:rFonts w:ascii="Times New Roman" w:eastAsia="Times New Roman" w:hAnsi="Times New Roman" w:cs="Times New Roman"/>
                <w:bCs/>
                <w:sz w:val="20"/>
                <w:szCs w:val="20"/>
                <w:vertAlign w:val="superscript"/>
              </w:rPr>
              <w:t xml:space="preserve"> a</w:t>
            </w:r>
          </w:p>
        </w:tc>
        <w:tc>
          <w:tcPr>
            <w:tcW w:w="2344" w:type="dxa"/>
            <w:tcBorders>
              <w:top w:val="nil"/>
              <w:left w:val="nil"/>
              <w:bottom w:val="nil"/>
              <w:right w:val="nil"/>
            </w:tcBorders>
            <w:vAlign w:val="center"/>
          </w:tcPr>
          <w:p w14:paraId="2245A8CA"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Cardiometabolic</w:t>
            </w:r>
          </w:p>
        </w:tc>
        <w:tc>
          <w:tcPr>
            <w:tcW w:w="1308" w:type="dxa"/>
            <w:tcBorders>
              <w:top w:val="nil"/>
              <w:left w:val="nil"/>
              <w:bottom w:val="nil"/>
              <w:right w:val="nil"/>
            </w:tcBorders>
            <w:shd w:val="clear" w:color="auto" w:fill="auto"/>
            <w:vAlign w:val="center"/>
          </w:tcPr>
          <w:p w14:paraId="65691670"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1170 (89.9%)</w:t>
            </w:r>
          </w:p>
        </w:tc>
        <w:tc>
          <w:tcPr>
            <w:tcW w:w="621" w:type="dxa"/>
            <w:tcBorders>
              <w:top w:val="nil"/>
              <w:left w:val="nil"/>
              <w:bottom w:val="nil"/>
              <w:right w:val="nil"/>
            </w:tcBorders>
            <w:shd w:val="clear" w:color="auto" w:fill="auto"/>
            <w:vAlign w:val="center"/>
          </w:tcPr>
          <w:p w14:paraId="0B8EA45A"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89</w:t>
            </w:r>
          </w:p>
        </w:tc>
        <w:tc>
          <w:tcPr>
            <w:tcW w:w="588" w:type="dxa"/>
            <w:tcBorders>
              <w:top w:val="nil"/>
              <w:left w:val="nil"/>
              <w:bottom w:val="nil"/>
              <w:right w:val="nil"/>
            </w:tcBorders>
            <w:shd w:val="clear" w:color="auto" w:fill="auto"/>
            <w:vAlign w:val="center"/>
          </w:tcPr>
          <w:p w14:paraId="7A43C61E"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160</w:t>
            </w:r>
          </w:p>
        </w:tc>
        <w:tc>
          <w:tcPr>
            <w:tcW w:w="897" w:type="dxa"/>
            <w:tcBorders>
              <w:top w:val="nil"/>
              <w:left w:val="nil"/>
              <w:bottom w:val="nil"/>
              <w:right w:val="nil"/>
            </w:tcBorders>
            <w:shd w:val="clear" w:color="auto" w:fill="auto"/>
            <w:vAlign w:val="center"/>
          </w:tcPr>
          <w:p w14:paraId="15145A4C"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208</w:t>
            </w:r>
          </w:p>
        </w:tc>
        <w:tc>
          <w:tcPr>
            <w:tcW w:w="689" w:type="dxa"/>
            <w:tcBorders>
              <w:top w:val="nil"/>
              <w:left w:val="nil"/>
              <w:bottom w:val="nil"/>
              <w:right w:val="nil"/>
            </w:tcBorders>
            <w:shd w:val="clear" w:color="auto" w:fill="auto"/>
            <w:vAlign w:val="center"/>
          </w:tcPr>
          <w:p w14:paraId="48D8D094"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307</w:t>
            </w:r>
          </w:p>
        </w:tc>
        <w:tc>
          <w:tcPr>
            <w:tcW w:w="691" w:type="dxa"/>
            <w:tcBorders>
              <w:top w:val="nil"/>
              <w:left w:val="nil"/>
              <w:bottom w:val="nil"/>
              <w:right w:val="nil"/>
            </w:tcBorders>
            <w:shd w:val="clear" w:color="auto" w:fill="auto"/>
            <w:vAlign w:val="center"/>
          </w:tcPr>
          <w:p w14:paraId="40C695BB"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2740</w:t>
            </w:r>
          </w:p>
        </w:tc>
      </w:tr>
      <w:tr w:rsidR="005E717B" w:rsidRPr="008A5C48" w14:paraId="0C3AF78B" w14:textId="77777777" w:rsidTr="002D5EF6">
        <w:trPr>
          <w:trHeight w:val="325"/>
          <w:jc w:val="center"/>
        </w:trPr>
        <w:tc>
          <w:tcPr>
            <w:tcW w:w="2471" w:type="dxa"/>
            <w:tcBorders>
              <w:top w:val="nil"/>
              <w:left w:val="nil"/>
              <w:bottom w:val="nil"/>
              <w:right w:val="nil"/>
            </w:tcBorders>
            <w:shd w:val="clear" w:color="auto" w:fill="auto"/>
            <w:vAlign w:val="center"/>
          </w:tcPr>
          <w:p w14:paraId="2E73AD4F"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Systolic blood pressure</w:t>
            </w:r>
          </w:p>
        </w:tc>
        <w:tc>
          <w:tcPr>
            <w:tcW w:w="2344" w:type="dxa"/>
            <w:tcBorders>
              <w:top w:val="nil"/>
              <w:left w:val="nil"/>
              <w:bottom w:val="nil"/>
              <w:right w:val="nil"/>
            </w:tcBorders>
            <w:vAlign w:val="center"/>
          </w:tcPr>
          <w:p w14:paraId="26CC748F"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Cardiometabolic</w:t>
            </w:r>
          </w:p>
        </w:tc>
        <w:tc>
          <w:tcPr>
            <w:tcW w:w="1308" w:type="dxa"/>
            <w:tcBorders>
              <w:top w:val="nil"/>
              <w:left w:val="nil"/>
              <w:bottom w:val="nil"/>
              <w:right w:val="nil"/>
            </w:tcBorders>
            <w:shd w:val="clear" w:color="auto" w:fill="auto"/>
            <w:vAlign w:val="center"/>
          </w:tcPr>
          <w:p w14:paraId="0CA06905"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1298 (99.8%)</w:t>
            </w:r>
          </w:p>
        </w:tc>
        <w:tc>
          <w:tcPr>
            <w:tcW w:w="621" w:type="dxa"/>
            <w:tcBorders>
              <w:top w:val="nil"/>
              <w:left w:val="nil"/>
              <w:bottom w:val="nil"/>
              <w:right w:val="nil"/>
            </w:tcBorders>
            <w:shd w:val="clear" w:color="auto" w:fill="auto"/>
            <w:vAlign w:val="center"/>
          </w:tcPr>
          <w:p w14:paraId="00E99AD8"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71</w:t>
            </w:r>
          </w:p>
        </w:tc>
        <w:tc>
          <w:tcPr>
            <w:tcW w:w="588" w:type="dxa"/>
            <w:tcBorders>
              <w:top w:val="nil"/>
              <w:left w:val="nil"/>
              <w:bottom w:val="nil"/>
              <w:right w:val="nil"/>
            </w:tcBorders>
            <w:shd w:val="clear" w:color="auto" w:fill="auto"/>
            <w:vAlign w:val="center"/>
          </w:tcPr>
          <w:p w14:paraId="1CE60286"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92</w:t>
            </w:r>
          </w:p>
        </w:tc>
        <w:tc>
          <w:tcPr>
            <w:tcW w:w="897" w:type="dxa"/>
            <w:tcBorders>
              <w:top w:val="nil"/>
              <w:left w:val="nil"/>
              <w:bottom w:val="nil"/>
              <w:right w:val="nil"/>
            </w:tcBorders>
            <w:shd w:val="clear" w:color="auto" w:fill="auto"/>
            <w:vAlign w:val="center"/>
          </w:tcPr>
          <w:p w14:paraId="3EFB8F0B"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99</w:t>
            </w:r>
          </w:p>
        </w:tc>
        <w:tc>
          <w:tcPr>
            <w:tcW w:w="689" w:type="dxa"/>
            <w:tcBorders>
              <w:top w:val="nil"/>
              <w:left w:val="nil"/>
              <w:bottom w:val="nil"/>
              <w:right w:val="nil"/>
            </w:tcBorders>
            <w:shd w:val="clear" w:color="auto" w:fill="auto"/>
            <w:vAlign w:val="center"/>
          </w:tcPr>
          <w:p w14:paraId="53AB7F76"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107</w:t>
            </w:r>
          </w:p>
        </w:tc>
        <w:tc>
          <w:tcPr>
            <w:tcW w:w="691" w:type="dxa"/>
            <w:tcBorders>
              <w:top w:val="nil"/>
              <w:left w:val="nil"/>
              <w:bottom w:val="nil"/>
              <w:right w:val="nil"/>
            </w:tcBorders>
            <w:shd w:val="clear" w:color="auto" w:fill="auto"/>
            <w:vAlign w:val="center"/>
          </w:tcPr>
          <w:p w14:paraId="7545A795"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159</w:t>
            </w:r>
          </w:p>
        </w:tc>
      </w:tr>
      <w:tr w:rsidR="005E717B" w:rsidRPr="008A5C48" w14:paraId="1B032D68" w14:textId="77777777" w:rsidTr="002D5EF6">
        <w:trPr>
          <w:trHeight w:val="325"/>
          <w:jc w:val="center"/>
        </w:trPr>
        <w:tc>
          <w:tcPr>
            <w:tcW w:w="2471" w:type="dxa"/>
            <w:tcBorders>
              <w:top w:val="nil"/>
              <w:left w:val="nil"/>
              <w:bottom w:val="nil"/>
              <w:right w:val="nil"/>
            </w:tcBorders>
            <w:shd w:val="clear" w:color="auto" w:fill="auto"/>
            <w:vAlign w:val="center"/>
          </w:tcPr>
          <w:p w14:paraId="4D373F13"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Diastolic blood pressure</w:t>
            </w:r>
          </w:p>
        </w:tc>
        <w:tc>
          <w:tcPr>
            <w:tcW w:w="2344" w:type="dxa"/>
            <w:tcBorders>
              <w:top w:val="nil"/>
              <w:left w:val="nil"/>
              <w:bottom w:val="nil"/>
              <w:right w:val="nil"/>
            </w:tcBorders>
            <w:vAlign w:val="center"/>
          </w:tcPr>
          <w:p w14:paraId="5B7BA2DA"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Cardiometabolic</w:t>
            </w:r>
          </w:p>
        </w:tc>
        <w:tc>
          <w:tcPr>
            <w:tcW w:w="1308" w:type="dxa"/>
            <w:tcBorders>
              <w:top w:val="nil"/>
              <w:left w:val="nil"/>
              <w:bottom w:val="nil"/>
              <w:right w:val="nil"/>
            </w:tcBorders>
            <w:shd w:val="clear" w:color="auto" w:fill="auto"/>
            <w:vAlign w:val="center"/>
          </w:tcPr>
          <w:p w14:paraId="31237511"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1298 (99.8%)</w:t>
            </w:r>
          </w:p>
        </w:tc>
        <w:tc>
          <w:tcPr>
            <w:tcW w:w="621" w:type="dxa"/>
            <w:tcBorders>
              <w:top w:val="nil"/>
              <w:left w:val="nil"/>
              <w:bottom w:val="nil"/>
              <w:right w:val="nil"/>
            </w:tcBorders>
            <w:shd w:val="clear" w:color="auto" w:fill="auto"/>
            <w:vAlign w:val="center"/>
          </w:tcPr>
          <w:p w14:paraId="384EC7EC"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37</w:t>
            </w:r>
          </w:p>
        </w:tc>
        <w:tc>
          <w:tcPr>
            <w:tcW w:w="588" w:type="dxa"/>
            <w:tcBorders>
              <w:top w:val="nil"/>
              <w:left w:val="nil"/>
              <w:bottom w:val="nil"/>
              <w:right w:val="nil"/>
            </w:tcBorders>
            <w:shd w:val="clear" w:color="auto" w:fill="auto"/>
            <w:vAlign w:val="center"/>
          </w:tcPr>
          <w:p w14:paraId="41586BCC"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52.5</w:t>
            </w:r>
          </w:p>
        </w:tc>
        <w:tc>
          <w:tcPr>
            <w:tcW w:w="897" w:type="dxa"/>
            <w:tcBorders>
              <w:top w:val="nil"/>
              <w:left w:val="nil"/>
              <w:bottom w:val="nil"/>
              <w:right w:val="nil"/>
            </w:tcBorders>
            <w:shd w:val="clear" w:color="auto" w:fill="auto"/>
            <w:vAlign w:val="center"/>
          </w:tcPr>
          <w:p w14:paraId="782C3A63"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57</w:t>
            </w:r>
          </w:p>
        </w:tc>
        <w:tc>
          <w:tcPr>
            <w:tcW w:w="689" w:type="dxa"/>
            <w:tcBorders>
              <w:top w:val="nil"/>
              <w:left w:val="nil"/>
              <w:bottom w:val="nil"/>
              <w:right w:val="nil"/>
            </w:tcBorders>
            <w:shd w:val="clear" w:color="auto" w:fill="auto"/>
            <w:vAlign w:val="center"/>
          </w:tcPr>
          <w:p w14:paraId="53C8DA88"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62.5</w:t>
            </w:r>
          </w:p>
        </w:tc>
        <w:tc>
          <w:tcPr>
            <w:tcW w:w="691" w:type="dxa"/>
            <w:tcBorders>
              <w:top w:val="nil"/>
              <w:left w:val="nil"/>
              <w:bottom w:val="nil"/>
              <w:right w:val="nil"/>
            </w:tcBorders>
            <w:shd w:val="clear" w:color="auto" w:fill="auto"/>
            <w:vAlign w:val="center"/>
          </w:tcPr>
          <w:p w14:paraId="5B7462E7"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118.5</w:t>
            </w:r>
          </w:p>
        </w:tc>
      </w:tr>
      <w:tr w:rsidR="005E717B" w:rsidRPr="008A5C48" w14:paraId="27D0EBD5" w14:textId="77777777" w:rsidTr="002D5EF6">
        <w:trPr>
          <w:trHeight w:val="325"/>
          <w:jc w:val="center"/>
        </w:trPr>
        <w:tc>
          <w:tcPr>
            <w:tcW w:w="2471" w:type="dxa"/>
            <w:tcBorders>
              <w:top w:val="nil"/>
              <w:left w:val="nil"/>
              <w:bottom w:val="nil"/>
              <w:right w:val="nil"/>
            </w:tcBorders>
            <w:shd w:val="clear" w:color="auto" w:fill="auto"/>
            <w:vAlign w:val="center"/>
          </w:tcPr>
          <w:p w14:paraId="63F1C16D"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Circumference of the waist</w:t>
            </w:r>
          </w:p>
        </w:tc>
        <w:tc>
          <w:tcPr>
            <w:tcW w:w="2344" w:type="dxa"/>
            <w:tcBorders>
              <w:top w:val="nil"/>
              <w:left w:val="nil"/>
              <w:bottom w:val="nil"/>
              <w:right w:val="nil"/>
            </w:tcBorders>
            <w:vAlign w:val="center"/>
          </w:tcPr>
          <w:p w14:paraId="4C9659D9"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Cardiometabolic</w:t>
            </w:r>
          </w:p>
        </w:tc>
        <w:tc>
          <w:tcPr>
            <w:tcW w:w="1308" w:type="dxa"/>
            <w:tcBorders>
              <w:top w:val="nil"/>
              <w:left w:val="nil"/>
              <w:bottom w:val="nil"/>
              <w:right w:val="nil"/>
            </w:tcBorders>
            <w:shd w:val="clear" w:color="auto" w:fill="auto"/>
            <w:vAlign w:val="center"/>
          </w:tcPr>
          <w:p w14:paraId="3F01BF36"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1299 (99.8%)</w:t>
            </w:r>
          </w:p>
        </w:tc>
        <w:tc>
          <w:tcPr>
            <w:tcW w:w="621" w:type="dxa"/>
            <w:tcBorders>
              <w:top w:val="nil"/>
              <w:left w:val="nil"/>
              <w:bottom w:val="nil"/>
              <w:right w:val="nil"/>
            </w:tcBorders>
            <w:shd w:val="clear" w:color="auto" w:fill="auto"/>
            <w:vAlign w:val="center"/>
          </w:tcPr>
          <w:p w14:paraId="41114B3E"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21</w:t>
            </w:r>
          </w:p>
        </w:tc>
        <w:tc>
          <w:tcPr>
            <w:tcW w:w="588" w:type="dxa"/>
            <w:tcBorders>
              <w:top w:val="nil"/>
              <w:left w:val="nil"/>
              <w:bottom w:val="nil"/>
              <w:right w:val="nil"/>
            </w:tcBorders>
            <w:shd w:val="clear" w:color="auto" w:fill="auto"/>
            <w:vAlign w:val="center"/>
          </w:tcPr>
          <w:p w14:paraId="4F804E15"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54</w:t>
            </w:r>
          </w:p>
        </w:tc>
        <w:tc>
          <w:tcPr>
            <w:tcW w:w="897" w:type="dxa"/>
            <w:tcBorders>
              <w:top w:val="nil"/>
              <w:left w:val="nil"/>
              <w:bottom w:val="nil"/>
              <w:right w:val="nil"/>
            </w:tcBorders>
            <w:shd w:val="clear" w:color="auto" w:fill="auto"/>
            <w:vAlign w:val="center"/>
          </w:tcPr>
          <w:p w14:paraId="08405D30"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57</w:t>
            </w:r>
          </w:p>
        </w:tc>
        <w:tc>
          <w:tcPr>
            <w:tcW w:w="689" w:type="dxa"/>
            <w:tcBorders>
              <w:top w:val="nil"/>
              <w:left w:val="nil"/>
              <w:bottom w:val="nil"/>
              <w:right w:val="nil"/>
            </w:tcBorders>
            <w:shd w:val="clear" w:color="auto" w:fill="auto"/>
            <w:vAlign w:val="center"/>
          </w:tcPr>
          <w:p w14:paraId="2843C0F2"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62</w:t>
            </w:r>
          </w:p>
        </w:tc>
        <w:tc>
          <w:tcPr>
            <w:tcW w:w="691" w:type="dxa"/>
            <w:tcBorders>
              <w:top w:val="nil"/>
              <w:left w:val="nil"/>
              <w:bottom w:val="nil"/>
              <w:right w:val="nil"/>
            </w:tcBorders>
            <w:shd w:val="clear" w:color="auto" w:fill="auto"/>
            <w:vAlign w:val="center"/>
          </w:tcPr>
          <w:p w14:paraId="4A4DDAD5"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93</w:t>
            </w:r>
          </w:p>
        </w:tc>
      </w:tr>
      <w:tr w:rsidR="005E717B" w:rsidRPr="008A5C48" w14:paraId="571D4CA6" w14:textId="77777777" w:rsidTr="002D5EF6">
        <w:trPr>
          <w:trHeight w:val="325"/>
          <w:jc w:val="center"/>
        </w:trPr>
        <w:tc>
          <w:tcPr>
            <w:tcW w:w="2471" w:type="dxa"/>
            <w:tcBorders>
              <w:top w:val="nil"/>
              <w:left w:val="nil"/>
              <w:bottom w:val="nil"/>
              <w:right w:val="nil"/>
            </w:tcBorders>
            <w:shd w:val="clear" w:color="auto" w:fill="auto"/>
            <w:vAlign w:val="center"/>
          </w:tcPr>
          <w:p w14:paraId="14F404AD"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ADHD</w:t>
            </w:r>
          </w:p>
        </w:tc>
        <w:tc>
          <w:tcPr>
            <w:tcW w:w="2344" w:type="dxa"/>
            <w:tcBorders>
              <w:top w:val="nil"/>
              <w:left w:val="nil"/>
              <w:bottom w:val="nil"/>
              <w:right w:val="nil"/>
            </w:tcBorders>
            <w:vAlign w:val="center"/>
          </w:tcPr>
          <w:p w14:paraId="70642076"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Mental-Cognition</w:t>
            </w:r>
          </w:p>
        </w:tc>
        <w:tc>
          <w:tcPr>
            <w:tcW w:w="1308" w:type="dxa"/>
            <w:tcBorders>
              <w:top w:val="nil"/>
              <w:left w:val="nil"/>
              <w:bottom w:val="nil"/>
              <w:right w:val="nil"/>
            </w:tcBorders>
            <w:shd w:val="clear" w:color="auto" w:fill="auto"/>
            <w:vAlign w:val="center"/>
          </w:tcPr>
          <w:p w14:paraId="4C3E30DF"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1292 (99.3%)</w:t>
            </w:r>
          </w:p>
        </w:tc>
        <w:tc>
          <w:tcPr>
            <w:tcW w:w="621" w:type="dxa"/>
            <w:tcBorders>
              <w:top w:val="nil"/>
              <w:left w:val="nil"/>
              <w:bottom w:val="nil"/>
              <w:right w:val="nil"/>
            </w:tcBorders>
            <w:shd w:val="clear" w:color="auto" w:fill="auto"/>
            <w:vAlign w:val="center"/>
          </w:tcPr>
          <w:p w14:paraId="08E5CB55"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0</w:t>
            </w:r>
          </w:p>
        </w:tc>
        <w:tc>
          <w:tcPr>
            <w:tcW w:w="588" w:type="dxa"/>
            <w:tcBorders>
              <w:top w:val="nil"/>
              <w:left w:val="nil"/>
              <w:bottom w:val="nil"/>
              <w:right w:val="nil"/>
            </w:tcBorders>
            <w:shd w:val="clear" w:color="auto" w:fill="auto"/>
            <w:vAlign w:val="center"/>
          </w:tcPr>
          <w:p w14:paraId="72B63A11"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2</w:t>
            </w:r>
          </w:p>
        </w:tc>
        <w:tc>
          <w:tcPr>
            <w:tcW w:w="897" w:type="dxa"/>
            <w:tcBorders>
              <w:top w:val="nil"/>
              <w:left w:val="nil"/>
              <w:bottom w:val="nil"/>
              <w:right w:val="nil"/>
            </w:tcBorders>
            <w:shd w:val="clear" w:color="auto" w:fill="auto"/>
            <w:vAlign w:val="center"/>
          </w:tcPr>
          <w:p w14:paraId="53DE953C"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6</w:t>
            </w:r>
          </w:p>
        </w:tc>
        <w:tc>
          <w:tcPr>
            <w:tcW w:w="689" w:type="dxa"/>
            <w:tcBorders>
              <w:top w:val="nil"/>
              <w:left w:val="nil"/>
              <w:bottom w:val="nil"/>
              <w:right w:val="nil"/>
            </w:tcBorders>
            <w:shd w:val="clear" w:color="auto" w:fill="auto"/>
            <w:vAlign w:val="center"/>
          </w:tcPr>
          <w:p w14:paraId="1D1010C4"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11</w:t>
            </w:r>
          </w:p>
        </w:tc>
        <w:tc>
          <w:tcPr>
            <w:tcW w:w="691" w:type="dxa"/>
            <w:tcBorders>
              <w:top w:val="nil"/>
              <w:left w:val="nil"/>
              <w:bottom w:val="nil"/>
              <w:right w:val="nil"/>
            </w:tcBorders>
            <w:shd w:val="clear" w:color="auto" w:fill="auto"/>
            <w:vAlign w:val="center"/>
          </w:tcPr>
          <w:p w14:paraId="0C5FED3F"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35</w:t>
            </w:r>
          </w:p>
        </w:tc>
      </w:tr>
      <w:tr w:rsidR="005E717B" w:rsidRPr="008A5C48" w14:paraId="0D82B422" w14:textId="77777777" w:rsidTr="002D5EF6">
        <w:trPr>
          <w:trHeight w:val="325"/>
          <w:jc w:val="center"/>
        </w:trPr>
        <w:tc>
          <w:tcPr>
            <w:tcW w:w="2471" w:type="dxa"/>
            <w:tcBorders>
              <w:top w:val="nil"/>
              <w:left w:val="nil"/>
              <w:bottom w:val="nil"/>
              <w:right w:val="nil"/>
            </w:tcBorders>
            <w:shd w:val="clear" w:color="auto" w:fill="auto"/>
            <w:vAlign w:val="center"/>
          </w:tcPr>
          <w:p w14:paraId="1A125014"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Internalizing</w:t>
            </w:r>
          </w:p>
        </w:tc>
        <w:tc>
          <w:tcPr>
            <w:tcW w:w="2344" w:type="dxa"/>
            <w:tcBorders>
              <w:top w:val="nil"/>
              <w:left w:val="nil"/>
              <w:bottom w:val="nil"/>
              <w:right w:val="nil"/>
            </w:tcBorders>
            <w:vAlign w:val="center"/>
          </w:tcPr>
          <w:p w14:paraId="4B96C597"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Mental-Cognition</w:t>
            </w:r>
          </w:p>
        </w:tc>
        <w:tc>
          <w:tcPr>
            <w:tcW w:w="1308" w:type="dxa"/>
            <w:tcBorders>
              <w:top w:val="nil"/>
              <w:left w:val="nil"/>
              <w:bottom w:val="nil"/>
              <w:right w:val="nil"/>
            </w:tcBorders>
            <w:shd w:val="clear" w:color="auto" w:fill="auto"/>
            <w:vAlign w:val="center"/>
          </w:tcPr>
          <w:p w14:paraId="7226FFC7"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1294 (99.5%)</w:t>
            </w:r>
          </w:p>
        </w:tc>
        <w:tc>
          <w:tcPr>
            <w:tcW w:w="621" w:type="dxa"/>
            <w:tcBorders>
              <w:top w:val="nil"/>
              <w:left w:val="nil"/>
              <w:bottom w:val="nil"/>
              <w:right w:val="nil"/>
            </w:tcBorders>
            <w:shd w:val="clear" w:color="auto" w:fill="auto"/>
            <w:vAlign w:val="center"/>
          </w:tcPr>
          <w:p w14:paraId="5D2F71E6"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0</w:t>
            </w:r>
          </w:p>
        </w:tc>
        <w:tc>
          <w:tcPr>
            <w:tcW w:w="588" w:type="dxa"/>
            <w:tcBorders>
              <w:top w:val="nil"/>
              <w:left w:val="nil"/>
              <w:bottom w:val="nil"/>
              <w:right w:val="nil"/>
            </w:tcBorders>
            <w:shd w:val="clear" w:color="auto" w:fill="auto"/>
            <w:vAlign w:val="center"/>
          </w:tcPr>
          <w:p w14:paraId="00316118"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2</w:t>
            </w:r>
          </w:p>
        </w:tc>
        <w:tc>
          <w:tcPr>
            <w:tcW w:w="897" w:type="dxa"/>
            <w:tcBorders>
              <w:top w:val="nil"/>
              <w:left w:val="nil"/>
              <w:bottom w:val="nil"/>
              <w:right w:val="nil"/>
            </w:tcBorders>
            <w:shd w:val="clear" w:color="auto" w:fill="auto"/>
            <w:vAlign w:val="center"/>
          </w:tcPr>
          <w:p w14:paraId="016695B6"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5</w:t>
            </w:r>
          </w:p>
        </w:tc>
        <w:tc>
          <w:tcPr>
            <w:tcW w:w="689" w:type="dxa"/>
            <w:tcBorders>
              <w:top w:val="nil"/>
              <w:left w:val="nil"/>
              <w:bottom w:val="nil"/>
              <w:right w:val="nil"/>
            </w:tcBorders>
            <w:shd w:val="clear" w:color="auto" w:fill="auto"/>
            <w:vAlign w:val="center"/>
          </w:tcPr>
          <w:p w14:paraId="578A1F3D"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9</w:t>
            </w:r>
          </w:p>
        </w:tc>
        <w:tc>
          <w:tcPr>
            <w:tcW w:w="691" w:type="dxa"/>
            <w:tcBorders>
              <w:top w:val="nil"/>
              <w:left w:val="nil"/>
              <w:bottom w:val="nil"/>
              <w:right w:val="nil"/>
            </w:tcBorders>
            <w:shd w:val="clear" w:color="auto" w:fill="auto"/>
            <w:vAlign w:val="center"/>
          </w:tcPr>
          <w:p w14:paraId="68DD513E"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42</w:t>
            </w:r>
          </w:p>
        </w:tc>
      </w:tr>
      <w:tr w:rsidR="005E717B" w:rsidRPr="008A5C48" w14:paraId="455023AD" w14:textId="77777777" w:rsidTr="002D5EF6">
        <w:trPr>
          <w:trHeight w:val="325"/>
          <w:jc w:val="center"/>
        </w:trPr>
        <w:tc>
          <w:tcPr>
            <w:tcW w:w="2471" w:type="dxa"/>
            <w:tcBorders>
              <w:top w:val="nil"/>
              <w:left w:val="nil"/>
              <w:bottom w:val="nil"/>
              <w:right w:val="nil"/>
            </w:tcBorders>
            <w:shd w:val="clear" w:color="auto" w:fill="auto"/>
            <w:vAlign w:val="center"/>
          </w:tcPr>
          <w:p w14:paraId="6A453273"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Externalizing</w:t>
            </w:r>
          </w:p>
        </w:tc>
        <w:tc>
          <w:tcPr>
            <w:tcW w:w="2344" w:type="dxa"/>
            <w:tcBorders>
              <w:top w:val="nil"/>
              <w:left w:val="nil"/>
              <w:bottom w:val="nil"/>
              <w:right w:val="nil"/>
            </w:tcBorders>
            <w:vAlign w:val="center"/>
          </w:tcPr>
          <w:p w14:paraId="7BAD4528"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Mental-Cognition</w:t>
            </w:r>
          </w:p>
        </w:tc>
        <w:tc>
          <w:tcPr>
            <w:tcW w:w="1308" w:type="dxa"/>
            <w:tcBorders>
              <w:top w:val="nil"/>
              <w:left w:val="nil"/>
              <w:bottom w:val="nil"/>
              <w:right w:val="nil"/>
            </w:tcBorders>
            <w:shd w:val="clear" w:color="auto" w:fill="auto"/>
            <w:vAlign w:val="center"/>
          </w:tcPr>
          <w:p w14:paraId="41431880"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1294 (99.5%)</w:t>
            </w:r>
          </w:p>
        </w:tc>
        <w:tc>
          <w:tcPr>
            <w:tcW w:w="621" w:type="dxa"/>
            <w:tcBorders>
              <w:top w:val="nil"/>
              <w:left w:val="nil"/>
              <w:bottom w:val="nil"/>
              <w:right w:val="nil"/>
            </w:tcBorders>
            <w:shd w:val="clear" w:color="auto" w:fill="auto"/>
            <w:vAlign w:val="center"/>
          </w:tcPr>
          <w:p w14:paraId="460FC1D6"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0</w:t>
            </w:r>
          </w:p>
        </w:tc>
        <w:tc>
          <w:tcPr>
            <w:tcW w:w="588" w:type="dxa"/>
            <w:tcBorders>
              <w:top w:val="nil"/>
              <w:left w:val="nil"/>
              <w:bottom w:val="nil"/>
              <w:right w:val="nil"/>
            </w:tcBorders>
            <w:shd w:val="clear" w:color="auto" w:fill="auto"/>
            <w:vAlign w:val="center"/>
          </w:tcPr>
          <w:p w14:paraId="658C18B0"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2</w:t>
            </w:r>
          </w:p>
        </w:tc>
        <w:tc>
          <w:tcPr>
            <w:tcW w:w="897" w:type="dxa"/>
            <w:tcBorders>
              <w:top w:val="nil"/>
              <w:left w:val="nil"/>
              <w:bottom w:val="nil"/>
              <w:right w:val="nil"/>
            </w:tcBorders>
            <w:shd w:val="clear" w:color="auto" w:fill="auto"/>
            <w:vAlign w:val="center"/>
          </w:tcPr>
          <w:p w14:paraId="4A9C11FF"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5</w:t>
            </w:r>
          </w:p>
        </w:tc>
        <w:tc>
          <w:tcPr>
            <w:tcW w:w="689" w:type="dxa"/>
            <w:tcBorders>
              <w:top w:val="nil"/>
              <w:left w:val="nil"/>
              <w:bottom w:val="nil"/>
              <w:right w:val="nil"/>
            </w:tcBorders>
            <w:shd w:val="clear" w:color="auto" w:fill="auto"/>
            <w:vAlign w:val="center"/>
          </w:tcPr>
          <w:p w14:paraId="606B395A"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10</w:t>
            </w:r>
          </w:p>
        </w:tc>
        <w:tc>
          <w:tcPr>
            <w:tcW w:w="691" w:type="dxa"/>
            <w:tcBorders>
              <w:top w:val="nil"/>
              <w:left w:val="nil"/>
              <w:bottom w:val="nil"/>
              <w:right w:val="nil"/>
            </w:tcBorders>
            <w:shd w:val="clear" w:color="auto" w:fill="auto"/>
            <w:vAlign w:val="center"/>
          </w:tcPr>
          <w:p w14:paraId="0C842A1C"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38</w:t>
            </w:r>
          </w:p>
        </w:tc>
      </w:tr>
      <w:tr w:rsidR="005E717B" w:rsidRPr="008A5C48" w14:paraId="68A39B0F" w14:textId="77777777" w:rsidTr="002D5EF6">
        <w:trPr>
          <w:trHeight w:val="325"/>
          <w:jc w:val="center"/>
        </w:trPr>
        <w:tc>
          <w:tcPr>
            <w:tcW w:w="2471" w:type="dxa"/>
            <w:tcBorders>
              <w:top w:val="nil"/>
              <w:left w:val="nil"/>
              <w:bottom w:val="nil"/>
              <w:right w:val="nil"/>
            </w:tcBorders>
            <w:shd w:val="clear" w:color="auto" w:fill="auto"/>
            <w:vAlign w:val="center"/>
          </w:tcPr>
          <w:p w14:paraId="2E7583D5"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Raven score</w:t>
            </w:r>
          </w:p>
        </w:tc>
        <w:tc>
          <w:tcPr>
            <w:tcW w:w="2344" w:type="dxa"/>
            <w:tcBorders>
              <w:top w:val="nil"/>
              <w:left w:val="nil"/>
              <w:bottom w:val="nil"/>
              <w:right w:val="nil"/>
            </w:tcBorders>
            <w:vAlign w:val="center"/>
          </w:tcPr>
          <w:p w14:paraId="6D4F5001"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Mental-Cognition</w:t>
            </w:r>
          </w:p>
        </w:tc>
        <w:tc>
          <w:tcPr>
            <w:tcW w:w="1308" w:type="dxa"/>
            <w:tcBorders>
              <w:top w:val="nil"/>
              <w:left w:val="nil"/>
              <w:bottom w:val="nil"/>
              <w:right w:val="nil"/>
            </w:tcBorders>
            <w:shd w:val="clear" w:color="auto" w:fill="auto"/>
            <w:vAlign w:val="center"/>
          </w:tcPr>
          <w:p w14:paraId="16BD1719"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1292 (99.3%)</w:t>
            </w:r>
          </w:p>
        </w:tc>
        <w:tc>
          <w:tcPr>
            <w:tcW w:w="621" w:type="dxa"/>
            <w:tcBorders>
              <w:top w:val="nil"/>
              <w:left w:val="nil"/>
              <w:bottom w:val="nil"/>
              <w:right w:val="nil"/>
            </w:tcBorders>
            <w:shd w:val="clear" w:color="auto" w:fill="auto"/>
            <w:vAlign w:val="center"/>
          </w:tcPr>
          <w:p w14:paraId="6F2BE0BD"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9</w:t>
            </w:r>
          </w:p>
        </w:tc>
        <w:tc>
          <w:tcPr>
            <w:tcW w:w="588" w:type="dxa"/>
            <w:tcBorders>
              <w:top w:val="nil"/>
              <w:left w:val="nil"/>
              <w:bottom w:val="nil"/>
              <w:right w:val="nil"/>
            </w:tcBorders>
            <w:shd w:val="clear" w:color="auto" w:fill="auto"/>
            <w:vAlign w:val="center"/>
          </w:tcPr>
          <w:p w14:paraId="01599785"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22</w:t>
            </w:r>
          </w:p>
        </w:tc>
        <w:tc>
          <w:tcPr>
            <w:tcW w:w="897" w:type="dxa"/>
            <w:tcBorders>
              <w:top w:val="nil"/>
              <w:left w:val="nil"/>
              <w:bottom w:val="nil"/>
              <w:right w:val="nil"/>
            </w:tcBorders>
            <w:shd w:val="clear" w:color="auto" w:fill="auto"/>
            <w:vAlign w:val="center"/>
          </w:tcPr>
          <w:p w14:paraId="6516694F"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27</w:t>
            </w:r>
          </w:p>
        </w:tc>
        <w:tc>
          <w:tcPr>
            <w:tcW w:w="689" w:type="dxa"/>
            <w:tcBorders>
              <w:top w:val="nil"/>
              <w:left w:val="nil"/>
              <w:bottom w:val="nil"/>
              <w:right w:val="nil"/>
            </w:tcBorders>
            <w:shd w:val="clear" w:color="auto" w:fill="auto"/>
            <w:vAlign w:val="center"/>
          </w:tcPr>
          <w:p w14:paraId="27D2EB0C"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32</w:t>
            </w:r>
          </w:p>
        </w:tc>
        <w:tc>
          <w:tcPr>
            <w:tcW w:w="691" w:type="dxa"/>
            <w:tcBorders>
              <w:top w:val="nil"/>
              <w:left w:val="nil"/>
              <w:bottom w:val="nil"/>
              <w:right w:val="nil"/>
            </w:tcBorders>
            <w:shd w:val="clear" w:color="auto" w:fill="auto"/>
            <w:vAlign w:val="center"/>
          </w:tcPr>
          <w:p w14:paraId="618FE727"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36</w:t>
            </w:r>
          </w:p>
        </w:tc>
      </w:tr>
      <w:tr w:rsidR="005E717B" w:rsidRPr="008A5C48" w14:paraId="39842A09" w14:textId="77777777" w:rsidTr="002D5EF6">
        <w:trPr>
          <w:trHeight w:val="342"/>
          <w:jc w:val="center"/>
        </w:trPr>
        <w:tc>
          <w:tcPr>
            <w:tcW w:w="2471" w:type="dxa"/>
            <w:tcBorders>
              <w:top w:val="nil"/>
              <w:left w:val="nil"/>
              <w:bottom w:val="nil"/>
              <w:right w:val="nil"/>
            </w:tcBorders>
            <w:shd w:val="clear" w:color="auto" w:fill="auto"/>
            <w:vAlign w:val="center"/>
          </w:tcPr>
          <w:p w14:paraId="67806AC2"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FEV1-pred</w:t>
            </w:r>
          </w:p>
        </w:tc>
        <w:tc>
          <w:tcPr>
            <w:tcW w:w="2344" w:type="dxa"/>
            <w:tcBorders>
              <w:top w:val="nil"/>
              <w:left w:val="nil"/>
              <w:bottom w:val="nil"/>
              <w:right w:val="nil"/>
            </w:tcBorders>
            <w:vAlign w:val="center"/>
          </w:tcPr>
          <w:p w14:paraId="448C8C49"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Respiratory - Allergies</w:t>
            </w:r>
          </w:p>
        </w:tc>
        <w:tc>
          <w:tcPr>
            <w:tcW w:w="1308" w:type="dxa"/>
            <w:tcBorders>
              <w:top w:val="nil"/>
              <w:left w:val="nil"/>
              <w:bottom w:val="nil"/>
              <w:right w:val="nil"/>
            </w:tcBorders>
            <w:shd w:val="clear" w:color="auto" w:fill="auto"/>
            <w:vAlign w:val="center"/>
          </w:tcPr>
          <w:p w14:paraId="5EEEB75E"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1033 (79.4%)</w:t>
            </w:r>
          </w:p>
        </w:tc>
        <w:tc>
          <w:tcPr>
            <w:tcW w:w="621" w:type="dxa"/>
            <w:tcBorders>
              <w:top w:val="nil"/>
              <w:left w:val="nil"/>
              <w:bottom w:val="nil"/>
              <w:right w:val="nil"/>
            </w:tcBorders>
            <w:shd w:val="clear" w:color="auto" w:fill="auto"/>
            <w:vAlign w:val="center"/>
          </w:tcPr>
          <w:p w14:paraId="06FD6BBE"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60.9</w:t>
            </w:r>
          </w:p>
        </w:tc>
        <w:tc>
          <w:tcPr>
            <w:tcW w:w="588" w:type="dxa"/>
            <w:tcBorders>
              <w:top w:val="nil"/>
              <w:left w:val="nil"/>
              <w:bottom w:val="nil"/>
              <w:right w:val="nil"/>
            </w:tcBorders>
            <w:shd w:val="clear" w:color="auto" w:fill="auto"/>
            <w:vAlign w:val="center"/>
          </w:tcPr>
          <w:p w14:paraId="431AFC4A"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89.6</w:t>
            </w:r>
          </w:p>
        </w:tc>
        <w:tc>
          <w:tcPr>
            <w:tcW w:w="897" w:type="dxa"/>
            <w:tcBorders>
              <w:top w:val="nil"/>
              <w:left w:val="nil"/>
              <w:bottom w:val="nil"/>
              <w:right w:val="nil"/>
            </w:tcBorders>
            <w:shd w:val="clear" w:color="auto" w:fill="auto"/>
            <w:vAlign w:val="center"/>
          </w:tcPr>
          <w:p w14:paraId="7D4D796C"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98.6</w:t>
            </w:r>
          </w:p>
        </w:tc>
        <w:tc>
          <w:tcPr>
            <w:tcW w:w="689" w:type="dxa"/>
            <w:tcBorders>
              <w:top w:val="nil"/>
              <w:left w:val="nil"/>
              <w:bottom w:val="nil"/>
              <w:right w:val="nil"/>
            </w:tcBorders>
            <w:shd w:val="clear" w:color="auto" w:fill="auto"/>
            <w:vAlign w:val="center"/>
          </w:tcPr>
          <w:p w14:paraId="20381C92"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107.4</w:t>
            </w:r>
          </w:p>
        </w:tc>
        <w:tc>
          <w:tcPr>
            <w:tcW w:w="691" w:type="dxa"/>
            <w:tcBorders>
              <w:top w:val="nil"/>
              <w:left w:val="nil"/>
              <w:bottom w:val="nil"/>
              <w:right w:val="nil"/>
            </w:tcBorders>
            <w:shd w:val="clear" w:color="auto" w:fill="auto"/>
            <w:vAlign w:val="center"/>
          </w:tcPr>
          <w:p w14:paraId="23ACDC17"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139.2</w:t>
            </w:r>
          </w:p>
        </w:tc>
      </w:tr>
      <w:tr w:rsidR="005E717B" w:rsidRPr="008A5C48" w14:paraId="26854E21" w14:textId="77777777" w:rsidTr="002D5EF6">
        <w:trPr>
          <w:trHeight w:val="635"/>
          <w:jc w:val="center"/>
        </w:trPr>
        <w:tc>
          <w:tcPr>
            <w:tcW w:w="2471" w:type="dxa"/>
            <w:tcBorders>
              <w:top w:val="single" w:sz="8" w:space="0" w:color="000000"/>
              <w:left w:val="nil"/>
              <w:bottom w:val="single" w:sz="8" w:space="0" w:color="000000"/>
              <w:right w:val="nil"/>
            </w:tcBorders>
            <w:shd w:val="clear" w:color="auto" w:fill="auto"/>
            <w:vAlign w:val="center"/>
          </w:tcPr>
          <w:p w14:paraId="1E4D6048" w14:textId="77777777" w:rsidR="005E717B" w:rsidRPr="00AF0ED1" w:rsidRDefault="00966211" w:rsidP="00FB6412">
            <w:pPr>
              <w:spacing w:after="0" w:line="240" w:lineRule="auto"/>
              <w:contextualSpacing/>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Variable name</w:t>
            </w:r>
          </w:p>
        </w:tc>
        <w:tc>
          <w:tcPr>
            <w:tcW w:w="2344" w:type="dxa"/>
            <w:tcBorders>
              <w:top w:val="single" w:sz="8" w:space="0" w:color="000000"/>
              <w:left w:val="nil"/>
              <w:bottom w:val="single" w:sz="8" w:space="0" w:color="000000"/>
              <w:right w:val="nil"/>
            </w:tcBorders>
            <w:vAlign w:val="center"/>
          </w:tcPr>
          <w:p w14:paraId="197368CD" w14:textId="77777777" w:rsidR="005E717B" w:rsidRPr="00AF0ED1" w:rsidRDefault="005E717B" w:rsidP="00FB6412">
            <w:pPr>
              <w:spacing w:after="0" w:line="240" w:lineRule="auto"/>
              <w:contextualSpacing/>
              <w:jc w:val="center"/>
              <w:rPr>
                <w:rFonts w:ascii="Times New Roman" w:eastAsia="Times New Roman" w:hAnsi="Times New Roman" w:cs="Times New Roman"/>
                <w:bCs/>
                <w:color w:val="000000"/>
                <w:sz w:val="20"/>
                <w:szCs w:val="20"/>
              </w:rPr>
            </w:pPr>
          </w:p>
        </w:tc>
        <w:tc>
          <w:tcPr>
            <w:tcW w:w="1308" w:type="dxa"/>
            <w:tcBorders>
              <w:top w:val="single" w:sz="8" w:space="0" w:color="000000"/>
              <w:left w:val="nil"/>
              <w:bottom w:val="single" w:sz="8" w:space="0" w:color="000000"/>
              <w:right w:val="nil"/>
            </w:tcBorders>
            <w:shd w:val="clear" w:color="auto" w:fill="auto"/>
            <w:vAlign w:val="center"/>
          </w:tcPr>
          <w:p w14:paraId="7B882E40"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N (%)</w:t>
            </w:r>
          </w:p>
        </w:tc>
        <w:tc>
          <w:tcPr>
            <w:tcW w:w="3489" w:type="dxa"/>
            <w:gridSpan w:val="5"/>
            <w:tcBorders>
              <w:top w:val="single" w:sz="4" w:space="0" w:color="000000"/>
              <w:left w:val="nil"/>
              <w:bottom w:val="single" w:sz="4" w:space="0" w:color="000000"/>
              <w:right w:val="nil"/>
            </w:tcBorders>
            <w:shd w:val="clear" w:color="auto" w:fill="auto"/>
            <w:vAlign w:val="center"/>
          </w:tcPr>
          <w:p w14:paraId="32634CC7" w14:textId="77777777" w:rsidR="005E717B" w:rsidRPr="00AF0ED1" w:rsidRDefault="00966211" w:rsidP="00FB6412">
            <w:pPr>
              <w:spacing w:after="0" w:line="240" w:lineRule="auto"/>
              <w:contextualSpacing/>
              <w:jc w:val="center"/>
              <w:rPr>
                <w:rFonts w:ascii="Times New Roman" w:eastAsia="Times New Roman" w:hAnsi="Times New Roman" w:cs="Times New Roman"/>
                <w:bCs/>
                <w:color w:val="000000"/>
                <w:sz w:val="20"/>
                <w:szCs w:val="20"/>
              </w:rPr>
            </w:pPr>
            <w:r w:rsidRPr="00AF0ED1">
              <w:rPr>
                <w:rFonts w:ascii="Times New Roman" w:eastAsia="Times New Roman" w:hAnsi="Times New Roman" w:cs="Times New Roman"/>
                <w:bCs/>
                <w:color w:val="000000"/>
                <w:sz w:val="20"/>
                <w:szCs w:val="20"/>
              </w:rPr>
              <w:t>Modality, n (%)</w:t>
            </w:r>
          </w:p>
        </w:tc>
      </w:tr>
      <w:tr w:rsidR="005E717B" w:rsidRPr="008A5C48" w14:paraId="30C99CFF" w14:textId="77777777" w:rsidTr="002D5EF6">
        <w:trPr>
          <w:trHeight w:val="325"/>
          <w:jc w:val="center"/>
        </w:trPr>
        <w:tc>
          <w:tcPr>
            <w:tcW w:w="2471" w:type="dxa"/>
            <w:tcBorders>
              <w:top w:val="nil"/>
              <w:left w:val="nil"/>
              <w:bottom w:val="nil"/>
              <w:right w:val="nil"/>
            </w:tcBorders>
            <w:shd w:val="clear" w:color="auto" w:fill="auto"/>
            <w:vAlign w:val="center"/>
          </w:tcPr>
          <w:p w14:paraId="631307AD" w14:textId="77777777" w:rsidR="005E717B" w:rsidRPr="008A5C48" w:rsidRDefault="00966211" w:rsidP="00FB6412">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Rhinitis</w:t>
            </w:r>
          </w:p>
        </w:tc>
        <w:tc>
          <w:tcPr>
            <w:tcW w:w="2344" w:type="dxa"/>
            <w:tcBorders>
              <w:top w:val="nil"/>
              <w:left w:val="nil"/>
              <w:bottom w:val="nil"/>
              <w:right w:val="nil"/>
            </w:tcBorders>
            <w:vAlign w:val="center"/>
          </w:tcPr>
          <w:p w14:paraId="6C1A60D2" w14:textId="77777777" w:rsidR="005E717B" w:rsidRPr="008A5C48" w:rsidRDefault="00966211" w:rsidP="00FB6412">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Respiratory - Allergies</w:t>
            </w:r>
          </w:p>
        </w:tc>
        <w:tc>
          <w:tcPr>
            <w:tcW w:w="1308" w:type="dxa"/>
            <w:tcBorders>
              <w:top w:val="nil"/>
              <w:left w:val="nil"/>
              <w:bottom w:val="nil"/>
              <w:right w:val="nil"/>
            </w:tcBorders>
            <w:shd w:val="clear" w:color="auto" w:fill="auto"/>
            <w:vAlign w:val="center"/>
          </w:tcPr>
          <w:p w14:paraId="4B01447C" w14:textId="77777777" w:rsidR="005E717B" w:rsidRPr="008A5C48" w:rsidRDefault="00966211" w:rsidP="00FB6412">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1295 (99.5%)</w:t>
            </w:r>
          </w:p>
        </w:tc>
        <w:tc>
          <w:tcPr>
            <w:tcW w:w="3489" w:type="dxa"/>
            <w:gridSpan w:val="5"/>
            <w:tcBorders>
              <w:top w:val="nil"/>
              <w:left w:val="nil"/>
              <w:bottom w:val="nil"/>
              <w:right w:val="nil"/>
            </w:tcBorders>
            <w:shd w:val="clear" w:color="auto" w:fill="auto"/>
            <w:vAlign w:val="center"/>
          </w:tcPr>
          <w:p w14:paraId="0AAD2DFB" w14:textId="77777777" w:rsidR="005E717B" w:rsidRPr="008A5C48" w:rsidRDefault="00966211" w:rsidP="00FB6412">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Yes, n=324 (25%)</w:t>
            </w:r>
          </w:p>
        </w:tc>
      </w:tr>
      <w:tr w:rsidR="005E717B" w:rsidRPr="008A5C48" w14:paraId="0F01F76D" w14:textId="77777777" w:rsidTr="002D5EF6">
        <w:trPr>
          <w:trHeight w:val="325"/>
          <w:jc w:val="center"/>
        </w:trPr>
        <w:tc>
          <w:tcPr>
            <w:tcW w:w="2471" w:type="dxa"/>
            <w:tcBorders>
              <w:top w:val="nil"/>
              <w:left w:val="nil"/>
              <w:bottom w:val="nil"/>
              <w:right w:val="nil"/>
            </w:tcBorders>
            <w:shd w:val="clear" w:color="auto" w:fill="auto"/>
            <w:vAlign w:val="center"/>
          </w:tcPr>
          <w:p w14:paraId="4198BFEC" w14:textId="77777777" w:rsidR="005E717B" w:rsidRPr="008A5C48" w:rsidRDefault="00966211" w:rsidP="00FB6412">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Eczema</w:t>
            </w:r>
          </w:p>
        </w:tc>
        <w:tc>
          <w:tcPr>
            <w:tcW w:w="2344" w:type="dxa"/>
            <w:tcBorders>
              <w:top w:val="nil"/>
              <w:left w:val="nil"/>
              <w:bottom w:val="nil"/>
              <w:right w:val="nil"/>
            </w:tcBorders>
            <w:vAlign w:val="center"/>
          </w:tcPr>
          <w:p w14:paraId="1C07A00C" w14:textId="77777777" w:rsidR="005E717B" w:rsidRPr="008A5C48" w:rsidRDefault="00966211" w:rsidP="00FB6412">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Respiratory - Allergies</w:t>
            </w:r>
          </w:p>
        </w:tc>
        <w:tc>
          <w:tcPr>
            <w:tcW w:w="1308" w:type="dxa"/>
            <w:tcBorders>
              <w:top w:val="nil"/>
              <w:left w:val="nil"/>
              <w:bottom w:val="nil"/>
              <w:right w:val="nil"/>
            </w:tcBorders>
            <w:shd w:val="clear" w:color="auto" w:fill="auto"/>
            <w:vAlign w:val="center"/>
          </w:tcPr>
          <w:p w14:paraId="6B93A1A2" w14:textId="77777777" w:rsidR="005E717B" w:rsidRPr="008A5C48" w:rsidRDefault="00966211" w:rsidP="00FB6412">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1288 (99%)</w:t>
            </w:r>
          </w:p>
        </w:tc>
        <w:tc>
          <w:tcPr>
            <w:tcW w:w="3489" w:type="dxa"/>
            <w:gridSpan w:val="5"/>
            <w:tcBorders>
              <w:top w:val="nil"/>
              <w:left w:val="nil"/>
              <w:bottom w:val="nil"/>
              <w:right w:val="nil"/>
            </w:tcBorders>
            <w:shd w:val="clear" w:color="auto" w:fill="auto"/>
            <w:vAlign w:val="center"/>
          </w:tcPr>
          <w:p w14:paraId="19ACA350" w14:textId="77777777" w:rsidR="005E717B" w:rsidRPr="008A5C48" w:rsidRDefault="00966211" w:rsidP="00FB6412">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Yes, n=270 (21%)</w:t>
            </w:r>
          </w:p>
        </w:tc>
      </w:tr>
      <w:tr w:rsidR="005E717B" w:rsidRPr="008A5C48" w14:paraId="06A40FEF" w14:textId="77777777" w:rsidTr="002D5EF6">
        <w:trPr>
          <w:trHeight w:val="325"/>
          <w:jc w:val="center"/>
        </w:trPr>
        <w:tc>
          <w:tcPr>
            <w:tcW w:w="2471" w:type="dxa"/>
            <w:tcBorders>
              <w:top w:val="nil"/>
              <w:left w:val="nil"/>
              <w:bottom w:val="nil"/>
              <w:right w:val="nil"/>
            </w:tcBorders>
            <w:shd w:val="clear" w:color="auto" w:fill="auto"/>
            <w:vAlign w:val="center"/>
          </w:tcPr>
          <w:p w14:paraId="597DCF63" w14:textId="77777777" w:rsidR="005E717B" w:rsidRPr="008A5C48" w:rsidRDefault="00966211" w:rsidP="00FB6412">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Food allergy</w:t>
            </w:r>
          </w:p>
        </w:tc>
        <w:tc>
          <w:tcPr>
            <w:tcW w:w="2344" w:type="dxa"/>
            <w:tcBorders>
              <w:top w:val="nil"/>
              <w:left w:val="nil"/>
              <w:bottom w:val="nil"/>
              <w:right w:val="nil"/>
            </w:tcBorders>
            <w:vAlign w:val="center"/>
          </w:tcPr>
          <w:p w14:paraId="4A89EB0C" w14:textId="77777777" w:rsidR="005E717B" w:rsidRPr="008A5C48" w:rsidRDefault="00966211" w:rsidP="00FB6412">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Respiratory - Allergies</w:t>
            </w:r>
          </w:p>
        </w:tc>
        <w:tc>
          <w:tcPr>
            <w:tcW w:w="1308" w:type="dxa"/>
            <w:tcBorders>
              <w:top w:val="nil"/>
              <w:left w:val="nil"/>
              <w:bottom w:val="nil"/>
              <w:right w:val="nil"/>
            </w:tcBorders>
            <w:shd w:val="clear" w:color="auto" w:fill="auto"/>
            <w:vAlign w:val="center"/>
          </w:tcPr>
          <w:p w14:paraId="280AFC49" w14:textId="77777777" w:rsidR="005E717B" w:rsidRPr="008A5C48" w:rsidRDefault="00966211" w:rsidP="00FB6412">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1286 (98.8%)</w:t>
            </w:r>
          </w:p>
        </w:tc>
        <w:tc>
          <w:tcPr>
            <w:tcW w:w="3489" w:type="dxa"/>
            <w:gridSpan w:val="5"/>
            <w:tcBorders>
              <w:top w:val="nil"/>
              <w:left w:val="nil"/>
              <w:bottom w:val="nil"/>
              <w:right w:val="nil"/>
            </w:tcBorders>
            <w:shd w:val="clear" w:color="auto" w:fill="auto"/>
            <w:vAlign w:val="center"/>
          </w:tcPr>
          <w:p w14:paraId="487D3697" w14:textId="77777777" w:rsidR="005E717B" w:rsidRPr="008A5C48" w:rsidRDefault="00966211" w:rsidP="00FB6412">
            <w:pPr>
              <w:spacing w:after="0" w:line="240" w:lineRule="auto"/>
              <w:contextualSpacing/>
              <w:jc w:val="center"/>
              <w:rPr>
                <w:rFonts w:ascii="Times New Roman" w:eastAsia="Times New Roman" w:hAnsi="Times New Roman" w:cs="Times New Roman"/>
                <w:sz w:val="20"/>
                <w:szCs w:val="20"/>
              </w:rPr>
            </w:pPr>
            <w:r w:rsidRPr="008A5C48">
              <w:rPr>
                <w:rFonts w:ascii="Times New Roman" w:eastAsia="Times New Roman" w:hAnsi="Times New Roman" w:cs="Times New Roman"/>
                <w:color w:val="000000"/>
                <w:sz w:val="20"/>
                <w:szCs w:val="20"/>
              </w:rPr>
              <w:t>Yes, n=129 (10%)</w:t>
            </w:r>
          </w:p>
        </w:tc>
      </w:tr>
      <w:tr w:rsidR="005E717B" w:rsidRPr="008A5C48" w14:paraId="69A8F5BD" w14:textId="77777777" w:rsidTr="002D5EF6">
        <w:trPr>
          <w:trHeight w:val="325"/>
          <w:jc w:val="center"/>
        </w:trPr>
        <w:tc>
          <w:tcPr>
            <w:tcW w:w="2471" w:type="dxa"/>
            <w:tcBorders>
              <w:top w:val="nil"/>
              <w:left w:val="nil"/>
              <w:bottom w:val="single" w:sz="4" w:space="0" w:color="000000"/>
              <w:right w:val="nil"/>
            </w:tcBorders>
            <w:shd w:val="clear" w:color="auto" w:fill="auto"/>
            <w:vAlign w:val="center"/>
          </w:tcPr>
          <w:p w14:paraId="5F03E577" w14:textId="77777777" w:rsidR="005E717B" w:rsidRPr="008A5C48" w:rsidRDefault="00966211" w:rsidP="00FB6412">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Asthma</w:t>
            </w:r>
          </w:p>
        </w:tc>
        <w:tc>
          <w:tcPr>
            <w:tcW w:w="2344" w:type="dxa"/>
            <w:tcBorders>
              <w:top w:val="nil"/>
              <w:left w:val="nil"/>
              <w:bottom w:val="single" w:sz="4" w:space="0" w:color="000000"/>
              <w:right w:val="nil"/>
            </w:tcBorders>
            <w:vAlign w:val="center"/>
          </w:tcPr>
          <w:p w14:paraId="3386F56D" w14:textId="77777777" w:rsidR="005E717B" w:rsidRPr="008A5C48" w:rsidRDefault="00966211" w:rsidP="00FB6412">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Respiratory - Allergies</w:t>
            </w:r>
          </w:p>
        </w:tc>
        <w:tc>
          <w:tcPr>
            <w:tcW w:w="1308" w:type="dxa"/>
            <w:tcBorders>
              <w:top w:val="nil"/>
              <w:left w:val="nil"/>
              <w:bottom w:val="single" w:sz="4" w:space="0" w:color="000000"/>
              <w:right w:val="nil"/>
            </w:tcBorders>
            <w:shd w:val="clear" w:color="auto" w:fill="auto"/>
            <w:vAlign w:val="center"/>
          </w:tcPr>
          <w:p w14:paraId="5B821F5A" w14:textId="77777777" w:rsidR="005E717B" w:rsidRPr="008A5C48" w:rsidRDefault="00966211" w:rsidP="00FB6412">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1292 (99.3%)</w:t>
            </w:r>
          </w:p>
        </w:tc>
        <w:tc>
          <w:tcPr>
            <w:tcW w:w="3489" w:type="dxa"/>
            <w:gridSpan w:val="5"/>
            <w:tcBorders>
              <w:top w:val="nil"/>
              <w:left w:val="nil"/>
              <w:bottom w:val="single" w:sz="4" w:space="0" w:color="000000"/>
              <w:right w:val="nil"/>
            </w:tcBorders>
            <w:shd w:val="clear" w:color="auto" w:fill="auto"/>
            <w:vAlign w:val="center"/>
          </w:tcPr>
          <w:p w14:paraId="29F9A7D9" w14:textId="77777777" w:rsidR="005E717B" w:rsidRPr="008A5C48" w:rsidRDefault="00966211" w:rsidP="00FB6412">
            <w:pPr>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Yes, n=155 (12%)</w:t>
            </w:r>
          </w:p>
        </w:tc>
      </w:tr>
    </w:tbl>
    <w:p w14:paraId="11E83F8F" w14:textId="77777777" w:rsidR="005E717B" w:rsidRPr="008A5C48" w:rsidRDefault="00966211" w:rsidP="00FB6412">
      <w:pPr>
        <w:spacing w:line="240" w:lineRule="auto"/>
        <w:contextualSpacing/>
        <w:jc w:val="both"/>
        <w:rPr>
          <w:rFonts w:ascii="Times New Roman" w:eastAsia="Times New Roman" w:hAnsi="Times New Roman" w:cs="Times New Roman"/>
          <w:sz w:val="20"/>
          <w:szCs w:val="20"/>
          <w:lang w:val="fr-FR"/>
        </w:rPr>
      </w:pPr>
      <w:bookmarkStart w:id="86" w:name="_heading=h.2zbgiuw" w:colFirst="0" w:colLast="0"/>
      <w:bookmarkEnd w:id="86"/>
      <w:r w:rsidRPr="008A5C48">
        <w:rPr>
          <w:rFonts w:ascii="Times New Roman" w:eastAsia="Times New Roman" w:hAnsi="Times New Roman" w:cs="Times New Roman"/>
          <w:sz w:val="20"/>
          <w:szCs w:val="20"/>
        </w:rPr>
        <w:br/>
      </w:r>
      <w:r w:rsidRPr="008A5C48">
        <w:rPr>
          <w:rFonts w:ascii="Times New Roman" w:eastAsia="Times New Roman" w:hAnsi="Times New Roman" w:cs="Times New Roman"/>
          <w:sz w:val="20"/>
          <w:szCs w:val="20"/>
          <w:u w:val="single"/>
        </w:rPr>
        <w:t>Population</w:t>
      </w:r>
      <w:r w:rsidRPr="008A5C48">
        <w:rPr>
          <w:rFonts w:ascii="Times New Roman" w:eastAsia="Times New Roman" w:hAnsi="Times New Roman" w:cs="Times New Roman"/>
          <w:sz w:val="20"/>
          <w:szCs w:val="20"/>
        </w:rPr>
        <w:t xml:space="preserve">: Helix population, n=1301 children. </w:t>
      </w:r>
      <w:r w:rsidRPr="008A5C48">
        <w:rPr>
          <w:rFonts w:ascii="Times New Roman" w:eastAsia="Times New Roman" w:hAnsi="Times New Roman" w:cs="Times New Roman"/>
          <w:sz w:val="20"/>
          <w:szCs w:val="20"/>
          <w:u w:val="single"/>
        </w:rPr>
        <w:t>Acronyms</w:t>
      </w:r>
      <w:r w:rsidRPr="008A5C48">
        <w:rPr>
          <w:rFonts w:ascii="Times New Roman" w:eastAsia="Times New Roman" w:hAnsi="Times New Roman" w:cs="Times New Roman"/>
          <w:sz w:val="20"/>
          <w:szCs w:val="20"/>
        </w:rPr>
        <w:t xml:space="preserve">: N=number of individuals without missing values. %=percentage of individuals without missing values over the whole Helix sample (n=1301). </w:t>
      </w:r>
      <w:r w:rsidRPr="008A5C48">
        <w:rPr>
          <w:rFonts w:ascii="Times New Roman" w:eastAsia="Times New Roman" w:hAnsi="Times New Roman" w:cs="Times New Roman"/>
          <w:sz w:val="20"/>
          <w:szCs w:val="20"/>
          <w:lang w:val="fr-FR"/>
        </w:rPr>
        <w:t>Min=minimum. Q1=first quantile. Q3=</w:t>
      </w:r>
      <w:proofErr w:type="spellStart"/>
      <w:r w:rsidRPr="008A5C48">
        <w:rPr>
          <w:rFonts w:ascii="Times New Roman" w:eastAsia="Times New Roman" w:hAnsi="Times New Roman" w:cs="Times New Roman"/>
          <w:sz w:val="20"/>
          <w:szCs w:val="20"/>
          <w:lang w:val="fr-FR"/>
        </w:rPr>
        <w:t>third</w:t>
      </w:r>
      <w:proofErr w:type="spellEnd"/>
      <w:r w:rsidRPr="008A5C48">
        <w:rPr>
          <w:rFonts w:ascii="Times New Roman" w:eastAsia="Times New Roman" w:hAnsi="Times New Roman" w:cs="Times New Roman"/>
          <w:sz w:val="20"/>
          <w:szCs w:val="20"/>
          <w:lang w:val="fr-FR"/>
        </w:rPr>
        <w:t xml:space="preserve"> quantile. Max = maximum. </w:t>
      </w:r>
    </w:p>
    <w:p w14:paraId="79FE1C4E" w14:textId="52885A6B" w:rsidR="005A1CC9" w:rsidRPr="00BD5E94" w:rsidRDefault="00966211" w:rsidP="00BD5E94">
      <w:pPr>
        <w:spacing w:line="240" w:lineRule="auto"/>
        <w:contextualSpacing/>
        <w:jc w:val="both"/>
        <w:rPr>
          <w:rFonts w:ascii="Times New Roman" w:eastAsia="Times New Roman" w:hAnsi="Times New Roman" w:cs="Times New Roman"/>
          <w:sz w:val="20"/>
          <w:szCs w:val="20"/>
        </w:rPr>
      </w:pPr>
      <w:proofErr w:type="spellStart"/>
      <w:proofErr w:type="gramStart"/>
      <w:r w:rsidRPr="008A5C48">
        <w:rPr>
          <w:rFonts w:ascii="Times New Roman" w:eastAsia="Times New Roman" w:hAnsi="Times New Roman" w:cs="Times New Roman"/>
          <w:sz w:val="20"/>
          <w:szCs w:val="20"/>
          <w:vertAlign w:val="superscript"/>
        </w:rPr>
        <w:t>a</w:t>
      </w:r>
      <w:proofErr w:type="spellEnd"/>
      <w:proofErr w:type="gramEnd"/>
      <w:r w:rsidRPr="008A5C48">
        <w:rPr>
          <w:rFonts w:ascii="Times New Roman" w:eastAsia="Times New Roman" w:hAnsi="Times New Roman" w:cs="Times New Roman"/>
          <w:sz w:val="20"/>
          <w:szCs w:val="20"/>
        </w:rPr>
        <w:t xml:space="preserve"> Insulin levels had a skewed distribution and were log-transformed before statistical analysis (back-transformed in this table).</w:t>
      </w:r>
    </w:p>
    <w:p w14:paraId="46230D62" w14:textId="77777777" w:rsidR="00895FD6" w:rsidRDefault="00895FD6" w:rsidP="00FB6412">
      <w:pPr>
        <w:spacing w:line="240" w:lineRule="auto"/>
        <w:contextualSpacing/>
        <w:rPr>
          <w:rFonts w:ascii="Times New Roman" w:eastAsia="Times New Roman" w:hAnsi="Times New Roman" w:cs="Times New Roman"/>
          <w:b/>
          <w:sz w:val="20"/>
          <w:szCs w:val="20"/>
        </w:rPr>
      </w:pPr>
      <w:r>
        <w:rPr>
          <w:rFonts w:ascii="Times New Roman" w:eastAsia="Times New Roman" w:hAnsi="Times New Roman" w:cs="Times New Roman"/>
          <w:b/>
          <w:sz w:val="20"/>
          <w:szCs w:val="20"/>
        </w:rPr>
        <w:br w:type="page"/>
      </w:r>
    </w:p>
    <w:p w14:paraId="2F076568" w14:textId="423C6F42" w:rsidR="00BC14DD" w:rsidRPr="00BC7860" w:rsidRDefault="009500CF" w:rsidP="002D561D">
      <w:pPr>
        <w:pStyle w:val="Titre1"/>
        <w:rPr>
          <w:rFonts w:eastAsia="Times New Roman"/>
          <w:b w:val="0"/>
          <w:bCs w:val="0"/>
        </w:rPr>
      </w:pPr>
      <w:bookmarkStart w:id="87" w:name="_Toc127358165"/>
      <w:bookmarkStart w:id="88" w:name="_Toc132271596"/>
      <w:proofErr w:type="spellStart"/>
      <w:r w:rsidRPr="008A5C48">
        <w:rPr>
          <w:rFonts w:eastAsia="Times New Roman"/>
        </w:rPr>
        <w:lastRenderedPageBreak/>
        <w:t>eTable</w:t>
      </w:r>
      <w:proofErr w:type="spellEnd"/>
      <w:r w:rsidR="00BC14DD" w:rsidRPr="008A5C48">
        <w:rPr>
          <w:rFonts w:eastAsia="Times New Roman"/>
        </w:rPr>
        <w:t xml:space="preserve"> </w:t>
      </w:r>
      <w:r w:rsidR="00E03838">
        <w:rPr>
          <w:rFonts w:eastAsia="Times New Roman"/>
        </w:rPr>
        <w:t>1</w:t>
      </w:r>
      <w:r w:rsidR="00276BE5">
        <w:rPr>
          <w:rFonts w:eastAsia="Times New Roman"/>
        </w:rPr>
        <w:t>4</w:t>
      </w:r>
      <w:r w:rsidR="00BC14DD" w:rsidRPr="008A5C48">
        <w:rPr>
          <w:rFonts w:eastAsia="Times New Roman"/>
        </w:rPr>
        <w:t xml:space="preserve">. </w:t>
      </w:r>
      <w:r w:rsidR="00BC14DD" w:rsidRPr="00BC7860">
        <w:rPr>
          <w:rFonts w:eastAsia="Times New Roman"/>
          <w:b w:val="0"/>
          <w:bCs w:val="0"/>
        </w:rPr>
        <w:t>Correlations between the three sub-scores</w:t>
      </w:r>
      <w:bookmarkEnd w:id="87"/>
      <w:bookmarkEnd w:id="88"/>
    </w:p>
    <w:p w14:paraId="71379CB5" w14:textId="77777777" w:rsidR="0052350E" w:rsidRPr="0052350E" w:rsidRDefault="0052350E" w:rsidP="0052350E"/>
    <w:tbl>
      <w:tblPr>
        <w:tblStyle w:val="af"/>
        <w:tblW w:w="7500" w:type="dxa"/>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00" w:firstRow="0" w:lastRow="0" w:firstColumn="0" w:lastColumn="0" w:noHBand="0" w:noVBand="1"/>
      </w:tblPr>
      <w:tblGrid>
        <w:gridCol w:w="2207"/>
        <w:gridCol w:w="1786"/>
        <w:gridCol w:w="1602"/>
        <w:gridCol w:w="1905"/>
      </w:tblGrid>
      <w:tr w:rsidR="00BC14DD" w:rsidRPr="008A5C48" w14:paraId="54C0B374" w14:textId="77777777" w:rsidTr="00BD5E94">
        <w:trPr>
          <w:trHeight w:val="390"/>
        </w:trPr>
        <w:tc>
          <w:tcPr>
            <w:tcW w:w="2207" w:type="dxa"/>
            <w:tcBorders>
              <w:top w:val="single" w:sz="4" w:space="0" w:color="000000"/>
              <w:left w:val="nil"/>
              <w:bottom w:val="single" w:sz="4" w:space="0" w:color="000000"/>
              <w:right w:val="nil"/>
            </w:tcBorders>
            <w:shd w:val="clear" w:color="auto" w:fill="auto"/>
          </w:tcPr>
          <w:p w14:paraId="700DD001" w14:textId="77777777" w:rsidR="00BC14DD" w:rsidRPr="0052350E" w:rsidRDefault="00BC14DD" w:rsidP="00FB6412">
            <w:pPr>
              <w:contextualSpacing/>
              <w:jc w:val="center"/>
              <w:rPr>
                <w:rFonts w:ascii="Times New Roman" w:eastAsia="Times New Roman" w:hAnsi="Times New Roman" w:cs="Times New Roman"/>
                <w:bCs/>
                <w:sz w:val="20"/>
                <w:szCs w:val="20"/>
              </w:rPr>
            </w:pPr>
          </w:p>
        </w:tc>
        <w:tc>
          <w:tcPr>
            <w:tcW w:w="1786" w:type="dxa"/>
            <w:tcBorders>
              <w:top w:val="single" w:sz="4" w:space="0" w:color="000000"/>
              <w:left w:val="nil"/>
              <w:bottom w:val="single" w:sz="4" w:space="0" w:color="000000"/>
              <w:right w:val="nil"/>
            </w:tcBorders>
            <w:shd w:val="clear" w:color="auto" w:fill="auto"/>
          </w:tcPr>
          <w:p w14:paraId="5CF1AC00" w14:textId="3C245EDE" w:rsidR="00BC14DD" w:rsidRPr="0052350E" w:rsidRDefault="00BC14DD" w:rsidP="00FB6412">
            <w:pPr>
              <w:contextualSpacing/>
              <w:jc w:val="center"/>
              <w:rPr>
                <w:rFonts w:ascii="Times New Roman" w:eastAsia="Times New Roman" w:hAnsi="Times New Roman" w:cs="Times New Roman"/>
                <w:bCs/>
                <w:sz w:val="20"/>
                <w:szCs w:val="20"/>
              </w:rPr>
            </w:pPr>
            <w:r w:rsidRPr="0052350E">
              <w:rPr>
                <w:rFonts w:ascii="Times New Roman" w:eastAsia="Times New Roman" w:hAnsi="Times New Roman" w:cs="Times New Roman"/>
                <w:bCs/>
                <w:sz w:val="20"/>
                <w:szCs w:val="20"/>
              </w:rPr>
              <w:t xml:space="preserve">Cardiometabolic </w:t>
            </w:r>
            <w:proofErr w:type="spellStart"/>
            <w:r w:rsidRPr="0052350E">
              <w:rPr>
                <w:rFonts w:ascii="Times New Roman" w:eastAsia="Times New Roman" w:hAnsi="Times New Roman" w:cs="Times New Roman"/>
                <w:bCs/>
                <w:sz w:val="20"/>
                <w:szCs w:val="20"/>
              </w:rPr>
              <w:t>subscore</w:t>
            </w:r>
            <w:proofErr w:type="spellEnd"/>
          </w:p>
        </w:tc>
        <w:tc>
          <w:tcPr>
            <w:tcW w:w="1602" w:type="dxa"/>
            <w:tcBorders>
              <w:top w:val="single" w:sz="4" w:space="0" w:color="000000"/>
              <w:left w:val="nil"/>
              <w:bottom w:val="single" w:sz="4" w:space="0" w:color="000000"/>
              <w:right w:val="nil"/>
            </w:tcBorders>
            <w:shd w:val="clear" w:color="auto" w:fill="auto"/>
          </w:tcPr>
          <w:p w14:paraId="3E605CBC" w14:textId="7FFC941B" w:rsidR="00BC14DD" w:rsidRPr="0052350E" w:rsidRDefault="00BC14DD" w:rsidP="00FB6412">
            <w:pPr>
              <w:contextualSpacing/>
              <w:jc w:val="center"/>
              <w:rPr>
                <w:rFonts w:ascii="Times New Roman" w:eastAsia="Times New Roman" w:hAnsi="Times New Roman" w:cs="Times New Roman"/>
                <w:bCs/>
                <w:sz w:val="20"/>
                <w:szCs w:val="20"/>
              </w:rPr>
            </w:pPr>
            <w:r w:rsidRPr="0052350E">
              <w:rPr>
                <w:rFonts w:ascii="Times New Roman" w:eastAsia="Times New Roman" w:hAnsi="Times New Roman" w:cs="Times New Roman"/>
                <w:bCs/>
                <w:sz w:val="20"/>
                <w:szCs w:val="20"/>
              </w:rPr>
              <w:t xml:space="preserve">Respiratory </w:t>
            </w:r>
            <w:proofErr w:type="spellStart"/>
            <w:r w:rsidRPr="0052350E">
              <w:rPr>
                <w:rFonts w:ascii="Times New Roman" w:eastAsia="Times New Roman" w:hAnsi="Times New Roman" w:cs="Times New Roman"/>
                <w:bCs/>
                <w:sz w:val="20"/>
                <w:szCs w:val="20"/>
              </w:rPr>
              <w:t>subscore</w:t>
            </w:r>
            <w:proofErr w:type="spellEnd"/>
          </w:p>
        </w:tc>
        <w:tc>
          <w:tcPr>
            <w:tcW w:w="1905" w:type="dxa"/>
            <w:tcBorders>
              <w:top w:val="single" w:sz="4" w:space="0" w:color="000000"/>
              <w:left w:val="nil"/>
              <w:bottom w:val="single" w:sz="4" w:space="0" w:color="000000"/>
              <w:right w:val="nil"/>
            </w:tcBorders>
            <w:shd w:val="clear" w:color="auto" w:fill="auto"/>
          </w:tcPr>
          <w:p w14:paraId="4E8EBB9F" w14:textId="30F51495" w:rsidR="00BC14DD" w:rsidRPr="0052350E" w:rsidRDefault="00BC14DD" w:rsidP="00FB6412">
            <w:pPr>
              <w:contextualSpacing/>
              <w:jc w:val="center"/>
              <w:rPr>
                <w:rFonts w:ascii="Times New Roman" w:eastAsia="Times New Roman" w:hAnsi="Times New Roman" w:cs="Times New Roman"/>
                <w:bCs/>
                <w:sz w:val="20"/>
                <w:szCs w:val="20"/>
              </w:rPr>
            </w:pPr>
            <w:r w:rsidRPr="0052350E">
              <w:rPr>
                <w:rFonts w:ascii="Times New Roman" w:eastAsia="Times New Roman" w:hAnsi="Times New Roman" w:cs="Times New Roman"/>
                <w:bCs/>
                <w:sz w:val="20"/>
                <w:szCs w:val="20"/>
              </w:rPr>
              <w:t xml:space="preserve">Mental </w:t>
            </w:r>
            <w:proofErr w:type="spellStart"/>
            <w:r w:rsidRPr="0052350E">
              <w:rPr>
                <w:rFonts w:ascii="Times New Roman" w:eastAsia="Times New Roman" w:hAnsi="Times New Roman" w:cs="Times New Roman"/>
                <w:bCs/>
                <w:sz w:val="20"/>
                <w:szCs w:val="20"/>
              </w:rPr>
              <w:t>subscore</w:t>
            </w:r>
            <w:proofErr w:type="spellEnd"/>
          </w:p>
        </w:tc>
      </w:tr>
      <w:tr w:rsidR="00BC14DD" w:rsidRPr="008A5C48" w14:paraId="6FBC91D1" w14:textId="77777777" w:rsidTr="00BD5E94">
        <w:trPr>
          <w:trHeight w:val="193"/>
        </w:trPr>
        <w:tc>
          <w:tcPr>
            <w:tcW w:w="2207" w:type="dxa"/>
            <w:tcBorders>
              <w:top w:val="nil"/>
              <w:left w:val="nil"/>
              <w:bottom w:val="nil"/>
              <w:right w:val="nil"/>
            </w:tcBorders>
            <w:shd w:val="clear" w:color="auto" w:fill="auto"/>
          </w:tcPr>
          <w:p w14:paraId="7FB14A2B" w14:textId="088970D0" w:rsidR="00BC14DD" w:rsidRPr="0052350E" w:rsidRDefault="00BC14DD" w:rsidP="00FB6412">
            <w:pPr>
              <w:contextualSpacing/>
              <w:jc w:val="right"/>
              <w:rPr>
                <w:rFonts w:ascii="Times New Roman" w:eastAsia="Times New Roman" w:hAnsi="Times New Roman" w:cs="Times New Roman"/>
                <w:bCs/>
                <w:sz w:val="20"/>
                <w:szCs w:val="20"/>
              </w:rPr>
            </w:pPr>
            <w:r w:rsidRPr="0052350E">
              <w:rPr>
                <w:rFonts w:ascii="Times New Roman" w:eastAsia="Times New Roman" w:hAnsi="Times New Roman" w:cs="Times New Roman"/>
                <w:bCs/>
                <w:sz w:val="20"/>
                <w:szCs w:val="20"/>
              </w:rPr>
              <w:t xml:space="preserve">Cardiometabolic </w:t>
            </w:r>
            <w:proofErr w:type="spellStart"/>
            <w:r w:rsidRPr="0052350E">
              <w:rPr>
                <w:rFonts w:ascii="Times New Roman" w:eastAsia="Times New Roman" w:hAnsi="Times New Roman" w:cs="Times New Roman"/>
                <w:bCs/>
                <w:sz w:val="20"/>
                <w:szCs w:val="20"/>
              </w:rPr>
              <w:t>subscore</w:t>
            </w:r>
            <w:proofErr w:type="spellEnd"/>
          </w:p>
        </w:tc>
        <w:tc>
          <w:tcPr>
            <w:tcW w:w="1786" w:type="dxa"/>
            <w:tcBorders>
              <w:top w:val="nil"/>
              <w:left w:val="nil"/>
              <w:bottom w:val="nil"/>
              <w:right w:val="nil"/>
            </w:tcBorders>
            <w:shd w:val="clear" w:color="auto" w:fill="auto"/>
          </w:tcPr>
          <w:p w14:paraId="4F775C71" w14:textId="37905A0B" w:rsidR="00BC14DD" w:rsidRPr="0052350E" w:rsidRDefault="00BC14DD" w:rsidP="00FB6412">
            <w:pPr>
              <w:contextualSpacing/>
              <w:jc w:val="center"/>
              <w:rPr>
                <w:rFonts w:ascii="Times New Roman" w:eastAsia="Times New Roman" w:hAnsi="Times New Roman" w:cs="Times New Roman"/>
                <w:bCs/>
                <w:sz w:val="20"/>
                <w:szCs w:val="20"/>
              </w:rPr>
            </w:pPr>
            <w:r w:rsidRPr="0052350E">
              <w:rPr>
                <w:rFonts w:ascii="Times New Roman" w:eastAsia="Times New Roman" w:hAnsi="Times New Roman" w:cs="Times New Roman"/>
                <w:bCs/>
                <w:sz w:val="20"/>
                <w:szCs w:val="20"/>
              </w:rPr>
              <w:t>-</w:t>
            </w:r>
          </w:p>
        </w:tc>
        <w:tc>
          <w:tcPr>
            <w:tcW w:w="1602" w:type="dxa"/>
            <w:tcBorders>
              <w:top w:val="nil"/>
              <w:left w:val="nil"/>
              <w:bottom w:val="nil"/>
              <w:right w:val="nil"/>
            </w:tcBorders>
            <w:shd w:val="clear" w:color="auto" w:fill="auto"/>
          </w:tcPr>
          <w:p w14:paraId="3122289A" w14:textId="064E731F" w:rsidR="00BC14DD" w:rsidRPr="0052350E" w:rsidRDefault="00BC14DD" w:rsidP="00FB6412">
            <w:pPr>
              <w:contextualSpacing/>
              <w:jc w:val="center"/>
              <w:rPr>
                <w:rFonts w:ascii="Times New Roman" w:eastAsia="Times New Roman" w:hAnsi="Times New Roman" w:cs="Times New Roman"/>
                <w:bCs/>
                <w:sz w:val="20"/>
                <w:szCs w:val="20"/>
              </w:rPr>
            </w:pPr>
            <w:r w:rsidRPr="0052350E">
              <w:rPr>
                <w:rFonts w:ascii="Times New Roman" w:eastAsia="Times New Roman" w:hAnsi="Times New Roman" w:cs="Times New Roman"/>
                <w:bCs/>
                <w:sz w:val="20"/>
                <w:szCs w:val="20"/>
              </w:rPr>
              <w:t>-0.0</w:t>
            </w:r>
            <w:r w:rsidR="00BC7860">
              <w:rPr>
                <w:rFonts w:ascii="Times New Roman" w:eastAsia="Times New Roman" w:hAnsi="Times New Roman" w:cs="Times New Roman"/>
                <w:bCs/>
                <w:sz w:val="20"/>
                <w:szCs w:val="20"/>
              </w:rPr>
              <w:t>3</w:t>
            </w:r>
          </w:p>
        </w:tc>
        <w:tc>
          <w:tcPr>
            <w:tcW w:w="1905" w:type="dxa"/>
            <w:tcBorders>
              <w:top w:val="nil"/>
              <w:left w:val="nil"/>
              <w:bottom w:val="nil"/>
              <w:right w:val="nil"/>
            </w:tcBorders>
            <w:shd w:val="clear" w:color="auto" w:fill="auto"/>
          </w:tcPr>
          <w:p w14:paraId="067C75B7" w14:textId="711A9AE6" w:rsidR="00BC14DD" w:rsidRPr="0052350E" w:rsidRDefault="00BC14DD" w:rsidP="00FB6412">
            <w:pPr>
              <w:contextualSpacing/>
              <w:jc w:val="center"/>
              <w:rPr>
                <w:rFonts w:ascii="Times New Roman" w:eastAsia="Times New Roman" w:hAnsi="Times New Roman" w:cs="Times New Roman"/>
                <w:bCs/>
                <w:sz w:val="20"/>
                <w:szCs w:val="20"/>
              </w:rPr>
            </w:pPr>
            <w:r w:rsidRPr="0052350E">
              <w:rPr>
                <w:rFonts w:ascii="Times New Roman" w:eastAsia="Times New Roman" w:hAnsi="Times New Roman" w:cs="Times New Roman"/>
                <w:bCs/>
                <w:sz w:val="20"/>
                <w:szCs w:val="20"/>
              </w:rPr>
              <w:t>0.12</w:t>
            </w:r>
          </w:p>
        </w:tc>
      </w:tr>
      <w:tr w:rsidR="00BC14DD" w:rsidRPr="008A5C48" w14:paraId="500618CB" w14:textId="77777777" w:rsidTr="00BD5E94">
        <w:trPr>
          <w:trHeight w:val="193"/>
        </w:trPr>
        <w:tc>
          <w:tcPr>
            <w:tcW w:w="2207" w:type="dxa"/>
            <w:tcBorders>
              <w:top w:val="nil"/>
              <w:left w:val="nil"/>
              <w:bottom w:val="nil"/>
              <w:right w:val="nil"/>
            </w:tcBorders>
            <w:shd w:val="clear" w:color="auto" w:fill="auto"/>
          </w:tcPr>
          <w:p w14:paraId="303302CD" w14:textId="4C0622E8" w:rsidR="00BC14DD" w:rsidRPr="0052350E" w:rsidRDefault="00BC14DD" w:rsidP="00FB6412">
            <w:pPr>
              <w:contextualSpacing/>
              <w:jc w:val="right"/>
              <w:rPr>
                <w:rFonts w:ascii="Times New Roman" w:eastAsia="Times New Roman" w:hAnsi="Times New Roman" w:cs="Times New Roman"/>
                <w:bCs/>
                <w:sz w:val="20"/>
                <w:szCs w:val="20"/>
              </w:rPr>
            </w:pPr>
            <w:r w:rsidRPr="0052350E">
              <w:rPr>
                <w:rFonts w:ascii="Times New Roman" w:eastAsia="Times New Roman" w:hAnsi="Times New Roman" w:cs="Times New Roman"/>
                <w:bCs/>
                <w:sz w:val="20"/>
                <w:szCs w:val="20"/>
              </w:rPr>
              <w:t xml:space="preserve">Respiratory </w:t>
            </w:r>
            <w:proofErr w:type="spellStart"/>
            <w:r w:rsidRPr="0052350E">
              <w:rPr>
                <w:rFonts w:ascii="Times New Roman" w:eastAsia="Times New Roman" w:hAnsi="Times New Roman" w:cs="Times New Roman"/>
                <w:bCs/>
                <w:sz w:val="20"/>
                <w:szCs w:val="20"/>
              </w:rPr>
              <w:t>subscore</w:t>
            </w:r>
            <w:proofErr w:type="spellEnd"/>
          </w:p>
        </w:tc>
        <w:tc>
          <w:tcPr>
            <w:tcW w:w="1786" w:type="dxa"/>
            <w:tcBorders>
              <w:top w:val="nil"/>
              <w:left w:val="nil"/>
              <w:bottom w:val="nil"/>
              <w:right w:val="nil"/>
            </w:tcBorders>
            <w:shd w:val="clear" w:color="auto" w:fill="auto"/>
          </w:tcPr>
          <w:p w14:paraId="2FFF4053" w14:textId="37DB1EBB" w:rsidR="00BC14DD" w:rsidRPr="0052350E" w:rsidRDefault="00BC14DD" w:rsidP="00FB6412">
            <w:pPr>
              <w:contextualSpacing/>
              <w:jc w:val="center"/>
              <w:rPr>
                <w:rFonts w:ascii="Times New Roman" w:eastAsia="Times New Roman" w:hAnsi="Times New Roman" w:cs="Times New Roman"/>
                <w:bCs/>
                <w:sz w:val="20"/>
                <w:szCs w:val="20"/>
              </w:rPr>
            </w:pPr>
            <w:r w:rsidRPr="0052350E">
              <w:rPr>
                <w:rFonts w:ascii="Times New Roman" w:eastAsia="Times New Roman" w:hAnsi="Times New Roman" w:cs="Times New Roman"/>
                <w:bCs/>
                <w:sz w:val="20"/>
                <w:szCs w:val="20"/>
              </w:rPr>
              <w:t>-</w:t>
            </w:r>
          </w:p>
        </w:tc>
        <w:tc>
          <w:tcPr>
            <w:tcW w:w="1602" w:type="dxa"/>
            <w:tcBorders>
              <w:top w:val="nil"/>
              <w:left w:val="nil"/>
              <w:bottom w:val="nil"/>
              <w:right w:val="nil"/>
            </w:tcBorders>
            <w:shd w:val="clear" w:color="auto" w:fill="auto"/>
          </w:tcPr>
          <w:p w14:paraId="6E537F6D" w14:textId="06E4510F" w:rsidR="00BC14DD" w:rsidRPr="0052350E" w:rsidRDefault="00BC14DD" w:rsidP="00FB6412">
            <w:pPr>
              <w:contextualSpacing/>
              <w:jc w:val="center"/>
              <w:rPr>
                <w:rFonts w:ascii="Times New Roman" w:eastAsia="Times New Roman" w:hAnsi="Times New Roman" w:cs="Times New Roman"/>
                <w:bCs/>
                <w:sz w:val="20"/>
                <w:szCs w:val="20"/>
              </w:rPr>
            </w:pPr>
            <w:r w:rsidRPr="0052350E">
              <w:rPr>
                <w:rFonts w:ascii="Times New Roman" w:eastAsia="Times New Roman" w:hAnsi="Times New Roman" w:cs="Times New Roman"/>
                <w:bCs/>
                <w:sz w:val="20"/>
                <w:szCs w:val="20"/>
              </w:rPr>
              <w:t>-</w:t>
            </w:r>
          </w:p>
        </w:tc>
        <w:tc>
          <w:tcPr>
            <w:tcW w:w="1905" w:type="dxa"/>
            <w:tcBorders>
              <w:top w:val="nil"/>
              <w:left w:val="nil"/>
              <w:bottom w:val="nil"/>
              <w:right w:val="nil"/>
            </w:tcBorders>
            <w:shd w:val="clear" w:color="auto" w:fill="auto"/>
          </w:tcPr>
          <w:p w14:paraId="144C592F" w14:textId="0AFCEB41" w:rsidR="00BC14DD" w:rsidRPr="0052350E" w:rsidRDefault="00BC14DD" w:rsidP="00FB6412">
            <w:pPr>
              <w:contextualSpacing/>
              <w:jc w:val="center"/>
              <w:rPr>
                <w:rFonts w:ascii="Times New Roman" w:eastAsia="Times New Roman" w:hAnsi="Times New Roman" w:cs="Times New Roman"/>
                <w:bCs/>
                <w:sz w:val="20"/>
                <w:szCs w:val="20"/>
              </w:rPr>
            </w:pPr>
            <w:r w:rsidRPr="0052350E">
              <w:rPr>
                <w:rFonts w:ascii="Times New Roman" w:eastAsia="Times New Roman" w:hAnsi="Times New Roman" w:cs="Times New Roman"/>
                <w:bCs/>
                <w:sz w:val="20"/>
                <w:szCs w:val="20"/>
              </w:rPr>
              <w:t>0.01</w:t>
            </w:r>
          </w:p>
        </w:tc>
      </w:tr>
      <w:tr w:rsidR="00BC14DD" w:rsidRPr="008A5C48" w14:paraId="4C23E5FD" w14:textId="77777777" w:rsidTr="00BD5E94">
        <w:trPr>
          <w:trHeight w:val="193"/>
        </w:trPr>
        <w:tc>
          <w:tcPr>
            <w:tcW w:w="2207" w:type="dxa"/>
            <w:tcBorders>
              <w:top w:val="nil"/>
              <w:left w:val="nil"/>
              <w:bottom w:val="single" w:sz="4" w:space="0" w:color="auto"/>
              <w:right w:val="nil"/>
            </w:tcBorders>
            <w:shd w:val="clear" w:color="auto" w:fill="auto"/>
          </w:tcPr>
          <w:p w14:paraId="14F210D8" w14:textId="50355DEA" w:rsidR="00BC14DD" w:rsidRPr="0052350E" w:rsidRDefault="00BC14DD" w:rsidP="00FB6412">
            <w:pPr>
              <w:contextualSpacing/>
              <w:jc w:val="right"/>
              <w:rPr>
                <w:rFonts w:ascii="Times New Roman" w:eastAsia="Times New Roman" w:hAnsi="Times New Roman" w:cs="Times New Roman"/>
                <w:bCs/>
                <w:sz w:val="20"/>
                <w:szCs w:val="20"/>
              </w:rPr>
            </w:pPr>
            <w:r w:rsidRPr="0052350E">
              <w:rPr>
                <w:rFonts w:ascii="Times New Roman" w:eastAsia="Times New Roman" w:hAnsi="Times New Roman" w:cs="Times New Roman"/>
                <w:bCs/>
                <w:sz w:val="20"/>
                <w:szCs w:val="20"/>
              </w:rPr>
              <w:t xml:space="preserve">Mental </w:t>
            </w:r>
            <w:proofErr w:type="spellStart"/>
            <w:r w:rsidRPr="0052350E">
              <w:rPr>
                <w:rFonts w:ascii="Times New Roman" w:eastAsia="Times New Roman" w:hAnsi="Times New Roman" w:cs="Times New Roman"/>
                <w:bCs/>
                <w:sz w:val="20"/>
                <w:szCs w:val="20"/>
              </w:rPr>
              <w:t>subscore</w:t>
            </w:r>
            <w:proofErr w:type="spellEnd"/>
          </w:p>
        </w:tc>
        <w:tc>
          <w:tcPr>
            <w:tcW w:w="1786" w:type="dxa"/>
            <w:tcBorders>
              <w:top w:val="nil"/>
              <w:left w:val="nil"/>
              <w:bottom w:val="single" w:sz="4" w:space="0" w:color="auto"/>
              <w:right w:val="nil"/>
            </w:tcBorders>
            <w:shd w:val="clear" w:color="auto" w:fill="auto"/>
          </w:tcPr>
          <w:p w14:paraId="257CF3EE" w14:textId="6C36B164" w:rsidR="00BC14DD" w:rsidRPr="008A5C48" w:rsidRDefault="00BC14DD" w:rsidP="00FB6412">
            <w:pPr>
              <w:contextualSpacing/>
              <w:jc w:val="center"/>
              <w:rPr>
                <w:rFonts w:ascii="Times New Roman" w:eastAsia="Times New Roman" w:hAnsi="Times New Roman" w:cs="Times New Roman"/>
                <w:bCs/>
                <w:sz w:val="20"/>
                <w:szCs w:val="20"/>
              </w:rPr>
            </w:pPr>
            <w:r w:rsidRPr="008A5C48">
              <w:rPr>
                <w:rFonts w:ascii="Times New Roman" w:eastAsia="Times New Roman" w:hAnsi="Times New Roman" w:cs="Times New Roman"/>
                <w:bCs/>
                <w:sz w:val="20"/>
                <w:szCs w:val="20"/>
              </w:rPr>
              <w:t>-</w:t>
            </w:r>
          </w:p>
        </w:tc>
        <w:tc>
          <w:tcPr>
            <w:tcW w:w="1602" w:type="dxa"/>
            <w:tcBorders>
              <w:top w:val="nil"/>
              <w:left w:val="nil"/>
              <w:bottom w:val="single" w:sz="4" w:space="0" w:color="auto"/>
              <w:right w:val="nil"/>
            </w:tcBorders>
            <w:shd w:val="clear" w:color="auto" w:fill="auto"/>
          </w:tcPr>
          <w:p w14:paraId="45A6B38C" w14:textId="094031C8" w:rsidR="00BC14DD" w:rsidRPr="008A5C48" w:rsidRDefault="00BC14DD" w:rsidP="00FB6412">
            <w:pPr>
              <w:contextualSpacing/>
              <w:jc w:val="center"/>
              <w:rPr>
                <w:rFonts w:ascii="Times New Roman" w:eastAsia="Times New Roman" w:hAnsi="Times New Roman" w:cs="Times New Roman"/>
                <w:bCs/>
                <w:sz w:val="20"/>
                <w:szCs w:val="20"/>
              </w:rPr>
            </w:pPr>
            <w:r w:rsidRPr="008A5C48">
              <w:rPr>
                <w:rFonts w:ascii="Times New Roman" w:eastAsia="Times New Roman" w:hAnsi="Times New Roman" w:cs="Times New Roman"/>
                <w:bCs/>
                <w:sz w:val="20"/>
                <w:szCs w:val="20"/>
              </w:rPr>
              <w:t>-</w:t>
            </w:r>
          </w:p>
        </w:tc>
        <w:tc>
          <w:tcPr>
            <w:tcW w:w="1905" w:type="dxa"/>
            <w:tcBorders>
              <w:top w:val="nil"/>
              <w:left w:val="nil"/>
              <w:bottom w:val="single" w:sz="4" w:space="0" w:color="auto"/>
              <w:right w:val="nil"/>
            </w:tcBorders>
            <w:shd w:val="clear" w:color="auto" w:fill="auto"/>
          </w:tcPr>
          <w:p w14:paraId="2742E3A5" w14:textId="7EC28139" w:rsidR="00BC14DD" w:rsidRPr="008A5C48" w:rsidRDefault="00BC14DD" w:rsidP="00FB6412">
            <w:pPr>
              <w:contextualSpacing/>
              <w:jc w:val="center"/>
              <w:rPr>
                <w:rFonts w:ascii="Times New Roman" w:eastAsia="Times New Roman" w:hAnsi="Times New Roman" w:cs="Times New Roman"/>
                <w:bCs/>
                <w:sz w:val="20"/>
                <w:szCs w:val="20"/>
              </w:rPr>
            </w:pPr>
            <w:r w:rsidRPr="008A5C48">
              <w:rPr>
                <w:rFonts w:ascii="Times New Roman" w:eastAsia="Times New Roman" w:hAnsi="Times New Roman" w:cs="Times New Roman"/>
                <w:bCs/>
                <w:sz w:val="20"/>
                <w:szCs w:val="20"/>
              </w:rPr>
              <w:t>-</w:t>
            </w:r>
          </w:p>
        </w:tc>
      </w:tr>
    </w:tbl>
    <w:p w14:paraId="27ABE02B" w14:textId="77777777" w:rsidR="00FA2C5E" w:rsidRDefault="00FA2C5E" w:rsidP="00FB6412">
      <w:pPr>
        <w:spacing w:line="240" w:lineRule="auto"/>
        <w:contextualSpacing/>
        <w:jc w:val="both"/>
        <w:rPr>
          <w:rFonts w:ascii="Times New Roman" w:eastAsia="Times New Roman" w:hAnsi="Times New Roman" w:cs="Times New Roman"/>
          <w:bCs/>
          <w:sz w:val="20"/>
          <w:szCs w:val="20"/>
        </w:rPr>
      </w:pPr>
    </w:p>
    <w:p w14:paraId="1BCD2FCA" w14:textId="0DA0AD09" w:rsidR="00BC14DD" w:rsidRPr="00BC7860" w:rsidRDefault="00FA2C5E" w:rsidP="00FB6412">
      <w:pPr>
        <w:spacing w:line="240" w:lineRule="auto"/>
        <w:contextualSpacing/>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Method: </w:t>
      </w:r>
      <w:proofErr w:type="spellStart"/>
      <w:r>
        <w:rPr>
          <w:rFonts w:ascii="Times New Roman" w:eastAsia="Times New Roman" w:hAnsi="Times New Roman" w:cs="Times New Roman"/>
          <w:bCs/>
          <w:sz w:val="20"/>
          <w:szCs w:val="20"/>
        </w:rPr>
        <w:t>p</w:t>
      </w:r>
      <w:r w:rsidR="00BC7860" w:rsidRPr="00BC7860">
        <w:rPr>
          <w:rFonts w:ascii="Times New Roman" w:eastAsia="Times New Roman" w:hAnsi="Times New Roman" w:cs="Times New Roman"/>
          <w:bCs/>
          <w:sz w:val="20"/>
          <w:szCs w:val="20"/>
        </w:rPr>
        <w:t>earson</w:t>
      </w:r>
      <w:proofErr w:type="spellEnd"/>
      <w:r w:rsidR="00BC7860">
        <w:rPr>
          <w:rFonts w:ascii="Times New Roman" w:eastAsia="Times New Roman" w:hAnsi="Times New Roman" w:cs="Times New Roman"/>
          <w:bCs/>
          <w:sz w:val="20"/>
          <w:szCs w:val="20"/>
        </w:rPr>
        <w:t xml:space="preserve"> coefficients of</w:t>
      </w:r>
      <w:r w:rsidR="00BC7860" w:rsidRPr="00BC7860">
        <w:rPr>
          <w:rFonts w:ascii="Times New Roman" w:eastAsia="Times New Roman" w:hAnsi="Times New Roman" w:cs="Times New Roman"/>
          <w:bCs/>
          <w:sz w:val="20"/>
          <w:szCs w:val="20"/>
        </w:rPr>
        <w:t xml:space="preserve"> correlation between pairwise complete observations.</w:t>
      </w:r>
    </w:p>
    <w:p w14:paraId="14132F1D" w14:textId="2D7470D0" w:rsidR="00DE27AA" w:rsidRPr="005157D4" w:rsidRDefault="00DE27AA" w:rsidP="005157D4">
      <w:pPr>
        <w:spacing w:line="240" w:lineRule="auto"/>
        <w:contextualSpacing/>
        <w:jc w:val="both"/>
        <w:rPr>
          <w:rFonts w:ascii="Times New Roman" w:eastAsia="Times New Roman" w:hAnsi="Times New Roman" w:cs="Times New Roman"/>
          <w:b/>
          <w:sz w:val="20"/>
          <w:szCs w:val="20"/>
        </w:rPr>
      </w:pPr>
      <w:bookmarkStart w:id="89" w:name="_Toc126332689"/>
      <w:r>
        <w:br w:type="page"/>
      </w:r>
    </w:p>
    <w:p w14:paraId="44805624" w14:textId="44CE7D7C" w:rsidR="00FA1600" w:rsidRPr="008358B7" w:rsidRDefault="009500CF" w:rsidP="002D561D">
      <w:pPr>
        <w:pStyle w:val="Titre1"/>
        <w:rPr>
          <w:rFonts w:eastAsia="Times New Roman"/>
          <w:b w:val="0"/>
          <w:bCs w:val="0"/>
        </w:rPr>
      </w:pPr>
      <w:bookmarkStart w:id="90" w:name="_Toc127358166"/>
      <w:bookmarkStart w:id="91" w:name="_Toc132271597"/>
      <w:bookmarkStart w:id="92" w:name="_Hlk127367539"/>
      <w:bookmarkEnd w:id="89"/>
      <w:proofErr w:type="spellStart"/>
      <w:r w:rsidRPr="008A5C48">
        <w:rPr>
          <w:rFonts w:eastAsia="Times New Roman"/>
        </w:rPr>
        <w:lastRenderedPageBreak/>
        <w:t>eTable</w:t>
      </w:r>
      <w:proofErr w:type="spellEnd"/>
      <w:r w:rsidRPr="008A5C48">
        <w:rPr>
          <w:rFonts w:eastAsia="Times New Roman"/>
        </w:rPr>
        <w:t xml:space="preserve"> </w:t>
      </w:r>
      <w:r w:rsidR="00E03838">
        <w:rPr>
          <w:rFonts w:eastAsia="Times New Roman"/>
        </w:rPr>
        <w:t>1</w:t>
      </w:r>
      <w:r w:rsidR="00276BE5">
        <w:rPr>
          <w:rFonts w:eastAsia="Times New Roman"/>
        </w:rPr>
        <w:t>5</w:t>
      </w:r>
      <w:r w:rsidR="000F7444">
        <w:rPr>
          <w:rFonts w:eastAsia="Times New Roman"/>
        </w:rPr>
        <w:t>.</w:t>
      </w:r>
      <w:r w:rsidRPr="008A5C48">
        <w:rPr>
          <w:rFonts w:eastAsia="Times New Roman"/>
        </w:rPr>
        <w:t xml:space="preserve"> </w:t>
      </w:r>
      <w:r w:rsidR="00FA1600" w:rsidRPr="008358B7">
        <w:rPr>
          <w:rFonts w:eastAsia="Times New Roman"/>
          <w:b w:val="0"/>
          <w:bCs w:val="0"/>
        </w:rPr>
        <w:t>Description of the general health score by covariates</w:t>
      </w:r>
      <w:bookmarkStart w:id="93" w:name="_heading=h.17dp8vu" w:colFirst="0" w:colLast="0"/>
      <w:bookmarkEnd w:id="90"/>
      <w:bookmarkEnd w:id="91"/>
      <w:bookmarkEnd w:id="93"/>
    </w:p>
    <w:bookmarkEnd w:id="92"/>
    <w:p w14:paraId="147BC448" w14:textId="77777777" w:rsidR="00E03838" w:rsidRPr="00E03838" w:rsidRDefault="00E03838" w:rsidP="00E03838"/>
    <w:tbl>
      <w:tblPr>
        <w:tblStyle w:val="3"/>
        <w:tblW w:w="8755" w:type="dxa"/>
        <w:tblInd w:w="0" w:type="dxa"/>
        <w:tblLayout w:type="fixed"/>
        <w:tblLook w:val="0400" w:firstRow="0" w:lastRow="0" w:firstColumn="0" w:lastColumn="0" w:noHBand="0" w:noVBand="1"/>
      </w:tblPr>
      <w:tblGrid>
        <w:gridCol w:w="3308"/>
        <w:gridCol w:w="1174"/>
        <w:gridCol w:w="1268"/>
        <w:gridCol w:w="944"/>
        <w:gridCol w:w="1386"/>
        <w:gridCol w:w="399"/>
        <w:gridCol w:w="276"/>
      </w:tblGrid>
      <w:tr w:rsidR="00FA1600" w:rsidRPr="008A5C48" w14:paraId="531974C7" w14:textId="77777777" w:rsidTr="008C76FD">
        <w:trPr>
          <w:gridAfter w:val="2"/>
          <w:wAfter w:w="675" w:type="dxa"/>
          <w:trHeight w:val="103"/>
        </w:trPr>
        <w:tc>
          <w:tcPr>
            <w:tcW w:w="3308" w:type="dxa"/>
            <w:vMerge w:val="restart"/>
            <w:tcBorders>
              <w:top w:val="single" w:sz="4" w:space="0" w:color="000000"/>
              <w:bottom w:val="single" w:sz="4" w:space="0" w:color="000000"/>
            </w:tcBorders>
            <w:shd w:val="clear" w:color="auto" w:fill="auto"/>
            <w:vAlign w:val="center"/>
          </w:tcPr>
          <w:p w14:paraId="0A75773A" w14:textId="77777777" w:rsidR="00FA1600" w:rsidRPr="008A5C48" w:rsidRDefault="00FA1600" w:rsidP="00FB6412">
            <w:pPr>
              <w:widowControl w:val="0"/>
              <w:spacing w:after="0"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 xml:space="preserve">Categorical covariates </w:t>
            </w:r>
            <w:r w:rsidRPr="008A5C48">
              <w:rPr>
                <w:rFonts w:ascii="Times New Roman" w:eastAsia="Times New Roman" w:hAnsi="Times New Roman" w:cs="Times New Roman"/>
                <w:color w:val="000000"/>
                <w:sz w:val="20"/>
                <w:szCs w:val="20"/>
                <w:vertAlign w:val="superscript"/>
              </w:rPr>
              <w:t>a</w:t>
            </w:r>
          </w:p>
        </w:tc>
        <w:tc>
          <w:tcPr>
            <w:tcW w:w="1174" w:type="dxa"/>
            <w:vMerge w:val="restart"/>
            <w:tcBorders>
              <w:top w:val="single" w:sz="4" w:space="0" w:color="000000"/>
              <w:bottom w:val="single" w:sz="4" w:space="0" w:color="000000"/>
            </w:tcBorders>
            <w:shd w:val="clear" w:color="auto" w:fill="auto"/>
            <w:vAlign w:val="center"/>
          </w:tcPr>
          <w:p w14:paraId="576B9EDF"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 (%)</w:t>
            </w:r>
          </w:p>
        </w:tc>
        <w:tc>
          <w:tcPr>
            <w:tcW w:w="3598" w:type="dxa"/>
            <w:gridSpan w:val="3"/>
            <w:tcBorders>
              <w:top w:val="single" w:sz="4" w:space="0" w:color="000000"/>
            </w:tcBorders>
          </w:tcPr>
          <w:p w14:paraId="56BAB0B2"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sz w:val="20"/>
                <w:szCs w:val="20"/>
              </w:rPr>
              <w:t>General health</w:t>
            </w:r>
            <w:r w:rsidRPr="008A5C48">
              <w:rPr>
                <w:rFonts w:ascii="Times New Roman" w:eastAsia="Times New Roman" w:hAnsi="Times New Roman" w:cs="Times New Roman"/>
                <w:color w:val="000000"/>
                <w:sz w:val="20"/>
                <w:szCs w:val="20"/>
              </w:rPr>
              <w:t xml:space="preserve"> score</w:t>
            </w:r>
          </w:p>
        </w:tc>
      </w:tr>
      <w:tr w:rsidR="00FA1600" w:rsidRPr="008A5C48" w14:paraId="47C0274A" w14:textId="77777777" w:rsidTr="008C76FD">
        <w:trPr>
          <w:gridAfter w:val="2"/>
          <w:wAfter w:w="675" w:type="dxa"/>
          <w:trHeight w:val="112"/>
        </w:trPr>
        <w:tc>
          <w:tcPr>
            <w:tcW w:w="3308" w:type="dxa"/>
            <w:vMerge/>
            <w:tcBorders>
              <w:top w:val="single" w:sz="4" w:space="0" w:color="000000"/>
              <w:bottom w:val="single" w:sz="4" w:space="0" w:color="000000"/>
            </w:tcBorders>
            <w:shd w:val="clear" w:color="auto" w:fill="auto"/>
            <w:vAlign w:val="center"/>
          </w:tcPr>
          <w:p w14:paraId="12A1E783" w14:textId="77777777" w:rsidR="00FA1600" w:rsidRPr="008A5C48" w:rsidRDefault="00FA1600" w:rsidP="00FB6412">
            <w:pPr>
              <w:widowControl w:val="0"/>
              <w:pBdr>
                <w:top w:val="nil"/>
                <w:left w:val="nil"/>
                <w:bottom w:val="nil"/>
                <w:right w:val="nil"/>
                <w:between w:val="nil"/>
              </w:pBdr>
              <w:spacing w:after="0" w:line="240" w:lineRule="auto"/>
              <w:contextualSpacing/>
              <w:rPr>
                <w:rFonts w:ascii="Times New Roman" w:eastAsia="Times New Roman" w:hAnsi="Times New Roman" w:cs="Times New Roman"/>
                <w:color w:val="000000"/>
                <w:sz w:val="20"/>
                <w:szCs w:val="20"/>
              </w:rPr>
            </w:pPr>
          </w:p>
        </w:tc>
        <w:tc>
          <w:tcPr>
            <w:tcW w:w="1174" w:type="dxa"/>
            <w:vMerge/>
            <w:tcBorders>
              <w:top w:val="single" w:sz="4" w:space="0" w:color="000000"/>
              <w:bottom w:val="single" w:sz="4" w:space="0" w:color="000000"/>
            </w:tcBorders>
            <w:shd w:val="clear" w:color="auto" w:fill="auto"/>
            <w:vAlign w:val="center"/>
          </w:tcPr>
          <w:p w14:paraId="683B51AC" w14:textId="77777777" w:rsidR="00FA1600" w:rsidRPr="008A5C48" w:rsidRDefault="00FA1600" w:rsidP="00FB6412">
            <w:pPr>
              <w:widowControl w:val="0"/>
              <w:pBdr>
                <w:top w:val="nil"/>
                <w:left w:val="nil"/>
                <w:bottom w:val="nil"/>
                <w:right w:val="nil"/>
                <w:between w:val="nil"/>
              </w:pBdr>
              <w:spacing w:after="0" w:line="240" w:lineRule="auto"/>
              <w:contextualSpacing/>
              <w:rPr>
                <w:rFonts w:ascii="Times New Roman" w:eastAsia="Times New Roman" w:hAnsi="Times New Roman" w:cs="Times New Roman"/>
                <w:color w:val="000000"/>
                <w:sz w:val="20"/>
                <w:szCs w:val="20"/>
              </w:rPr>
            </w:pPr>
          </w:p>
        </w:tc>
        <w:tc>
          <w:tcPr>
            <w:tcW w:w="1268" w:type="dxa"/>
            <w:tcBorders>
              <w:top w:val="single" w:sz="4" w:space="0" w:color="000000"/>
              <w:bottom w:val="single" w:sz="4" w:space="0" w:color="000000"/>
            </w:tcBorders>
            <w:shd w:val="clear" w:color="auto" w:fill="auto"/>
            <w:vAlign w:val="center"/>
          </w:tcPr>
          <w:p w14:paraId="46B91F75"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mean</w:t>
            </w:r>
          </w:p>
        </w:tc>
        <w:tc>
          <w:tcPr>
            <w:tcW w:w="944" w:type="dxa"/>
            <w:tcBorders>
              <w:top w:val="single" w:sz="4" w:space="0" w:color="000000"/>
              <w:bottom w:val="single" w:sz="4" w:space="0" w:color="000000"/>
            </w:tcBorders>
            <w:vAlign w:val="center"/>
          </w:tcPr>
          <w:p w14:paraId="46F89B87"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s</w:t>
            </w:r>
            <w:r w:rsidRPr="008A5C48">
              <w:rPr>
                <w:rFonts w:ascii="Times New Roman" w:hAnsi="Times New Roman" w:cs="Times New Roman"/>
                <w:color w:val="000000"/>
                <w:sz w:val="20"/>
                <w:szCs w:val="20"/>
              </w:rPr>
              <w:t>d</w:t>
            </w:r>
            <w:proofErr w:type="spellEnd"/>
          </w:p>
        </w:tc>
        <w:tc>
          <w:tcPr>
            <w:tcW w:w="1386" w:type="dxa"/>
            <w:tcBorders>
              <w:top w:val="single" w:sz="4" w:space="0" w:color="000000"/>
              <w:bottom w:val="single" w:sz="4" w:space="0" w:color="000000"/>
            </w:tcBorders>
            <w:shd w:val="clear" w:color="auto" w:fill="auto"/>
            <w:vAlign w:val="bottom"/>
          </w:tcPr>
          <w:p w14:paraId="4A736395"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vertAlign w:val="superscript"/>
              </w:rPr>
            </w:pPr>
            <w:r w:rsidRPr="008A5C48">
              <w:rPr>
                <w:rFonts w:ascii="Times New Roman" w:eastAsia="Times New Roman" w:hAnsi="Times New Roman" w:cs="Times New Roman"/>
                <w:color w:val="000000"/>
                <w:sz w:val="20"/>
                <w:szCs w:val="20"/>
              </w:rPr>
              <w:t xml:space="preserve">p-value </w:t>
            </w:r>
            <w:r w:rsidRPr="008A5C48">
              <w:rPr>
                <w:rFonts w:ascii="Times New Roman" w:eastAsia="Times New Roman" w:hAnsi="Times New Roman" w:cs="Times New Roman"/>
                <w:color w:val="000000"/>
                <w:sz w:val="20"/>
                <w:szCs w:val="20"/>
                <w:vertAlign w:val="superscript"/>
              </w:rPr>
              <w:t>b</w:t>
            </w:r>
          </w:p>
        </w:tc>
      </w:tr>
      <w:tr w:rsidR="00FA1600" w:rsidRPr="008A5C48" w14:paraId="5301AE5D" w14:textId="77777777" w:rsidTr="008C76FD">
        <w:trPr>
          <w:trHeight w:val="112"/>
        </w:trPr>
        <w:tc>
          <w:tcPr>
            <w:tcW w:w="3308" w:type="dxa"/>
            <w:shd w:val="clear" w:color="auto" w:fill="auto"/>
            <w:vAlign w:val="center"/>
          </w:tcPr>
          <w:p w14:paraId="31B02BC2" w14:textId="77777777" w:rsidR="00FA1600" w:rsidRPr="00E03838" w:rsidRDefault="00FA1600" w:rsidP="00FB6412">
            <w:pPr>
              <w:widowControl w:val="0"/>
              <w:spacing w:after="0" w:line="240" w:lineRule="auto"/>
              <w:contextualSpacing/>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Cohort</w:t>
            </w:r>
          </w:p>
        </w:tc>
        <w:tc>
          <w:tcPr>
            <w:tcW w:w="1174" w:type="dxa"/>
            <w:shd w:val="clear" w:color="auto" w:fill="auto"/>
            <w:vAlign w:val="center"/>
          </w:tcPr>
          <w:p w14:paraId="4E8B7E34" w14:textId="77777777" w:rsidR="00FA1600" w:rsidRPr="008A5C48" w:rsidRDefault="00FA1600" w:rsidP="00FB6412">
            <w:pPr>
              <w:widowControl w:val="0"/>
              <w:spacing w:after="0" w:line="240" w:lineRule="auto"/>
              <w:contextualSpacing/>
              <w:rPr>
                <w:rFonts w:ascii="Times New Roman" w:eastAsia="Times New Roman" w:hAnsi="Times New Roman" w:cs="Times New Roman"/>
                <w:b/>
                <w:color w:val="000000"/>
                <w:sz w:val="20"/>
                <w:szCs w:val="20"/>
              </w:rPr>
            </w:pPr>
          </w:p>
        </w:tc>
        <w:tc>
          <w:tcPr>
            <w:tcW w:w="1268" w:type="dxa"/>
            <w:shd w:val="clear" w:color="auto" w:fill="auto"/>
            <w:vAlign w:val="center"/>
          </w:tcPr>
          <w:p w14:paraId="58756ABA" w14:textId="77777777" w:rsidR="00FA1600" w:rsidRPr="008A5C48" w:rsidRDefault="00FA1600" w:rsidP="00FB6412">
            <w:pPr>
              <w:widowControl w:val="0"/>
              <w:spacing w:after="0" w:line="240" w:lineRule="auto"/>
              <w:contextualSpacing/>
              <w:rPr>
                <w:rFonts w:ascii="Times New Roman" w:eastAsia="Times New Roman" w:hAnsi="Times New Roman" w:cs="Times New Roman"/>
                <w:sz w:val="20"/>
                <w:szCs w:val="20"/>
              </w:rPr>
            </w:pPr>
          </w:p>
        </w:tc>
        <w:tc>
          <w:tcPr>
            <w:tcW w:w="944" w:type="dxa"/>
            <w:vAlign w:val="center"/>
          </w:tcPr>
          <w:p w14:paraId="2B8C599B"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c>
          <w:tcPr>
            <w:tcW w:w="1785" w:type="dxa"/>
            <w:gridSpan w:val="2"/>
            <w:shd w:val="clear" w:color="auto" w:fill="auto"/>
            <w:vAlign w:val="center"/>
          </w:tcPr>
          <w:p w14:paraId="425668B3"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&lt;0.01</w:t>
            </w:r>
          </w:p>
        </w:tc>
        <w:tc>
          <w:tcPr>
            <w:tcW w:w="276" w:type="dxa"/>
            <w:shd w:val="clear" w:color="auto" w:fill="auto"/>
            <w:vAlign w:val="bottom"/>
          </w:tcPr>
          <w:p w14:paraId="07FB6942"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r>
      <w:tr w:rsidR="00FA1600" w:rsidRPr="008A5C48" w14:paraId="553D9FA0" w14:textId="77777777" w:rsidTr="008C76FD">
        <w:trPr>
          <w:trHeight w:val="103"/>
        </w:trPr>
        <w:tc>
          <w:tcPr>
            <w:tcW w:w="3308" w:type="dxa"/>
            <w:shd w:val="clear" w:color="auto" w:fill="auto"/>
            <w:vAlign w:val="center"/>
          </w:tcPr>
          <w:p w14:paraId="028B1821"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proofErr w:type="spellStart"/>
            <w:r w:rsidRPr="00E03838">
              <w:rPr>
                <w:rFonts w:ascii="Times New Roman" w:eastAsia="Times New Roman" w:hAnsi="Times New Roman" w:cs="Times New Roman"/>
                <w:bCs/>
                <w:color w:val="000000"/>
                <w:sz w:val="20"/>
                <w:szCs w:val="20"/>
              </w:rPr>
              <w:t>BiB</w:t>
            </w:r>
            <w:proofErr w:type="spellEnd"/>
          </w:p>
        </w:tc>
        <w:tc>
          <w:tcPr>
            <w:tcW w:w="1174" w:type="dxa"/>
            <w:shd w:val="clear" w:color="auto" w:fill="auto"/>
            <w:vAlign w:val="center"/>
          </w:tcPr>
          <w:p w14:paraId="2D296482"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134 (15%)</w:t>
            </w:r>
          </w:p>
        </w:tc>
        <w:tc>
          <w:tcPr>
            <w:tcW w:w="1268" w:type="dxa"/>
            <w:shd w:val="clear" w:color="auto" w:fill="auto"/>
            <w:vAlign w:val="bottom"/>
          </w:tcPr>
          <w:p w14:paraId="2801A3C0"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-0.20</w:t>
            </w:r>
          </w:p>
        </w:tc>
        <w:tc>
          <w:tcPr>
            <w:tcW w:w="944" w:type="dxa"/>
            <w:vAlign w:val="bottom"/>
          </w:tcPr>
          <w:p w14:paraId="61F3C308"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0.59</w:t>
            </w:r>
          </w:p>
        </w:tc>
        <w:tc>
          <w:tcPr>
            <w:tcW w:w="1785" w:type="dxa"/>
            <w:gridSpan w:val="2"/>
            <w:shd w:val="clear" w:color="auto" w:fill="auto"/>
            <w:vAlign w:val="center"/>
          </w:tcPr>
          <w:p w14:paraId="5F8DF248"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63948EF8"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r>
      <w:tr w:rsidR="00FA1600" w:rsidRPr="008A5C48" w14:paraId="033D4C54" w14:textId="77777777" w:rsidTr="008C76FD">
        <w:trPr>
          <w:gridAfter w:val="1"/>
          <w:wAfter w:w="276" w:type="dxa"/>
          <w:trHeight w:val="103"/>
        </w:trPr>
        <w:tc>
          <w:tcPr>
            <w:tcW w:w="3308" w:type="dxa"/>
            <w:shd w:val="clear" w:color="auto" w:fill="auto"/>
            <w:vAlign w:val="center"/>
          </w:tcPr>
          <w:p w14:paraId="3821ADAB"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EDEN</w:t>
            </w:r>
          </w:p>
        </w:tc>
        <w:tc>
          <w:tcPr>
            <w:tcW w:w="1174" w:type="dxa"/>
            <w:shd w:val="clear" w:color="auto" w:fill="auto"/>
            <w:vAlign w:val="center"/>
          </w:tcPr>
          <w:p w14:paraId="7F104C37"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112 (13%)</w:t>
            </w:r>
          </w:p>
        </w:tc>
        <w:tc>
          <w:tcPr>
            <w:tcW w:w="1268" w:type="dxa"/>
            <w:shd w:val="clear" w:color="auto" w:fill="auto"/>
            <w:vAlign w:val="bottom"/>
          </w:tcPr>
          <w:p w14:paraId="2F48C4AE"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-0.26</w:t>
            </w:r>
          </w:p>
        </w:tc>
        <w:tc>
          <w:tcPr>
            <w:tcW w:w="944" w:type="dxa"/>
            <w:vAlign w:val="bottom"/>
          </w:tcPr>
          <w:p w14:paraId="15AE13DE"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0.50</w:t>
            </w:r>
          </w:p>
        </w:tc>
        <w:tc>
          <w:tcPr>
            <w:tcW w:w="1785" w:type="dxa"/>
            <w:gridSpan w:val="2"/>
            <w:shd w:val="clear" w:color="auto" w:fill="auto"/>
            <w:vAlign w:val="center"/>
          </w:tcPr>
          <w:p w14:paraId="523CD828"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r>
      <w:tr w:rsidR="00FA1600" w:rsidRPr="008A5C48" w14:paraId="0DD8E2A3" w14:textId="77777777" w:rsidTr="008C76FD">
        <w:trPr>
          <w:trHeight w:val="103"/>
        </w:trPr>
        <w:tc>
          <w:tcPr>
            <w:tcW w:w="3308" w:type="dxa"/>
            <w:shd w:val="clear" w:color="auto" w:fill="auto"/>
            <w:vAlign w:val="center"/>
          </w:tcPr>
          <w:p w14:paraId="61A5E52A"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INMA</w:t>
            </w:r>
          </w:p>
        </w:tc>
        <w:tc>
          <w:tcPr>
            <w:tcW w:w="1174" w:type="dxa"/>
            <w:shd w:val="clear" w:color="auto" w:fill="auto"/>
            <w:vAlign w:val="center"/>
          </w:tcPr>
          <w:p w14:paraId="3455745F"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160 (18%)</w:t>
            </w:r>
          </w:p>
        </w:tc>
        <w:tc>
          <w:tcPr>
            <w:tcW w:w="1268" w:type="dxa"/>
            <w:shd w:val="clear" w:color="auto" w:fill="auto"/>
            <w:vAlign w:val="bottom"/>
          </w:tcPr>
          <w:p w14:paraId="4D5E3182"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-0.04</w:t>
            </w:r>
          </w:p>
        </w:tc>
        <w:tc>
          <w:tcPr>
            <w:tcW w:w="944" w:type="dxa"/>
            <w:vAlign w:val="bottom"/>
          </w:tcPr>
          <w:p w14:paraId="319E2FA1"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0.59</w:t>
            </w:r>
          </w:p>
        </w:tc>
        <w:tc>
          <w:tcPr>
            <w:tcW w:w="1785" w:type="dxa"/>
            <w:gridSpan w:val="2"/>
            <w:shd w:val="clear" w:color="auto" w:fill="auto"/>
            <w:vAlign w:val="center"/>
          </w:tcPr>
          <w:p w14:paraId="1C960071"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419BB76F"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r>
      <w:tr w:rsidR="00FA1600" w:rsidRPr="008A5C48" w14:paraId="693B54EB" w14:textId="77777777" w:rsidTr="008C76FD">
        <w:trPr>
          <w:trHeight w:val="112"/>
        </w:trPr>
        <w:tc>
          <w:tcPr>
            <w:tcW w:w="3308" w:type="dxa"/>
            <w:shd w:val="clear" w:color="auto" w:fill="auto"/>
            <w:vAlign w:val="center"/>
          </w:tcPr>
          <w:p w14:paraId="547B3B5D"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KANC</w:t>
            </w:r>
          </w:p>
        </w:tc>
        <w:tc>
          <w:tcPr>
            <w:tcW w:w="1174" w:type="dxa"/>
            <w:shd w:val="clear" w:color="auto" w:fill="auto"/>
            <w:vAlign w:val="center"/>
          </w:tcPr>
          <w:p w14:paraId="16A148D0"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129 (15%)</w:t>
            </w:r>
          </w:p>
        </w:tc>
        <w:tc>
          <w:tcPr>
            <w:tcW w:w="1268" w:type="dxa"/>
            <w:shd w:val="clear" w:color="auto" w:fill="auto"/>
            <w:vAlign w:val="bottom"/>
          </w:tcPr>
          <w:p w14:paraId="447307DD"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0.23</w:t>
            </w:r>
          </w:p>
        </w:tc>
        <w:tc>
          <w:tcPr>
            <w:tcW w:w="944" w:type="dxa"/>
            <w:vAlign w:val="bottom"/>
          </w:tcPr>
          <w:p w14:paraId="0C017AE3"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0.52</w:t>
            </w:r>
          </w:p>
        </w:tc>
        <w:tc>
          <w:tcPr>
            <w:tcW w:w="1785" w:type="dxa"/>
            <w:gridSpan w:val="2"/>
            <w:shd w:val="clear" w:color="auto" w:fill="auto"/>
            <w:vAlign w:val="center"/>
          </w:tcPr>
          <w:p w14:paraId="2FD40286"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7371A106"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r>
      <w:tr w:rsidR="00FA1600" w:rsidRPr="008A5C48" w14:paraId="11D2B499" w14:textId="77777777" w:rsidTr="008C76FD">
        <w:trPr>
          <w:trHeight w:val="112"/>
        </w:trPr>
        <w:tc>
          <w:tcPr>
            <w:tcW w:w="3308" w:type="dxa"/>
            <w:shd w:val="clear" w:color="auto" w:fill="auto"/>
            <w:vAlign w:val="center"/>
          </w:tcPr>
          <w:p w14:paraId="2435B163"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proofErr w:type="spellStart"/>
            <w:r w:rsidRPr="00E03838">
              <w:rPr>
                <w:rFonts w:ascii="Times New Roman" w:eastAsia="Times New Roman" w:hAnsi="Times New Roman" w:cs="Times New Roman"/>
                <w:bCs/>
                <w:color w:val="000000"/>
                <w:sz w:val="20"/>
                <w:szCs w:val="20"/>
              </w:rPr>
              <w:t>MoBA</w:t>
            </w:r>
            <w:proofErr w:type="spellEnd"/>
          </w:p>
        </w:tc>
        <w:tc>
          <w:tcPr>
            <w:tcW w:w="1174" w:type="dxa"/>
            <w:shd w:val="clear" w:color="auto" w:fill="auto"/>
            <w:vAlign w:val="center"/>
          </w:tcPr>
          <w:p w14:paraId="3AE2D9AA"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193 (22%)</w:t>
            </w:r>
          </w:p>
        </w:tc>
        <w:tc>
          <w:tcPr>
            <w:tcW w:w="1268" w:type="dxa"/>
            <w:shd w:val="clear" w:color="auto" w:fill="auto"/>
            <w:vAlign w:val="bottom"/>
          </w:tcPr>
          <w:p w14:paraId="2BC5192A"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0.39</w:t>
            </w:r>
          </w:p>
        </w:tc>
        <w:tc>
          <w:tcPr>
            <w:tcW w:w="944" w:type="dxa"/>
            <w:vAlign w:val="bottom"/>
          </w:tcPr>
          <w:p w14:paraId="436321E5"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0.55</w:t>
            </w:r>
          </w:p>
        </w:tc>
        <w:tc>
          <w:tcPr>
            <w:tcW w:w="1785" w:type="dxa"/>
            <w:gridSpan w:val="2"/>
            <w:shd w:val="clear" w:color="auto" w:fill="auto"/>
            <w:vAlign w:val="center"/>
          </w:tcPr>
          <w:p w14:paraId="4D182C87"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337104D2"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r>
      <w:tr w:rsidR="00FA1600" w:rsidRPr="008A5C48" w14:paraId="188A8D1C" w14:textId="77777777" w:rsidTr="008C76FD">
        <w:trPr>
          <w:trHeight w:val="112"/>
        </w:trPr>
        <w:tc>
          <w:tcPr>
            <w:tcW w:w="3308" w:type="dxa"/>
            <w:shd w:val="clear" w:color="auto" w:fill="auto"/>
            <w:vAlign w:val="center"/>
          </w:tcPr>
          <w:p w14:paraId="5B670FEC"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RHEA</w:t>
            </w:r>
          </w:p>
        </w:tc>
        <w:tc>
          <w:tcPr>
            <w:tcW w:w="1174" w:type="dxa"/>
            <w:shd w:val="clear" w:color="auto" w:fill="auto"/>
            <w:vAlign w:val="center"/>
          </w:tcPr>
          <w:p w14:paraId="1BDAAF5F"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142 (16%)</w:t>
            </w:r>
          </w:p>
        </w:tc>
        <w:tc>
          <w:tcPr>
            <w:tcW w:w="1268" w:type="dxa"/>
            <w:shd w:val="clear" w:color="auto" w:fill="auto"/>
            <w:vAlign w:val="bottom"/>
          </w:tcPr>
          <w:p w14:paraId="2F8692CC"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-0.10</w:t>
            </w:r>
          </w:p>
        </w:tc>
        <w:tc>
          <w:tcPr>
            <w:tcW w:w="944" w:type="dxa"/>
            <w:vAlign w:val="bottom"/>
          </w:tcPr>
          <w:p w14:paraId="58BA7A4B"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0.56</w:t>
            </w:r>
          </w:p>
        </w:tc>
        <w:tc>
          <w:tcPr>
            <w:tcW w:w="1785" w:type="dxa"/>
            <w:gridSpan w:val="2"/>
            <w:shd w:val="clear" w:color="auto" w:fill="auto"/>
            <w:vAlign w:val="center"/>
          </w:tcPr>
          <w:p w14:paraId="04F27574"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64908D53"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r>
      <w:tr w:rsidR="00FA1600" w:rsidRPr="008A5C48" w14:paraId="5DFD7EDD" w14:textId="77777777" w:rsidTr="008C76FD">
        <w:trPr>
          <w:trHeight w:val="155"/>
        </w:trPr>
        <w:tc>
          <w:tcPr>
            <w:tcW w:w="3308" w:type="dxa"/>
            <w:shd w:val="clear" w:color="auto" w:fill="auto"/>
            <w:vAlign w:val="center"/>
          </w:tcPr>
          <w:p w14:paraId="16542A7D" w14:textId="77777777" w:rsidR="00FA1600" w:rsidRPr="00E03838" w:rsidRDefault="00FA1600" w:rsidP="00FB6412">
            <w:pPr>
              <w:widowControl w:val="0"/>
              <w:spacing w:after="0" w:line="240" w:lineRule="auto"/>
              <w:contextualSpacing/>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Child sex</w:t>
            </w:r>
          </w:p>
        </w:tc>
        <w:tc>
          <w:tcPr>
            <w:tcW w:w="1174" w:type="dxa"/>
            <w:shd w:val="clear" w:color="auto" w:fill="auto"/>
            <w:vAlign w:val="center"/>
          </w:tcPr>
          <w:p w14:paraId="35EEC38B" w14:textId="77777777" w:rsidR="00FA1600" w:rsidRPr="008A5C48" w:rsidRDefault="00FA1600" w:rsidP="00FB6412">
            <w:pPr>
              <w:widowControl w:val="0"/>
              <w:spacing w:after="0" w:line="240" w:lineRule="auto"/>
              <w:contextualSpacing/>
              <w:rPr>
                <w:rFonts w:ascii="Times New Roman" w:eastAsia="Times New Roman" w:hAnsi="Times New Roman" w:cs="Times New Roman"/>
                <w:b/>
                <w:color w:val="000000"/>
                <w:sz w:val="20"/>
                <w:szCs w:val="20"/>
              </w:rPr>
            </w:pPr>
          </w:p>
        </w:tc>
        <w:tc>
          <w:tcPr>
            <w:tcW w:w="1268" w:type="dxa"/>
            <w:shd w:val="clear" w:color="auto" w:fill="auto"/>
            <w:vAlign w:val="center"/>
          </w:tcPr>
          <w:p w14:paraId="23D085F0"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c>
          <w:tcPr>
            <w:tcW w:w="944" w:type="dxa"/>
            <w:vAlign w:val="center"/>
          </w:tcPr>
          <w:p w14:paraId="11AF04E2"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1785" w:type="dxa"/>
            <w:gridSpan w:val="2"/>
            <w:shd w:val="clear" w:color="auto" w:fill="auto"/>
            <w:vAlign w:val="center"/>
          </w:tcPr>
          <w:p w14:paraId="025B0A87"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0.29</w:t>
            </w:r>
          </w:p>
        </w:tc>
        <w:tc>
          <w:tcPr>
            <w:tcW w:w="276" w:type="dxa"/>
            <w:shd w:val="clear" w:color="auto" w:fill="auto"/>
            <w:vAlign w:val="bottom"/>
          </w:tcPr>
          <w:p w14:paraId="79AF87E6"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r>
      <w:tr w:rsidR="00FA1600" w:rsidRPr="008A5C48" w14:paraId="18C914BD" w14:textId="77777777" w:rsidTr="008C76FD">
        <w:trPr>
          <w:trHeight w:val="112"/>
        </w:trPr>
        <w:tc>
          <w:tcPr>
            <w:tcW w:w="3308" w:type="dxa"/>
            <w:shd w:val="clear" w:color="auto" w:fill="auto"/>
            <w:vAlign w:val="center"/>
          </w:tcPr>
          <w:p w14:paraId="60F8BBE0"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Girls</w:t>
            </w:r>
          </w:p>
        </w:tc>
        <w:tc>
          <w:tcPr>
            <w:tcW w:w="1174" w:type="dxa"/>
            <w:shd w:val="clear" w:color="auto" w:fill="auto"/>
            <w:vAlign w:val="center"/>
          </w:tcPr>
          <w:p w14:paraId="414C672D"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411 (47%)</w:t>
            </w:r>
          </w:p>
        </w:tc>
        <w:tc>
          <w:tcPr>
            <w:tcW w:w="1268" w:type="dxa"/>
            <w:shd w:val="clear" w:color="auto" w:fill="auto"/>
            <w:vAlign w:val="bottom"/>
          </w:tcPr>
          <w:p w14:paraId="2B1F0B48"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0.06</w:t>
            </w:r>
          </w:p>
        </w:tc>
        <w:tc>
          <w:tcPr>
            <w:tcW w:w="944" w:type="dxa"/>
            <w:vAlign w:val="bottom"/>
          </w:tcPr>
          <w:p w14:paraId="61008C24"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0.58</w:t>
            </w:r>
          </w:p>
        </w:tc>
        <w:tc>
          <w:tcPr>
            <w:tcW w:w="1785" w:type="dxa"/>
            <w:gridSpan w:val="2"/>
            <w:shd w:val="clear" w:color="auto" w:fill="auto"/>
            <w:vAlign w:val="center"/>
          </w:tcPr>
          <w:p w14:paraId="6D0D29C0"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2D07A170"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r>
      <w:tr w:rsidR="00FA1600" w:rsidRPr="008A5C48" w14:paraId="2379FF13" w14:textId="77777777" w:rsidTr="008C76FD">
        <w:trPr>
          <w:trHeight w:val="112"/>
        </w:trPr>
        <w:tc>
          <w:tcPr>
            <w:tcW w:w="3308" w:type="dxa"/>
            <w:shd w:val="clear" w:color="auto" w:fill="auto"/>
            <w:vAlign w:val="center"/>
          </w:tcPr>
          <w:p w14:paraId="752D6256"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Boys</w:t>
            </w:r>
          </w:p>
        </w:tc>
        <w:tc>
          <w:tcPr>
            <w:tcW w:w="1174" w:type="dxa"/>
            <w:shd w:val="clear" w:color="auto" w:fill="auto"/>
            <w:vAlign w:val="center"/>
          </w:tcPr>
          <w:p w14:paraId="6922689D"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459 (53%)</w:t>
            </w:r>
          </w:p>
        </w:tc>
        <w:tc>
          <w:tcPr>
            <w:tcW w:w="1268" w:type="dxa"/>
            <w:shd w:val="clear" w:color="auto" w:fill="auto"/>
            <w:vAlign w:val="bottom"/>
          </w:tcPr>
          <w:p w14:paraId="6814341C"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0.01</w:t>
            </w:r>
          </w:p>
        </w:tc>
        <w:tc>
          <w:tcPr>
            <w:tcW w:w="944" w:type="dxa"/>
            <w:vAlign w:val="bottom"/>
          </w:tcPr>
          <w:p w14:paraId="6A2017A5"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0.62</w:t>
            </w:r>
          </w:p>
        </w:tc>
        <w:tc>
          <w:tcPr>
            <w:tcW w:w="1785" w:type="dxa"/>
            <w:gridSpan w:val="2"/>
            <w:shd w:val="clear" w:color="auto" w:fill="auto"/>
            <w:vAlign w:val="center"/>
          </w:tcPr>
          <w:p w14:paraId="6C381059"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3DD80664"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r>
      <w:tr w:rsidR="00FA1600" w:rsidRPr="008A5C48" w14:paraId="60D8450D" w14:textId="77777777" w:rsidTr="008C76FD">
        <w:trPr>
          <w:trHeight w:val="103"/>
        </w:trPr>
        <w:tc>
          <w:tcPr>
            <w:tcW w:w="3308" w:type="dxa"/>
            <w:shd w:val="clear" w:color="auto" w:fill="auto"/>
            <w:vAlign w:val="center"/>
          </w:tcPr>
          <w:p w14:paraId="1A3B4017" w14:textId="77777777" w:rsidR="00FA1600" w:rsidRPr="00E03838" w:rsidRDefault="00FA1600" w:rsidP="00FB6412">
            <w:pPr>
              <w:widowControl w:val="0"/>
              <w:spacing w:after="0" w:line="240" w:lineRule="auto"/>
              <w:contextualSpacing/>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Highest parental education</w:t>
            </w:r>
          </w:p>
        </w:tc>
        <w:tc>
          <w:tcPr>
            <w:tcW w:w="1174" w:type="dxa"/>
            <w:shd w:val="clear" w:color="auto" w:fill="auto"/>
            <w:vAlign w:val="center"/>
          </w:tcPr>
          <w:p w14:paraId="6E167111" w14:textId="77777777" w:rsidR="00FA1600" w:rsidRPr="008A5C48" w:rsidRDefault="00FA1600" w:rsidP="00FB6412">
            <w:pPr>
              <w:widowControl w:val="0"/>
              <w:spacing w:after="0" w:line="240" w:lineRule="auto"/>
              <w:contextualSpacing/>
              <w:rPr>
                <w:rFonts w:ascii="Times New Roman" w:eastAsia="Times New Roman" w:hAnsi="Times New Roman" w:cs="Times New Roman"/>
                <w:b/>
                <w:color w:val="000000"/>
                <w:sz w:val="20"/>
                <w:szCs w:val="20"/>
              </w:rPr>
            </w:pPr>
          </w:p>
        </w:tc>
        <w:tc>
          <w:tcPr>
            <w:tcW w:w="1268" w:type="dxa"/>
            <w:shd w:val="clear" w:color="auto" w:fill="auto"/>
            <w:vAlign w:val="center"/>
          </w:tcPr>
          <w:p w14:paraId="6DFC9AA6"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c>
          <w:tcPr>
            <w:tcW w:w="944" w:type="dxa"/>
            <w:vAlign w:val="center"/>
          </w:tcPr>
          <w:p w14:paraId="0EC5CDB7"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1785" w:type="dxa"/>
            <w:gridSpan w:val="2"/>
            <w:shd w:val="clear" w:color="auto" w:fill="auto"/>
            <w:vAlign w:val="center"/>
          </w:tcPr>
          <w:p w14:paraId="55719F40"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&lt;0.01</w:t>
            </w:r>
          </w:p>
        </w:tc>
        <w:tc>
          <w:tcPr>
            <w:tcW w:w="276" w:type="dxa"/>
            <w:shd w:val="clear" w:color="auto" w:fill="auto"/>
            <w:vAlign w:val="center"/>
          </w:tcPr>
          <w:p w14:paraId="02F735D1"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r>
      <w:tr w:rsidR="00FA1600" w:rsidRPr="008A5C48" w14:paraId="476FD084" w14:textId="77777777" w:rsidTr="008C76FD">
        <w:trPr>
          <w:trHeight w:val="112"/>
        </w:trPr>
        <w:tc>
          <w:tcPr>
            <w:tcW w:w="3308" w:type="dxa"/>
            <w:shd w:val="clear" w:color="auto" w:fill="auto"/>
            <w:vAlign w:val="center"/>
          </w:tcPr>
          <w:p w14:paraId="63DDF16B"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Primary</w:t>
            </w:r>
          </w:p>
        </w:tc>
        <w:tc>
          <w:tcPr>
            <w:tcW w:w="1174" w:type="dxa"/>
            <w:shd w:val="clear" w:color="auto" w:fill="auto"/>
            <w:vAlign w:val="center"/>
          </w:tcPr>
          <w:p w14:paraId="548383B7"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79 (9%)</w:t>
            </w:r>
          </w:p>
        </w:tc>
        <w:tc>
          <w:tcPr>
            <w:tcW w:w="1268" w:type="dxa"/>
            <w:shd w:val="clear" w:color="auto" w:fill="auto"/>
            <w:vAlign w:val="bottom"/>
          </w:tcPr>
          <w:p w14:paraId="5460E842"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-0.20</w:t>
            </w:r>
          </w:p>
        </w:tc>
        <w:tc>
          <w:tcPr>
            <w:tcW w:w="944" w:type="dxa"/>
            <w:vAlign w:val="bottom"/>
          </w:tcPr>
          <w:p w14:paraId="24BB1195"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0.65</w:t>
            </w:r>
          </w:p>
        </w:tc>
        <w:tc>
          <w:tcPr>
            <w:tcW w:w="1785" w:type="dxa"/>
            <w:gridSpan w:val="2"/>
            <w:shd w:val="clear" w:color="auto" w:fill="auto"/>
            <w:vAlign w:val="center"/>
          </w:tcPr>
          <w:p w14:paraId="379E404B"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4D155BCE"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r>
      <w:tr w:rsidR="00FA1600" w:rsidRPr="008A5C48" w14:paraId="5973A686" w14:textId="77777777" w:rsidTr="008C76FD">
        <w:trPr>
          <w:trHeight w:val="112"/>
        </w:trPr>
        <w:tc>
          <w:tcPr>
            <w:tcW w:w="3308" w:type="dxa"/>
            <w:shd w:val="clear" w:color="auto" w:fill="auto"/>
            <w:vAlign w:val="center"/>
          </w:tcPr>
          <w:p w14:paraId="279F3A43"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Secondary</w:t>
            </w:r>
          </w:p>
        </w:tc>
        <w:tc>
          <w:tcPr>
            <w:tcW w:w="1174" w:type="dxa"/>
            <w:shd w:val="clear" w:color="auto" w:fill="auto"/>
            <w:vAlign w:val="center"/>
          </w:tcPr>
          <w:p w14:paraId="228ADBCE"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262 (30%)</w:t>
            </w:r>
          </w:p>
        </w:tc>
        <w:tc>
          <w:tcPr>
            <w:tcW w:w="1268" w:type="dxa"/>
            <w:shd w:val="clear" w:color="auto" w:fill="auto"/>
            <w:vAlign w:val="bottom"/>
          </w:tcPr>
          <w:p w14:paraId="441F41E8"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-0.07</w:t>
            </w:r>
          </w:p>
        </w:tc>
        <w:tc>
          <w:tcPr>
            <w:tcW w:w="944" w:type="dxa"/>
            <w:vAlign w:val="bottom"/>
          </w:tcPr>
          <w:p w14:paraId="7E303379"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0.58</w:t>
            </w:r>
          </w:p>
        </w:tc>
        <w:tc>
          <w:tcPr>
            <w:tcW w:w="1785" w:type="dxa"/>
            <w:gridSpan w:val="2"/>
            <w:shd w:val="clear" w:color="auto" w:fill="auto"/>
            <w:vAlign w:val="center"/>
          </w:tcPr>
          <w:p w14:paraId="1A33B321"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4C6BAA5E"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r>
      <w:tr w:rsidR="00FA1600" w:rsidRPr="008A5C48" w14:paraId="0B7C80EE" w14:textId="77777777" w:rsidTr="008C76FD">
        <w:trPr>
          <w:trHeight w:val="112"/>
        </w:trPr>
        <w:tc>
          <w:tcPr>
            <w:tcW w:w="3308" w:type="dxa"/>
            <w:shd w:val="clear" w:color="auto" w:fill="auto"/>
            <w:vAlign w:val="center"/>
          </w:tcPr>
          <w:p w14:paraId="44C83C5E"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Higher</w:t>
            </w:r>
          </w:p>
        </w:tc>
        <w:tc>
          <w:tcPr>
            <w:tcW w:w="1174" w:type="dxa"/>
            <w:shd w:val="clear" w:color="auto" w:fill="auto"/>
            <w:vAlign w:val="center"/>
          </w:tcPr>
          <w:p w14:paraId="50C0CC3F"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529 (61%)</w:t>
            </w:r>
          </w:p>
        </w:tc>
        <w:tc>
          <w:tcPr>
            <w:tcW w:w="1268" w:type="dxa"/>
            <w:shd w:val="clear" w:color="auto" w:fill="auto"/>
            <w:vAlign w:val="bottom"/>
          </w:tcPr>
          <w:p w14:paraId="0F686E86"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0.12</w:t>
            </w:r>
          </w:p>
        </w:tc>
        <w:tc>
          <w:tcPr>
            <w:tcW w:w="944" w:type="dxa"/>
            <w:vAlign w:val="bottom"/>
          </w:tcPr>
          <w:p w14:paraId="3464B1CB"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0.59</w:t>
            </w:r>
          </w:p>
        </w:tc>
        <w:tc>
          <w:tcPr>
            <w:tcW w:w="1785" w:type="dxa"/>
            <w:gridSpan w:val="2"/>
            <w:shd w:val="clear" w:color="auto" w:fill="auto"/>
            <w:vAlign w:val="center"/>
          </w:tcPr>
          <w:p w14:paraId="16058B8B"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6DC72251"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r>
      <w:tr w:rsidR="00FA1600" w:rsidRPr="008A5C48" w14:paraId="3131A363" w14:textId="77777777" w:rsidTr="008C76FD">
        <w:trPr>
          <w:trHeight w:val="175"/>
        </w:trPr>
        <w:tc>
          <w:tcPr>
            <w:tcW w:w="3308" w:type="dxa"/>
            <w:shd w:val="clear" w:color="auto" w:fill="auto"/>
            <w:vAlign w:val="center"/>
          </w:tcPr>
          <w:p w14:paraId="426AD58B" w14:textId="77777777" w:rsidR="00FA1600" w:rsidRPr="00E03838" w:rsidRDefault="00FA1600" w:rsidP="00FB6412">
            <w:pPr>
              <w:widowControl w:val="0"/>
              <w:spacing w:after="0" w:line="240" w:lineRule="auto"/>
              <w:contextualSpacing/>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Parents from the cohort country</w:t>
            </w:r>
          </w:p>
        </w:tc>
        <w:tc>
          <w:tcPr>
            <w:tcW w:w="1174" w:type="dxa"/>
            <w:shd w:val="clear" w:color="auto" w:fill="auto"/>
            <w:vAlign w:val="center"/>
          </w:tcPr>
          <w:p w14:paraId="178F2059" w14:textId="77777777" w:rsidR="00FA1600" w:rsidRPr="008A5C48" w:rsidRDefault="00FA1600" w:rsidP="00FB6412">
            <w:pPr>
              <w:widowControl w:val="0"/>
              <w:spacing w:after="0" w:line="240" w:lineRule="auto"/>
              <w:contextualSpacing/>
              <w:rPr>
                <w:rFonts w:ascii="Times New Roman" w:eastAsia="Times New Roman" w:hAnsi="Times New Roman" w:cs="Times New Roman"/>
                <w:b/>
                <w:color w:val="000000"/>
                <w:sz w:val="20"/>
                <w:szCs w:val="20"/>
              </w:rPr>
            </w:pPr>
          </w:p>
        </w:tc>
        <w:tc>
          <w:tcPr>
            <w:tcW w:w="1268" w:type="dxa"/>
            <w:shd w:val="clear" w:color="auto" w:fill="auto"/>
            <w:vAlign w:val="center"/>
          </w:tcPr>
          <w:p w14:paraId="68D8AA8E"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sz w:val="20"/>
                <w:szCs w:val="20"/>
              </w:rPr>
            </w:pPr>
          </w:p>
        </w:tc>
        <w:tc>
          <w:tcPr>
            <w:tcW w:w="944" w:type="dxa"/>
            <w:vAlign w:val="center"/>
          </w:tcPr>
          <w:p w14:paraId="5B13FA94"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1785" w:type="dxa"/>
            <w:gridSpan w:val="2"/>
            <w:shd w:val="clear" w:color="auto" w:fill="auto"/>
            <w:vAlign w:val="center"/>
          </w:tcPr>
          <w:p w14:paraId="2880D64F"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0.12</w:t>
            </w:r>
          </w:p>
        </w:tc>
        <w:tc>
          <w:tcPr>
            <w:tcW w:w="276" w:type="dxa"/>
            <w:shd w:val="clear" w:color="auto" w:fill="auto"/>
            <w:vAlign w:val="bottom"/>
          </w:tcPr>
          <w:p w14:paraId="71AA66AB"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r>
      <w:tr w:rsidR="00FA1600" w:rsidRPr="008A5C48" w14:paraId="5BBF88CC" w14:textId="77777777" w:rsidTr="008C76FD">
        <w:trPr>
          <w:trHeight w:val="112"/>
        </w:trPr>
        <w:tc>
          <w:tcPr>
            <w:tcW w:w="3308" w:type="dxa"/>
            <w:shd w:val="clear" w:color="auto" w:fill="auto"/>
            <w:vAlign w:val="center"/>
          </w:tcPr>
          <w:p w14:paraId="5855CAC8"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None</w:t>
            </w:r>
          </w:p>
        </w:tc>
        <w:tc>
          <w:tcPr>
            <w:tcW w:w="1174" w:type="dxa"/>
            <w:shd w:val="clear" w:color="auto" w:fill="auto"/>
            <w:vAlign w:val="bottom"/>
          </w:tcPr>
          <w:p w14:paraId="6E512EE0"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101 (12%)</w:t>
            </w:r>
          </w:p>
        </w:tc>
        <w:tc>
          <w:tcPr>
            <w:tcW w:w="1268" w:type="dxa"/>
            <w:shd w:val="clear" w:color="auto" w:fill="auto"/>
            <w:vAlign w:val="bottom"/>
          </w:tcPr>
          <w:p w14:paraId="3B802782"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0.01</w:t>
            </w:r>
          </w:p>
        </w:tc>
        <w:tc>
          <w:tcPr>
            <w:tcW w:w="944" w:type="dxa"/>
            <w:vAlign w:val="bottom"/>
          </w:tcPr>
          <w:p w14:paraId="3E7881DD"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0.67</w:t>
            </w:r>
          </w:p>
        </w:tc>
        <w:tc>
          <w:tcPr>
            <w:tcW w:w="1785" w:type="dxa"/>
            <w:gridSpan w:val="2"/>
            <w:shd w:val="clear" w:color="auto" w:fill="auto"/>
            <w:vAlign w:val="center"/>
          </w:tcPr>
          <w:p w14:paraId="301ADABF"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1146949A" w14:textId="77777777" w:rsidR="00FA1600" w:rsidRPr="008A5C48" w:rsidRDefault="00FA1600" w:rsidP="00FB6412">
            <w:pPr>
              <w:widowControl w:val="0"/>
              <w:spacing w:after="0" w:line="240" w:lineRule="auto"/>
              <w:contextualSpacing/>
              <w:rPr>
                <w:rFonts w:ascii="Times New Roman" w:eastAsia="Times New Roman" w:hAnsi="Times New Roman" w:cs="Times New Roman"/>
                <w:sz w:val="20"/>
                <w:szCs w:val="20"/>
              </w:rPr>
            </w:pPr>
          </w:p>
        </w:tc>
      </w:tr>
      <w:tr w:rsidR="00FA1600" w:rsidRPr="008A5C48" w14:paraId="3B8B2CD4" w14:textId="77777777" w:rsidTr="008C76FD">
        <w:trPr>
          <w:trHeight w:val="47"/>
        </w:trPr>
        <w:tc>
          <w:tcPr>
            <w:tcW w:w="3308" w:type="dxa"/>
            <w:shd w:val="clear" w:color="auto" w:fill="auto"/>
            <w:vAlign w:val="center"/>
          </w:tcPr>
          <w:p w14:paraId="5DEFE46E"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 xml:space="preserve">One </w:t>
            </w:r>
          </w:p>
        </w:tc>
        <w:tc>
          <w:tcPr>
            <w:tcW w:w="1174" w:type="dxa"/>
            <w:shd w:val="clear" w:color="auto" w:fill="auto"/>
            <w:vAlign w:val="bottom"/>
          </w:tcPr>
          <w:p w14:paraId="571B467F"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37 (4%)</w:t>
            </w:r>
          </w:p>
        </w:tc>
        <w:tc>
          <w:tcPr>
            <w:tcW w:w="1268" w:type="dxa"/>
            <w:shd w:val="clear" w:color="auto" w:fill="auto"/>
            <w:vAlign w:val="bottom"/>
          </w:tcPr>
          <w:p w14:paraId="4C6C5D9D"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-0.16</w:t>
            </w:r>
          </w:p>
        </w:tc>
        <w:tc>
          <w:tcPr>
            <w:tcW w:w="944" w:type="dxa"/>
            <w:vAlign w:val="bottom"/>
          </w:tcPr>
          <w:p w14:paraId="745023F4"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0.60</w:t>
            </w:r>
          </w:p>
        </w:tc>
        <w:tc>
          <w:tcPr>
            <w:tcW w:w="1785" w:type="dxa"/>
            <w:gridSpan w:val="2"/>
            <w:shd w:val="clear" w:color="auto" w:fill="auto"/>
            <w:vAlign w:val="center"/>
          </w:tcPr>
          <w:p w14:paraId="41803244"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6E152075" w14:textId="77777777" w:rsidR="00FA1600" w:rsidRPr="008A5C48" w:rsidRDefault="00FA1600" w:rsidP="00FB6412">
            <w:pPr>
              <w:widowControl w:val="0"/>
              <w:spacing w:after="0" w:line="240" w:lineRule="auto"/>
              <w:contextualSpacing/>
              <w:rPr>
                <w:rFonts w:ascii="Times New Roman" w:eastAsia="Times New Roman" w:hAnsi="Times New Roman" w:cs="Times New Roman"/>
                <w:sz w:val="20"/>
                <w:szCs w:val="20"/>
              </w:rPr>
            </w:pPr>
          </w:p>
        </w:tc>
      </w:tr>
      <w:tr w:rsidR="00FA1600" w:rsidRPr="008A5C48" w14:paraId="1F3E568A" w14:textId="77777777" w:rsidTr="008C76FD">
        <w:trPr>
          <w:trHeight w:val="112"/>
        </w:trPr>
        <w:tc>
          <w:tcPr>
            <w:tcW w:w="3308" w:type="dxa"/>
            <w:shd w:val="clear" w:color="auto" w:fill="auto"/>
            <w:vAlign w:val="center"/>
          </w:tcPr>
          <w:p w14:paraId="65439276"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Both</w:t>
            </w:r>
          </w:p>
        </w:tc>
        <w:tc>
          <w:tcPr>
            <w:tcW w:w="1174" w:type="dxa"/>
            <w:shd w:val="clear" w:color="auto" w:fill="auto"/>
            <w:vAlign w:val="bottom"/>
          </w:tcPr>
          <w:p w14:paraId="6C56A3B6"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732 (84%)</w:t>
            </w:r>
          </w:p>
        </w:tc>
        <w:tc>
          <w:tcPr>
            <w:tcW w:w="1268" w:type="dxa"/>
            <w:shd w:val="clear" w:color="auto" w:fill="auto"/>
            <w:vAlign w:val="bottom"/>
          </w:tcPr>
          <w:p w14:paraId="52D37E11"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0.05</w:t>
            </w:r>
          </w:p>
        </w:tc>
        <w:tc>
          <w:tcPr>
            <w:tcW w:w="944" w:type="dxa"/>
            <w:vAlign w:val="bottom"/>
          </w:tcPr>
          <w:p w14:paraId="1698433F"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0.59</w:t>
            </w:r>
          </w:p>
        </w:tc>
        <w:tc>
          <w:tcPr>
            <w:tcW w:w="1785" w:type="dxa"/>
            <w:gridSpan w:val="2"/>
            <w:shd w:val="clear" w:color="auto" w:fill="auto"/>
            <w:vAlign w:val="center"/>
          </w:tcPr>
          <w:p w14:paraId="6A587F08"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600E4A1E"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 </w:t>
            </w:r>
          </w:p>
        </w:tc>
      </w:tr>
      <w:tr w:rsidR="00FA1600" w:rsidRPr="008A5C48" w14:paraId="0962EC62" w14:textId="77777777" w:rsidTr="008C76FD">
        <w:trPr>
          <w:trHeight w:val="112"/>
        </w:trPr>
        <w:tc>
          <w:tcPr>
            <w:tcW w:w="3308" w:type="dxa"/>
            <w:shd w:val="clear" w:color="auto" w:fill="auto"/>
            <w:vAlign w:val="center"/>
          </w:tcPr>
          <w:p w14:paraId="358AA65A" w14:textId="77777777" w:rsidR="00FA1600" w:rsidRPr="00E03838" w:rsidRDefault="00FA1600" w:rsidP="00FB6412">
            <w:pPr>
              <w:widowControl w:val="0"/>
              <w:spacing w:after="0" w:line="240" w:lineRule="auto"/>
              <w:contextualSpacing/>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Season of birth</w:t>
            </w:r>
          </w:p>
        </w:tc>
        <w:tc>
          <w:tcPr>
            <w:tcW w:w="1174" w:type="dxa"/>
            <w:shd w:val="clear" w:color="auto" w:fill="auto"/>
            <w:vAlign w:val="center"/>
          </w:tcPr>
          <w:p w14:paraId="231CA9B5"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c>
          <w:tcPr>
            <w:tcW w:w="1268" w:type="dxa"/>
            <w:shd w:val="clear" w:color="auto" w:fill="auto"/>
            <w:vAlign w:val="center"/>
          </w:tcPr>
          <w:p w14:paraId="1DA74485"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944" w:type="dxa"/>
            <w:vAlign w:val="center"/>
          </w:tcPr>
          <w:p w14:paraId="34FC6BE6"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1785" w:type="dxa"/>
            <w:gridSpan w:val="2"/>
            <w:shd w:val="clear" w:color="auto" w:fill="auto"/>
            <w:vAlign w:val="center"/>
          </w:tcPr>
          <w:p w14:paraId="52C41844"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0.53</w:t>
            </w:r>
          </w:p>
        </w:tc>
        <w:tc>
          <w:tcPr>
            <w:tcW w:w="276" w:type="dxa"/>
            <w:shd w:val="clear" w:color="auto" w:fill="auto"/>
            <w:vAlign w:val="bottom"/>
          </w:tcPr>
          <w:p w14:paraId="47E3CE02"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07EFB808" w14:textId="77777777" w:rsidTr="008C76FD">
        <w:trPr>
          <w:trHeight w:val="112"/>
        </w:trPr>
        <w:tc>
          <w:tcPr>
            <w:tcW w:w="3308" w:type="dxa"/>
            <w:shd w:val="clear" w:color="auto" w:fill="auto"/>
            <w:vAlign w:val="bottom"/>
          </w:tcPr>
          <w:p w14:paraId="33133448"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hAnsi="Times New Roman" w:cs="Times New Roman"/>
                <w:bCs/>
                <w:color w:val="000000"/>
                <w:sz w:val="20"/>
                <w:szCs w:val="20"/>
              </w:rPr>
              <w:t>Winter</w:t>
            </w:r>
          </w:p>
        </w:tc>
        <w:tc>
          <w:tcPr>
            <w:tcW w:w="1174" w:type="dxa"/>
            <w:shd w:val="clear" w:color="auto" w:fill="auto"/>
            <w:vAlign w:val="bottom"/>
          </w:tcPr>
          <w:p w14:paraId="02C98F58"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181 (21%)</w:t>
            </w:r>
          </w:p>
        </w:tc>
        <w:tc>
          <w:tcPr>
            <w:tcW w:w="1268" w:type="dxa"/>
            <w:shd w:val="clear" w:color="auto" w:fill="auto"/>
            <w:vAlign w:val="bottom"/>
          </w:tcPr>
          <w:p w14:paraId="098CC6A3"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0.04</w:t>
            </w:r>
          </w:p>
        </w:tc>
        <w:tc>
          <w:tcPr>
            <w:tcW w:w="944" w:type="dxa"/>
            <w:vAlign w:val="bottom"/>
          </w:tcPr>
          <w:p w14:paraId="78AD205F"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0.55</w:t>
            </w:r>
          </w:p>
        </w:tc>
        <w:tc>
          <w:tcPr>
            <w:tcW w:w="1785" w:type="dxa"/>
            <w:gridSpan w:val="2"/>
            <w:shd w:val="clear" w:color="auto" w:fill="auto"/>
            <w:vAlign w:val="center"/>
          </w:tcPr>
          <w:p w14:paraId="24BFE673"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70F87D66"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429F7E2D" w14:textId="77777777" w:rsidTr="008C76FD">
        <w:trPr>
          <w:trHeight w:val="112"/>
        </w:trPr>
        <w:tc>
          <w:tcPr>
            <w:tcW w:w="3308" w:type="dxa"/>
            <w:shd w:val="clear" w:color="auto" w:fill="auto"/>
            <w:vAlign w:val="bottom"/>
          </w:tcPr>
          <w:p w14:paraId="1273B5B2"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hAnsi="Times New Roman" w:cs="Times New Roman"/>
                <w:bCs/>
                <w:color w:val="000000"/>
                <w:sz w:val="20"/>
                <w:szCs w:val="20"/>
              </w:rPr>
              <w:t>Spring</w:t>
            </w:r>
          </w:p>
        </w:tc>
        <w:tc>
          <w:tcPr>
            <w:tcW w:w="1174" w:type="dxa"/>
            <w:shd w:val="clear" w:color="auto" w:fill="auto"/>
            <w:vAlign w:val="bottom"/>
          </w:tcPr>
          <w:p w14:paraId="7C0E1646"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186 (21%)</w:t>
            </w:r>
          </w:p>
        </w:tc>
        <w:tc>
          <w:tcPr>
            <w:tcW w:w="1268" w:type="dxa"/>
            <w:shd w:val="clear" w:color="auto" w:fill="auto"/>
            <w:vAlign w:val="bottom"/>
          </w:tcPr>
          <w:p w14:paraId="43796681"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0.08</w:t>
            </w:r>
          </w:p>
        </w:tc>
        <w:tc>
          <w:tcPr>
            <w:tcW w:w="944" w:type="dxa"/>
            <w:vAlign w:val="bottom"/>
          </w:tcPr>
          <w:p w14:paraId="235E2C12"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0.59</w:t>
            </w:r>
          </w:p>
        </w:tc>
        <w:tc>
          <w:tcPr>
            <w:tcW w:w="1785" w:type="dxa"/>
            <w:gridSpan w:val="2"/>
            <w:shd w:val="clear" w:color="auto" w:fill="auto"/>
            <w:vAlign w:val="center"/>
          </w:tcPr>
          <w:p w14:paraId="6ECD73C5"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5ADF4679"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4D87FB8F" w14:textId="77777777" w:rsidTr="008C76FD">
        <w:trPr>
          <w:trHeight w:val="112"/>
        </w:trPr>
        <w:tc>
          <w:tcPr>
            <w:tcW w:w="3308" w:type="dxa"/>
            <w:shd w:val="clear" w:color="auto" w:fill="auto"/>
            <w:vAlign w:val="bottom"/>
          </w:tcPr>
          <w:p w14:paraId="7BB8659A"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hAnsi="Times New Roman" w:cs="Times New Roman"/>
                <w:bCs/>
                <w:color w:val="000000"/>
                <w:sz w:val="20"/>
                <w:szCs w:val="20"/>
              </w:rPr>
              <w:t>Summer</w:t>
            </w:r>
          </w:p>
        </w:tc>
        <w:tc>
          <w:tcPr>
            <w:tcW w:w="1174" w:type="dxa"/>
            <w:shd w:val="clear" w:color="auto" w:fill="auto"/>
            <w:vAlign w:val="bottom"/>
          </w:tcPr>
          <w:p w14:paraId="6C1EBC4E"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244 (28%)</w:t>
            </w:r>
          </w:p>
        </w:tc>
        <w:tc>
          <w:tcPr>
            <w:tcW w:w="1268" w:type="dxa"/>
            <w:shd w:val="clear" w:color="auto" w:fill="auto"/>
            <w:vAlign w:val="bottom"/>
          </w:tcPr>
          <w:p w14:paraId="722AE3CF"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0.00</w:t>
            </w:r>
          </w:p>
        </w:tc>
        <w:tc>
          <w:tcPr>
            <w:tcW w:w="944" w:type="dxa"/>
            <w:vAlign w:val="bottom"/>
          </w:tcPr>
          <w:p w14:paraId="7272768E"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0.66</w:t>
            </w:r>
          </w:p>
        </w:tc>
        <w:tc>
          <w:tcPr>
            <w:tcW w:w="1785" w:type="dxa"/>
            <w:gridSpan w:val="2"/>
            <w:shd w:val="clear" w:color="auto" w:fill="auto"/>
            <w:vAlign w:val="center"/>
          </w:tcPr>
          <w:p w14:paraId="2C3B1741"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71F7E137"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4FAB589D" w14:textId="77777777" w:rsidTr="008C76FD">
        <w:trPr>
          <w:trHeight w:val="112"/>
        </w:trPr>
        <w:tc>
          <w:tcPr>
            <w:tcW w:w="3308" w:type="dxa"/>
            <w:shd w:val="clear" w:color="auto" w:fill="auto"/>
            <w:vAlign w:val="bottom"/>
          </w:tcPr>
          <w:p w14:paraId="74CA6B19"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hAnsi="Times New Roman" w:cs="Times New Roman"/>
                <w:bCs/>
                <w:color w:val="000000"/>
                <w:sz w:val="20"/>
                <w:szCs w:val="20"/>
              </w:rPr>
              <w:t>Autumn</w:t>
            </w:r>
          </w:p>
        </w:tc>
        <w:tc>
          <w:tcPr>
            <w:tcW w:w="1174" w:type="dxa"/>
            <w:shd w:val="clear" w:color="auto" w:fill="auto"/>
            <w:vAlign w:val="bottom"/>
          </w:tcPr>
          <w:p w14:paraId="147B893C"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259 (30%)</w:t>
            </w:r>
          </w:p>
        </w:tc>
        <w:tc>
          <w:tcPr>
            <w:tcW w:w="1268" w:type="dxa"/>
            <w:shd w:val="clear" w:color="auto" w:fill="auto"/>
            <w:vAlign w:val="bottom"/>
          </w:tcPr>
          <w:p w14:paraId="624C6CAE"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0.02</w:t>
            </w:r>
          </w:p>
        </w:tc>
        <w:tc>
          <w:tcPr>
            <w:tcW w:w="944" w:type="dxa"/>
            <w:vAlign w:val="bottom"/>
          </w:tcPr>
          <w:p w14:paraId="28F23DA8"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0.59</w:t>
            </w:r>
          </w:p>
        </w:tc>
        <w:tc>
          <w:tcPr>
            <w:tcW w:w="1785" w:type="dxa"/>
            <w:gridSpan w:val="2"/>
            <w:shd w:val="clear" w:color="auto" w:fill="auto"/>
            <w:vAlign w:val="center"/>
          </w:tcPr>
          <w:p w14:paraId="703425D4"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1B9C2104"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526EEC60" w14:textId="77777777" w:rsidTr="008C76FD">
        <w:trPr>
          <w:trHeight w:val="112"/>
        </w:trPr>
        <w:tc>
          <w:tcPr>
            <w:tcW w:w="3308" w:type="dxa"/>
            <w:shd w:val="clear" w:color="auto" w:fill="auto"/>
            <w:vAlign w:val="center"/>
          </w:tcPr>
          <w:p w14:paraId="7B7367C8" w14:textId="77777777" w:rsidR="00FA1600" w:rsidRPr="00E03838" w:rsidRDefault="00FA1600" w:rsidP="00FB6412">
            <w:pPr>
              <w:widowControl w:val="0"/>
              <w:spacing w:after="0" w:line="240" w:lineRule="auto"/>
              <w:contextualSpacing/>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Breastfeeding duration</w:t>
            </w:r>
          </w:p>
        </w:tc>
        <w:tc>
          <w:tcPr>
            <w:tcW w:w="1174" w:type="dxa"/>
            <w:shd w:val="clear" w:color="auto" w:fill="auto"/>
            <w:vAlign w:val="center"/>
          </w:tcPr>
          <w:p w14:paraId="15616150"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c>
          <w:tcPr>
            <w:tcW w:w="1268" w:type="dxa"/>
            <w:shd w:val="clear" w:color="auto" w:fill="auto"/>
            <w:vAlign w:val="center"/>
          </w:tcPr>
          <w:p w14:paraId="53DF0511"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944" w:type="dxa"/>
            <w:vAlign w:val="center"/>
          </w:tcPr>
          <w:p w14:paraId="2DD23033"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1785" w:type="dxa"/>
            <w:gridSpan w:val="2"/>
            <w:shd w:val="clear" w:color="auto" w:fill="auto"/>
            <w:vAlign w:val="center"/>
          </w:tcPr>
          <w:p w14:paraId="738FD1E4"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&lt;0.01</w:t>
            </w:r>
          </w:p>
        </w:tc>
        <w:tc>
          <w:tcPr>
            <w:tcW w:w="276" w:type="dxa"/>
            <w:shd w:val="clear" w:color="auto" w:fill="auto"/>
            <w:vAlign w:val="bottom"/>
          </w:tcPr>
          <w:p w14:paraId="6F740EF6"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5A6834EC" w14:textId="77777777" w:rsidTr="008C76FD">
        <w:trPr>
          <w:trHeight w:val="112"/>
        </w:trPr>
        <w:tc>
          <w:tcPr>
            <w:tcW w:w="3308" w:type="dxa"/>
            <w:shd w:val="clear" w:color="auto" w:fill="auto"/>
            <w:vAlign w:val="center"/>
          </w:tcPr>
          <w:p w14:paraId="046F0634"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&lt;11 weeks</w:t>
            </w:r>
          </w:p>
        </w:tc>
        <w:tc>
          <w:tcPr>
            <w:tcW w:w="1174" w:type="dxa"/>
            <w:shd w:val="clear" w:color="auto" w:fill="auto"/>
            <w:vAlign w:val="center"/>
          </w:tcPr>
          <w:p w14:paraId="324DBEE0"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273 (31%)</w:t>
            </w:r>
          </w:p>
        </w:tc>
        <w:tc>
          <w:tcPr>
            <w:tcW w:w="1268" w:type="dxa"/>
            <w:shd w:val="clear" w:color="auto" w:fill="auto"/>
            <w:vAlign w:val="bottom"/>
          </w:tcPr>
          <w:p w14:paraId="6BA063E0"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-0.07</w:t>
            </w:r>
          </w:p>
        </w:tc>
        <w:tc>
          <w:tcPr>
            <w:tcW w:w="944" w:type="dxa"/>
            <w:vAlign w:val="bottom"/>
          </w:tcPr>
          <w:p w14:paraId="032473AD"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0.61</w:t>
            </w:r>
          </w:p>
        </w:tc>
        <w:tc>
          <w:tcPr>
            <w:tcW w:w="1785" w:type="dxa"/>
            <w:gridSpan w:val="2"/>
            <w:shd w:val="clear" w:color="auto" w:fill="auto"/>
            <w:vAlign w:val="center"/>
          </w:tcPr>
          <w:p w14:paraId="28766B85"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6207A595"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02FA2A39" w14:textId="77777777" w:rsidTr="008C76FD">
        <w:trPr>
          <w:trHeight w:val="28"/>
        </w:trPr>
        <w:tc>
          <w:tcPr>
            <w:tcW w:w="3308" w:type="dxa"/>
            <w:shd w:val="clear" w:color="auto" w:fill="auto"/>
            <w:vAlign w:val="center"/>
          </w:tcPr>
          <w:p w14:paraId="6AC31BDF"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11-35 weeks</w:t>
            </w:r>
          </w:p>
        </w:tc>
        <w:tc>
          <w:tcPr>
            <w:tcW w:w="1174" w:type="dxa"/>
            <w:shd w:val="clear" w:color="auto" w:fill="auto"/>
            <w:vAlign w:val="center"/>
          </w:tcPr>
          <w:p w14:paraId="5A11278E"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291 (33%)</w:t>
            </w:r>
          </w:p>
        </w:tc>
        <w:tc>
          <w:tcPr>
            <w:tcW w:w="1268" w:type="dxa"/>
            <w:shd w:val="clear" w:color="auto" w:fill="auto"/>
            <w:vAlign w:val="bottom"/>
          </w:tcPr>
          <w:p w14:paraId="5F2761DA"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-0.05</w:t>
            </w:r>
          </w:p>
        </w:tc>
        <w:tc>
          <w:tcPr>
            <w:tcW w:w="944" w:type="dxa"/>
            <w:vAlign w:val="bottom"/>
          </w:tcPr>
          <w:p w14:paraId="04E1DE49"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0.62</w:t>
            </w:r>
          </w:p>
        </w:tc>
        <w:tc>
          <w:tcPr>
            <w:tcW w:w="1785" w:type="dxa"/>
            <w:gridSpan w:val="2"/>
            <w:shd w:val="clear" w:color="auto" w:fill="auto"/>
            <w:vAlign w:val="center"/>
          </w:tcPr>
          <w:p w14:paraId="6819542F"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2EBF7BB9"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7D8F1553" w14:textId="77777777" w:rsidTr="008C76FD">
        <w:trPr>
          <w:trHeight w:val="112"/>
        </w:trPr>
        <w:tc>
          <w:tcPr>
            <w:tcW w:w="3308" w:type="dxa"/>
            <w:shd w:val="clear" w:color="auto" w:fill="auto"/>
            <w:vAlign w:val="center"/>
          </w:tcPr>
          <w:p w14:paraId="52328128" w14:textId="77777777" w:rsidR="00FA1600" w:rsidRPr="00E03838" w:rsidRDefault="00FA1600" w:rsidP="00FB6412">
            <w:pPr>
              <w:widowControl w:val="0"/>
              <w:spacing w:after="0" w:line="240" w:lineRule="auto"/>
              <w:contextualSpacing/>
              <w:jc w:val="right"/>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&gt;35 weeks</w:t>
            </w:r>
          </w:p>
        </w:tc>
        <w:tc>
          <w:tcPr>
            <w:tcW w:w="1174" w:type="dxa"/>
            <w:shd w:val="clear" w:color="auto" w:fill="auto"/>
            <w:vAlign w:val="center"/>
          </w:tcPr>
          <w:p w14:paraId="7691BB10"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306 (35%)</w:t>
            </w:r>
          </w:p>
        </w:tc>
        <w:tc>
          <w:tcPr>
            <w:tcW w:w="1268" w:type="dxa"/>
            <w:shd w:val="clear" w:color="auto" w:fill="auto"/>
            <w:vAlign w:val="bottom"/>
          </w:tcPr>
          <w:p w14:paraId="4FC25C5B"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0.20</w:t>
            </w:r>
          </w:p>
        </w:tc>
        <w:tc>
          <w:tcPr>
            <w:tcW w:w="944" w:type="dxa"/>
            <w:shd w:val="clear" w:color="auto" w:fill="auto"/>
            <w:vAlign w:val="bottom"/>
          </w:tcPr>
          <w:p w14:paraId="6E5DFF86"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0.55</w:t>
            </w:r>
          </w:p>
        </w:tc>
        <w:tc>
          <w:tcPr>
            <w:tcW w:w="1785" w:type="dxa"/>
            <w:gridSpan w:val="2"/>
            <w:shd w:val="clear" w:color="auto" w:fill="auto"/>
            <w:vAlign w:val="center"/>
          </w:tcPr>
          <w:p w14:paraId="2720AA2C"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2B2D2271"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05643D4E" w14:textId="77777777" w:rsidTr="008C76FD">
        <w:trPr>
          <w:trHeight w:val="112"/>
        </w:trPr>
        <w:tc>
          <w:tcPr>
            <w:tcW w:w="3308" w:type="dxa"/>
            <w:tcBorders>
              <w:bottom w:val="single" w:sz="4" w:space="0" w:color="auto"/>
            </w:tcBorders>
            <w:shd w:val="clear" w:color="auto" w:fill="auto"/>
            <w:vAlign w:val="bottom"/>
          </w:tcPr>
          <w:p w14:paraId="75320DE8" w14:textId="77777777" w:rsidR="00FA1600" w:rsidRPr="00E03838" w:rsidRDefault="00FA1600" w:rsidP="00FB6412">
            <w:pPr>
              <w:widowControl w:val="0"/>
              <w:spacing w:after="0" w:line="240" w:lineRule="auto"/>
              <w:contextualSpacing/>
              <w:rPr>
                <w:rFonts w:ascii="Times New Roman" w:hAnsi="Times New Roman" w:cs="Times New Roman"/>
                <w:bCs/>
                <w:color w:val="000000"/>
                <w:sz w:val="20"/>
                <w:szCs w:val="20"/>
              </w:rPr>
            </w:pPr>
          </w:p>
        </w:tc>
        <w:tc>
          <w:tcPr>
            <w:tcW w:w="1174" w:type="dxa"/>
            <w:tcBorders>
              <w:bottom w:val="single" w:sz="4" w:space="0" w:color="auto"/>
            </w:tcBorders>
            <w:shd w:val="clear" w:color="auto" w:fill="auto"/>
            <w:vAlign w:val="bottom"/>
          </w:tcPr>
          <w:p w14:paraId="1C4C67C2" w14:textId="77777777" w:rsidR="00FA1600" w:rsidRPr="008A5C48" w:rsidRDefault="00FA1600" w:rsidP="00FB6412">
            <w:pPr>
              <w:widowControl w:val="0"/>
              <w:spacing w:after="0" w:line="240" w:lineRule="auto"/>
              <w:contextualSpacing/>
              <w:rPr>
                <w:rFonts w:ascii="Times New Roman" w:hAnsi="Times New Roman" w:cs="Times New Roman"/>
                <w:color w:val="000000"/>
                <w:sz w:val="20"/>
                <w:szCs w:val="20"/>
              </w:rPr>
            </w:pPr>
          </w:p>
        </w:tc>
        <w:tc>
          <w:tcPr>
            <w:tcW w:w="1268" w:type="dxa"/>
            <w:tcBorders>
              <w:bottom w:val="single" w:sz="4" w:space="0" w:color="auto"/>
            </w:tcBorders>
            <w:shd w:val="clear" w:color="auto" w:fill="auto"/>
            <w:vAlign w:val="bottom"/>
          </w:tcPr>
          <w:p w14:paraId="3A35354C" w14:textId="77777777" w:rsidR="00FA1600" w:rsidRPr="008A5C48" w:rsidRDefault="00FA1600" w:rsidP="00FB6412">
            <w:pPr>
              <w:widowControl w:val="0"/>
              <w:spacing w:after="0" w:line="240" w:lineRule="auto"/>
              <w:contextualSpacing/>
              <w:jc w:val="center"/>
              <w:rPr>
                <w:rFonts w:ascii="Times New Roman" w:hAnsi="Times New Roman" w:cs="Times New Roman"/>
                <w:color w:val="000000"/>
                <w:sz w:val="20"/>
                <w:szCs w:val="20"/>
              </w:rPr>
            </w:pPr>
          </w:p>
        </w:tc>
        <w:tc>
          <w:tcPr>
            <w:tcW w:w="944" w:type="dxa"/>
            <w:tcBorders>
              <w:bottom w:val="single" w:sz="4" w:space="0" w:color="auto"/>
            </w:tcBorders>
            <w:vAlign w:val="bottom"/>
          </w:tcPr>
          <w:p w14:paraId="264A8AD0" w14:textId="77777777" w:rsidR="00FA1600" w:rsidRPr="008A5C48" w:rsidRDefault="00FA1600" w:rsidP="00FB6412">
            <w:pPr>
              <w:widowControl w:val="0"/>
              <w:spacing w:after="0" w:line="240" w:lineRule="auto"/>
              <w:contextualSpacing/>
              <w:jc w:val="center"/>
              <w:rPr>
                <w:rFonts w:ascii="Times New Roman" w:hAnsi="Times New Roman" w:cs="Times New Roman"/>
                <w:color w:val="000000"/>
                <w:sz w:val="20"/>
                <w:szCs w:val="20"/>
              </w:rPr>
            </w:pPr>
          </w:p>
        </w:tc>
        <w:tc>
          <w:tcPr>
            <w:tcW w:w="1785" w:type="dxa"/>
            <w:gridSpan w:val="2"/>
            <w:tcBorders>
              <w:bottom w:val="single" w:sz="4" w:space="0" w:color="auto"/>
            </w:tcBorders>
            <w:shd w:val="clear" w:color="auto" w:fill="auto"/>
            <w:vAlign w:val="center"/>
          </w:tcPr>
          <w:p w14:paraId="14BC1E1D"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p>
        </w:tc>
        <w:tc>
          <w:tcPr>
            <w:tcW w:w="276" w:type="dxa"/>
            <w:shd w:val="clear" w:color="auto" w:fill="auto"/>
            <w:vAlign w:val="bottom"/>
          </w:tcPr>
          <w:p w14:paraId="0FDBFC21"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62B6D947" w14:textId="77777777" w:rsidTr="008C76FD">
        <w:trPr>
          <w:trHeight w:val="112"/>
        </w:trPr>
        <w:tc>
          <w:tcPr>
            <w:tcW w:w="3308" w:type="dxa"/>
            <w:vMerge w:val="restart"/>
            <w:tcBorders>
              <w:top w:val="single" w:sz="4" w:space="0" w:color="auto"/>
            </w:tcBorders>
            <w:shd w:val="clear" w:color="auto" w:fill="auto"/>
            <w:vAlign w:val="center"/>
          </w:tcPr>
          <w:p w14:paraId="71909F77" w14:textId="77777777" w:rsidR="00FA1600" w:rsidRPr="00E03838" w:rsidRDefault="00FA1600" w:rsidP="00FB6412">
            <w:pPr>
              <w:widowControl w:val="0"/>
              <w:spacing w:after="0" w:line="240" w:lineRule="auto"/>
              <w:contextualSpacing/>
              <w:rPr>
                <w:rFonts w:ascii="Times New Roman" w:hAnsi="Times New Roman" w:cs="Times New Roman"/>
                <w:bCs/>
                <w:color w:val="000000"/>
                <w:sz w:val="20"/>
                <w:szCs w:val="20"/>
                <w:vertAlign w:val="superscript"/>
              </w:rPr>
            </w:pPr>
            <w:r w:rsidRPr="00E03838">
              <w:rPr>
                <w:rFonts w:ascii="Times New Roman" w:hAnsi="Times New Roman" w:cs="Times New Roman"/>
                <w:bCs/>
                <w:color w:val="000000"/>
                <w:sz w:val="20"/>
                <w:szCs w:val="20"/>
              </w:rPr>
              <w:t xml:space="preserve">Continuous </w:t>
            </w:r>
            <w:proofErr w:type="spellStart"/>
            <w:r w:rsidRPr="00E03838">
              <w:rPr>
                <w:rFonts w:ascii="Times New Roman" w:hAnsi="Times New Roman" w:cs="Times New Roman"/>
                <w:bCs/>
                <w:color w:val="000000"/>
                <w:sz w:val="20"/>
                <w:szCs w:val="20"/>
              </w:rPr>
              <w:t>covariates</w:t>
            </w:r>
            <w:r w:rsidRPr="00E03838">
              <w:rPr>
                <w:rFonts w:ascii="Times New Roman" w:hAnsi="Times New Roman" w:cs="Times New Roman"/>
                <w:bCs/>
                <w:color w:val="000000"/>
                <w:sz w:val="20"/>
                <w:szCs w:val="20"/>
                <w:vertAlign w:val="superscript"/>
              </w:rPr>
              <w:t>a</w:t>
            </w:r>
            <w:proofErr w:type="spellEnd"/>
          </w:p>
        </w:tc>
        <w:tc>
          <w:tcPr>
            <w:tcW w:w="1174" w:type="dxa"/>
            <w:tcBorders>
              <w:top w:val="single" w:sz="4" w:space="0" w:color="auto"/>
            </w:tcBorders>
            <w:shd w:val="clear" w:color="auto" w:fill="auto"/>
            <w:vAlign w:val="center"/>
          </w:tcPr>
          <w:p w14:paraId="54429908" w14:textId="77777777" w:rsidR="00FA1600" w:rsidRPr="008A5C48" w:rsidRDefault="00FA1600" w:rsidP="00FB6412">
            <w:pPr>
              <w:widowControl w:val="0"/>
              <w:spacing w:after="0" w:line="240" w:lineRule="auto"/>
              <w:contextualSpacing/>
              <w:rPr>
                <w:rFonts w:ascii="Times New Roman" w:hAnsi="Times New Roman" w:cs="Times New Roman"/>
                <w:color w:val="000000"/>
                <w:sz w:val="20"/>
                <w:szCs w:val="20"/>
              </w:rPr>
            </w:pPr>
          </w:p>
        </w:tc>
        <w:tc>
          <w:tcPr>
            <w:tcW w:w="3997" w:type="dxa"/>
            <w:gridSpan w:val="4"/>
            <w:tcBorders>
              <w:top w:val="single" w:sz="4" w:space="0" w:color="auto"/>
            </w:tcBorders>
            <w:shd w:val="clear" w:color="auto" w:fill="auto"/>
            <w:vAlign w:val="bottom"/>
          </w:tcPr>
          <w:p w14:paraId="19F5AB0A"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hAnsi="Times New Roman" w:cs="Times New Roman"/>
                <w:color w:val="000000"/>
                <w:sz w:val="20"/>
                <w:szCs w:val="20"/>
              </w:rPr>
              <w:t>General health score</w:t>
            </w:r>
          </w:p>
        </w:tc>
        <w:tc>
          <w:tcPr>
            <w:tcW w:w="276" w:type="dxa"/>
            <w:shd w:val="clear" w:color="auto" w:fill="auto"/>
            <w:vAlign w:val="bottom"/>
          </w:tcPr>
          <w:p w14:paraId="00AF5E07"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2185ABEF" w14:textId="77777777" w:rsidTr="008C76FD">
        <w:trPr>
          <w:trHeight w:val="78"/>
        </w:trPr>
        <w:tc>
          <w:tcPr>
            <w:tcW w:w="3308" w:type="dxa"/>
            <w:vMerge/>
            <w:tcBorders>
              <w:bottom w:val="single" w:sz="4" w:space="0" w:color="auto"/>
            </w:tcBorders>
            <w:shd w:val="clear" w:color="auto" w:fill="auto"/>
            <w:vAlign w:val="center"/>
          </w:tcPr>
          <w:p w14:paraId="1BBA757A" w14:textId="77777777" w:rsidR="00FA1600" w:rsidRPr="00E03838" w:rsidRDefault="00FA1600" w:rsidP="00FB6412">
            <w:pPr>
              <w:widowControl w:val="0"/>
              <w:spacing w:after="0" w:line="240" w:lineRule="auto"/>
              <w:contextualSpacing/>
              <w:rPr>
                <w:rFonts w:ascii="Times New Roman" w:eastAsia="Times New Roman" w:hAnsi="Times New Roman" w:cs="Times New Roman"/>
                <w:bCs/>
                <w:color w:val="000000"/>
                <w:sz w:val="20"/>
                <w:szCs w:val="20"/>
              </w:rPr>
            </w:pPr>
          </w:p>
        </w:tc>
        <w:tc>
          <w:tcPr>
            <w:tcW w:w="1174" w:type="dxa"/>
            <w:tcBorders>
              <w:bottom w:val="single" w:sz="4" w:space="0" w:color="auto"/>
            </w:tcBorders>
            <w:shd w:val="clear" w:color="auto" w:fill="auto"/>
            <w:vAlign w:val="center"/>
          </w:tcPr>
          <w:p w14:paraId="5B3991D9"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c>
          <w:tcPr>
            <w:tcW w:w="2212" w:type="dxa"/>
            <w:gridSpan w:val="2"/>
            <w:tcBorders>
              <w:bottom w:val="single" w:sz="4" w:space="0" w:color="auto"/>
            </w:tcBorders>
            <w:shd w:val="clear" w:color="auto" w:fill="auto"/>
            <w:vAlign w:val="center"/>
          </w:tcPr>
          <w:p w14:paraId="4A9D2B71"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vertAlign w:val="superscript"/>
              </w:rPr>
            </w:pPr>
            <w:r w:rsidRPr="008A5C48">
              <w:rPr>
                <w:rFonts w:ascii="Times New Roman" w:eastAsia="Times New Roman" w:hAnsi="Times New Roman" w:cs="Times New Roman"/>
                <w:color w:val="000000"/>
                <w:sz w:val="20"/>
                <w:szCs w:val="20"/>
              </w:rPr>
              <w:t xml:space="preserve">Correlation </w:t>
            </w:r>
            <w:proofErr w:type="spellStart"/>
            <w:r w:rsidRPr="008A5C48">
              <w:rPr>
                <w:rFonts w:ascii="Times New Roman" w:eastAsia="Times New Roman" w:hAnsi="Times New Roman" w:cs="Times New Roman"/>
                <w:color w:val="000000"/>
                <w:sz w:val="20"/>
                <w:szCs w:val="20"/>
              </w:rPr>
              <w:t>coefficient</w:t>
            </w:r>
            <w:r w:rsidRPr="008A5C48">
              <w:rPr>
                <w:rFonts w:ascii="Times New Roman" w:eastAsia="Times New Roman" w:hAnsi="Times New Roman" w:cs="Times New Roman"/>
                <w:color w:val="000000"/>
                <w:sz w:val="20"/>
                <w:szCs w:val="20"/>
                <w:vertAlign w:val="superscript"/>
              </w:rPr>
              <w:t>c</w:t>
            </w:r>
            <w:proofErr w:type="spellEnd"/>
          </w:p>
        </w:tc>
        <w:tc>
          <w:tcPr>
            <w:tcW w:w="1785" w:type="dxa"/>
            <w:gridSpan w:val="2"/>
            <w:tcBorders>
              <w:bottom w:val="single" w:sz="4" w:space="0" w:color="auto"/>
            </w:tcBorders>
            <w:shd w:val="clear" w:color="auto" w:fill="auto"/>
            <w:vAlign w:val="center"/>
          </w:tcPr>
          <w:p w14:paraId="0A986053"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vertAlign w:val="superscript"/>
              </w:rPr>
            </w:pPr>
            <w:r w:rsidRPr="008A5C48">
              <w:rPr>
                <w:rFonts w:ascii="Times New Roman" w:eastAsia="Times New Roman" w:hAnsi="Times New Roman" w:cs="Times New Roman"/>
                <w:color w:val="000000"/>
                <w:sz w:val="20"/>
                <w:szCs w:val="20"/>
              </w:rPr>
              <w:t>p-value</w:t>
            </w:r>
            <w:r w:rsidRPr="008A5C48">
              <w:rPr>
                <w:rFonts w:ascii="Times New Roman" w:eastAsia="Times New Roman" w:hAnsi="Times New Roman" w:cs="Times New Roman"/>
                <w:color w:val="000000"/>
                <w:sz w:val="20"/>
                <w:szCs w:val="20"/>
                <w:vertAlign w:val="superscript"/>
              </w:rPr>
              <w:t>d</w:t>
            </w:r>
          </w:p>
        </w:tc>
        <w:tc>
          <w:tcPr>
            <w:tcW w:w="276" w:type="dxa"/>
            <w:shd w:val="clear" w:color="auto" w:fill="auto"/>
            <w:vAlign w:val="bottom"/>
          </w:tcPr>
          <w:p w14:paraId="12B41491"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4D29D13C" w14:textId="77777777" w:rsidTr="008C76FD">
        <w:trPr>
          <w:trHeight w:val="112"/>
        </w:trPr>
        <w:tc>
          <w:tcPr>
            <w:tcW w:w="3308" w:type="dxa"/>
            <w:tcBorders>
              <w:top w:val="single" w:sz="4" w:space="0" w:color="auto"/>
            </w:tcBorders>
            <w:shd w:val="clear" w:color="auto" w:fill="auto"/>
            <w:vAlign w:val="center"/>
          </w:tcPr>
          <w:p w14:paraId="2021BE93" w14:textId="77777777" w:rsidR="00FA1600" w:rsidRPr="00E03838" w:rsidRDefault="00FA1600" w:rsidP="00FB6412">
            <w:pPr>
              <w:widowControl w:val="0"/>
              <w:spacing w:after="0" w:line="240" w:lineRule="auto"/>
              <w:contextualSpacing/>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Pre-pregnancy BMI</w:t>
            </w:r>
          </w:p>
        </w:tc>
        <w:tc>
          <w:tcPr>
            <w:tcW w:w="1174" w:type="dxa"/>
            <w:tcBorders>
              <w:top w:val="single" w:sz="4" w:space="0" w:color="auto"/>
            </w:tcBorders>
            <w:shd w:val="clear" w:color="auto" w:fill="auto"/>
            <w:vAlign w:val="center"/>
          </w:tcPr>
          <w:p w14:paraId="4998E392"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c>
          <w:tcPr>
            <w:tcW w:w="2212" w:type="dxa"/>
            <w:gridSpan w:val="2"/>
            <w:tcBorders>
              <w:top w:val="single" w:sz="4" w:space="0" w:color="auto"/>
            </w:tcBorders>
            <w:shd w:val="clear" w:color="auto" w:fill="auto"/>
            <w:vAlign w:val="center"/>
          </w:tcPr>
          <w:p w14:paraId="095F2D89"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-0.10</w:t>
            </w:r>
          </w:p>
        </w:tc>
        <w:tc>
          <w:tcPr>
            <w:tcW w:w="1785" w:type="dxa"/>
            <w:gridSpan w:val="2"/>
            <w:tcBorders>
              <w:top w:val="single" w:sz="4" w:space="0" w:color="auto"/>
            </w:tcBorders>
            <w:shd w:val="clear" w:color="auto" w:fill="auto"/>
            <w:vAlign w:val="center"/>
          </w:tcPr>
          <w:p w14:paraId="23629DEA"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&lt;0.01</w:t>
            </w:r>
          </w:p>
        </w:tc>
        <w:tc>
          <w:tcPr>
            <w:tcW w:w="276" w:type="dxa"/>
            <w:shd w:val="clear" w:color="auto" w:fill="auto"/>
            <w:vAlign w:val="bottom"/>
          </w:tcPr>
          <w:p w14:paraId="1950D5E1"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4DD5F40A" w14:textId="77777777" w:rsidTr="008C76FD">
        <w:trPr>
          <w:trHeight w:val="112"/>
        </w:trPr>
        <w:tc>
          <w:tcPr>
            <w:tcW w:w="3308" w:type="dxa"/>
            <w:shd w:val="clear" w:color="auto" w:fill="auto"/>
            <w:vAlign w:val="center"/>
          </w:tcPr>
          <w:p w14:paraId="584CC2FC" w14:textId="77777777" w:rsidR="00FA1600" w:rsidRPr="00E03838" w:rsidRDefault="00FA1600" w:rsidP="00FB6412">
            <w:pPr>
              <w:widowControl w:val="0"/>
              <w:spacing w:after="0" w:line="240" w:lineRule="auto"/>
              <w:contextualSpacing/>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Maternal age at birth</w:t>
            </w:r>
          </w:p>
        </w:tc>
        <w:tc>
          <w:tcPr>
            <w:tcW w:w="1174" w:type="dxa"/>
            <w:shd w:val="clear" w:color="auto" w:fill="auto"/>
            <w:vAlign w:val="center"/>
          </w:tcPr>
          <w:p w14:paraId="13E135BC"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c>
          <w:tcPr>
            <w:tcW w:w="2212" w:type="dxa"/>
            <w:gridSpan w:val="2"/>
            <w:shd w:val="clear" w:color="auto" w:fill="auto"/>
            <w:vAlign w:val="center"/>
          </w:tcPr>
          <w:p w14:paraId="41D72E43"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0.11</w:t>
            </w:r>
          </w:p>
        </w:tc>
        <w:tc>
          <w:tcPr>
            <w:tcW w:w="1785" w:type="dxa"/>
            <w:gridSpan w:val="2"/>
            <w:shd w:val="clear" w:color="auto" w:fill="auto"/>
            <w:vAlign w:val="center"/>
          </w:tcPr>
          <w:p w14:paraId="77168652"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&lt;0.01</w:t>
            </w:r>
          </w:p>
        </w:tc>
        <w:tc>
          <w:tcPr>
            <w:tcW w:w="276" w:type="dxa"/>
            <w:shd w:val="clear" w:color="auto" w:fill="auto"/>
            <w:vAlign w:val="bottom"/>
          </w:tcPr>
          <w:p w14:paraId="362BEAA8"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54416B15" w14:textId="77777777" w:rsidTr="008C76FD">
        <w:trPr>
          <w:trHeight w:val="112"/>
        </w:trPr>
        <w:tc>
          <w:tcPr>
            <w:tcW w:w="3308" w:type="dxa"/>
            <w:shd w:val="clear" w:color="auto" w:fill="auto"/>
            <w:vAlign w:val="center"/>
          </w:tcPr>
          <w:p w14:paraId="240008A3" w14:textId="77777777" w:rsidR="00FA1600" w:rsidRPr="00E03838" w:rsidRDefault="00FA1600" w:rsidP="00FB6412">
            <w:pPr>
              <w:widowControl w:val="0"/>
              <w:spacing w:after="0" w:line="240" w:lineRule="auto"/>
              <w:contextualSpacing/>
              <w:rPr>
                <w:rFonts w:ascii="Times New Roman" w:eastAsia="Times New Roman" w:hAnsi="Times New Roman" w:cs="Times New Roman"/>
                <w:bCs/>
                <w:color w:val="000000"/>
                <w:sz w:val="20"/>
                <w:szCs w:val="20"/>
              </w:rPr>
            </w:pPr>
            <w:r w:rsidRPr="00E03838">
              <w:rPr>
                <w:rFonts w:ascii="Times New Roman" w:eastAsia="Times New Roman" w:hAnsi="Times New Roman" w:cs="Times New Roman"/>
                <w:bCs/>
                <w:color w:val="000000"/>
                <w:sz w:val="20"/>
                <w:szCs w:val="20"/>
              </w:rPr>
              <w:t>Child age at follow up</w:t>
            </w:r>
          </w:p>
        </w:tc>
        <w:tc>
          <w:tcPr>
            <w:tcW w:w="1174" w:type="dxa"/>
            <w:shd w:val="clear" w:color="auto" w:fill="auto"/>
            <w:vAlign w:val="center"/>
          </w:tcPr>
          <w:p w14:paraId="3058295C"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c>
          <w:tcPr>
            <w:tcW w:w="2212" w:type="dxa"/>
            <w:gridSpan w:val="2"/>
            <w:shd w:val="clear" w:color="auto" w:fill="auto"/>
            <w:vAlign w:val="center"/>
          </w:tcPr>
          <w:p w14:paraId="41378796"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-0.04</w:t>
            </w:r>
          </w:p>
        </w:tc>
        <w:tc>
          <w:tcPr>
            <w:tcW w:w="1785" w:type="dxa"/>
            <w:gridSpan w:val="2"/>
            <w:shd w:val="clear" w:color="auto" w:fill="auto"/>
            <w:vAlign w:val="center"/>
          </w:tcPr>
          <w:p w14:paraId="0A59652E" w14:textId="77777777" w:rsidR="00FA1600" w:rsidRPr="008A5C48" w:rsidRDefault="00FA1600" w:rsidP="00FB6412">
            <w:pPr>
              <w:widowControl w:val="0"/>
              <w:spacing w:after="0" w:line="240" w:lineRule="auto"/>
              <w:contextualSpacing/>
              <w:jc w:val="center"/>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0.21</w:t>
            </w:r>
          </w:p>
        </w:tc>
        <w:tc>
          <w:tcPr>
            <w:tcW w:w="276" w:type="dxa"/>
            <w:shd w:val="clear" w:color="auto" w:fill="auto"/>
            <w:vAlign w:val="center"/>
          </w:tcPr>
          <w:p w14:paraId="228B4777"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r w:rsidR="00FA1600" w:rsidRPr="008A5C48" w14:paraId="455C7DA1" w14:textId="77777777" w:rsidTr="008C76FD">
        <w:trPr>
          <w:trHeight w:val="112"/>
        </w:trPr>
        <w:tc>
          <w:tcPr>
            <w:tcW w:w="3308" w:type="dxa"/>
            <w:tcBorders>
              <w:bottom w:val="single" w:sz="4" w:space="0" w:color="auto"/>
            </w:tcBorders>
            <w:shd w:val="clear" w:color="auto" w:fill="auto"/>
            <w:vAlign w:val="center"/>
          </w:tcPr>
          <w:p w14:paraId="6CB5F013"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c>
          <w:tcPr>
            <w:tcW w:w="1174" w:type="dxa"/>
            <w:tcBorders>
              <w:bottom w:val="single" w:sz="4" w:space="0" w:color="auto"/>
            </w:tcBorders>
            <w:shd w:val="clear" w:color="auto" w:fill="auto"/>
            <w:vAlign w:val="center"/>
          </w:tcPr>
          <w:p w14:paraId="1AC7F4E0"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c>
          <w:tcPr>
            <w:tcW w:w="1268" w:type="dxa"/>
            <w:tcBorders>
              <w:bottom w:val="single" w:sz="4" w:space="0" w:color="auto"/>
            </w:tcBorders>
            <w:shd w:val="clear" w:color="auto" w:fill="auto"/>
            <w:vAlign w:val="center"/>
          </w:tcPr>
          <w:p w14:paraId="040A057A"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c>
          <w:tcPr>
            <w:tcW w:w="944" w:type="dxa"/>
            <w:tcBorders>
              <w:bottom w:val="single" w:sz="4" w:space="0" w:color="auto"/>
            </w:tcBorders>
            <w:vAlign w:val="center"/>
          </w:tcPr>
          <w:p w14:paraId="0F80D378"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c>
          <w:tcPr>
            <w:tcW w:w="1785" w:type="dxa"/>
            <w:gridSpan w:val="2"/>
            <w:tcBorders>
              <w:bottom w:val="single" w:sz="4" w:space="0" w:color="auto"/>
            </w:tcBorders>
            <w:shd w:val="clear" w:color="auto" w:fill="auto"/>
            <w:vAlign w:val="center"/>
          </w:tcPr>
          <w:p w14:paraId="5C3D5445"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c>
          <w:tcPr>
            <w:tcW w:w="276" w:type="dxa"/>
            <w:shd w:val="clear" w:color="auto" w:fill="auto"/>
            <w:vAlign w:val="bottom"/>
          </w:tcPr>
          <w:p w14:paraId="37D6C551" w14:textId="77777777" w:rsidR="00FA1600" w:rsidRPr="008A5C48" w:rsidRDefault="00FA1600" w:rsidP="00FB6412">
            <w:pPr>
              <w:widowControl w:val="0"/>
              <w:spacing w:after="0" w:line="240" w:lineRule="auto"/>
              <w:contextualSpacing/>
              <w:rPr>
                <w:rFonts w:ascii="Times New Roman" w:eastAsia="Times New Roman" w:hAnsi="Times New Roman" w:cs="Times New Roman"/>
                <w:color w:val="000000"/>
                <w:sz w:val="20"/>
                <w:szCs w:val="20"/>
              </w:rPr>
            </w:pPr>
          </w:p>
        </w:tc>
      </w:tr>
    </w:tbl>
    <w:p w14:paraId="084C7517" w14:textId="0B2743C8" w:rsidR="00FA1600" w:rsidRPr="008A5C48" w:rsidRDefault="00FA1600" w:rsidP="00FB6412">
      <w:pPr>
        <w:spacing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For categorical covariates, the mean (</w:t>
      </w:r>
      <w:proofErr w:type="spellStart"/>
      <w:r w:rsidRPr="008A5C48">
        <w:rPr>
          <w:rFonts w:ascii="Times New Roman" w:eastAsia="Times New Roman" w:hAnsi="Times New Roman" w:cs="Times New Roman"/>
          <w:sz w:val="20"/>
          <w:szCs w:val="20"/>
        </w:rPr>
        <w:t>sd</w:t>
      </w:r>
      <w:proofErr w:type="spellEnd"/>
      <w:r w:rsidRPr="008A5C48">
        <w:rPr>
          <w:rFonts w:ascii="Times New Roman" w:eastAsia="Times New Roman" w:hAnsi="Times New Roman" w:cs="Times New Roman"/>
          <w:sz w:val="20"/>
          <w:szCs w:val="20"/>
        </w:rPr>
        <w:t>) of the general health score in each category is presented in this table; for the continuous covariates, the correlation coefficient between this confounder and the general health score is showed.</w:t>
      </w:r>
      <w:r w:rsidR="009F1E3E">
        <w:rPr>
          <w:rFonts w:ascii="Times New Roman" w:eastAsia="Times New Roman" w:hAnsi="Times New Roman" w:cs="Times New Roman"/>
          <w:sz w:val="20"/>
          <w:szCs w:val="20"/>
        </w:rPr>
        <w:br/>
        <w:t>Population: Helix study population (n=870)</w:t>
      </w:r>
      <w:r w:rsidRPr="008A5C48">
        <w:rPr>
          <w:rFonts w:ascii="Times New Roman" w:eastAsia="Times New Roman" w:hAnsi="Times New Roman" w:cs="Times New Roman"/>
          <w:sz w:val="20"/>
          <w:szCs w:val="20"/>
        </w:rPr>
        <w:br/>
      </w:r>
      <w:proofErr w:type="spellStart"/>
      <w:r w:rsidRPr="008A5C48">
        <w:rPr>
          <w:rFonts w:ascii="Times New Roman" w:hAnsi="Times New Roman" w:cs="Times New Roman"/>
          <w:sz w:val="20"/>
          <w:szCs w:val="20"/>
          <w:lang w:val="en-US"/>
        </w:rPr>
        <w:t>Accronyms</w:t>
      </w:r>
      <w:proofErr w:type="spellEnd"/>
      <w:r w:rsidRPr="008A5C48">
        <w:rPr>
          <w:rFonts w:ascii="Times New Roman" w:hAnsi="Times New Roman" w:cs="Times New Roman"/>
          <w:sz w:val="20"/>
          <w:szCs w:val="20"/>
          <w:lang w:val="en-US"/>
        </w:rPr>
        <w:t xml:space="preserve">: </w:t>
      </w:r>
      <w:proofErr w:type="spellStart"/>
      <w:r w:rsidRPr="008A5C48">
        <w:rPr>
          <w:rFonts w:ascii="Times New Roman" w:hAnsi="Times New Roman" w:cs="Times New Roman"/>
          <w:sz w:val="20"/>
          <w:szCs w:val="20"/>
          <w:lang w:val="en-US"/>
        </w:rPr>
        <w:t>BiB</w:t>
      </w:r>
      <w:proofErr w:type="spellEnd"/>
      <w:r w:rsidRPr="008A5C48">
        <w:rPr>
          <w:rFonts w:ascii="Times New Roman" w:hAnsi="Times New Roman" w:cs="Times New Roman"/>
          <w:sz w:val="20"/>
          <w:szCs w:val="20"/>
          <w:lang w:val="en-US"/>
        </w:rPr>
        <w:t xml:space="preserve">: Born in Bradford, EDEN: </w:t>
      </w:r>
      <w:r w:rsidRPr="008A5C48">
        <w:rPr>
          <w:rFonts w:ascii="Times New Roman" w:eastAsia="Times New Roman" w:hAnsi="Times New Roman" w:cs="Times New Roman"/>
          <w:sz w:val="20"/>
          <w:szCs w:val="20"/>
          <w:lang w:val="en-US"/>
        </w:rPr>
        <w:t xml:space="preserve">Étude des </w:t>
      </w:r>
      <w:proofErr w:type="spellStart"/>
      <w:r w:rsidRPr="008A5C48">
        <w:rPr>
          <w:rFonts w:ascii="Times New Roman" w:eastAsia="Times New Roman" w:hAnsi="Times New Roman" w:cs="Times New Roman"/>
          <w:sz w:val="20"/>
          <w:szCs w:val="20"/>
          <w:lang w:val="en-US"/>
        </w:rPr>
        <w:t>Déterminants</w:t>
      </w:r>
      <w:proofErr w:type="spellEnd"/>
      <w:r w:rsidRPr="008A5C48">
        <w:rPr>
          <w:rFonts w:ascii="Times New Roman" w:eastAsia="Times New Roman" w:hAnsi="Times New Roman" w:cs="Times New Roman"/>
          <w:sz w:val="20"/>
          <w:szCs w:val="20"/>
          <w:lang w:val="en-US"/>
        </w:rPr>
        <w:t xml:space="preserve"> </w:t>
      </w:r>
      <w:proofErr w:type="spellStart"/>
      <w:r w:rsidRPr="008A5C48">
        <w:rPr>
          <w:rFonts w:ascii="Times New Roman" w:eastAsia="Times New Roman" w:hAnsi="Times New Roman" w:cs="Times New Roman"/>
          <w:sz w:val="20"/>
          <w:szCs w:val="20"/>
          <w:lang w:val="en-US"/>
        </w:rPr>
        <w:t>pré</w:t>
      </w:r>
      <w:proofErr w:type="spellEnd"/>
      <w:r w:rsidRPr="008A5C48">
        <w:rPr>
          <w:rFonts w:ascii="Times New Roman" w:eastAsia="Times New Roman" w:hAnsi="Times New Roman" w:cs="Times New Roman"/>
          <w:sz w:val="20"/>
          <w:szCs w:val="20"/>
          <w:lang w:val="en-US"/>
        </w:rPr>
        <w:t xml:space="preserve"> et </w:t>
      </w:r>
      <w:proofErr w:type="spellStart"/>
      <w:r w:rsidRPr="008A5C48">
        <w:rPr>
          <w:rFonts w:ascii="Times New Roman" w:eastAsia="Times New Roman" w:hAnsi="Times New Roman" w:cs="Times New Roman"/>
          <w:sz w:val="20"/>
          <w:szCs w:val="20"/>
          <w:lang w:val="en-US"/>
        </w:rPr>
        <w:t>postnatals</w:t>
      </w:r>
      <w:proofErr w:type="spellEnd"/>
      <w:r w:rsidRPr="008A5C48">
        <w:rPr>
          <w:rFonts w:ascii="Times New Roman" w:eastAsia="Times New Roman" w:hAnsi="Times New Roman" w:cs="Times New Roman"/>
          <w:sz w:val="20"/>
          <w:szCs w:val="20"/>
          <w:lang w:val="en-US"/>
        </w:rPr>
        <w:t xml:space="preserve"> du </w:t>
      </w:r>
      <w:proofErr w:type="spellStart"/>
      <w:r w:rsidRPr="008A5C48">
        <w:rPr>
          <w:rFonts w:ascii="Times New Roman" w:eastAsia="Times New Roman" w:hAnsi="Times New Roman" w:cs="Times New Roman"/>
          <w:sz w:val="20"/>
          <w:szCs w:val="20"/>
          <w:lang w:val="en-US"/>
        </w:rPr>
        <w:t>développement</w:t>
      </w:r>
      <w:proofErr w:type="spellEnd"/>
      <w:r w:rsidRPr="008A5C48">
        <w:rPr>
          <w:rFonts w:ascii="Times New Roman" w:eastAsia="Times New Roman" w:hAnsi="Times New Roman" w:cs="Times New Roman"/>
          <w:sz w:val="20"/>
          <w:szCs w:val="20"/>
          <w:lang w:val="en-US"/>
        </w:rPr>
        <w:t xml:space="preserve"> et de la </w:t>
      </w:r>
      <w:proofErr w:type="spellStart"/>
      <w:r w:rsidRPr="008A5C48">
        <w:rPr>
          <w:rFonts w:ascii="Times New Roman" w:eastAsia="Times New Roman" w:hAnsi="Times New Roman" w:cs="Times New Roman"/>
          <w:sz w:val="20"/>
          <w:szCs w:val="20"/>
          <w:lang w:val="en-US"/>
        </w:rPr>
        <w:t>santé</w:t>
      </w:r>
      <w:proofErr w:type="spellEnd"/>
      <w:r w:rsidRPr="008A5C48">
        <w:rPr>
          <w:rFonts w:ascii="Times New Roman" w:eastAsia="Times New Roman" w:hAnsi="Times New Roman" w:cs="Times New Roman"/>
          <w:sz w:val="20"/>
          <w:szCs w:val="20"/>
          <w:lang w:val="en-US"/>
        </w:rPr>
        <w:t xml:space="preserve"> de </w:t>
      </w:r>
      <w:proofErr w:type="spellStart"/>
      <w:r w:rsidRPr="008A5C48">
        <w:rPr>
          <w:rFonts w:ascii="Times New Roman" w:eastAsia="Times New Roman" w:hAnsi="Times New Roman" w:cs="Times New Roman"/>
          <w:sz w:val="20"/>
          <w:szCs w:val="20"/>
          <w:lang w:val="en-US"/>
        </w:rPr>
        <w:t>l’Enfant</w:t>
      </w:r>
      <w:proofErr w:type="spellEnd"/>
      <w:r w:rsidRPr="008A5C48">
        <w:rPr>
          <w:rFonts w:ascii="Times New Roman" w:eastAsia="Times New Roman" w:hAnsi="Times New Roman" w:cs="Times New Roman"/>
          <w:sz w:val="20"/>
          <w:szCs w:val="20"/>
          <w:lang w:val="en-US"/>
        </w:rPr>
        <w:t xml:space="preserve">, INMA: </w:t>
      </w:r>
      <w:proofErr w:type="spellStart"/>
      <w:r w:rsidRPr="008A5C48">
        <w:rPr>
          <w:rFonts w:ascii="Times New Roman" w:eastAsia="Times New Roman" w:hAnsi="Times New Roman" w:cs="Times New Roman"/>
          <w:sz w:val="20"/>
          <w:szCs w:val="20"/>
          <w:lang w:val="en-US"/>
        </w:rPr>
        <w:t>Infancia</w:t>
      </w:r>
      <w:proofErr w:type="spellEnd"/>
      <w:r w:rsidRPr="008A5C48">
        <w:rPr>
          <w:rFonts w:ascii="Times New Roman" w:eastAsia="Times New Roman" w:hAnsi="Times New Roman" w:cs="Times New Roman"/>
          <w:sz w:val="20"/>
          <w:szCs w:val="20"/>
          <w:lang w:val="en-US"/>
        </w:rPr>
        <w:t xml:space="preserve"> y Medio </w:t>
      </w:r>
      <w:proofErr w:type="spellStart"/>
      <w:r w:rsidRPr="008A5C48">
        <w:rPr>
          <w:rFonts w:ascii="Times New Roman" w:eastAsia="Times New Roman" w:hAnsi="Times New Roman" w:cs="Times New Roman"/>
          <w:sz w:val="20"/>
          <w:szCs w:val="20"/>
          <w:lang w:val="en-US"/>
        </w:rPr>
        <w:t>Ambiente</w:t>
      </w:r>
      <w:proofErr w:type="spellEnd"/>
      <w:r w:rsidRPr="008A5C48">
        <w:rPr>
          <w:rFonts w:ascii="Times New Roman" w:eastAsia="Times New Roman" w:hAnsi="Times New Roman" w:cs="Times New Roman"/>
          <w:sz w:val="20"/>
          <w:szCs w:val="20"/>
          <w:lang w:val="en-US"/>
        </w:rPr>
        <w:t xml:space="preserve">, KANC: </w:t>
      </w:r>
      <w:proofErr w:type="spellStart"/>
      <w:r w:rsidRPr="008A5C48">
        <w:rPr>
          <w:rFonts w:ascii="Times New Roman" w:eastAsia="Times New Roman" w:hAnsi="Times New Roman" w:cs="Times New Roman"/>
          <w:sz w:val="20"/>
          <w:szCs w:val="20"/>
          <w:lang w:val="en-US"/>
        </w:rPr>
        <w:t>Kaunus</w:t>
      </w:r>
      <w:proofErr w:type="spellEnd"/>
      <w:r w:rsidRPr="008A5C48">
        <w:rPr>
          <w:rFonts w:ascii="Times New Roman" w:eastAsia="Times New Roman" w:hAnsi="Times New Roman" w:cs="Times New Roman"/>
          <w:sz w:val="20"/>
          <w:szCs w:val="20"/>
          <w:lang w:val="en-US"/>
        </w:rPr>
        <w:t xml:space="preserve"> Cohort, </w:t>
      </w:r>
      <w:proofErr w:type="spellStart"/>
      <w:r w:rsidRPr="008A5C48">
        <w:rPr>
          <w:rFonts w:ascii="Times New Roman" w:eastAsia="Times New Roman" w:hAnsi="Times New Roman" w:cs="Times New Roman"/>
          <w:sz w:val="20"/>
          <w:szCs w:val="20"/>
          <w:lang w:val="en-US"/>
        </w:rPr>
        <w:t>MoBa</w:t>
      </w:r>
      <w:proofErr w:type="spellEnd"/>
      <w:r w:rsidRPr="008A5C48">
        <w:rPr>
          <w:rFonts w:ascii="Times New Roman" w:eastAsia="Times New Roman" w:hAnsi="Times New Roman" w:cs="Times New Roman"/>
          <w:sz w:val="20"/>
          <w:szCs w:val="20"/>
          <w:lang w:val="en-US"/>
        </w:rPr>
        <w:t>: The Norwegian Mother, Father and Child Cohort Study, RHEA: Mother-Child Cohort in Crete.</w:t>
      </w:r>
      <w:r w:rsidRPr="008A5C48">
        <w:rPr>
          <w:rFonts w:ascii="Times New Roman" w:eastAsia="Times New Roman" w:hAnsi="Times New Roman" w:cs="Times New Roman"/>
          <w:sz w:val="20"/>
          <w:szCs w:val="20"/>
        </w:rPr>
        <w:br/>
      </w:r>
      <w:proofErr w:type="spellStart"/>
      <w:r w:rsidRPr="008A5C48">
        <w:rPr>
          <w:rFonts w:ascii="Times New Roman" w:eastAsia="Times New Roman" w:hAnsi="Times New Roman" w:cs="Times New Roman"/>
          <w:sz w:val="20"/>
          <w:szCs w:val="20"/>
        </w:rPr>
        <w:t>sd</w:t>
      </w:r>
      <w:proofErr w:type="spellEnd"/>
      <w:r w:rsidRPr="008A5C48">
        <w:rPr>
          <w:rFonts w:ascii="Times New Roman" w:eastAsia="Times New Roman" w:hAnsi="Times New Roman" w:cs="Times New Roman"/>
          <w:sz w:val="20"/>
          <w:szCs w:val="20"/>
        </w:rPr>
        <w:t>= standard deviation.</w:t>
      </w:r>
      <w:r w:rsidRPr="008A5C48">
        <w:rPr>
          <w:rFonts w:ascii="Times New Roman" w:eastAsia="Times New Roman" w:hAnsi="Times New Roman" w:cs="Times New Roman"/>
          <w:sz w:val="20"/>
          <w:szCs w:val="20"/>
        </w:rPr>
        <w:br/>
      </w:r>
      <w:proofErr w:type="spellStart"/>
      <w:r w:rsidRPr="008A5C48">
        <w:rPr>
          <w:rFonts w:ascii="Times New Roman" w:hAnsi="Times New Roman" w:cs="Times New Roman"/>
          <w:color w:val="000000"/>
          <w:sz w:val="20"/>
          <w:szCs w:val="20"/>
          <w:vertAlign w:val="superscript"/>
        </w:rPr>
        <w:t>a</w:t>
      </w:r>
      <w:proofErr w:type="spellEnd"/>
      <w:r w:rsidRPr="008A5C48">
        <w:rPr>
          <w:rFonts w:ascii="Times New Roman" w:hAnsi="Times New Roman" w:cs="Times New Roman"/>
          <w:color w:val="000000"/>
          <w:sz w:val="20"/>
          <w:szCs w:val="20"/>
          <w:vertAlign w:val="superscript"/>
        </w:rPr>
        <w:t xml:space="preserve">  </w:t>
      </w:r>
      <w:r w:rsidRPr="008A5C48">
        <w:rPr>
          <w:rFonts w:ascii="Times New Roman" w:hAnsi="Times New Roman" w:cs="Times New Roman"/>
          <w:sz w:val="20"/>
          <w:szCs w:val="20"/>
        </w:rPr>
        <w:t>Imputed covariates (first imputed set)</w:t>
      </w:r>
      <w:r w:rsidRPr="008A5C48">
        <w:rPr>
          <w:rFonts w:ascii="Times New Roman" w:hAnsi="Times New Roman" w:cs="Times New Roman"/>
          <w:sz w:val="20"/>
          <w:szCs w:val="20"/>
        </w:rPr>
        <w:br/>
      </w:r>
      <w:r w:rsidRPr="008A5C48">
        <w:rPr>
          <w:rFonts w:ascii="Times New Roman" w:hAnsi="Times New Roman" w:cs="Times New Roman"/>
          <w:color w:val="000000"/>
          <w:sz w:val="20"/>
          <w:szCs w:val="20"/>
          <w:vertAlign w:val="superscript"/>
        </w:rPr>
        <w:t xml:space="preserve">b  </w:t>
      </w:r>
      <w:r w:rsidRPr="008A5C48">
        <w:rPr>
          <w:rFonts w:ascii="Times New Roman" w:hAnsi="Times New Roman" w:cs="Times New Roman"/>
          <w:sz w:val="20"/>
          <w:szCs w:val="20"/>
        </w:rPr>
        <w:t>Test of equality of mean between groups (one-way ANOVA)</w:t>
      </w:r>
      <w:r w:rsidRPr="008A5C48">
        <w:rPr>
          <w:rFonts w:ascii="Times New Roman" w:hAnsi="Times New Roman" w:cs="Times New Roman"/>
          <w:sz w:val="20"/>
          <w:szCs w:val="20"/>
        </w:rPr>
        <w:br/>
      </w:r>
      <w:r w:rsidRPr="008A5C48">
        <w:rPr>
          <w:rFonts w:ascii="Times New Roman" w:hAnsi="Times New Roman" w:cs="Times New Roman"/>
          <w:color w:val="000000"/>
          <w:sz w:val="20"/>
          <w:szCs w:val="20"/>
          <w:vertAlign w:val="superscript"/>
        </w:rPr>
        <w:t>c</w:t>
      </w:r>
      <w:r w:rsidRPr="008A5C48">
        <w:rPr>
          <w:rFonts w:ascii="Times New Roman" w:hAnsi="Times New Roman" w:cs="Times New Roman"/>
          <w:sz w:val="20"/>
          <w:szCs w:val="20"/>
        </w:rPr>
        <w:t xml:space="preserve"> Pearson coefficient of correlation.</w:t>
      </w:r>
      <w:r w:rsidRPr="008A5C48">
        <w:rPr>
          <w:rFonts w:ascii="Times New Roman" w:hAnsi="Times New Roman" w:cs="Times New Roman"/>
          <w:sz w:val="20"/>
          <w:szCs w:val="20"/>
        </w:rPr>
        <w:br/>
      </w:r>
      <w:r w:rsidRPr="008A5C48">
        <w:rPr>
          <w:rFonts w:ascii="Times New Roman" w:hAnsi="Times New Roman" w:cs="Times New Roman"/>
          <w:color w:val="000000"/>
          <w:sz w:val="20"/>
          <w:szCs w:val="20"/>
          <w:vertAlign w:val="superscript"/>
        </w:rPr>
        <w:t>d</w:t>
      </w:r>
      <w:r w:rsidRPr="008A5C48">
        <w:rPr>
          <w:rFonts w:ascii="Times New Roman" w:hAnsi="Times New Roman" w:cs="Times New Roman"/>
          <w:sz w:val="20"/>
          <w:szCs w:val="20"/>
        </w:rPr>
        <w:t xml:space="preserve"> Pearson correlation test (null hypothesis: correlation is equal to 0).</w:t>
      </w:r>
    </w:p>
    <w:p w14:paraId="7834A089" w14:textId="77777777" w:rsidR="00FA1600" w:rsidRPr="008A5C48" w:rsidRDefault="00FA1600" w:rsidP="00FB6412">
      <w:pPr>
        <w:spacing w:line="240" w:lineRule="auto"/>
        <w:contextualSpacing/>
        <w:rPr>
          <w:rFonts w:ascii="Times New Roman" w:hAnsi="Times New Roman" w:cs="Times New Roman"/>
          <w:b/>
          <w:sz w:val="20"/>
          <w:szCs w:val="20"/>
        </w:rPr>
      </w:pPr>
      <w:bookmarkStart w:id="94" w:name="_heading=h.3rdcrjn" w:colFirst="0" w:colLast="0"/>
      <w:bookmarkEnd w:id="94"/>
    </w:p>
    <w:p w14:paraId="17DA026A" w14:textId="77777777" w:rsidR="00DE27AA" w:rsidRDefault="00DE27AA" w:rsidP="00FB6412">
      <w:pPr>
        <w:spacing w:line="240" w:lineRule="auto"/>
        <w:contextualSpacing/>
        <w:rPr>
          <w:rFonts w:ascii="Times New Roman" w:hAnsi="Times New Roman" w:cs="Times New Roman"/>
          <w:b/>
          <w:sz w:val="20"/>
          <w:szCs w:val="20"/>
        </w:rPr>
      </w:pPr>
      <w:r>
        <w:rPr>
          <w:rFonts w:ascii="Times New Roman" w:hAnsi="Times New Roman" w:cs="Times New Roman"/>
          <w:b/>
          <w:sz w:val="20"/>
          <w:szCs w:val="20"/>
        </w:rPr>
        <w:br w:type="page"/>
      </w:r>
    </w:p>
    <w:p w14:paraId="47963783" w14:textId="59266A5B" w:rsidR="009500CF" w:rsidRDefault="009500CF" w:rsidP="002D561D">
      <w:pPr>
        <w:pStyle w:val="Titre1"/>
      </w:pPr>
      <w:bookmarkStart w:id="95" w:name="_Toc127358167"/>
      <w:bookmarkStart w:id="96" w:name="_Toc132271598"/>
      <w:bookmarkStart w:id="97" w:name="_Hlk127367546"/>
      <w:proofErr w:type="spellStart"/>
      <w:r w:rsidRPr="008A5C48">
        <w:lastRenderedPageBreak/>
        <w:t>eTable</w:t>
      </w:r>
      <w:proofErr w:type="spellEnd"/>
      <w:r w:rsidRPr="008A5C48">
        <w:t xml:space="preserve"> </w:t>
      </w:r>
      <w:r w:rsidR="00D87280">
        <w:t>1</w:t>
      </w:r>
      <w:r w:rsidR="00276BE5">
        <w:t>6</w:t>
      </w:r>
      <w:r w:rsidRPr="008A5C48">
        <w:t xml:space="preserve">. </w:t>
      </w:r>
      <w:r w:rsidRPr="008358B7">
        <w:rPr>
          <w:b w:val="0"/>
          <w:bCs w:val="0"/>
        </w:rPr>
        <w:t>Description of the general health score divided in terciles with health parameters and sub-scores</w:t>
      </w:r>
      <w:bookmarkEnd w:id="95"/>
      <w:bookmarkEnd w:id="96"/>
    </w:p>
    <w:bookmarkEnd w:id="97"/>
    <w:p w14:paraId="402C561B" w14:textId="77777777" w:rsidR="0052350E" w:rsidRPr="0052350E" w:rsidRDefault="0052350E" w:rsidP="0052350E"/>
    <w:tbl>
      <w:tblPr>
        <w:tblW w:w="8789" w:type="dxa"/>
        <w:tblCellMar>
          <w:left w:w="70" w:type="dxa"/>
          <w:right w:w="70" w:type="dxa"/>
        </w:tblCellMar>
        <w:tblLook w:val="04A0" w:firstRow="1" w:lastRow="0" w:firstColumn="1" w:lastColumn="0" w:noHBand="0" w:noVBand="1"/>
      </w:tblPr>
      <w:tblGrid>
        <w:gridCol w:w="2900"/>
        <w:gridCol w:w="1778"/>
        <w:gridCol w:w="2126"/>
        <w:gridCol w:w="1985"/>
      </w:tblGrid>
      <w:tr w:rsidR="009500CF" w:rsidRPr="008A5C48" w14:paraId="7D09F359" w14:textId="77777777" w:rsidTr="002F5E03">
        <w:trPr>
          <w:trHeight w:val="288"/>
        </w:trPr>
        <w:tc>
          <w:tcPr>
            <w:tcW w:w="2900" w:type="dxa"/>
            <w:tcBorders>
              <w:top w:val="single" w:sz="4" w:space="0" w:color="auto"/>
              <w:left w:val="nil"/>
              <w:bottom w:val="single" w:sz="4" w:space="0" w:color="auto"/>
              <w:right w:val="nil"/>
            </w:tcBorders>
            <w:shd w:val="clear" w:color="auto" w:fill="auto"/>
            <w:noWrap/>
            <w:vAlign w:val="center"/>
            <w:hideMark/>
          </w:tcPr>
          <w:p w14:paraId="68DC748E" w14:textId="77777777" w:rsidR="009500CF" w:rsidRPr="00E32205" w:rsidRDefault="009500CF" w:rsidP="00FB6412">
            <w:pPr>
              <w:spacing w:after="0" w:line="240" w:lineRule="auto"/>
              <w:contextualSpacing/>
              <w:jc w:val="center"/>
              <w:rPr>
                <w:rFonts w:ascii="Times New Roman" w:eastAsia="Times New Roman" w:hAnsi="Times New Roman" w:cs="Times New Roman"/>
                <w:b/>
                <w:bCs/>
                <w:color w:val="000000"/>
                <w:sz w:val="20"/>
                <w:szCs w:val="20"/>
                <w:lang w:val="fr-FR"/>
              </w:rPr>
            </w:pPr>
            <w:r w:rsidRPr="00E32205">
              <w:rPr>
                <w:rFonts w:ascii="Times New Roman" w:hAnsi="Times New Roman" w:cs="Times New Roman"/>
                <w:b/>
                <w:bCs/>
                <w:sz w:val="20"/>
                <w:szCs w:val="20"/>
              </w:rPr>
              <w:t>General health score</w:t>
            </w:r>
            <w:r w:rsidRPr="00E32205">
              <w:rPr>
                <w:rFonts w:ascii="Times New Roman" w:hAnsi="Times New Roman" w:cs="Times New Roman"/>
                <w:b/>
                <w:bCs/>
                <w:color w:val="000000"/>
                <w:sz w:val="20"/>
                <w:szCs w:val="20"/>
                <w:vertAlign w:val="superscript"/>
              </w:rPr>
              <w:t xml:space="preserve"> a</w:t>
            </w:r>
          </w:p>
        </w:tc>
        <w:tc>
          <w:tcPr>
            <w:tcW w:w="1778" w:type="dxa"/>
            <w:tcBorders>
              <w:top w:val="single" w:sz="4" w:space="0" w:color="auto"/>
              <w:left w:val="nil"/>
              <w:bottom w:val="single" w:sz="4" w:space="0" w:color="auto"/>
              <w:right w:val="nil"/>
            </w:tcBorders>
            <w:shd w:val="clear" w:color="auto" w:fill="auto"/>
            <w:noWrap/>
            <w:vAlign w:val="center"/>
            <w:hideMark/>
          </w:tcPr>
          <w:p w14:paraId="6C704EDD" w14:textId="77777777" w:rsidR="009500CF" w:rsidRPr="00E32205" w:rsidRDefault="009500CF" w:rsidP="00FB6412">
            <w:pPr>
              <w:spacing w:after="0" w:line="240" w:lineRule="auto"/>
              <w:contextualSpacing/>
              <w:jc w:val="center"/>
              <w:rPr>
                <w:rFonts w:ascii="Times New Roman" w:eastAsia="Times New Roman" w:hAnsi="Times New Roman" w:cs="Times New Roman"/>
                <w:b/>
                <w:bCs/>
                <w:color w:val="000000"/>
                <w:sz w:val="20"/>
                <w:szCs w:val="20"/>
                <w:lang w:val="fr-FR"/>
              </w:rPr>
            </w:pPr>
            <w:r w:rsidRPr="00E32205">
              <w:rPr>
                <w:rFonts w:ascii="Times New Roman" w:eastAsia="Times New Roman" w:hAnsi="Times New Roman" w:cs="Times New Roman"/>
                <w:b/>
                <w:bCs/>
                <w:color w:val="000000"/>
                <w:sz w:val="20"/>
                <w:szCs w:val="20"/>
                <w:lang w:val="fr-FR"/>
              </w:rPr>
              <w:t>&lt;T1</w:t>
            </w:r>
          </w:p>
          <w:p w14:paraId="2B8E67FA" w14:textId="77777777" w:rsidR="009500CF" w:rsidRPr="00E32205" w:rsidRDefault="009500CF" w:rsidP="00FB6412">
            <w:pPr>
              <w:spacing w:after="0" w:line="240" w:lineRule="auto"/>
              <w:contextualSpacing/>
              <w:jc w:val="center"/>
              <w:rPr>
                <w:rFonts w:ascii="Times New Roman" w:eastAsia="Times New Roman" w:hAnsi="Times New Roman" w:cs="Times New Roman"/>
                <w:b/>
                <w:bCs/>
                <w:color w:val="000000"/>
                <w:sz w:val="20"/>
                <w:szCs w:val="20"/>
                <w:lang w:val="fr-FR"/>
              </w:rPr>
            </w:pPr>
            <w:r w:rsidRPr="00E32205">
              <w:rPr>
                <w:rFonts w:ascii="Times New Roman" w:eastAsia="Times New Roman" w:hAnsi="Times New Roman" w:cs="Times New Roman"/>
                <w:b/>
                <w:bCs/>
                <w:color w:val="000000"/>
                <w:sz w:val="20"/>
                <w:szCs w:val="20"/>
                <w:lang w:val="fr-FR"/>
              </w:rPr>
              <w:t xml:space="preserve">Bad </w:t>
            </w:r>
            <w:proofErr w:type="spellStart"/>
            <w:r w:rsidRPr="00E32205">
              <w:rPr>
                <w:rFonts w:ascii="Times New Roman" w:eastAsia="Times New Roman" w:hAnsi="Times New Roman" w:cs="Times New Roman"/>
                <w:b/>
                <w:bCs/>
                <w:color w:val="000000"/>
                <w:sz w:val="20"/>
                <w:szCs w:val="20"/>
                <w:lang w:val="fr-FR"/>
              </w:rPr>
              <w:t>general</w:t>
            </w:r>
            <w:proofErr w:type="spellEnd"/>
            <w:r w:rsidRPr="00E32205">
              <w:rPr>
                <w:rFonts w:ascii="Times New Roman" w:eastAsia="Times New Roman" w:hAnsi="Times New Roman" w:cs="Times New Roman"/>
                <w:b/>
                <w:bCs/>
                <w:color w:val="000000"/>
                <w:sz w:val="20"/>
                <w:szCs w:val="20"/>
                <w:lang w:val="fr-FR"/>
              </w:rPr>
              <w:t xml:space="preserve"> </w:t>
            </w:r>
            <w:proofErr w:type="spellStart"/>
            <w:r w:rsidRPr="00E32205">
              <w:rPr>
                <w:rFonts w:ascii="Times New Roman" w:eastAsia="Times New Roman" w:hAnsi="Times New Roman" w:cs="Times New Roman"/>
                <w:b/>
                <w:bCs/>
                <w:color w:val="000000"/>
                <w:sz w:val="20"/>
                <w:szCs w:val="20"/>
                <w:lang w:val="fr-FR"/>
              </w:rPr>
              <w:t>health</w:t>
            </w:r>
            <w:proofErr w:type="spellEnd"/>
          </w:p>
        </w:tc>
        <w:tc>
          <w:tcPr>
            <w:tcW w:w="2126" w:type="dxa"/>
            <w:tcBorders>
              <w:top w:val="single" w:sz="4" w:space="0" w:color="auto"/>
              <w:left w:val="nil"/>
              <w:bottom w:val="single" w:sz="4" w:space="0" w:color="auto"/>
              <w:right w:val="nil"/>
            </w:tcBorders>
            <w:shd w:val="clear" w:color="auto" w:fill="auto"/>
            <w:noWrap/>
            <w:vAlign w:val="center"/>
            <w:hideMark/>
          </w:tcPr>
          <w:p w14:paraId="1137A6AF" w14:textId="77777777" w:rsidR="009500CF" w:rsidRPr="00E32205" w:rsidRDefault="009500CF" w:rsidP="00FB6412">
            <w:pPr>
              <w:spacing w:after="0" w:line="240" w:lineRule="auto"/>
              <w:contextualSpacing/>
              <w:jc w:val="center"/>
              <w:rPr>
                <w:rFonts w:ascii="Times New Roman" w:eastAsia="Times New Roman" w:hAnsi="Times New Roman" w:cs="Times New Roman"/>
                <w:b/>
                <w:bCs/>
                <w:color w:val="000000"/>
                <w:sz w:val="20"/>
                <w:szCs w:val="20"/>
                <w:lang w:val="en-US"/>
              </w:rPr>
            </w:pPr>
            <w:r w:rsidRPr="00E32205">
              <w:rPr>
                <w:rFonts w:ascii="Times New Roman" w:eastAsia="Times New Roman" w:hAnsi="Times New Roman" w:cs="Times New Roman"/>
                <w:b/>
                <w:bCs/>
                <w:color w:val="000000"/>
                <w:sz w:val="20"/>
                <w:szCs w:val="20"/>
                <w:lang w:val="en-US"/>
              </w:rPr>
              <w:t>T1-T2</w:t>
            </w:r>
          </w:p>
          <w:p w14:paraId="1F023848" w14:textId="77777777" w:rsidR="009500CF" w:rsidRPr="00E32205" w:rsidRDefault="009500CF" w:rsidP="00FB6412">
            <w:pPr>
              <w:spacing w:after="0" w:line="240" w:lineRule="auto"/>
              <w:contextualSpacing/>
              <w:jc w:val="center"/>
              <w:rPr>
                <w:rFonts w:ascii="Times New Roman" w:eastAsia="Times New Roman" w:hAnsi="Times New Roman" w:cs="Times New Roman"/>
                <w:b/>
                <w:bCs/>
                <w:color w:val="000000"/>
                <w:sz w:val="20"/>
                <w:szCs w:val="20"/>
                <w:lang w:val="en-US"/>
              </w:rPr>
            </w:pPr>
            <w:r w:rsidRPr="00E32205">
              <w:rPr>
                <w:rFonts w:ascii="Times New Roman" w:eastAsia="Times New Roman" w:hAnsi="Times New Roman" w:cs="Times New Roman"/>
                <w:b/>
                <w:bCs/>
                <w:color w:val="000000"/>
                <w:sz w:val="20"/>
                <w:szCs w:val="20"/>
                <w:lang w:val="en-US"/>
              </w:rPr>
              <w:t>Basic general health</w:t>
            </w:r>
          </w:p>
        </w:tc>
        <w:tc>
          <w:tcPr>
            <w:tcW w:w="1985" w:type="dxa"/>
            <w:tcBorders>
              <w:top w:val="single" w:sz="4" w:space="0" w:color="auto"/>
              <w:left w:val="nil"/>
              <w:bottom w:val="single" w:sz="4" w:space="0" w:color="auto"/>
              <w:right w:val="nil"/>
            </w:tcBorders>
            <w:shd w:val="clear" w:color="auto" w:fill="auto"/>
            <w:noWrap/>
            <w:vAlign w:val="center"/>
            <w:hideMark/>
          </w:tcPr>
          <w:p w14:paraId="3335D82E" w14:textId="77777777" w:rsidR="009500CF" w:rsidRPr="00E32205" w:rsidRDefault="009500CF" w:rsidP="00FB6412">
            <w:pPr>
              <w:spacing w:after="0" w:line="240" w:lineRule="auto"/>
              <w:contextualSpacing/>
              <w:jc w:val="center"/>
              <w:rPr>
                <w:rFonts w:ascii="Times New Roman" w:eastAsia="Times New Roman" w:hAnsi="Times New Roman" w:cs="Times New Roman"/>
                <w:b/>
                <w:bCs/>
                <w:color w:val="000000"/>
                <w:sz w:val="20"/>
                <w:szCs w:val="20"/>
                <w:lang w:val="fr-FR"/>
              </w:rPr>
            </w:pPr>
            <w:r w:rsidRPr="00E32205">
              <w:rPr>
                <w:rFonts w:ascii="Times New Roman" w:eastAsia="Times New Roman" w:hAnsi="Times New Roman" w:cs="Times New Roman"/>
                <w:b/>
                <w:bCs/>
                <w:color w:val="000000"/>
                <w:sz w:val="20"/>
                <w:szCs w:val="20"/>
                <w:lang w:val="fr-FR"/>
              </w:rPr>
              <w:t>&gt;T2</w:t>
            </w:r>
          </w:p>
          <w:p w14:paraId="33B33521" w14:textId="77777777" w:rsidR="009500CF" w:rsidRPr="00E32205" w:rsidRDefault="009500CF" w:rsidP="00FB6412">
            <w:pPr>
              <w:spacing w:after="0" w:line="240" w:lineRule="auto"/>
              <w:contextualSpacing/>
              <w:jc w:val="center"/>
              <w:rPr>
                <w:rFonts w:ascii="Times New Roman" w:eastAsia="Times New Roman" w:hAnsi="Times New Roman" w:cs="Times New Roman"/>
                <w:b/>
                <w:bCs/>
                <w:color w:val="000000"/>
                <w:sz w:val="20"/>
                <w:szCs w:val="20"/>
                <w:lang w:val="fr-FR"/>
              </w:rPr>
            </w:pPr>
            <w:r w:rsidRPr="00E32205">
              <w:rPr>
                <w:rFonts w:ascii="Times New Roman" w:eastAsia="Times New Roman" w:hAnsi="Times New Roman" w:cs="Times New Roman"/>
                <w:b/>
                <w:bCs/>
                <w:color w:val="000000"/>
                <w:sz w:val="20"/>
                <w:szCs w:val="20"/>
                <w:lang w:val="fr-FR"/>
              </w:rPr>
              <w:t xml:space="preserve">Good </w:t>
            </w:r>
            <w:proofErr w:type="spellStart"/>
            <w:r w:rsidRPr="00E32205">
              <w:rPr>
                <w:rFonts w:ascii="Times New Roman" w:eastAsia="Times New Roman" w:hAnsi="Times New Roman" w:cs="Times New Roman"/>
                <w:b/>
                <w:bCs/>
                <w:color w:val="000000"/>
                <w:sz w:val="20"/>
                <w:szCs w:val="20"/>
                <w:lang w:val="fr-FR"/>
              </w:rPr>
              <w:t>general</w:t>
            </w:r>
            <w:proofErr w:type="spellEnd"/>
            <w:r w:rsidRPr="00E32205">
              <w:rPr>
                <w:rFonts w:ascii="Times New Roman" w:eastAsia="Times New Roman" w:hAnsi="Times New Roman" w:cs="Times New Roman"/>
                <w:b/>
                <w:bCs/>
                <w:color w:val="000000"/>
                <w:sz w:val="20"/>
                <w:szCs w:val="20"/>
                <w:lang w:val="fr-FR"/>
              </w:rPr>
              <w:t xml:space="preserve"> </w:t>
            </w:r>
            <w:proofErr w:type="spellStart"/>
            <w:r w:rsidRPr="00E32205">
              <w:rPr>
                <w:rFonts w:ascii="Times New Roman" w:eastAsia="Times New Roman" w:hAnsi="Times New Roman" w:cs="Times New Roman"/>
                <w:b/>
                <w:bCs/>
                <w:color w:val="000000"/>
                <w:sz w:val="20"/>
                <w:szCs w:val="20"/>
                <w:lang w:val="fr-FR"/>
              </w:rPr>
              <w:t>health</w:t>
            </w:r>
            <w:proofErr w:type="spellEnd"/>
          </w:p>
        </w:tc>
      </w:tr>
      <w:tr w:rsidR="009500CF" w:rsidRPr="008A5C48" w14:paraId="6F67C1C8" w14:textId="77777777" w:rsidTr="002F5E03">
        <w:trPr>
          <w:trHeight w:val="288"/>
        </w:trPr>
        <w:tc>
          <w:tcPr>
            <w:tcW w:w="2900" w:type="dxa"/>
            <w:tcBorders>
              <w:top w:val="single" w:sz="4" w:space="0" w:color="auto"/>
              <w:left w:val="nil"/>
              <w:right w:val="nil"/>
            </w:tcBorders>
            <w:shd w:val="clear" w:color="auto" w:fill="auto"/>
            <w:noWrap/>
            <w:vAlign w:val="center"/>
          </w:tcPr>
          <w:p w14:paraId="01C99EAA" w14:textId="77777777" w:rsidR="009500CF" w:rsidRPr="008A5C48" w:rsidRDefault="009500CF" w:rsidP="00FB6412">
            <w:pPr>
              <w:spacing w:after="0" w:line="240" w:lineRule="auto"/>
              <w:contextualSpacing/>
              <w:jc w:val="center"/>
              <w:rPr>
                <w:rFonts w:ascii="Times New Roman" w:hAnsi="Times New Roman" w:cs="Times New Roman"/>
                <w:sz w:val="20"/>
                <w:szCs w:val="20"/>
              </w:rPr>
            </w:pPr>
            <w:r w:rsidRPr="008A5C48">
              <w:rPr>
                <w:rFonts w:ascii="Times New Roman" w:hAnsi="Times New Roman" w:cs="Times New Roman"/>
                <w:sz w:val="20"/>
                <w:szCs w:val="20"/>
              </w:rPr>
              <w:t>Cardiometabolic sub-score</w:t>
            </w:r>
          </w:p>
        </w:tc>
        <w:tc>
          <w:tcPr>
            <w:tcW w:w="1778" w:type="dxa"/>
            <w:tcBorders>
              <w:top w:val="single" w:sz="4" w:space="0" w:color="auto"/>
              <w:left w:val="nil"/>
              <w:right w:val="nil"/>
            </w:tcBorders>
            <w:shd w:val="clear" w:color="auto" w:fill="auto"/>
            <w:noWrap/>
            <w:vAlign w:val="center"/>
          </w:tcPr>
          <w:p w14:paraId="2ED880A7"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-0,64</w:t>
            </w:r>
          </w:p>
        </w:tc>
        <w:tc>
          <w:tcPr>
            <w:tcW w:w="2126" w:type="dxa"/>
            <w:tcBorders>
              <w:top w:val="single" w:sz="4" w:space="0" w:color="auto"/>
              <w:left w:val="nil"/>
              <w:right w:val="nil"/>
            </w:tcBorders>
            <w:shd w:val="clear" w:color="auto" w:fill="auto"/>
            <w:noWrap/>
            <w:vAlign w:val="center"/>
          </w:tcPr>
          <w:p w14:paraId="42CC568B"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-0,02</w:t>
            </w:r>
          </w:p>
        </w:tc>
        <w:tc>
          <w:tcPr>
            <w:tcW w:w="1985" w:type="dxa"/>
            <w:tcBorders>
              <w:top w:val="single" w:sz="4" w:space="0" w:color="auto"/>
              <w:left w:val="nil"/>
              <w:right w:val="nil"/>
            </w:tcBorders>
            <w:shd w:val="clear" w:color="auto" w:fill="auto"/>
            <w:noWrap/>
            <w:vAlign w:val="center"/>
          </w:tcPr>
          <w:p w14:paraId="3420F51A"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0,7</w:t>
            </w:r>
          </w:p>
        </w:tc>
      </w:tr>
      <w:tr w:rsidR="009500CF" w:rsidRPr="008A5C48" w14:paraId="0918D904" w14:textId="77777777" w:rsidTr="002F5E03">
        <w:trPr>
          <w:trHeight w:val="288"/>
        </w:trPr>
        <w:tc>
          <w:tcPr>
            <w:tcW w:w="2900" w:type="dxa"/>
            <w:tcBorders>
              <w:left w:val="nil"/>
              <w:bottom w:val="dotDash" w:sz="4" w:space="0" w:color="auto"/>
              <w:right w:val="nil"/>
            </w:tcBorders>
            <w:shd w:val="clear" w:color="auto" w:fill="auto"/>
            <w:noWrap/>
            <w:vAlign w:val="center"/>
          </w:tcPr>
          <w:p w14:paraId="7A81FF9A"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en-US"/>
              </w:rPr>
              <w:t>Overweight</w:t>
            </w:r>
            <w:r w:rsidRPr="008A5C48">
              <w:rPr>
                <w:rFonts w:ascii="Times New Roman" w:hAnsi="Times New Roman" w:cs="Times New Roman"/>
                <w:color w:val="000000"/>
                <w:sz w:val="20"/>
                <w:szCs w:val="20"/>
                <w:vertAlign w:val="superscript"/>
              </w:rPr>
              <w:t xml:space="preserve"> a</w:t>
            </w:r>
          </w:p>
        </w:tc>
        <w:tc>
          <w:tcPr>
            <w:tcW w:w="1778" w:type="dxa"/>
            <w:tcBorders>
              <w:left w:val="nil"/>
              <w:bottom w:val="dotDash" w:sz="4" w:space="0" w:color="auto"/>
              <w:right w:val="nil"/>
            </w:tcBorders>
            <w:shd w:val="clear" w:color="auto" w:fill="auto"/>
            <w:noWrap/>
            <w:vAlign w:val="center"/>
          </w:tcPr>
          <w:p w14:paraId="6837B127"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38%</w:t>
            </w:r>
          </w:p>
        </w:tc>
        <w:tc>
          <w:tcPr>
            <w:tcW w:w="2126" w:type="dxa"/>
            <w:tcBorders>
              <w:left w:val="nil"/>
              <w:bottom w:val="dotDash" w:sz="4" w:space="0" w:color="auto"/>
              <w:right w:val="nil"/>
            </w:tcBorders>
            <w:shd w:val="clear" w:color="auto" w:fill="auto"/>
            <w:noWrap/>
            <w:vAlign w:val="center"/>
          </w:tcPr>
          <w:p w14:paraId="3B9408E6"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15%</w:t>
            </w:r>
          </w:p>
        </w:tc>
        <w:tc>
          <w:tcPr>
            <w:tcW w:w="1985" w:type="dxa"/>
            <w:tcBorders>
              <w:left w:val="nil"/>
              <w:bottom w:val="dotDash" w:sz="4" w:space="0" w:color="auto"/>
              <w:right w:val="nil"/>
            </w:tcBorders>
            <w:shd w:val="clear" w:color="auto" w:fill="auto"/>
            <w:noWrap/>
            <w:vAlign w:val="center"/>
          </w:tcPr>
          <w:p w14:paraId="39263054"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6%</w:t>
            </w:r>
          </w:p>
        </w:tc>
      </w:tr>
      <w:tr w:rsidR="009500CF" w:rsidRPr="008A5C48" w14:paraId="6FDAE06B" w14:textId="77777777" w:rsidTr="002F5E03">
        <w:trPr>
          <w:trHeight w:val="288"/>
        </w:trPr>
        <w:tc>
          <w:tcPr>
            <w:tcW w:w="2900" w:type="dxa"/>
            <w:tcBorders>
              <w:top w:val="dotDash" w:sz="4" w:space="0" w:color="auto"/>
              <w:left w:val="nil"/>
              <w:right w:val="nil"/>
            </w:tcBorders>
            <w:shd w:val="clear" w:color="auto" w:fill="auto"/>
            <w:noWrap/>
            <w:vAlign w:val="center"/>
          </w:tcPr>
          <w:p w14:paraId="194A2168"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hAnsi="Times New Roman" w:cs="Times New Roman"/>
                <w:sz w:val="20"/>
                <w:szCs w:val="20"/>
              </w:rPr>
              <w:t>Respiratory/allergy sub-score</w:t>
            </w:r>
          </w:p>
        </w:tc>
        <w:tc>
          <w:tcPr>
            <w:tcW w:w="1778" w:type="dxa"/>
            <w:tcBorders>
              <w:top w:val="dotDash" w:sz="4" w:space="0" w:color="auto"/>
              <w:left w:val="nil"/>
              <w:right w:val="nil"/>
            </w:tcBorders>
            <w:shd w:val="clear" w:color="auto" w:fill="auto"/>
            <w:noWrap/>
            <w:vAlign w:val="center"/>
          </w:tcPr>
          <w:p w14:paraId="4BF05A0A"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-0,61</w:t>
            </w:r>
          </w:p>
        </w:tc>
        <w:tc>
          <w:tcPr>
            <w:tcW w:w="2126" w:type="dxa"/>
            <w:tcBorders>
              <w:top w:val="dotDash" w:sz="4" w:space="0" w:color="auto"/>
              <w:left w:val="nil"/>
              <w:right w:val="nil"/>
            </w:tcBorders>
            <w:shd w:val="clear" w:color="auto" w:fill="auto"/>
            <w:noWrap/>
            <w:vAlign w:val="center"/>
          </w:tcPr>
          <w:p w14:paraId="5EBB0181"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0,07</w:t>
            </w:r>
          </w:p>
        </w:tc>
        <w:tc>
          <w:tcPr>
            <w:tcW w:w="1985" w:type="dxa"/>
            <w:tcBorders>
              <w:top w:val="dotDash" w:sz="4" w:space="0" w:color="auto"/>
              <w:left w:val="nil"/>
              <w:right w:val="nil"/>
            </w:tcBorders>
            <w:shd w:val="clear" w:color="auto" w:fill="auto"/>
            <w:noWrap/>
            <w:vAlign w:val="center"/>
          </w:tcPr>
          <w:p w14:paraId="4735A3D4"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0,6</w:t>
            </w:r>
          </w:p>
        </w:tc>
      </w:tr>
      <w:tr w:rsidR="009500CF" w:rsidRPr="008A5C48" w14:paraId="7979EEC2" w14:textId="77777777" w:rsidTr="002F5E03">
        <w:trPr>
          <w:trHeight w:val="288"/>
        </w:trPr>
        <w:tc>
          <w:tcPr>
            <w:tcW w:w="2900" w:type="dxa"/>
            <w:tcBorders>
              <w:top w:val="nil"/>
              <w:left w:val="nil"/>
              <w:bottom w:val="dotDash" w:sz="4" w:space="0" w:color="auto"/>
              <w:right w:val="nil"/>
            </w:tcBorders>
            <w:shd w:val="clear" w:color="auto" w:fill="auto"/>
            <w:noWrap/>
            <w:vAlign w:val="center"/>
          </w:tcPr>
          <w:p w14:paraId="3AE051FF"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proofErr w:type="spellStart"/>
            <w:r w:rsidRPr="008A5C48">
              <w:rPr>
                <w:rFonts w:ascii="Times New Roman" w:eastAsia="Times New Roman" w:hAnsi="Times New Roman" w:cs="Times New Roman"/>
                <w:color w:val="000000"/>
                <w:sz w:val="20"/>
                <w:szCs w:val="20"/>
                <w:lang w:val="fr-FR"/>
              </w:rPr>
              <w:t>Asthma</w:t>
            </w:r>
            <w:proofErr w:type="spellEnd"/>
          </w:p>
        </w:tc>
        <w:tc>
          <w:tcPr>
            <w:tcW w:w="1778" w:type="dxa"/>
            <w:tcBorders>
              <w:top w:val="nil"/>
              <w:left w:val="nil"/>
              <w:bottom w:val="dotDash" w:sz="4" w:space="0" w:color="auto"/>
              <w:right w:val="nil"/>
            </w:tcBorders>
            <w:shd w:val="clear" w:color="auto" w:fill="auto"/>
            <w:noWrap/>
            <w:vAlign w:val="center"/>
          </w:tcPr>
          <w:p w14:paraId="4AB6777B"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23%</w:t>
            </w:r>
          </w:p>
        </w:tc>
        <w:tc>
          <w:tcPr>
            <w:tcW w:w="2126" w:type="dxa"/>
            <w:tcBorders>
              <w:top w:val="nil"/>
              <w:left w:val="nil"/>
              <w:bottom w:val="dotDash" w:sz="4" w:space="0" w:color="auto"/>
              <w:right w:val="nil"/>
            </w:tcBorders>
            <w:shd w:val="clear" w:color="auto" w:fill="auto"/>
            <w:noWrap/>
            <w:vAlign w:val="center"/>
          </w:tcPr>
          <w:p w14:paraId="55128D56"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8%</w:t>
            </w:r>
          </w:p>
        </w:tc>
        <w:tc>
          <w:tcPr>
            <w:tcW w:w="1985" w:type="dxa"/>
            <w:tcBorders>
              <w:top w:val="nil"/>
              <w:left w:val="nil"/>
              <w:bottom w:val="dotDash" w:sz="4" w:space="0" w:color="auto"/>
              <w:right w:val="nil"/>
            </w:tcBorders>
            <w:shd w:val="clear" w:color="auto" w:fill="auto"/>
            <w:noWrap/>
            <w:vAlign w:val="center"/>
          </w:tcPr>
          <w:p w14:paraId="43C50C69"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5%</w:t>
            </w:r>
          </w:p>
        </w:tc>
      </w:tr>
      <w:tr w:rsidR="009500CF" w:rsidRPr="008A5C48" w14:paraId="305D1E87" w14:textId="77777777" w:rsidTr="002F5E03">
        <w:trPr>
          <w:trHeight w:val="288"/>
        </w:trPr>
        <w:tc>
          <w:tcPr>
            <w:tcW w:w="2900" w:type="dxa"/>
            <w:tcBorders>
              <w:top w:val="dotDash" w:sz="4" w:space="0" w:color="auto"/>
              <w:left w:val="nil"/>
              <w:bottom w:val="nil"/>
              <w:right w:val="nil"/>
            </w:tcBorders>
            <w:shd w:val="clear" w:color="auto" w:fill="auto"/>
            <w:noWrap/>
            <w:vAlign w:val="center"/>
          </w:tcPr>
          <w:p w14:paraId="55C987C7"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hAnsi="Times New Roman" w:cs="Times New Roman"/>
                <w:sz w:val="20"/>
                <w:szCs w:val="20"/>
              </w:rPr>
              <w:t>Mental sub-score</w:t>
            </w:r>
          </w:p>
        </w:tc>
        <w:tc>
          <w:tcPr>
            <w:tcW w:w="1778" w:type="dxa"/>
            <w:tcBorders>
              <w:top w:val="dotDash" w:sz="4" w:space="0" w:color="auto"/>
              <w:left w:val="nil"/>
              <w:bottom w:val="nil"/>
              <w:right w:val="nil"/>
            </w:tcBorders>
            <w:shd w:val="clear" w:color="auto" w:fill="auto"/>
            <w:noWrap/>
            <w:vAlign w:val="center"/>
          </w:tcPr>
          <w:p w14:paraId="2F6ACE83"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-0,65</w:t>
            </w:r>
          </w:p>
        </w:tc>
        <w:tc>
          <w:tcPr>
            <w:tcW w:w="2126" w:type="dxa"/>
            <w:tcBorders>
              <w:top w:val="dotDash" w:sz="4" w:space="0" w:color="auto"/>
              <w:left w:val="nil"/>
              <w:bottom w:val="nil"/>
              <w:right w:val="nil"/>
            </w:tcBorders>
            <w:shd w:val="clear" w:color="auto" w:fill="auto"/>
            <w:noWrap/>
            <w:vAlign w:val="center"/>
          </w:tcPr>
          <w:p w14:paraId="2F813CAD"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0,05</w:t>
            </w:r>
          </w:p>
        </w:tc>
        <w:tc>
          <w:tcPr>
            <w:tcW w:w="1985" w:type="dxa"/>
            <w:tcBorders>
              <w:top w:val="dotDash" w:sz="4" w:space="0" w:color="auto"/>
              <w:left w:val="nil"/>
              <w:bottom w:val="nil"/>
              <w:right w:val="nil"/>
            </w:tcBorders>
            <w:shd w:val="clear" w:color="auto" w:fill="auto"/>
            <w:noWrap/>
            <w:vAlign w:val="center"/>
          </w:tcPr>
          <w:p w14:paraId="0C017E76"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0,74</w:t>
            </w:r>
          </w:p>
        </w:tc>
      </w:tr>
      <w:tr w:rsidR="009500CF" w:rsidRPr="008A5C48" w14:paraId="21466562" w14:textId="77777777" w:rsidTr="002F5E03">
        <w:trPr>
          <w:trHeight w:val="288"/>
        </w:trPr>
        <w:tc>
          <w:tcPr>
            <w:tcW w:w="2900" w:type="dxa"/>
            <w:tcBorders>
              <w:top w:val="nil"/>
              <w:left w:val="nil"/>
              <w:bottom w:val="single" w:sz="4" w:space="0" w:color="auto"/>
              <w:right w:val="nil"/>
            </w:tcBorders>
            <w:shd w:val="clear" w:color="auto" w:fill="auto"/>
            <w:noWrap/>
            <w:vAlign w:val="center"/>
          </w:tcPr>
          <w:p w14:paraId="7F68FA94" w14:textId="77777777" w:rsidR="009500CF" w:rsidRPr="008A5C48" w:rsidRDefault="009500CF" w:rsidP="00FB6412">
            <w:pPr>
              <w:spacing w:after="0" w:line="240" w:lineRule="auto"/>
              <w:contextualSpacing/>
              <w:jc w:val="center"/>
              <w:rPr>
                <w:rFonts w:ascii="Times New Roman" w:hAnsi="Times New Roman" w:cs="Times New Roman"/>
                <w:sz w:val="20"/>
                <w:szCs w:val="20"/>
              </w:rPr>
            </w:pPr>
            <w:r w:rsidRPr="008A5C48">
              <w:rPr>
                <w:rFonts w:ascii="Times New Roman" w:eastAsia="Times New Roman" w:hAnsi="Times New Roman" w:cs="Times New Roman"/>
                <w:color w:val="000000"/>
                <w:sz w:val="20"/>
                <w:szCs w:val="20"/>
                <w:lang w:val="en-US"/>
              </w:rPr>
              <w:t>At risk for ADHD</w:t>
            </w:r>
            <w:r w:rsidRPr="008A5C48">
              <w:rPr>
                <w:rFonts w:ascii="Times New Roman" w:hAnsi="Times New Roman" w:cs="Times New Roman"/>
                <w:color w:val="000000"/>
                <w:sz w:val="20"/>
                <w:szCs w:val="20"/>
                <w:vertAlign w:val="superscript"/>
              </w:rPr>
              <w:t xml:space="preserve"> a</w:t>
            </w:r>
          </w:p>
        </w:tc>
        <w:tc>
          <w:tcPr>
            <w:tcW w:w="1778" w:type="dxa"/>
            <w:tcBorders>
              <w:top w:val="nil"/>
              <w:left w:val="nil"/>
              <w:bottom w:val="single" w:sz="4" w:space="0" w:color="auto"/>
              <w:right w:val="nil"/>
            </w:tcBorders>
            <w:shd w:val="clear" w:color="auto" w:fill="auto"/>
            <w:noWrap/>
            <w:vAlign w:val="center"/>
          </w:tcPr>
          <w:p w14:paraId="7962024A"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15%</w:t>
            </w:r>
          </w:p>
        </w:tc>
        <w:tc>
          <w:tcPr>
            <w:tcW w:w="2126" w:type="dxa"/>
            <w:tcBorders>
              <w:top w:val="nil"/>
              <w:left w:val="nil"/>
              <w:bottom w:val="single" w:sz="4" w:space="0" w:color="auto"/>
              <w:right w:val="nil"/>
            </w:tcBorders>
            <w:shd w:val="clear" w:color="auto" w:fill="auto"/>
            <w:noWrap/>
            <w:vAlign w:val="center"/>
          </w:tcPr>
          <w:p w14:paraId="3FFEBAE8"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9%</w:t>
            </w:r>
          </w:p>
        </w:tc>
        <w:tc>
          <w:tcPr>
            <w:tcW w:w="1985" w:type="dxa"/>
            <w:tcBorders>
              <w:top w:val="nil"/>
              <w:left w:val="nil"/>
              <w:bottom w:val="single" w:sz="4" w:space="0" w:color="auto"/>
              <w:right w:val="nil"/>
            </w:tcBorders>
            <w:shd w:val="clear" w:color="auto" w:fill="auto"/>
            <w:noWrap/>
            <w:vAlign w:val="center"/>
          </w:tcPr>
          <w:p w14:paraId="2A553105" w14:textId="77777777" w:rsidR="009500CF" w:rsidRPr="008A5C48" w:rsidRDefault="009500CF" w:rsidP="00FB6412">
            <w:pPr>
              <w:spacing w:after="0" w:line="240" w:lineRule="auto"/>
              <w:contextualSpacing/>
              <w:jc w:val="center"/>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2%</w:t>
            </w:r>
          </w:p>
        </w:tc>
      </w:tr>
    </w:tbl>
    <w:p w14:paraId="7B732FC0" w14:textId="125D2B37" w:rsidR="004D6F30" w:rsidRPr="00EF2FC1" w:rsidRDefault="009500CF" w:rsidP="00EF2FC1">
      <w:pPr>
        <w:spacing w:line="240" w:lineRule="auto"/>
        <w:contextualSpacing/>
        <w:rPr>
          <w:rFonts w:ascii="Times New Roman" w:hAnsi="Times New Roman" w:cs="Times New Roman"/>
          <w:sz w:val="20"/>
          <w:szCs w:val="20"/>
        </w:rPr>
        <w:sectPr w:rsidR="004D6F30" w:rsidRPr="00EF2FC1">
          <w:pgSz w:w="11906" w:h="16838"/>
          <w:pgMar w:top="1417" w:right="1417" w:bottom="1417" w:left="1417" w:header="708" w:footer="708" w:gutter="0"/>
          <w:cols w:space="720"/>
        </w:sectPr>
      </w:pPr>
      <w:r w:rsidRPr="008A5C48">
        <w:rPr>
          <w:rFonts w:ascii="Times New Roman" w:hAnsi="Times New Roman" w:cs="Times New Roman"/>
          <w:sz w:val="20"/>
          <w:szCs w:val="20"/>
        </w:rPr>
        <w:t>The table gives the mean/percentage of some key health parameters and the three sub-scores in each tercile-based group of the general health score.</w:t>
      </w:r>
      <w:r w:rsidRPr="008A5C48">
        <w:rPr>
          <w:rFonts w:ascii="Times New Roman" w:hAnsi="Times New Roman" w:cs="Times New Roman"/>
          <w:sz w:val="20"/>
          <w:szCs w:val="20"/>
          <w:u w:val="single"/>
        </w:rPr>
        <w:br/>
      </w:r>
      <w:proofErr w:type="spellStart"/>
      <w:r w:rsidRPr="008A5C48">
        <w:rPr>
          <w:rFonts w:ascii="Times New Roman" w:hAnsi="Times New Roman" w:cs="Times New Roman"/>
          <w:color w:val="000000"/>
          <w:sz w:val="20"/>
          <w:szCs w:val="20"/>
          <w:vertAlign w:val="superscript"/>
        </w:rPr>
        <w:t>a</w:t>
      </w:r>
      <w:proofErr w:type="spellEnd"/>
      <w:r w:rsidRPr="008A5C48">
        <w:rPr>
          <w:rFonts w:ascii="Times New Roman" w:hAnsi="Times New Roman" w:cs="Times New Roman"/>
          <w:color w:val="000000"/>
          <w:sz w:val="20"/>
          <w:szCs w:val="20"/>
          <w:vertAlign w:val="superscript"/>
        </w:rPr>
        <w:t xml:space="preserve"> </w:t>
      </w:r>
      <w:proofErr w:type="gramStart"/>
      <w:r w:rsidRPr="008A5C48">
        <w:rPr>
          <w:rFonts w:ascii="Times New Roman" w:hAnsi="Times New Roman" w:cs="Times New Roman"/>
          <w:sz w:val="20"/>
          <w:szCs w:val="20"/>
        </w:rPr>
        <w:t>The</w:t>
      </w:r>
      <w:proofErr w:type="gramEnd"/>
      <w:r w:rsidRPr="008A5C48">
        <w:rPr>
          <w:rFonts w:ascii="Times New Roman" w:hAnsi="Times New Roman" w:cs="Times New Roman"/>
          <w:sz w:val="20"/>
          <w:szCs w:val="20"/>
        </w:rPr>
        <w:t xml:space="preserve"> general health score has been divided according to its terciles (Q33%= -0.22, Q66%=0.30)</w:t>
      </w:r>
      <w:r w:rsidRPr="008A5C48">
        <w:rPr>
          <w:rFonts w:ascii="Times New Roman" w:hAnsi="Times New Roman" w:cs="Times New Roman"/>
          <w:sz w:val="20"/>
          <w:szCs w:val="20"/>
        </w:rPr>
        <w:br/>
      </w:r>
      <w:r w:rsidRPr="008A5C48">
        <w:rPr>
          <w:rFonts w:ascii="Times New Roman" w:hAnsi="Times New Roman" w:cs="Times New Roman"/>
          <w:color w:val="000000"/>
          <w:sz w:val="20"/>
          <w:szCs w:val="20"/>
          <w:vertAlign w:val="superscript"/>
        </w:rPr>
        <w:t>b</w:t>
      </w:r>
      <w:r w:rsidRPr="008A5C48">
        <w:rPr>
          <w:rFonts w:ascii="Times New Roman" w:hAnsi="Times New Roman" w:cs="Times New Roman"/>
          <w:sz w:val="20"/>
          <w:szCs w:val="20"/>
        </w:rPr>
        <w:t xml:space="preserve"> Definition from the International Obesity Task Force (IOTF). Obese children are included as overweight.</w:t>
      </w:r>
      <w:r w:rsidRPr="008A5C48">
        <w:rPr>
          <w:rFonts w:ascii="Times New Roman" w:hAnsi="Times New Roman" w:cs="Times New Roman"/>
          <w:color w:val="000000"/>
          <w:sz w:val="20"/>
          <w:szCs w:val="20"/>
          <w:vertAlign w:val="superscript"/>
        </w:rPr>
        <w:br/>
      </w:r>
      <w:proofErr w:type="gramStart"/>
      <w:r w:rsidRPr="008A5C48">
        <w:rPr>
          <w:rFonts w:ascii="Times New Roman" w:hAnsi="Times New Roman" w:cs="Times New Roman"/>
          <w:color w:val="000000"/>
          <w:sz w:val="20"/>
          <w:szCs w:val="20"/>
          <w:vertAlign w:val="superscript"/>
        </w:rPr>
        <w:t>a</w:t>
      </w:r>
      <w:proofErr w:type="gramEnd"/>
      <w:r w:rsidRPr="008A5C48">
        <w:rPr>
          <w:rFonts w:ascii="Times New Roman" w:hAnsi="Times New Roman" w:cs="Times New Roman"/>
          <w:sz w:val="20"/>
          <w:szCs w:val="20"/>
        </w:rPr>
        <w:t xml:space="preserve"> ADHD score superior or equal than 17 (Conner’s rate)</w:t>
      </w:r>
      <w:r w:rsidR="00EF2FC1">
        <w:rPr>
          <w:rFonts w:ascii="Times New Roman" w:hAnsi="Times New Roman" w:cs="Times New Roman"/>
          <w:sz w:val="20"/>
          <w:szCs w:val="20"/>
        </w:rPr>
        <w:t>.</w:t>
      </w:r>
    </w:p>
    <w:p w14:paraId="62CA7910" w14:textId="64D96CED" w:rsidR="00EF2FC1" w:rsidRPr="008358B7" w:rsidRDefault="00EF2FC1" w:rsidP="00EF2FC1">
      <w:pPr>
        <w:pStyle w:val="Titre1"/>
        <w:rPr>
          <w:rFonts w:eastAsia="Times New Roman"/>
          <w:b w:val="0"/>
          <w:bCs w:val="0"/>
        </w:rPr>
      </w:pPr>
      <w:bookmarkStart w:id="98" w:name="_Toc127358169"/>
      <w:bookmarkStart w:id="99" w:name="_Toc132271599"/>
      <w:bookmarkStart w:id="100" w:name="_Hlk127367568"/>
      <w:proofErr w:type="spellStart"/>
      <w:r w:rsidRPr="008A5C48">
        <w:rPr>
          <w:rFonts w:eastAsia="Times New Roman"/>
        </w:rPr>
        <w:lastRenderedPageBreak/>
        <w:t>eTable</w:t>
      </w:r>
      <w:proofErr w:type="spellEnd"/>
      <w:r w:rsidRPr="008A5C48">
        <w:rPr>
          <w:rFonts w:eastAsia="Times New Roman"/>
        </w:rPr>
        <w:t xml:space="preserve"> </w:t>
      </w:r>
      <w:r>
        <w:rPr>
          <w:rFonts w:eastAsia="Times New Roman"/>
        </w:rPr>
        <w:t>1</w:t>
      </w:r>
      <w:r w:rsidR="00CB1193">
        <w:rPr>
          <w:rFonts w:eastAsia="Times New Roman"/>
        </w:rPr>
        <w:t>7</w:t>
      </w:r>
      <w:r w:rsidRPr="008A5C48">
        <w:rPr>
          <w:rFonts w:eastAsia="Times New Roman"/>
        </w:rPr>
        <w:t xml:space="preserve">. </w:t>
      </w:r>
      <w:r w:rsidRPr="008358B7">
        <w:rPr>
          <w:rFonts w:eastAsia="Times New Roman"/>
          <w:b w:val="0"/>
          <w:bCs w:val="0"/>
        </w:rPr>
        <w:t xml:space="preserve">Complete results of the </w:t>
      </w:r>
      <w:proofErr w:type="spellStart"/>
      <w:r w:rsidRPr="008358B7">
        <w:rPr>
          <w:rFonts w:eastAsia="Times New Roman"/>
          <w:b w:val="0"/>
          <w:bCs w:val="0"/>
        </w:rPr>
        <w:t>ExWAS</w:t>
      </w:r>
      <w:proofErr w:type="spellEnd"/>
      <w:r w:rsidRPr="008358B7">
        <w:rPr>
          <w:rFonts w:eastAsia="Times New Roman"/>
          <w:b w:val="0"/>
          <w:bCs w:val="0"/>
        </w:rPr>
        <w:t xml:space="preserve"> on prenatal exposures</w:t>
      </w:r>
      <w:bookmarkEnd w:id="98"/>
      <w:bookmarkEnd w:id="99"/>
    </w:p>
    <w:bookmarkEnd w:id="100"/>
    <w:p w14:paraId="0C933EFF" w14:textId="77777777" w:rsidR="00EF2FC1" w:rsidRPr="008A5C48" w:rsidRDefault="00EF2FC1" w:rsidP="00EF2FC1">
      <w:pPr>
        <w:spacing w:line="240" w:lineRule="auto"/>
        <w:contextualSpacing/>
        <w:rPr>
          <w:rFonts w:ascii="Times New Roman" w:eastAsia="Times New Roman" w:hAnsi="Times New Roman" w:cs="Times New Roman"/>
          <w:b/>
          <w:sz w:val="20"/>
          <w:szCs w:val="20"/>
        </w:rPr>
      </w:pPr>
    </w:p>
    <w:tbl>
      <w:tblPr>
        <w:tblW w:w="6946" w:type="dxa"/>
        <w:tblCellMar>
          <w:left w:w="70" w:type="dxa"/>
          <w:right w:w="70" w:type="dxa"/>
        </w:tblCellMar>
        <w:tblLook w:val="04A0" w:firstRow="1" w:lastRow="0" w:firstColumn="1" w:lastColumn="0" w:noHBand="0" w:noVBand="1"/>
      </w:tblPr>
      <w:tblGrid>
        <w:gridCol w:w="2624"/>
        <w:gridCol w:w="1916"/>
        <w:gridCol w:w="847"/>
        <w:gridCol w:w="1559"/>
      </w:tblGrid>
      <w:tr w:rsidR="00EF2FC1" w:rsidRPr="008A5C48" w14:paraId="53F068B3" w14:textId="77777777" w:rsidTr="00467E77">
        <w:trPr>
          <w:trHeight w:val="288"/>
        </w:trPr>
        <w:tc>
          <w:tcPr>
            <w:tcW w:w="2624" w:type="dxa"/>
            <w:tcBorders>
              <w:top w:val="single" w:sz="4" w:space="0" w:color="auto"/>
              <w:left w:val="nil"/>
              <w:bottom w:val="single" w:sz="4" w:space="0" w:color="auto"/>
              <w:right w:val="nil"/>
            </w:tcBorders>
            <w:vAlign w:val="bottom"/>
          </w:tcPr>
          <w:p w14:paraId="07E46A7F" w14:textId="77777777" w:rsidR="00EF2FC1" w:rsidRPr="008A5C48" w:rsidRDefault="00EF2FC1" w:rsidP="00467E77">
            <w:pPr>
              <w:spacing w:after="0" w:line="240" w:lineRule="auto"/>
              <w:contextualSpacing/>
              <w:jc w:val="center"/>
              <w:rPr>
                <w:rFonts w:ascii="Times New Roman" w:eastAsia="Times New Roman" w:hAnsi="Times New Roman" w:cs="Times New Roman"/>
                <w:b/>
                <w:bCs/>
                <w:color w:val="000000"/>
                <w:sz w:val="20"/>
                <w:szCs w:val="20"/>
                <w:lang w:val="fr-FR"/>
              </w:rPr>
            </w:pPr>
            <w:r w:rsidRPr="008A5C48">
              <w:rPr>
                <w:rFonts w:ascii="Times New Roman" w:eastAsia="Times New Roman" w:hAnsi="Times New Roman" w:cs="Times New Roman"/>
                <w:b/>
                <w:color w:val="000000"/>
                <w:sz w:val="20"/>
                <w:szCs w:val="20"/>
              </w:rPr>
              <w:t>Exposure</w:t>
            </w:r>
          </w:p>
        </w:tc>
        <w:tc>
          <w:tcPr>
            <w:tcW w:w="1916" w:type="dxa"/>
            <w:tcBorders>
              <w:top w:val="single" w:sz="4" w:space="0" w:color="auto"/>
              <w:left w:val="nil"/>
              <w:bottom w:val="single" w:sz="4" w:space="0" w:color="auto"/>
              <w:right w:val="nil"/>
            </w:tcBorders>
            <w:shd w:val="clear" w:color="auto" w:fill="auto"/>
            <w:noWrap/>
            <w:vAlign w:val="bottom"/>
            <w:hideMark/>
          </w:tcPr>
          <w:p w14:paraId="60D643E8" w14:textId="77777777" w:rsidR="00EF2FC1" w:rsidRPr="008A5C48" w:rsidRDefault="00EF2FC1" w:rsidP="00467E77">
            <w:pPr>
              <w:spacing w:after="0" w:line="240" w:lineRule="auto"/>
              <w:contextualSpacing/>
              <w:jc w:val="center"/>
              <w:rPr>
                <w:rFonts w:ascii="Times New Roman" w:eastAsia="Times New Roman" w:hAnsi="Times New Roman" w:cs="Times New Roman"/>
                <w:b/>
                <w:bCs/>
                <w:color w:val="000000"/>
                <w:sz w:val="20"/>
                <w:szCs w:val="20"/>
                <w:lang w:val="fr-FR"/>
              </w:rPr>
            </w:pPr>
            <w:r w:rsidRPr="008A5C48">
              <w:rPr>
                <w:rFonts w:ascii="Times New Roman" w:eastAsia="Times New Roman" w:hAnsi="Times New Roman" w:cs="Times New Roman"/>
                <w:b/>
                <w:color w:val="000000"/>
                <w:sz w:val="20"/>
                <w:szCs w:val="20"/>
              </w:rPr>
              <w:t>Estimate (CI 95%)</w:t>
            </w:r>
          </w:p>
        </w:tc>
        <w:tc>
          <w:tcPr>
            <w:tcW w:w="847" w:type="dxa"/>
            <w:tcBorders>
              <w:top w:val="single" w:sz="4" w:space="0" w:color="auto"/>
              <w:left w:val="nil"/>
              <w:bottom w:val="single" w:sz="4" w:space="0" w:color="auto"/>
              <w:right w:val="nil"/>
            </w:tcBorders>
            <w:shd w:val="clear" w:color="auto" w:fill="auto"/>
            <w:noWrap/>
            <w:vAlign w:val="bottom"/>
            <w:hideMark/>
          </w:tcPr>
          <w:p w14:paraId="16F7F6D9" w14:textId="77777777" w:rsidR="00EF2FC1" w:rsidRPr="008A5C48" w:rsidRDefault="00EF2FC1" w:rsidP="00467E77">
            <w:pPr>
              <w:spacing w:after="0" w:line="240" w:lineRule="auto"/>
              <w:contextualSpacing/>
              <w:jc w:val="center"/>
              <w:rPr>
                <w:rFonts w:ascii="Times New Roman" w:eastAsia="Times New Roman" w:hAnsi="Times New Roman" w:cs="Times New Roman"/>
                <w:b/>
                <w:bCs/>
                <w:color w:val="000000"/>
                <w:sz w:val="20"/>
                <w:szCs w:val="20"/>
                <w:lang w:val="fr-FR"/>
              </w:rPr>
            </w:pPr>
            <w:r w:rsidRPr="008A5C48">
              <w:rPr>
                <w:rFonts w:ascii="Times New Roman" w:eastAsia="Times New Roman" w:hAnsi="Times New Roman" w:cs="Times New Roman"/>
                <w:b/>
                <w:color w:val="000000"/>
                <w:sz w:val="20"/>
                <w:szCs w:val="20"/>
              </w:rPr>
              <w:t>p-value</w:t>
            </w:r>
          </w:p>
        </w:tc>
        <w:tc>
          <w:tcPr>
            <w:tcW w:w="1559" w:type="dxa"/>
            <w:tcBorders>
              <w:top w:val="single" w:sz="4" w:space="0" w:color="auto"/>
              <w:left w:val="nil"/>
              <w:bottom w:val="single" w:sz="4" w:space="0" w:color="auto"/>
              <w:right w:val="nil"/>
            </w:tcBorders>
            <w:shd w:val="clear" w:color="auto" w:fill="auto"/>
            <w:noWrap/>
            <w:vAlign w:val="bottom"/>
            <w:hideMark/>
          </w:tcPr>
          <w:p w14:paraId="41C594F6" w14:textId="77777777" w:rsidR="00EF2FC1" w:rsidRPr="008A5C48" w:rsidRDefault="00EF2FC1" w:rsidP="00467E77">
            <w:pPr>
              <w:spacing w:after="0" w:line="240" w:lineRule="auto"/>
              <w:contextualSpacing/>
              <w:jc w:val="center"/>
              <w:rPr>
                <w:rFonts w:ascii="Times New Roman" w:eastAsia="Times New Roman" w:hAnsi="Times New Roman" w:cs="Times New Roman"/>
                <w:b/>
                <w:bCs/>
                <w:color w:val="000000"/>
                <w:sz w:val="20"/>
                <w:szCs w:val="20"/>
                <w:lang w:val="fr-FR"/>
              </w:rPr>
            </w:pPr>
            <w:r w:rsidRPr="008A5C48">
              <w:rPr>
                <w:rFonts w:ascii="Times New Roman" w:eastAsia="Times New Roman" w:hAnsi="Times New Roman" w:cs="Times New Roman"/>
                <w:b/>
                <w:color w:val="000000"/>
                <w:sz w:val="20"/>
                <w:szCs w:val="20"/>
              </w:rPr>
              <w:t>p corrected</w:t>
            </w:r>
          </w:p>
        </w:tc>
      </w:tr>
      <w:tr w:rsidR="00EF2FC1" w:rsidRPr="008A5C48" w14:paraId="05D4632F" w14:textId="77777777" w:rsidTr="00467E77">
        <w:trPr>
          <w:trHeight w:val="288"/>
        </w:trPr>
        <w:tc>
          <w:tcPr>
            <w:tcW w:w="2624" w:type="dxa"/>
            <w:tcBorders>
              <w:top w:val="single" w:sz="4" w:space="0" w:color="auto"/>
              <w:left w:val="nil"/>
              <w:bottom w:val="nil"/>
              <w:right w:val="nil"/>
            </w:tcBorders>
            <w:vAlign w:val="bottom"/>
          </w:tcPr>
          <w:p w14:paraId="48ED71DE" w14:textId="77777777" w:rsidR="00EF2FC1" w:rsidRPr="008A5C48" w:rsidRDefault="00EF2FC1" w:rsidP="00467E77">
            <w:pPr>
              <w:spacing w:after="0" w:line="240" w:lineRule="auto"/>
              <w:contextualSpacing/>
              <w:rPr>
                <w:rFonts w:ascii="Times New Roman" w:eastAsia="Times New Roman" w:hAnsi="Times New Roman" w:cs="Times New Roman"/>
                <w:b/>
                <w:color w:val="000000"/>
                <w:sz w:val="20"/>
                <w:szCs w:val="20"/>
              </w:rPr>
            </w:pPr>
            <w:r w:rsidRPr="008A5C48">
              <w:rPr>
                <w:rFonts w:ascii="Times New Roman" w:eastAsia="Times New Roman" w:hAnsi="Times New Roman" w:cs="Times New Roman"/>
                <w:color w:val="000000"/>
                <w:sz w:val="20"/>
                <w:szCs w:val="20"/>
              </w:rPr>
              <w:t>Smoke (yes)</w:t>
            </w:r>
          </w:p>
        </w:tc>
        <w:tc>
          <w:tcPr>
            <w:tcW w:w="1916" w:type="dxa"/>
            <w:tcBorders>
              <w:top w:val="single" w:sz="4" w:space="0" w:color="auto"/>
              <w:left w:val="nil"/>
              <w:bottom w:val="nil"/>
              <w:right w:val="nil"/>
            </w:tcBorders>
            <w:shd w:val="clear" w:color="auto" w:fill="auto"/>
            <w:noWrap/>
            <w:vAlign w:val="bottom"/>
            <w:hideMark/>
          </w:tcPr>
          <w:p w14:paraId="58363F7E"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-0.06 [-0.</w:t>
            </w:r>
            <w:proofErr w:type="gramStart"/>
            <w:r w:rsidRPr="008A5C48">
              <w:rPr>
                <w:rFonts w:ascii="Times New Roman" w:eastAsia="Times New Roman" w:hAnsi="Times New Roman" w:cs="Times New Roman"/>
                <w:color w:val="000000"/>
                <w:sz w:val="20"/>
                <w:szCs w:val="20"/>
                <w:lang w:val="fr-FR"/>
              </w:rPr>
              <w:t>17;</w:t>
            </w:r>
            <w:proofErr w:type="gramEnd"/>
            <w:r w:rsidRPr="008A5C48">
              <w:rPr>
                <w:rFonts w:ascii="Times New Roman" w:eastAsia="Times New Roman" w:hAnsi="Times New Roman" w:cs="Times New Roman"/>
                <w:color w:val="000000"/>
                <w:sz w:val="20"/>
                <w:szCs w:val="20"/>
                <w:lang w:val="fr-FR"/>
              </w:rPr>
              <w:t xml:space="preserve"> 0.05]</w:t>
            </w:r>
          </w:p>
        </w:tc>
        <w:tc>
          <w:tcPr>
            <w:tcW w:w="847" w:type="dxa"/>
            <w:tcBorders>
              <w:top w:val="single" w:sz="4" w:space="0" w:color="auto"/>
              <w:left w:val="nil"/>
              <w:bottom w:val="nil"/>
              <w:right w:val="nil"/>
            </w:tcBorders>
            <w:shd w:val="clear" w:color="auto" w:fill="auto"/>
            <w:noWrap/>
            <w:vAlign w:val="bottom"/>
            <w:hideMark/>
          </w:tcPr>
          <w:p w14:paraId="342EA98E"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0,31</w:t>
            </w:r>
          </w:p>
        </w:tc>
        <w:tc>
          <w:tcPr>
            <w:tcW w:w="1559" w:type="dxa"/>
            <w:tcBorders>
              <w:top w:val="single" w:sz="4" w:space="0" w:color="auto"/>
              <w:left w:val="nil"/>
              <w:bottom w:val="nil"/>
              <w:right w:val="nil"/>
            </w:tcBorders>
            <w:shd w:val="clear" w:color="auto" w:fill="auto"/>
            <w:noWrap/>
            <w:vAlign w:val="bottom"/>
            <w:hideMark/>
          </w:tcPr>
          <w:p w14:paraId="7D2B6BD2"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4DC7196D" w14:textId="77777777" w:rsidTr="00467E77">
        <w:trPr>
          <w:trHeight w:val="288"/>
        </w:trPr>
        <w:tc>
          <w:tcPr>
            <w:tcW w:w="2624" w:type="dxa"/>
            <w:tcBorders>
              <w:top w:val="nil"/>
              <w:left w:val="nil"/>
              <w:bottom w:val="nil"/>
              <w:right w:val="nil"/>
            </w:tcBorders>
            <w:vAlign w:val="bottom"/>
          </w:tcPr>
          <w:p w14:paraId="3FEDBA58"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Passive smoke (yes)</w:t>
            </w:r>
          </w:p>
        </w:tc>
        <w:tc>
          <w:tcPr>
            <w:tcW w:w="1916" w:type="dxa"/>
            <w:tcBorders>
              <w:top w:val="nil"/>
              <w:left w:val="nil"/>
              <w:bottom w:val="nil"/>
              <w:right w:val="nil"/>
            </w:tcBorders>
            <w:shd w:val="clear" w:color="auto" w:fill="auto"/>
            <w:noWrap/>
            <w:vAlign w:val="bottom"/>
            <w:hideMark/>
          </w:tcPr>
          <w:p w14:paraId="1E12AB9F"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-0.13 [-0.</w:t>
            </w:r>
            <w:proofErr w:type="gramStart"/>
            <w:r w:rsidRPr="008A5C48">
              <w:rPr>
                <w:rFonts w:ascii="Times New Roman" w:eastAsia="Times New Roman" w:hAnsi="Times New Roman" w:cs="Times New Roman"/>
                <w:color w:val="000000"/>
                <w:sz w:val="20"/>
                <w:szCs w:val="20"/>
                <w:lang w:val="fr-FR"/>
              </w:rPr>
              <w:t>23;</w:t>
            </w:r>
            <w:proofErr w:type="gramEnd"/>
            <w:r w:rsidRPr="008A5C48">
              <w:rPr>
                <w:rFonts w:ascii="Times New Roman" w:eastAsia="Times New Roman" w:hAnsi="Times New Roman" w:cs="Times New Roman"/>
                <w:color w:val="000000"/>
                <w:sz w:val="20"/>
                <w:szCs w:val="20"/>
                <w:lang w:val="fr-FR"/>
              </w:rPr>
              <w:t xml:space="preserve"> -0.03]</w:t>
            </w:r>
          </w:p>
        </w:tc>
        <w:tc>
          <w:tcPr>
            <w:tcW w:w="847" w:type="dxa"/>
            <w:tcBorders>
              <w:top w:val="nil"/>
              <w:left w:val="nil"/>
              <w:bottom w:val="nil"/>
              <w:right w:val="nil"/>
            </w:tcBorders>
            <w:shd w:val="clear" w:color="auto" w:fill="auto"/>
            <w:noWrap/>
            <w:vAlign w:val="bottom"/>
            <w:hideMark/>
          </w:tcPr>
          <w:p w14:paraId="4D4EAA95"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w:t>
            </w:r>
          </w:p>
        </w:tc>
        <w:tc>
          <w:tcPr>
            <w:tcW w:w="1559" w:type="dxa"/>
            <w:tcBorders>
              <w:top w:val="nil"/>
              <w:left w:val="nil"/>
              <w:bottom w:val="nil"/>
              <w:right w:val="nil"/>
            </w:tcBorders>
            <w:shd w:val="clear" w:color="auto" w:fill="auto"/>
            <w:noWrap/>
            <w:vAlign w:val="bottom"/>
            <w:hideMark/>
          </w:tcPr>
          <w:p w14:paraId="5DF2FC54"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0,24</w:t>
            </w:r>
          </w:p>
        </w:tc>
      </w:tr>
      <w:tr w:rsidR="00EF2FC1" w:rsidRPr="008A5C48" w14:paraId="5BBDDC73" w14:textId="77777777" w:rsidTr="00467E77">
        <w:trPr>
          <w:trHeight w:val="288"/>
        </w:trPr>
        <w:tc>
          <w:tcPr>
            <w:tcW w:w="2624" w:type="dxa"/>
            <w:tcBorders>
              <w:top w:val="nil"/>
              <w:left w:val="nil"/>
              <w:bottom w:val="nil"/>
              <w:right w:val="nil"/>
            </w:tcBorders>
            <w:vAlign w:val="bottom"/>
          </w:tcPr>
          <w:p w14:paraId="6A274E8D"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Meat (medium)</w:t>
            </w:r>
          </w:p>
        </w:tc>
        <w:tc>
          <w:tcPr>
            <w:tcW w:w="1916" w:type="dxa"/>
            <w:tcBorders>
              <w:top w:val="nil"/>
              <w:left w:val="nil"/>
              <w:bottom w:val="nil"/>
              <w:right w:val="nil"/>
            </w:tcBorders>
            <w:shd w:val="clear" w:color="auto" w:fill="auto"/>
            <w:noWrap/>
            <w:vAlign w:val="bottom"/>
            <w:hideMark/>
          </w:tcPr>
          <w:p w14:paraId="00FD5CE8"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0.00 [-0.</w:t>
            </w:r>
            <w:proofErr w:type="gramStart"/>
            <w:r w:rsidRPr="008A5C48">
              <w:rPr>
                <w:rFonts w:ascii="Times New Roman" w:eastAsia="Times New Roman" w:hAnsi="Times New Roman" w:cs="Times New Roman"/>
                <w:color w:val="000000"/>
                <w:sz w:val="20"/>
                <w:szCs w:val="20"/>
                <w:lang w:val="fr-FR"/>
              </w:rPr>
              <w:t>11;</w:t>
            </w:r>
            <w:proofErr w:type="gramEnd"/>
            <w:r w:rsidRPr="008A5C48">
              <w:rPr>
                <w:rFonts w:ascii="Times New Roman" w:eastAsia="Times New Roman" w:hAnsi="Times New Roman" w:cs="Times New Roman"/>
                <w:color w:val="000000"/>
                <w:sz w:val="20"/>
                <w:szCs w:val="20"/>
                <w:lang w:val="fr-FR"/>
              </w:rPr>
              <w:t xml:space="preserve"> 0.11]</w:t>
            </w:r>
          </w:p>
        </w:tc>
        <w:tc>
          <w:tcPr>
            <w:tcW w:w="847" w:type="dxa"/>
            <w:tcBorders>
              <w:top w:val="nil"/>
              <w:left w:val="nil"/>
              <w:bottom w:val="nil"/>
              <w:right w:val="nil"/>
            </w:tcBorders>
            <w:shd w:val="clear" w:color="auto" w:fill="auto"/>
            <w:noWrap/>
            <w:vAlign w:val="bottom"/>
            <w:hideMark/>
          </w:tcPr>
          <w:p w14:paraId="12E1D00E"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0,98</w:t>
            </w:r>
          </w:p>
        </w:tc>
        <w:tc>
          <w:tcPr>
            <w:tcW w:w="1559" w:type="dxa"/>
            <w:tcBorders>
              <w:top w:val="nil"/>
              <w:left w:val="nil"/>
              <w:bottom w:val="nil"/>
              <w:right w:val="nil"/>
            </w:tcBorders>
            <w:shd w:val="clear" w:color="auto" w:fill="auto"/>
            <w:noWrap/>
            <w:vAlign w:val="bottom"/>
            <w:hideMark/>
          </w:tcPr>
          <w:p w14:paraId="7BF75D29"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5E479D5E" w14:textId="77777777" w:rsidTr="00467E77">
        <w:trPr>
          <w:trHeight w:val="288"/>
        </w:trPr>
        <w:tc>
          <w:tcPr>
            <w:tcW w:w="2624" w:type="dxa"/>
            <w:tcBorders>
              <w:top w:val="nil"/>
              <w:left w:val="nil"/>
              <w:bottom w:val="nil"/>
              <w:right w:val="nil"/>
            </w:tcBorders>
            <w:vAlign w:val="bottom"/>
          </w:tcPr>
          <w:p w14:paraId="1DBF1540"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Meat (high)</w:t>
            </w:r>
          </w:p>
        </w:tc>
        <w:tc>
          <w:tcPr>
            <w:tcW w:w="1916" w:type="dxa"/>
            <w:tcBorders>
              <w:top w:val="nil"/>
              <w:left w:val="nil"/>
              <w:bottom w:val="nil"/>
              <w:right w:val="nil"/>
            </w:tcBorders>
            <w:shd w:val="clear" w:color="auto" w:fill="auto"/>
            <w:noWrap/>
            <w:vAlign w:val="bottom"/>
            <w:hideMark/>
          </w:tcPr>
          <w:p w14:paraId="469EFA30"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-0.04 [-0.</w:t>
            </w:r>
            <w:proofErr w:type="gramStart"/>
            <w:r w:rsidRPr="008A5C48">
              <w:rPr>
                <w:rFonts w:ascii="Times New Roman" w:eastAsia="Times New Roman" w:hAnsi="Times New Roman" w:cs="Times New Roman"/>
                <w:color w:val="000000"/>
                <w:sz w:val="20"/>
                <w:szCs w:val="20"/>
                <w:lang w:val="fr-FR"/>
              </w:rPr>
              <w:t>14;</w:t>
            </w:r>
            <w:proofErr w:type="gramEnd"/>
            <w:r w:rsidRPr="008A5C48">
              <w:rPr>
                <w:rFonts w:ascii="Times New Roman" w:eastAsia="Times New Roman" w:hAnsi="Times New Roman" w:cs="Times New Roman"/>
                <w:color w:val="000000"/>
                <w:sz w:val="20"/>
                <w:szCs w:val="20"/>
                <w:lang w:val="fr-FR"/>
              </w:rPr>
              <w:t xml:space="preserve"> 0.07]</w:t>
            </w:r>
          </w:p>
        </w:tc>
        <w:tc>
          <w:tcPr>
            <w:tcW w:w="847" w:type="dxa"/>
            <w:tcBorders>
              <w:top w:val="nil"/>
              <w:left w:val="nil"/>
              <w:bottom w:val="nil"/>
              <w:right w:val="nil"/>
            </w:tcBorders>
            <w:shd w:val="clear" w:color="auto" w:fill="auto"/>
            <w:noWrap/>
            <w:vAlign w:val="bottom"/>
            <w:hideMark/>
          </w:tcPr>
          <w:p w14:paraId="5BF0D748"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0,51</w:t>
            </w:r>
          </w:p>
        </w:tc>
        <w:tc>
          <w:tcPr>
            <w:tcW w:w="1559" w:type="dxa"/>
            <w:tcBorders>
              <w:top w:val="nil"/>
              <w:left w:val="nil"/>
              <w:bottom w:val="nil"/>
              <w:right w:val="nil"/>
            </w:tcBorders>
            <w:shd w:val="clear" w:color="auto" w:fill="auto"/>
            <w:noWrap/>
            <w:vAlign w:val="bottom"/>
            <w:hideMark/>
          </w:tcPr>
          <w:p w14:paraId="417FC8D0"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34DE7D25" w14:textId="77777777" w:rsidTr="00467E77">
        <w:trPr>
          <w:trHeight w:val="288"/>
        </w:trPr>
        <w:tc>
          <w:tcPr>
            <w:tcW w:w="2624" w:type="dxa"/>
            <w:tcBorders>
              <w:top w:val="nil"/>
              <w:left w:val="nil"/>
              <w:bottom w:val="nil"/>
              <w:right w:val="nil"/>
            </w:tcBorders>
            <w:vAlign w:val="bottom"/>
          </w:tcPr>
          <w:p w14:paraId="7C6CF5C3"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Fish (medium)</w:t>
            </w:r>
          </w:p>
        </w:tc>
        <w:tc>
          <w:tcPr>
            <w:tcW w:w="1916" w:type="dxa"/>
            <w:tcBorders>
              <w:top w:val="nil"/>
              <w:left w:val="nil"/>
              <w:bottom w:val="nil"/>
              <w:right w:val="nil"/>
            </w:tcBorders>
            <w:shd w:val="clear" w:color="auto" w:fill="auto"/>
            <w:noWrap/>
            <w:vAlign w:val="bottom"/>
            <w:hideMark/>
          </w:tcPr>
          <w:p w14:paraId="7B1D3924"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12;</w:t>
            </w:r>
            <w:proofErr w:type="gramEnd"/>
            <w:r w:rsidRPr="008A5C48">
              <w:rPr>
                <w:rFonts w:ascii="Times New Roman" w:eastAsia="Times New Roman" w:hAnsi="Times New Roman" w:cs="Times New Roman"/>
                <w:color w:val="000000"/>
                <w:sz w:val="20"/>
                <w:szCs w:val="20"/>
                <w:lang w:val="fr-FR"/>
              </w:rPr>
              <w:t xml:space="preserve"> 0.1]</w:t>
            </w:r>
          </w:p>
        </w:tc>
        <w:tc>
          <w:tcPr>
            <w:tcW w:w="847" w:type="dxa"/>
            <w:tcBorders>
              <w:top w:val="nil"/>
              <w:left w:val="nil"/>
              <w:bottom w:val="nil"/>
              <w:right w:val="nil"/>
            </w:tcBorders>
            <w:shd w:val="clear" w:color="auto" w:fill="auto"/>
            <w:noWrap/>
            <w:vAlign w:val="bottom"/>
            <w:hideMark/>
          </w:tcPr>
          <w:p w14:paraId="2B260B4C"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0,87</w:t>
            </w:r>
          </w:p>
        </w:tc>
        <w:tc>
          <w:tcPr>
            <w:tcW w:w="1559" w:type="dxa"/>
            <w:tcBorders>
              <w:top w:val="nil"/>
              <w:left w:val="nil"/>
              <w:bottom w:val="nil"/>
              <w:right w:val="nil"/>
            </w:tcBorders>
            <w:shd w:val="clear" w:color="auto" w:fill="auto"/>
            <w:noWrap/>
            <w:vAlign w:val="bottom"/>
            <w:hideMark/>
          </w:tcPr>
          <w:p w14:paraId="6D8C27C4"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3643E396" w14:textId="77777777" w:rsidTr="00467E77">
        <w:trPr>
          <w:trHeight w:val="288"/>
        </w:trPr>
        <w:tc>
          <w:tcPr>
            <w:tcW w:w="2624" w:type="dxa"/>
            <w:tcBorders>
              <w:top w:val="nil"/>
              <w:left w:val="nil"/>
              <w:bottom w:val="nil"/>
              <w:right w:val="nil"/>
            </w:tcBorders>
            <w:vAlign w:val="bottom"/>
          </w:tcPr>
          <w:p w14:paraId="5673C07E"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Fish (high)</w:t>
            </w:r>
          </w:p>
        </w:tc>
        <w:tc>
          <w:tcPr>
            <w:tcW w:w="1916" w:type="dxa"/>
            <w:tcBorders>
              <w:top w:val="nil"/>
              <w:left w:val="nil"/>
              <w:bottom w:val="nil"/>
              <w:right w:val="nil"/>
            </w:tcBorders>
            <w:shd w:val="clear" w:color="auto" w:fill="auto"/>
            <w:noWrap/>
            <w:vAlign w:val="bottom"/>
            <w:hideMark/>
          </w:tcPr>
          <w:p w14:paraId="31AC89A0"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13;</w:t>
            </w:r>
            <w:proofErr w:type="gramEnd"/>
            <w:r w:rsidRPr="008A5C48">
              <w:rPr>
                <w:rFonts w:ascii="Times New Roman" w:eastAsia="Times New Roman" w:hAnsi="Times New Roman" w:cs="Times New Roman"/>
                <w:color w:val="000000"/>
                <w:sz w:val="20"/>
                <w:szCs w:val="20"/>
                <w:lang w:val="fr-FR"/>
              </w:rPr>
              <w:t xml:space="preserve"> 0.11]</w:t>
            </w:r>
          </w:p>
        </w:tc>
        <w:tc>
          <w:tcPr>
            <w:tcW w:w="847" w:type="dxa"/>
            <w:tcBorders>
              <w:top w:val="nil"/>
              <w:left w:val="nil"/>
              <w:bottom w:val="nil"/>
              <w:right w:val="nil"/>
            </w:tcBorders>
            <w:shd w:val="clear" w:color="auto" w:fill="auto"/>
            <w:noWrap/>
            <w:vAlign w:val="bottom"/>
            <w:hideMark/>
          </w:tcPr>
          <w:p w14:paraId="43288F86"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0,87</w:t>
            </w:r>
          </w:p>
        </w:tc>
        <w:tc>
          <w:tcPr>
            <w:tcW w:w="1559" w:type="dxa"/>
            <w:tcBorders>
              <w:top w:val="nil"/>
              <w:left w:val="nil"/>
              <w:bottom w:val="nil"/>
              <w:right w:val="nil"/>
            </w:tcBorders>
            <w:shd w:val="clear" w:color="auto" w:fill="auto"/>
            <w:noWrap/>
            <w:vAlign w:val="bottom"/>
            <w:hideMark/>
          </w:tcPr>
          <w:p w14:paraId="0616DDB4"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7C41D65A" w14:textId="77777777" w:rsidTr="00467E77">
        <w:trPr>
          <w:trHeight w:val="288"/>
        </w:trPr>
        <w:tc>
          <w:tcPr>
            <w:tcW w:w="2624" w:type="dxa"/>
            <w:tcBorders>
              <w:top w:val="nil"/>
              <w:left w:val="nil"/>
              <w:bottom w:val="nil"/>
              <w:right w:val="nil"/>
            </w:tcBorders>
            <w:vAlign w:val="bottom"/>
          </w:tcPr>
          <w:p w14:paraId="657EB6E0"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Cereal (medium)</w:t>
            </w:r>
          </w:p>
        </w:tc>
        <w:tc>
          <w:tcPr>
            <w:tcW w:w="1916" w:type="dxa"/>
            <w:tcBorders>
              <w:top w:val="nil"/>
              <w:left w:val="nil"/>
              <w:bottom w:val="nil"/>
              <w:right w:val="nil"/>
            </w:tcBorders>
            <w:shd w:val="clear" w:color="auto" w:fill="auto"/>
            <w:noWrap/>
            <w:vAlign w:val="bottom"/>
            <w:hideMark/>
          </w:tcPr>
          <w:p w14:paraId="493A90DB"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14;</w:t>
            </w:r>
            <w:proofErr w:type="gramEnd"/>
            <w:r w:rsidRPr="008A5C48">
              <w:rPr>
                <w:rFonts w:ascii="Times New Roman" w:eastAsia="Times New Roman" w:hAnsi="Times New Roman" w:cs="Times New Roman"/>
                <w:color w:val="000000"/>
                <w:sz w:val="20"/>
                <w:szCs w:val="20"/>
                <w:lang w:val="fr-FR"/>
              </w:rPr>
              <w:t xml:space="preserve"> 0.12]</w:t>
            </w:r>
          </w:p>
        </w:tc>
        <w:tc>
          <w:tcPr>
            <w:tcW w:w="847" w:type="dxa"/>
            <w:tcBorders>
              <w:top w:val="nil"/>
              <w:left w:val="nil"/>
              <w:bottom w:val="nil"/>
              <w:right w:val="nil"/>
            </w:tcBorders>
            <w:shd w:val="clear" w:color="auto" w:fill="auto"/>
            <w:noWrap/>
            <w:vAlign w:val="bottom"/>
            <w:hideMark/>
          </w:tcPr>
          <w:p w14:paraId="66D40776"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0,88</w:t>
            </w:r>
          </w:p>
        </w:tc>
        <w:tc>
          <w:tcPr>
            <w:tcW w:w="1559" w:type="dxa"/>
            <w:tcBorders>
              <w:top w:val="nil"/>
              <w:left w:val="nil"/>
              <w:bottom w:val="nil"/>
              <w:right w:val="nil"/>
            </w:tcBorders>
            <w:shd w:val="clear" w:color="auto" w:fill="auto"/>
            <w:noWrap/>
            <w:vAlign w:val="bottom"/>
            <w:hideMark/>
          </w:tcPr>
          <w:p w14:paraId="6F2F14E7"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02520656" w14:textId="77777777" w:rsidTr="00467E77">
        <w:trPr>
          <w:trHeight w:val="288"/>
        </w:trPr>
        <w:tc>
          <w:tcPr>
            <w:tcW w:w="2624" w:type="dxa"/>
            <w:tcBorders>
              <w:top w:val="nil"/>
              <w:left w:val="nil"/>
              <w:bottom w:val="nil"/>
              <w:right w:val="nil"/>
            </w:tcBorders>
            <w:vAlign w:val="bottom"/>
          </w:tcPr>
          <w:p w14:paraId="04C94564"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Cereal (high)</w:t>
            </w:r>
          </w:p>
        </w:tc>
        <w:tc>
          <w:tcPr>
            <w:tcW w:w="1916" w:type="dxa"/>
            <w:tcBorders>
              <w:top w:val="nil"/>
              <w:left w:val="nil"/>
              <w:bottom w:val="nil"/>
              <w:right w:val="nil"/>
            </w:tcBorders>
            <w:shd w:val="clear" w:color="auto" w:fill="auto"/>
            <w:noWrap/>
            <w:vAlign w:val="bottom"/>
            <w:hideMark/>
          </w:tcPr>
          <w:p w14:paraId="3877C932"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-0.03 [-0.</w:t>
            </w:r>
            <w:proofErr w:type="gramStart"/>
            <w:r w:rsidRPr="008A5C48">
              <w:rPr>
                <w:rFonts w:ascii="Times New Roman" w:eastAsia="Times New Roman" w:hAnsi="Times New Roman" w:cs="Times New Roman"/>
                <w:color w:val="000000"/>
                <w:sz w:val="20"/>
                <w:szCs w:val="20"/>
                <w:lang w:val="fr-FR"/>
              </w:rPr>
              <w:t>19;</w:t>
            </w:r>
            <w:proofErr w:type="gramEnd"/>
            <w:r w:rsidRPr="008A5C48">
              <w:rPr>
                <w:rFonts w:ascii="Times New Roman" w:eastAsia="Times New Roman" w:hAnsi="Times New Roman" w:cs="Times New Roman"/>
                <w:color w:val="000000"/>
                <w:sz w:val="20"/>
                <w:szCs w:val="20"/>
                <w:lang w:val="fr-FR"/>
              </w:rPr>
              <w:t xml:space="preserve"> 0.13]</w:t>
            </w:r>
          </w:p>
        </w:tc>
        <w:tc>
          <w:tcPr>
            <w:tcW w:w="847" w:type="dxa"/>
            <w:tcBorders>
              <w:top w:val="nil"/>
              <w:left w:val="nil"/>
              <w:bottom w:val="nil"/>
              <w:right w:val="nil"/>
            </w:tcBorders>
            <w:shd w:val="clear" w:color="auto" w:fill="auto"/>
            <w:noWrap/>
            <w:vAlign w:val="bottom"/>
            <w:hideMark/>
          </w:tcPr>
          <w:p w14:paraId="666E6205"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0,69</w:t>
            </w:r>
          </w:p>
        </w:tc>
        <w:tc>
          <w:tcPr>
            <w:tcW w:w="1559" w:type="dxa"/>
            <w:tcBorders>
              <w:top w:val="nil"/>
              <w:left w:val="nil"/>
              <w:bottom w:val="nil"/>
              <w:right w:val="nil"/>
            </w:tcBorders>
            <w:shd w:val="clear" w:color="auto" w:fill="auto"/>
            <w:noWrap/>
            <w:vAlign w:val="bottom"/>
            <w:hideMark/>
          </w:tcPr>
          <w:p w14:paraId="33B3585F"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5CBC5BC5" w14:textId="77777777" w:rsidTr="00467E77">
        <w:trPr>
          <w:trHeight w:val="288"/>
        </w:trPr>
        <w:tc>
          <w:tcPr>
            <w:tcW w:w="2624" w:type="dxa"/>
            <w:tcBorders>
              <w:top w:val="nil"/>
              <w:left w:val="nil"/>
              <w:bottom w:val="nil"/>
              <w:right w:val="nil"/>
            </w:tcBorders>
            <w:vAlign w:val="bottom"/>
          </w:tcPr>
          <w:p w14:paraId="1FC9D235"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House crowding</w:t>
            </w:r>
          </w:p>
        </w:tc>
        <w:tc>
          <w:tcPr>
            <w:tcW w:w="1916" w:type="dxa"/>
            <w:tcBorders>
              <w:top w:val="nil"/>
              <w:left w:val="nil"/>
              <w:bottom w:val="nil"/>
              <w:right w:val="nil"/>
            </w:tcBorders>
            <w:shd w:val="clear" w:color="auto" w:fill="auto"/>
            <w:noWrap/>
            <w:vAlign w:val="bottom"/>
            <w:hideMark/>
          </w:tcPr>
          <w:p w14:paraId="1C92013E"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0.00 [-0.</w:t>
            </w:r>
            <w:proofErr w:type="gramStart"/>
            <w:r w:rsidRPr="008A5C48">
              <w:rPr>
                <w:rFonts w:ascii="Times New Roman" w:eastAsia="Times New Roman" w:hAnsi="Times New Roman" w:cs="Times New Roman"/>
                <w:color w:val="000000"/>
                <w:sz w:val="20"/>
                <w:szCs w:val="20"/>
                <w:lang w:val="fr-FR"/>
              </w:rPr>
              <w:t>04;</w:t>
            </w:r>
            <w:proofErr w:type="gramEnd"/>
            <w:r w:rsidRPr="008A5C48">
              <w:rPr>
                <w:rFonts w:ascii="Times New Roman" w:eastAsia="Times New Roman" w:hAnsi="Times New Roman" w:cs="Times New Roman"/>
                <w:color w:val="000000"/>
                <w:sz w:val="20"/>
                <w:szCs w:val="20"/>
                <w:lang w:val="fr-FR"/>
              </w:rPr>
              <w:t xml:space="preserve"> 0.03]</w:t>
            </w:r>
          </w:p>
        </w:tc>
        <w:tc>
          <w:tcPr>
            <w:tcW w:w="847" w:type="dxa"/>
            <w:tcBorders>
              <w:top w:val="nil"/>
              <w:left w:val="nil"/>
              <w:bottom w:val="nil"/>
              <w:right w:val="nil"/>
            </w:tcBorders>
            <w:shd w:val="clear" w:color="auto" w:fill="auto"/>
            <w:noWrap/>
            <w:vAlign w:val="bottom"/>
            <w:hideMark/>
          </w:tcPr>
          <w:p w14:paraId="284664AB"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0,88</w:t>
            </w:r>
          </w:p>
        </w:tc>
        <w:tc>
          <w:tcPr>
            <w:tcW w:w="1559" w:type="dxa"/>
            <w:tcBorders>
              <w:top w:val="nil"/>
              <w:left w:val="nil"/>
              <w:bottom w:val="nil"/>
              <w:right w:val="nil"/>
            </w:tcBorders>
            <w:shd w:val="clear" w:color="auto" w:fill="auto"/>
            <w:noWrap/>
            <w:vAlign w:val="bottom"/>
            <w:hideMark/>
          </w:tcPr>
          <w:p w14:paraId="2F90AFFD"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30B0C77D" w14:textId="77777777" w:rsidTr="00467E77">
        <w:trPr>
          <w:trHeight w:val="288"/>
        </w:trPr>
        <w:tc>
          <w:tcPr>
            <w:tcW w:w="2624" w:type="dxa"/>
            <w:tcBorders>
              <w:top w:val="nil"/>
              <w:left w:val="nil"/>
              <w:bottom w:val="nil"/>
              <w:right w:val="nil"/>
            </w:tcBorders>
            <w:vAlign w:val="bottom"/>
          </w:tcPr>
          <w:p w14:paraId="41196CC2"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NO2</w:t>
            </w:r>
          </w:p>
        </w:tc>
        <w:tc>
          <w:tcPr>
            <w:tcW w:w="1916" w:type="dxa"/>
            <w:tcBorders>
              <w:top w:val="nil"/>
              <w:left w:val="nil"/>
              <w:bottom w:val="nil"/>
              <w:right w:val="nil"/>
            </w:tcBorders>
            <w:shd w:val="clear" w:color="auto" w:fill="auto"/>
            <w:noWrap/>
            <w:vAlign w:val="bottom"/>
            <w:hideMark/>
          </w:tcPr>
          <w:p w14:paraId="076E204D"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0.05 [-0.</w:t>
            </w:r>
            <w:proofErr w:type="gramStart"/>
            <w:r w:rsidRPr="008A5C48">
              <w:rPr>
                <w:rFonts w:ascii="Times New Roman" w:eastAsia="Times New Roman" w:hAnsi="Times New Roman" w:cs="Times New Roman"/>
                <w:color w:val="000000"/>
                <w:sz w:val="20"/>
                <w:szCs w:val="20"/>
                <w:lang w:val="fr-FR"/>
              </w:rPr>
              <w:t>03;</w:t>
            </w:r>
            <w:proofErr w:type="gramEnd"/>
            <w:r w:rsidRPr="008A5C48">
              <w:rPr>
                <w:rFonts w:ascii="Times New Roman" w:eastAsia="Times New Roman" w:hAnsi="Times New Roman" w:cs="Times New Roman"/>
                <w:color w:val="000000"/>
                <w:sz w:val="20"/>
                <w:szCs w:val="20"/>
                <w:lang w:val="fr-FR"/>
              </w:rPr>
              <w:t xml:space="preserve"> 0.13]</w:t>
            </w:r>
          </w:p>
        </w:tc>
        <w:tc>
          <w:tcPr>
            <w:tcW w:w="847" w:type="dxa"/>
            <w:tcBorders>
              <w:top w:val="nil"/>
              <w:left w:val="nil"/>
              <w:bottom w:val="nil"/>
              <w:right w:val="nil"/>
            </w:tcBorders>
            <w:shd w:val="clear" w:color="auto" w:fill="auto"/>
            <w:noWrap/>
            <w:vAlign w:val="bottom"/>
            <w:hideMark/>
          </w:tcPr>
          <w:p w14:paraId="26D9EAF0"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0,22</w:t>
            </w:r>
          </w:p>
        </w:tc>
        <w:tc>
          <w:tcPr>
            <w:tcW w:w="1559" w:type="dxa"/>
            <w:tcBorders>
              <w:top w:val="nil"/>
              <w:left w:val="nil"/>
              <w:bottom w:val="nil"/>
              <w:right w:val="nil"/>
            </w:tcBorders>
            <w:shd w:val="clear" w:color="auto" w:fill="auto"/>
            <w:noWrap/>
            <w:vAlign w:val="bottom"/>
            <w:hideMark/>
          </w:tcPr>
          <w:p w14:paraId="1116BF2C"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30AB6B13" w14:textId="77777777" w:rsidTr="00467E77">
        <w:trPr>
          <w:trHeight w:val="288"/>
        </w:trPr>
        <w:tc>
          <w:tcPr>
            <w:tcW w:w="2624" w:type="dxa"/>
            <w:tcBorders>
              <w:top w:val="nil"/>
              <w:left w:val="nil"/>
              <w:bottom w:val="nil"/>
              <w:right w:val="nil"/>
            </w:tcBorders>
            <w:vAlign w:val="bottom"/>
          </w:tcPr>
          <w:p w14:paraId="08E1CB59"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PM10</w:t>
            </w:r>
          </w:p>
        </w:tc>
        <w:tc>
          <w:tcPr>
            <w:tcW w:w="1916" w:type="dxa"/>
            <w:tcBorders>
              <w:top w:val="nil"/>
              <w:left w:val="nil"/>
              <w:bottom w:val="nil"/>
              <w:right w:val="nil"/>
            </w:tcBorders>
            <w:shd w:val="clear" w:color="auto" w:fill="auto"/>
            <w:noWrap/>
            <w:vAlign w:val="bottom"/>
            <w:hideMark/>
          </w:tcPr>
          <w:p w14:paraId="5942CD01"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0.11 [-0.</w:t>
            </w:r>
            <w:proofErr w:type="gramStart"/>
            <w:r w:rsidRPr="008A5C48">
              <w:rPr>
                <w:rFonts w:ascii="Times New Roman" w:eastAsia="Times New Roman" w:hAnsi="Times New Roman" w:cs="Times New Roman"/>
                <w:color w:val="000000"/>
                <w:sz w:val="20"/>
                <w:szCs w:val="20"/>
                <w:lang w:val="fr-FR"/>
              </w:rPr>
              <w:t>03;</w:t>
            </w:r>
            <w:proofErr w:type="gramEnd"/>
            <w:r w:rsidRPr="008A5C48">
              <w:rPr>
                <w:rFonts w:ascii="Times New Roman" w:eastAsia="Times New Roman" w:hAnsi="Times New Roman" w:cs="Times New Roman"/>
                <w:color w:val="000000"/>
                <w:sz w:val="20"/>
                <w:szCs w:val="20"/>
                <w:lang w:val="fr-FR"/>
              </w:rPr>
              <w:t xml:space="preserve"> 0.25]</w:t>
            </w:r>
          </w:p>
        </w:tc>
        <w:tc>
          <w:tcPr>
            <w:tcW w:w="847" w:type="dxa"/>
            <w:tcBorders>
              <w:top w:val="nil"/>
              <w:left w:val="nil"/>
              <w:bottom w:val="nil"/>
              <w:right w:val="nil"/>
            </w:tcBorders>
            <w:shd w:val="clear" w:color="auto" w:fill="auto"/>
            <w:noWrap/>
            <w:vAlign w:val="bottom"/>
            <w:hideMark/>
          </w:tcPr>
          <w:p w14:paraId="72BF77A0"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0,11</w:t>
            </w:r>
          </w:p>
        </w:tc>
        <w:tc>
          <w:tcPr>
            <w:tcW w:w="1559" w:type="dxa"/>
            <w:tcBorders>
              <w:top w:val="nil"/>
              <w:left w:val="nil"/>
              <w:bottom w:val="nil"/>
              <w:right w:val="nil"/>
            </w:tcBorders>
            <w:shd w:val="clear" w:color="auto" w:fill="auto"/>
            <w:noWrap/>
            <w:vAlign w:val="bottom"/>
            <w:hideMark/>
          </w:tcPr>
          <w:p w14:paraId="365D3447"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68293E31" w14:textId="77777777" w:rsidTr="00467E77">
        <w:trPr>
          <w:trHeight w:val="288"/>
        </w:trPr>
        <w:tc>
          <w:tcPr>
            <w:tcW w:w="2624" w:type="dxa"/>
            <w:tcBorders>
              <w:top w:val="nil"/>
              <w:left w:val="nil"/>
              <w:bottom w:val="nil"/>
              <w:right w:val="nil"/>
            </w:tcBorders>
            <w:vAlign w:val="bottom"/>
          </w:tcPr>
          <w:p w14:paraId="3B37853B"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PM25</w:t>
            </w:r>
          </w:p>
        </w:tc>
        <w:tc>
          <w:tcPr>
            <w:tcW w:w="1916" w:type="dxa"/>
            <w:tcBorders>
              <w:top w:val="nil"/>
              <w:left w:val="nil"/>
              <w:bottom w:val="nil"/>
              <w:right w:val="nil"/>
            </w:tcBorders>
            <w:shd w:val="clear" w:color="auto" w:fill="auto"/>
            <w:noWrap/>
            <w:vAlign w:val="bottom"/>
            <w:hideMark/>
          </w:tcPr>
          <w:p w14:paraId="5BFEED4B"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0.03 [-0.</w:t>
            </w:r>
            <w:proofErr w:type="gramStart"/>
            <w:r w:rsidRPr="008A5C48">
              <w:rPr>
                <w:rFonts w:ascii="Times New Roman" w:eastAsia="Times New Roman" w:hAnsi="Times New Roman" w:cs="Times New Roman"/>
                <w:color w:val="000000"/>
                <w:sz w:val="20"/>
                <w:szCs w:val="20"/>
                <w:lang w:val="fr-FR"/>
              </w:rPr>
              <w:t>05;</w:t>
            </w:r>
            <w:proofErr w:type="gramEnd"/>
            <w:r w:rsidRPr="008A5C48">
              <w:rPr>
                <w:rFonts w:ascii="Times New Roman" w:eastAsia="Times New Roman" w:hAnsi="Times New Roman" w:cs="Times New Roman"/>
                <w:color w:val="000000"/>
                <w:sz w:val="20"/>
                <w:szCs w:val="20"/>
                <w:lang w:val="fr-FR"/>
              </w:rPr>
              <w:t xml:space="preserve"> 0.12]</w:t>
            </w:r>
          </w:p>
        </w:tc>
        <w:tc>
          <w:tcPr>
            <w:tcW w:w="847" w:type="dxa"/>
            <w:tcBorders>
              <w:top w:val="nil"/>
              <w:left w:val="nil"/>
              <w:bottom w:val="nil"/>
              <w:right w:val="nil"/>
            </w:tcBorders>
            <w:shd w:val="clear" w:color="auto" w:fill="auto"/>
            <w:noWrap/>
            <w:vAlign w:val="bottom"/>
            <w:hideMark/>
          </w:tcPr>
          <w:p w14:paraId="5DE22D50"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0,41</w:t>
            </w:r>
          </w:p>
        </w:tc>
        <w:tc>
          <w:tcPr>
            <w:tcW w:w="1559" w:type="dxa"/>
            <w:tcBorders>
              <w:top w:val="nil"/>
              <w:left w:val="nil"/>
              <w:bottom w:val="nil"/>
              <w:right w:val="nil"/>
            </w:tcBorders>
            <w:shd w:val="clear" w:color="auto" w:fill="auto"/>
            <w:noWrap/>
            <w:vAlign w:val="bottom"/>
            <w:hideMark/>
          </w:tcPr>
          <w:p w14:paraId="48F13273"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1213CAEE" w14:textId="77777777" w:rsidTr="00467E77">
        <w:trPr>
          <w:trHeight w:val="288"/>
        </w:trPr>
        <w:tc>
          <w:tcPr>
            <w:tcW w:w="2624" w:type="dxa"/>
            <w:tcBorders>
              <w:top w:val="nil"/>
              <w:left w:val="nil"/>
              <w:bottom w:val="nil"/>
              <w:right w:val="nil"/>
            </w:tcBorders>
            <w:vAlign w:val="bottom"/>
          </w:tcPr>
          <w:p w14:paraId="1143C488"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PM25abs</w:t>
            </w:r>
          </w:p>
        </w:tc>
        <w:tc>
          <w:tcPr>
            <w:tcW w:w="1916" w:type="dxa"/>
            <w:tcBorders>
              <w:top w:val="nil"/>
              <w:left w:val="nil"/>
              <w:bottom w:val="nil"/>
              <w:right w:val="nil"/>
            </w:tcBorders>
            <w:shd w:val="clear" w:color="auto" w:fill="auto"/>
            <w:noWrap/>
            <w:vAlign w:val="bottom"/>
            <w:hideMark/>
          </w:tcPr>
          <w:p w14:paraId="6FD74A01"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0.05 [-0.</w:t>
            </w:r>
            <w:proofErr w:type="gramStart"/>
            <w:r w:rsidRPr="008A5C48">
              <w:rPr>
                <w:rFonts w:ascii="Times New Roman" w:eastAsia="Times New Roman" w:hAnsi="Times New Roman" w:cs="Times New Roman"/>
                <w:color w:val="000000"/>
                <w:sz w:val="20"/>
                <w:szCs w:val="20"/>
                <w:lang w:val="fr-FR"/>
              </w:rPr>
              <w:t>07;</w:t>
            </w:r>
            <w:proofErr w:type="gramEnd"/>
            <w:r w:rsidRPr="008A5C48">
              <w:rPr>
                <w:rFonts w:ascii="Times New Roman" w:eastAsia="Times New Roman" w:hAnsi="Times New Roman" w:cs="Times New Roman"/>
                <w:color w:val="000000"/>
                <w:sz w:val="20"/>
                <w:szCs w:val="20"/>
                <w:lang w:val="fr-FR"/>
              </w:rPr>
              <w:t xml:space="preserve"> 0.17]</w:t>
            </w:r>
          </w:p>
        </w:tc>
        <w:tc>
          <w:tcPr>
            <w:tcW w:w="847" w:type="dxa"/>
            <w:tcBorders>
              <w:top w:val="nil"/>
              <w:left w:val="nil"/>
              <w:bottom w:val="nil"/>
              <w:right w:val="nil"/>
            </w:tcBorders>
            <w:shd w:val="clear" w:color="auto" w:fill="auto"/>
            <w:noWrap/>
            <w:vAlign w:val="bottom"/>
            <w:hideMark/>
          </w:tcPr>
          <w:p w14:paraId="313EF5D6"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0,38</w:t>
            </w:r>
          </w:p>
        </w:tc>
        <w:tc>
          <w:tcPr>
            <w:tcW w:w="1559" w:type="dxa"/>
            <w:tcBorders>
              <w:top w:val="nil"/>
              <w:left w:val="nil"/>
              <w:bottom w:val="nil"/>
              <w:right w:val="nil"/>
            </w:tcBorders>
            <w:shd w:val="clear" w:color="auto" w:fill="auto"/>
            <w:noWrap/>
            <w:vAlign w:val="bottom"/>
            <w:hideMark/>
          </w:tcPr>
          <w:p w14:paraId="5769D4C1"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070681AF" w14:textId="77777777" w:rsidTr="00467E77">
        <w:trPr>
          <w:trHeight w:val="288"/>
        </w:trPr>
        <w:tc>
          <w:tcPr>
            <w:tcW w:w="2624" w:type="dxa"/>
            <w:tcBorders>
              <w:top w:val="nil"/>
              <w:left w:val="nil"/>
              <w:bottom w:val="nil"/>
              <w:right w:val="nil"/>
            </w:tcBorders>
            <w:vAlign w:val="bottom"/>
          </w:tcPr>
          <w:p w14:paraId="1C5CC5A2"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Pressure</w:t>
            </w:r>
          </w:p>
        </w:tc>
        <w:tc>
          <w:tcPr>
            <w:tcW w:w="1916" w:type="dxa"/>
            <w:tcBorders>
              <w:top w:val="nil"/>
              <w:left w:val="nil"/>
              <w:bottom w:val="nil"/>
              <w:right w:val="nil"/>
            </w:tcBorders>
            <w:shd w:val="clear" w:color="auto" w:fill="auto"/>
            <w:noWrap/>
            <w:vAlign w:val="bottom"/>
            <w:hideMark/>
          </w:tcPr>
          <w:p w14:paraId="2E16A208"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0.04 [-0.</w:t>
            </w:r>
            <w:proofErr w:type="gramStart"/>
            <w:r w:rsidRPr="008A5C48">
              <w:rPr>
                <w:rFonts w:ascii="Times New Roman" w:eastAsia="Times New Roman" w:hAnsi="Times New Roman" w:cs="Times New Roman"/>
                <w:color w:val="000000"/>
                <w:sz w:val="20"/>
                <w:szCs w:val="20"/>
                <w:lang w:val="fr-FR"/>
              </w:rPr>
              <w:t>15;</w:t>
            </w:r>
            <w:proofErr w:type="gramEnd"/>
            <w:r w:rsidRPr="008A5C48">
              <w:rPr>
                <w:rFonts w:ascii="Times New Roman" w:eastAsia="Times New Roman" w:hAnsi="Times New Roman" w:cs="Times New Roman"/>
                <w:color w:val="000000"/>
                <w:sz w:val="20"/>
                <w:szCs w:val="20"/>
                <w:lang w:val="fr-FR"/>
              </w:rPr>
              <w:t xml:space="preserve"> 0.22]</w:t>
            </w:r>
          </w:p>
        </w:tc>
        <w:tc>
          <w:tcPr>
            <w:tcW w:w="847" w:type="dxa"/>
            <w:tcBorders>
              <w:top w:val="nil"/>
              <w:left w:val="nil"/>
              <w:bottom w:val="nil"/>
              <w:right w:val="nil"/>
            </w:tcBorders>
            <w:shd w:val="clear" w:color="auto" w:fill="auto"/>
            <w:noWrap/>
            <w:vAlign w:val="bottom"/>
            <w:hideMark/>
          </w:tcPr>
          <w:p w14:paraId="3552E001"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0,71</w:t>
            </w:r>
          </w:p>
        </w:tc>
        <w:tc>
          <w:tcPr>
            <w:tcW w:w="1559" w:type="dxa"/>
            <w:tcBorders>
              <w:top w:val="nil"/>
              <w:left w:val="nil"/>
              <w:bottom w:val="nil"/>
              <w:right w:val="nil"/>
            </w:tcBorders>
            <w:shd w:val="clear" w:color="auto" w:fill="auto"/>
            <w:noWrap/>
            <w:vAlign w:val="bottom"/>
            <w:hideMark/>
          </w:tcPr>
          <w:p w14:paraId="47684AB3"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61EF4111" w14:textId="77777777" w:rsidTr="00467E77">
        <w:trPr>
          <w:trHeight w:val="288"/>
        </w:trPr>
        <w:tc>
          <w:tcPr>
            <w:tcW w:w="2624" w:type="dxa"/>
            <w:tcBorders>
              <w:top w:val="nil"/>
              <w:left w:val="nil"/>
              <w:bottom w:val="nil"/>
              <w:right w:val="nil"/>
            </w:tcBorders>
            <w:vAlign w:val="bottom"/>
          </w:tcPr>
          <w:p w14:paraId="1FA9C315"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Temperature</w:t>
            </w:r>
          </w:p>
        </w:tc>
        <w:tc>
          <w:tcPr>
            <w:tcW w:w="1916" w:type="dxa"/>
            <w:tcBorders>
              <w:top w:val="nil"/>
              <w:left w:val="nil"/>
              <w:bottom w:val="nil"/>
              <w:right w:val="nil"/>
            </w:tcBorders>
            <w:shd w:val="clear" w:color="auto" w:fill="auto"/>
            <w:noWrap/>
            <w:vAlign w:val="bottom"/>
            <w:hideMark/>
          </w:tcPr>
          <w:p w14:paraId="4EADD26C"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-0.04 [-0.</w:t>
            </w:r>
            <w:proofErr w:type="gramStart"/>
            <w:r w:rsidRPr="008A5C48">
              <w:rPr>
                <w:rFonts w:ascii="Times New Roman" w:eastAsia="Times New Roman" w:hAnsi="Times New Roman" w:cs="Times New Roman"/>
                <w:color w:val="000000"/>
                <w:sz w:val="20"/>
                <w:szCs w:val="20"/>
                <w:lang w:val="fr-FR"/>
              </w:rPr>
              <w:t>19;</w:t>
            </w:r>
            <w:proofErr w:type="gramEnd"/>
            <w:r w:rsidRPr="008A5C48">
              <w:rPr>
                <w:rFonts w:ascii="Times New Roman" w:eastAsia="Times New Roman" w:hAnsi="Times New Roman" w:cs="Times New Roman"/>
                <w:color w:val="000000"/>
                <w:sz w:val="20"/>
                <w:szCs w:val="20"/>
                <w:lang w:val="fr-FR"/>
              </w:rPr>
              <w:t xml:space="preserve"> 0.11]</w:t>
            </w:r>
          </w:p>
        </w:tc>
        <w:tc>
          <w:tcPr>
            <w:tcW w:w="847" w:type="dxa"/>
            <w:tcBorders>
              <w:top w:val="nil"/>
              <w:left w:val="nil"/>
              <w:bottom w:val="nil"/>
              <w:right w:val="nil"/>
            </w:tcBorders>
            <w:shd w:val="clear" w:color="auto" w:fill="auto"/>
            <w:noWrap/>
            <w:vAlign w:val="bottom"/>
            <w:hideMark/>
          </w:tcPr>
          <w:p w14:paraId="7D6E523F"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0,58</w:t>
            </w:r>
          </w:p>
        </w:tc>
        <w:tc>
          <w:tcPr>
            <w:tcW w:w="1559" w:type="dxa"/>
            <w:tcBorders>
              <w:top w:val="nil"/>
              <w:left w:val="nil"/>
              <w:bottom w:val="nil"/>
              <w:right w:val="nil"/>
            </w:tcBorders>
            <w:shd w:val="clear" w:color="auto" w:fill="auto"/>
            <w:noWrap/>
            <w:vAlign w:val="bottom"/>
            <w:hideMark/>
          </w:tcPr>
          <w:p w14:paraId="0C563300"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52D9AFB7" w14:textId="77777777" w:rsidTr="00467E77">
        <w:trPr>
          <w:trHeight w:val="288"/>
        </w:trPr>
        <w:tc>
          <w:tcPr>
            <w:tcW w:w="2624" w:type="dxa"/>
            <w:tcBorders>
              <w:top w:val="nil"/>
              <w:left w:val="nil"/>
              <w:bottom w:val="nil"/>
              <w:right w:val="nil"/>
            </w:tcBorders>
            <w:vAlign w:val="bottom"/>
          </w:tcPr>
          <w:p w14:paraId="32A0209D"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Humidity</w:t>
            </w:r>
          </w:p>
        </w:tc>
        <w:tc>
          <w:tcPr>
            <w:tcW w:w="1916" w:type="dxa"/>
            <w:tcBorders>
              <w:top w:val="nil"/>
              <w:left w:val="nil"/>
              <w:bottom w:val="nil"/>
              <w:right w:val="nil"/>
            </w:tcBorders>
            <w:shd w:val="clear" w:color="auto" w:fill="auto"/>
            <w:noWrap/>
            <w:vAlign w:val="bottom"/>
            <w:hideMark/>
          </w:tcPr>
          <w:p w14:paraId="440FEF0B"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0.00 [-0.</w:t>
            </w:r>
            <w:proofErr w:type="gramStart"/>
            <w:r w:rsidRPr="008A5C48">
              <w:rPr>
                <w:rFonts w:ascii="Times New Roman" w:eastAsia="Times New Roman" w:hAnsi="Times New Roman" w:cs="Times New Roman"/>
                <w:color w:val="000000"/>
                <w:sz w:val="20"/>
                <w:szCs w:val="20"/>
                <w:lang w:val="fr-FR"/>
              </w:rPr>
              <w:t>25;</w:t>
            </w:r>
            <w:proofErr w:type="gramEnd"/>
            <w:r w:rsidRPr="008A5C48">
              <w:rPr>
                <w:rFonts w:ascii="Times New Roman" w:eastAsia="Times New Roman" w:hAnsi="Times New Roman" w:cs="Times New Roman"/>
                <w:color w:val="000000"/>
                <w:sz w:val="20"/>
                <w:szCs w:val="20"/>
                <w:lang w:val="fr-FR"/>
              </w:rPr>
              <w:t xml:space="preserve"> 0.25]</w:t>
            </w:r>
          </w:p>
        </w:tc>
        <w:tc>
          <w:tcPr>
            <w:tcW w:w="847" w:type="dxa"/>
            <w:tcBorders>
              <w:top w:val="nil"/>
              <w:left w:val="nil"/>
              <w:bottom w:val="nil"/>
              <w:right w:val="nil"/>
            </w:tcBorders>
            <w:shd w:val="clear" w:color="auto" w:fill="auto"/>
            <w:noWrap/>
            <w:vAlign w:val="bottom"/>
            <w:hideMark/>
          </w:tcPr>
          <w:p w14:paraId="325241D4"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0,99</w:t>
            </w:r>
          </w:p>
        </w:tc>
        <w:tc>
          <w:tcPr>
            <w:tcW w:w="1559" w:type="dxa"/>
            <w:tcBorders>
              <w:top w:val="nil"/>
              <w:left w:val="nil"/>
              <w:bottom w:val="nil"/>
              <w:right w:val="nil"/>
            </w:tcBorders>
            <w:shd w:val="clear" w:color="auto" w:fill="auto"/>
            <w:noWrap/>
            <w:vAlign w:val="bottom"/>
            <w:hideMark/>
          </w:tcPr>
          <w:p w14:paraId="18B42AC6"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045AAD6C" w14:textId="77777777" w:rsidTr="00467E77">
        <w:trPr>
          <w:trHeight w:val="288"/>
        </w:trPr>
        <w:tc>
          <w:tcPr>
            <w:tcW w:w="2624" w:type="dxa"/>
            <w:tcBorders>
              <w:top w:val="nil"/>
              <w:left w:val="nil"/>
              <w:bottom w:val="nil"/>
              <w:right w:val="nil"/>
            </w:tcBorders>
            <w:vAlign w:val="bottom"/>
          </w:tcPr>
          <w:p w14:paraId="0436EBC1"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NDVI</w:t>
            </w:r>
          </w:p>
        </w:tc>
        <w:tc>
          <w:tcPr>
            <w:tcW w:w="1916" w:type="dxa"/>
            <w:tcBorders>
              <w:top w:val="nil"/>
              <w:left w:val="nil"/>
              <w:bottom w:val="nil"/>
              <w:right w:val="nil"/>
            </w:tcBorders>
            <w:shd w:val="clear" w:color="auto" w:fill="auto"/>
            <w:noWrap/>
            <w:vAlign w:val="bottom"/>
            <w:hideMark/>
          </w:tcPr>
          <w:p w14:paraId="49FF10A5"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-0.06 [-0.</w:t>
            </w:r>
            <w:proofErr w:type="gramStart"/>
            <w:r w:rsidRPr="008A5C48">
              <w:rPr>
                <w:rFonts w:ascii="Times New Roman" w:eastAsia="Times New Roman" w:hAnsi="Times New Roman" w:cs="Times New Roman"/>
                <w:color w:val="000000"/>
                <w:sz w:val="20"/>
                <w:szCs w:val="20"/>
                <w:lang w:val="fr-FR"/>
              </w:rPr>
              <w:t>18;</w:t>
            </w:r>
            <w:proofErr w:type="gramEnd"/>
            <w:r w:rsidRPr="008A5C48">
              <w:rPr>
                <w:rFonts w:ascii="Times New Roman" w:eastAsia="Times New Roman" w:hAnsi="Times New Roman" w:cs="Times New Roman"/>
                <w:color w:val="000000"/>
                <w:sz w:val="20"/>
                <w:szCs w:val="20"/>
                <w:lang w:val="fr-FR"/>
              </w:rPr>
              <w:t xml:space="preserve"> 0.06]</w:t>
            </w:r>
          </w:p>
        </w:tc>
        <w:tc>
          <w:tcPr>
            <w:tcW w:w="847" w:type="dxa"/>
            <w:tcBorders>
              <w:top w:val="nil"/>
              <w:left w:val="nil"/>
              <w:bottom w:val="nil"/>
              <w:right w:val="nil"/>
            </w:tcBorders>
            <w:shd w:val="clear" w:color="auto" w:fill="auto"/>
            <w:noWrap/>
            <w:vAlign w:val="bottom"/>
            <w:hideMark/>
          </w:tcPr>
          <w:p w14:paraId="592E795C"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0,31</w:t>
            </w:r>
          </w:p>
        </w:tc>
        <w:tc>
          <w:tcPr>
            <w:tcW w:w="1559" w:type="dxa"/>
            <w:tcBorders>
              <w:top w:val="nil"/>
              <w:left w:val="nil"/>
              <w:bottom w:val="nil"/>
              <w:right w:val="nil"/>
            </w:tcBorders>
            <w:shd w:val="clear" w:color="auto" w:fill="auto"/>
            <w:noWrap/>
            <w:vAlign w:val="bottom"/>
            <w:hideMark/>
          </w:tcPr>
          <w:p w14:paraId="66F29C15"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592B9EAA" w14:textId="77777777" w:rsidTr="00467E77">
        <w:trPr>
          <w:trHeight w:val="288"/>
        </w:trPr>
        <w:tc>
          <w:tcPr>
            <w:tcW w:w="2624" w:type="dxa"/>
            <w:tcBorders>
              <w:top w:val="nil"/>
              <w:left w:val="nil"/>
              <w:bottom w:val="nil"/>
              <w:right w:val="nil"/>
            </w:tcBorders>
            <w:vAlign w:val="bottom"/>
          </w:tcPr>
          <w:p w14:paraId="25BBA8E8"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Green spaces (yes)</w:t>
            </w:r>
          </w:p>
        </w:tc>
        <w:tc>
          <w:tcPr>
            <w:tcW w:w="1916" w:type="dxa"/>
            <w:tcBorders>
              <w:top w:val="nil"/>
              <w:left w:val="nil"/>
              <w:bottom w:val="nil"/>
              <w:right w:val="nil"/>
            </w:tcBorders>
            <w:shd w:val="clear" w:color="auto" w:fill="auto"/>
            <w:noWrap/>
            <w:vAlign w:val="bottom"/>
            <w:hideMark/>
          </w:tcPr>
          <w:p w14:paraId="2B4B8740"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0.06 [-0.</w:t>
            </w:r>
            <w:proofErr w:type="gramStart"/>
            <w:r w:rsidRPr="008A5C48">
              <w:rPr>
                <w:rFonts w:ascii="Times New Roman" w:eastAsia="Times New Roman" w:hAnsi="Times New Roman" w:cs="Times New Roman"/>
                <w:color w:val="000000"/>
                <w:sz w:val="20"/>
                <w:szCs w:val="20"/>
                <w:lang w:val="fr-FR"/>
              </w:rPr>
              <w:t>03;</w:t>
            </w:r>
            <w:proofErr w:type="gramEnd"/>
            <w:r w:rsidRPr="008A5C48">
              <w:rPr>
                <w:rFonts w:ascii="Times New Roman" w:eastAsia="Times New Roman" w:hAnsi="Times New Roman" w:cs="Times New Roman"/>
                <w:color w:val="000000"/>
                <w:sz w:val="20"/>
                <w:szCs w:val="20"/>
                <w:lang w:val="fr-FR"/>
              </w:rPr>
              <w:t xml:space="preserve"> 0.15]</w:t>
            </w:r>
          </w:p>
        </w:tc>
        <w:tc>
          <w:tcPr>
            <w:tcW w:w="847" w:type="dxa"/>
            <w:tcBorders>
              <w:top w:val="nil"/>
              <w:left w:val="nil"/>
              <w:bottom w:val="nil"/>
              <w:right w:val="nil"/>
            </w:tcBorders>
            <w:shd w:val="clear" w:color="auto" w:fill="auto"/>
            <w:noWrap/>
            <w:vAlign w:val="bottom"/>
            <w:hideMark/>
          </w:tcPr>
          <w:p w14:paraId="0B907A38"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0,20</w:t>
            </w:r>
          </w:p>
        </w:tc>
        <w:tc>
          <w:tcPr>
            <w:tcW w:w="1559" w:type="dxa"/>
            <w:tcBorders>
              <w:top w:val="nil"/>
              <w:left w:val="nil"/>
              <w:bottom w:val="nil"/>
              <w:right w:val="nil"/>
            </w:tcBorders>
            <w:shd w:val="clear" w:color="auto" w:fill="auto"/>
            <w:noWrap/>
            <w:vAlign w:val="bottom"/>
            <w:hideMark/>
          </w:tcPr>
          <w:p w14:paraId="40AD7343"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259A6500" w14:textId="77777777" w:rsidTr="00467E77">
        <w:trPr>
          <w:trHeight w:val="288"/>
        </w:trPr>
        <w:tc>
          <w:tcPr>
            <w:tcW w:w="2624" w:type="dxa"/>
            <w:tcBorders>
              <w:top w:val="nil"/>
              <w:left w:val="nil"/>
              <w:bottom w:val="nil"/>
              <w:right w:val="nil"/>
            </w:tcBorders>
            <w:vAlign w:val="bottom"/>
          </w:tcPr>
          <w:p w14:paraId="7972CAFA"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Blue spaces (yes)</w:t>
            </w:r>
          </w:p>
        </w:tc>
        <w:tc>
          <w:tcPr>
            <w:tcW w:w="1916" w:type="dxa"/>
            <w:tcBorders>
              <w:top w:val="nil"/>
              <w:left w:val="nil"/>
              <w:bottom w:val="nil"/>
              <w:right w:val="nil"/>
            </w:tcBorders>
            <w:shd w:val="clear" w:color="auto" w:fill="auto"/>
            <w:noWrap/>
            <w:vAlign w:val="bottom"/>
            <w:hideMark/>
          </w:tcPr>
          <w:p w14:paraId="43E1D640"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0.13 [-0.</w:t>
            </w:r>
            <w:proofErr w:type="gramStart"/>
            <w:r w:rsidRPr="008A5C48">
              <w:rPr>
                <w:rFonts w:ascii="Times New Roman" w:eastAsia="Times New Roman" w:hAnsi="Times New Roman" w:cs="Times New Roman"/>
                <w:color w:val="000000"/>
                <w:sz w:val="20"/>
                <w:szCs w:val="20"/>
                <w:lang w:val="fr-FR"/>
              </w:rPr>
              <w:t>02;</w:t>
            </w:r>
            <w:proofErr w:type="gramEnd"/>
            <w:r w:rsidRPr="008A5C48">
              <w:rPr>
                <w:rFonts w:ascii="Times New Roman" w:eastAsia="Times New Roman" w:hAnsi="Times New Roman" w:cs="Times New Roman"/>
                <w:color w:val="000000"/>
                <w:sz w:val="20"/>
                <w:szCs w:val="20"/>
                <w:lang w:val="fr-FR"/>
              </w:rPr>
              <w:t xml:space="preserve"> 0.28]</w:t>
            </w:r>
          </w:p>
        </w:tc>
        <w:tc>
          <w:tcPr>
            <w:tcW w:w="847" w:type="dxa"/>
            <w:tcBorders>
              <w:top w:val="nil"/>
              <w:left w:val="nil"/>
              <w:bottom w:val="nil"/>
              <w:right w:val="nil"/>
            </w:tcBorders>
            <w:shd w:val="clear" w:color="auto" w:fill="auto"/>
            <w:noWrap/>
            <w:vAlign w:val="bottom"/>
            <w:hideMark/>
          </w:tcPr>
          <w:p w14:paraId="49E531C9"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0,09</w:t>
            </w:r>
          </w:p>
        </w:tc>
        <w:tc>
          <w:tcPr>
            <w:tcW w:w="1559" w:type="dxa"/>
            <w:tcBorders>
              <w:top w:val="nil"/>
              <w:left w:val="nil"/>
              <w:bottom w:val="nil"/>
              <w:right w:val="nil"/>
            </w:tcBorders>
            <w:shd w:val="clear" w:color="auto" w:fill="auto"/>
            <w:noWrap/>
            <w:vAlign w:val="bottom"/>
            <w:hideMark/>
          </w:tcPr>
          <w:p w14:paraId="78B3D25E"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729A4BE4" w14:textId="77777777" w:rsidTr="00467E77">
        <w:trPr>
          <w:trHeight w:val="288"/>
        </w:trPr>
        <w:tc>
          <w:tcPr>
            <w:tcW w:w="2624" w:type="dxa"/>
            <w:tcBorders>
              <w:top w:val="nil"/>
              <w:left w:val="nil"/>
              <w:bottom w:val="nil"/>
              <w:right w:val="nil"/>
            </w:tcBorders>
            <w:vAlign w:val="bottom"/>
          </w:tcPr>
          <w:p w14:paraId="2F21666D"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Population density</w:t>
            </w:r>
          </w:p>
        </w:tc>
        <w:tc>
          <w:tcPr>
            <w:tcW w:w="1916" w:type="dxa"/>
            <w:tcBorders>
              <w:top w:val="nil"/>
              <w:left w:val="nil"/>
              <w:bottom w:val="nil"/>
              <w:right w:val="nil"/>
            </w:tcBorders>
            <w:shd w:val="clear" w:color="auto" w:fill="auto"/>
            <w:noWrap/>
            <w:vAlign w:val="bottom"/>
            <w:hideMark/>
          </w:tcPr>
          <w:p w14:paraId="2F632AA2"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0.03]</w:t>
            </w:r>
          </w:p>
        </w:tc>
        <w:tc>
          <w:tcPr>
            <w:tcW w:w="847" w:type="dxa"/>
            <w:tcBorders>
              <w:top w:val="nil"/>
              <w:left w:val="nil"/>
              <w:bottom w:val="nil"/>
              <w:right w:val="nil"/>
            </w:tcBorders>
            <w:shd w:val="clear" w:color="auto" w:fill="auto"/>
            <w:noWrap/>
            <w:vAlign w:val="bottom"/>
            <w:hideMark/>
          </w:tcPr>
          <w:p w14:paraId="0A6743D3"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0,56</w:t>
            </w:r>
          </w:p>
        </w:tc>
        <w:tc>
          <w:tcPr>
            <w:tcW w:w="1559" w:type="dxa"/>
            <w:tcBorders>
              <w:top w:val="nil"/>
              <w:left w:val="nil"/>
              <w:bottom w:val="nil"/>
              <w:right w:val="nil"/>
            </w:tcBorders>
            <w:shd w:val="clear" w:color="auto" w:fill="auto"/>
            <w:noWrap/>
            <w:vAlign w:val="bottom"/>
            <w:hideMark/>
          </w:tcPr>
          <w:p w14:paraId="36A1A741"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002598B0" w14:textId="77777777" w:rsidTr="00467E77">
        <w:trPr>
          <w:trHeight w:val="288"/>
        </w:trPr>
        <w:tc>
          <w:tcPr>
            <w:tcW w:w="2624" w:type="dxa"/>
            <w:tcBorders>
              <w:top w:val="nil"/>
              <w:left w:val="nil"/>
              <w:bottom w:val="nil"/>
              <w:right w:val="nil"/>
            </w:tcBorders>
            <w:vAlign w:val="bottom"/>
          </w:tcPr>
          <w:p w14:paraId="245E5D85"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Building density</w:t>
            </w:r>
          </w:p>
        </w:tc>
        <w:tc>
          <w:tcPr>
            <w:tcW w:w="1916" w:type="dxa"/>
            <w:tcBorders>
              <w:top w:val="nil"/>
              <w:left w:val="nil"/>
              <w:bottom w:val="nil"/>
              <w:right w:val="nil"/>
            </w:tcBorders>
            <w:shd w:val="clear" w:color="auto" w:fill="auto"/>
            <w:noWrap/>
            <w:vAlign w:val="bottom"/>
            <w:hideMark/>
          </w:tcPr>
          <w:p w14:paraId="53367C2D"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0.00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0.05]</w:t>
            </w:r>
          </w:p>
        </w:tc>
        <w:tc>
          <w:tcPr>
            <w:tcW w:w="847" w:type="dxa"/>
            <w:tcBorders>
              <w:top w:val="nil"/>
              <w:left w:val="nil"/>
              <w:bottom w:val="nil"/>
              <w:right w:val="nil"/>
            </w:tcBorders>
            <w:shd w:val="clear" w:color="auto" w:fill="auto"/>
            <w:noWrap/>
            <w:vAlign w:val="bottom"/>
            <w:hideMark/>
          </w:tcPr>
          <w:p w14:paraId="6C46A169"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0,89</w:t>
            </w:r>
          </w:p>
        </w:tc>
        <w:tc>
          <w:tcPr>
            <w:tcW w:w="1559" w:type="dxa"/>
            <w:tcBorders>
              <w:top w:val="nil"/>
              <w:left w:val="nil"/>
              <w:bottom w:val="nil"/>
              <w:right w:val="nil"/>
            </w:tcBorders>
            <w:shd w:val="clear" w:color="auto" w:fill="auto"/>
            <w:noWrap/>
            <w:vAlign w:val="bottom"/>
            <w:hideMark/>
          </w:tcPr>
          <w:p w14:paraId="6CAB3BE4"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7AF8FC78" w14:textId="77777777" w:rsidTr="00467E77">
        <w:trPr>
          <w:trHeight w:val="288"/>
        </w:trPr>
        <w:tc>
          <w:tcPr>
            <w:tcW w:w="2624" w:type="dxa"/>
            <w:tcBorders>
              <w:top w:val="nil"/>
              <w:left w:val="nil"/>
              <w:bottom w:val="nil"/>
              <w:right w:val="nil"/>
            </w:tcBorders>
            <w:vAlign w:val="bottom"/>
          </w:tcPr>
          <w:p w14:paraId="3D5F38FB"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Connectivity</w:t>
            </w:r>
          </w:p>
        </w:tc>
        <w:tc>
          <w:tcPr>
            <w:tcW w:w="1916" w:type="dxa"/>
            <w:tcBorders>
              <w:top w:val="nil"/>
              <w:left w:val="nil"/>
              <w:bottom w:val="nil"/>
              <w:right w:val="nil"/>
            </w:tcBorders>
            <w:shd w:val="clear" w:color="auto" w:fill="auto"/>
            <w:noWrap/>
            <w:vAlign w:val="bottom"/>
            <w:hideMark/>
          </w:tcPr>
          <w:p w14:paraId="0919D300"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0.03 [-0.</w:t>
            </w:r>
            <w:proofErr w:type="gramStart"/>
            <w:r w:rsidRPr="008A5C48">
              <w:rPr>
                <w:rFonts w:ascii="Times New Roman" w:eastAsia="Times New Roman" w:hAnsi="Times New Roman" w:cs="Times New Roman"/>
                <w:color w:val="000000"/>
                <w:sz w:val="20"/>
                <w:szCs w:val="20"/>
                <w:lang w:val="fr-FR"/>
              </w:rPr>
              <w:t>05;</w:t>
            </w:r>
            <w:proofErr w:type="gramEnd"/>
            <w:r w:rsidRPr="008A5C48">
              <w:rPr>
                <w:rFonts w:ascii="Times New Roman" w:eastAsia="Times New Roman" w:hAnsi="Times New Roman" w:cs="Times New Roman"/>
                <w:color w:val="000000"/>
                <w:sz w:val="20"/>
                <w:szCs w:val="20"/>
                <w:lang w:val="fr-FR"/>
              </w:rPr>
              <w:t xml:space="preserve"> 0.1]</w:t>
            </w:r>
          </w:p>
        </w:tc>
        <w:tc>
          <w:tcPr>
            <w:tcW w:w="847" w:type="dxa"/>
            <w:tcBorders>
              <w:top w:val="nil"/>
              <w:left w:val="nil"/>
              <w:bottom w:val="nil"/>
              <w:right w:val="nil"/>
            </w:tcBorders>
            <w:shd w:val="clear" w:color="auto" w:fill="auto"/>
            <w:noWrap/>
            <w:vAlign w:val="bottom"/>
            <w:hideMark/>
          </w:tcPr>
          <w:p w14:paraId="3EC05262"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0,50</w:t>
            </w:r>
          </w:p>
        </w:tc>
        <w:tc>
          <w:tcPr>
            <w:tcW w:w="1559" w:type="dxa"/>
            <w:tcBorders>
              <w:top w:val="nil"/>
              <w:left w:val="nil"/>
              <w:bottom w:val="nil"/>
              <w:right w:val="nil"/>
            </w:tcBorders>
            <w:shd w:val="clear" w:color="auto" w:fill="auto"/>
            <w:noWrap/>
            <w:vAlign w:val="bottom"/>
            <w:hideMark/>
          </w:tcPr>
          <w:p w14:paraId="732559F5"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01F3734B" w14:textId="77777777" w:rsidTr="00467E77">
        <w:trPr>
          <w:trHeight w:val="288"/>
        </w:trPr>
        <w:tc>
          <w:tcPr>
            <w:tcW w:w="2624" w:type="dxa"/>
            <w:tcBorders>
              <w:top w:val="nil"/>
              <w:left w:val="nil"/>
              <w:bottom w:val="nil"/>
              <w:right w:val="nil"/>
            </w:tcBorders>
            <w:vAlign w:val="bottom"/>
          </w:tcPr>
          <w:p w14:paraId="3CFA7A29"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Bus stop density</w:t>
            </w:r>
          </w:p>
        </w:tc>
        <w:tc>
          <w:tcPr>
            <w:tcW w:w="1916" w:type="dxa"/>
            <w:tcBorders>
              <w:top w:val="nil"/>
              <w:left w:val="nil"/>
              <w:bottom w:val="nil"/>
              <w:right w:val="nil"/>
            </w:tcBorders>
            <w:shd w:val="clear" w:color="auto" w:fill="auto"/>
            <w:noWrap/>
            <w:vAlign w:val="bottom"/>
            <w:hideMark/>
          </w:tcPr>
          <w:p w14:paraId="702D4664"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0.04 [-0.</w:t>
            </w:r>
            <w:proofErr w:type="gramStart"/>
            <w:r w:rsidRPr="008A5C48">
              <w:rPr>
                <w:rFonts w:ascii="Times New Roman" w:eastAsia="Times New Roman" w:hAnsi="Times New Roman" w:cs="Times New Roman"/>
                <w:color w:val="000000"/>
                <w:sz w:val="20"/>
                <w:szCs w:val="20"/>
                <w:lang w:val="fr-FR"/>
              </w:rPr>
              <w:t>04;</w:t>
            </w:r>
            <w:proofErr w:type="gramEnd"/>
            <w:r w:rsidRPr="008A5C48">
              <w:rPr>
                <w:rFonts w:ascii="Times New Roman" w:eastAsia="Times New Roman" w:hAnsi="Times New Roman" w:cs="Times New Roman"/>
                <w:color w:val="000000"/>
                <w:sz w:val="20"/>
                <w:szCs w:val="20"/>
                <w:lang w:val="fr-FR"/>
              </w:rPr>
              <w:t xml:space="preserve"> 0.13]</w:t>
            </w:r>
          </w:p>
        </w:tc>
        <w:tc>
          <w:tcPr>
            <w:tcW w:w="847" w:type="dxa"/>
            <w:tcBorders>
              <w:top w:val="nil"/>
              <w:left w:val="nil"/>
              <w:bottom w:val="nil"/>
              <w:right w:val="nil"/>
            </w:tcBorders>
            <w:shd w:val="clear" w:color="auto" w:fill="auto"/>
            <w:noWrap/>
            <w:vAlign w:val="bottom"/>
            <w:hideMark/>
          </w:tcPr>
          <w:p w14:paraId="13F25FD2"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0,30</w:t>
            </w:r>
          </w:p>
        </w:tc>
        <w:tc>
          <w:tcPr>
            <w:tcW w:w="1559" w:type="dxa"/>
            <w:tcBorders>
              <w:top w:val="nil"/>
              <w:left w:val="nil"/>
              <w:bottom w:val="nil"/>
              <w:right w:val="nil"/>
            </w:tcBorders>
            <w:shd w:val="clear" w:color="auto" w:fill="auto"/>
            <w:noWrap/>
            <w:vAlign w:val="bottom"/>
            <w:hideMark/>
          </w:tcPr>
          <w:p w14:paraId="5452A792"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16A8B0E3" w14:textId="77777777" w:rsidTr="00467E77">
        <w:trPr>
          <w:trHeight w:val="288"/>
        </w:trPr>
        <w:tc>
          <w:tcPr>
            <w:tcW w:w="2624" w:type="dxa"/>
            <w:tcBorders>
              <w:top w:val="nil"/>
              <w:left w:val="nil"/>
              <w:bottom w:val="nil"/>
              <w:right w:val="nil"/>
            </w:tcBorders>
            <w:vAlign w:val="bottom"/>
          </w:tcPr>
          <w:p w14:paraId="739AC342"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Facility richness</w:t>
            </w:r>
          </w:p>
        </w:tc>
        <w:tc>
          <w:tcPr>
            <w:tcW w:w="1916" w:type="dxa"/>
            <w:tcBorders>
              <w:top w:val="nil"/>
              <w:left w:val="nil"/>
              <w:bottom w:val="nil"/>
              <w:right w:val="nil"/>
            </w:tcBorders>
            <w:shd w:val="clear" w:color="auto" w:fill="auto"/>
            <w:noWrap/>
            <w:vAlign w:val="bottom"/>
            <w:hideMark/>
          </w:tcPr>
          <w:p w14:paraId="1341B1F8"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0.06 [-0.</w:t>
            </w:r>
            <w:proofErr w:type="gramStart"/>
            <w:r w:rsidRPr="008A5C48">
              <w:rPr>
                <w:rFonts w:ascii="Times New Roman" w:eastAsia="Times New Roman" w:hAnsi="Times New Roman" w:cs="Times New Roman"/>
                <w:color w:val="000000"/>
                <w:sz w:val="20"/>
                <w:szCs w:val="20"/>
                <w:lang w:val="fr-FR"/>
              </w:rPr>
              <w:t>01;</w:t>
            </w:r>
            <w:proofErr w:type="gramEnd"/>
            <w:r w:rsidRPr="008A5C48">
              <w:rPr>
                <w:rFonts w:ascii="Times New Roman" w:eastAsia="Times New Roman" w:hAnsi="Times New Roman" w:cs="Times New Roman"/>
                <w:color w:val="000000"/>
                <w:sz w:val="20"/>
                <w:szCs w:val="20"/>
                <w:lang w:val="fr-FR"/>
              </w:rPr>
              <w:t xml:space="preserve"> 0.12]</w:t>
            </w:r>
          </w:p>
        </w:tc>
        <w:tc>
          <w:tcPr>
            <w:tcW w:w="847" w:type="dxa"/>
            <w:tcBorders>
              <w:top w:val="nil"/>
              <w:left w:val="nil"/>
              <w:bottom w:val="nil"/>
              <w:right w:val="nil"/>
            </w:tcBorders>
            <w:shd w:val="clear" w:color="auto" w:fill="auto"/>
            <w:noWrap/>
            <w:vAlign w:val="bottom"/>
            <w:hideMark/>
          </w:tcPr>
          <w:p w14:paraId="5A552C5E"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0,08</w:t>
            </w:r>
          </w:p>
        </w:tc>
        <w:tc>
          <w:tcPr>
            <w:tcW w:w="1559" w:type="dxa"/>
            <w:tcBorders>
              <w:top w:val="nil"/>
              <w:left w:val="nil"/>
              <w:bottom w:val="nil"/>
              <w:right w:val="nil"/>
            </w:tcBorders>
            <w:shd w:val="clear" w:color="auto" w:fill="auto"/>
            <w:noWrap/>
            <w:vAlign w:val="bottom"/>
            <w:hideMark/>
          </w:tcPr>
          <w:p w14:paraId="1093F19C"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3F87EF8A" w14:textId="77777777" w:rsidTr="00467E77">
        <w:trPr>
          <w:trHeight w:val="288"/>
        </w:trPr>
        <w:tc>
          <w:tcPr>
            <w:tcW w:w="2624" w:type="dxa"/>
            <w:tcBorders>
              <w:top w:val="nil"/>
              <w:left w:val="nil"/>
              <w:bottom w:val="nil"/>
              <w:right w:val="nil"/>
            </w:tcBorders>
            <w:vAlign w:val="bottom"/>
          </w:tcPr>
          <w:p w14:paraId="6096A551"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SEI</w:t>
            </w:r>
          </w:p>
        </w:tc>
        <w:tc>
          <w:tcPr>
            <w:tcW w:w="1916" w:type="dxa"/>
            <w:tcBorders>
              <w:top w:val="nil"/>
              <w:left w:val="nil"/>
              <w:bottom w:val="nil"/>
              <w:right w:val="nil"/>
            </w:tcBorders>
            <w:shd w:val="clear" w:color="auto" w:fill="auto"/>
            <w:noWrap/>
            <w:vAlign w:val="bottom"/>
            <w:hideMark/>
          </w:tcPr>
          <w:p w14:paraId="0E50FEC1"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0.04 [-0.</w:t>
            </w:r>
            <w:proofErr w:type="gramStart"/>
            <w:r w:rsidRPr="008A5C48">
              <w:rPr>
                <w:rFonts w:ascii="Times New Roman" w:eastAsia="Times New Roman" w:hAnsi="Times New Roman" w:cs="Times New Roman"/>
                <w:color w:val="000000"/>
                <w:sz w:val="20"/>
                <w:szCs w:val="20"/>
                <w:lang w:val="fr-FR"/>
              </w:rPr>
              <w:t>01;</w:t>
            </w:r>
            <w:proofErr w:type="gramEnd"/>
            <w:r w:rsidRPr="008A5C48">
              <w:rPr>
                <w:rFonts w:ascii="Times New Roman" w:eastAsia="Times New Roman" w:hAnsi="Times New Roman" w:cs="Times New Roman"/>
                <w:color w:val="000000"/>
                <w:sz w:val="20"/>
                <w:szCs w:val="20"/>
                <w:lang w:val="fr-FR"/>
              </w:rPr>
              <w:t xml:space="preserve"> 0.09]</w:t>
            </w:r>
          </w:p>
        </w:tc>
        <w:tc>
          <w:tcPr>
            <w:tcW w:w="847" w:type="dxa"/>
            <w:tcBorders>
              <w:top w:val="nil"/>
              <w:left w:val="nil"/>
              <w:bottom w:val="nil"/>
              <w:right w:val="nil"/>
            </w:tcBorders>
            <w:shd w:val="clear" w:color="auto" w:fill="auto"/>
            <w:noWrap/>
            <w:vAlign w:val="bottom"/>
            <w:hideMark/>
          </w:tcPr>
          <w:p w14:paraId="5449DBEC"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0,11</w:t>
            </w:r>
          </w:p>
        </w:tc>
        <w:tc>
          <w:tcPr>
            <w:tcW w:w="1559" w:type="dxa"/>
            <w:tcBorders>
              <w:top w:val="nil"/>
              <w:left w:val="nil"/>
              <w:bottom w:val="nil"/>
              <w:right w:val="nil"/>
            </w:tcBorders>
            <w:shd w:val="clear" w:color="auto" w:fill="auto"/>
            <w:noWrap/>
            <w:vAlign w:val="bottom"/>
            <w:hideMark/>
          </w:tcPr>
          <w:p w14:paraId="3086D436"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39765895" w14:textId="77777777" w:rsidTr="00467E77">
        <w:trPr>
          <w:trHeight w:val="288"/>
        </w:trPr>
        <w:tc>
          <w:tcPr>
            <w:tcW w:w="2624" w:type="dxa"/>
            <w:tcBorders>
              <w:top w:val="nil"/>
              <w:left w:val="nil"/>
              <w:bottom w:val="nil"/>
              <w:right w:val="nil"/>
            </w:tcBorders>
            <w:vAlign w:val="bottom"/>
          </w:tcPr>
          <w:p w14:paraId="5CFD4564"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Walkability</w:t>
            </w:r>
          </w:p>
        </w:tc>
        <w:tc>
          <w:tcPr>
            <w:tcW w:w="1916" w:type="dxa"/>
            <w:tcBorders>
              <w:top w:val="nil"/>
              <w:left w:val="nil"/>
              <w:bottom w:val="nil"/>
              <w:right w:val="nil"/>
            </w:tcBorders>
            <w:shd w:val="clear" w:color="auto" w:fill="auto"/>
            <w:noWrap/>
            <w:vAlign w:val="bottom"/>
            <w:hideMark/>
          </w:tcPr>
          <w:p w14:paraId="7B5BF95F"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0.07 [</w:t>
            </w:r>
            <w:proofErr w:type="gramStart"/>
            <w:r w:rsidRPr="008A5C48">
              <w:rPr>
                <w:rFonts w:ascii="Times New Roman" w:eastAsia="Times New Roman" w:hAnsi="Times New Roman" w:cs="Times New Roman"/>
                <w:color w:val="000000"/>
                <w:sz w:val="20"/>
                <w:szCs w:val="20"/>
                <w:lang w:val="fr-FR"/>
              </w:rPr>
              <w:t>0;</w:t>
            </w:r>
            <w:proofErr w:type="gramEnd"/>
            <w:r w:rsidRPr="008A5C48">
              <w:rPr>
                <w:rFonts w:ascii="Times New Roman" w:eastAsia="Times New Roman" w:hAnsi="Times New Roman" w:cs="Times New Roman"/>
                <w:color w:val="000000"/>
                <w:sz w:val="20"/>
                <w:szCs w:val="20"/>
                <w:lang w:val="fr-FR"/>
              </w:rPr>
              <w:t xml:space="preserve"> 0.14]</w:t>
            </w:r>
          </w:p>
        </w:tc>
        <w:tc>
          <w:tcPr>
            <w:tcW w:w="847" w:type="dxa"/>
            <w:tcBorders>
              <w:top w:val="nil"/>
              <w:left w:val="nil"/>
              <w:bottom w:val="nil"/>
              <w:right w:val="nil"/>
            </w:tcBorders>
            <w:shd w:val="clear" w:color="auto" w:fill="auto"/>
            <w:noWrap/>
            <w:vAlign w:val="bottom"/>
            <w:hideMark/>
          </w:tcPr>
          <w:p w14:paraId="127AAEDF"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0,06</w:t>
            </w:r>
          </w:p>
        </w:tc>
        <w:tc>
          <w:tcPr>
            <w:tcW w:w="1559" w:type="dxa"/>
            <w:tcBorders>
              <w:top w:val="nil"/>
              <w:left w:val="nil"/>
              <w:bottom w:val="nil"/>
              <w:right w:val="nil"/>
            </w:tcBorders>
            <w:shd w:val="clear" w:color="auto" w:fill="auto"/>
            <w:noWrap/>
            <w:vAlign w:val="bottom"/>
            <w:hideMark/>
          </w:tcPr>
          <w:p w14:paraId="07935025"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3C194F7F" w14:textId="77777777" w:rsidTr="00467E77">
        <w:trPr>
          <w:trHeight w:val="288"/>
        </w:trPr>
        <w:tc>
          <w:tcPr>
            <w:tcW w:w="2624" w:type="dxa"/>
            <w:tcBorders>
              <w:top w:val="nil"/>
              <w:left w:val="nil"/>
              <w:bottom w:val="nil"/>
              <w:right w:val="nil"/>
            </w:tcBorders>
            <w:vAlign w:val="bottom"/>
          </w:tcPr>
          <w:p w14:paraId="0C312E5D"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Traffic load</w:t>
            </w:r>
          </w:p>
        </w:tc>
        <w:tc>
          <w:tcPr>
            <w:tcW w:w="1916" w:type="dxa"/>
            <w:tcBorders>
              <w:top w:val="nil"/>
              <w:left w:val="nil"/>
              <w:bottom w:val="nil"/>
              <w:right w:val="nil"/>
            </w:tcBorders>
            <w:shd w:val="clear" w:color="auto" w:fill="auto"/>
            <w:noWrap/>
            <w:vAlign w:val="bottom"/>
            <w:hideMark/>
          </w:tcPr>
          <w:p w14:paraId="55CC5E48"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-0.02 [-0.</w:t>
            </w:r>
            <w:proofErr w:type="gramStart"/>
            <w:r w:rsidRPr="008A5C48">
              <w:rPr>
                <w:rFonts w:ascii="Times New Roman" w:eastAsia="Times New Roman" w:hAnsi="Times New Roman" w:cs="Times New Roman"/>
                <w:color w:val="000000"/>
                <w:sz w:val="20"/>
                <w:szCs w:val="20"/>
                <w:lang w:val="fr-FR"/>
              </w:rPr>
              <w:t>1;</w:t>
            </w:r>
            <w:proofErr w:type="gramEnd"/>
            <w:r w:rsidRPr="008A5C48">
              <w:rPr>
                <w:rFonts w:ascii="Times New Roman" w:eastAsia="Times New Roman" w:hAnsi="Times New Roman" w:cs="Times New Roman"/>
                <w:color w:val="000000"/>
                <w:sz w:val="20"/>
                <w:szCs w:val="20"/>
                <w:lang w:val="fr-FR"/>
              </w:rPr>
              <w:t xml:space="preserve"> 0.05]</w:t>
            </w:r>
          </w:p>
        </w:tc>
        <w:tc>
          <w:tcPr>
            <w:tcW w:w="847" w:type="dxa"/>
            <w:tcBorders>
              <w:top w:val="nil"/>
              <w:left w:val="nil"/>
              <w:bottom w:val="nil"/>
              <w:right w:val="nil"/>
            </w:tcBorders>
            <w:shd w:val="clear" w:color="auto" w:fill="auto"/>
            <w:noWrap/>
            <w:vAlign w:val="bottom"/>
            <w:hideMark/>
          </w:tcPr>
          <w:p w14:paraId="1C49C859"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0,54</w:t>
            </w:r>
          </w:p>
        </w:tc>
        <w:tc>
          <w:tcPr>
            <w:tcW w:w="1559" w:type="dxa"/>
            <w:tcBorders>
              <w:top w:val="nil"/>
              <w:left w:val="nil"/>
              <w:bottom w:val="nil"/>
              <w:right w:val="nil"/>
            </w:tcBorders>
            <w:shd w:val="clear" w:color="auto" w:fill="auto"/>
            <w:noWrap/>
            <w:vAlign w:val="bottom"/>
            <w:hideMark/>
          </w:tcPr>
          <w:p w14:paraId="5597D027"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547A9404" w14:textId="77777777" w:rsidTr="00467E77">
        <w:trPr>
          <w:trHeight w:val="288"/>
        </w:trPr>
        <w:tc>
          <w:tcPr>
            <w:tcW w:w="2624" w:type="dxa"/>
            <w:tcBorders>
              <w:top w:val="nil"/>
              <w:left w:val="nil"/>
              <w:bottom w:val="nil"/>
              <w:right w:val="nil"/>
            </w:tcBorders>
            <w:vAlign w:val="bottom"/>
          </w:tcPr>
          <w:p w14:paraId="320B811F"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Traffic nearest road</w:t>
            </w:r>
          </w:p>
        </w:tc>
        <w:tc>
          <w:tcPr>
            <w:tcW w:w="1916" w:type="dxa"/>
            <w:tcBorders>
              <w:top w:val="nil"/>
              <w:left w:val="nil"/>
              <w:bottom w:val="nil"/>
              <w:right w:val="nil"/>
            </w:tcBorders>
            <w:shd w:val="clear" w:color="auto" w:fill="auto"/>
            <w:noWrap/>
            <w:vAlign w:val="bottom"/>
            <w:hideMark/>
          </w:tcPr>
          <w:p w14:paraId="7E654EC3"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0.03]</w:t>
            </w:r>
          </w:p>
        </w:tc>
        <w:tc>
          <w:tcPr>
            <w:tcW w:w="847" w:type="dxa"/>
            <w:tcBorders>
              <w:top w:val="nil"/>
              <w:left w:val="nil"/>
              <w:bottom w:val="nil"/>
              <w:right w:val="nil"/>
            </w:tcBorders>
            <w:shd w:val="clear" w:color="auto" w:fill="auto"/>
            <w:noWrap/>
            <w:vAlign w:val="bottom"/>
            <w:hideMark/>
          </w:tcPr>
          <w:p w14:paraId="0F8B7A24"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0,54</w:t>
            </w:r>
          </w:p>
        </w:tc>
        <w:tc>
          <w:tcPr>
            <w:tcW w:w="1559" w:type="dxa"/>
            <w:tcBorders>
              <w:top w:val="nil"/>
              <w:left w:val="nil"/>
              <w:bottom w:val="nil"/>
              <w:right w:val="nil"/>
            </w:tcBorders>
            <w:shd w:val="clear" w:color="auto" w:fill="auto"/>
            <w:noWrap/>
            <w:vAlign w:val="bottom"/>
            <w:hideMark/>
          </w:tcPr>
          <w:p w14:paraId="74D96EBF"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15C05B49" w14:textId="77777777" w:rsidTr="00467E77">
        <w:trPr>
          <w:trHeight w:val="288"/>
        </w:trPr>
        <w:tc>
          <w:tcPr>
            <w:tcW w:w="2624" w:type="dxa"/>
            <w:tcBorders>
              <w:top w:val="nil"/>
              <w:left w:val="nil"/>
              <w:bottom w:val="nil"/>
              <w:right w:val="nil"/>
            </w:tcBorders>
            <w:vAlign w:val="bottom"/>
          </w:tcPr>
          <w:p w14:paraId="7D8D3664"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Inverse distance to nearest road</w:t>
            </w:r>
          </w:p>
        </w:tc>
        <w:tc>
          <w:tcPr>
            <w:tcW w:w="1916" w:type="dxa"/>
            <w:tcBorders>
              <w:top w:val="nil"/>
              <w:left w:val="nil"/>
              <w:bottom w:val="nil"/>
              <w:right w:val="nil"/>
            </w:tcBorders>
            <w:shd w:val="clear" w:color="auto" w:fill="auto"/>
            <w:noWrap/>
            <w:vAlign w:val="bottom"/>
            <w:hideMark/>
          </w:tcPr>
          <w:p w14:paraId="2D6C8B79"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04;</w:t>
            </w:r>
            <w:proofErr w:type="gramEnd"/>
            <w:r w:rsidRPr="008A5C48">
              <w:rPr>
                <w:rFonts w:ascii="Times New Roman" w:eastAsia="Times New Roman" w:hAnsi="Times New Roman" w:cs="Times New Roman"/>
                <w:color w:val="000000"/>
                <w:sz w:val="20"/>
                <w:szCs w:val="20"/>
                <w:lang w:val="fr-FR"/>
              </w:rPr>
              <w:t xml:space="preserve"> 0.06]</w:t>
            </w:r>
          </w:p>
        </w:tc>
        <w:tc>
          <w:tcPr>
            <w:tcW w:w="847" w:type="dxa"/>
            <w:tcBorders>
              <w:top w:val="nil"/>
              <w:left w:val="nil"/>
              <w:bottom w:val="nil"/>
              <w:right w:val="nil"/>
            </w:tcBorders>
            <w:shd w:val="clear" w:color="auto" w:fill="auto"/>
            <w:noWrap/>
            <w:vAlign w:val="bottom"/>
            <w:hideMark/>
          </w:tcPr>
          <w:p w14:paraId="382F5F39"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0,65</w:t>
            </w:r>
          </w:p>
        </w:tc>
        <w:tc>
          <w:tcPr>
            <w:tcW w:w="1559" w:type="dxa"/>
            <w:tcBorders>
              <w:top w:val="nil"/>
              <w:left w:val="nil"/>
              <w:bottom w:val="nil"/>
              <w:right w:val="nil"/>
            </w:tcBorders>
            <w:shd w:val="clear" w:color="auto" w:fill="auto"/>
            <w:noWrap/>
            <w:vAlign w:val="bottom"/>
            <w:hideMark/>
          </w:tcPr>
          <w:p w14:paraId="0C64E560"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48376041" w14:textId="77777777" w:rsidTr="00467E77">
        <w:trPr>
          <w:trHeight w:val="288"/>
        </w:trPr>
        <w:tc>
          <w:tcPr>
            <w:tcW w:w="2624" w:type="dxa"/>
            <w:tcBorders>
              <w:top w:val="nil"/>
              <w:left w:val="nil"/>
              <w:bottom w:val="nil"/>
              <w:right w:val="nil"/>
            </w:tcBorders>
            <w:vAlign w:val="bottom"/>
          </w:tcPr>
          <w:p w14:paraId="0F7AB6F8"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THM</w:t>
            </w:r>
          </w:p>
        </w:tc>
        <w:tc>
          <w:tcPr>
            <w:tcW w:w="1916" w:type="dxa"/>
            <w:tcBorders>
              <w:top w:val="nil"/>
              <w:left w:val="nil"/>
              <w:bottom w:val="nil"/>
              <w:right w:val="nil"/>
            </w:tcBorders>
            <w:shd w:val="clear" w:color="auto" w:fill="auto"/>
            <w:noWrap/>
            <w:vAlign w:val="bottom"/>
            <w:hideMark/>
          </w:tcPr>
          <w:p w14:paraId="71CA0B74"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0.00 [-0.</w:t>
            </w:r>
            <w:proofErr w:type="gramStart"/>
            <w:r w:rsidRPr="008A5C48">
              <w:rPr>
                <w:rFonts w:ascii="Times New Roman" w:eastAsia="Times New Roman" w:hAnsi="Times New Roman" w:cs="Times New Roman"/>
                <w:color w:val="000000"/>
                <w:sz w:val="20"/>
                <w:szCs w:val="20"/>
                <w:lang w:val="fr-FR"/>
              </w:rPr>
              <w:t>15;</w:t>
            </w:r>
            <w:proofErr w:type="gramEnd"/>
            <w:r w:rsidRPr="008A5C48">
              <w:rPr>
                <w:rFonts w:ascii="Times New Roman" w:eastAsia="Times New Roman" w:hAnsi="Times New Roman" w:cs="Times New Roman"/>
                <w:color w:val="000000"/>
                <w:sz w:val="20"/>
                <w:szCs w:val="20"/>
                <w:lang w:val="fr-FR"/>
              </w:rPr>
              <w:t xml:space="preserve"> 0.15]</w:t>
            </w:r>
          </w:p>
        </w:tc>
        <w:tc>
          <w:tcPr>
            <w:tcW w:w="847" w:type="dxa"/>
            <w:tcBorders>
              <w:top w:val="nil"/>
              <w:left w:val="nil"/>
              <w:bottom w:val="nil"/>
              <w:right w:val="nil"/>
            </w:tcBorders>
            <w:shd w:val="clear" w:color="auto" w:fill="auto"/>
            <w:noWrap/>
            <w:vAlign w:val="bottom"/>
            <w:hideMark/>
          </w:tcPr>
          <w:p w14:paraId="6F26464B"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0,99</w:t>
            </w:r>
          </w:p>
        </w:tc>
        <w:tc>
          <w:tcPr>
            <w:tcW w:w="1559" w:type="dxa"/>
            <w:tcBorders>
              <w:top w:val="nil"/>
              <w:left w:val="nil"/>
              <w:bottom w:val="nil"/>
              <w:right w:val="nil"/>
            </w:tcBorders>
            <w:shd w:val="clear" w:color="auto" w:fill="auto"/>
            <w:noWrap/>
            <w:vAlign w:val="bottom"/>
            <w:hideMark/>
          </w:tcPr>
          <w:p w14:paraId="2A638D7B"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79955299" w14:textId="77777777" w:rsidTr="00467E77">
        <w:trPr>
          <w:trHeight w:val="288"/>
        </w:trPr>
        <w:tc>
          <w:tcPr>
            <w:tcW w:w="2624" w:type="dxa"/>
            <w:tcBorders>
              <w:top w:val="nil"/>
              <w:left w:val="nil"/>
              <w:bottom w:val="nil"/>
              <w:right w:val="nil"/>
            </w:tcBorders>
            <w:vAlign w:val="bottom"/>
          </w:tcPr>
          <w:p w14:paraId="0F747CC7"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Brominated THM</w:t>
            </w:r>
          </w:p>
        </w:tc>
        <w:tc>
          <w:tcPr>
            <w:tcW w:w="1916" w:type="dxa"/>
            <w:tcBorders>
              <w:top w:val="nil"/>
              <w:left w:val="nil"/>
              <w:bottom w:val="nil"/>
              <w:right w:val="nil"/>
            </w:tcBorders>
            <w:shd w:val="clear" w:color="auto" w:fill="auto"/>
            <w:noWrap/>
            <w:vAlign w:val="bottom"/>
            <w:hideMark/>
          </w:tcPr>
          <w:p w14:paraId="02E385A2"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-0.06 [-0.</w:t>
            </w:r>
            <w:proofErr w:type="gramStart"/>
            <w:r w:rsidRPr="008A5C48">
              <w:rPr>
                <w:rFonts w:ascii="Times New Roman" w:eastAsia="Times New Roman" w:hAnsi="Times New Roman" w:cs="Times New Roman"/>
                <w:color w:val="000000"/>
                <w:sz w:val="20"/>
                <w:szCs w:val="20"/>
                <w:lang w:val="fr-FR"/>
              </w:rPr>
              <w:t>21;</w:t>
            </w:r>
            <w:proofErr w:type="gramEnd"/>
            <w:r w:rsidRPr="008A5C48">
              <w:rPr>
                <w:rFonts w:ascii="Times New Roman" w:eastAsia="Times New Roman" w:hAnsi="Times New Roman" w:cs="Times New Roman"/>
                <w:color w:val="000000"/>
                <w:sz w:val="20"/>
                <w:szCs w:val="20"/>
                <w:lang w:val="fr-FR"/>
              </w:rPr>
              <w:t xml:space="preserve"> 0.09]</w:t>
            </w:r>
          </w:p>
        </w:tc>
        <w:tc>
          <w:tcPr>
            <w:tcW w:w="847" w:type="dxa"/>
            <w:tcBorders>
              <w:top w:val="nil"/>
              <w:left w:val="nil"/>
              <w:bottom w:val="nil"/>
              <w:right w:val="nil"/>
            </w:tcBorders>
            <w:shd w:val="clear" w:color="auto" w:fill="auto"/>
            <w:noWrap/>
            <w:vAlign w:val="bottom"/>
            <w:hideMark/>
          </w:tcPr>
          <w:p w14:paraId="6D8A5930"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0,46</w:t>
            </w:r>
          </w:p>
        </w:tc>
        <w:tc>
          <w:tcPr>
            <w:tcW w:w="1559" w:type="dxa"/>
            <w:tcBorders>
              <w:top w:val="nil"/>
              <w:left w:val="nil"/>
              <w:bottom w:val="nil"/>
              <w:right w:val="nil"/>
            </w:tcBorders>
            <w:shd w:val="clear" w:color="auto" w:fill="auto"/>
            <w:noWrap/>
            <w:vAlign w:val="bottom"/>
            <w:hideMark/>
          </w:tcPr>
          <w:p w14:paraId="6F8C6F43"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2AB10BD0" w14:textId="77777777" w:rsidTr="00467E77">
        <w:trPr>
          <w:trHeight w:val="288"/>
        </w:trPr>
        <w:tc>
          <w:tcPr>
            <w:tcW w:w="2624" w:type="dxa"/>
            <w:tcBorders>
              <w:top w:val="nil"/>
              <w:left w:val="nil"/>
              <w:bottom w:val="nil"/>
              <w:right w:val="nil"/>
            </w:tcBorders>
            <w:vAlign w:val="bottom"/>
          </w:tcPr>
          <w:p w14:paraId="708EC21F"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Chloroform</w:t>
            </w:r>
          </w:p>
        </w:tc>
        <w:tc>
          <w:tcPr>
            <w:tcW w:w="1916" w:type="dxa"/>
            <w:tcBorders>
              <w:top w:val="nil"/>
              <w:left w:val="nil"/>
              <w:bottom w:val="nil"/>
              <w:right w:val="nil"/>
            </w:tcBorders>
            <w:shd w:val="clear" w:color="auto" w:fill="auto"/>
            <w:noWrap/>
            <w:vAlign w:val="bottom"/>
            <w:hideMark/>
          </w:tcPr>
          <w:p w14:paraId="2FBA19EC"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16;</w:t>
            </w:r>
            <w:proofErr w:type="gramEnd"/>
            <w:r w:rsidRPr="008A5C48">
              <w:rPr>
                <w:rFonts w:ascii="Times New Roman" w:eastAsia="Times New Roman" w:hAnsi="Times New Roman" w:cs="Times New Roman"/>
                <w:color w:val="000000"/>
                <w:sz w:val="20"/>
                <w:szCs w:val="20"/>
                <w:lang w:val="fr-FR"/>
              </w:rPr>
              <w:t xml:space="preserve"> 0.18]</w:t>
            </w:r>
          </w:p>
        </w:tc>
        <w:tc>
          <w:tcPr>
            <w:tcW w:w="847" w:type="dxa"/>
            <w:tcBorders>
              <w:top w:val="nil"/>
              <w:left w:val="nil"/>
              <w:bottom w:val="nil"/>
              <w:right w:val="nil"/>
            </w:tcBorders>
            <w:shd w:val="clear" w:color="auto" w:fill="auto"/>
            <w:noWrap/>
            <w:vAlign w:val="bottom"/>
            <w:hideMark/>
          </w:tcPr>
          <w:p w14:paraId="1181338D"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0,91</w:t>
            </w:r>
          </w:p>
        </w:tc>
        <w:tc>
          <w:tcPr>
            <w:tcW w:w="1559" w:type="dxa"/>
            <w:tcBorders>
              <w:top w:val="nil"/>
              <w:left w:val="nil"/>
              <w:bottom w:val="nil"/>
              <w:right w:val="nil"/>
            </w:tcBorders>
            <w:shd w:val="clear" w:color="auto" w:fill="auto"/>
            <w:noWrap/>
            <w:vAlign w:val="bottom"/>
            <w:hideMark/>
          </w:tcPr>
          <w:p w14:paraId="24A36045"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1639363A" w14:textId="77777777" w:rsidTr="00467E77">
        <w:trPr>
          <w:trHeight w:val="288"/>
        </w:trPr>
        <w:tc>
          <w:tcPr>
            <w:tcW w:w="2624" w:type="dxa"/>
            <w:tcBorders>
              <w:top w:val="nil"/>
              <w:left w:val="nil"/>
              <w:bottom w:val="nil"/>
              <w:right w:val="nil"/>
            </w:tcBorders>
            <w:vAlign w:val="bottom"/>
          </w:tcPr>
          <w:p w14:paraId="651EEEBF"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BPA</w:t>
            </w:r>
          </w:p>
        </w:tc>
        <w:tc>
          <w:tcPr>
            <w:tcW w:w="1916" w:type="dxa"/>
            <w:tcBorders>
              <w:top w:val="nil"/>
              <w:left w:val="nil"/>
              <w:bottom w:val="nil"/>
              <w:right w:val="nil"/>
            </w:tcBorders>
            <w:shd w:val="clear" w:color="auto" w:fill="auto"/>
            <w:noWrap/>
            <w:vAlign w:val="bottom"/>
            <w:hideMark/>
          </w:tcPr>
          <w:p w14:paraId="6EB9FA76"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0.00 [-0.</w:t>
            </w:r>
            <w:proofErr w:type="gramStart"/>
            <w:r w:rsidRPr="008A5C48">
              <w:rPr>
                <w:rFonts w:ascii="Times New Roman" w:eastAsia="Times New Roman" w:hAnsi="Times New Roman" w:cs="Times New Roman"/>
                <w:color w:val="000000"/>
                <w:sz w:val="20"/>
                <w:szCs w:val="20"/>
                <w:lang w:val="fr-FR"/>
              </w:rPr>
              <w:t>05;</w:t>
            </w:r>
            <w:proofErr w:type="gramEnd"/>
            <w:r w:rsidRPr="008A5C48">
              <w:rPr>
                <w:rFonts w:ascii="Times New Roman" w:eastAsia="Times New Roman" w:hAnsi="Times New Roman" w:cs="Times New Roman"/>
                <w:color w:val="000000"/>
                <w:sz w:val="20"/>
                <w:szCs w:val="20"/>
                <w:lang w:val="fr-FR"/>
              </w:rPr>
              <w:t xml:space="preserve"> 0.06]</w:t>
            </w:r>
          </w:p>
        </w:tc>
        <w:tc>
          <w:tcPr>
            <w:tcW w:w="847" w:type="dxa"/>
            <w:tcBorders>
              <w:top w:val="nil"/>
              <w:left w:val="nil"/>
              <w:bottom w:val="nil"/>
              <w:right w:val="nil"/>
            </w:tcBorders>
            <w:shd w:val="clear" w:color="auto" w:fill="auto"/>
            <w:noWrap/>
            <w:vAlign w:val="bottom"/>
            <w:hideMark/>
          </w:tcPr>
          <w:p w14:paraId="6FCA8257"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0,96</w:t>
            </w:r>
          </w:p>
        </w:tc>
        <w:tc>
          <w:tcPr>
            <w:tcW w:w="1559" w:type="dxa"/>
            <w:tcBorders>
              <w:top w:val="nil"/>
              <w:left w:val="nil"/>
              <w:bottom w:val="nil"/>
              <w:right w:val="nil"/>
            </w:tcBorders>
            <w:shd w:val="clear" w:color="auto" w:fill="auto"/>
            <w:noWrap/>
            <w:vAlign w:val="bottom"/>
            <w:hideMark/>
          </w:tcPr>
          <w:p w14:paraId="46F73F03"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32D2107C" w14:textId="77777777" w:rsidTr="00467E77">
        <w:trPr>
          <w:trHeight w:val="288"/>
        </w:trPr>
        <w:tc>
          <w:tcPr>
            <w:tcW w:w="2624" w:type="dxa"/>
            <w:tcBorders>
              <w:top w:val="nil"/>
              <w:left w:val="nil"/>
              <w:bottom w:val="nil"/>
              <w:right w:val="nil"/>
            </w:tcBorders>
            <w:vAlign w:val="bottom"/>
          </w:tcPr>
          <w:p w14:paraId="2BE20445"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BUPA</w:t>
            </w:r>
          </w:p>
        </w:tc>
        <w:tc>
          <w:tcPr>
            <w:tcW w:w="1916" w:type="dxa"/>
            <w:tcBorders>
              <w:top w:val="nil"/>
              <w:left w:val="nil"/>
              <w:bottom w:val="nil"/>
              <w:right w:val="nil"/>
            </w:tcBorders>
            <w:shd w:val="clear" w:color="auto" w:fill="auto"/>
            <w:noWrap/>
            <w:vAlign w:val="bottom"/>
            <w:hideMark/>
          </w:tcPr>
          <w:p w14:paraId="18CAA38F"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0.02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0.1]</w:t>
            </w:r>
          </w:p>
        </w:tc>
        <w:tc>
          <w:tcPr>
            <w:tcW w:w="847" w:type="dxa"/>
            <w:tcBorders>
              <w:top w:val="nil"/>
              <w:left w:val="nil"/>
              <w:bottom w:val="nil"/>
              <w:right w:val="nil"/>
            </w:tcBorders>
            <w:shd w:val="clear" w:color="auto" w:fill="auto"/>
            <w:noWrap/>
            <w:vAlign w:val="bottom"/>
            <w:hideMark/>
          </w:tcPr>
          <w:p w14:paraId="30F16C48"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0,64</w:t>
            </w:r>
          </w:p>
        </w:tc>
        <w:tc>
          <w:tcPr>
            <w:tcW w:w="1559" w:type="dxa"/>
            <w:tcBorders>
              <w:top w:val="nil"/>
              <w:left w:val="nil"/>
              <w:bottom w:val="nil"/>
              <w:right w:val="nil"/>
            </w:tcBorders>
            <w:shd w:val="clear" w:color="auto" w:fill="auto"/>
            <w:noWrap/>
            <w:vAlign w:val="bottom"/>
            <w:hideMark/>
          </w:tcPr>
          <w:p w14:paraId="38D3DD00"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36C011F8" w14:textId="77777777" w:rsidTr="00467E77">
        <w:trPr>
          <w:trHeight w:val="288"/>
        </w:trPr>
        <w:tc>
          <w:tcPr>
            <w:tcW w:w="2624" w:type="dxa"/>
            <w:tcBorders>
              <w:top w:val="nil"/>
              <w:left w:val="nil"/>
              <w:bottom w:val="nil"/>
              <w:right w:val="nil"/>
            </w:tcBorders>
            <w:vAlign w:val="bottom"/>
          </w:tcPr>
          <w:p w14:paraId="3FCF2376"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PRPA</w:t>
            </w:r>
          </w:p>
        </w:tc>
        <w:tc>
          <w:tcPr>
            <w:tcW w:w="1916" w:type="dxa"/>
            <w:tcBorders>
              <w:top w:val="nil"/>
              <w:left w:val="nil"/>
              <w:bottom w:val="nil"/>
              <w:right w:val="nil"/>
            </w:tcBorders>
            <w:shd w:val="clear" w:color="auto" w:fill="auto"/>
            <w:noWrap/>
            <w:vAlign w:val="bottom"/>
            <w:hideMark/>
          </w:tcPr>
          <w:p w14:paraId="08904B79"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0.00 [-0.</w:t>
            </w:r>
            <w:proofErr w:type="gramStart"/>
            <w:r w:rsidRPr="008A5C48">
              <w:rPr>
                <w:rFonts w:ascii="Times New Roman" w:eastAsia="Times New Roman" w:hAnsi="Times New Roman" w:cs="Times New Roman"/>
                <w:color w:val="000000"/>
                <w:sz w:val="20"/>
                <w:szCs w:val="20"/>
                <w:lang w:val="fr-FR"/>
              </w:rPr>
              <w:t>05;</w:t>
            </w:r>
            <w:proofErr w:type="gramEnd"/>
            <w:r w:rsidRPr="008A5C48">
              <w:rPr>
                <w:rFonts w:ascii="Times New Roman" w:eastAsia="Times New Roman" w:hAnsi="Times New Roman" w:cs="Times New Roman"/>
                <w:color w:val="000000"/>
                <w:sz w:val="20"/>
                <w:szCs w:val="20"/>
                <w:lang w:val="fr-FR"/>
              </w:rPr>
              <w:t xml:space="preserve"> 0.05]</w:t>
            </w:r>
          </w:p>
        </w:tc>
        <w:tc>
          <w:tcPr>
            <w:tcW w:w="847" w:type="dxa"/>
            <w:tcBorders>
              <w:top w:val="nil"/>
              <w:left w:val="nil"/>
              <w:bottom w:val="nil"/>
              <w:right w:val="nil"/>
            </w:tcBorders>
            <w:shd w:val="clear" w:color="auto" w:fill="auto"/>
            <w:noWrap/>
            <w:vAlign w:val="bottom"/>
            <w:hideMark/>
          </w:tcPr>
          <w:p w14:paraId="22AC2020"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0,92</w:t>
            </w:r>
          </w:p>
        </w:tc>
        <w:tc>
          <w:tcPr>
            <w:tcW w:w="1559" w:type="dxa"/>
            <w:tcBorders>
              <w:top w:val="nil"/>
              <w:left w:val="nil"/>
              <w:bottom w:val="nil"/>
              <w:right w:val="nil"/>
            </w:tcBorders>
            <w:shd w:val="clear" w:color="auto" w:fill="auto"/>
            <w:noWrap/>
            <w:vAlign w:val="bottom"/>
            <w:hideMark/>
          </w:tcPr>
          <w:p w14:paraId="405923D2"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0A2147BB" w14:textId="77777777" w:rsidTr="00467E77">
        <w:trPr>
          <w:trHeight w:val="288"/>
        </w:trPr>
        <w:tc>
          <w:tcPr>
            <w:tcW w:w="2624" w:type="dxa"/>
            <w:tcBorders>
              <w:top w:val="nil"/>
              <w:left w:val="nil"/>
              <w:bottom w:val="nil"/>
              <w:right w:val="nil"/>
            </w:tcBorders>
            <w:vAlign w:val="bottom"/>
          </w:tcPr>
          <w:p w14:paraId="017E3967"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OXBE</w:t>
            </w:r>
          </w:p>
        </w:tc>
        <w:tc>
          <w:tcPr>
            <w:tcW w:w="1916" w:type="dxa"/>
            <w:tcBorders>
              <w:top w:val="nil"/>
              <w:left w:val="nil"/>
              <w:bottom w:val="nil"/>
              <w:right w:val="nil"/>
            </w:tcBorders>
            <w:shd w:val="clear" w:color="auto" w:fill="auto"/>
            <w:noWrap/>
            <w:vAlign w:val="bottom"/>
            <w:hideMark/>
          </w:tcPr>
          <w:p w14:paraId="626CE3E1"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-0.03 [-0.</w:t>
            </w:r>
            <w:proofErr w:type="gramStart"/>
            <w:r w:rsidRPr="008A5C48">
              <w:rPr>
                <w:rFonts w:ascii="Times New Roman" w:eastAsia="Times New Roman" w:hAnsi="Times New Roman" w:cs="Times New Roman"/>
                <w:color w:val="000000"/>
                <w:sz w:val="20"/>
                <w:szCs w:val="20"/>
                <w:lang w:val="fr-FR"/>
              </w:rPr>
              <w:t>1;</w:t>
            </w:r>
            <w:proofErr w:type="gramEnd"/>
            <w:r w:rsidRPr="008A5C48">
              <w:rPr>
                <w:rFonts w:ascii="Times New Roman" w:eastAsia="Times New Roman" w:hAnsi="Times New Roman" w:cs="Times New Roman"/>
                <w:color w:val="000000"/>
                <w:sz w:val="20"/>
                <w:szCs w:val="20"/>
                <w:lang w:val="fr-FR"/>
              </w:rPr>
              <w:t xml:space="preserve"> 0.04]</w:t>
            </w:r>
          </w:p>
        </w:tc>
        <w:tc>
          <w:tcPr>
            <w:tcW w:w="847" w:type="dxa"/>
            <w:tcBorders>
              <w:top w:val="nil"/>
              <w:left w:val="nil"/>
              <w:bottom w:val="nil"/>
              <w:right w:val="nil"/>
            </w:tcBorders>
            <w:shd w:val="clear" w:color="auto" w:fill="auto"/>
            <w:noWrap/>
            <w:vAlign w:val="bottom"/>
            <w:hideMark/>
          </w:tcPr>
          <w:p w14:paraId="066F292D"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0,40</w:t>
            </w:r>
          </w:p>
        </w:tc>
        <w:tc>
          <w:tcPr>
            <w:tcW w:w="1559" w:type="dxa"/>
            <w:tcBorders>
              <w:top w:val="nil"/>
              <w:left w:val="nil"/>
              <w:bottom w:val="nil"/>
              <w:right w:val="nil"/>
            </w:tcBorders>
            <w:shd w:val="clear" w:color="auto" w:fill="auto"/>
            <w:noWrap/>
            <w:vAlign w:val="bottom"/>
            <w:hideMark/>
          </w:tcPr>
          <w:p w14:paraId="718B5AA4"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445C1219" w14:textId="77777777" w:rsidTr="00467E77">
        <w:trPr>
          <w:trHeight w:val="288"/>
        </w:trPr>
        <w:tc>
          <w:tcPr>
            <w:tcW w:w="2624" w:type="dxa"/>
            <w:tcBorders>
              <w:top w:val="nil"/>
              <w:left w:val="nil"/>
              <w:bottom w:val="nil"/>
              <w:right w:val="nil"/>
            </w:tcBorders>
            <w:vAlign w:val="bottom"/>
          </w:tcPr>
          <w:p w14:paraId="39C9980B"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TRCS</w:t>
            </w:r>
          </w:p>
        </w:tc>
        <w:tc>
          <w:tcPr>
            <w:tcW w:w="1916" w:type="dxa"/>
            <w:tcBorders>
              <w:top w:val="nil"/>
              <w:left w:val="nil"/>
              <w:bottom w:val="nil"/>
              <w:right w:val="nil"/>
            </w:tcBorders>
            <w:shd w:val="clear" w:color="auto" w:fill="auto"/>
            <w:noWrap/>
            <w:vAlign w:val="bottom"/>
            <w:hideMark/>
          </w:tcPr>
          <w:p w14:paraId="05DA9FF0"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07;</w:t>
            </w:r>
            <w:proofErr w:type="gramEnd"/>
            <w:r w:rsidRPr="008A5C48">
              <w:rPr>
                <w:rFonts w:ascii="Times New Roman" w:eastAsia="Times New Roman" w:hAnsi="Times New Roman" w:cs="Times New Roman"/>
                <w:color w:val="000000"/>
                <w:sz w:val="20"/>
                <w:szCs w:val="20"/>
                <w:lang w:val="fr-FR"/>
              </w:rPr>
              <w:t xml:space="preserve"> 0.06]</w:t>
            </w:r>
          </w:p>
        </w:tc>
        <w:tc>
          <w:tcPr>
            <w:tcW w:w="847" w:type="dxa"/>
            <w:tcBorders>
              <w:top w:val="nil"/>
              <w:left w:val="nil"/>
              <w:bottom w:val="nil"/>
              <w:right w:val="nil"/>
            </w:tcBorders>
            <w:shd w:val="clear" w:color="auto" w:fill="auto"/>
            <w:noWrap/>
            <w:vAlign w:val="bottom"/>
            <w:hideMark/>
          </w:tcPr>
          <w:p w14:paraId="2F3667AC"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0,87</w:t>
            </w:r>
          </w:p>
        </w:tc>
        <w:tc>
          <w:tcPr>
            <w:tcW w:w="1559" w:type="dxa"/>
            <w:tcBorders>
              <w:top w:val="nil"/>
              <w:left w:val="nil"/>
              <w:bottom w:val="nil"/>
              <w:right w:val="nil"/>
            </w:tcBorders>
            <w:shd w:val="clear" w:color="auto" w:fill="auto"/>
            <w:noWrap/>
            <w:vAlign w:val="bottom"/>
            <w:hideMark/>
          </w:tcPr>
          <w:p w14:paraId="5533EEC6"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1F5E583F" w14:textId="77777777" w:rsidTr="00467E77">
        <w:trPr>
          <w:trHeight w:val="288"/>
        </w:trPr>
        <w:tc>
          <w:tcPr>
            <w:tcW w:w="2624" w:type="dxa"/>
            <w:tcBorders>
              <w:top w:val="nil"/>
              <w:left w:val="nil"/>
              <w:bottom w:val="nil"/>
              <w:right w:val="nil"/>
            </w:tcBorders>
            <w:vAlign w:val="bottom"/>
          </w:tcPr>
          <w:p w14:paraId="1B2F1FB4"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MBZP</w:t>
            </w:r>
          </w:p>
        </w:tc>
        <w:tc>
          <w:tcPr>
            <w:tcW w:w="1916" w:type="dxa"/>
            <w:tcBorders>
              <w:top w:val="nil"/>
              <w:left w:val="nil"/>
              <w:bottom w:val="nil"/>
              <w:right w:val="nil"/>
            </w:tcBorders>
            <w:shd w:val="clear" w:color="auto" w:fill="auto"/>
            <w:noWrap/>
            <w:vAlign w:val="bottom"/>
            <w:hideMark/>
          </w:tcPr>
          <w:p w14:paraId="79DFEEF7"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0.05]</w:t>
            </w:r>
          </w:p>
        </w:tc>
        <w:tc>
          <w:tcPr>
            <w:tcW w:w="847" w:type="dxa"/>
            <w:tcBorders>
              <w:top w:val="nil"/>
              <w:left w:val="nil"/>
              <w:bottom w:val="nil"/>
              <w:right w:val="nil"/>
            </w:tcBorders>
            <w:shd w:val="clear" w:color="auto" w:fill="auto"/>
            <w:noWrap/>
            <w:vAlign w:val="bottom"/>
            <w:hideMark/>
          </w:tcPr>
          <w:p w14:paraId="1EDF6AE0"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0,78</w:t>
            </w:r>
          </w:p>
        </w:tc>
        <w:tc>
          <w:tcPr>
            <w:tcW w:w="1559" w:type="dxa"/>
            <w:tcBorders>
              <w:top w:val="nil"/>
              <w:left w:val="nil"/>
              <w:bottom w:val="nil"/>
              <w:right w:val="nil"/>
            </w:tcBorders>
            <w:shd w:val="clear" w:color="auto" w:fill="auto"/>
            <w:noWrap/>
            <w:vAlign w:val="bottom"/>
            <w:hideMark/>
          </w:tcPr>
          <w:p w14:paraId="7C13D1A3"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2D3B94AA" w14:textId="77777777" w:rsidTr="00467E77">
        <w:trPr>
          <w:trHeight w:val="288"/>
        </w:trPr>
        <w:tc>
          <w:tcPr>
            <w:tcW w:w="2624" w:type="dxa"/>
            <w:tcBorders>
              <w:top w:val="nil"/>
              <w:left w:val="nil"/>
              <w:bottom w:val="nil"/>
              <w:right w:val="nil"/>
            </w:tcBorders>
            <w:vAlign w:val="bottom"/>
          </w:tcPr>
          <w:p w14:paraId="016C3073"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Molar sum of DEHP</w:t>
            </w:r>
          </w:p>
        </w:tc>
        <w:tc>
          <w:tcPr>
            <w:tcW w:w="1916" w:type="dxa"/>
            <w:tcBorders>
              <w:top w:val="nil"/>
              <w:left w:val="nil"/>
              <w:bottom w:val="nil"/>
              <w:right w:val="nil"/>
            </w:tcBorders>
            <w:shd w:val="clear" w:color="auto" w:fill="auto"/>
            <w:noWrap/>
            <w:vAlign w:val="bottom"/>
            <w:hideMark/>
          </w:tcPr>
          <w:p w14:paraId="2E8B4ACD"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0.04]</w:t>
            </w:r>
          </w:p>
        </w:tc>
        <w:tc>
          <w:tcPr>
            <w:tcW w:w="847" w:type="dxa"/>
            <w:tcBorders>
              <w:top w:val="nil"/>
              <w:left w:val="nil"/>
              <w:bottom w:val="nil"/>
              <w:right w:val="nil"/>
            </w:tcBorders>
            <w:shd w:val="clear" w:color="auto" w:fill="auto"/>
            <w:noWrap/>
            <w:vAlign w:val="bottom"/>
            <w:hideMark/>
          </w:tcPr>
          <w:p w14:paraId="30C15598"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0,67</w:t>
            </w:r>
          </w:p>
        </w:tc>
        <w:tc>
          <w:tcPr>
            <w:tcW w:w="1559" w:type="dxa"/>
            <w:tcBorders>
              <w:top w:val="nil"/>
              <w:left w:val="nil"/>
              <w:bottom w:val="nil"/>
              <w:right w:val="nil"/>
            </w:tcBorders>
            <w:shd w:val="clear" w:color="auto" w:fill="auto"/>
            <w:noWrap/>
            <w:vAlign w:val="bottom"/>
            <w:hideMark/>
          </w:tcPr>
          <w:p w14:paraId="03FD7343"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51ACE23A" w14:textId="77777777" w:rsidTr="00467E77">
        <w:trPr>
          <w:trHeight w:val="288"/>
        </w:trPr>
        <w:tc>
          <w:tcPr>
            <w:tcW w:w="2624" w:type="dxa"/>
            <w:tcBorders>
              <w:top w:val="nil"/>
              <w:left w:val="nil"/>
              <w:bottom w:val="nil"/>
              <w:right w:val="nil"/>
            </w:tcBorders>
            <w:vAlign w:val="bottom"/>
          </w:tcPr>
          <w:p w14:paraId="61C30C3E"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Molar sum of DINP</w:t>
            </w:r>
          </w:p>
        </w:tc>
        <w:tc>
          <w:tcPr>
            <w:tcW w:w="1916" w:type="dxa"/>
            <w:tcBorders>
              <w:top w:val="nil"/>
              <w:left w:val="nil"/>
              <w:bottom w:val="nil"/>
              <w:right w:val="nil"/>
            </w:tcBorders>
            <w:shd w:val="clear" w:color="auto" w:fill="auto"/>
            <w:noWrap/>
            <w:vAlign w:val="bottom"/>
            <w:hideMark/>
          </w:tcPr>
          <w:p w14:paraId="12B99DDA"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0.00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0.06]</w:t>
            </w:r>
          </w:p>
        </w:tc>
        <w:tc>
          <w:tcPr>
            <w:tcW w:w="847" w:type="dxa"/>
            <w:tcBorders>
              <w:top w:val="nil"/>
              <w:left w:val="nil"/>
              <w:bottom w:val="nil"/>
              <w:right w:val="nil"/>
            </w:tcBorders>
            <w:shd w:val="clear" w:color="auto" w:fill="auto"/>
            <w:noWrap/>
            <w:vAlign w:val="bottom"/>
            <w:hideMark/>
          </w:tcPr>
          <w:p w14:paraId="75E95E9A"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0,95</w:t>
            </w:r>
          </w:p>
        </w:tc>
        <w:tc>
          <w:tcPr>
            <w:tcW w:w="1559" w:type="dxa"/>
            <w:tcBorders>
              <w:top w:val="nil"/>
              <w:left w:val="nil"/>
              <w:bottom w:val="nil"/>
              <w:right w:val="nil"/>
            </w:tcBorders>
            <w:shd w:val="clear" w:color="auto" w:fill="auto"/>
            <w:noWrap/>
            <w:vAlign w:val="bottom"/>
            <w:hideMark/>
          </w:tcPr>
          <w:p w14:paraId="14DF32CF"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2B57B39E" w14:textId="77777777" w:rsidTr="00467E77">
        <w:trPr>
          <w:trHeight w:val="288"/>
        </w:trPr>
        <w:tc>
          <w:tcPr>
            <w:tcW w:w="2624" w:type="dxa"/>
            <w:tcBorders>
              <w:top w:val="nil"/>
              <w:left w:val="nil"/>
              <w:bottom w:val="nil"/>
              <w:right w:val="nil"/>
            </w:tcBorders>
            <w:vAlign w:val="bottom"/>
          </w:tcPr>
          <w:p w14:paraId="706F994B"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MEP</w:t>
            </w:r>
          </w:p>
        </w:tc>
        <w:tc>
          <w:tcPr>
            <w:tcW w:w="1916" w:type="dxa"/>
            <w:tcBorders>
              <w:top w:val="nil"/>
              <w:left w:val="nil"/>
              <w:bottom w:val="nil"/>
              <w:right w:val="nil"/>
            </w:tcBorders>
            <w:shd w:val="clear" w:color="auto" w:fill="auto"/>
            <w:noWrap/>
            <w:vAlign w:val="bottom"/>
            <w:hideMark/>
          </w:tcPr>
          <w:p w14:paraId="0458C45E"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-0.02 [-0.</w:t>
            </w:r>
            <w:proofErr w:type="gramStart"/>
            <w:r w:rsidRPr="008A5C48">
              <w:rPr>
                <w:rFonts w:ascii="Times New Roman" w:eastAsia="Times New Roman" w:hAnsi="Times New Roman" w:cs="Times New Roman"/>
                <w:color w:val="000000"/>
                <w:sz w:val="20"/>
                <w:szCs w:val="20"/>
                <w:lang w:val="fr-FR"/>
              </w:rPr>
              <w:t>07;</w:t>
            </w:r>
            <w:proofErr w:type="gramEnd"/>
            <w:r w:rsidRPr="008A5C48">
              <w:rPr>
                <w:rFonts w:ascii="Times New Roman" w:eastAsia="Times New Roman" w:hAnsi="Times New Roman" w:cs="Times New Roman"/>
                <w:color w:val="000000"/>
                <w:sz w:val="20"/>
                <w:szCs w:val="20"/>
                <w:lang w:val="fr-FR"/>
              </w:rPr>
              <w:t xml:space="preserve"> 0.03]</w:t>
            </w:r>
          </w:p>
        </w:tc>
        <w:tc>
          <w:tcPr>
            <w:tcW w:w="847" w:type="dxa"/>
            <w:tcBorders>
              <w:top w:val="nil"/>
              <w:left w:val="nil"/>
              <w:bottom w:val="nil"/>
              <w:right w:val="nil"/>
            </w:tcBorders>
            <w:shd w:val="clear" w:color="auto" w:fill="auto"/>
            <w:noWrap/>
            <w:vAlign w:val="bottom"/>
            <w:hideMark/>
          </w:tcPr>
          <w:p w14:paraId="5C71EFD6"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0,41</w:t>
            </w:r>
          </w:p>
        </w:tc>
        <w:tc>
          <w:tcPr>
            <w:tcW w:w="1559" w:type="dxa"/>
            <w:tcBorders>
              <w:top w:val="nil"/>
              <w:left w:val="nil"/>
              <w:bottom w:val="nil"/>
              <w:right w:val="nil"/>
            </w:tcBorders>
            <w:shd w:val="clear" w:color="auto" w:fill="auto"/>
            <w:noWrap/>
            <w:vAlign w:val="bottom"/>
            <w:hideMark/>
          </w:tcPr>
          <w:p w14:paraId="1A0ACC98"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194A11AF" w14:textId="77777777" w:rsidTr="00467E77">
        <w:trPr>
          <w:trHeight w:val="288"/>
        </w:trPr>
        <w:tc>
          <w:tcPr>
            <w:tcW w:w="2624" w:type="dxa"/>
            <w:tcBorders>
              <w:top w:val="nil"/>
              <w:left w:val="nil"/>
              <w:bottom w:val="nil"/>
              <w:right w:val="nil"/>
            </w:tcBorders>
            <w:vAlign w:val="bottom"/>
          </w:tcPr>
          <w:p w14:paraId="5E928A6A"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MIBP</w:t>
            </w:r>
          </w:p>
        </w:tc>
        <w:tc>
          <w:tcPr>
            <w:tcW w:w="1916" w:type="dxa"/>
            <w:tcBorders>
              <w:top w:val="nil"/>
              <w:left w:val="nil"/>
              <w:bottom w:val="nil"/>
              <w:right w:val="nil"/>
            </w:tcBorders>
            <w:shd w:val="clear" w:color="auto" w:fill="auto"/>
            <w:noWrap/>
            <w:vAlign w:val="bottom"/>
            <w:hideMark/>
          </w:tcPr>
          <w:p w14:paraId="36D4F26E"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-0.02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0.03]</w:t>
            </w:r>
          </w:p>
        </w:tc>
        <w:tc>
          <w:tcPr>
            <w:tcW w:w="847" w:type="dxa"/>
            <w:tcBorders>
              <w:top w:val="nil"/>
              <w:left w:val="nil"/>
              <w:bottom w:val="nil"/>
              <w:right w:val="nil"/>
            </w:tcBorders>
            <w:shd w:val="clear" w:color="auto" w:fill="auto"/>
            <w:noWrap/>
            <w:vAlign w:val="bottom"/>
            <w:hideMark/>
          </w:tcPr>
          <w:p w14:paraId="22652B59"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0,42</w:t>
            </w:r>
          </w:p>
        </w:tc>
        <w:tc>
          <w:tcPr>
            <w:tcW w:w="1559" w:type="dxa"/>
            <w:tcBorders>
              <w:top w:val="nil"/>
              <w:left w:val="nil"/>
              <w:bottom w:val="nil"/>
              <w:right w:val="nil"/>
            </w:tcBorders>
            <w:shd w:val="clear" w:color="auto" w:fill="auto"/>
            <w:noWrap/>
            <w:vAlign w:val="bottom"/>
            <w:hideMark/>
          </w:tcPr>
          <w:p w14:paraId="1E3CB074"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1ABA2417" w14:textId="77777777" w:rsidTr="00467E77">
        <w:trPr>
          <w:trHeight w:val="288"/>
        </w:trPr>
        <w:tc>
          <w:tcPr>
            <w:tcW w:w="2624" w:type="dxa"/>
            <w:tcBorders>
              <w:top w:val="nil"/>
              <w:left w:val="nil"/>
              <w:bottom w:val="nil"/>
              <w:right w:val="nil"/>
            </w:tcBorders>
            <w:vAlign w:val="bottom"/>
          </w:tcPr>
          <w:p w14:paraId="49951B40"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MNBP</w:t>
            </w:r>
          </w:p>
        </w:tc>
        <w:tc>
          <w:tcPr>
            <w:tcW w:w="1916" w:type="dxa"/>
            <w:tcBorders>
              <w:top w:val="nil"/>
              <w:left w:val="nil"/>
              <w:bottom w:val="nil"/>
              <w:right w:val="nil"/>
            </w:tcBorders>
            <w:shd w:val="clear" w:color="auto" w:fill="auto"/>
            <w:noWrap/>
            <w:vAlign w:val="bottom"/>
            <w:hideMark/>
          </w:tcPr>
          <w:p w14:paraId="78433452"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0.04]</w:t>
            </w:r>
          </w:p>
        </w:tc>
        <w:tc>
          <w:tcPr>
            <w:tcW w:w="847" w:type="dxa"/>
            <w:tcBorders>
              <w:top w:val="nil"/>
              <w:left w:val="nil"/>
              <w:bottom w:val="nil"/>
              <w:right w:val="nil"/>
            </w:tcBorders>
            <w:shd w:val="clear" w:color="auto" w:fill="auto"/>
            <w:noWrap/>
            <w:vAlign w:val="bottom"/>
            <w:hideMark/>
          </w:tcPr>
          <w:p w14:paraId="453B3855"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0,58</w:t>
            </w:r>
          </w:p>
        </w:tc>
        <w:tc>
          <w:tcPr>
            <w:tcW w:w="1559" w:type="dxa"/>
            <w:tcBorders>
              <w:top w:val="nil"/>
              <w:left w:val="nil"/>
              <w:bottom w:val="nil"/>
              <w:right w:val="nil"/>
            </w:tcBorders>
            <w:shd w:val="clear" w:color="auto" w:fill="auto"/>
            <w:noWrap/>
            <w:vAlign w:val="bottom"/>
            <w:hideMark/>
          </w:tcPr>
          <w:p w14:paraId="0BECE92D"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46112091" w14:textId="77777777" w:rsidTr="00467E77">
        <w:trPr>
          <w:trHeight w:val="288"/>
        </w:trPr>
        <w:tc>
          <w:tcPr>
            <w:tcW w:w="2624" w:type="dxa"/>
            <w:tcBorders>
              <w:top w:val="nil"/>
              <w:left w:val="nil"/>
              <w:bottom w:val="nil"/>
              <w:right w:val="nil"/>
            </w:tcBorders>
            <w:vAlign w:val="bottom"/>
          </w:tcPr>
          <w:p w14:paraId="7207376E"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Hg</w:t>
            </w:r>
          </w:p>
        </w:tc>
        <w:tc>
          <w:tcPr>
            <w:tcW w:w="1916" w:type="dxa"/>
            <w:tcBorders>
              <w:top w:val="nil"/>
              <w:left w:val="nil"/>
              <w:bottom w:val="nil"/>
              <w:right w:val="nil"/>
            </w:tcBorders>
            <w:shd w:val="clear" w:color="auto" w:fill="auto"/>
            <w:noWrap/>
            <w:vAlign w:val="bottom"/>
            <w:hideMark/>
          </w:tcPr>
          <w:p w14:paraId="19E67631"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09;</w:t>
            </w:r>
            <w:proofErr w:type="gramEnd"/>
            <w:r w:rsidRPr="008A5C48">
              <w:rPr>
                <w:rFonts w:ascii="Times New Roman" w:eastAsia="Times New Roman" w:hAnsi="Times New Roman" w:cs="Times New Roman"/>
                <w:color w:val="000000"/>
                <w:sz w:val="20"/>
                <w:szCs w:val="20"/>
                <w:lang w:val="fr-FR"/>
              </w:rPr>
              <w:t xml:space="preserve"> 0.06]</w:t>
            </w:r>
          </w:p>
        </w:tc>
        <w:tc>
          <w:tcPr>
            <w:tcW w:w="847" w:type="dxa"/>
            <w:tcBorders>
              <w:top w:val="nil"/>
              <w:left w:val="nil"/>
              <w:bottom w:val="nil"/>
              <w:right w:val="nil"/>
            </w:tcBorders>
            <w:shd w:val="clear" w:color="auto" w:fill="auto"/>
            <w:noWrap/>
            <w:vAlign w:val="bottom"/>
            <w:hideMark/>
          </w:tcPr>
          <w:p w14:paraId="3950F9C3"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0,72</w:t>
            </w:r>
          </w:p>
        </w:tc>
        <w:tc>
          <w:tcPr>
            <w:tcW w:w="1559" w:type="dxa"/>
            <w:tcBorders>
              <w:top w:val="nil"/>
              <w:left w:val="nil"/>
              <w:bottom w:val="nil"/>
              <w:right w:val="nil"/>
            </w:tcBorders>
            <w:shd w:val="clear" w:color="auto" w:fill="auto"/>
            <w:noWrap/>
            <w:vAlign w:val="bottom"/>
            <w:hideMark/>
          </w:tcPr>
          <w:p w14:paraId="728A7E03"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1029ABAF" w14:textId="77777777" w:rsidTr="00467E77">
        <w:trPr>
          <w:trHeight w:val="288"/>
        </w:trPr>
        <w:tc>
          <w:tcPr>
            <w:tcW w:w="2624" w:type="dxa"/>
            <w:tcBorders>
              <w:top w:val="nil"/>
              <w:left w:val="nil"/>
              <w:bottom w:val="nil"/>
              <w:right w:val="nil"/>
            </w:tcBorders>
            <w:vAlign w:val="bottom"/>
          </w:tcPr>
          <w:p w14:paraId="1A1B2EAC"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PFHXS</w:t>
            </w:r>
          </w:p>
        </w:tc>
        <w:tc>
          <w:tcPr>
            <w:tcW w:w="1916" w:type="dxa"/>
            <w:tcBorders>
              <w:top w:val="nil"/>
              <w:left w:val="nil"/>
              <w:bottom w:val="nil"/>
              <w:right w:val="nil"/>
            </w:tcBorders>
            <w:shd w:val="clear" w:color="auto" w:fill="auto"/>
            <w:noWrap/>
            <w:vAlign w:val="bottom"/>
            <w:hideMark/>
          </w:tcPr>
          <w:p w14:paraId="1FDA47B7"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0.00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0.06]</w:t>
            </w:r>
          </w:p>
        </w:tc>
        <w:tc>
          <w:tcPr>
            <w:tcW w:w="847" w:type="dxa"/>
            <w:tcBorders>
              <w:top w:val="nil"/>
              <w:left w:val="nil"/>
              <w:bottom w:val="nil"/>
              <w:right w:val="nil"/>
            </w:tcBorders>
            <w:shd w:val="clear" w:color="auto" w:fill="auto"/>
            <w:noWrap/>
            <w:vAlign w:val="bottom"/>
            <w:hideMark/>
          </w:tcPr>
          <w:p w14:paraId="13FDF90C"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0,88</w:t>
            </w:r>
          </w:p>
        </w:tc>
        <w:tc>
          <w:tcPr>
            <w:tcW w:w="1559" w:type="dxa"/>
            <w:tcBorders>
              <w:top w:val="nil"/>
              <w:left w:val="nil"/>
              <w:bottom w:val="nil"/>
              <w:right w:val="nil"/>
            </w:tcBorders>
            <w:shd w:val="clear" w:color="auto" w:fill="auto"/>
            <w:noWrap/>
            <w:vAlign w:val="bottom"/>
            <w:hideMark/>
          </w:tcPr>
          <w:p w14:paraId="1147F25E"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30490C0C" w14:textId="77777777" w:rsidTr="00467E77">
        <w:trPr>
          <w:trHeight w:val="288"/>
        </w:trPr>
        <w:tc>
          <w:tcPr>
            <w:tcW w:w="2624" w:type="dxa"/>
            <w:tcBorders>
              <w:top w:val="nil"/>
              <w:left w:val="nil"/>
              <w:bottom w:val="nil"/>
              <w:right w:val="nil"/>
            </w:tcBorders>
            <w:vAlign w:val="bottom"/>
          </w:tcPr>
          <w:p w14:paraId="29AC2082"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lastRenderedPageBreak/>
              <w:t>PFNA</w:t>
            </w:r>
          </w:p>
        </w:tc>
        <w:tc>
          <w:tcPr>
            <w:tcW w:w="1916" w:type="dxa"/>
            <w:tcBorders>
              <w:top w:val="nil"/>
              <w:left w:val="nil"/>
              <w:bottom w:val="nil"/>
              <w:right w:val="nil"/>
            </w:tcBorders>
            <w:shd w:val="clear" w:color="auto" w:fill="auto"/>
            <w:noWrap/>
            <w:vAlign w:val="bottom"/>
            <w:hideMark/>
          </w:tcPr>
          <w:p w14:paraId="4B67DD17"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-0.02 [-0.</w:t>
            </w:r>
            <w:proofErr w:type="gramStart"/>
            <w:r w:rsidRPr="008A5C48">
              <w:rPr>
                <w:rFonts w:ascii="Times New Roman" w:eastAsia="Times New Roman" w:hAnsi="Times New Roman" w:cs="Times New Roman"/>
                <w:color w:val="000000"/>
                <w:sz w:val="20"/>
                <w:szCs w:val="20"/>
                <w:lang w:val="fr-FR"/>
              </w:rPr>
              <w:t>09;</w:t>
            </w:r>
            <w:proofErr w:type="gramEnd"/>
            <w:r w:rsidRPr="008A5C48">
              <w:rPr>
                <w:rFonts w:ascii="Times New Roman" w:eastAsia="Times New Roman" w:hAnsi="Times New Roman" w:cs="Times New Roman"/>
                <w:color w:val="000000"/>
                <w:sz w:val="20"/>
                <w:szCs w:val="20"/>
                <w:lang w:val="fr-FR"/>
              </w:rPr>
              <w:t xml:space="preserve"> 0.04]</w:t>
            </w:r>
          </w:p>
        </w:tc>
        <w:tc>
          <w:tcPr>
            <w:tcW w:w="847" w:type="dxa"/>
            <w:tcBorders>
              <w:top w:val="nil"/>
              <w:left w:val="nil"/>
              <w:bottom w:val="nil"/>
              <w:right w:val="nil"/>
            </w:tcBorders>
            <w:shd w:val="clear" w:color="auto" w:fill="auto"/>
            <w:noWrap/>
            <w:vAlign w:val="bottom"/>
            <w:hideMark/>
          </w:tcPr>
          <w:p w14:paraId="6A99883B"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0,51</w:t>
            </w:r>
          </w:p>
        </w:tc>
        <w:tc>
          <w:tcPr>
            <w:tcW w:w="1559" w:type="dxa"/>
            <w:tcBorders>
              <w:top w:val="nil"/>
              <w:left w:val="nil"/>
              <w:bottom w:val="nil"/>
              <w:right w:val="nil"/>
            </w:tcBorders>
            <w:shd w:val="clear" w:color="auto" w:fill="auto"/>
            <w:noWrap/>
            <w:vAlign w:val="bottom"/>
            <w:hideMark/>
          </w:tcPr>
          <w:p w14:paraId="1F0C2736"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3B88D098" w14:textId="77777777" w:rsidTr="00467E77">
        <w:trPr>
          <w:trHeight w:val="288"/>
        </w:trPr>
        <w:tc>
          <w:tcPr>
            <w:tcW w:w="2624" w:type="dxa"/>
            <w:tcBorders>
              <w:top w:val="nil"/>
              <w:left w:val="nil"/>
              <w:bottom w:val="nil"/>
              <w:right w:val="nil"/>
            </w:tcBorders>
            <w:vAlign w:val="bottom"/>
          </w:tcPr>
          <w:p w14:paraId="7D60027F"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PFOA</w:t>
            </w:r>
          </w:p>
        </w:tc>
        <w:tc>
          <w:tcPr>
            <w:tcW w:w="1916" w:type="dxa"/>
            <w:tcBorders>
              <w:top w:val="nil"/>
              <w:left w:val="nil"/>
              <w:bottom w:val="nil"/>
              <w:right w:val="nil"/>
            </w:tcBorders>
            <w:shd w:val="clear" w:color="auto" w:fill="auto"/>
            <w:noWrap/>
            <w:vAlign w:val="bottom"/>
            <w:hideMark/>
          </w:tcPr>
          <w:p w14:paraId="674CAFAE"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-0.04 [-0.</w:t>
            </w:r>
            <w:proofErr w:type="gramStart"/>
            <w:r w:rsidRPr="008A5C48">
              <w:rPr>
                <w:rFonts w:ascii="Times New Roman" w:eastAsia="Times New Roman" w:hAnsi="Times New Roman" w:cs="Times New Roman"/>
                <w:color w:val="000000"/>
                <w:sz w:val="20"/>
                <w:szCs w:val="20"/>
                <w:lang w:val="fr-FR"/>
              </w:rPr>
              <w:t>1;</w:t>
            </w:r>
            <w:proofErr w:type="gramEnd"/>
            <w:r w:rsidRPr="008A5C48">
              <w:rPr>
                <w:rFonts w:ascii="Times New Roman" w:eastAsia="Times New Roman" w:hAnsi="Times New Roman" w:cs="Times New Roman"/>
                <w:color w:val="000000"/>
                <w:sz w:val="20"/>
                <w:szCs w:val="20"/>
                <w:lang w:val="fr-FR"/>
              </w:rPr>
              <w:t xml:space="preserve"> 0.03]</w:t>
            </w:r>
          </w:p>
        </w:tc>
        <w:tc>
          <w:tcPr>
            <w:tcW w:w="847" w:type="dxa"/>
            <w:tcBorders>
              <w:top w:val="nil"/>
              <w:left w:val="nil"/>
              <w:bottom w:val="nil"/>
              <w:right w:val="nil"/>
            </w:tcBorders>
            <w:shd w:val="clear" w:color="auto" w:fill="auto"/>
            <w:noWrap/>
            <w:vAlign w:val="bottom"/>
            <w:hideMark/>
          </w:tcPr>
          <w:p w14:paraId="03FC95A2"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0,25</w:t>
            </w:r>
          </w:p>
        </w:tc>
        <w:tc>
          <w:tcPr>
            <w:tcW w:w="1559" w:type="dxa"/>
            <w:tcBorders>
              <w:top w:val="nil"/>
              <w:left w:val="nil"/>
              <w:bottom w:val="nil"/>
              <w:right w:val="nil"/>
            </w:tcBorders>
            <w:shd w:val="clear" w:color="auto" w:fill="auto"/>
            <w:noWrap/>
            <w:vAlign w:val="bottom"/>
            <w:hideMark/>
          </w:tcPr>
          <w:p w14:paraId="0C051F27"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264D3B54" w14:textId="77777777" w:rsidTr="00467E77">
        <w:trPr>
          <w:trHeight w:val="288"/>
        </w:trPr>
        <w:tc>
          <w:tcPr>
            <w:tcW w:w="2624" w:type="dxa"/>
            <w:tcBorders>
              <w:top w:val="nil"/>
              <w:left w:val="nil"/>
              <w:bottom w:val="nil"/>
              <w:right w:val="nil"/>
            </w:tcBorders>
            <w:vAlign w:val="bottom"/>
          </w:tcPr>
          <w:p w14:paraId="0AB71E41"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PFOS</w:t>
            </w:r>
          </w:p>
        </w:tc>
        <w:tc>
          <w:tcPr>
            <w:tcW w:w="1916" w:type="dxa"/>
            <w:tcBorders>
              <w:top w:val="nil"/>
              <w:left w:val="nil"/>
              <w:bottom w:val="nil"/>
              <w:right w:val="nil"/>
            </w:tcBorders>
            <w:shd w:val="clear" w:color="auto" w:fill="auto"/>
            <w:noWrap/>
            <w:vAlign w:val="bottom"/>
            <w:hideMark/>
          </w:tcPr>
          <w:p w14:paraId="2E105E95"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0.00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0.06]</w:t>
            </w:r>
          </w:p>
        </w:tc>
        <w:tc>
          <w:tcPr>
            <w:tcW w:w="847" w:type="dxa"/>
            <w:tcBorders>
              <w:top w:val="nil"/>
              <w:left w:val="nil"/>
              <w:bottom w:val="nil"/>
              <w:right w:val="nil"/>
            </w:tcBorders>
            <w:shd w:val="clear" w:color="auto" w:fill="auto"/>
            <w:noWrap/>
            <w:vAlign w:val="bottom"/>
            <w:hideMark/>
          </w:tcPr>
          <w:p w14:paraId="45095218"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0,93</w:t>
            </w:r>
          </w:p>
        </w:tc>
        <w:tc>
          <w:tcPr>
            <w:tcW w:w="1559" w:type="dxa"/>
            <w:tcBorders>
              <w:top w:val="nil"/>
              <w:left w:val="nil"/>
              <w:bottom w:val="nil"/>
              <w:right w:val="nil"/>
            </w:tcBorders>
            <w:shd w:val="clear" w:color="auto" w:fill="auto"/>
            <w:noWrap/>
            <w:vAlign w:val="bottom"/>
            <w:hideMark/>
          </w:tcPr>
          <w:p w14:paraId="119F4600"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20A28975" w14:textId="77777777" w:rsidTr="00467E77">
        <w:trPr>
          <w:trHeight w:val="288"/>
        </w:trPr>
        <w:tc>
          <w:tcPr>
            <w:tcW w:w="2624" w:type="dxa"/>
            <w:tcBorders>
              <w:top w:val="nil"/>
              <w:left w:val="nil"/>
              <w:bottom w:val="nil"/>
              <w:right w:val="nil"/>
            </w:tcBorders>
            <w:vAlign w:val="bottom"/>
          </w:tcPr>
          <w:p w14:paraId="7BE9CA5F"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PFUNDA</w:t>
            </w:r>
          </w:p>
        </w:tc>
        <w:tc>
          <w:tcPr>
            <w:tcW w:w="1916" w:type="dxa"/>
            <w:tcBorders>
              <w:top w:val="nil"/>
              <w:left w:val="nil"/>
              <w:bottom w:val="nil"/>
              <w:right w:val="nil"/>
            </w:tcBorders>
            <w:shd w:val="clear" w:color="auto" w:fill="auto"/>
            <w:noWrap/>
            <w:vAlign w:val="bottom"/>
            <w:hideMark/>
          </w:tcPr>
          <w:p w14:paraId="53059BF1"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0.08]</w:t>
            </w:r>
          </w:p>
        </w:tc>
        <w:tc>
          <w:tcPr>
            <w:tcW w:w="847" w:type="dxa"/>
            <w:tcBorders>
              <w:top w:val="nil"/>
              <w:left w:val="nil"/>
              <w:bottom w:val="nil"/>
              <w:right w:val="nil"/>
            </w:tcBorders>
            <w:shd w:val="clear" w:color="auto" w:fill="auto"/>
            <w:noWrap/>
            <w:vAlign w:val="bottom"/>
            <w:hideMark/>
          </w:tcPr>
          <w:p w14:paraId="193C4917"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0,74</w:t>
            </w:r>
          </w:p>
        </w:tc>
        <w:tc>
          <w:tcPr>
            <w:tcW w:w="1559" w:type="dxa"/>
            <w:tcBorders>
              <w:top w:val="nil"/>
              <w:left w:val="nil"/>
              <w:bottom w:val="nil"/>
              <w:right w:val="nil"/>
            </w:tcBorders>
            <w:shd w:val="clear" w:color="auto" w:fill="auto"/>
            <w:noWrap/>
            <w:vAlign w:val="bottom"/>
            <w:hideMark/>
          </w:tcPr>
          <w:p w14:paraId="38CCB758"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49CF20D7" w14:textId="77777777" w:rsidTr="00467E77">
        <w:trPr>
          <w:trHeight w:val="288"/>
        </w:trPr>
        <w:tc>
          <w:tcPr>
            <w:tcW w:w="2624" w:type="dxa"/>
            <w:tcBorders>
              <w:top w:val="nil"/>
              <w:left w:val="nil"/>
              <w:bottom w:val="nil"/>
              <w:right w:val="nil"/>
            </w:tcBorders>
            <w:vAlign w:val="bottom"/>
          </w:tcPr>
          <w:p w14:paraId="168002DB"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Cotinine (passive-smoke)</w:t>
            </w:r>
          </w:p>
        </w:tc>
        <w:tc>
          <w:tcPr>
            <w:tcW w:w="1916" w:type="dxa"/>
            <w:tcBorders>
              <w:top w:val="nil"/>
              <w:left w:val="nil"/>
              <w:bottom w:val="nil"/>
              <w:right w:val="nil"/>
            </w:tcBorders>
            <w:shd w:val="clear" w:color="auto" w:fill="auto"/>
            <w:noWrap/>
            <w:vAlign w:val="bottom"/>
            <w:hideMark/>
          </w:tcPr>
          <w:p w14:paraId="47FA4B9F"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-0.06 [-0.</w:t>
            </w:r>
            <w:proofErr w:type="gramStart"/>
            <w:r w:rsidRPr="008A5C48">
              <w:rPr>
                <w:rFonts w:ascii="Times New Roman" w:eastAsia="Times New Roman" w:hAnsi="Times New Roman" w:cs="Times New Roman"/>
                <w:color w:val="000000"/>
                <w:sz w:val="20"/>
                <w:szCs w:val="20"/>
                <w:lang w:val="fr-FR"/>
              </w:rPr>
              <w:t>19;</w:t>
            </w:r>
            <w:proofErr w:type="gramEnd"/>
            <w:r w:rsidRPr="008A5C48">
              <w:rPr>
                <w:rFonts w:ascii="Times New Roman" w:eastAsia="Times New Roman" w:hAnsi="Times New Roman" w:cs="Times New Roman"/>
                <w:color w:val="000000"/>
                <w:sz w:val="20"/>
                <w:szCs w:val="20"/>
                <w:lang w:val="fr-FR"/>
              </w:rPr>
              <w:t xml:space="preserve"> 0.06]</w:t>
            </w:r>
          </w:p>
        </w:tc>
        <w:tc>
          <w:tcPr>
            <w:tcW w:w="847" w:type="dxa"/>
            <w:tcBorders>
              <w:top w:val="nil"/>
              <w:left w:val="nil"/>
              <w:bottom w:val="nil"/>
              <w:right w:val="nil"/>
            </w:tcBorders>
            <w:shd w:val="clear" w:color="auto" w:fill="auto"/>
            <w:noWrap/>
            <w:vAlign w:val="bottom"/>
            <w:hideMark/>
          </w:tcPr>
          <w:p w14:paraId="6833F836"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0,34</w:t>
            </w:r>
          </w:p>
        </w:tc>
        <w:tc>
          <w:tcPr>
            <w:tcW w:w="1559" w:type="dxa"/>
            <w:tcBorders>
              <w:top w:val="nil"/>
              <w:left w:val="nil"/>
              <w:bottom w:val="nil"/>
              <w:right w:val="nil"/>
            </w:tcBorders>
            <w:shd w:val="clear" w:color="auto" w:fill="auto"/>
            <w:noWrap/>
            <w:vAlign w:val="bottom"/>
            <w:hideMark/>
          </w:tcPr>
          <w:p w14:paraId="2CC62D93"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55B3CF1E" w14:textId="77777777" w:rsidTr="00467E77">
        <w:trPr>
          <w:trHeight w:val="288"/>
        </w:trPr>
        <w:tc>
          <w:tcPr>
            <w:tcW w:w="2624" w:type="dxa"/>
            <w:tcBorders>
              <w:top w:val="nil"/>
              <w:left w:val="nil"/>
              <w:bottom w:val="nil"/>
              <w:right w:val="nil"/>
            </w:tcBorders>
            <w:vAlign w:val="bottom"/>
          </w:tcPr>
          <w:p w14:paraId="2A2BBA0A"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Cotinine (smokers)</w:t>
            </w:r>
          </w:p>
        </w:tc>
        <w:tc>
          <w:tcPr>
            <w:tcW w:w="1916" w:type="dxa"/>
            <w:tcBorders>
              <w:top w:val="nil"/>
              <w:left w:val="nil"/>
              <w:bottom w:val="nil"/>
              <w:right w:val="nil"/>
            </w:tcBorders>
            <w:shd w:val="clear" w:color="auto" w:fill="auto"/>
            <w:noWrap/>
            <w:vAlign w:val="bottom"/>
            <w:hideMark/>
          </w:tcPr>
          <w:p w14:paraId="6A8CD49E"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-0.13 [-0.</w:t>
            </w:r>
            <w:proofErr w:type="gramStart"/>
            <w:r w:rsidRPr="008A5C48">
              <w:rPr>
                <w:rFonts w:ascii="Times New Roman" w:eastAsia="Times New Roman" w:hAnsi="Times New Roman" w:cs="Times New Roman"/>
                <w:color w:val="000000"/>
                <w:sz w:val="20"/>
                <w:szCs w:val="20"/>
                <w:lang w:val="fr-FR"/>
              </w:rPr>
              <w:t>24;</w:t>
            </w:r>
            <w:proofErr w:type="gramEnd"/>
            <w:r w:rsidRPr="008A5C48">
              <w:rPr>
                <w:rFonts w:ascii="Times New Roman" w:eastAsia="Times New Roman" w:hAnsi="Times New Roman" w:cs="Times New Roman"/>
                <w:color w:val="000000"/>
                <w:sz w:val="20"/>
                <w:szCs w:val="20"/>
                <w:lang w:val="fr-FR"/>
              </w:rPr>
              <w:t xml:space="preserve"> -0.01]</w:t>
            </w:r>
          </w:p>
        </w:tc>
        <w:tc>
          <w:tcPr>
            <w:tcW w:w="847" w:type="dxa"/>
            <w:tcBorders>
              <w:top w:val="nil"/>
              <w:left w:val="nil"/>
              <w:bottom w:val="nil"/>
              <w:right w:val="nil"/>
            </w:tcBorders>
            <w:shd w:val="clear" w:color="auto" w:fill="auto"/>
            <w:noWrap/>
            <w:vAlign w:val="bottom"/>
            <w:hideMark/>
          </w:tcPr>
          <w:p w14:paraId="37C59A13"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0,03</w:t>
            </w:r>
          </w:p>
        </w:tc>
        <w:tc>
          <w:tcPr>
            <w:tcW w:w="1559" w:type="dxa"/>
            <w:tcBorders>
              <w:top w:val="nil"/>
              <w:left w:val="nil"/>
              <w:bottom w:val="nil"/>
              <w:right w:val="nil"/>
            </w:tcBorders>
            <w:shd w:val="clear" w:color="auto" w:fill="auto"/>
            <w:noWrap/>
            <w:vAlign w:val="bottom"/>
            <w:hideMark/>
          </w:tcPr>
          <w:p w14:paraId="32B49B3A"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0,95</w:t>
            </w:r>
          </w:p>
        </w:tc>
      </w:tr>
      <w:tr w:rsidR="00EF2FC1" w:rsidRPr="008A5C48" w14:paraId="4302AC14" w14:textId="77777777" w:rsidTr="00467E77">
        <w:trPr>
          <w:trHeight w:val="288"/>
        </w:trPr>
        <w:tc>
          <w:tcPr>
            <w:tcW w:w="2624" w:type="dxa"/>
            <w:tcBorders>
              <w:top w:val="nil"/>
              <w:left w:val="nil"/>
              <w:bottom w:val="nil"/>
              <w:right w:val="nil"/>
            </w:tcBorders>
            <w:vAlign w:val="bottom"/>
          </w:tcPr>
          <w:p w14:paraId="6E1DA3F0"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DEP</w:t>
            </w:r>
          </w:p>
        </w:tc>
        <w:tc>
          <w:tcPr>
            <w:tcW w:w="1916" w:type="dxa"/>
            <w:tcBorders>
              <w:top w:val="nil"/>
              <w:left w:val="nil"/>
              <w:bottom w:val="nil"/>
              <w:right w:val="nil"/>
            </w:tcBorders>
            <w:shd w:val="clear" w:color="auto" w:fill="auto"/>
            <w:noWrap/>
            <w:vAlign w:val="bottom"/>
            <w:hideMark/>
          </w:tcPr>
          <w:p w14:paraId="02271990"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04;</w:t>
            </w:r>
            <w:proofErr w:type="gramEnd"/>
            <w:r w:rsidRPr="008A5C48">
              <w:rPr>
                <w:rFonts w:ascii="Times New Roman" w:eastAsia="Times New Roman" w:hAnsi="Times New Roman" w:cs="Times New Roman"/>
                <w:color w:val="000000"/>
                <w:sz w:val="20"/>
                <w:szCs w:val="20"/>
                <w:lang w:val="fr-FR"/>
              </w:rPr>
              <w:t xml:space="preserve"> 0.06]</w:t>
            </w:r>
          </w:p>
        </w:tc>
        <w:tc>
          <w:tcPr>
            <w:tcW w:w="847" w:type="dxa"/>
            <w:tcBorders>
              <w:top w:val="nil"/>
              <w:left w:val="nil"/>
              <w:bottom w:val="nil"/>
              <w:right w:val="nil"/>
            </w:tcBorders>
            <w:shd w:val="clear" w:color="auto" w:fill="auto"/>
            <w:noWrap/>
            <w:vAlign w:val="bottom"/>
            <w:hideMark/>
          </w:tcPr>
          <w:p w14:paraId="310C6807"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0,77</w:t>
            </w:r>
          </w:p>
        </w:tc>
        <w:tc>
          <w:tcPr>
            <w:tcW w:w="1559" w:type="dxa"/>
            <w:tcBorders>
              <w:top w:val="nil"/>
              <w:left w:val="nil"/>
              <w:bottom w:val="nil"/>
              <w:right w:val="nil"/>
            </w:tcBorders>
            <w:shd w:val="clear" w:color="auto" w:fill="auto"/>
            <w:noWrap/>
            <w:vAlign w:val="bottom"/>
            <w:hideMark/>
          </w:tcPr>
          <w:p w14:paraId="43FFAFA8"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3D67AEB8" w14:textId="77777777" w:rsidTr="00467E77">
        <w:trPr>
          <w:trHeight w:val="288"/>
        </w:trPr>
        <w:tc>
          <w:tcPr>
            <w:tcW w:w="2624" w:type="dxa"/>
            <w:tcBorders>
              <w:top w:val="nil"/>
              <w:left w:val="nil"/>
              <w:bottom w:val="nil"/>
              <w:right w:val="nil"/>
            </w:tcBorders>
            <w:vAlign w:val="bottom"/>
          </w:tcPr>
          <w:p w14:paraId="58905242"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DMP</w:t>
            </w:r>
          </w:p>
        </w:tc>
        <w:tc>
          <w:tcPr>
            <w:tcW w:w="1916" w:type="dxa"/>
            <w:tcBorders>
              <w:top w:val="nil"/>
              <w:left w:val="nil"/>
              <w:bottom w:val="nil"/>
              <w:right w:val="nil"/>
            </w:tcBorders>
            <w:shd w:val="clear" w:color="auto" w:fill="auto"/>
            <w:noWrap/>
            <w:vAlign w:val="bottom"/>
            <w:hideMark/>
          </w:tcPr>
          <w:p w14:paraId="33B08365"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06;</w:t>
            </w:r>
            <w:proofErr w:type="gramEnd"/>
            <w:r w:rsidRPr="008A5C48">
              <w:rPr>
                <w:rFonts w:ascii="Times New Roman" w:eastAsia="Times New Roman" w:hAnsi="Times New Roman" w:cs="Times New Roman"/>
                <w:color w:val="000000"/>
                <w:sz w:val="20"/>
                <w:szCs w:val="20"/>
                <w:lang w:val="fr-FR"/>
              </w:rPr>
              <w:t xml:space="preserve"> 0.04]</w:t>
            </w:r>
          </w:p>
        </w:tc>
        <w:tc>
          <w:tcPr>
            <w:tcW w:w="847" w:type="dxa"/>
            <w:tcBorders>
              <w:top w:val="nil"/>
              <w:left w:val="nil"/>
              <w:bottom w:val="nil"/>
              <w:right w:val="nil"/>
            </w:tcBorders>
            <w:shd w:val="clear" w:color="auto" w:fill="auto"/>
            <w:noWrap/>
            <w:vAlign w:val="bottom"/>
            <w:hideMark/>
          </w:tcPr>
          <w:p w14:paraId="15AD963B"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0,67</w:t>
            </w:r>
          </w:p>
        </w:tc>
        <w:tc>
          <w:tcPr>
            <w:tcW w:w="1559" w:type="dxa"/>
            <w:tcBorders>
              <w:top w:val="nil"/>
              <w:left w:val="nil"/>
              <w:bottom w:val="nil"/>
              <w:right w:val="nil"/>
            </w:tcBorders>
            <w:shd w:val="clear" w:color="auto" w:fill="auto"/>
            <w:noWrap/>
            <w:vAlign w:val="bottom"/>
            <w:hideMark/>
          </w:tcPr>
          <w:p w14:paraId="3F69156C"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4BE890CB" w14:textId="77777777" w:rsidTr="00467E77">
        <w:trPr>
          <w:trHeight w:val="288"/>
        </w:trPr>
        <w:tc>
          <w:tcPr>
            <w:tcW w:w="2624" w:type="dxa"/>
            <w:tcBorders>
              <w:top w:val="nil"/>
              <w:left w:val="nil"/>
              <w:bottom w:val="nil"/>
              <w:right w:val="nil"/>
            </w:tcBorders>
            <w:vAlign w:val="bottom"/>
          </w:tcPr>
          <w:p w14:paraId="4DA6A48E"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DMTP</w:t>
            </w:r>
          </w:p>
        </w:tc>
        <w:tc>
          <w:tcPr>
            <w:tcW w:w="1916" w:type="dxa"/>
            <w:tcBorders>
              <w:top w:val="nil"/>
              <w:left w:val="nil"/>
              <w:bottom w:val="nil"/>
              <w:right w:val="nil"/>
            </w:tcBorders>
            <w:shd w:val="clear" w:color="auto" w:fill="auto"/>
            <w:noWrap/>
            <w:vAlign w:val="bottom"/>
            <w:hideMark/>
          </w:tcPr>
          <w:p w14:paraId="0D03C204"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07;</w:t>
            </w:r>
            <w:proofErr w:type="gramEnd"/>
            <w:r w:rsidRPr="008A5C48">
              <w:rPr>
                <w:rFonts w:ascii="Times New Roman" w:eastAsia="Times New Roman" w:hAnsi="Times New Roman" w:cs="Times New Roman"/>
                <w:color w:val="000000"/>
                <w:sz w:val="20"/>
                <w:szCs w:val="20"/>
                <w:lang w:val="fr-FR"/>
              </w:rPr>
              <w:t xml:space="preserve"> 0.05]</w:t>
            </w:r>
          </w:p>
        </w:tc>
        <w:tc>
          <w:tcPr>
            <w:tcW w:w="847" w:type="dxa"/>
            <w:tcBorders>
              <w:top w:val="nil"/>
              <w:left w:val="nil"/>
              <w:bottom w:val="nil"/>
              <w:right w:val="nil"/>
            </w:tcBorders>
            <w:shd w:val="clear" w:color="auto" w:fill="auto"/>
            <w:noWrap/>
            <w:vAlign w:val="bottom"/>
            <w:hideMark/>
          </w:tcPr>
          <w:p w14:paraId="6436D28A"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0,74</w:t>
            </w:r>
          </w:p>
        </w:tc>
        <w:tc>
          <w:tcPr>
            <w:tcW w:w="1559" w:type="dxa"/>
            <w:tcBorders>
              <w:top w:val="nil"/>
              <w:left w:val="nil"/>
              <w:bottom w:val="nil"/>
              <w:right w:val="nil"/>
            </w:tcBorders>
            <w:shd w:val="clear" w:color="auto" w:fill="auto"/>
            <w:noWrap/>
            <w:vAlign w:val="bottom"/>
            <w:hideMark/>
          </w:tcPr>
          <w:p w14:paraId="2637F617"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014FA404" w14:textId="77777777" w:rsidTr="00467E77">
        <w:trPr>
          <w:trHeight w:val="288"/>
        </w:trPr>
        <w:tc>
          <w:tcPr>
            <w:tcW w:w="2624" w:type="dxa"/>
            <w:tcBorders>
              <w:top w:val="nil"/>
              <w:left w:val="nil"/>
              <w:right w:val="nil"/>
            </w:tcBorders>
            <w:vAlign w:val="bottom"/>
          </w:tcPr>
          <w:p w14:paraId="34079DAE"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DDE</w:t>
            </w:r>
          </w:p>
        </w:tc>
        <w:tc>
          <w:tcPr>
            <w:tcW w:w="1916" w:type="dxa"/>
            <w:tcBorders>
              <w:top w:val="nil"/>
              <w:left w:val="nil"/>
              <w:right w:val="nil"/>
            </w:tcBorders>
            <w:shd w:val="clear" w:color="auto" w:fill="auto"/>
            <w:noWrap/>
            <w:vAlign w:val="bottom"/>
            <w:hideMark/>
          </w:tcPr>
          <w:p w14:paraId="2338DF33"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-0.03 [-0.</w:t>
            </w:r>
            <w:proofErr w:type="gramStart"/>
            <w:r w:rsidRPr="008A5C48">
              <w:rPr>
                <w:rFonts w:ascii="Times New Roman" w:eastAsia="Times New Roman" w:hAnsi="Times New Roman" w:cs="Times New Roman"/>
                <w:color w:val="000000"/>
                <w:sz w:val="20"/>
                <w:szCs w:val="20"/>
                <w:lang w:val="fr-FR"/>
              </w:rPr>
              <w:t>1;</w:t>
            </w:r>
            <w:proofErr w:type="gramEnd"/>
            <w:r w:rsidRPr="008A5C48">
              <w:rPr>
                <w:rFonts w:ascii="Times New Roman" w:eastAsia="Times New Roman" w:hAnsi="Times New Roman" w:cs="Times New Roman"/>
                <w:color w:val="000000"/>
                <w:sz w:val="20"/>
                <w:szCs w:val="20"/>
                <w:lang w:val="fr-FR"/>
              </w:rPr>
              <w:t xml:space="preserve"> 0.04]</w:t>
            </w:r>
          </w:p>
        </w:tc>
        <w:tc>
          <w:tcPr>
            <w:tcW w:w="847" w:type="dxa"/>
            <w:tcBorders>
              <w:top w:val="nil"/>
              <w:left w:val="nil"/>
              <w:right w:val="nil"/>
            </w:tcBorders>
            <w:shd w:val="clear" w:color="auto" w:fill="auto"/>
            <w:noWrap/>
            <w:vAlign w:val="bottom"/>
            <w:hideMark/>
          </w:tcPr>
          <w:p w14:paraId="57D769D6"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0,46</w:t>
            </w:r>
          </w:p>
        </w:tc>
        <w:tc>
          <w:tcPr>
            <w:tcW w:w="1559" w:type="dxa"/>
            <w:tcBorders>
              <w:top w:val="nil"/>
              <w:left w:val="nil"/>
              <w:right w:val="nil"/>
            </w:tcBorders>
            <w:shd w:val="clear" w:color="auto" w:fill="auto"/>
            <w:noWrap/>
            <w:vAlign w:val="bottom"/>
            <w:hideMark/>
          </w:tcPr>
          <w:p w14:paraId="7E042D6D"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2A05D2E8" w14:textId="77777777" w:rsidTr="00467E77">
        <w:trPr>
          <w:trHeight w:val="288"/>
        </w:trPr>
        <w:tc>
          <w:tcPr>
            <w:tcW w:w="2624" w:type="dxa"/>
            <w:tcBorders>
              <w:top w:val="nil"/>
              <w:left w:val="nil"/>
              <w:bottom w:val="nil"/>
              <w:right w:val="nil"/>
            </w:tcBorders>
            <w:vAlign w:val="bottom"/>
          </w:tcPr>
          <w:p w14:paraId="6753D2D7"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r w:rsidRPr="008A5C48">
              <w:rPr>
                <w:rFonts w:ascii="Times New Roman" w:eastAsia="Times New Roman" w:hAnsi="Times New Roman" w:cs="Times New Roman"/>
                <w:color w:val="000000"/>
                <w:sz w:val="20"/>
                <w:szCs w:val="20"/>
              </w:rPr>
              <w:t>HCB</w:t>
            </w:r>
          </w:p>
        </w:tc>
        <w:tc>
          <w:tcPr>
            <w:tcW w:w="1916" w:type="dxa"/>
            <w:tcBorders>
              <w:top w:val="nil"/>
              <w:left w:val="nil"/>
              <w:bottom w:val="nil"/>
              <w:right w:val="nil"/>
            </w:tcBorders>
            <w:shd w:val="clear" w:color="auto" w:fill="auto"/>
            <w:noWrap/>
            <w:vAlign w:val="bottom"/>
            <w:hideMark/>
          </w:tcPr>
          <w:p w14:paraId="15CC7473"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-0.02 [-0.</w:t>
            </w:r>
            <w:proofErr w:type="gramStart"/>
            <w:r w:rsidRPr="008A5C48">
              <w:rPr>
                <w:rFonts w:ascii="Times New Roman" w:eastAsia="Times New Roman" w:hAnsi="Times New Roman" w:cs="Times New Roman"/>
                <w:color w:val="000000"/>
                <w:sz w:val="20"/>
                <w:szCs w:val="20"/>
                <w:lang w:val="fr-FR"/>
              </w:rPr>
              <w:t>07;</w:t>
            </w:r>
            <w:proofErr w:type="gramEnd"/>
            <w:r w:rsidRPr="008A5C48">
              <w:rPr>
                <w:rFonts w:ascii="Times New Roman" w:eastAsia="Times New Roman" w:hAnsi="Times New Roman" w:cs="Times New Roman"/>
                <w:color w:val="000000"/>
                <w:sz w:val="20"/>
                <w:szCs w:val="20"/>
                <w:lang w:val="fr-FR"/>
              </w:rPr>
              <w:t xml:space="preserve"> 0.04]</w:t>
            </w:r>
          </w:p>
        </w:tc>
        <w:tc>
          <w:tcPr>
            <w:tcW w:w="847" w:type="dxa"/>
            <w:tcBorders>
              <w:top w:val="nil"/>
              <w:left w:val="nil"/>
              <w:bottom w:val="nil"/>
              <w:right w:val="nil"/>
            </w:tcBorders>
            <w:shd w:val="clear" w:color="auto" w:fill="auto"/>
            <w:noWrap/>
            <w:vAlign w:val="bottom"/>
            <w:hideMark/>
          </w:tcPr>
          <w:p w14:paraId="5F9C25C2"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0,56</w:t>
            </w:r>
          </w:p>
        </w:tc>
        <w:tc>
          <w:tcPr>
            <w:tcW w:w="1559" w:type="dxa"/>
            <w:tcBorders>
              <w:top w:val="nil"/>
              <w:left w:val="nil"/>
              <w:bottom w:val="nil"/>
              <w:right w:val="nil"/>
            </w:tcBorders>
            <w:shd w:val="clear" w:color="auto" w:fill="auto"/>
            <w:noWrap/>
            <w:vAlign w:val="bottom"/>
            <w:hideMark/>
          </w:tcPr>
          <w:p w14:paraId="04617658"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r w:rsidR="00EF2FC1" w:rsidRPr="008A5C48" w14:paraId="514EB721" w14:textId="77777777" w:rsidTr="00467E77">
        <w:trPr>
          <w:trHeight w:val="288"/>
        </w:trPr>
        <w:tc>
          <w:tcPr>
            <w:tcW w:w="2624" w:type="dxa"/>
            <w:tcBorders>
              <w:top w:val="nil"/>
              <w:left w:val="nil"/>
              <w:bottom w:val="single" w:sz="4" w:space="0" w:color="auto"/>
              <w:right w:val="nil"/>
            </w:tcBorders>
            <w:vAlign w:val="bottom"/>
          </w:tcPr>
          <w:p w14:paraId="3C78C5F4"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rPr>
            </w:pPr>
            <w:proofErr w:type="spellStart"/>
            <w:r w:rsidRPr="008A5C48">
              <w:rPr>
                <w:rFonts w:ascii="Times New Roman" w:eastAsia="Times New Roman" w:hAnsi="Times New Roman" w:cs="Times New Roman"/>
                <w:color w:val="000000"/>
                <w:sz w:val="20"/>
                <w:szCs w:val="20"/>
              </w:rPr>
              <w:t>SumPCB</w:t>
            </w:r>
            <w:proofErr w:type="spellEnd"/>
          </w:p>
        </w:tc>
        <w:tc>
          <w:tcPr>
            <w:tcW w:w="1916" w:type="dxa"/>
            <w:tcBorders>
              <w:top w:val="nil"/>
              <w:left w:val="nil"/>
              <w:bottom w:val="single" w:sz="4" w:space="0" w:color="auto"/>
              <w:right w:val="nil"/>
            </w:tcBorders>
            <w:shd w:val="clear" w:color="auto" w:fill="auto"/>
            <w:noWrap/>
            <w:vAlign w:val="bottom"/>
            <w:hideMark/>
          </w:tcPr>
          <w:p w14:paraId="004EF9E9" w14:textId="77777777" w:rsidR="00EF2FC1" w:rsidRPr="008A5C48" w:rsidRDefault="00EF2FC1" w:rsidP="00467E77">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-0.01 [-0.</w:t>
            </w:r>
            <w:proofErr w:type="gramStart"/>
            <w:r w:rsidRPr="008A5C48">
              <w:rPr>
                <w:rFonts w:ascii="Times New Roman" w:eastAsia="Times New Roman" w:hAnsi="Times New Roman" w:cs="Times New Roman"/>
                <w:color w:val="000000"/>
                <w:sz w:val="20"/>
                <w:szCs w:val="20"/>
                <w:lang w:val="fr-FR"/>
              </w:rPr>
              <w:t>11;</w:t>
            </w:r>
            <w:proofErr w:type="gramEnd"/>
            <w:r w:rsidRPr="008A5C48">
              <w:rPr>
                <w:rFonts w:ascii="Times New Roman" w:eastAsia="Times New Roman" w:hAnsi="Times New Roman" w:cs="Times New Roman"/>
                <w:color w:val="000000"/>
                <w:sz w:val="20"/>
                <w:szCs w:val="20"/>
                <w:lang w:val="fr-FR"/>
              </w:rPr>
              <w:t xml:space="preserve"> 0.09]</w:t>
            </w:r>
          </w:p>
        </w:tc>
        <w:tc>
          <w:tcPr>
            <w:tcW w:w="847" w:type="dxa"/>
            <w:tcBorders>
              <w:top w:val="nil"/>
              <w:left w:val="nil"/>
              <w:bottom w:val="single" w:sz="4" w:space="0" w:color="auto"/>
              <w:right w:val="nil"/>
            </w:tcBorders>
            <w:shd w:val="clear" w:color="auto" w:fill="auto"/>
            <w:noWrap/>
            <w:vAlign w:val="bottom"/>
            <w:hideMark/>
          </w:tcPr>
          <w:p w14:paraId="70D61212"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0,83</w:t>
            </w:r>
          </w:p>
        </w:tc>
        <w:tc>
          <w:tcPr>
            <w:tcW w:w="1559" w:type="dxa"/>
            <w:tcBorders>
              <w:top w:val="nil"/>
              <w:left w:val="nil"/>
              <w:bottom w:val="single" w:sz="4" w:space="0" w:color="auto"/>
              <w:right w:val="nil"/>
            </w:tcBorders>
            <w:shd w:val="clear" w:color="auto" w:fill="auto"/>
            <w:noWrap/>
            <w:vAlign w:val="bottom"/>
            <w:hideMark/>
          </w:tcPr>
          <w:p w14:paraId="5F801FBE" w14:textId="77777777" w:rsidR="00EF2FC1" w:rsidRPr="008A5C48" w:rsidRDefault="00EF2FC1" w:rsidP="00467E77">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1,00</w:t>
            </w:r>
          </w:p>
        </w:tc>
      </w:tr>
    </w:tbl>
    <w:p w14:paraId="53D45789" w14:textId="77777777" w:rsidR="00EF2FC1" w:rsidRPr="008A5C48" w:rsidRDefault="00EF2FC1" w:rsidP="00EF2FC1">
      <w:pPr>
        <w:spacing w:line="240" w:lineRule="auto"/>
        <w:contextualSpacing/>
        <w:jc w:val="both"/>
        <w:rPr>
          <w:rFonts w:ascii="Times New Roman" w:hAnsi="Times New Roman" w:cs="Times New Roman"/>
          <w:sz w:val="20"/>
          <w:szCs w:val="20"/>
        </w:rPr>
      </w:pPr>
    </w:p>
    <w:p w14:paraId="0D372391" w14:textId="0CC9CB04" w:rsidR="00EF2FC1" w:rsidRPr="00895FD6" w:rsidRDefault="00EF2FC1" w:rsidP="00895FD6">
      <w:pPr>
        <w:spacing w:line="240" w:lineRule="auto"/>
        <w:contextualSpacing/>
        <w:rPr>
          <w:rFonts w:ascii="Times New Roman" w:hAnsi="Times New Roman" w:cs="Times New Roman"/>
          <w:sz w:val="20"/>
          <w:szCs w:val="20"/>
        </w:rPr>
        <w:sectPr w:rsidR="00EF2FC1" w:rsidRPr="00895FD6" w:rsidSect="00EF2FC1">
          <w:pgSz w:w="11906" w:h="16838"/>
          <w:pgMar w:top="1417" w:right="1417" w:bottom="1417" w:left="1417" w:header="708" w:footer="708" w:gutter="0"/>
          <w:cols w:space="720"/>
          <w:docGrid w:linePitch="299"/>
        </w:sectPr>
      </w:pPr>
    </w:p>
    <w:p w14:paraId="541714AD" w14:textId="1C37B8E6" w:rsidR="00895FD6" w:rsidRDefault="00895FD6" w:rsidP="00FB6412">
      <w:pPr>
        <w:spacing w:line="240" w:lineRule="auto"/>
        <w:contextualSpacing/>
        <w:jc w:val="both"/>
        <w:rPr>
          <w:rFonts w:ascii="Times New Roman" w:eastAsia="Times New Roman" w:hAnsi="Times New Roman" w:cs="Times New Roman"/>
          <w:b/>
          <w:sz w:val="20"/>
          <w:szCs w:val="20"/>
        </w:rPr>
      </w:pPr>
    </w:p>
    <w:p w14:paraId="0B832ABE" w14:textId="74079B11" w:rsidR="007C7F94" w:rsidRDefault="007C7F94" w:rsidP="002D561D">
      <w:pPr>
        <w:pStyle w:val="Titre1"/>
        <w:rPr>
          <w:rFonts w:eastAsia="Times New Roman"/>
          <w:b w:val="0"/>
          <w:bCs w:val="0"/>
        </w:rPr>
      </w:pPr>
      <w:bookmarkStart w:id="101" w:name="_Toc127358170"/>
      <w:bookmarkStart w:id="102" w:name="_Toc132271600"/>
      <w:bookmarkStart w:id="103" w:name="_Hlk127367577"/>
      <w:proofErr w:type="spellStart"/>
      <w:r w:rsidRPr="008A5C48">
        <w:rPr>
          <w:rFonts w:eastAsia="Times New Roman"/>
        </w:rPr>
        <w:t>eTable</w:t>
      </w:r>
      <w:proofErr w:type="spellEnd"/>
      <w:r w:rsidRPr="008A5C48">
        <w:rPr>
          <w:rFonts w:eastAsia="Times New Roman"/>
        </w:rPr>
        <w:t xml:space="preserve"> </w:t>
      </w:r>
      <w:r w:rsidR="00EB5129">
        <w:rPr>
          <w:rFonts w:eastAsia="Times New Roman"/>
        </w:rPr>
        <w:t>1</w:t>
      </w:r>
      <w:r w:rsidR="00CB1193">
        <w:rPr>
          <w:rFonts w:eastAsia="Times New Roman"/>
        </w:rPr>
        <w:t>8</w:t>
      </w:r>
      <w:r w:rsidRPr="008A5C48">
        <w:rPr>
          <w:rFonts w:eastAsia="Times New Roman"/>
        </w:rPr>
        <w:t xml:space="preserve">. </w:t>
      </w:r>
      <w:r w:rsidRPr="008358B7">
        <w:rPr>
          <w:rFonts w:eastAsia="Times New Roman"/>
          <w:b w:val="0"/>
          <w:bCs w:val="0"/>
        </w:rPr>
        <w:t xml:space="preserve">Complete results of the </w:t>
      </w:r>
      <w:proofErr w:type="spellStart"/>
      <w:r w:rsidRPr="008358B7">
        <w:rPr>
          <w:rFonts w:eastAsia="Times New Roman"/>
          <w:b w:val="0"/>
          <w:bCs w:val="0"/>
        </w:rPr>
        <w:t>ExWAS</w:t>
      </w:r>
      <w:proofErr w:type="spellEnd"/>
      <w:r w:rsidRPr="008358B7">
        <w:rPr>
          <w:rFonts w:eastAsia="Times New Roman"/>
          <w:b w:val="0"/>
          <w:bCs w:val="0"/>
        </w:rPr>
        <w:t xml:space="preserve"> on postnatal exposures</w:t>
      </w:r>
      <w:bookmarkEnd w:id="101"/>
      <w:bookmarkEnd w:id="102"/>
    </w:p>
    <w:p w14:paraId="771D44B2" w14:textId="77777777" w:rsidR="008358B7" w:rsidRPr="008358B7" w:rsidRDefault="008358B7" w:rsidP="008358B7"/>
    <w:tbl>
      <w:tblPr>
        <w:tblStyle w:val="af1"/>
        <w:tblW w:w="7429" w:type="dxa"/>
        <w:tblInd w:w="0" w:type="dxa"/>
        <w:tblLook w:val="04A0" w:firstRow="1" w:lastRow="0" w:firstColumn="1" w:lastColumn="0" w:noHBand="0" w:noVBand="1"/>
      </w:tblPr>
      <w:tblGrid>
        <w:gridCol w:w="3128"/>
        <w:gridCol w:w="2022"/>
        <w:gridCol w:w="960"/>
        <w:gridCol w:w="1319"/>
      </w:tblGrid>
      <w:tr w:rsidR="007C7F94" w:rsidRPr="008A5C48" w14:paraId="65B8E1CA" w14:textId="77777777" w:rsidTr="002F5E03">
        <w:trPr>
          <w:trHeight w:val="288"/>
        </w:trPr>
        <w:tc>
          <w:tcPr>
            <w:tcW w:w="3128" w:type="dxa"/>
            <w:tcBorders>
              <w:top w:val="single" w:sz="4" w:space="0" w:color="auto"/>
              <w:bottom w:val="single" w:sz="4" w:space="0" w:color="auto"/>
            </w:tcBorders>
            <w:noWrap/>
            <w:vAlign w:val="bottom"/>
            <w:hideMark/>
          </w:tcPr>
          <w:bookmarkEnd w:id="103"/>
          <w:p w14:paraId="420B84C1" w14:textId="77777777" w:rsidR="007C7F94" w:rsidRPr="008A5C48" w:rsidRDefault="007C7F94" w:rsidP="00FB6412">
            <w:pPr>
              <w:spacing w:after="0" w:line="240" w:lineRule="auto"/>
              <w:contextualSpacing/>
              <w:rPr>
                <w:rFonts w:ascii="Times New Roman" w:eastAsia="Times New Roman" w:hAnsi="Times New Roman" w:cs="Times New Roman"/>
                <w:b/>
                <w:bCs/>
                <w:color w:val="000000"/>
                <w:sz w:val="20"/>
                <w:szCs w:val="20"/>
                <w:lang w:val="fr-FR"/>
              </w:rPr>
            </w:pPr>
            <w:r w:rsidRPr="008A5C48">
              <w:rPr>
                <w:rFonts w:ascii="Times New Roman" w:eastAsia="Times New Roman" w:hAnsi="Times New Roman" w:cs="Times New Roman"/>
                <w:b/>
                <w:color w:val="000000"/>
                <w:sz w:val="20"/>
                <w:szCs w:val="20"/>
              </w:rPr>
              <w:t>Exposure</w:t>
            </w:r>
          </w:p>
        </w:tc>
        <w:tc>
          <w:tcPr>
            <w:tcW w:w="2022" w:type="dxa"/>
            <w:tcBorders>
              <w:top w:val="single" w:sz="4" w:space="0" w:color="auto"/>
              <w:bottom w:val="single" w:sz="4" w:space="0" w:color="auto"/>
            </w:tcBorders>
            <w:noWrap/>
            <w:vAlign w:val="bottom"/>
            <w:hideMark/>
          </w:tcPr>
          <w:p w14:paraId="4EF0AFC3" w14:textId="77777777" w:rsidR="007C7F94" w:rsidRPr="008A5C48" w:rsidRDefault="007C7F94" w:rsidP="00FB6412">
            <w:pPr>
              <w:spacing w:after="0" w:line="240" w:lineRule="auto"/>
              <w:contextualSpacing/>
              <w:rPr>
                <w:rFonts w:ascii="Times New Roman" w:eastAsia="Times New Roman" w:hAnsi="Times New Roman" w:cs="Times New Roman"/>
                <w:b/>
                <w:bCs/>
                <w:color w:val="000000"/>
                <w:sz w:val="20"/>
                <w:szCs w:val="20"/>
                <w:lang w:val="fr-FR"/>
              </w:rPr>
            </w:pPr>
            <w:r w:rsidRPr="008A5C48">
              <w:rPr>
                <w:rFonts w:ascii="Times New Roman" w:eastAsia="Times New Roman" w:hAnsi="Times New Roman" w:cs="Times New Roman"/>
                <w:b/>
                <w:color w:val="000000"/>
                <w:sz w:val="20"/>
                <w:szCs w:val="20"/>
              </w:rPr>
              <w:t>Estimate (CI 95%)</w:t>
            </w:r>
          </w:p>
        </w:tc>
        <w:tc>
          <w:tcPr>
            <w:tcW w:w="960" w:type="dxa"/>
            <w:tcBorders>
              <w:top w:val="single" w:sz="4" w:space="0" w:color="auto"/>
              <w:bottom w:val="single" w:sz="4" w:space="0" w:color="auto"/>
            </w:tcBorders>
            <w:noWrap/>
            <w:vAlign w:val="bottom"/>
            <w:hideMark/>
          </w:tcPr>
          <w:p w14:paraId="0293A8E8" w14:textId="77777777" w:rsidR="007C7F94" w:rsidRPr="008A5C48" w:rsidRDefault="007C7F94" w:rsidP="00FB6412">
            <w:pPr>
              <w:spacing w:after="0" w:line="240" w:lineRule="auto"/>
              <w:contextualSpacing/>
              <w:rPr>
                <w:rFonts w:ascii="Times New Roman" w:eastAsia="Times New Roman" w:hAnsi="Times New Roman" w:cs="Times New Roman"/>
                <w:b/>
                <w:bCs/>
                <w:color w:val="000000"/>
                <w:sz w:val="20"/>
                <w:szCs w:val="20"/>
                <w:lang w:val="fr-FR"/>
              </w:rPr>
            </w:pPr>
            <w:r w:rsidRPr="008A5C48">
              <w:rPr>
                <w:rFonts w:ascii="Times New Roman" w:eastAsia="Times New Roman" w:hAnsi="Times New Roman" w:cs="Times New Roman"/>
                <w:b/>
                <w:color w:val="000000"/>
                <w:sz w:val="20"/>
                <w:szCs w:val="20"/>
              </w:rPr>
              <w:t>p-value</w:t>
            </w:r>
          </w:p>
        </w:tc>
        <w:tc>
          <w:tcPr>
            <w:tcW w:w="1319" w:type="dxa"/>
            <w:tcBorders>
              <w:top w:val="single" w:sz="4" w:space="0" w:color="auto"/>
              <w:bottom w:val="single" w:sz="4" w:space="0" w:color="auto"/>
            </w:tcBorders>
            <w:noWrap/>
            <w:vAlign w:val="bottom"/>
            <w:hideMark/>
          </w:tcPr>
          <w:p w14:paraId="75C37052" w14:textId="77777777" w:rsidR="007C7F94" w:rsidRPr="008A5C48" w:rsidRDefault="007C7F94" w:rsidP="00FB6412">
            <w:pPr>
              <w:spacing w:after="0" w:line="240" w:lineRule="auto"/>
              <w:contextualSpacing/>
              <w:rPr>
                <w:rFonts w:ascii="Times New Roman" w:eastAsia="Times New Roman" w:hAnsi="Times New Roman" w:cs="Times New Roman"/>
                <w:b/>
                <w:bCs/>
                <w:color w:val="000000"/>
                <w:sz w:val="20"/>
                <w:szCs w:val="20"/>
                <w:lang w:val="fr-FR"/>
              </w:rPr>
            </w:pPr>
            <w:r w:rsidRPr="008A5C48">
              <w:rPr>
                <w:rFonts w:ascii="Times New Roman" w:eastAsia="Times New Roman" w:hAnsi="Times New Roman" w:cs="Times New Roman"/>
                <w:b/>
                <w:color w:val="000000"/>
                <w:sz w:val="20"/>
                <w:szCs w:val="20"/>
              </w:rPr>
              <w:t>p corrected</w:t>
            </w:r>
          </w:p>
        </w:tc>
      </w:tr>
      <w:tr w:rsidR="007C7F94" w:rsidRPr="008A5C48" w14:paraId="6C0BDC22" w14:textId="77777777" w:rsidTr="002F5E03">
        <w:trPr>
          <w:trHeight w:val="288"/>
        </w:trPr>
        <w:tc>
          <w:tcPr>
            <w:tcW w:w="3128" w:type="dxa"/>
            <w:tcBorders>
              <w:top w:val="single" w:sz="4" w:space="0" w:color="auto"/>
            </w:tcBorders>
            <w:noWrap/>
            <w:vAlign w:val="bottom"/>
            <w:hideMark/>
          </w:tcPr>
          <w:p w14:paraId="00BAF7C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Parental smoking (one)</w:t>
            </w:r>
          </w:p>
        </w:tc>
        <w:tc>
          <w:tcPr>
            <w:tcW w:w="2022" w:type="dxa"/>
            <w:tcBorders>
              <w:top w:val="single" w:sz="4" w:space="0" w:color="auto"/>
            </w:tcBorders>
            <w:noWrap/>
            <w:vAlign w:val="bottom"/>
            <w:hideMark/>
          </w:tcPr>
          <w:p w14:paraId="1FC118C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[-0.14; 0.05]</w:t>
            </w:r>
          </w:p>
        </w:tc>
        <w:tc>
          <w:tcPr>
            <w:tcW w:w="960" w:type="dxa"/>
            <w:tcBorders>
              <w:top w:val="single" w:sz="4" w:space="0" w:color="auto"/>
            </w:tcBorders>
            <w:noWrap/>
            <w:vAlign w:val="bottom"/>
            <w:hideMark/>
          </w:tcPr>
          <w:p w14:paraId="4DE0C26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0,36</w:t>
            </w:r>
          </w:p>
        </w:tc>
        <w:tc>
          <w:tcPr>
            <w:tcW w:w="1319" w:type="dxa"/>
            <w:tcBorders>
              <w:top w:val="single" w:sz="4" w:space="0" w:color="auto"/>
            </w:tcBorders>
            <w:noWrap/>
            <w:vAlign w:val="bottom"/>
            <w:hideMark/>
          </w:tcPr>
          <w:p w14:paraId="428E66D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65109FF" w14:textId="77777777" w:rsidTr="002F5E03">
        <w:trPr>
          <w:trHeight w:val="288"/>
        </w:trPr>
        <w:tc>
          <w:tcPr>
            <w:tcW w:w="3128" w:type="dxa"/>
            <w:noWrap/>
            <w:vAlign w:val="bottom"/>
            <w:hideMark/>
          </w:tcPr>
          <w:p w14:paraId="1E08EDA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Parental smoking (both)</w:t>
            </w:r>
          </w:p>
        </w:tc>
        <w:tc>
          <w:tcPr>
            <w:tcW w:w="2022" w:type="dxa"/>
            <w:noWrap/>
            <w:vAlign w:val="bottom"/>
            <w:hideMark/>
          </w:tcPr>
          <w:p w14:paraId="5790F4E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[-0.17; 0.09]</w:t>
            </w:r>
          </w:p>
        </w:tc>
        <w:tc>
          <w:tcPr>
            <w:tcW w:w="960" w:type="dxa"/>
            <w:noWrap/>
            <w:vAlign w:val="bottom"/>
            <w:hideMark/>
          </w:tcPr>
          <w:p w14:paraId="6F1043B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0,57</w:t>
            </w:r>
          </w:p>
        </w:tc>
        <w:tc>
          <w:tcPr>
            <w:tcW w:w="1319" w:type="dxa"/>
            <w:noWrap/>
            <w:vAlign w:val="bottom"/>
            <w:hideMark/>
          </w:tcPr>
          <w:p w14:paraId="5E01CE3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0230721" w14:textId="77777777" w:rsidTr="002F5E03">
        <w:trPr>
          <w:trHeight w:val="288"/>
        </w:trPr>
        <w:tc>
          <w:tcPr>
            <w:tcW w:w="3128" w:type="dxa"/>
            <w:noWrap/>
            <w:vAlign w:val="bottom"/>
            <w:hideMark/>
          </w:tcPr>
          <w:p w14:paraId="6DF9325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ETS (exposed)</w:t>
            </w:r>
          </w:p>
        </w:tc>
        <w:tc>
          <w:tcPr>
            <w:tcW w:w="2022" w:type="dxa"/>
            <w:noWrap/>
            <w:vAlign w:val="bottom"/>
            <w:hideMark/>
          </w:tcPr>
          <w:p w14:paraId="0C0CD7A6"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-0.12 [-0.2; -0.03]</w:t>
            </w:r>
          </w:p>
        </w:tc>
        <w:tc>
          <w:tcPr>
            <w:tcW w:w="960" w:type="dxa"/>
            <w:noWrap/>
            <w:vAlign w:val="bottom"/>
            <w:hideMark/>
          </w:tcPr>
          <w:p w14:paraId="63B9BD0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w:t>
            </w:r>
          </w:p>
        </w:tc>
        <w:tc>
          <w:tcPr>
            <w:tcW w:w="1319" w:type="dxa"/>
            <w:noWrap/>
            <w:vAlign w:val="bottom"/>
            <w:hideMark/>
          </w:tcPr>
          <w:p w14:paraId="679527C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0,45</w:t>
            </w:r>
          </w:p>
        </w:tc>
      </w:tr>
      <w:tr w:rsidR="007C7F94" w:rsidRPr="008A5C48" w14:paraId="76BD9333" w14:textId="77777777" w:rsidTr="002F5E03">
        <w:trPr>
          <w:trHeight w:val="288"/>
        </w:trPr>
        <w:tc>
          <w:tcPr>
            <w:tcW w:w="3128" w:type="dxa"/>
            <w:noWrap/>
            <w:vAlign w:val="bottom"/>
            <w:hideMark/>
          </w:tcPr>
          <w:p w14:paraId="3AD56C0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Sweets (medium)</w:t>
            </w:r>
          </w:p>
        </w:tc>
        <w:tc>
          <w:tcPr>
            <w:tcW w:w="2022" w:type="dxa"/>
            <w:noWrap/>
            <w:vAlign w:val="bottom"/>
            <w:hideMark/>
          </w:tcPr>
          <w:p w14:paraId="289E501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[-0.07; 0.12]</w:t>
            </w:r>
          </w:p>
        </w:tc>
        <w:tc>
          <w:tcPr>
            <w:tcW w:w="960" w:type="dxa"/>
            <w:noWrap/>
            <w:vAlign w:val="bottom"/>
            <w:hideMark/>
          </w:tcPr>
          <w:p w14:paraId="5C734C6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0,60</w:t>
            </w:r>
          </w:p>
        </w:tc>
        <w:tc>
          <w:tcPr>
            <w:tcW w:w="1319" w:type="dxa"/>
            <w:noWrap/>
            <w:vAlign w:val="bottom"/>
            <w:hideMark/>
          </w:tcPr>
          <w:p w14:paraId="4E46372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93AF4EF" w14:textId="77777777" w:rsidTr="002F5E03">
        <w:trPr>
          <w:trHeight w:val="288"/>
        </w:trPr>
        <w:tc>
          <w:tcPr>
            <w:tcW w:w="3128" w:type="dxa"/>
            <w:noWrap/>
            <w:vAlign w:val="bottom"/>
            <w:hideMark/>
          </w:tcPr>
          <w:p w14:paraId="61C4FDC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Sweets (high)</w:t>
            </w:r>
          </w:p>
        </w:tc>
        <w:tc>
          <w:tcPr>
            <w:tcW w:w="2022" w:type="dxa"/>
            <w:noWrap/>
            <w:vAlign w:val="bottom"/>
            <w:hideMark/>
          </w:tcPr>
          <w:p w14:paraId="5D492EB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[-0.12; 0.08]</w:t>
            </w:r>
          </w:p>
        </w:tc>
        <w:tc>
          <w:tcPr>
            <w:tcW w:w="960" w:type="dxa"/>
            <w:noWrap/>
            <w:vAlign w:val="bottom"/>
            <w:hideMark/>
          </w:tcPr>
          <w:p w14:paraId="5B92C1E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0,68</w:t>
            </w:r>
          </w:p>
        </w:tc>
        <w:tc>
          <w:tcPr>
            <w:tcW w:w="1319" w:type="dxa"/>
            <w:noWrap/>
            <w:vAlign w:val="bottom"/>
            <w:hideMark/>
          </w:tcPr>
          <w:p w14:paraId="2825B26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53F6C81" w14:textId="77777777" w:rsidTr="002F5E03">
        <w:trPr>
          <w:trHeight w:val="288"/>
        </w:trPr>
        <w:tc>
          <w:tcPr>
            <w:tcW w:w="3128" w:type="dxa"/>
            <w:noWrap/>
            <w:vAlign w:val="bottom"/>
            <w:hideMark/>
          </w:tcPr>
          <w:p w14:paraId="75D35FE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Meat (medium)</w:t>
            </w:r>
          </w:p>
        </w:tc>
        <w:tc>
          <w:tcPr>
            <w:tcW w:w="2022" w:type="dxa"/>
            <w:noWrap/>
            <w:vAlign w:val="bottom"/>
            <w:hideMark/>
          </w:tcPr>
          <w:p w14:paraId="4912C3A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 [-0.13; 0.06]</w:t>
            </w:r>
          </w:p>
        </w:tc>
        <w:tc>
          <w:tcPr>
            <w:tcW w:w="960" w:type="dxa"/>
            <w:noWrap/>
            <w:vAlign w:val="bottom"/>
            <w:hideMark/>
          </w:tcPr>
          <w:p w14:paraId="6FE9F53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0,53</w:t>
            </w:r>
          </w:p>
        </w:tc>
        <w:tc>
          <w:tcPr>
            <w:tcW w:w="1319" w:type="dxa"/>
            <w:noWrap/>
            <w:vAlign w:val="bottom"/>
            <w:hideMark/>
          </w:tcPr>
          <w:p w14:paraId="7D70A38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36B5C036" w14:textId="77777777" w:rsidTr="002F5E03">
        <w:trPr>
          <w:trHeight w:val="288"/>
        </w:trPr>
        <w:tc>
          <w:tcPr>
            <w:tcW w:w="3128" w:type="dxa"/>
            <w:noWrap/>
            <w:vAlign w:val="bottom"/>
            <w:hideMark/>
          </w:tcPr>
          <w:p w14:paraId="4D327CA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Meat (high)</w:t>
            </w:r>
          </w:p>
        </w:tc>
        <w:tc>
          <w:tcPr>
            <w:tcW w:w="2022" w:type="dxa"/>
            <w:noWrap/>
            <w:vAlign w:val="bottom"/>
            <w:hideMark/>
          </w:tcPr>
          <w:p w14:paraId="24E62E0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-0.05 [-0.14; 0.04]</w:t>
            </w:r>
          </w:p>
        </w:tc>
        <w:tc>
          <w:tcPr>
            <w:tcW w:w="960" w:type="dxa"/>
            <w:noWrap/>
            <w:vAlign w:val="bottom"/>
            <w:hideMark/>
          </w:tcPr>
          <w:p w14:paraId="2D807DF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0,27</w:t>
            </w:r>
          </w:p>
        </w:tc>
        <w:tc>
          <w:tcPr>
            <w:tcW w:w="1319" w:type="dxa"/>
            <w:noWrap/>
            <w:vAlign w:val="bottom"/>
            <w:hideMark/>
          </w:tcPr>
          <w:p w14:paraId="356D21C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C2C4A6E" w14:textId="77777777" w:rsidTr="002F5E03">
        <w:trPr>
          <w:trHeight w:val="288"/>
        </w:trPr>
        <w:tc>
          <w:tcPr>
            <w:tcW w:w="3128" w:type="dxa"/>
            <w:noWrap/>
            <w:vAlign w:val="bottom"/>
            <w:hideMark/>
          </w:tcPr>
          <w:p w14:paraId="759BA730"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Processed meat (medium)</w:t>
            </w:r>
          </w:p>
        </w:tc>
        <w:tc>
          <w:tcPr>
            <w:tcW w:w="2022" w:type="dxa"/>
            <w:noWrap/>
            <w:vAlign w:val="bottom"/>
            <w:hideMark/>
          </w:tcPr>
          <w:p w14:paraId="6F69D8E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0.07 [-0.02; 0.16]</w:t>
            </w:r>
          </w:p>
        </w:tc>
        <w:tc>
          <w:tcPr>
            <w:tcW w:w="960" w:type="dxa"/>
            <w:noWrap/>
            <w:vAlign w:val="bottom"/>
            <w:hideMark/>
          </w:tcPr>
          <w:p w14:paraId="4AB297C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0,12</w:t>
            </w:r>
          </w:p>
        </w:tc>
        <w:tc>
          <w:tcPr>
            <w:tcW w:w="1319" w:type="dxa"/>
            <w:noWrap/>
            <w:vAlign w:val="bottom"/>
            <w:hideMark/>
          </w:tcPr>
          <w:p w14:paraId="40760F0D"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6CC72C0" w14:textId="77777777" w:rsidTr="002F5E03">
        <w:trPr>
          <w:trHeight w:val="288"/>
        </w:trPr>
        <w:tc>
          <w:tcPr>
            <w:tcW w:w="3128" w:type="dxa"/>
            <w:noWrap/>
            <w:vAlign w:val="bottom"/>
            <w:hideMark/>
          </w:tcPr>
          <w:p w14:paraId="1A30163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Processed meat (high)</w:t>
            </w:r>
          </w:p>
        </w:tc>
        <w:tc>
          <w:tcPr>
            <w:tcW w:w="2022" w:type="dxa"/>
            <w:noWrap/>
            <w:vAlign w:val="bottom"/>
            <w:hideMark/>
          </w:tcPr>
          <w:p w14:paraId="41D1BF1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[-0.09; 0.12]</w:t>
            </w:r>
          </w:p>
        </w:tc>
        <w:tc>
          <w:tcPr>
            <w:tcW w:w="960" w:type="dxa"/>
            <w:noWrap/>
            <w:vAlign w:val="bottom"/>
            <w:hideMark/>
          </w:tcPr>
          <w:p w14:paraId="269C66D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0,74</w:t>
            </w:r>
          </w:p>
        </w:tc>
        <w:tc>
          <w:tcPr>
            <w:tcW w:w="1319" w:type="dxa"/>
            <w:noWrap/>
            <w:vAlign w:val="bottom"/>
            <w:hideMark/>
          </w:tcPr>
          <w:p w14:paraId="59211FC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3CB476CA" w14:textId="77777777" w:rsidTr="002F5E03">
        <w:trPr>
          <w:trHeight w:val="288"/>
        </w:trPr>
        <w:tc>
          <w:tcPr>
            <w:tcW w:w="3128" w:type="dxa"/>
            <w:noWrap/>
            <w:vAlign w:val="bottom"/>
            <w:hideMark/>
          </w:tcPr>
          <w:p w14:paraId="4C5B13B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Fish (medium)</w:t>
            </w:r>
          </w:p>
        </w:tc>
        <w:tc>
          <w:tcPr>
            <w:tcW w:w="2022" w:type="dxa"/>
            <w:noWrap/>
            <w:vAlign w:val="bottom"/>
            <w:hideMark/>
          </w:tcPr>
          <w:p w14:paraId="5D0FC61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0.06 [-0.04; 0.16]</w:t>
            </w:r>
          </w:p>
        </w:tc>
        <w:tc>
          <w:tcPr>
            <w:tcW w:w="960" w:type="dxa"/>
            <w:noWrap/>
            <w:vAlign w:val="bottom"/>
            <w:hideMark/>
          </w:tcPr>
          <w:p w14:paraId="412E66A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0,23</w:t>
            </w:r>
          </w:p>
        </w:tc>
        <w:tc>
          <w:tcPr>
            <w:tcW w:w="1319" w:type="dxa"/>
            <w:noWrap/>
            <w:vAlign w:val="bottom"/>
            <w:hideMark/>
          </w:tcPr>
          <w:p w14:paraId="2C25AEED"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6E97F97" w14:textId="77777777" w:rsidTr="002F5E03">
        <w:trPr>
          <w:trHeight w:val="288"/>
        </w:trPr>
        <w:tc>
          <w:tcPr>
            <w:tcW w:w="3128" w:type="dxa"/>
            <w:noWrap/>
            <w:vAlign w:val="bottom"/>
            <w:hideMark/>
          </w:tcPr>
          <w:p w14:paraId="723E022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Fish (high)</w:t>
            </w:r>
          </w:p>
        </w:tc>
        <w:tc>
          <w:tcPr>
            <w:tcW w:w="2022" w:type="dxa"/>
            <w:noWrap/>
            <w:vAlign w:val="bottom"/>
            <w:hideMark/>
          </w:tcPr>
          <w:p w14:paraId="4FE5FCD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[-0.1; 0.11]</w:t>
            </w:r>
          </w:p>
        </w:tc>
        <w:tc>
          <w:tcPr>
            <w:tcW w:w="960" w:type="dxa"/>
            <w:noWrap/>
            <w:vAlign w:val="bottom"/>
            <w:hideMark/>
          </w:tcPr>
          <w:p w14:paraId="4521C06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0,89</w:t>
            </w:r>
          </w:p>
        </w:tc>
        <w:tc>
          <w:tcPr>
            <w:tcW w:w="1319" w:type="dxa"/>
            <w:noWrap/>
            <w:vAlign w:val="bottom"/>
            <w:hideMark/>
          </w:tcPr>
          <w:p w14:paraId="3ADF631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09A88F7" w14:textId="77777777" w:rsidTr="002F5E03">
        <w:trPr>
          <w:trHeight w:val="288"/>
        </w:trPr>
        <w:tc>
          <w:tcPr>
            <w:tcW w:w="3128" w:type="dxa"/>
            <w:noWrap/>
            <w:vAlign w:val="bottom"/>
            <w:hideMark/>
          </w:tcPr>
          <w:p w14:paraId="66D07E9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Yogurt (medium)</w:t>
            </w:r>
          </w:p>
        </w:tc>
        <w:tc>
          <w:tcPr>
            <w:tcW w:w="2022" w:type="dxa"/>
            <w:noWrap/>
            <w:vAlign w:val="bottom"/>
            <w:hideMark/>
          </w:tcPr>
          <w:p w14:paraId="67959D0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[-0.08; 0.12]</w:t>
            </w:r>
          </w:p>
        </w:tc>
        <w:tc>
          <w:tcPr>
            <w:tcW w:w="960" w:type="dxa"/>
            <w:noWrap/>
            <w:vAlign w:val="bottom"/>
            <w:hideMark/>
          </w:tcPr>
          <w:p w14:paraId="71B51F0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0,75</w:t>
            </w:r>
          </w:p>
        </w:tc>
        <w:tc>
          <w:tcPr>
            <w:tcW w:w="1319" w:type="dxa"/>
            <w:noWrap/>
            <w:vAlign w:val="bottom"/>
            <w:hideMark/>
          </w:tcPr>
          <w:p w14:paraId="4C735BE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CEE1778" w14:textId="77777777" w:rsidTr="002F5E03">
        <w:trPr>
          <w:trHeight w:val="288"/>
        </w:trPr>
        <w:tc>
          <w:tcPr>
            <w:tcW w:w="3128" w:type="dxa"/>
            <w:noWrap/>
            <w:vAlign w:val="bottom"/>
            <w:hideMark/>
          </w:tcPr>
          <w:p w14:paraId="4385147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Yogurt (high)</w:t>
            </w:r>
          </w:p>
        </w:tc>
        <w:tc>
          <w:tcPr>
            <w:tcW w:w="2022" w:type="dxa"/>
            <w:noWrap/>
            <w:vAlign w:val="bottom"/>
            <w:hideMark/>
          </w:tcPr>
          <w:p w14:paraId="636FF86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[-0.07; 0.12]</w:t>
            </w:r>
          </w:p>
        </w:tc>
        <w:tc>
          <w:tcPr>
            <w:tcW w:w="960" w:type="dxa"/>
            <w:noWrap/>
            <w:vAlign w:val="bottom"/>
            <w:hideMark/>
          </w:tcPr>
          <w:p w14:paraId="599A139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0,63</w:t>
            </w:r>
          </w:p>
        </w:tc>
        <w:tc>
          <w:tcPr>
            <w:tcW w:w="1319" w:type="dxa"/>
            <w:noWrap/>
            <w:vAlign w:val="bottom"/>
            <w:hideMark/>
          </w:tcPr>
          <w:p w14:paraId="06EE3ED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11442ACF" w14:textId="77777777" w:rsidTr="002F5E03">
        <w:trPr>
          <w:trHeight w:val="288"/>
        </w:trPr>
        <w:tc>
          <w:tcPr>
            <w:tcW w:w="3128" w:type="dxa"/>
            <w:noWrap/>
            <w:vAlign w:val="bottom"/>
            <w:hideMark/>
          </w:tcPr>
          <w:p w14:paraId="5507547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Beverages (medium)</w:t>
            </w:r>
          </w:p>
        </w:tc>
        <w:tc>
          <w:tcPr>
            <w:tcW w:w="2022" w:type="dxa"/>
            <w:noWrap/>
            <w:vAlign w:val="bottom"/>
            <w:hideMark/>
          </w:tcPr>
          <w:p w14:paraId="154085C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[-0.05; 0.13]</w:t>
            </w:r>
          </w:p>
        </w:tc>
        <w:tc>
          <w:tcPr>
            <w:tcW w:w="960" w:type="dxa"/>
            <w:noWrap/>
            <w:vAlign w:val="bottom"/>
            <w:hideMark/>
          </w:tcPr>
          <w:p w14:paraId="67597C6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0,36</w:t>
            </w:r>
          </w:p>
        </w:tc>
        <w:tc>
          <w:tcPr>
            <w:tcW w:w="1319" w:type="dxa"/>
            <w:noWrap/>
            <w:vAlign w:val="bottom"/>
            <w:hideMark/>
          </w:tcPr>
          <w:p w14:paraId="6F07974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2EFE754" w14:textId="77777777" w:rsidTr="002F5E03">
        <w:trPr>
          <w:trHeight w:val="288"/>
        </w:trPr>
        <w:tc>
          <w:tcPr>
            <w:tcW w:w="3128" w:type="dxa"/>
            <w:noWrap/>
            <w:vAlign w:val="bottom"/>
            <w:hideMark/>
          </w:tcPr>
          <w:p w14:paraId="7F2B05C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Beverages (high)</w:t>
            </w:r>
          </w:p>
        </w:tc>
        <w:tc>
          <w:tcPr>
            <w:tcW w:w="2022" w:type="dxa"/>
            <w:noWrap/>
            <w:vAlign w:val="bottom"/>
            <w:hideMark/>
          </w:tcPr>
          <w:p w14:paraId="3088FD6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-0.08 [-0.18; 0.02]</w:t>
            </w:r>
          </w:p>
        </w:tc>
        <w:tc>
          <w:tcPr>
            <w:tcW w:w="960" w:type="dxa"/>
            <w:noWrap/>
            <w:vAlign w:val="bottom"/>
            <w:hideMark/>
          </w:tcPr>
          <w:p w14:paraId="126D4FAD"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0,12</w:t>
            </w:r>
          </w:p>
        </w:tc>
        <w:tc>
          <w:tcPr>
            <w:tcW w:w="1319" w:type="dxa"/>
            <w:noWrap/>
            <w:vAlign w:val="bottom"/>
            <w:hideMark/>
          </w:tcPr>
          <w:p w14:paraId="069666B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852035A" w14:textId="77777777" w:rsidTr="002F5E03">
        <w:trPr>
          <w:trHeight w:val="288"/>
        </w:trPr>
        <w:tc>
          <w:tcPr>
            <w:tcW w:w="3128" w:type="dxa"/>
            <w:noWrap/>
            <w:vAlign w:val="bottom"/>
            <w:hideMark/>
          </w:tcPr>
          <w:p w14:paraId="588A61B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Bread (medium)</w:t>
            </w:r>
          </w:p>
        </w:tc>
        <w:tc>
          <w:tcPr>
            <w:tcW w:w="2022" w:type="dxa"/>
            <w:noWrap/>
            <w:vAlign w:val="bottom"/>
            <w:hideMark/>
          </w:tcPr>
          <w:p w14:paraId="4FD3D8B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[-0.13; 0.05]</w:t>
            </w:r>
          </w:p>
        </w:tc>
        <w:tc>
          <w:tcPr>
            <w:tcW w:w="960" w:type="dxa"/>
            <w:noWrap/>
            <w:vAlign w:val="bottom"/>
            <w:hideMark/>
          </w:tcPr>
          <w:p w14:paraId="0D2E9F0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0,34</w:t>
            </w:r>
          </w:p>
        </w:tc>
        <w:tc>
          <w:tcPr>
            <w:tcW w:w="1319" w:type="dxa"/>
            <w:noWrap/>
            <w:vAlign w:val="bottom"/>
            <w:hideMark/>
          </w:tcPr>
          <w:p w14:paraId="5097BD9D"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C0EDC85" w14:textId="77777777" w:rsidTr="002F5E03">
        <w:trPr>
          <w:trHeight w:val="288"/>
        </w:trPr>
        <w:tc>
          <w:tcPr>
            <w:tcW w:w="3128" w:type="dxa"/>
            <w:noWrap/>
            <w:vAlign w:val="bottom"/>
            <w:hideMark/>
          </w:tcPr>
          <w:p w14:paraId="2D57934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Bread (high)</w:t>
            </w:r>
          </w:p>
        </w:tc>
        <w:tc>
          <w:tcPr>
            <w:tcW w:w="2022" w:type="dxa"/>
            <w:noWrap/>
            <w:vAlign w:val="bottom"/>
            <w:hideMark/>
          </w:tcPr>
          <w:p w14:paraId="13BAB14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[-0.07; 0.14]</w:t>
            </w:r>
          </w:p>
        </w:tc>
        <w:tc>
          <w:tcPr>
            <w:tcW w:w="960" w:type="dxa"/>
            <w:noWrap/>
            <w:vAlign w:val="bottom"/>
            <w:hideMark/>
          </w:tcPr>
          <w:p w14:paraId="7C2F2B5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0,49</w:t>
            </w:r>
          </w:p>
        </w:tc>
        <w:tc>
          <w:tcPr>
            <w:tcW w:w="1319" w:type="dxa"/>
            <w:noWrap/>
            <w:vAlign w:val="bottom"/>
            <w:hideMark/>
          </w:tcPr>
          <w:p w14:paraId="389E4D7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3035B82E" w14:textId="77777777" w:rsidTr="002F5E03">
        <w:trPr>
          <w:trHeight w:val="288"/>
        </w:trPr>
        <w:tc>
          <w:tcPr>
            <w:tcW w:w="3128" w:type="dxa"/>
            <w:noWrap/>
            <w:vAlign w:val="bottom"/>
            <w:hideMark/>
          </w:tcPr>
          <w:p w14:paraId="512EB1A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Breakfast cereals (medium)</w:t>
            </w:r>
          </w:p>
        </w:tc>
        <w:tc>
          <w:tcPr>
            <w:tcW w:w="2022" w:type="dxa"/>
            <w:noWrap/>
            <w:vAlign w:val="bottom"/>
            <w:hideMark/>
          </w:tcPr>
          <w:p w14:paraId="0763587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0.06 [-0.03; 0.15]</w:t>
            </w:r>
          </w:p>
        </w:tc>
        <w:tc>
          <w:tcPr>
            <w:tcW w:w="960" w:type="dxa"/>
            <w:noWrap/>
            <w:vAlign w:val="bottom"/>
            <w:hideMark/>
          </w:tcPr>
          <w:p w14:paraId="0945E1E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0,22</w:t>
            </w:r>
          </w:p>
        </w:tc>
        <w:tc>
          <w:tcPr>
            <w:tcW w:w="1319" w:type="dxa"/>
            <w:noWrap/>
            <w:vAlign w:val="bottom"/>
            <w:hideMark/>
          </w:tcPr>
          <w:p w14:paraId="58F7A9B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3146B085" w14:textId="77777777" w:rsidTr="002F5E03">
        <w:trPr>
          <w:trHeight w:val="288"/>
        </w:trPr>
        <w:tc>
          <w:tcPr>
            <w:tcW w:w="3128" w:type="dxa"/>
            <w:noWrap/>
            <w:vAlign w:val="bottom"/>
            <w:hideMark/>
          </w:tcPr>
          <w:p w14:paraId="17E77E20"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Breakfast cereals (high)</w:t>
            </w:r>
          </w:p>
        </w:tc>
        <w:tc>
          <w:tcPr>
            <w:tcW w:w="2022" w:type="dxa"/>
            <w:noWrap/>
            <w:vAlign w:val="bottom"/>
            <w:hideMark/>
          </w:tcPr>
          <w:p w14:paraId="26DE5B0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0.09 [-0.01; 0.19]</w:t>
            </w:r>
          </w:p>
        </w:tc>
        <w:tc>
          <w:tcPr>
            <w:tcW w:w="960" w:type="dxa"/>
            <w:noWrap/>
            <w:vAlign w:val="bottom"/>
            <w:hideMark/>
          </w:tcPr>
          <w:p w14:paraId="3B58023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0,06</w:t>
            </w:r>
          </w:p>
        </w:tc>
        <w:tc>
          <w:tcPr>
            <w:tcW w:w="1319" w:type="dxa"/>
            <w:noWrap/>
            <w:vAlign w:val="bottom"/>
            <w:hideMark/>
          </w:tcPr>
          <w:p w14:paraId="3A5A324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6C5AD6C" w14:textId="77777777" w:rsidTr="002F5E03">
        <w:trPr>
          <w:trHeight w:val="288"/>
        </w:trPr>
        <w:tc>
          <w:tcPr>
            <w:tcW w:w="3128" w:type="dxa"/>
            <w:noWrap/>
            <w:vAlign w:val="bottom"/>
            <w:hideMark/>
          </w:tcPr>
          <w:p w14:paraId="7FEEAE0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Potatoes (medium)</w:t>
            </w:r>
          </w:p>
        </w:tc>
        <w:tc>
          <w:tcPr>
            <w:tcW w:w="2022" w:type="dxa"/>
            <w:noWrap/>
            <w:vAlign w:val="bottom"/>
            <w:hideMark/>
          </w:tcPr>
          <w:p w14:paraId="029799A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[-0.12; 0.05]</w:t>
            </w:r>
          </w:p>
        </w:tc>
        <w:tc>
          <w:tcPr>
            <w:tcW w:w="960" w:type="dxa"/>
            <w:noWrap/>
            <w:vAlign w:val="bottom"/>
            <w:hideMark/>
          </w:tcPr>
          <w:p w14:paraId="0CEED51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0,40</w:t>
            </w:r>
          </w:p>
        </w:tc>
        <w:tc>
          <w:tcPr>
            <w:tcW w:w="1319" w:type="dxa"/>
            <w:noWrap/>
            <w:vAlign w:val="bottom"/>
            <w:hideMark/>
          </w:tcPr>
          <w:p w14:paraId="4172A8E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3C00DBF9" w14:textId="77777777" w:rsidTr="002F5E03">
        <w:trPr>
          <w:trHeight w:val="288"/>
        </w:trPr>
        <w:tc>
          <w:tcPr>
            <w:tcW w:w="3128" w:type="dxa"/>
            <w:noWrap/>
            <w:vAlign w:val="bottom"/>
            <w:hideMark/>
          </w:tcPr>
          <w:p w14:paraId="489AF62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Potatoes (high)</w:t>
            </w:r>
          </w:p>
        </w:tc>
        <w:tc>
          <w:tcPr>
            <w:tcW w:w="2022" w:type="dxa"/>
            <w:noWrap/>
            <w:vAlign w:val="bottom"/>
            <w:hideMark/>
          </w:tcPr>
          <w:p w14:paraId="7BE221E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-0.07 [-0.18; 0.04]</w:t>
            </w:r>
          </w:p>
        </w:tc>
        <w:tc>
          <w:tcPr>
            <w:tcW w:w="960" w:type="dxa"/>
            <w:noWrap/>
            <w:vAlign w:val="bottom"/>
            <w:hideMark/>
          </w:tcPr>
          <w:p w14:paraId="2D3BEF7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0,21</w:t>
            </w:r>
          </w:p>
        </w:tc>
        <w:tc>
          <w:tcPr>
            <w:tcW w:w="1319" w:type="dxa"/>
            <w:noWrap/>
            <w:vAlign w:val="bottom"/>
            <w:hideMark/>
          </w:tcPr>
          <w:p w14:paraId="6F5F746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1D39CF85" w14:textId="77777777" w:rsidTr="002F5E03">
        <w:trPr>
          <w:trHeight w:val="288"/>
        </w:trPr>
        <w:tc>
          <w:tcPr>
            <w:tcW w:w="3128" w:type="dxa"/>
            <w:noWrap/>
            <w:vAlign w:val="bottom"/>
            <w:hideMark/>
          </w:tcPr>
          <w:p w14:paraId="0803A96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Vegetables (medium)</w:t>
            </w:r>
          </w:p>
        </w:tc>
        <w:tc>
          <w:tcPr>
            <w:tcW w:w="2022" w:type="dxa"/>
            <w:noWrap/>
            <w:vAlign w:val="bottom"/>
            <w:hideMark/>
          </w:tcPr>
          <w:p w14:paraId="0F8705B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[-0.09; 0.12]</w:t>
            </w:r>
          </w:p>
        </w:tc>
        <w:tc>
          <w:tcPr>
            <w:tcW w:w="960" w:type="dxa"/>
            <w:noWrap/>
            <w:vAlign w:val="bottom"/>
            <w:hideMark/>
          </w:tcPr>
          <w:p w14:paraId="49F274B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0,75</w:t>
            </w:r>
          </w:p>
        </w:tc>
        <w:tc>
          <w:tcPr>
            <w:tcW w:w="1319" w:type="dxa"/>
            <w:noWrap/>
            <w:vAlign w:val="bottom"/>
            <w:hideMark/>
          </w:tcPr>
          <w:p w14:paraId="7574CF1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DD4715D" w14:textId="77777777" w:rsidTr="002F5E03">
        <w:trPr>
          <w:trHeight w:val="288"/>
        </w:trPr>
        <w:tc>
          <w:tcPr>
            <w:tcW w:w="3128" w:type="dxa"/>
            <w:noWrap/>
            <w:vAlign w:val="bottom"/>
            <w:hideMark/>
          </w:tcPr>
          <w:p w14:paraId="4DDAE846"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Vegetables (high)</w:t>
            </w:r>
          </w:p>
        </w:tc>
        <w:tc>
          <w:tcPr>
            <w:tcW w:w="2022" w:type="dxa"/>
            <w:noWrap/>
            <w:vAlign w:val="bottom"/>
            <w:hideMark/>
          </w:tcPr>
          <w:p w14:paraId="620D9FC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0.11 [0.02; 0.2]</w:t>
            </w:r>
          </w:p>
        </w:tc>
        <w:tc>
          <w:tcPr>
            <w:tcW w:w="960" w:type="dxa"/>
            <w:noWrap/>
            <w:vAlign w:val="bottom"/>
            <w:hideMark/>
          </w:tcPr>
          <w:p w14:paraId="3FB80AD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w:t>
            </w:r>
          </w:p>
        </w:tc>
        <w:tc>
          <w:tcPr>
            <w:tcW w:w="1319" w:type="dxa"/>
            <w:noWrap/>
            <w:vAlign w:val="bottom"/>
            <w:hideMark/>
          </w:tcPr>
          <w:p w14:paraId="1284704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21E0FD0" w14:textId="77777777" w:rsidTr="002F5E03">
        <w:trPr>
          <w:trHeight w:val="288"/>
        </w:trPr>
        <w:tc>
          <w:tcPr>
            <w:tcW w:w="3128" w:type="dxa"/>
            <w:noWrap/>
            <w:vAlign w:val="bottom"/>
            <w:hideMark/>
          </w:tcPr>
          <w:p w14:paraId="5A0DFC9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Dairy (medium)</w:t>
            </w:r>
          </w:p>
        </w:tc>
        <w:tc>
          <w:tcPr>
            <w:tcW w:w="2022" w:type="dxa"/>
            <w:noWrap/>
            <w:vAlign w:val="bottom"/>
            <w:hideMark/>
          </w:tcPr>
          <w:p w14:paraId="65A0E860"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[-0.08; 0.11]</w:t>
            </w:r>
          </w:p>
        </w:tc>
        <w:tc>
          <w:tcPr>
            <w:tcW w:w="960" w:type="dxa"/>
            <w:noWrap/>
            <w:vAlign w:val="bottom"/>
            <w:hideMark/>
          </w:tcPr>
          <w:p w14:paraId="68FFA6C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0,74</w:t>
            </w:r>
          </w:p>
        </w:tc>
        <w:tc>
          <w:tcPr>
            <w:tcW w:w="1319" w:type="dxa"/>
            <w:noWrap/>
            <w:vAlign w:val="bottom"/>
            <w:hideMark/>
          </w:tcPr>
          <w:p w14:paraId="32AF174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2A7DDDE" w14:textId="77777777" w:rsidTr="002F5E03">
        <w:trPr>
          <w:trHeight w:val="288"/>
        </w:trPr>
        <w:tc>
          <w:tcPr>
            <w:tcW w:w="3128" w:type="dxa"/>
            <w:noWrap/>
            <w:vAlign w:val="bottom"/>
            <w:hideMark/>
          </w:tcPr>
          <w:p w14:paraId="5651576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en-US"/>
              </w:rPr>
            </w:pPr>
            <w:r w:rsidRPr="008A5C48">
              <w:rPr>
                <w:rFonts w:ascii="Times New Roman" w:eastAsia="Times New Roman" w:hAnsi="Times New Roman" w:cs="Times New Roman"/>
                <w:color w:val="000000"/>
                <w:sz w:val="20"/>
                <w:szCs w:val="20"/>
              </w:rPr>
              <w:t>Dairy (high)</w:t>
            </w:r>
          </w:p>
        </w:tc>
        <w:tc>
          <w:tcPr>
            <w:tcW w:w="2022" w:type="dxa"/>
            <w:noWrap/>
            <w:vAlign w:val="bottom"/>
            <w:hideMark/>
          </w:tcPr>
          <w:p w14:paraId="09941200"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[-0.09; 0.11]</w:t>
            </w:r>
          </w:p>
        </w:tc>
        <w:tc>
          <w:tcPr>
            <w:tcW w:w="960" w:type="dxa"/>
            <w:noWrap/>
            <w:vAlign w:val="bottom"/>
            <w:hideMark/>
          </w:tcPr>
          <w:p w14:paraId="108337D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0,90</w:t>
            </w:r>
          </w:p>
        </w:tc>
        <w:tc>
          <w:tcPr>
            <w:tcW w:w="1319" w:type="dxa"/>
            <w:noWrap/>
            <w:vAlign w:val="bottom"/>
            <w:hideMark/>
          </w:tcPr>
          <w:p w14:paraId="1502ACB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E15352D" w14:textId="77777777" w:rsidTr="002F5E03">
        <w:trPr>
          <w:trHeight w:val="288"/>
        </w:trPr>
        <w:tc>
          <w:tcPr>
            <w:tcW w:w="3128" w:type="dxa"/>
            <w:noWrap/>
            <w:vAlign w:val="bottom"/>
            <w:hideMark/>
          </w:tcPr>
          <w:p w14:paraId="1CF73FC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Total fruits (medium)</w:t>
            </w:r>
          </w:p>
        </w:tc>
        <w:tc>
          <w:tcPr>
            <w:tcW w:w="2022" w:type="dxa"/>
            <w:noWrap/>
            <w:vAlign w:val="bottom"/>
            <w:hideMark/>
          </w:tcPr>
          <w:p w14:paraId="54567CA0"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[-0.09; 0.1]</w:t>
            </w:r>
          </w:p>
        </w:tc>
        <w:tc>
          <w:tcPr>
            <w:tcW w:w="960" w:type="dxa"/>
            <w:noWrap/>
            <w:vAlign w:val="bottom"/>
            <w:hideMark/>
          </w:tcPr>
          <w:p w14:paraId="14F7DCF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0,96</w:t>
            </w:r>
          </w:p>
        </w:tc>
        <w:tc>
          <w:tcPr>
            <w:tcW w:w="1319" w:type="dxa"/>
            <w:noWrap/>
            <w:vAlign w:val="bottom"/>
            <w:hideMark/>
          </w:tcPr>
          <w:p w14:paraId="03E4DD9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06FC0D1" w14:textId="77777777" w:rsidTr="002F5E03">
        <w:trPr>
          <w:trHeight w:val="288"/>
        </w:trPr>
        <w:tc>
          <w:tcPr>
            <w:tcW w:w="3128" w:type="dxa"/>
            <w:noWrap/>
            <w:vAlign w:val="bottom"/>
            <w:hideMark/>
          </w:tcPr>
          <w:p w14:paraId="0EA60B5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Total fruits (high)</w:t>
            </w:r>
          </w:p>
        </w:tc>
        <w:tc>
          <w:tcPr>
            <w:tcW w:w="2022" w:type="dxa"/>
            <w:noWrap/>
            <w:vAlign w:val="bottom"/>
            <w:hideMark/>
          </w:tcPr>
          <w:p w14:paraId="130CE19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[-0.11; 0.09]</w:t>
            </w:r>
          </w:p>
        </w:tc>
        <w:tc>
          <w:tcPr>
            <w:tcW w:w="960" w:type="dxa"/>
            <w:noWrap/>
            <w:vAlign w:val="bottom"/>
            <w:hideMark/>
          </w:tcPr>
          <w:p w14:paraId="70373C6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0,81</w:t>
            </w:r>
          </w:p>
        </w:tc>
        <w:tc>
          <w:tcPr>
            <w:tcW w:w="1319" w:type="dxa"/>
            <w:noWrap/>
            <w:vAlign w:val="bottom"/>
            <w:hideMark/>
          </w:tcPr>
          <w:p w14:paraId="1215913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34E97E12" w14:textId="77777777" w:rsidTr="002F5E03">
        <w:trPr>
          <w:trHeight w:val="288"/>
        </w:trPr>
        <w:tc>
          <w:tcPr>
            <w:tcW w:w="3128" w:type="dxa"/>
            <w:noWrap/>
            <w:vAlign w:val="bottom"/>
            <w:hideMark/>
          </w:tcPr>
          <w:p w14:paraId="3A44FEB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Cereal (medium)</w:t>
            </w:r>
          </w:p>
        </w:tc>
        <w:tc>
          <w:tcPr>
            <w:tcW w:w="2022" w:type="dxa"/>
            <w:noWrap/>
            <w:vAlign w:val="bottom"/>
            <w:hideMark/>
          </w:tcPr>
          <w:p w14:paraId="03ECCF2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[-0.09; 0.1]</w:t>
            </w:r>
          </w:p>
        </w:tc>
        <w:tc>
          <w:tcPr>
            <w:tcW w:w="960" w:type="dxa"/>
            <w:noWrap/>
            <w:vAlign w:val="bottom"/>
            <w:hideMark/>
          </w:tcPr>
          <w:p w14:paraId="2ED4041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0,89</w:t>
            </w:r>
          </w:p>
        </w:tc>
        <w:tc>
          <w:tcPr>
            <w:tcW w:w="1319" w:type="dxa"/>
            <w:noWrap/>
            <w:vAlign w:val="bottom"/>
            <w:hideMark/>
          </w:tcPr>
          <w:p w14:paraId="16AE39B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2F3BB70" w14:textId="77777777" w:rsidTr="002F5E03">
        <w:trPr>
          <w:trHeight w:val="288"/>
        </w:trPr>
        <w:tc>
          <w:tcPr>
            <w:tcW w:w="3128" w:type="dxa"/>
            <w:noWrap/>
            <w:vAlign w:val="bottom"/>
            <w:hideMark/>
          </w:tcPr>
          <w:p w14:paraId="7C9648C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Cereal (high)</w:t>
            </w:r>
          </w:p>
        </w:tc>
        <w:tc>
          <w:tcPr>
            <w:tcW w:w="2022" w:type="dxa"/>
            <w:noWrap/>
            <w:vAlign w:val="bottom"/>
            <w:hideMark/>
          </w:tcPr>
          <w:p w14:paraId="2C73357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[-0.08; 0.11]</w:t>
            </w:r>
          </w:p>
        </w:tc>
        <w:tc>
          <w:tcPr>
            <w:tcW w:w="960" w:type="dxa"/>
            <w:noWrap/>
            <w:vAlign w:val="bottom"/>
            <w:hideMark/>
          </w:tcPr>
          <w:p w14:paraId="5AD6E62D"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0,76</w:t>
            </w:r>
          </w:p>
        </w:tc>
        <w:tc>
          <w:tcPr>
            <w:tcW w:w="1319" w:type="dxa"/>
            <w:noWrap/>
            <w:vAlign w:val="bottom"/>
            <w:hideMark/>
          </w:tcPr>
          <w:p w14:paraId="0149454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47A8242" w14:textId="77777777" w:rsidTr="002F5E03">
        <w:trPr>
          <w:trHeight w:val="288"/>
        </w:trPr>
        <w:tc>
          <w:tcPr>
            <w:tcW w:w="3128" w:type="dxa"/>
            <w:noWrap/>
            <w:vAlign w:val="bottom"/>
            <w:hideMark/>
          </w:tcPr>
          <w:p w14:paraId="0B6AA13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Bakery (medium)</w:t>
            </w:r>
          </w:p>
        </w:tc>
        <w:tc>
          <w:tcPr>
            <w:tcW w:w="2022" w:type="dxa"/>
            <w:noWrap/>
            <w:vAlign w:val="bottom"/>
            <w:hideMark/>
          </w:tcPr>
          <w:p w14:paraId="14B68A3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0.07 [-0.03; 0.16]</w:t>
            </w:r>
          </w:p>
        </w:tc>
        <w:tc>
          <w:tcPr>
            <w:tcW w:w="960" w:type="dxa"/>
            <w:noWrap/>
            <w:vAlign w:val="bottom"/>
            <w:hideMark/>
          </w:tcPr>
          <w:p w14:paraId="39E19A1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0,18</w:t>
            </w:r>
          </w:p>
        </w:tc>
        <w:tc>
          <w:tcPr>
            <w:tcW w:w="1319" w:type="dxa"/>
            <w:noWrap/>
            <w:vAlign w:val="bottom"/>
            <w:hideMark/>
          </w:tcPr>
          <w:p w14:paraId="1EE1B8C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AF0B7D1" w14:textId="77777777" w:rsidTr="002F5E03">
        <w:trPr>
          <w:trHeight w:val="288"/>
        </w:trPr>
        <w:tc>
          <w:tcPr>
            <w:tcW w:w="3128" w:type="dxa"/>
            <w:noWrap/>
            <w:vAlign w:val="bottom"/>
            <w:hideMark/>
          </w:tcPr>
          <w:p w14:paraId="7AE4014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Bakery (high)</w:t>
            </w:r>
          </w:p>
        </w:tc>
        <w:tc>
          <w:tcPr>
            <w:tcW w:w="2022" w:type="dxa"/>
            <w:noWrap/>
            <w:vAlign w:val="bottom"/>
            <w:hideMark/>
          </w:tcPr>
          <w:p w14:paraId="18110E4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[-0.13; 0.1]</w:t>
            </w:r>
          </w:p>
        </w:tc>
        <w:tc>
          <w:tcPr>
            <w:tcW w:w="960" w:type="dxa"/>
            <w:noWrap/>
            <w:vAlign w:val="bottom"/>
            <w:hideMark/>
          </w:tcPr>
          <w:p w14:paraId="615E8B3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0,79</w:t>
            </w:r>
          </w:p>
        </w:tc>
        <w:tc>
          <w:tcPr>
            <w:tcW w:w="1319" w:type="dxa"/>
            <w:noWrap/>
            <w:vAlign w:val="bottom"/>
            <w:hideMark/>
          </w:tcPr>
          <w:p w14:paraId="030ED43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344C9015" w14:textId="77777777" w:rsidTr="002F5E03">
        <w:trPr>
          <w:trHeight w:val="288"/>
        </w:trPr>
        <w:tc>
          <w:tcPr>
            <w:tcW w:w="3128" w:type="dxa"/>
            <w:noWrap/>
            <w:vAlign w:val="bottom"/>
            <w:hideMark/>
          </w:tcPr>
          <w:p w14:paraId="2FC8CBB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Total lipids (medium)</w:t>
            </w:r>
          </w:p>
        </w:tc>
        <w:tc>
          <w:tcPr>
            <w:tcW w:w="2022" w:type="dxa"/>
            <w:noWrap/>
            <w:vAlign w:val="bottom"/>
            <w:hideMark/>
          </w:tcPr>
          <w:p w14:paraId="453BB63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 [-0.14; 0.07]</w:t>
            </w:r>
          </w:p>
        </w:tc>
        <w:tc>
          <w:tcPr>
            <w:tcW w:w="960" w:type="dxa"/>
            <w:noWrap/>
            <w:vAlign w:val="bottom"/>
            <w:hideMark/>
          </w:tcPr>
          <w:p w14:paraId="1EC9750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0,55</w:t>
            </w:r>
          </w:p>
        </w:tc>
        <w:tc>
          <w:tcPr>
            <w:tcW w:w="1319" w:type="dxa"/>
            <w:noWrap/>
            <w:vAlign w:val="bottom"/>
            <w:hideMark/>
          </w:tcPr>
          <w:p w14:paraId="319B77B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2223645" w14:textId="77777777" w:rsidTr="002F5E03">
        <w:trPr>
          <w:trHeight w:val="288"/>
        </w:trPr>
        <w:tc>
          <w:tcPr>
            <w:tcW w:w="3128" w:type="dxa"/>
            <w:noWrap/>
            <w:vAlign w:val="bottom"/>
            <w:hideMark/>
          </w:tcPr>
          <w:p w14:paraId="78403EF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Total lipids (high)</w:t>
            </w:r>
          </w:p>
        </w:tc>
        <w:tc>
          <w:tcPr>
            <w:tcW w:w="2022" w:type="dxa"/>
            <w:noWrap/>
            <w:vAlign w:val="bottom"/>
            <w:hideMark/>
          </w:tcPr>
          <w:p w14:paraId="53BD1CB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 [-0.08; 0.14]</w:t>
            </w:r>
          </w:p>
        </w:tc>
        <w:tc>
          <w:tcPr>
            <w:tcW w:w="960" w:type="dxa"/>
            <w:noWrap/>
            <w:vAlign w:val="bottom"/>
            <w:hideMark/>
          </w:tcPr>
          <w:p w14:paraId="19038A4D"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0,62</w:t>
            </w:r>
          </w:p>
        </w:tc>
        <w:tc>
          <w:tcPr>
            <w:tcW w:w="1319" w:type="dxa"/>
            <w:noWrap/>
            <w:vAlign w:val="bottom"/>
            <w:hideMark/>
          </w:tcPr>
          <w:p w14:paraId="37DD5C1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16180387" w14:textId="77777777" w:rsidTr="002F5E03">
        <w:trPr>
          <w:trHeight w:val="288"/>
        </w:trPr>
        <w:tc>
          <w:tcPr>
            <w:tcW w:w="3128" w:type="dxa"/>
            <w:noWrap/>
            <w:vAlign w:val="bottom"/>
            <w:hideMark/>
          </w:tcPr>
          <w:p w14:paraId="3588C81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Caffeinated drink (medium)</w:t>
            </w:r>
          </w:p>
        </w:tc>
        <w:tc>
          <w:tcPr>
            <w:tcW w:w="2022" w:type="dxa"/>
            <w:noWrap/>
            <w:vAlign w:val="bottom"/>
            <w:hideMark/>
          </w:tcPr>
          <w:p w14:paraId="5B70D7B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[-0.1; 0.12]</w:t>
            </w:r>
          </w:p>
        </w:tc>
        <w:tc>
          <w:tcPr>
            <w:tcW w:w="960" w:type="dxa"/>
            <w:noWrap/>
            <w:vAlign w:val="bottom"/>
            <w:hideMark/>
          </w:tcPr>
          <w:p w14:paraId="1310A4F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0,89</w:t>
            </w:r>
          </w:p>
        </w:tc>
        <w:tc>
          <w:tcPr>
            <w:tcW w:w="1319" w:type="dxa"/>
            <w:noWrap/>
            <w:vAlign w:val="bottom"/>
            <w:hideMark/>
          </w:tcPr>
          <w:p w14:paraId="009603A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1DD83C8" w14:textId="77777777" w:rsidTr="002F5E03">
        <w:trPr>
          <w:trHeight w:val="288"/>
        </w:trPr>
        <w:tc>
          <w:tcPr>
            <w:tcW w:w="3128" w:type="dxa"/>
            <w:noWrap/>
            <w:vAlign w:val="bottom"/>
            <w:hideMark/>
          </w:tcPr>
          <w:p w14:paraId="324C194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Caffeinated drink (high)</w:t>
            </w:r>
          </w:p>
        </w:tc>
        <w:tc>
          <w:tcPr>
            <w:tcW w:w="2022" w:type="dxa"/>
            <w:noWrap/>
            <w:vAlign w:val="bottom"/>
            <w:hideMark/>
          </w:tcPr>
          <w:p w14:paraId="2C737A5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-0.09 [-0.19; 0]</w:t>
            </w:r>
          </w:p>
        </w:tc>
        <w:tc>
          <w:tcPr>
            <w:tcW w:w="960" w:type="dxa"/>
            <w:noWrap/>
            <w:vAlign w:val="bottom"/>
            <w:hideMark/>
          </w:tcPr>
          <w:p w14:paraId="6529829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0,05</w:t>
            </w:r>
          </w:p>
        </w:tc>
        <w:tc>
          <w:tcPr>
            <w:tcW w:w="1319" w:type="dxa"/>
            <w:noWrap/>
            <w:vAlign w:val="bottom"/>
            <w:hideMark/>
          </w:tcPr>
          <w:p w14:paraId="048372F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02684CA" w14:textId="77777777" w:rsidTr="002F5E03">
        <w:trPr>
          <w:trHeight w:val="288"/>
        </w:trPr>
        <w:tc>
          <w:tcPr>
            <w:tcW w:w="3128" w:type="dxa"/>
            <w:noWrap/>
            <w:vAlign w:val="bottom"/>
            <w:hideMark/>
          </w:tcPr>
          <w:p w14:paraId="6A156FA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proofErr w:type="spellStart"/>
            <w:r w:rsidRPr="008A5C48">
              <w:rPr>
                <w:rFonts w:ascii="Times New Roman" w:eastAsia="Times New Roman" w:hAnsi="Times New Roman" w:cs="Times New Roman"/>
                <w:color w:val="000000"/>
                <w:sz w:val="20"/>
                <w:szCs w:val="20"/>
              </w:rPr>
              <w:t>Fastfood</w:t>
            </w:r>
            <w:proofErr w:type="spellEnd"/>
            <w:r w:rsidRPr="008A5C48">
              <w:rPr>
                <w:rFonts w:ascii="Times New Roman" w:eastAsia="Times New Roman" w:hAnsi="Times New Roman" w:cs="Times New Roman"/>
                <w:color w:val="000000"/>
                <w:sz w:val="20"/>
                <w:szCs w:val="20"/>
              </w:rPr>
              <w:t xml:space="preserve"> (medium)</w:t>
            </w:r>
          </w:p>
        </w:tc>
        <w:tc>
          <w:tcPr>
            <w:tcW w:w="2022" w:type="dxa"/>
            <w:noWrap/>
            <w:vAlign w:val="bottom"/>
            <w:hideMark/>
          </w:tcPr>
          <w:p w14:paraId="5368B43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[-0.08; 0.09]</w:t>
            </w:r>
          </w:p>
        </w:tc>
        <w:tc>
          <w:tcPr>
            <w:tcW w:w="960" w:type="dxa"/>
            <w:noWrap/>
            <w:vAlign w:val="bottom"/>
            <w:hideMark/>
          </w:tcPr>
          <w:p w14:paraId="72D60F9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0,88</w:t>
            </w:r>
          </w:p>
        </w:tc>
        <w:tc>
          <w:tcPr>
            <w:tcW w:w="1319" w:type="dxa"/>
            <w:noWrap/>
            <w:vAlign w:val="bottom"/>
            <w:hideMark/>
          </w:tcPr>
          <w:p w14:paraId="192233B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1B65AE61" w14:textId="77777777" w:rsidTr="002F5E03">
        <w:trPr>
          <w:trHeight w:val="288"/>
        </w:trPr>
        <w:tc>
          <w:tcPr>
            <w:tcW w:w="3128" w:type="dxa"/>
            <w:noWrap/>
            <w:vAlign w:val="bottom"/>
            <w:hideMark/>
          </w:tcPr>
          <w:p w14:paraId="70C111A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proofErr w:type="spellStart"/>
            <w:r w:rsidRPr="008A5C48">
              <w:rPr>
                <w:rFonts w:ascii="Times New Roman" w:eastAsia="Times New Roman" w:hAnsi="Times New Roman" w:cs="Times New Roman"/>
                <w:color w:val="000000"/>
                <w:sz w:val="20"/>
                <w:szCs w:val="20"/>
              </w:rPr>
              <w:t>Fastfood</w:t>
            </w:r>
            <w:proofErr w:type="spellEnd"/>
            <w:r w:rsidRPr="008A5C48">
              <w:rPr>
                <w:rFonts w:ascii="Times New Roman" w:eastAsia="Times New Roman" w:hAnsi="Times New Roman" w:cs="Times New Roman"/>
                <w:color w:val="000000"/>
                <w:sz w:val="20"/>
                <w:szCs w:val="20"/>
              </w:rPr>
              <w:t xml:space="preserve"> (high)</w:t>
            </w:r>
          </w:p>
        </w:tc>
        <w:tc>
          <w:tcPr>
            <w:tcW w:w="2022" w:type="dxa"/>
            <w:noWrap/>
            <w:vAlign w:val="bottom"/>
            <w:hideMark/>
          </w:tcPr>
          <w:p w14:paraId="39CEE61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-0.14 [-0.28; -0.01]</w:t>
            </w:r>
          </w:p>
        </w:tc>
        <w:tc>
          <w:tcPr>
            <w:tcW w:w="960" w:type="dxa"/>
            <w:noWrap/>
            <w:vAlign w:val="bottom"/>
            <w:hideMark/>
          </w:tcPr>
          <w:p w14:paraId="515E09F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w:t>
            </w:r>
          </w:p>
        </w:tc>
        <w:tc>
          <w:tcPr>
            <w:tcW w:w="1319" w:type="dxa"/>
            <w:noWrap/>
            <w:vAlign w:val="bottom"/>
            <w:hideMark/>
          </w:tcPr>
          <w:p w14:paraId="1FB26F5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9097673" w14:textId="77777777" w:rsidTr="002F5E03">
        <w:trPr>
          <w:trHeight w:val="288"/>
        </w:trPr>
        <w:tc>
          <w:tcPr>
            <w:tcW w:w="3128" w:type="dxa"/>
            <w:noWrap/>
            <w:vAlign w:val="bottom"/>
            <w:hideMark/>
          </w:tcPr>
          <w:p w14:paraId="26DF6FF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Organic food (medium)</w:t>
            </w:r>
          </w:p>
        </w:tc>
        <w:tc>
          <w:tcPr>
            <w:tcW w:w="2022" w:type="dxa"/>
            <w:noWrap/>
            <w:vAlign w:val="bottom"/>
            <w:hideMark/>
          </w:tcPr>
          <w:p w14:paraId="64D64CE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 [-0.07; 0.13]</w:t>
            </w:r>
          </w:p>
        </w:tc>
        <w:tc>
          <w:tcPr>
            <w:tcW w:w="960" w:type="dxa"/>
            <w:noWrap/>
            <w:vAlign w:val="bottom"/>
            <w:hideMark/>
          </w:tcPr>
          <w:p w14:paraId="0C526B9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0,62</w:t>
            </w:r>
          </w:p>
        </w:tc>
        <w:tc>
          <w:tcPr>
            <w:tcW w:w="1319" w:type="dxa"/>
            <w:noWrap/>
            <w:vAlign w:val="bottom"/>
            <w:hideMark/>
          </w:tcPr>
          <w:p w14:paraId="50F6D9A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CAE7271" w14:textId="77777777" w:rsidTr="002F5E03">
        <w:trPr>
          <w:trHeight w:val="288"/>
        </w:trPr>
        <w:tc>
          <w:tcPr>
            <w:tcW w:w="3128" w:type="dxa"/>
            <w:noWrap/>
            <w:vAlign w:val="bottom"/>
            <w:hideMark/>
          </w:tcPr>
          <w:p w14:paraId="6B11E0E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Organic food (high)</w:t>
            </w:r>
          </w:p>
        </w:tc>
        <w:tc>
          <w:tcPr>
            <w:tcW w:w="2022" w:type="dxa"/>
            <w:noWrap/>
            <w:vAlign w:val="bottom"/>
            <w:hideMark/>
          </w:tcPr>
          <w:p w14:paraId="27ED266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[-0.07; 0.15]</w:t>
            </w:r>
          </w:p>
        </w:tc>
        <w:tc>
          <w:tcPr>
            <w:tcW w:w="960" w:type="dxa"/>
            <w:noWrap/>
            <w:vAlign w:val="bottom"/>
            <w:hideMark/>
          </w:tcPr>
          <w:p w14:paraId="4FE7114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0,46</w:t>
            </w:r>
          </w:p>
        </w:tc>
        <w:tc>
          <w:tcPr>
            <w:tcW w:w="1319" w:type="dxa"/>
            <w:noWrap/>
            <w:vAlign w:val="bottom"/>
            <w:hideMark/>
          </w:tcPr>
          <w:p w14:paraId="6E8E1AF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CD02135" w14:textId="77777777" w:rsidTr="002F5E03">
        <w:trPr>
          <w:trHeight w:val="288"/>
        </w:trPr>
        <w:tc>
          <w:tcPr>
            <w:tcW w:w="3128" w:type="dxa"/>
            <w:noWrap/>
            <w:vAlign w:val="bottom"/>
            <w:hideMark/>
          </w:tcPr>
          <w:p w14:paraId="2B692FB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Ready-made (medium)</w:t>
            </w:r>
          </w:p>
        </w:tc>
        <w:tc>
          <w:tcPr>
            <w:tcW w:w="2022" w:type="dxa"/>
            <w:noWrap/>
            <w:vAlign w:val="bottom"/>
            <w:hideMark/>
          </w:tcPr>
          <w:p w14:paraId="7D596BE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[-0.1; 0.09]</w:t>
            </w:r>
          </w:p>
        </w:tc>
        <w:tc>
          <w:tcPr>
            <w:tcW w:w="960" w:type="dxa"/>
            <w:noWrap/>
            <w:vAlign w:val="bottom"/>
            <w:hideMark/>
          </w:tcPr>
          <w:p w14:paraId="6A8E767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0,86</w:t>
            </w:r>
          </w:p>
        </w:tc>
        <w:tc>
          <w:tcPr>
            <w:tcW w:w="1319" w:type="dxa"/>
            <w:noWrap/>
            <w:vAlign w:val="bottom"/>
            <w:hideMark/>
          </w:tcPr>
          <w:p w14:paraId="7664319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1F12C122" w14:textId="77777777" w:rsidTr="002F5E03">
        <w:trPr>
          <w:trHeight w:val="288"/>
        </w:trPr>
        <w:tc>
          <w:tcPr>
            <w:tcW w:w="3128" w:type="dxa"/>
            <w:noWrap/>
            <w:vAlign w:val="bottom"/>
            <w:hideMark/>
          </w:tcPr>
          <w:p w14:paraId="5796F20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Ready-made (high)</w:t>
            </w:r>
          </w:p>
        </w:tc>
        <w:tc>
          <w:tcPr>
            <w:tcW w:w="2022" w:type="dxa"/>
            <w:noWrap/>
            <w:vAlign w:val="bottom"/>
            <w:hideMark/>
          </w:tcPr>
          <w:p w14:paraId="54D0CA0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[-0.12; 0.07]</w:t>
            </w:r>
          </w:p>
        </w:tc>
        <w:tc>
          <w:tcPr>
            <w:tcW w:w="960" w:type="dxa"/>
            <w:noWrap/>
            <w:vAlign w:val="bottom"/>
            <w:hideMark/>
          </w:tcPr>
          <w:p w14:paraId="68E3E25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0,62</w:t>
            </w:r>
          </w:p>
        </w:tc>
        <w:tc>
          <w:tcPr>
            <w:tcW w:w="1319" w:type="dxa"/>
            <w:noWrap/>
            <w:vAlign w:val="bottom"/>
            <w:hideMark/>
          </w:tcPr>
          <w:p w14:paraId="096FBF8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5C0786D" w14:textId="77777777" w:rsidTr="002F5E03">
        <w:trPr>
          <w:trHeight w:val="288"/>
        </w:trPr>
        <w:tc>
          <w:tcPr>
            <w:tcW w:w="3128" w:type="dxa"/>
            <w:noWrap/>
            <w:vAlign w:val="bottom"/>
            <w:hideMark/>
          </w:tcPr>
          <w:p w14:paraId="2D88063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KIDMED</w:t>
            </w:r>
          </w:p>
        </w:tc>
        <w:tc>
          <w:tcPr>
            <w:tcW w:w="2022" w:type="dxa"/>
            <w:noWrap/>
            <w:vAlign w:val="bottom"/>
            <w:hideMark/>
          </w:tcPr>
          <w:p w14:paraId="5662ABF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 0.09]</w:t>
            </w:r>
          </w:p>
        </w:tc>
        <w:tc>
          <w:tcPr>
            <w:tcW w:w="960" w:type="dxa"/>
            <w:noWrap/>
            <w:vAlign w:val="bottom"/>
            <w:hideMark/>
          </w:tcPr>
          <w:p w14:paraId="226D047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0,08</w:t>
            </w:r>
          </w:p>
        </w:tc>
        <w:tc>
          <w:tcPr>
            <w:tcW w:w="1319" w:type="dxa"/>
            <w:noWrap/>
            <w:vAlign w:val="bottom"/>
            <w:hideMark/>
          </w:tcPr>
          <w:p w14:paraId="4B51373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865FE8D" w14:textId="77777777" w:rsidTr="002F5E03">
        <w:trPr>
          <w:trHeight w:val="288"/>
        </w:trPr>
        <w:tc>
          <w:tcPr>
            <w:tcW w:w="3128" w:type="dxa"/>
            <w:noWrap/>
            <w:vAlign w:val="bottom"/>
            <w:hideMark/>
          </w:tcPr>
          <w:p w14:paraId="43D8A49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sleep</w:t>
            </w:r>
          </w:p>
        </w:tc>
        <w:tc>
          <w:tcPr>
            <w:tcW w:w="2022" w:type="dxa"/>
            <w:noWrap/>
            <w:vAlign w:val="bottom"/>
            <w:hideMark/>
          </w:tcPr>
          <w:p w14:paraId="692F417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[-0.04; 0.08]</w:t>
            </w:r>
          </w:p>
        </w:tc>
        <w:tc>
          <w:tcPr>
            <w:tcW w:w="960" w:type="dxa"/>
            <w:noWrap/>
            <w:vAlign w:val="bottom"/>
            <w:hideMark/>
          </w:tcPr>
          <w:p w14:paraId="54F07CA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0,42</w:t>
            </w:r>
          </w:p>
        </w:tc>
        <w:tc>
          <w:tcPr>
            <w:tcW w:w="1319" w:type="dxa"/>
            <w:noWrap/>
            <w:vAlign w:val="bottom"/>
            <w:hideMark/>
          </w:tcPr>
          <w:p w14:paraId="28EAF28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8F3CD4B" w14:textId="77777777" w:rsidTr="002F5E03">
        <w:trPr>
          <w:trHeight w:val="288"/>
        </w:trPr>
        <w:tc>
          <w:tcPr>
            <w:tcW w:w="3128" w:type="dxa"/>
            <w:noWrap/>
            <w:vAlign w:val="bottom"/>
            <w:hideMark/>
          </w:tcPr>
          <w:p w14:paraId="5BE3503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lastRenderedPageBreak/>
              <w:t>pet (Yes)</w:t>
            </w:r>
          </w:p>
        </w:tc>
        <w:tc>
          <w:tcPr>
            <w:tcW w:w="2022" w:type="dxa"/>
            <w:noWrap/>
            <w:vAlign w:val="bottom"/>
            <w:hideMark/>
          </w:tcPr>
          <w:p w14:paraId="3A887A5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0.15 [0.07; 0.23]</w:t>
            </w:r>
          </w:p>
        </w:tc>
        <w:tc>
          <w:tcPr>
            <w:tcW w:w="960" w:type="dxa"/>
            <w:noWrap/>
            <w:vAlign w:val="bottom"/>
            <w:hideMark/>
          </w:tcPr>
          <w:p w14:paraId="20CB005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c>
          <w:tcPr>
            <w:tcW w:w="1319" w:type="dxa"/>
            <w:noWrap/>
            <w:vAlign w:val="bottom"/>
            <w:hideMark/>
          </w:tcPr>
          <w:p w14:paraId="26D949E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w:t>
            </w:r>
          </w:p>
        </w:tc>
      </w:tr>
      <w:tr w:rsidR="007C7F94" w:rsidRPr="008A5C48" w14:paraId="6DDBB143" w14:textId="77777777" w:rsidTr="002F5E03">
        <w:trPr>
          <w:trHeight w:val="288"/>
        </w:trPr>
        <w:tc>
          <w:tcPr>
            <w:tcW w:w="3128" w:type="dxa"/>
            <w:noWrap/>
            <w:vAlign w:val="bottom"/>
            <w:hideMark/>
          </w:tcPr>
          <w:p w14:paraId="3C17BBE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FAS (Middle)</w:t>
            </w:r>
          </w:p>
        </w:tc>
        <w:tc>
          <w:tcPr>
            <w:tcW w:w="2022" w:type="dxa"/>
            <w:noWrap/>
            <w:vAlign w:val="bottom"/>
            <w:hideMark/>
          </w:tcPr>
          <w:p w14:paraId="7591020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[-0.14; 0.15]</w:t>
            </w:r>
          </w:p>
        </w:tc>
        <w:tc>
          <w:tcPr>
            <w:tcW w:w="960" w:type="dxa"/>
            <w:noWrap/>
            <w:vAlign w:val="bottom"/>
            <w:hideMark/>
          </w:tcPr>
          <w:p w14:paraId="5706E62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0,94</w:t>
            </w:r>
          </w:p>
        </w:tc>
        <w:tc>
          <w:tcPr>
            <w:tcW w:w="1319" w:type="dxa"/>
            <w:noWrap/>
            <w:vAlign w:val="bottom"/>
            <w:hideMark/>
          </w:tcPr>
          <w:p w14:paraId="3EB982C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155AD20C" w14:textId="77777777" w:rsidTr="002F5E03">
        <w:trPr>
          <w:trHeight w:val="288"/>
        </w:trPr>
        <w:tc>
          <w:tcPr>
            <w:tcW w:w="3128" w:type="dxa"/>
            <w:noWrap/>
            <w:vAlign w:val="bottom"/>
            <w:hideMark/>
          </w:tcPr>
          <w:p w14:paraId="202C396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FAS (High)</w:t>
            </w:r>
          </w:p>
        </w:tc>
        <w:tc>
          <w:tcPr>
            <w:tcW w:w="2022" w:type="dxa"/>
            <w:noWrap/>
            <w:vAlign w:val="bottom"/>
            <w:hideMark/>
          </w:tcPr>
          <w:p w14:paraId="5BA3B53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0.06 [-0.08; 0.21]</w:t>
            </w:r>
          </w:p>
        </w:tc>
        <w:tc>
          <w:tcPr>
            <w:tcW w:w="960" w:type="dxa"/>
            <w:noWrap/>
            <w:vAlign w:val="bottom"/>
            <w:hideMark/>
          </w:tcPr>
          <w:p w14:paraId="326C7FD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0,40</w:t>
            </w:r>
          </w:p>
        </w:tc>
        <w:tc>
          <w:tcPr>
            <w:tcW w:w="1319" w:type="dxa"/>
            <w:noWrap/>
            <w:vAlign w:val="bottom"/>
            <w:hideMark/>
          </w:tcPr>
          <w:p w14:paraId="077101B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F2E6A3A" w14:textId="77777777" w:rsidTr="002F5E03">
        <w:trPr>
          <w:trHeight w:val="288"/>
        </w:trPr>
        <w:tc>
          <w:tcPr>
            <w:tcW w:w="3128" w:type="dxa"/>
            <w:noWrap/>
            <w:vAlign w:val="bottom"/>
            <w:hideMark/>
          </w:tcPr>
          <w:p w14:paraId="5838DBA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Participation (1 organisation)</w:t>
            </w:r>
          </w:p>
        </w:tc>
        <w:tc>
          <w:tcPr>
            <w:tcW w:w="2022" w:type="dxa"/>
            <w:noWrap/>
            <w:vAlign w:val="bottom"/>
            <w:hideMark/>
          </w:tcPr>
          <w:p w14:paraId="185009A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 [-0.06; 0.12]</w:t>
            </w:r>
          </w:p>
        </w:tc>
        <w:tc>
          <w:tcPr>
            <w:tcW w:w="960" w:type="dxa"/>
            <w:noWrap/>
            <w:vAlign w:val="bottom"/>
            <w:hideMark/>
          </w:tcPr>
          <w:p w14:paraId="518E75E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0,48</w:t>
            </w:r>
          </w:p>
        </w:tc>
        <w:tc>
          <w:tcPr>
            <w:tcW w:w="1319" w:type="dxa"/>
            <w:noWrap/>
            <w:vAlign w:val="bottom"/>
            <w:hideMark/>
          </w:tcPr>
          <w:p w14:paraId="614CED0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2BA0B52" w14:textId="77777777" w:rsidTr="002F5E03">
        <w:trPr>
          <w:trHeight w:val="288"/>
        </w:trPr>
        <w:tc>
          <w:tcPr>
            <w:tcW w:w="3128" w:type="dxa"/>
            <w:noWrap/>
            <w:vAlign w:val="bottom"/>
            <w:hideMark/>
          </w:tcPr>
          <w:p w14:paraId="12AE2BD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Participation (2 or more organisations)</w:t>
            </w:r>
          </w:p>
        </w:tc>
        <w:tc>
          <w:tcPr>
            <w:tcW w:w="2022" w:type="dxa"/>
            <w:noWrap/>
            <w:vAlign w:val="bottom"/>
            <w:hideMark/>
          </w:tcPr>
          <w:p w14:paraId="3ED542E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0.08 [-0.04; 0.2]</w:t>
            </w:r>
          </w:p>
        </w:tc>
        <w:tc>
          <w:tcPr>
            <w:tcW w:w="960" w:type="dxa"/>
            <w:noWrap/>
            <w:vAlign w:val="bottom"/>
            <w:hideMark/>
          </w:tcPr>
          <w:p w14:paraId="167489A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0,19</w:t>
            </w:r>
          </w:p>
        </w:tc>
        <w:tc>
          <w:tcPr>
            <w:tcW w:w="1319" w:type="dxa"/>
            <w:noWrap/>
            <w:vAlign w:val="bottom"/>
            <w:hideMark/>
          </w:tcPr>
          <w:p w14:paraId="0FD1E7E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A91D74C" w14:textId="77777777" w:rsidTr="002F5E03">
        <w:trPr>
          <w:trHeight w:val="288"/>
        </w:trPr>
        <w:tc>
          <w:tcPr>
            <w:tcW w:w="3128" w:type="dxa"/>
            <w:noWrap/>
            <w:vAlign w:val="bottom"/>
            <w:hideMark/>
          </w:tcPr>
          <w:p w14:paraId="3650F51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en-US"/>
              </w:rPr>
            </w:pPr>
            <w:r w:rsidRPr="008A5C48">
              <w:rPr>
                <w:rFonts w:ascii="Times New Roman" w:eastAsia="Times New Roman" w:hAnsi="Times New Roman" w:cs="Times New Roman"/>
                <w:color w:val="000000"/>
                <w:sz w:val="20"/>
                <w:szCs w:val="20"/>
              </w:rPr>
              <w:t>Contact family (Once a week)</w:t>
            </w:r>
          </w:p>
        </w:tc>
        <w:tc>
          <w:tcPr>
            <w:tcW w:w="2022" w:type="dxa"/>
            <w:noWrap/>
            <w:vAlign w:val="bottom"/>
            <w:hideMark/>
          </w:tcPr>
          <w:p w14:paraId="5AD69AC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-0.08 [-0.16; 0.01]</w:t>
            </w:r>
          </w:p>
        </w:tc>
        <w:tc>
          <w:tcPr>
            <w:tcW w:w="960" w:type="dxa"/>
            <w:noWrap/>
            <w:vAlign w:val="bottom"/>
            <w:hideMark/>
          </w:tcPr>
          <w:p w14:paraId="75FD33C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0,08</w:t>
            </w:r>
          </w:p>
        </w:tc>
        <w:tc>
          <w:tcPr>
            <w:tcW w:w="1319" w:type="dxa"/>
            <w:noWrap/>
            <w:vAlign w:val="bottom"/>
            <w:hideMark/>
          </w:tcPr>
          <w:p w14:paraId="0DB7ADC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123D68A" w14:textId="77777777" w:rsidTr="002F5E03">
        <w:trPr>
          <w:trHeight w:val="288"/>
        </w:trPr>
        <w:tc>
          <w:tcPr>
            <w:tcW w:w="3128" w:type="dxa"/>
            <w:noWrap/>
            <w:vAlign w:val="bottom"/>
            <w:hideMark/>
          </w:tcPr>
          <w:p w14:paraId="27FD6710"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en-US"/>
              </w:rPr>
            </w:pPr>
            <w:r w:rsidRPr="008A5C48">
              <w:rPr>
                <w:rFonts w:ascii="Times New Roman" w:eastAsia="Times New Roman" w:hAnsi="Times New Roman" w:cs="Times New Roman"/>
                <w:color w:val="000000"/>
                <w:sz w:val="20"/>
                <w:szCs w:val="20"/>
              </w:rPr>
              <w:t>Contact family ((almost) Daily)</w:t>
            </w:r>
          </w:p>
        </w:tc>
        <w:tc>
          <w:tcPr>
            <w:tcW w:w="2022" w:type="dxa"/>
            <w:noWrap/>
            <w:vAlign w:val="bottom"/>
            <w:hideMark/>
          </w:tcPr>
          <w:p w14:paraId="3F678C3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 [-0.14; 0.21]</w:t>
            </w:r>
          </w:p>
        </w:tc>
        <w:tc>
          <w:tcPr>
            <w:tcW w:w="960" w:type="dxa"/>
            <w:noWrap/>
            <w:vAlign w:val="bottom"/>
            <w:hideMark/>
          </w:tcPr>
          <w:p w14:paraId="027B8ED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0,72</w:t>
            </w:r>
          </w:p>
        </w:tc>
        <w:tc>
          <w:tcPr>
            <w:tcW w:w="1319" w:type="dxa"/>
            <w:noWrap/>
            <w:vAlign w:val="bottom"/>
            <w:hideMark/>
          </w:tcPr>
          <w:p w14:paraId="5923E56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2D6D3D1" w14:textId="77777777" w:rsidTr="002F5E03">
        <w:trPr>
          <w:trHeight w:val="288"/>
        </w:trPr>
        <w:tc>
          <w:tcPr>
            <w:tcW w:w="3128" w:type="dxa"/>
            <w:noWrap/>
            <w:vAlign w:val="bottom"/>
            <w:hideMark/>
          </w:tcPr>
          <w:p w14:paraId="66EA593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Physical activity</w:t>
            </w:r>
          </w:p>
        </w:tc>
        <w:tc>
          <w:tcPr>
            <w:tcW w:w="2022" w:type="dxa"/>
            <w:noWrap/>
            <w:vAlign w:val="bottom"/>
            <w:hideMark/>
          </w:tcPr>
          <w:p w14:paraId="476DF1E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0.07 [0.01; 0.14]</w:t>
            </w:r>
          </w:p>
        </w:tc>
        <w:tc>
          <w:tcPr>
            <w:tcW w:w="960" w:type="dxa"/>
            <w:noWrap/>
            <w:vAlign w:val="bottom"/>
            <w:hideMark/>
          </w:tcPr>
          <w:p w14:paraId="5FE5A04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w:t>
            </w:r>
          </w:p>
        </w:tc>
        <w:tc>
          <w:tcPr>
            <w:tcW w:w="1319" w:type="dxa"/>
            <w:noWrap/>
            <w:vAlign w:val="bottom"/>
            <w:hideMark/>
          </w:tcPr>
          <w:p w14:paraId="0742A59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5299D6F" w14:textId="77777777" w:rsidTr="002F5E03">
        <w:trPr>
          <w:trHeight w:val="288"/>
        </w:trPr>
        <w:tc>
          <w:tcPr>
            <w:tcW w:w="3128" w:type="dxa"/>
            <w:noWrap/>
            <w:vAlign w:val="bottom"/>
            <w:hideMark/>
          </w:tcPr>
          <w:p w14:paraId="2688C37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Sedentary activity</w:t>
            </w:r>
          </w:p>
        </w:tc>
        <w:tc>
          <w:tcPr>
            <w:tcW w:w="2022" w:type="dxa"/>
            <w:noWrap/>
            <w:vAlign w:val="bottom"/>
            <w:hideMark/>
          </w:tcPr>
          <w:p w14:paraId="67C0154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[-0.04; 0.04]</w:t>
            </w:r>
          </w:p>
        </w:tc>
        <w:tc>
          <w:tcPr>
            <w:tcW w:w="960" w:type="dxa"/>
            <w:noWrap/>
            <w:vAlign w:val="bottom"/>
            <w:hideMark/>
          </w:tcPr>
          <w:p w14:paraId="4EFC5B1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0,97</w:t>
            </w:r>
          </w:p>
        </w:tc>
        <w:tc>
          <w:tcPr>
            <w:tcW w:w="1319" w:type="dxa"/>
            <w:noWrap/>
            <w:vAlign w:val="bottom"/>
            <w:hideMark/>
          </w:tcPr>
          <w:p w14:paraId="423E901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4EF4DCC" w14:textId="77777777" w:rsidTr="002F5E03">
        <w:trPr>
          <w:trHeight w:val="288"/>
        </w:trPr>
        <w:tc>
          <w:tcPr>
            <w:tcW w:w="3128" w:type="dxa"/>
            <w:noWrap/>
            <w:vAlign w:val="bottom"/>
            <w:hideMark/>
          </w:tcPr>
          <w:p w14:paraId="5889B38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NO2 - home</w:t>
            </w:r>
          </w:p>
        </w:tc>
        <w:tc>
          <w:tcPr>
            <w:tcW w:w="2022" w:type="dxa"/>
            <w:noWrap/>
            <w:vAlign w:val="bottom"/>
            <w:hideMark/>
          </w:tcPr>
          <w:p w14:paraId="35B9BE0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-0.08 [-0.2; 0.05]</w:t>
            </w:r>
          </w:p>
        </w:tc>
        <w:tc>
          <w:tcPr>
            <w:tcW w:w="960" w:type="dxa"/>
            <w:noWrap/>
            <w:vAlign w:val="bottom"/>
            <w:hideMark/>
          </w:tcPr>
          <w:p w14:paraId="31BBE6E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0,23</w:t>
            </w:r>
          </w:p>
        </w:tc>
        <w:tc>
          <w:tcPr>
            <w:tcW w:w="1319" w:type="dxa"/>
            <w:noWrap/>
            <w:vAlign w:val="bottom"/>
            <w:hideMark/>
          </w:tcPr>
          <w:p w14:paraId="109666B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B20D042" w14:textId="77777777" w:rsidTr="002F5E03">
        <w:trPr>
          <w:trHeight w:val="288"/>
        </w:trPr>
        <w:tc>
          <w:tcPr>
            <w:tcW w:w="3128" w:type="dxa"/>
            <w:noWrap/>
            <w:vAlign w:val="bottom"/>
            <w:hideMark/>
          </w:tcPr>
          <w:p w14:paraId="1B888AB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PM10 - home</w:t>
            </w:r>
          </w:p>
        </w:tc>
        <w:tc>
          <w:tcPr>
            <w:tcW w:w="2022" w:type="dxa"/>
            <w:noWrap/>
            <w:vAlign w:val="bottom"/>
            <w:hideMark/>
          </w:tcPr>
          <w:p w14:paraId="603E4ED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-0.05 [-0.19; 0.09]</w:t>
            </w:r>
          </w:p>
        </w:tc>
        <w:tc>
          <w:tcPr>
            <w:tcW w:w="960" w:type="dxa"/>
            <w:noWrap/>
            <w:vAlign w:val="bottom"/>
            <w:hideMark/>
          </w:tcPr>
          <w:p w14:paraId="51638F6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0,47</w:t>
            </w:r>
          </w:p>
        </w:tc>
        <w:tc>
          <w:tcPr>
            <w:tcW w:w="1319" w:type="dxa"/>
            <w:noWrap/>
            <w:vAlign w:val="bottom"/>
            <w:hideMark/>
          </w:tcPr>
          <w:p w14:paraId="73825C6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7BCACEF" w14:textId="77777777" w:rsidTr="002F5E03">
        <w:trPr>
          <w:trHeight w:val="288"/>
        </w:trPr>
        <w:tc>
          <w:tcPr>
            <w:tcW w:w="3128" w:type="dxa"/>
            <w:noWrap/>
            <w:vAlign w:val="bottom"/>
            <w:hideMark/>
          </w:tcPr>
          <w:p w14:paraId="64E26E2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PM2.5 - home</w:t>
            </w:r>
          </w:p>
        </w:tc>
        <w:tc>
          <w:tcPr>
            <w:tcW w:w="2022" w:type="dxa"/>
            <w:noWrap/>
            <w:vAlign w:val="bottom"/>
            <w:hideMark/>
          </w:tcPr>
          <w:p w14:paraId="5DA9E4C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-0.05 [-0.12; 0.03]</w:t>
            </w:r>
          </w:p>
        </w:tc>
        <w:tc>
          <w:tcPr>
            <w:tcW w:w="960" w:type="dxa"/>
            <w:noWrap/>
            <w:vAlign w:val="bottom"/>
            <w:hideMark/>
          </w:tcPr>
          <w:p w14:paraId="59BB839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0,21</w:t>
            </w:r>
          </w:p>
        </w:tc>
        <w:tc>
          <w:tcPr>
            <w:tcW w:w="1319" w:type="dxa"/>
            <w:noWrap/>
            <w:vAlign w:val="bottom"/>
            <w:hideMark/>
          </w:tcPr>
          <w:p w14:paraId="09B4CA2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B1FAF2E" w14:textId="77777777" w:rsidTr="002F5E03">
        <w:trPr>
          <w:trHeight w:val="288"/>
        </w:trPr>
        <w:tc>
          <w:tcPr>
            <w:tcW w:w="3128" w:type="dxa"/>
            <w:noWrap/>
            <w:vAlign w:val="bottom"/>
            <w:hideMark/>
          </w:tcPr>
          <w:p w14:paraId="1C433A7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PM2.5abs - home</w:t>
            </w:r>
          </w:p>
        </w:tc>
        <w:tc>
          <w:tcPr>
            <w:tcW w:w="2022" w:type="dxa"/>
            <w:noWrap/>
            <w:vAlign w:val="bottom"/>
            <w:hideMark/>
          </w:tcPr>
          <w:p w14:paraId="5A25F75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[-0.11; 0.03]</w:t>
            </w:r>
          </w:p>
        </w:tc>
        <w:tc>
          <w:tcPr>
            <w:tcW w:w="960" w:type="dxa"/>
            <w:noWrap/>
            <w:vAlign w:val="bottom"/>
            <w:hideMark/>
          </w:tcPr>
          <w:p w14:paraId="7D8F7D5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0,28</w:t>
            </w:r>
          </w:p>
        </w:tc>
        <w:tc>
          <w:tcPr>
            <w:tcW w:w="1319" w:type="dxa"/>
            <w:noWrap/>
            <w:vAlign w:val="bottom"/>
            <w:hideMark/>
          </w:tcPr>
          <w:p w14:paraId="04C8EC5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65F95CA" w14:textId="77777777" w:rsidTr="002F5E03">
        <w:trPr>
          <w:trHeight w:val="288"/>
        </w:trPr>
        <w:tc>
          <w:tcPr>
            <w:tcW w:w="3128" w:type="dxa"/>
            <w:noWrap/>
            <w:vAlign w:val="bottom"/>
            <w:hideMark/>
          </w:tcPr>
          <w:p w14:paraId="79904EE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NO2 - school</w:t>
            </w:r>
          </w:p>
        </w:tc>
        <w:tc>
          <w:tcPr>
            <w:tcW w:w="2022" w:type="dxa"/>
            <w:noWrap/>
            <w:vAlign w:val="bottom"/>
            <w:hideMark/>
          </w:tcPr>
          <w:p w14:paraId="3030C46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-0.08 [-0.2; 0.04]</w:t>
            </w:r>
          </w:p>
        </w:tc>
        <w:tc>
          <w:tcPr>
            <w:tcW w:w="960" w:type="dxa"/>
            <w:noWrap/>
            <w:vAlign w:val="bottom"/>
            <w:hideMark/>
          </w:tcPr>
          <w:p w14:paraId="59EC337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0,21</w:t>
            </w:r>
          </w:p>
        </w:tc>
        <w:tc>
          <w:tcPr>
            <w:tcW w:w="1319" w:type="dxa"/>
            <w:noWrap/>
            <w:vAlign w:val="bottom"/>
            <w:hideMark/>
          </w:tcPr>
          <w:p w14:paraId="557FE42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DD396CF" w14:textId="77777777" w:rsidTr="002F5E03">
        <w:trPr>
          <w:trHeight w:val="288"/>
        </w:trPr>
        <w:tc>
          <w:tcPr>
            <w:tcW w:w="3128" w:type="dxa"/>
            <w:noWrap/>
            <w:vAlign w:val="bottom"/>
            <w:hideMark/>
          </w:tcPr>
          <w:p w14:paraId="3C022B0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PM 2.5 - school</w:t>
            </w:r>
          </w:p>
        </w:tc>
        <w:tc>
          <w:tcPr>
            <w:tcW w:w="2022" w:type="dxa"/>
            <w:noWrap/>
            <w:vAlign w:val="bottom"/>
            <w:hideMark/>
          </w:tcPr>
          <w:p w14:paraId="3A3920F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-0.07 [-0.15; 0.01]</w:t>
            </w:r>
          </w:p>
        </w:tc>
        <w:tc>
          <w:tcPr>
            <w:tcW w:w="960" w:type="dxa"/>
            <w:noWrap/>
            <w:vAlign w:val="bottom"/>
            <w:hideMark/>
          </w:tcPr>
          <w:p w14:paraId="3CB2FF9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0,10</w:t>
            </w:r>
          </w:p>
        </w:tc>
        <w:tc>
          <w:tcPr>
            <w:tcW w:w="1319" w:type="dxa"/>
            <w:noWrap/>
            <w:vAlign w:val="bottom"/>
            <w:hideMark/>
          </w:tcPr>
          <w:p w14:paraId="3A035B5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B917DF7" w14:textId="77777777" w:rsidTr="002F5E03">
        <w:trPr>
          <w:trHeight w:val="288"/>
        </w:trPr>
        <w:tc>
          <w:tcPr>
            <w:tcW w:w="3128" w:type="dxa"/>
            <w:noWrap/>
            <w:vAlign w:val="bottom"/>
            <w:hideMark/>
          </w:tcPr>
          <w:p w14:paraId="294D4F4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PM 2.5 abs - school</w:t>
            </w:r>
          </w:p>
        </w:tc>
        <w:tc>
          <w:tcPr>
            <w:tcW w:w="2022" w:type="dxa"/>
            <w:noWrap/>
            <w:vAlign w:val="bottom"/>
            <w:hideMark/>
          </w:tcPr>
          <w:p w14:paraId="15E6321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-0.08 [-0.17; 0.02]</w:t>
            </w:r>
          </w:p>
        </w:tc>
        <w:tc>
          <w:tcPr>
            <w:tcW w:w="960" w:type="dxa"/>
            <w:noWrap/>
            <w:vAlign w:val="bottom"/>
            <w:hideMark/>
          </w:tcPr>
          <w:p w14:paraId="3B1CDFD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0,12</w:t>
            </w:r>
          </w:p>
        </w:tc>
        <w:tc>
          <w:tcPr>
            <w:tcW w:w="1319" w:type="dxa"/>
            <w:noWrap/>
            <w:vAlign w:val="bottom"/>
            <w:hideMark/>
          </w:tcPr>
          <w:p w14:paraId="5DC4377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315BB16" w14:textId="77777777" w:rsidTr="002F5E03">
        <w:trPr>
          <w:trHeight w:val="288"/>
        </w:trPr>
        <w:tc>
          <w:tcPr>
            <w:tcW w:w="3128" w:type="dxa"/>
            <w:noWrap/>
            <w:vAlign w:val="bottom"/>
            <w:hideMark/>
          </w:tcPr>
          <w:p w14:paraId="279A587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Temperature</w:t>
            </w:r>
          </w:p>
        </w:tc>
        <w:tc>
          <w:tcPr>
            <w:tcW w:w="2022" w:type="dxa"/>
            <w:noWrap/>
            <w:vAlign w:val="bottom"/>
            <w:hideMark/>
          </w:tcPr>
          <w:p w14:paraId="674121C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[-0.08; 0.06]</w:t>
            </w:r>
          </w:p>
        </w:tc>
        <w:tc>
          <w:tcPr>
            <w:tcW w:w="960" w:type="dxa"/>
            <w:noWrap/>
            <w:vAlign w:val="bottom"/>
            <w:hideMark/>
          </w:tcPr>
          <w:p w14:paraId="48BA9B6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0,83</w:t>
            </w:r>
          </w:p>
        </w:tc>
        <w:tc>
          <w:tcPr>
            <w:tcW w:w="1319" w:type="dxa"/>
            <w:noWrap/>
            <w:vAlign w:val="bottom"/>
            <w:hideMark/>
          </w:tcPr>
          <w:p w14:paraId="39E78CE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3D0AC610" w14:textId="77777777" w:rsidTr="002F5E03">
        <w:trPr>
          <w:trHeight w:val="288"/>
        </w:trPr>
        <w:tc>
          <w:tcPr>
            <w:tcW w:w="3128" w:type="dxa"/>
            <w:noWrap/>
            <w:vAlign w:val="bottom"/>
            <w:hideMark/>
          </w:tcPr>
          <w:p w14:paraId="73B6F8C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Humidity</w:t>
            </w:r>
          </w:p>
        </w:tc>
        <w:tc>
          <w:tcPr>
            <w:tcW w:w="2022" w:type="dxa"/>
            <w:noWrap/>
            <w:vAlign w:val="bottom"/>
            <w:hideMark/>
          </w:tcPr>
          <w:p w14:paraId="4D73F16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0.05 [-0.03; 0.13]</w:t>
            </w:r>
          </w:p>
        </w:tc>
        <w:tc>
          <w:tcPr>
            <w:tcW w:w="960" w:type="dxa"/>
            <w:noWrap/>
            <w:vAlign w:val="bottom"/>
            <w:hideMark/>
          </w:tcPr>
          <w:p w14:paraId="74018D1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0,23</w:t>
            </w:r>
          </w:p>
        </w:tc>
        <w:tc>
          <w:tcPr>
            <w:tcW w:w="1319" w:type="dxa"/>
            <w:noWrap/>
            <w:vAlign w:val="bottom"/>
            <w:hideMark/>
          </w:tcPr>
          <w:p w14:paraId="7A8E381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7F5A85F" w14:textId="77777777" w:rsidTr="002F5E03">
        <w:trPr>
          <w:trHeight w:val="288"/>
        </w:trPr>
        <w:tc>
          <w:tcPr>
            <w:tcW w:w="3128" w:type="dxa"/>
            <w:noWrap/>
            <w:vAlign w:val="bottom"/>
            <w:hideMark/>
          </w:tcPr>
          <w:p w14:paraId="615D297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UV</w:t>
            </w:r>
          </w:p>
        </w:tc>
        <w:tc>
          <w:tcPr>
            <w:tcW w:w="2022" w:type="dxa"/>
            <w:noWrap/>
            <w:vAlign w:val="bottom"/>
            <w:hideMark/>
          </w:tcPr>
          <w:p w14:paraId="4E0C389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[-0.08; 0.06]</w:t>
            </w:r>
          </w:p>
        </w:tc>
        <w:tc>
          <w:tcPr>
            <w:tcW w:w="960" w:type="dxa"/>
            <w:noWrap/>
            <w:vAlign w:val="bottom"/>
            <w:hideMark/>
          </w:tcPr>
          <w:p w14:paraId="45E3861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0,85</w:t>
            </w:r>
          </w:p>
        </w:tc>
        <w:tc>
          <w:tcPr>
            <w:tcW w:w="1319" w:type="dxa"/>
            <w:noWrap/>
            <w:vAlign w:val="bottom"/>
            <w:hideMark/>
          </w:tcPr>
          <w:p w14:paraId="449D0C8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16110C99" w14:textId="77777777" w:rsidTr="002F5E03">
        <w:trPr>
          <w:trHeight w:val="288"/>
        </w:trPr>
        <w:tc>
          <w:tcPr>
            <w:tcW w:w="3128" w:type="dxa"/>
            <w:noWrap/>
            <w:vAlign w:val="bottom"/>
            <w:hideMark/>
          </w:tcPr>
          <w:p w14:paraId="064939D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NDVI - home</w:t>
            </w:r>
          </w:p>
        </w:tc>
        <w:tc>
          <w:tcPr>
            <w:tcW w:w="2022" w:type="dxa"/>
            <w:noWrap/>
            <w:vAlign w:val="bottom"/>
            <w:hideMark/>
          </w:tcPr>
          <w:p w14:paraId="423D24E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[-0.07; 0.11]</w:t>
            </w:r>
          </w:p>
        </w:tc>
        <w:tc>
          <w:tcPr>
            <w:tcW w:w="960" w:type="dxa"/>
            <w:noWrap/>
            <w:vAlign w:val="bottom"/>
            <w:hideMark/>
          </w:tcPr>
          <w:p w14:paraId="3EBDA16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0,63</w:t>
            </w:r>
          </w:p>
        </w:tc>
        <w:tc>
          <w:tcPr>
            <w:tcW w:w="1319" w:type="dxa"/>
            <w:noWrap/>
            <w:vAlign w:val="bottom"/>
            <w:hideMark/>
          </w:tcPr>
          <w:p w14:paraId="0BE61DC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D4FB919" w14:textId="77777777" w:rsidTr="002F5E03">
        <w:trPr>
          <w:trHeight w:val="288"/>
        </w:trPr>
        <w:tc>
          <w:tcPr>
            <w:tcW w:w="3128" w:type="dxa"/>
            <w:noWrap/>
            <w:vAlign w:val="bottom"/>
            <w:hideMark/>
          </w:tcPr>
          <w:p w14:paraId="271D10F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NDVI - school</w:t>
            </w:r>
          </w:p>
        </w:tc>
        <w:tc>
          <w:tcPr>
            <w:tcW w:w="2022" w:type="dxa"/>
            <w:noWrap/>
            <w:vAlign w:val="bottom"/>
            <w:hideMark/>
          </w:tcPr>
          <w:p w14:paraId="212197B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[-0.07; 0.1]</w:t>
            </w:r>
          </w:p>
        </w:tc>
        <w:tc>
          <w:tcPr>
            <w:tcW w:w="960" w:type="dxa"/>
            <w:noWrap/>
            <w:vAlign w:val="bottom"/>
            <w:hideMark/>
          </w:tcPr>
          <w:p w14:paraId="20C6579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0,74</w:t>
            </w:r>
          </w:p>
        </w:tc>
        <w:tc>
          <w:tcPr>
            <w:tcW w:w="1319" w:type="dxa"/>
            <w:noWrap/>
            <w:vAlign w:val="bottom"/>
            <w:hideMark/>
          </w:tcPr>
          <w:p w14:paraId="741A3AD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86F1AD4" w14:textId="77777777" w:rsidTr="002F5E03">
        <w:trPr>
          <w:trHeight w:val="288"/>
        </w:trPr>
        <w:tc>
          <w:tcPr>
            <w:tcW w:w="3128" w:type="dxa"/>
            <w:noWrap/>
            <w:vAlign w:val="bottom"/>
            <w:hideMark/>
          </w:tcPr>
          <w:p w14:paraId="667CC51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Greenspace - home (yes)</w:t>
            </w:r>
          </w:p>
        </w:tc>
        <w:tc>
          <w:tcPr>
            <w:tcW w:w="2022" w:type="dxa"/>
            <w:noWrap/>
            <w:vAlign w:val="bottom"/>
            <w:hideMark/>
          </w:tcPr>
          <w:p w14:paraId="5BA177A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[-0.07; 0.12]</w:t>
            </w:r>
          </w:p>
        </w:tc>
        <w:tc>
          <w:tcPr>
            <w:tcW w:w="960" w:type="dxa"/>
            <w:noWrap/>
            <w:vAlign w:val="bottom"/>
            <w:hideMark/>
          </w:tcPr>
          <w:p w14:paraId="5C78A81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0,65</w:t>
            </w:r>
          </w:p>
        </w:tc>
        <w:tc>
          <w:tcPr>
            <w:tcW w:w="1319" w:type="dxa"/>
            <w:noWrap/>
            <w:vAlign w:val="bottom"/>
            <w:hideMark/>
          </w:tcPr>
          <w:p w14:paraId="1BD4A94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226C0E4" w14:textId="77777777" w:rsidTr="002F5E03">
        <w:trPr>
          <w:trHeight w:val="288"/>
        </w:trPr>
        <w:tc>
          <w:tcPr>
            <w:tcW w:w="3128" w:type="dxa"/>
            <w:noWrap/>
            <w:vAlign w:val="bottom"/>
            <w:hideMark/>
          </w:tcPr>
          <w:p w14:paraId="6965118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Greenspace - school (yes)</w:t>
            </w:r>
          </w:p>
        </w:tc>
        <w:tc>
          <w:tcPr>
            <w:tcW w:w="2022" w:type="dxa"/>
            <w:noWrap/>
            <w:vAlign w:val="bottom"/>
            <w:hideMark/>
          </w:tcPr>
          <w:p w14:paraId="655E521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[-0.09; 0.1]</w:t>
            </w:r>
          </w:p>
        </w:tc>
        <w:tc>
          <w:tcPr>
            <w:tcW w:w="960" w:type="dxa"/>
            <w:noWrap/>
            <w:vAlign w:val="bottom"/>
            <w:hideMark/>
          </w:tcPr>
          <w:p w14:paraId="6E7F30D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0,98</w:t>
            </w:r>
          </w:p>
        </w:tc>
        <w:tc>
          <w:tcPr>
            <w:tcW w:w="1319" w:type="dxa"/>
            <w:noWrap/>
            <w:vAlign w:val="bottom"/>
            <w:hideMark/>
          </w:tcPr>
          <w:p w14:paraId="208179B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2430ACB" w14:textId="77777777" w:rsidTr="002F5E03">
        <w:trPr>
          <w:trHeight w:val="288"/>
        </w:trPr>
        <w:tc>
          <w:tcPr>
            <w:tcW w:w="3128" w:type="dxa"/>
            <w:noWrap/>
            <w:vAlign w:val="bottom"/>
            <w:hideMark/>
          </w:tcPr>
          <w:p w14:paraId="43C29DC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Bluespace - home (yes)</w:t>
            </w:r>
          </w:p>
        </w:tc>
        <w:tc>
          <w:tcPr>
            <w:tcW w:w="2022" w:type="dxa"/>
            <w:noWrap/>
            <w:vAlign w:val="bottom"/>
            <w:hideMark/>
          </w:tcPr>
          <w:p w14:paraId="1C2BC8E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0.08 [-0.07; 0.23]</w:t>
            </w:r>
          </w:p>
        </w:tc>
        <w:tc>
          <w:tcPr>
            <w:tcW w:w="960" w:type="dxa"/>
            <w:noWrap/>
            <w:vAlign w:val="bottom"/>
            <w:hideMark/>
          </w:tcPr>
          <w:p w14:paraId="56C788E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0,32</w:t>
            </w:r>
          </w:p>
        </w:tc>
        <w:tc>
          <w:tcPr>
            <w:tcW w:w="1319" w:type="dxa"/>
            <w:noWrap/>
            <w:vAlign w:val="bottom"/>
            <w:hideMark/>
          </w:tcPr>
          <w:p w14:paraId="3FDB11B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198B0D17" w14:textId="77777777" w:rsidTr="002F5E03">
        <w:trPr>
          <w:trHeight w:val="288"/>
        </w:trPr>
        <w:tc>
          <w:tcPr>
            <w:tcW w:w="3128" w:type="dxa"/>
            <w:noWrap/>
            <w:vAlign w:val="bottom"/>
            <w:hideMark/>
          </w:tcPr>
          <w:p w14:paraId="7101F6D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Bluespace - school (yes)</w:t>
            </w:r>
          </w:p>
        </w:tc>
        <w:tc>
          <w:tcPr>
            <w:tcW w:w="2022" w:type="dxa"/>
            <w:noWrap/>
            <w:vAlign w:val="bottom"/>
            <w:hideMark/>
          </w:tcPr>
          <w:p w14:paraId="73689CC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 [-0.05; 0.26]</w:t>
            </w:r>
          </w:p>
        </w:tc>
        <w:tc>
          <w:tcPr>
            <w:tcW w:w="960" w:type="dxa"/>
            <w:noWrap/>
            <w:vAlign w:val="bottom"/>
            <w:hideMark/>
          </w:tcPr>
          <w:p w14:paraId="0F53817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0,19</w:t>
            </w:r>
          </w:p>
        </w:tc>
        <w:tc>
          <w:tcPr>
            <w:tcW w:w="1319" w:type="dxa"/>
            <w:noWrap/>
            <w:vAlign w:val="bottom"/>
            <w:hideMark/>
          </w:tcPr>
          <w:p w14:paraId="119B9AB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BDA840E" w14:textId="77777777" w:rsidTr="002F5E03">
        <w:trPr>
          <w:trHeight w:val="288"/>
        </w:trPr>
        <w:tc>
          <w:tcPr>
            <w:tcW w:w="3128" w:type="dxa"/>
            <w:noWrap/>
            <w:vAlign w:val="bottom"/>
            <w:hideMark/>
          </w:tcPr>
          <w:p w14:paraId="0681DE16"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Population density - home</w:t>
            </w:r>
          </w:p>
        </w:tc>
        <w:tc>
          <w:tcPr>
            <w:tcW w:w="2022" w:type="dxa"/>
            <w:noWrap/>
            <w:vAlign w:val="bottom"/>
            <w:hideMark/>
          </w:tcPr>
          <w:p w14:paraId="3F31A45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 [-0.09; 0.02]</w:t>
            </w:r>
          </w:p>
        </w:tc>
        <w:tc>
          <w:tcPr>
            <w:tcW w:w="960" w:type="dxa"/>
            <w:noWrap/>
            <w:vAlign w:val="bottom"/>
            <w:hideMark/>
          </w:tcPr>
          <w:p w14:paraId="6E7AA03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0,24</w:t>
            </w:r>
          </w:p>
        </w:tc>
        <w:tc>
          <w:tcPr>
            <w:tcW w:w="1319" w:type="dxa"/>
            <w:noWrap/>
            <w:vAlign w:val="bottom"/>
            <w:hideMark/>
          </w:tcPr>
          <w:p w14:paraId="7160DBB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521CEE4" w14:textId="77777777" w:rsidTr="002F5E03">
        <w:trPr>
          <w:trHeight w:val="288"/>
        </w:trPr>
        <w:tc>
          <w:tcPr>
            <w:tcW w:w="3128" w:type="dxa"/>
            <w:noWrap/>
            <w:vAlign w:val="bottom"/>
            <w:hideMark/>
          </w:tcPr>
          <w:p w14:paraId="7908CEF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Population density - school</w:t>
            </w:r>
          </w:p>
        </w:tc>
        <w:tc>
          <w:tcPr>
            <w:tcW w:w="2022" w:type="dxa"/>
            <w:noWrap/>
            <w:vAlign w:val="bottom"/>
            <w:hideMark/>
          </w:tcPr>
          <w:p w14:paraId="61F80D2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[-0.06; 0.05]</w:t>
            </w:r>
          </w:p>
        </w:tc>
        <w:tc>
          <w:tcPr>
            <w:tcW w:w="960" w:type="dxa"/>
            <w:noWrap/>
            <w:vAlign w:val="bottom"/>
            <w:hideMark/>
          </w:tcPr>
          <w:p w14:paraId="041D791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0,78</w:t>
            </w:r>
          </w:p>
        </w:tc>
        <w:tc>
          <w:tcPr>
            <w:tcW w:w="1319" w:type="dxa"/>
            <w:noWrap/>
            <w:vAlign w:val="bottom"/>
            <w:hideMark/>
          </w:tcPr>
          <w:p w14:paraId="79BB651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3D83677C" w14:textId="77777777" w:rsidTr="002F5E03">
        <w:trPr>
          <w:trHeight w:val="288"/>
        </w:trPr>
        <w:tc>
          <w:tcPr>
            <w:tcW w:w="3128" w:type="dxa"/>
            <w:noWrap/>
            <w:vAlign w:val="bottom"/>
            <w:hideMark/>
          </w:tcPr>
          <w:p w14:paraId="1D0AC8D6"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Built density - home</w:t>
            </w:r>
          </w:p>
        </w:tc>
        <w:tc>
          <w:tcPr>
            <w:tcW w:w="2022" w:type="dxa"/>
            <w:noWrap/>
            <w:vAlign w:val="bottom"/>
            <w:hideMark/>
          </w:tcPr>
          <w:p w14:paraId="41C7829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 [-0.09; 0.02]</w:t>
            </w:r>
          </w:p>
        </w:tc>
        <w:tc>
          <w:tcPr>
            <w:tcW w:w="960" w:type="dxa"/>
            <w:noWrap/>
            <w:vAlign w:val="bottom"/>
            <w:hideMark/>
          </w:tcPr>
          <w:p w14:paraId="1DE90A2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0,23</w:t>
            </w:r>
          </w:p>
        </w:tc>
        <w:tc>
          <w:tcPr>
            <w:tcW w:w="1319" w:type="dxa"/>
            <w:noWrap/>
            <w:vAlign w:val="bottom"/>
            <w:hideMark/>
          </w:tcPr>
          <w:p w14:paraId="103788A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EC7F2EA" w14:textId="77777777" w:rsidTr="002F5E03">
        <w:trPr>
          <w:trHeight w:val="288"/>
        </w:trPr>
        <w:tc>
          <w:tcPr>
            <w:tcW w:w="3128" w:type="dxa"/>
            <w:noWrap/>
            <w:vAlign w:val="bottom"/>
            <w:hideMark/>
          </w:tcPr>
          <w:p w14:paraId="7525C59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Built density - school</w:t>
            </w:r>
          </w:p>
        </w:tc>
        <w:tc>
          <w:tcPr>
            <w:tcW w:w="2022" w:type="dxa"/>
            <w:noWrap/>
            <w:vAlign w:val="bottom"/>
            <w:hideMark/>
          </w:tcPr>
          <w:p w14:paraId="4519AE2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[-0.08; 0]</w:t>
            </w:r>
          </w:p>
        </w:tc>
        <w:tc>
          <w:tcPr>
            <w:tcW w:w="960" w:type="dxa"/>
            <w:noWrap/>
            <w:vAlign w:val="bottom"/>
            <w:hideMark/>
          </w:tcPr>
          <w:p w14:paraId="053C1ED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0,08</w:t>
            </w:r>
          </w:p>
        </w:tc>
        <w:tc>
          <w:tcPr>
            <w:tcW w:w="1319" w:type="dxa"/>
            <w:noWrap/>
            <w:vAlign w:val="bottom"/>
            <w:hideMark/>
          </w:tcPr>
          <w:p w14:paraId="6E76CDF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8FC8FFA" w14:textId="77777777" w:rsidTr="002F5E03">
        <w:trPr>
          <w:trHeight w:val="288"/>
        </w:trPr>
        <w:tc>
          <w:tcPr>
            <w:tcW w:w="3128" w:type="dxa"/>
            <w:noWrap/>
            <w:vAlign w:val="bottom"/>
            <w:hideMark/>
          </w:tcPr>
          <w:p w14:paraId="37BEDCC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Connect density - home</w:t>
            </w:r>
          </w:p>
        </w:tc>
        <w:tc>
          <w:tcPr>
            <w:tcW w:w="2022" w:type="dxa"/>
            <w:noWrap/>
            <w:vAlign w:val="bottom"/>
            <w:hideMark/>
          </w:tcPr>
          <w:p w14:paraId="30290CC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[-0.07; 0.08]</w:t>
            </w:r>
          </w:p>
        </w:tc>
        <w:tc>
          <w:tcPr>
            <w:tcW w:w="960" w:type="dxa"/>
            <w:noWrap/>
            <w:vAlign w:val="bottom"/>
            <w:hideMark/>
          </w:tcPr>
          <w:p w14:paraId="31DCB8A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0,90</w:t>
            </w:r>
          </w:p>
        </w:tc>
        <w:tc>
          <w:tcPr>
            <w:tcW w:w="1319" w:type="dxa"/>
            <w:noWrap/>
            <w:vAlign w:val="bottom"/>
            <w:hideMark/>
          </w:tcPr>
          <w:p w14:paraId="7BA5215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D639C66" w14:textId="77777777" w:rsidTr="002F5E03">
        <w:trPr>
          <w:trHeight w:val="288"/>
        </w:trPr>
        <w:tc>
          <w:tcPr>
            <w:tcW w:w="3128" w:type="dxa"/>
            <w:noWrap/>
            <w:vAlign w:val="bottom"/>
            <w:hideMark/>
          </w:tcPr>
          <w:p w14:paraId="5C2C120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Connect density - school</w:t>
            </w:r>
          </w:p>
        </w:tc>
        <w:tc>
          <w:tcPr>
            <w:tcW w:w="2022" w:type="dxa"/>
            <w:noWrap/>
            <w:vAlign w:val="bottom"/>
            <w:hideMark/>
          </w:tcPr>
          <w:p w14:paraId="21BD91A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 [-0.1; 0.04]</w:t>
            </w:r>
          </w:p>
        </w:tc>
        <w:tc>
          <w:tcPr>
            <w:tcW w:w="960" w:type="dxa"/>
            <w:noWrap/>
            <w:vAlign w:val="bottom"/>
            <w:hideMark/>
          </w:tcPr>
          <w:p w14:paraId="008A9DF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0,36</w:t>
            </w:r>
          </w:p>
        </w:tc>
        <w:tc>
          <w:tcPr>
            <w:tcW w:w="1319" w:type="dxa"/>
            <w:noWrap/>
            <w:vAlign w:val="bottom"/>
            <w:hideMark/>
          </w:tcPr>
          <w:p w14:paraId="60DA2FA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BA8AAED" w14:textId="77777777" w:rsidTr="002F5E03">
        <w:trPr>
          <w:trHeight w:val="288"/>
        </w:trPr>
        <w:tc>
          <w:tcPr>
            <w:tcW w:w="3128" w:type="dxa"/>
            <w:noWrap/>
            <w:vAlign w:val="bottom"/>
            <w:hideMark/>
          </w:tcPr>
          <w:p w14:paraId="6173BBD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proofErr w:type="spellStart"/>
            <w:r w:rsidRPr="008A5C48">
              <w:rPr>
                <w:rFonts w:ascii="Times New Roman" w:eastAsia="Times New Roman" w:hAnsi="Times New Roman" w:cs="Times New Roman"/>
                <w:color w:val="000000"/>
                <w:sz w:val="20"/>
                <w:szCs w:val="20"/>
              </w:rPr>
              <w:t>Bststop</w:t>
            </w:r>
            <w:proofErr w:type="spellEnd"/>
            <w:r w:rsidRPr="008A5C48">
              <w:rPr>
                <w:rFonts w:ascii="Times New Roman" w:eastAsia="Times New Roman" w:hAnsi="Times New Roman" w:cs="Times New Roman"/>
                <w:color w:val="000000"/>
                <w:sz w:val="20"/>
                <w:szCs w:val="20"/>
              </w:rPr>
              <w:t xml:space="preserve"> density - home</w:t>
            </w:r>
          </w:p>
        </w:tc>
        <w:tc>
          <w:tcPr>
            <w:tcW w:w="2022" w:type="dxa"/>
            <w:noWrap/>
            <w:vAlign w:val="bottom"/>
            <w:hideMark/>
          </w:tcPr>
          <w:p w14:paraId="2FFAD9B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 [-0.11; 0.16]</w:t>
            </w:r>
          </w:p>
        </w:tc>
        <w:tc>
          <w:tcPr>
            <w:tcW w:w="960" w:type="dxa"/>
            <w:noWrap/>
            <w:vAlign w:val="bottom"/>
            <w:hideMark/>
          </w:tcPr>
          <w:p w14:paraId="457EFF7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0,70</w:t>
            </w:r>
          </w:p>
        </w:tc>
        <w:tc>
          <w:tcPr>
            <w:tcW w:w="1319" w:type="dxa"/>
            <w:noWrap/>
            <w:vAlign w:val="bottom"/>
            <w:hideMark/>
          </w:tcPr>
          <w:p w14:paraId="341A9A9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F0471BC" w14:textId="77777777" w:rsidTr="002F5E03">
        <w:trPr>
          <w:trHeight w:val="288"/>
        </w:trPr>
        <w:tc>
          <w:tcPr>
            <w:tcW w:w="3128" w:type="dxa"/>
            <w:noWrap/>
            <w:vAlign w:val="bottom"/>
            <w:hideMark/>
          </w:tcPr>
          <w:p w14:paraId="10B248C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proofErr w:type="spellStart"/>
            <w:r w:rsidRPr="008A5C48">
              <w:rPr>
                <w:rFonts w:ascii="Times New Roman" w:eastAsia="Times New Roman" w:hAnsi="Times New Roman" w:cs="Times New Roman"/>
                <w:color w:val="000000"/>
                <w:sz w:val="20"/>
                <w:szCs w:val="20"/>
              </w:rPr>
              <w:t>Bststop</w:t>
            </w:r>
            <w:proofErr w:type="spellEnd"/>
            <w:r w:rsidRPr="008A5C48">
              <w:rPr>
                <w:rFonts w:ascii="Times New Roman" w:eastAsia="Times New Roman" w:hAnsi="Times New Roman" w:cs="Times New Roman"/>
                <w:color w:val="000000"/>
                <w:sz w:val="20"/>
                <w:szCs w:val="20"/>
              </w:rPr>
              <w:t xml:space="preserve"> density - school</w:t>
            </w:r>
          </w:p>
        </w:tc>
        <w:tc>
          <w:tcPr>
            <w:tcW w:w="2022" w:type="dxa"/>
            <w:noWrap/>
            <w:vAlign w:val="bottom"/>
            <w:hideMark/>
          </w:tcPr>
          <w:p w14:paraId="229EA56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[-0.08; 0.08]</w:t>
            </w:r>
          </w:p>
        </w:tc>
        <w:tc>
          <w:tcPr>
            <w:tcW w:w="960" w:type="dxa"/>
            <w:noWrap/>
            <w:vAlign w:val="bottom"/>
            <w:hideMark/>
          </w:tcPr>
          <w:p w14:paraId="3B3B3EB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0,95</w:t>
            </w:r>
          </w:p>
        </w:tc>
        <w:tc>
          <w:tcPr>
            <w:tcW w:w="1319" w:type="dxa"/>
            <w:noWrap/>
            <w:vAlign w:val="bottom"/>
            <w:hideMark/>
          </w:tcPr>
          <w:p w14:paraId="6AE219C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35990C2A" w14:textId="77777777" w:rsidTr="002F5E03">
        <w:trPr>
          <w:trHeight w:val="288"/>
        </w:trPr>
        <w:tc>
          <w:tcPr>
            <w:tcW w:w="3128" w:type="dxa"/>
            <w:noWrap/>
            <w:vAlign w:val="bottom"/>
            <w:hideMark/>
          </w:tcPr>
          <w:p w14:paraId="688C363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Facility richness - home</w:t>
            </w:r>
          </w:p>
        </w:tc>
        <w:tc>
          <w:tcPr>
            <w:tcW w:w="2022" w:type="dxa"/>
            <w:noWrap/>
            <w:vAlign w:val="bottom"/>
            <w:hideMark/>
          </w:tcPr>
          <w:p w14:paraId="66083AE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[-0.04; 0.09]</w:t>
            </w:r>
          </w:p>
        </w:tc>
        <w:tc>
          <w:tcPr>
            <w:tcW w:w="960" w:type="dxa"/>
            <w:noWrap/>
            <w:vAlign w:val="bottom"/>
            <w:hideMark/>
          </w:tcPr>
          <w:p w14:paraId="64C9DF0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0,46</w:t>
            </w:r>
          </w:p>
        </w:tc>
        <w:tc>
          <w:tcPr>
            <w:tcW w:w="1319" w:type="dxa"/>
            <w:noWrap/>
            <w:vAlign w:val="bottom"/>
            <w:hideMark/>
          </w:tcPr>
          <w:p w14:paraId="2F7EFC1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3D0290F" w14:textId="77777777" w:rsidTr="002F5E03">
        <w:trPr>
          <w:trHeight w:val="288"/>
        </w:trPr>
        <w:tc>
          <w:tcPr>
            <w:tcW w:w="3128" w:type="dxa"/>
            <w:noWrap/>
            <w:vAlign w:val="bottom"/>
            <w:hideMark/>
          </w:tcPr>
          <w:p w14:paraId="4B7487F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Facility richness - school</w:t>
            </w:r>
          </w:p>
        </w:tc>
        <w:tc>
          <w:tcPr>
            <w:tcW w:w="2022" w:type="dxa"/>
            <w:noWrap/>
            <w:vAlign w:val="bottom"/>
            <w:hideMark/>
          </w:tcPr>
          <w:p w14:paraId="5091E1D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[-0.06; 0.05]</w:t>
            </w:r>
          </w:p>
        </w:tc>
        <w:tc>
          <w:tcPr>
            <w:tcW w:w="960" w:type="dxa"/>
            <w:noWrap/>
            <w:vAlign w:val="bottom"/>
            <w:hideMark/>
          </w:tcPr>
          <w:p w14:paraId="07926C7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0,84</w:t>
            </w:r>
          </w:p>
        </w:tc>
        <w:tc>
          <w:tcPr>
            <w:tcW w:w="1319" w:type="dxa"/>
            <w:noWrap/>
            <w:vAlign w:val="bottom"/>
            <w:hideMark/>
          </w:tcPr>
          <w:p w14:paraId="17571BB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578B1A0" w14:textId="77777777" w:rsidTr="002F5E03">
        <w:trPr>
          <w:trHeight w:val="288"/>
        </w:trPr>
        <w:tc>
          <w:tcPr>
            <w:tcW w:w="3128" w:type="dxa"/>
            <w:noWrap/>
            <w:vAlign w:val="bottom"/>
            <w:hideMark/>
          </w:tcPr>
          <w:p w14:paraId="63C3E08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Facility density - home</w:t>
            </w:r>
          </w:p>
        </w:tc>
        <w:tc>
          <w:tcPr>
            <w:tcW w:w="2022" w:type="dxa"/>
            <w:noWrap/>
            <w:vAlign w:val="bottom"/>
            <w:hideMark/>
          </w:tcPr>
          <w:p w14:paraId="6C8A01E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[-0.08; 0.07]</w:t>
            </w:r>
          </w:p>
        </w:tc>
        <w:tc>
          <w:tcPr>
            <w:tcW w:w="960" w:type="dxa"/>
            <w:noWrap/>
            <w:vAlign w:val="bottom"/>
            <w:hideMark/>
          </w:tcPr>
          <w:p w14:paraId="0577A06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0,95</w:t>
            </w:r>
          </w:p>
        </w:tc>
        <w:tc>
          <w:tcPr>
            <w:tcW w:w="1319" w:type="dxa"/>
            <w:noWrap/>
            <w:vAlign w:val="bottom"/>
            <w:hideMark/>
          </w:tcPr>
          <w:p w14:paraId="5950A28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A11CE5E" w14:textId="77777777" w:rsidTr="002F5E03">
        <w:trPr>
          <w:trHeight w:val="288"/>
        </w:trPr>
        <w:tc>
          <w:tcPr>
            <w:tcW w:w="3128" w:type="dxa"/>
            <w:noWrap/>
            <w:vAlign w:val="bottom"/>
            <w:hideMark/>
          </w:tcPr>
          <w:p w14:paraId="0242F5A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Facility density - school</w:t>
            </w:r>
          </w:p>
        </w:tc>
        <w:tc>
          <w:tcPr>
            <w:tcW w:w="2022" w:type="dxa"/>
            <w:noWrap/>
            <w:vAlign w:val="bottom"/>
            <w:hideMark/>
          </w:tcPr>
          <w:p w14:paraId="5DD7002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[-0.08; 0.03]</w:t>
            </w:r>
          </w:p>
        </w:tc>
        <w:tc>
          <w:tcPr>
            <w:tcW w:w="960" w:type="dxa"/>
            <w:noWrap/>
            <w:vAlign w:val="bottom"/>
            <w:hideMark/>
          </w:tcPr>
          <w:p w14:paraId="1C2DB50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0,41</w:t>
            </w:r>
          </w:p>
        </w:tc>
        <w:tc>
          <w:tcPr>
            <w:tcW w:w="1319" w:type="dxa"/>
            <w:noWrap/>
            <w:vAlign w:val="bottom"/>
            <w:hideMark/>
          </w:tcPr>
          <w:p w14:paraId="2085DA3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AF6B9C8" w14:textId="77777777" w:rsidTr="002F5E03">
        <w:trPr>
          <w:trHeight w:val="288"/>
        </w:trPr>
        <w:tc>
          <w:tcPr>
            <w:tcW w:w="3128" w:type="dxa"/>
            <w:noWrap/>
            <w:vAlign w:val="bottom"/>
            <w:hideMark/>
          </w:tcPr>
          <w:p w14:paraId="2826CA2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SEI - home</w:t>
            </w:r>
          </w:p>
        </w:tc>
        <w:tc>
          <w:tcPr>
            <w:tcW w:w="2022" w:type="dxa"/>
            <w:noWrap/>
            <w:vAlign w:val="bottom"/>
            <w:hideMark/>
          </w:tcPr>
          <w:p w14:paraId="73274556"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[-0.02; 0.1]</w:t>
            </w:r>
          </w:p>
        </w:tc>
        <w:tc>
          <w:tcPr>
            <w:tcW w:w="960" w:type="dxa"/>
            <w:noWrap/>
            <w:vAlign w:val="bottom"/>
            <w:hideMark/>
          </w:tcPr>
          <w:p w14:paraId="449BF36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0,18</w:t>
            </w:r>
          </w:p>
        </w:tc>
        <w:tc>
          <w:tcPr>
            <w:tcW w:w="1319" w:type="dxa"/>
            <w:noWrap/>
            <w:vAlign w:val="bottom"/>
            <w:hideMark/>
          </w:tcPr>
          <w:p w14:paraId="2DD54CF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9B00FB1" w14:textId="77777777" w:rsidTr="002F5E03">
        <w:trPr>
          <w:trHeight w:val="288"/>
        </w:trPr>
        <w:tc>
          <w:tcPr>
            <w:tcW w:w="3128" w:type="dxa"/>
            <w:noWrap/>
            <w:vAlign w:val="bottom"/>
            <w:hideMark/>
          </w:tcPr>
          <w:p w14:paraId="164218E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SEI - school</w:t>
            </w:r>
          </w:p>
        </w:tc>
        <w:tc>
          <w:tcPr>
            <w:tcW w:w="2022" w:type="dxa"/>
            <w:noWrap/>
            <w:vAlign w:val="bottom"/>
            <w:hideMark/>
          </w:tcPr>
          <w:p w14:paraId="00C146E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[-0.05; 0.08]</w:t>
            </w:r>
          </w:p>
        </w:tc>
        <w:tc>
          <w:tcPr>
            <w:tcW w:w="960" w:type="dxa"/>
            <w:noWrap/>
            <w:vAlign w:val="bottom"/>
            <w:hideMark/>
          </w:tcPr>
          <w:p w14:paraId="11C9091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0,68</w:t>
            </w:r>
          </w:p>
        </w:tc>
        <w:tc>
          <w:tcPr>
            <w:tcW w:w="1319" w:type="dxa"/>
            <w:noWrap/>
            <w:vAlign w:val="bottom"/>
            <w:hideMark/>
          </w:tcPr>
          <w:p w14:paraId="686EB20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BF25687" w14:textId="77777777" w:rsidTr="002F5E03">
        <w:trPr>
          <w:trHeight w:val="288"/>
        </w:trPr>
        <w:tc>
          <w:tcPr>
            <w:tcW w:w="3128" w:type="dxa"/>
            <w:noWrap/>
            <w:vAlign w:val="bottom"/>
            <w:hideMark/>
          </w:tcPr>
          <w:p w14:paraId="7256DF5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walkability - home</w:t>
            </w:r>
          </w:p>
        </w:tc>
        <w:tc>
          <w:tcPr>
            <w:tcW w:w="2022" w:type="dxa"/>
            <w:noWrap/>
            <w:vAlign w:val="bottom"/>
            <w:hideMark/>
          </w:tcPr>
          <w:p w14:paraId="09C368D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[-0.06; 0.09]</w:t>
            </w:r>
          </w:p>
        </w:tc>
        <w:tc>
          <w:tcPr>
            <w:tcW w:w="960" w:type="dxa"/>
            <w:noWrap/>
            <w:vAlign w:val="bottom"/>
            <w:hideMark/>
          </w:tcPr>
          <w:p w14:paraId="2899142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0,67</w:t>
            </w:r>
          </w:p>
        </w:tc>
        <w:tc>
          <w:tcPr>
            <w:tcW w:w="1319" w:type="dxa"/>
            <w:noWrap/>
            <w:vAlign w:val="bottom"/>
            <w:hideMark/>
          </w:tcPr>
          <w:p w14:paraId="13A6400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2297744" w14:textId="77777777" w:rsidTr="002F5E03">
        <w:trPr>
          <w:trHeight w:val="288"/>
        </w:trPr>
        <w:tc>
          <w:tcPr>
            <w:tcW w:w="3128" w:type="dxa"/>
            <w:noWrap/>
            <w:vAlign w:val="bottom"/>
            <w:hideMark/>
          </w:tcPr>
          <w:p w14:paraId="4AEE7606"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walkability - school</w:t>
            </w:r>
          </w:p>
        </w:tc>
        <w:tc>
          <w:tcPr>
            <w:tcW w:w="2022" w:type="dxa"/>
            <w:noWrap/>
            <w:vAlign w:val="bottom"/>
            <w:hideMark/>
          </w:tcPr>
          <w:p w14:paraId="39329D1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[-0.07; 0.04]</w:t>
            </w:r>
          </w:p>
        </w:tc>
        <w:tc>
          <w:tcPr>
            <w:tcW w:w="960" w:type="dxa"/>
            <w:noWrap/>
            <w:vAlign w:val="bottom"/>
            <w:hideMark/>
          </w:tcPr>
          <w:p w14:paraId="65C2790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0,57</w:t>
            </w:r>
          </w:p>
        </w:tc>
        <w:tc>
          <w:tcPr>
            <w:tcW w:w="1319" w:type="dxa"/>
            <w:noWrap/>
            <w:vAlign w:val="bottom"/>
            <w:hideMark/>
          </w:tcPr>
          <w:p w14:paraId="70AA591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2969800" w14:textId="77777777" w:rsidTr="002F5E03">
        <w:trPr>
          <w:trHeight w:val="288"/>
        </w:trPr>
        <w:tc>
          <w:tcPr>
            <w:tcW w:w="3128" w:type="dxa"/>
            <w:noWrap/>
            <w:vAlign w:val="bottom"/>
            <w:hideMark/>
          </w:tcPr>
          <w:p w14:paraId="1BD13B5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Traffic load - home</w:t>
            </w:r>
          </w:p>
        </w:tc>
        <w:tc>
          <w:tcPr>
            <w:tcW w:w="2022" w:type="dxa"/>
            <w:noWrap/>
            <w:vAlign w:val="bottom"/>
            <w:hideMark/>
          </w:tcPr>
          <w:p w14:paraId="44DEC8C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-0.06 [-0.13; 0.01]</w:t>
            </w:r>
          </w:p>
        </w:tc>
        <w:tc>
          <w:tcPr>
            <w:tcW w:w="960" w:type="dxa"/>
            <w:noWrap/>
            <w:vAlign w:val="bottom"/>
            <w:hideMark/>
          </w:tcPr>
          <w:p w14:paraId="31C884E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0,10</w:t>
            </w:r>
          </w:p>
        </w:tc>
        <w:tc>
          <w:tcPr>
            <w:tcW w:w="1319" w:type="dxa"/>
            <w:noWrap/>
            <w:vAlign w:val="bottom"/>
            <w:hideMark/>
          </w:tcPr>
          <w:p w14:paraId="749E93B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51E04B1" w14:textId="77777777" w:rsidTr="002F5E03">
        <w:trPr>
          <w:trHeight w:val="288"/>
        </w:trPr>
        <w:tc>
          <w:tcPr>
            <w:tcW w:w="3128" w:type="dxa"/>
            <w:noWrap/>
            <w:vAlign w:val="bottom"/>
            <w:hideMark/>
          </w:tcPr>
          <w:p w14:paraId="6651DF7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Traffic nearest road - home</w:t>
            </w:r>
          </w:p>
        </w:tc>
        <w:tc>
          <w:tcPr>
            <w:tcW w:w="2022" w:type="dxa"/>
            <w:noWrap/>
            <w:vAlign w:val="bottom"/>
            <w:hideMark/>
          </w:tcPr>
          <w:p w14:paraId="6DF78DA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[-0.12; 0.04]</w:t>
            </w:r>
          </w:p>
        </w:tc>
        <w:tc>
          <w:tcPr>
            <w:tcW w:w="960" w:type="dxa"/>
            <w:noWrap/>
            <w:vAlign w:val="bottom"/>
            <w:hideMark/>
          </w:tcPr>
          <w:p w14:paraId="4D036A2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0,30</w:t>
            </w:r>
          </w:p>
        </w:tc>
        <w:tc>
          <w:tcPr>
            <w:tcW w:w="1319" w:type="dxa"/>
            <w:noWrap/>
            <w:vAlign w:val="bottom"/>
            <w:hideMark/>
          </w:tcPr>
          <w:p w14:paraId="170C7CD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6195293" w14:textId="77777777" w:rsidTr="002F5E03">
        <w:trPr>
          <w:trHeight w:val="288"/>
        </w:trPr>
        <w:tc>
          <w:tcPr>
            <w:tcW w:w="3128" w:type="dxa"/>
            <w:noWrap/>
            <w:vAlign w:val="bottom"/>
            <w:hideMark/>
          </w:tcPr>
          <w:p w14:paraId="7BA6EA2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en-US"/>
              </w:rPr>
            </w:pPr>
            <w:r w:rsidRPr="008A5C48">
              <w:rPr>
                <w:rFonts w:ascii="Times New Roman" w:eastAsia="Times New Roman" w:hAnsi="Times New Roman" w:cs="Times New Roman"/>
                <w:color w:val="000000"/>
                <w:sz w:val="20"/>
                <w:szCs w:val="20"/>
              </w:rPr>
              <w:t>Inverse distance to nearest road - home</w:t>
            </w:r>
          </w:p>
        </w:tc>
        <w:tc>
          <w:tcPr>
            <w:tcW w:w="2022" w:type="dxa"/>
            <w:noWrap/>
            <w:vAlign w:val="bottom"/>
            <w:hideMark/>
          </w:tcPr>
          <w:p w14:paraId="4D7254B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[-0.06; 0.05]</w:t>
            </w:r>
          </w:p>
        </w:tc>
        <w:tc>
          <w:tcPr>
            <w:tcW w:w="960" w:type="dxa"/>
            <w:noWrap/>
            <w:vAlign w:val="bottom"/>
            <w:hideMark/>
          </w:tcPr>
          <w:p w14:paraId="36294CF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0,91</w:t>
            </w:r>
          </w:p>
        </w:tc>
        <w:tc>
          <w:tcPr>
            <w:tcW w:w="1319" w:type="dxa"/>
            <w:noWrap/>
            <w:vAlign w:val="bottom"/>
            <w:hideMark/>
          </w:tcPr>
          <w:p w14:paraId="697B9BE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7821E07" w14:textId="77777777" w:rsidTr="002F5E03">
        <w:trPr>
          <w:trHeight w:val="288"/>
        </w:trPr>
        <w:tc>
          <w:tcPr>
            <w:tcW w:w="3128" w:type="dxa"/>
            <w:noWrap/>
            <w:vAlign w:val="bottom"/>
            <w:hideMark/>
          </w:tcPr>
          <w:p w14:paraId="5481A0D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Traffic load – school</w:t>
            </w:r>
          </w:p>
        </w:tc>
        <w:tc>
          <w:tcPr>
            <w:tcW w:w="2022" w:type="dxa"/>
            <w:noWrap/>
            <w:vAlign w:val="bottom"/>
            <w:hideMark/>
          </w:tcPr>
          <w:p w14:paraId="0C03AD2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[-0.1; 0.06]</w:t>
            </w:r>
          </w:p>
        </w:tc>
        <w:tc>
          <w:tcPr>
            <w:tcW w:w="960" w:type="dxa"/>
            <w:noWrap/>
            <w:vAlign w:val="bottom"/>
            <w:hideMark/>
          </w:tcPr>
          <w:p w14:paraId="041747C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0,57</w:t>
            </w:r>
          </w:p>
        </w:tc>
        <w:tc>
          <w:tcPr>
            <w:tcW w:w="1319" w:type="dxa"/>
            <w:noWrap/>
            <w:vAlign w:val="bottom"/>
            <w:hideMark/>
          </w:tcPr>
          <w:p w14:paraId="0C2877A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EEDBBDF" w14:textId="77777777" w:rsidTr="002F5E03">
        <w:trPr>
          <w:trHeight w:val="288"/>
        </w:trPr>
        <w:tc>
          <w:tcPr>
            <w:tcW w:w="3128" w:type="dxa"/>
            <w:noWrap/>
            <w:vAlign w:val="bottom"/>
            <w:hideMark/>
          </w:tcPr>
          <w:p w14:paraId="25C6B16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Traffic nearest road - school</w:t>
            </w:r>
          </w:p>
        </w:tc>
        <w:tc>
          <w:tcPr>
            <w:tcW w:w="2022" w:type="dxa"/>
            <w:noWrap/>
            <w:vAlign w:val="bottom"/>
            <w:hideMark/>
          </w:tcPr>
          <w:p w14:paraId="5290CBD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-0.06 [-0.13; 0.02]</w:t>
            </w:r>
          </w:p>
        </w:tc>
        <w:tc>
          <w:tcPr>
            <w:tcW w:w="960" w:type="dxa"/>
            <w:noWrap/>
            <w:vAlign w:val="bottom"/>
            <w:hideMark/>
          </w:tcPr>
          <w:p w14:paraId="17E8772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0,13</w:t>
            </w:r>
          </w:p>
        </w:tc>
        <w:tc>
          <w:tcPr>
            <w:tcW w:w="1319" w:type="dxa"/>
            <w:noWrap/>
            <w:vAlign w:val="bottom"/>
            <w:hideMark/>
          </w:tcPr>
          <w:p w14:paraId="4C31008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028C562" w14:textId="77777777" w:rsidTr="002F5E03">
        <w:trPr>
          <w:trHeight w:val="288"/>
        </w:trPr>
        <w:tc>
          <w:tcPr>
            <w:tcW w:w="3128" w:type="dxa"/>
            <w:noWrap/>
            <w:vAlign w:val="bottom"/>
            <w:hideMark/>
          </w:tcPr>
          <w:p w14:paraId="514D0D6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en-US"/>
              </w:rPr>
            </w:pPr>
            <w:r w:rsidRPr="008A5C48">
              <w:rPr>
                <w:rFonts w:ascii="Times New Roman" w:eastAsia="Times New Roman" w:hAnsi="Times New Roman" w:cs="Times New Roman"/>
                <w:color w:val="000000"/>
                <w:sz w:val="20"/>
                <w:szCs w:val="20"/>
              </w:rPr>
              <w:lastRenderedPageBreak/>
              <w:t>Inverse distance to nearest road - school</w:t>
            </w:r>
          </w:p>
        </w:tc>
        <w:tc>
          <w:tcPr>
            <w:tcW w:w="2022" w:type="dxa"/>
            <w:noWrap/>
            <w:vAlign w:val="bottom"/>
            <w:hideMark/>
          </w:tcPr>
          <w:p w14:paraId="1408663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[-0.07; 0.04]</w:t>
            </w:r>
          </w:p>
        </w:tc>
        <w:tc>
          <w:tcPr>
            <w:tcW w:w="960" w:type="dxa"/>
            <w:noWrap/>
            <w:vAlign w:val="bottom"/>
            <w:hideMark/>
          </w:tcPr>
          <w:p w14:paraId="2146032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0,54</w:t>
            </w:r>
          </w:p>
        </w:tc>
        <w:tc>
          <w:tcPr>
            <w:tcW w:w="1319" w:type="dxa"/>
            <w:noWrap/>
            <w:vAlign w:val="bottom"/>
            <w:hideMark/>
          </w:tcPr>
          <w:p w14:paraId="15F2D6D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403563D" w14:textId="77777777" w:rsidTr="002F5E03">
        <w:trPr>
          <w:trHeight w:val="288"/>
        </w:trPr>
        <w:tc>
          <w:tcPr>
            <w:tcW w:w="3128" w:type="dxa"/>
            <w:noWrap/>
            <w:vAlign w:val="bottom"/>
            <w:hideMark/>
          </w:tcPr>
          <w:p w14:paraId="5728FAD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TEX indoor</w:t>
            </w:r>
          </w:p>
        </w:tc>
        <w:tc>
          <w:tcPr>
            <w:tcW w:w="2022" w:type="dxa"/>
            <w:noWrap/>
            <w:vAlign w:val="bottom"/>
            <w:hideMark/>
          </w:tcPr>
          <w:p w14:paraId="5A2B294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 [-0.1; 0.04]</w:t>
            </w:r>
          </w:p>
        </w:tc>
        <w:tc>
          <w:tcPr>
            <w:tcW w:w="960" w:type="dxa"/>
            <w:noWrap/>
            <w:vAlign w:val="bottom"/>
            <w:hideMark/>
          </w:tcPr>
          <w:p w14:paraId="44DC2EBD"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0,41</w:t>
            </w:r>
          </w:p>
        </w:tc>
        <w:tc>
          <w:tcPr>
            <w:tcW w:w="1319" w:type="dxa"/>
            <w:noWrap/>
            <w:vAlign w:val="bottom"/>
            <w:hideMark/>
          </w:tcPr>
          <w:p w14:paraId="4DF9D23D"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93104F9" w14:textId="77777777" w:rsidTr="002F5E03">
        <w:trPr>
          <w:trHeight w:val="288"/>
        </w:trPr>
        <w:tc>
          <w:tcPr>
            <w:tcW w:w="3128" w:type="dxa"/>
            <w:noWrap/>
            <w:vAlign w:val="bottom"/>
            <w:hideMark/>
          </w:tcPr>
          <w:p w14:paraId="0F10211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NO2 indoor</w:t>
            </w:r>
          </w:p>
        </w:tc>
        <w:tc>
          <w:tcPr>
            <w:tcW w:w="2022" w:type="dxa"/>
            <w:noWrap/>
            <w:vAlign w:val="bottom"/>
            <w:hideMark/>
          </w:tcPr>
          <w:p w14:paraId="78D2AC1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-0.11 [-0.2; -0.01]</w:t>
            </w:r>
          </w:p>
        </w:tc>
        <w:tc>
          <w:tcPr>
            <w:tcW w:w="960" w:type="dxa"/>
            <w:noWrap/>
            <w:vAlign w:val="bottom"/>
            <w:hideMark/>
          </w:tcPr>
          <w:p w14:paraId="45212A2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w:t>
            </w:r>
          </w:p>
        </w:tc>
        <w:tc>
          <w:tcPr>
            <w:tcW w:w="1319" w:type="dxa"/>
            <w:noWrap/>
            <w:vAlign w:val="bottom"/>
            <w:hideMark/>
          </w:tcPr>
          <w:p w14:paraId="2459EEF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D9C422E" w14:textId="77777777" w:rsidTr="002F5E03">
        <w:trPr>
          <w:trHeight w:val="288"/>
        </w:trPr>
        <w:tc>
          <w:tcPr>
            <w:tcW w:w="3128" w:type="dxa"/>
            <w:noWrap/>
            <w:vAlign w:val="bottom"/>
            <w:hideMark/>
          </w:tcPr>
          <w:p w14:paraId="5898815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Benzene indoor</w:t>
            </w:r>
          </w:p>
        </w:tc>
        <w:tc>
          <w:tcPr>
            <w:tcW w:w="2022" w:type="dxa"/>
            <w:noWrap/>
            <w:vAlign w:val="bottom"/>
            <w:hideMark/>
          </w:tcPr>
          <w:p w14:paraId="6DA80D3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 [-0.16; -0.05]</w:t>
            </w:r>
          </w:p>
        </w:tc>
        <w:tc>
          <w:tcPr>
            <w:tcW w:w="960" w:type="dxa"/>
            <w:noWrap/>
            <w:vAlign w:val="bottom"/>
            <w:hideMark/>
          </w:tcPr>
          <w:p w14:paraId="630F48B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c>
          <w:tcPr>
            <w:tcW w:w="1319" w:type="dxa"/>
            <w:noWrap/>
            <w:vAlign w:val="bottom"/>
            <w:hideMark/>
          </w:tcPr>
          <w:p w14:paraId="5C66C4E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w:t>
            </w:r>
          </w:p>
        </w:tc>
      </w:tr>
      <w:tr w:rsidR="007C7F94" w:rsidRPr="008A5C48" w14:paraId="6DDB80A2" w14:textId="77777777" w:rsidTr="002F5E03">
        <w:trPr>
          <w:trHeight w:val="288"/>
        </w:trPr>
        <w:tc>
          <w:tcPr>
            <w:tcW w:w="3128" w:type="dxa"/>
            <w:noWrap/>
            <w:vAlign w:val="bottom"/>
            <w:hideMark/>
          </w:tcPr>
          <w:p w14:paraId="1EA3D95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en-US"/>
              </w:rPr>
            </w:pPr>
            <w:r w:rsidRPr="008A5C48">
              <w:rPr>
                <w:rFonts w:ascii="Times New Roman" w:eastAsia="Times New Roman" w:hAnsi="Times New Roman" w:cs="Times New Roman"/>
                <w:color w:val="000000"/>
                <w:sz w:val="20"/>
                <w:szCs w:val="20"/>
              </w:rPr>
              <w:t>PM 2.5 indoor</w:t>
            </w:r>
          </w:p>
        </w:tc>
        <w:tc>
          <w:tcPr>
            <w:tcW w:w="2022" w:type="dxa"/>
            <w:noWrap/>
            <w:vAlign w:val="bottom"/>
            <w:hideMark/>
          </w:tcPr>
          <w:p w14:paraId="0ED6D25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-0.08 [-0.12; -0.04]</w:t>
            </w:r>
          </w:p>
        </w:tc>
        <w:tc>
          <w:tcPr>
            <w:tcW w:w="960" w:type="dxa"/>
            <w:noWrap/>
            <w:vAlign w:val="bottom"/>
            <w:hideMark/>
          </w:tcPr>
          <w:p w14:paraId="624F988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c>
          <w:tcPr>
            <w:tcW w:w="1319" w:type="dxa"/>
            <w:noWrap/>
            <w:vAlign w:val="bottom"/>
            <w:hideMark/>
          </w:tcPr>
          <w:p w14:paraId="229CA10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w:t>
            </w:r>
          </w:p>
        </w:tc>
      </w:tr>
      <w:tr w:rsidR="007C7F94" w:rsidRPr="008A5C48" w14:paraId="0C2B37C2" w14:textId="77777777" w:rsidTr="002F5E03">
        <w:trPr>
          <w:trHeight w:val="288"/>
        </w:trPr>
        <w:tc>
          <w:tcPr>
            <w:tcW w:w="3128" w:type="dxa"/>
            <w:noWrap/>
            <w:vAlign w:val="bottom"/>
            <w:hideMark/>
          </w:tcPr>
          <w:p w14:paraId="18E2ABE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PM absorbance indoor</w:t>
            </w:r>
          </w:p>
        </w:tc>
        <w:tc>
          <w:tcPr>
            <w:tcW w:w="2022" w:type="dxa"/>
            <w:noWrap/>
            <w:vAlign w:val="bottom"/>
            <w:hideMark/>
          </w:tcPr>
          <w:p w14:paraId="4AEAA4A6"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-0.06 [-0.1; -0.01]</w:t>
            </w:r>
          </w:p>
        </w:tc>
        <w:tc>
          <w:tcPr>
            <w:tcW w:w="960" w:type="dxa"/>
            <w:noWrap/>
            <w:vAlign w:val="bottom"/>
            <w:hideMark/>
          </w:tcPr>
          <w:p w14:paraId="26BB505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w:t>
            </w:r>
          </w:p>
        </w:tc>
        <w:tc>
          <w:tcPr>
            <w:tcW w:w="1319" w:type="dxa"/>
            <w:noWrap/>
            <w:vAlign w:val="bottom"/>
            <w:hideMark/>
          </w:tcPr>
          <w:p w14:paraId="7B050F5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0,62</w:t>
            </w:r>
          </w:p>
        </w:tc>
      </w:tr>
      <w:tr w:rsidR="007C7F94" w:rsidRPr="008A5C48" w14:paraId="3E801ABB" w14:textId="77777777" w:rsidTr="002F5E03">
        <w:trPr>
          <w:trHeight w:val="288"/>
        </w:trPr>
        <w:tc>
          <w:tcPr>
            <w:tcW w:w="3128" w:type="dxa"/>
            <w:noWrap/>
            <w:vAlign w:val="bottom"/>
            <w:hideMark/>
          </w:tcPr>
          <w:p w14:paraId="7106C05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BPA</w:t>
            </w:r>
          </w:p>
        </w:tc>
        <w:tc>
          <w:tcPr>
            <w:tcW w:w="2022" w:type="dxa"/>
            <w:noWrap/>
            <w:vAlign w:val="bottom"/>
            <w:hideMark/>
          </w:tcPr>
          <w:p w14:paraId="2B0E235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[-0.02; 0.06]</w:t>
            </w:r>
          </w:p>
        </w:tc>
        <w:tc>
          <w:tcPr>
            <w:tcW w:w="960" w:type="dxa"/>
            <w:noWrap/>
            <w:vAlign w:val="bottom"/>
            <w:hideMark/>
          </w:tcPr>
          <w:p w14:paraId="586EE17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0,42</w:t>
            </w:r>
          </w:p>
        </w:tc>
        <w:tc>
          <w:tcPr>
            <w:tcW w:w="1319" w:type="dxa"/>
            <w:noWrap/>
            <w:vAlign w:val="bottom"/>
            <w:hideMark/>
          </w:tcPr>
          <w:p w14:paraId="30CCDE7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DB861F0" w14:textId="77777777" w:rsidTr="002F5E03">
        <w:trPr>
          <w:trHeight w:val="288"/>
        </w:trPr>
        <w:tc>
          <w:tcPr>
            <w:tcW w:w="3128" w:type="dxa"/>
            <w:noWrap/>
            <w:vAlign w:val="bottom"/>
            <w:hideMark/>
          </w:tcPr>
          <w:p w14:paraId="538E500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BUPA</w:t>
            </w:r>
          </w:p>
        </w:tc>
        <w:tc>
          <w:tcPr>
            <w:tcW w:w="2022" w:type="dxa"/>
            <w:noWrap/>
            <w:vAlign w:val="bottom"/>
            <w:hideMark/>
          </w:tcPr>
          <w:p w14:paraId="15A1CD9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[-0.03; 0.04]</w:t>
            </w:r>
          </w:p>
        </w:tc>
        <w:tc>
          <w:tcPr>
            <w:tcW w:w="960" w:type="dxa"/>
            <w:noWrap/>
            <w:vAlign w:val="bottom"/>
            <w:hideMark/>
          </w:tcPr>
          <w:p w14:paraId="7B586BD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0,80</w:t>
            </w:r>
          </w:p>
        </w:tc>
        <w:tc>
          <w:tcPr>
            <w:tcW w:w="1319" w:type="dxa"/>
            <w:noWrap/>
            <w:vAlign w:val="bottom"/>
            <w:hideMark/>
          </w:tcPr>
          <w:p w14:paraId="0A2E4FC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8D2B666" w14:textId="77777777" w:rsidTr="002F5E03">
        <w:trPr>
          <w:trHeight w:val="288"/>
        </w:trPr>
        <w:tc>
          <w:tcPr>
            <w:tcW w:w="3128" w:type="dxa"/>
            <w:noWrap/>
            <w:vAlign w:val="bottom"/>
            <w:hideMark/>
          </w:tcPr>
          <w:p w14:paraId="1591EE56"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OXBE</w:t>
            </w:r>
          </w:p>
        </w:tc>
        <w:tc>
          <w:tcPr>
            <w:tcW w:w="2022" w:type="dxa"/>
            <w:noWrap/>
            <w:vAlign w:val="bottom"/>
            <w:hideMark/>
          </w:tcPr>
          <w:p w14:paraId="1A710AE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[-0.06; 0.05]</w:t>
            </w:r>
          </w:p>
        </w:tc>
        <w:tc>
          <w:tcPr>
            <w:tcW w:w="960" w:type="dxa"/>
            <w:noWrap/>
            <w:vAlign w:val="bottom"/>
            <w:hideMark/>
          </w:tcPr>
          <w:p w14:paraId="7DBCC39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0,86</w:t>
            </w:r>
          </w:p>
        </w:tc>
        <w:tc>
          <w:tcPr>
            <w:tcW w:w="1319" w:type="dxa"/>
            <w:noWrap/>
            <w:vAlign w:val="bottom"/>
            <w:hideMark/>
          </w:tcPr>
          <w:p w14:paraId="4DA973F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587BBE7" w14:textId="77777777" w:rsidTr="002F5E03">
        <w:trPr>
          <w:trHeight w:val="288"/>
        </w:trPr>
        <w:tc>
          <w:tcPr>
            <w:tcW w:w="3128" w:type="dxa"/>
            <w:noWrap/>
            <w:vAlign w:val="bottom"/>
            <w:hideMark/>
          </w:tcPr>
          <w:p w14:paraId="46AC67E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TRCS</w:t>
            </w:r>
          </w:p>
        </w:tc>
        <w:tc>
          <w:tcPr>
            <w:tcW w:w="2022" w:type="dxa"/>
            <w:noWrap/>
            <w:vAlign w:val="bottom"/>
            <w:hideMark/>
          </w:tcPr>
          <w:p w14:paraId="5F1BFF7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[-0.06; 0.03]</w:t>
            </w:r>
          </w:p>
        </w:tc>
        <w:tc>
          <w:tcPr>
            <w:tcW w:w="960" w:type="dxa"/>
            <w:noWrap/>
            <w:vAlign w:val="bottom"/>
            <w:hideMark/>
          </w:tcPr>
          <w:p w14:paraId="502512B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0,60</w:t>
            </w:r>
          </w:p>
        </w:tc>
        <w:tc>
          <w:tcPr>
            <w:tcW w:w="1319" w:type="dxa"/>
            <w:noWrap/>
            <w:vAlign w:val="bottom"/>
            <w:hideMark/>
          </w:tcPr>
          <w:p w14:paraId="394BA1B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3AC202E" w14:textId="77777777" w:rsidTr="002F5E03">
        <w:trPr>
          <w:trHeight w:val="288"/>
        </w:trPr>
        <w:tc>
          <w:tcPr>
            <w:tcW w:w="3128" w:type="dxa"/>
            <w:noWrap/>
            <w:vAlign w:val="bottom"/>
            <w:hideMark/>
          </w:tcPr>
          <w:p w14:paraId="63405F4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ETPA</w:t>
            </w:r>
          </w:p>
        </w:tc>
        <w:tc>
          <w:tcPr>
            <w:tcW w:w="2022" w:type="dxa"/>
            <w:noWrap/>
            <w:vAlign w:val="bottom"/>
            <w:hideMark/>
          </w:tcPr>
          <w:p w14:paraId="37937F1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[-0.05; 0]</w:t>
            </w:r>
          </w:p>
        </w:tc>
        <w:tc>
          <w:tcPr>
            <w:tcW w:w="960" w:type="dxa"/>
            <w:noWrap/>
            <w:vAlign w:val="bottom"/>
            <w:hideMark/>
          </w:tcPr>
          <w:p w14:paraId="307F182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0,10</w:t>
            </w:r>
          </w:p>
        </w:tc>
        <w:tc>
          <w:tcPr>
            <w:tcW w:w="1319" w:type="dxa"/>
            <w:noWrap/>
            <w:vAlign w:val="bottom"/>
            <w:hideMark/>
          </w:tcPr>
          <w:p w14:paraId="16CD791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D8DD1F1" w14:textId="77777777" w:rsidTr="002F5E03">
        <w:trPr>
          <w:trHeight w:val="288"/>
        </w:trPr>
        <w:tc>
          <w:tcPr>
            <w:tcW w:w="3128" w:type="dxa"/>
            <w:noWrap/>
            <w:vAlign w:val="bottom"/>
            <w:hideMark/>
          </w:tcPr>
          <w:p w14:paraId="5D5B6BF6"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MEPA</w:t>
            </w:r>
          </w:p>
        </w:tc>
        <w:tc>
          <w:tcPr>
            <w:tcW w:w="2022" w:type="dxa"/>
            <w:noWrap/>
            <w:vAlign w:val="bottom"/>
            <w:hideMark/>
          </w:tcPr>
          <w:p w14:paraId="1749A1B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-0.05 [-0.09; -0.01]</w:t>
            </w:r>
          </w:p>
        </w:tc>
        <w:tc>
          <w:tcPr>
            <w:tcW w:w="960" w:type="dxa"/>
            <w:noWrap/>
            <w:vAlign w:val="bottom"/>
            <w:hideMark/>
          </w:tcPr>
          <w:p w14:paraId="7ECEED02"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w:t>
            </w:r>
          </w:p>
        </w:tc>
        <w:tc>
          <w:tcPr>
            <w:tcW w:w="1319" w:type="dxa"/>
            <w:noWrap/>
            <w:vAlign w:val="bottom"/>
            <w:hideMark/>
          </w:tcPr>
          <w:p w14:paraId="636750A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3DC47387" w14:textId="77777777" w:rsidTr="002F5E03">
        <w:trPr>
          <w:trHeight w:val="288"/>
        </w:trPr>
        <w:tc>
          <w:tcPr>
            <w:tcW w:w="3128" w:type="dxa"/>
            <w:noWrap/>
            <w:vAlign w:val="bottom"/>
            <w:hideMark/>
          </w:tcPr>
          <w:p w14:paraId="14BBB1AB"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MBZP</w:t>
            </w:r>
          </w:p>
        </w:tc>
        <w:tc>
          <w:tcPr>
            <w:tcW w:w="2022" w:type="dxa"/>
            <w:noWrap/>
            <w:vAlign w:val="bottom"/>
            <w:hideMark/>
          </w:tcPr>
          <w:p w14:paraId="7F9B998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[-0.04; 0.04]</w:t>
            </w:r>
          </w:p>
        </w:tc>
        <w:tc>
          <w:tcPr>
            <w:tcW w:w="960" w:type="dxa"/>
            <w:noWrap/>
            <w:vAlign w:val="bottom"/>
            <w:hideMark/>
          </w:tcPr>
          <w:p w14:paraId="0F5EAB6A"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0,99</w:t>
            </w:r>
          </w:p>
        </w:tc>
        <w:tc>
          <w:tcPr>
            <w:tcW w:w="1319" w:type="dxa"/>
            <w:noWrap/>
            <w:vAlign w:val="bottom"/>
            <w:hideMark/>
          </w:tcPr>
          <w:p w14:paraId="3DE2B84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8807BA6" w14:textId="77777777" w:rsidTr="002F5E03">
        <w:trPr>
          <w:trHeight w:val="288"/>
        </w:trPr>
        <w:tc>
          <w:tcPr>
            <w:tcW w:w="3128" w:type="dxa"/>
            <w:noWrap/>
            <w:vAlign w:val="bottom"/>
            <w:hideMark/>
          </w:tcPr>
          <w:p w14:paraId="3490E5E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proofErr w:type="spellStart"/>
            <w:r w:rsidRPr="008A5C48">
              <w:rPr>
                <w:rFonts w:ascii="Times New Roman" w:eastAsia="Times New Roman" w:hAnsi="Times New Roman" w:cs="Times New Roman"/>
                <w:color w:val="000000"/>
                <w:sz w:val="20"/>
                <w:szCs w:val="20"/>
              </w:rPr>
              <w:t>SumDEHP</w:t>
            </w:r>
            <w:proofErr w:type="spellEnd"/>
          </w:p>
        </w:tc>
        <w:tc>
          <w:tcPr>
            <w:tcW w:w="2022" w:type="dxa"/>
            <w:noWrap/>
            <w:vAlign w:val="bottom"/>
            <w:hideMark/>
          </w:tcPr>
          <w:p w14:paraId="35D16D7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[-0.09; 0.02]</w:t>
            </w:r>
          </w:p>
        </w:tc>
        <w:tc>
          <w:tcPr>
            <w:tcW w:w="960" w:type="dxa"/>
            <w:noWrap/>
            <w:vAlign w:val="bottom"/>
            <w:hideMark/>
          </w:tcPr>
          <w:p w14:paraId="3E6078A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0,19</w:t>
            </w:r>
          </w:p>
        </w:tc>
        <w:tc>
          <w:tcPr>
            <w:tcW w:w="1319" w:type="dxa"/>
            <w:noWrap/>
            <w:vAlign w:val="bottom"/>
            <w:hideMark/>
          </w:tcPr>
          <w:p w14:paraId="1602123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EAAE9BB" w14:textId="77777777" w:rsidTr="002F5E03">
        <w:trPr>
          <w:trHeight w:val="288"/>
        </w:trPr>
        <w:tc>
          <w:tcPr>
            <w:tcW w:w="3128" w:type="dxa"/>
            <w:noWrap/>
            <w:vAlign w:val="bottom"/>
            <w:hideMark/>
          </w:tcPr>
          <w:p w14:paraId="241482B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MEP</w:t>
            </w:r>
          </w:p>
        </w:tc>
        <w:tc>
          <w:tcPr>
            <w:tcW w:w="2022" w:type="dxa"/>
            <w:noWrap/>
            <w:vAlign w:val="bottom"/>
            <w:hideMark/>
          </w:tcPr>
          <w:p w14:paraId="41E6B60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[-0.07; 0.05]</w:t>
            </w:r>
          </w:p>
        </w:tc>
        <w:tc>
          <w:tcPr>
            <w:tcW w:w="960" w:type="dxa"/>
            <w:noWrap/>
            <w:vAlign w:val="bottom"/>
            <w:hideMark/>
          </w:tcPr>
          <w:p w14:paraId="4AE178A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0,70</w:t>
            </w:r>
          </w:p>
        </w:tc>
        <w:tc>
          <w:tcPr>
            <w:tcW w:w="1319" w:type="dxa"/>
            <w:noWrap/>
            <w:vAlign w:val="bottom"/>
            <w:hideMark/>
          </w:tcPr>
          <w:p w14:paraId="46DE067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BA201DB" w14:textId="77777777" w:rsidTr="002F5E03">
        <w:trPr>
          <w:trHeight w:val="288"/>
        </w:trPr>
        <w:tc>
          <w:tcPr>
            <w:tcW w:w="3128" w:type="dxa"/>
            <w:noWrap/>
            <w:vAlign w:val="bottom"/>
            <w:hideMark/>
          </w:tcPr>
          <w:p w14:paraId="0DD5975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MIBP</w:t>
            </w:r>
          </w:p>
        </w:tc>
        <w:tc>
          <w:tcPr>
            <w:tcW w:w="2022" w:type="dxa"/>
            <w:noWrap/>
            <w:vAlign w:val="bottom"/>
            <w:hideMark/>
          </w:tcPr>
          <w:p w14:paraId="561C518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[-0.07; 0.06]</w:t>
            </w:r>
          </w:p>
        </w:tc>
        <w:tc>
          <w:tcPr>
            <w:tcW w:w="960" w:type="dxa"/>
            <w:noWrap/>
            <w:vAlign w:val="bottom"/>
            <w:hideMark/>
          </w:tcPr>
          <w:p w14:paraId="17708F3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0,90</w:t>
            </w:r>
          </w:p>
        </w:tc>
        <w:tc>
          <w:tcPr>
            <w:tcW w:w="1319" w:type="dxa"/>
            <w:noWrap/>
            <w:vAlign w:val="bottom"/>
            <w:hideMark/>
          </w:tcPr>
          <w:p w14:paraId="543335C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225DAC2" w14:textId="77777777" w:rsidTr="002F5E03">
        <w:trPr>
          <w:trHeight w:val="288"/>
        </w:trPr>
        <w:tc>
          <w:tcPr>
            <w:tcW w:w="3128" w:type="dxa"/>
            <w:noWrap/>
            <w:vAlign w:val="bottom"/>
            <w:hideMark/>
          </w:tcPr>
          <w:p w14:paraId="212E191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MNBP</w:t>
            </w:r>
          </w:p>
        </w:tc>
        <w:tc>
          <w:tcPr>
            <w:tcW w:w="2022" w:type="dxa"/>
            <w:noWrap/>
            <w:vAlign w:val="bottom"/>
            <w:hideMark/>
          </w:tcPr>
          <w:p w14:paraId="008605E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[-0.08; 0.04]</w:t>
            </w:r>
          </w:p>
        </w:tc>
        <w:tc>
          <w:tcPr>
            <w:tcW w:w="960" w:type="dxa"/>
            <w:noWrap/>
            <w:vAlign w:val="bottom"/>
            <w:hideMark/>
          </w:tcPr>
          <w:p w14:paraId="309CB09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0,48</w:t>
            </w:r>
          </w:p>
        </w:tc>
        <w:tc>
          <w:tcPr>
            <w:tcW w:w="1319" w:type="dxa"/>
            <w:noWrap/>
            <w:vAlign w:val="bottom"/>
            <w:hideMark/>
          </w:tcPr>
          <w:p w14:paraId="062EF2D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CE562BC" w14:textId="77777777" w:rsidTr="002F5E03">
        <w:trPr>
          <w:trHeight w:val="288"/>
        </w:trPr>
        <w:tc>
          <w:tcPr>
            <w:tcW w:w="3128" w:type="dxa"/>
            <w:noWrap/>
            <w:vAlign w:val="bottom"/>
            <w:hideMark/>
          </w:tcPr>
          <w:p w14:paraId="114627B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proofErr w:type="spellStart"/>
            <w:r w:rsidRPr="008A5C48">
              <w:rPr>
                <w:rFonts w:ascii="Times New Roman" w:eastAsia="Times New Roman" w:hAnsi="Times New Roman" w:cs="Times New Roman"/>
                <w:color w:val="000000"/>
                <w:sz w:val="20"/>
                <w:szCs w:val="20"/>
              </w:rPr>
              <w:t>SumDINP</w:t>
            </w:r>
            <w:proofErr w:type="spellEnd"/>
          </w:p>
        </w:tc>
        <w:tc>
          <w:tcPr>
            <w:tcW w:w="2022" w:type="dxa"/>
            <w:noWrap/>
            <w:vAlign w:val="bottom"/>
            <w:hideMark/>
          </w:tcPr>
          <w:p w14:paraId="4B6E9AE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 [-0.07; 0.01]</w:t>
            </w:r>
          </w:p>
        </w:tc>
        <w:tc>
          <w:tcPr>
            <w:tcW w:w="960" w:type="dxa"/>
            <w:noWrap/>
            <w:vAlign w:val="bottom"/>
            <w:hideMark/>
          </w:tcPr>
          <w:p w14:paraId="6D3980A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0,20</w:t>
            </w:r>
          </w:p>
        </w:tc>
        <w:tc>
          <w:tcPr>
            <w:tcW w:w="1319" w:type="dxa"/>
            <w:noWrap/>
            <w:vAlign w:val="bottom"/>
            <w:hideMark/>
          </w:tcPr>
          <w:p w14:paraId="520AA193"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399E0B32" w14:textId="77777777" w:rsidTr="002F5E03">
        <w:trPr>
          <w:trHeight w:val="288"/>
        </w:trPr>
        <w:tc>
          <w:tcPr>
            <w:tcW w:w="3128" w:type="dxa"/>
            <w:noWrap/>
            <w:vAlign w:val="bottom"/>
            <w:hideMark/>
          </w:tcPr>
          <w:p w14:paraId="0709BA7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K</w:t>
            </w:r>
          </w:p>
        </w:tc>
        <w:tc>
          <w:tcPr>
            <w:tcW w:w="2022" w:type="dxa"/>
            <w:noWrap/>
            <w:vAlign w:val="bottom"/>
            <w:hideMark/>
          </w:tcPr>
          <w:p w14:paraId="1B42232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[-0.06; 0.06]</w:t>
            </w:r>
          </w:p>
        </w:tc>
        <w:tc>
          <w:tcPr>
            <w:tcW w:w="960" w:type="dxa"/>
            <w:noWrap/>
            <w:vAlign w:val="bottom"/>
            <w:hideMark/>
          </w:tcPr>
          <w:p w14:paraId="534B0EB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0,94</w:t>
            </w:r>
          </w:p>
        </w:tc>
        <w:tc>
          <w:tcPr>
            <w:tcW w:w="1319" w:type="dxa"/>
            <w:noWrap/>
            <w:vAlign w:val="bottom"/>
            <w:hideMark/>
          </w:tcPr>
          <w:p w14:paraId="01807F3D"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DA0CD4B" w14:textId="77777777" w:rsidTr="002F5E03">
        <w:trPr>
          <w:trHeight w:val="288"/>
        </w:trPr>
        <w:tc>
          <w:tcPr>
            <w:tcW w:w="3128" w:type="dxa"/>
            <w:noWrap/>
            <w:vAlign w:val="bottom"/>
            <w:hideMark/>
          </w:tcPr>
          <w:p w14:paraId="7F20544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Mg</w:t>
            </w:r>
          </w:p>
        </w:tc>
        <w:tc>
          <w:tcPr>
            <w:tcW w:w="2022" w:type="dxa"/>
            <w:noWrap/>
            <w:vAlign w:val="bottom"/>
            <w:hideMark/>
          </w:tcPr>
          <w:p w14:paraId="164F232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[-0.05; 0.04]</w:t>
            </w:r>
          </w:p>
        </w:tc>
        <w:tc>
          <w:tcPr>
            <w:tcW w:w="960" w:type="dxa"/>
            <w:noWrap/>
            <w:vAlign w:val="bottom"/>
            <w:hideMark/>
          </w:tcPr>
          <w:p w14:paraId="750481E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0,91</w:t>
            </w:r>
          </w:p>
        </w:tc>
        <w:tc>
          <w:tcPr>
            <w:tcW w:w="1319" w:type="dxa"/>
            <w:noWrap/>
            <w:vAlign w:val="bottom"/>
            <w:hideMark/>
          </w:tcPr>
          <w:p w14:paraId="48F7987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A1B9ABE" w14:textId="77777777" w:rsidTr="002F5E03">
        <w:trPr>
          <w:trHeight w:val="288"/>
        </w:trPr>
        <w:tc>
          <w:tcPr>
            <w:tcW w:w="3128" w:type="dxa"/>
            <w:noWrap/>
            <w:vAlign w:val="bottom"/>
            <w:hideMark/>
          </w:tcPr>
          <w:p w14:paraId="7CF09BB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Na</w:t>
            </w:r>
          </w:p>
        </w:tc>
        <w:tc>
          <w:tcPr>
            <w:tcW w:w="2022" w:type="dxa"/>
            <w:noWrap/>
            <w:vAlign w:val="bottom"/>
            <w:hideMark/>
          </w:tcPr>
          <w:p w14:paraId="3591F99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0.05 [0.01; 0.09]</w:t>
            </w:r>
          </w:p>
        </w:tc>
        <w:tc>
          <w:tcPr>
            <w:tcW w:w="960" w:type="dxa"/>
            <w:noWrap/>
            <w:vAlign w:val="bottom"/>
            <w:hideMark/>
          </w:tcPr>
          <w:p w14:paraId="3C22094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w:t>
            </w:r>
          </w:p>
        </w:tc>
        <w:tc>
          <w:tcPr>
            <w:tcW w:w="1319" w:type="dxa"/>
            <w:noWrap/>
            <w:vAlign w:val="bottom"/>
            <w:hideMark/>
          </w:tcPr>
          <w:p w14:paraId="00CAAB5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0,54</w:t>
            </w:r>
          </w:p>
        </w:tc>
      </w:tr>
      <w:tr w:rsidR="007C7F94" w:rsidRPr="008A5C48" w14:paraId="29A07942" w14:textId="77777777" w:rsidTr="002F5E03">
        <w:trPr>
          <w:trHeight w:val="288"/>
        </w:trPr>
        <w:tc>
          <w:tcPr>
            <w:tcW w:w="3128" w:type="dxa"/>
            <w:noWrap/>
            <w:vAlign w:val="bottom"/>
            <w:hideMark/>
          </w:tcPr>
          <w:p w14:paraId="100C541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Se</w:t>
            </w:r>
          </w:p>
        </w:tc>
        <w:tc>
          <w:tcPr>
            <w:tcW w:w="2022" w:type="dxa"/>
            <w:noWrap/>
            <w:vAlign w:val="bottom"/>
            <w:hideMark/>
          </w:tcPr>
          <w:p w14:paraId="4402353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-0.12 [-0.17; -0.07]</w:t>
            </w:r>
          </w:p>
        </w:tc>
        <w:tc>
          <w:tcPr>
            <w:tcW w:w="960" w:type="dxa"/>
            <w:noWrap/>
            <w:vAlign w:val="bottom"/>
            <w:hideMark/>
          </w:tcPr>
          <w:p w14:paraId="23C16B4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c>
          <w:tcPr>
            <w:tcW w:w="1319" w:type="dxa"/>
            <w:noWrap/>
            <w:vAlign w:val="bottom"/>
            <w:hideMark/>
          </w:tcPr>
          <w:p w14:paraId="4E3D883D"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r>
      <w:tr w:rsidR="007C7F94" w:rsidRPr="008A5C48" w14:paraId="346B8DF6" w14:textId="77777777" w:rsidTr="002F5E03">
        <w:trPr>
          <w:trHeight w:val="288"/>
        </w:trPr>
        <w:tc>
          <w:tcPr>
            <w:tcW w:w="3128" w:type="dxa"/>
            <w:noWrap/>
            <w:vAlign w:val="bottom"/>
            <w:hideMark/>
          </w:tcPr>
          <w:p w14:paraId="0C589E70"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Zn</w:t>
            </w:r>
          </w:p>
        </w:tc>
        <w:tc>
          <w:tcPr>
            <w:tcW w:w="2022" w:type="dxa"/>
            <w:noWrap/>
            <w:vAlign w:val="bottom"/>
            <w:hideMark/>
          </w:tcPr>
          <w:p w14:paraId="3EC2F0C6"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[-0.05; 0.09]</w:t>
            </w:r>
          </w:p>
        </w:tc>
        <w:tc>
          <w:tcPr>
            <w:tcW w:w="960" w:type="dxa"/>
            <w:noWrap/>
            <w:vAlign w:val="bottom"/>
            <w:hideMark/>
          </w:tcPr>
          <w:p w14:paraId="579BBDB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0,61</w:t>
            </w:r>
          </w:p>
        </w:tc>
        <w:tc>
          <w:tcPr>
            <w:tcW w:w="1319" w:type="dxa"/>
            <w:noWrap/>
            <w:vAlign w:val="bottom"/>
            <w:hideMark/>
          </w:tcPr>
          <w:p w14:paraId="0CC9CA8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1ACB7B6B" w14:textId="77777777" w:rsidTr="002F5E03">
        <w:trPr>
          <w:trHeight w:val="288"/>
        </w:trPr>
        <w:tc>
          <w:tcPr>
            <w:tcW w:w="3128" w:type="dxa"/>
            <w:noWrap/>
            <w:vAlign w:val="bottom"/>
            <w:hideMark/>
          </w:tcPr>
          <w:p w14:paraId="1D31E5F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Cd</w:t>
            </w:r>
          </w:p>
        </w:tc>
        <w:tc>
          <w:tcPr>
            <w:tcW w:w="2022" w:type="dxa"/>
            <w:noWrap/>
            <w:vAlign w:val="bottom"/>
            <w:hideMark/>
          </w:tcPr>
          <w:p w14:paraId="1E4F24A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[-0.06; 0.07]</w:t>
            </w:r>
          </w:p>
        </w:tc>
        <w:tc>
          <w:tcPr>
            <w:tcW w:w="960" w:type="dxa"/>
            <w:noWrap/>
            <w:vAlign w:val="bottom"/>
            <w:hideMark/>
          </w:tcPr>
          <w:p w14:paraId="5D3D9C77"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0,91</w:t>
            </w:r>
          </w:p>
        </w:tc>
        <w:tc>
          <w:tcPr>
            <w:tcW w:w="1319" w:type="dxa"/>
            <w:noWrap/>
            <w:vAlign w:val="bottom"/>
            <w:hideMark/>
          </w:tcPr>
          <w:p w14:paraId="1FA868D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C86A96D" w14:textId="77777777" w:rsidTr="002F5E03">
        <w:trPr>
          <w:trHeight w:val="288"/>
        </w:trPr>
        <w:tc>
          <w:tcPr>
            <w:tcW w:w="3128" w:type="dxa"/>
            <w:noWrap/>
            <w:vAlign w:val="bottom"/>
            <w:hideMark/>
          </w:tcPr>
          <w:p w14:paraId="0B4A73E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Co</w:t>
            </w:r>
          </w:p>
        </w:tc>
        <w:tc>
          <w:tcPr>
            <w:tcW w:w="2022" w:type="dxa"/>
            <w:noWrap/>
            <w:vAlign w:val="bottom"/>
            <w:hideMark/>
          </w:tcPr>
          <w:p w14:paraId="424CB84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-0.04 [-0.09; 0.01]</w:t>
            </w:r>
          </w:p>
        </w:tc>
        <w:tc>
          <w:tcPr>
            <w:tcW w:w="960" w:type="dxa"/>
            <w:noWrap/>
            <w:vAlign w:val="bottom"/>
            <w:hideMark/>
          </w:tcPr>
          <w:p w14:paraId="1445B24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0,12</w:t>
            </w:r>
          </w:p>
        </w:tc>
        <w:tc>
          <w:tcPr>
            <w:tcW w:w="1319" w:type="dxa"/>
            <w:noWrap/>
            <w:vAlign w:val="bottom"/>
            <w:hideMark/>
          </w:tcPr>
          <w:p w14:paraId="50D5937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9A5A554" w14:textId="77777777" w:rsidTr="002F5E03">
        <w:trPr>
          <w:trHeight w:val="288"/>
        </w:trPr>
        <w:tc>
          <w:tcPr>
            <w:tcW w:w="3128" w:type="dxa"/>
            <w:noWrap/>
            <w:vAlign w:val="bottom"/>
            <w:hideMark/>
          </w:tcPr>
          <w:p w14:paraId="451E7DB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Cu</w:t>
            </w:r>
          </w:p>
        </w:tc>
        <w:tc>
          <w:tcPr>
            <w:tcW w:w="2022" w:type="dxa"/>
            <w:noWrap/>
            <w:vAlign w:val="bottom"/>
            <w:hideMark/>
          </w:tcPr>
          <w:p w14:paraId="3DCA658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[-0.01; 0.05]</w:t>
            </w:r>
          </w:p>
        </w:tc>
        <w:tc>
          <w:tcPr>
            <w:tcW w:w="960" w:type="dxa"/>
            <w:noWrap/>
            <w:vAlign w:val="bottom"/>
            <w:hideMark/>
          </w:tcPr>
          <w:p w14:paraId="18A673F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0,19</w:t>
            </w:r>
          </w:p>
        </w:tc>
        <w:tc>
          <w:tcPr>
            <w:tcW w:w="1319" w:type="dxa"/>
            <w:noWrap/>
            <w:vAlign w:val="bottom"/>
            <w:hideMark/>
          </w:tcPr>
          <w:p w14:paraId="44BAB45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667FEF8" w14:textId="77777777" w:rsidTr="002F5E03">
        <w:trPr>
          <w:trHeight w:val="288"/>
        </w:trPr>
        <w:tc>
          <w:tcPr>
            <w:tcW w:w="3128" w:type="dxa"/>
            <w:noWrap/>
            <w:vAlign w:val="bottom"/>
            <w:hideMark/>
          </w:tcPr>
          <w:p w14:paraId="72C4700A"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Cs</w:t>
            </w:r>
          </w:p>
        </w:tc>
        <w:tc>
          <w:tcPr>
            <w:tcW w:w="2022" w:type="dxa"/>
            <w:noWrap/>
            <w:vAlign w:val="bottom"/>
            <w:hideMark/>
          </w:tcPr>
          <w:p w14:paraId="750B1861"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 [-0.05; 0.04]</w:t>
            </w:r>
          </w:p>
        </w:tc>
        <w:tc>
          <w:tcPr>
            <w:tcW w:w="960" w:type="dxa"/>
            <w:noWrap/>
            <w:vAlign w:val="bottom"/>
            <w:hideMark/>
          </w:tcPr>
          <w:p w14:paraId="45B33F0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0,87</w:t>
            </w:r>
          </w:p>
        </w:tc>
        <w:tc>
          <w:tcPr>
            <w:tcW w:w="1319" w:type="dxa"/>
            <w:noWrap/>
            <w:vAlign w:val="bottom"/>
            <w:hideMark/>
          </w:tcPr>
          <w:p w14:paraId="088661F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D758D4A" w14:textId="77777777" w:rsidTr="002F5E03">
        <w:trPr>
          <w:trHeight w:val="288"/>
        </w:trPr>
        <w:tc>
          <w:tcPr>
            <w:tcW w:w="3128" w:type="dxa"/>
            <w:noWrap/>
            <w:vAlign w:val="bottom"/>
            <w:hideMark/>
          </w:tcPr>
          <w:p w14:paraId="7EAD2E3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Hg</w:t>
            </w:r>
          </w:p>
        </w:tc>
        <w:tc>
          <w:tcPr>
            <w:tcW w:w="2022" w:type="dxa"/>
            <w:noWrap/>
            <w:vAlign w:val="bottom"/>
            <w:hideMark/>
          </w:tcPr>
          <w:p w14:paraId="54D2975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-0.07 [-0.21; 0.07]</w:t>
            </w:r>
          </w:p>
        </w:tc>
        <w:tc>
          <w:tcPr>
            <w:tcW w:w="960" w:type="dxa"/>
            <w:noWrap/>
            <w:vAlign w:val="bottom"/>
            <w:hideMark/>
          </w:tcPr>
          <w:p w14:paraId="2E0500F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0,32</w:t>
            </w:r>
          </w:p>
        </w:tc>
        <w:tc>
          <w:tcPr>
            <w:tcW w:w="1319" w:type="dxa"/>
            <w:noWrap/>
            <w:vAlign w:val="bottom"/>
            <w:hideMark/>
          </w:tcPr>
          <w:p w14:paraId="11037A3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7078CE8C" w14:textId="77777777" w:rsidTr="002F5E03">
        <w:trPr>
          <w:trHeight w:val="288"/>
        </w:trPr>
        <w:tc>
          <w:tcPr>
            <w:tcW w:w="3128" w:type="dxa"/>
            <w:noWrap/>
            <w:vAlign w:val="bottom"/>
            <w:hideMark/>
          </w:tcPr>
          <w:p w14:paraId="31BA37E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Mn</w:t>
            </w:r>
          </w:p>
        </w:tc>
        <w:tc>
          <w:tcPr>
            <w:tcW w:w="2022" w:type="dxa"/>
            <w:noWrap/>
            <w:vAlign w:val="bottom"/>
            <w:hideMark/>
          </w:tcPr>
          <w:p w14:paraId="4FFEB770"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0.07 [0; 0.14]</w:t>
            </w:r>
          </w:p>
        </w:tc>
        <w:tc>
          <w:tcPr>
            <w:tcW w:w="960" w:type="dxa"/>
            <w:noWrap/>
            <w:vAlign w:val="bottom"/>
            <w:hideMark/>
          </w:tcPr>
          <w:p w14:paraId="79D0117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0,06</w:t>
            </w:r>
          </w:p>
        </w:tc>
        <w:tc>
          <w:tcPr>
            <w:tcW w:w="1319" w:type="dxa"/>
            <w:noWrap/>
            <w:vAlign w:val="bottom"/>
            <w:hideMark/>
          </w:tcPr>
          <w:p w14:paraId="3E3ACA8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0729C4C5" w14:textId="77777777" w:rsidTr="002F5E03">
        <w:trPr>
          <w:trHeight w:val="288"/>
        </w:trPr>
        <w:tc>
          <w:tcPr>
            <w:tcW w:w="3128" w:type="dxa"/>
            <w:noWrap/>
            <w:vAlign w:val="bottom"/>
            <w:hideMark/>
          </w:tcPr>
          <w:p w14:paraId="6598B676"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Mo</w:t>
            </w:r>
          </w:p>
        </w:tc>
        <w:tc>
          <w:tcPr>
            <w:tcW w:w="2022" w:type="dxa"/>
            <w:noWrap/>
            <w:vAlign w:val="bottom"/>
            <w:hideMark/>
          </w:tcPr>
          <w:p w14:paraId="2E9CB26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0.06 [0.01; 0.11]</w:t>
            </w:r>
          </w:p>
        </w:tc>
        <w:tc>
          <w:tcPr>
            <w:tcW w:w="960" w:type="dxa"/>
            <w:noWrap/>
            <w:vAlign w:val="bottom"/>
            <w:hideMark/>
          </w:tcPr>
          <w:p w14:paraId="4C74AB4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w:t>
            </w:r>
          </w:p>
        </w:tc>
        <w:tc>
          <w:tcPr>
            <w:tcW w:w="1319" w:type="dxa"/>
            <w:noWrap/>
            <w:vAlign w:val="bottom"/>
            <w:hideMark/>
          </w:tcPr>
          <w:p w14:paraId="32DA98E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0,94</w:t>
            </w:r>
          </w:p>
        </w:tc>
      </w:tr>
      <w:tr w:rsidR="007C7F94" w:rsidRPr="008A5C48" w14:paraId="23C43C97" w14:textId="77777777" w:rsidTr="002F5E03">
        <w:trPr>
          <w:trHeight w:val="288"/>
        </w:trPr>
        <w:tc>
          <w:tcPr>
            <w:tcW w:w="3128" w:type="dxa"/>
            <w:noWrap/>
            <w:vAlign w:val="bottom"/>
            <w:hideMark/>
          </w:tcPr>
          <w:p w14:paraId="686E790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Pb</w:t>
            </w:r>
          </w:p>
        </w:tc>
        <w:tc>
          <w:tcPr>
            <w:tcW w:w="2022" w:type="dxa"/>
            <w:noWrap/>
            <w:vAlign w:val="bottom"/>
            <w:hideMark/>
          </w:tcPr>
          <w:p w14:paraId="7125FBF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 [0.05; 0.16]</w:t>
            </w:r>
          </w:p>
        </w:tc>
        <w:tc>
          <w:tcPr>
            <w:tcW w:w="960" w:type="dxa"/>
            <w:noWrap/>
            <w:vAlign w:val="bottom"/>
            <w:hideMark/>
          </w:tcPr>
          <w:p w14:paraId="5940780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c>
          <w:tcPr>
            <w:tcW w:w="1319" w:type="dxa"/>
            <w:noWrap/>
            <w:vAlign w:val="bottom"/>
            <w:hideMark/>
          </w:tcPr>
          <w:p w14:paraId="1949155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r>
      <w:tr w:rsidR="007C7F94" w:rsidRPr="008A5C48" w14:paraId="0BF88724" w14:textId="77777777" w:rsidTr="002F5E03">
        <w:trPr>
          <w:trHeight w:val="288"/>
        </w:trPr>
        <w:tc>
          <w:tcPr>
            <w:tcW w:w="3128" w:type="dxa"/>
            <w:noWrap/>
            <w:vAlign w:val="bottom"/>
            <w:hideMark/>
          </w:tcPr>
          <w:p w14:paraId="3A55371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Tl (detected)</w:t>
            </w:r>
          </w:p>
        </w:tc>
        <w:tc>
          <w:tcPr>
            <w:tcW w:w="2022" w:type="dxa"/>
            <w:noWrap/>
            <w:vAlign w:val="bottom"/>
            <w:hideMark/>
          </w:tcPr>
          <w:p w14:paraId="7230073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0.09 [0.03; 0.15]</w:t>
            </w:r>
          </w:p>
        </w:tc>
        <w:tc>
          <w:tcPr>
            <w:tcW w:w="960" w:type="dxa"/>
            <w:noWrap/>
            <w:vAlign w:val="bottom"/>
            <w:hideMark/>
          </w:tcPr>
          <w:p w14:paraId="37926F6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c>
          <w:tcPr>
            <w:tcW w:w="1319" w:type="dxa"/>
            <w:noWrap/>
            <w:vAlign w:val="bottom"/>
            <w:hideMark/>
          </w:tcPr>
          <w:p w14:paraId="07C782F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0,11</w:t>
            </w:r>
          </w:p>
        </w:tc>
      </w:tr>
      <w:tr w:rsidR="007C7F94" w:rsidRPr="008A5C48" w14:paraId="556026DC" w14:textId="77777777" w:rsidTr="002F5E03">
        <w:trPr>
          <w:trHeight w:val="288"/>
        </w:trPr>
        <w:tc>
          <w:tcPr>
            <w:tcW w:w="3128" w:type="dxa"/>
            <w:noWrap/>
            <w:vAlign w:val="bottom"/>
            <w:hideMark/>
          </w:tcPr>
          <w:p w14:paraId="58652D2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PFHXS</w:t>
            </w:r>
          </w:p>
        </w:tc>
        <w:tc>
          <w:tcPr>
            <w:tcW w:w="2022" w:type="dxa"/>
            <w:noWrap/>
            <w:vAlign w:val="bottom"/>
            <w:hideMark/>
          </w:tcPr>
          <w:p w14:paraId="3C81BFB4"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[-0.04; 0.02]</w:t>
            </w:r>
          </w:p>
        </w:tc>
        <w:tc>
          <w:tcPr>
            <w:tcW w:w="960" w:type="dxa"/>
            <w:noWrap/>
            <w:vAlign w:val="bottom"/>
            <w:hideMark/>
          </w:tcPr>
          <w:p w14:paraId="58A43F5F"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0,48</w:t>
            </w:r>
          </w:p>
        </w:tc>
        <w:tc>
          <w:tcPr>
            <w:tcW w:w="1319" w:type="dxa"/>
            <w:noWrap/>
            <w:vAlign w:val="bottom"/>
            <w:hideMark/>
          </w:tcPr>
          <w:p w14:paraId="301FF75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221D3DDE" w14:textId="77777777" w:rsidTr="002F5E03">
        <w:trPr>
          <w:trHeight w:val="288"/>
        </w:trPr>
        <w:tc>
          <w:tcPr>
            <w:tcW w:w="3128" w:type="dxa"/>
            <w:noWrap/>
            <w:vAlign w:val="bottom"/>
            <w:hideMark/>
          </w:tcPr>
          <w:p w14:paraId="64BF9B7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PFNA</w:t>
            </w:r>
          </w:p>
        </w:tc>
        <w:tc>
          <w:tcPr>
            <w:tcW w:w="2022" w:type="dxa"/>
            <w:noWrap/>
            <w:vAlign w:val="bottom"/>
            <w:hideMark/>
          </w:tcPr>
          <w:p w14:paraId="25BCF4E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0.02 [-0.04; 0.08]</w:t>
            </w:r>
          </w:p>
        </w:tc>
        <w:tc>
          <w:tcPr>
            <w:tcW w:w="960" w:type="dxa"/>
            <w:noWrap/>
            <w:vAlign w:val="bottom"/>
            <w:hideMark/>
          </w:tcPr>
          <w:p w14:paraId="5D0B603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0,42</w:t>
            </w:r>
          </w:p>
        </w:tc>
        <w:tc>
          <w:tcPr>
            <w:tcW w:w="1319" w:type="dxa"/>
            <w:noWrap/>
            <w:vAlign w:val="bottom"/>
            <w:hideMark/>
          </w:tcPr>
          <w:p w14:paraId="1876D6D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53B97CB" w14:textId="77777777" w:rsidTr="002F5E03">
        <w:trPr>
          <w:trHeight w:val="288"/>
        </w:trPr>
        <w:tc>
          <w:tcPr>
            <w:tcW w:w="3128" w:type="dxa"/>
            <w:noWrap/>
            <w:vAlign w:val="bottom"/>
            <w:hideMark/>
          </w:tcPr>
          <w:p w14:paraId="56DB2AD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PFOA</w:t>
            </w:r>
          </w:p>
        </w:tc>
        <w:tc>
          <w:tcPr>
            <w:tcW w:w="2022" w:type="dxa"/>
            <w:noWrap/>
            <w:vAlign w:val="bottom"/>
            <w:hideMark/>
          </w:tcPr>
          <w:p w14:paraId="3108497C"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0.15 [0.07; 0.23]</w:t>
            </w:r>
          </w:p>
        </w:tc>
        <w:tc>
          <w:tcPr>
            <w:tcW w:w="960" w:type="dxa"/>
            <w:noWrap/>
            <w:vAlign w:val="bottom"/>
            <w:hideMark/>
          </w:tcPr>
          <w:p w14:paraId="25F7F4C9"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c>
          <w:tcPr>
            <w:tcW w:w="1319" w:type="dxa"/>
            <w:noWrap/>
            <w:vAlign w:val="bottom"/>
            <w:hideMark/>
          </w:tcPr>
          <w:p w14:paraId="34769B96"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0,03</w:t>
            </w:r>
          </w:p>
        </w:tc>
      </w:tr>
      <w:tr w:rsidR="007C7F94" w:rsidRPr="008A5C48" w14:paraId="4CC6571B" w14:textId="77777777" w:rsidTr="002F5E03">
        <w:trPr>
          <w:trHeight w:val="288"/>
        </w:trPr>
        <w:tc>
          <w:tcPr>
            <w:tcW w:w="3128" w:type="dxa"/>
            <w:noWrap/>
            <w:vAlign w:val="bottom"/>
            <w:hideMark/>
          </w:tcPr>
          <w:p w14:paraId="1A3B197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PFOS</w:t>
            </w:r>
          </w:p>
        </w:tc>
        <w:tc>
          <w:tcPr>
            <w:tcW w:w="2022" w:type="dxa"/>
            <w:noWrap/>
            <w:vAlign w:val="bottom"/>
            <w:hideMark/>
          </w:tcPr>
          <w:p w14:paraId="684CD87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[-0.14; 0.15]</w:t>
            </w:r>
          </w:p>
        </w:tc>
        <w:tc>
          <w:tcPr>
            <w:tcW w:w="960" w:type="dxa"/>
            <w:noWrap/>
            <w:vAlign w:val="bottom"/>
            <w:hideMark/>
          </w:tcPr>
          <w:p w14:paraId="6718950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0,94</w:t>
            </w:r>
          </w:p>
        </w:tc>
        <w:tc>
          <w:tcPr>
            <w:tcW w:w="1319" w:type="dxa"/>
            <w:noWrap/>
            <w:vAlign w:val="bottom"/>
            <w:hideMark/>
          </w:tcPr>
          <w:p w14:paraId="351A4B4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3444089" w14:textId="77777777" w:rsidTr="002F5E03">
        <w:trPr>
          <w:trHeight w:val="288"/>
        </w:trPr>
        <w:tc>
          <w:tcPr>
            <w:tcW w:w="3128" w:type="dxa"/>
            <w:noWrap/>
            <w:vAlign w:val="bottom"/>
            <w:hideMark/>
          </w:tcPr>
          <w:p w14:paraId="700873C2"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PBDE47</w:t>
            </w:r>
          </w:p>
        </w:tc>
        <w:tc>
          <w:tcPr>
            <w:tcW w:w="2022" w:type="dxa"/>
            <w:noWrap/>
            <w:vAlign w:val="bottom"/>
            <w:hideMark/>
          </w:tcPr>
          <w:p w14:paraId="0F4DC83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0.06 [-0.08; 0.21]</w:t>
            </w:r>
          </w:p>
        </w:tc>
        <w:tc>
          <w:tcPr>
            <w:tcW w:w="960" w:type="dxa"/>
            <w:noWrap/>
            <w:vAlign w:val="bottom"/>
            <w:hideMark/>
          </w:tcPr>
          <w:p w14:paraId="3606F82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0,40</w:t>
            </w:r>
          </w:p>
        </w:tc>
        <w:tc>
          <w:tcPr>
            <w:tcW w:w="1319" w:type="dxa"/>
            <w:noWrap/>
            <w:vAlign w:val="bottom"/>
            <w:hideMark/>
          </w:tcPr>
          <w:p w14:paraId="446B4BB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66C16D8C" w14:textId="77777777" w:rsidTr="002F5E03">
        <w:trPr>
          <w:trHeight w:val="288"/>
        </w:trPr>
        <w:tc>
          <w:tcPr>
            <w:tcW w:w="3128" w:type="dxa"/>
            <w:noWrap/>
            <w:vAlign w:val="bottom"/>
            <w:hideMark/>
          </w:tcPr>
          <w:p w14:paraId="4C6CA32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Cotinine (detected)</w:t>
            </w:r>
          </w:p>
        </w:tc>
        <w:tc>
          <w:tcPr>
            <w:tcW w:w="2022" w:type="dxa"/>
            <w:noWrap/>
            <w:vAlign w:val="bottom"/>
            <w:hideMark/>
          </w:tcPr>
          <w:p w14:paraId="7EBD0CA0"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-0.05 [-0.16; 0.06]</w:t>
            </w:r>
          </w:p>
        </w:tc>
        <w:tc>
          <w:tcPr>
            <w:tcW w:w="960" w:type="dxa"/>
            <w:noWrap/>
            <w:vAlign w:val="bottom"/>
            <w:hideMark/>
          </w:tcPr>
          <w:p w14:paraId="359A4C1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0,41</w:t>
            </w:r>
          </w:p>
        </w:tc>
        <w:tc>
          <w:tcPr>
            <w:tcW w:w="1319" w:type="dxa"/>
            <w:noWrap/>
            <w:vAlign w:val="bottom"/>
            <w:hideMark/>
          </w:tcPr>
          <w:p w14:paraId="7B64D80D"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5644D2E1" w14:textId="77777777" w:rsidTr="002F5E03">
        <w:trPr>
          <w:trHeight w:val="288"/>
        </w:trPr>
        <w:tc>
          <w:tcPr>
            <w:tcW w:w="3128" w:type="dxa"/>
            <w:noWrap/>
            <w:vAlign w:val="bottom"/>
            <w:hideMark/>
          </w:tcPr>
          <w:p w14:paraId="25947365"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rPr>
              <w:t>DEP</w:t>
            </w:r>
          </w:p>
        </w:tc>
        <w:tc>
          <w:tcPr>
            <w:tcW w:w="2022" w:type="dxa"/>
            <w:noWrap/>
            <w:vAlign w:val="bottom"/>
            <w:hideMark/>
          </w:tcPr>
          <w:p w14:paraId="4B1BB3DF"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0.05 [0; 0.11]</w:t>
            </w:r>
          </w:p>
        </w:tc>
        <w:tc>
          <w:tcPr>
            <w:tcW w:w="960" w:type="dxa"/>
            <w:noWrap/>
            <w:vAlign w:val="bottom"/>
            <w:hideMark/>
          </w:tcPr>
          <w:p w14:paraId="00D0451D"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0,06</w:t>
            </w:r>
          </w:p>
        </w:tc>
        <w:tc>
          <w:tcPr>
            <w:tcW w:w="1319" w:type="dxa"/>
            <w:noWrap/>
            <w:vAlign w:val="bottom"/>
            <w:hideMark/>
          </w:tcPr>
          <w:p w14:paraId="50F8078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1C0C98AB" w14:textId="77777777" w:rsidTr="002F5E03">
        <w:trPr>
          <w:trHeight w:val="288"/>
        </w:trPr>
        <w:tc>
          <w:tcPr>
            <w:tcW w:w="3128" w:type="dxa"/>
            <w:noWrap/>
            <w:hideMark/>
          </w:tcPr>
          <w:p w14:paraId="295AE013"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DMTP</w:t>
            </w:r>
          </w:p>
        </w:tc>
        <w:tc>
          <w:tcPr>
            <w:tcW w:w="2022" w:type="dxa"/>
            <w:noWrap/>
            <w:vAlign w:val="bottom"/>
            <w:hideMark/>
          </w:tcPr>
          <w:p w14:paraId="1E5306AE"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0.01 [-0.04; 0.06]</w:t>
            </w:r>
          </w:p>
        </w:tc>
        <w:tc>
          <w:tcPr>
            <w:tcW w:w="960" w:type="dxa"/>
            <w:noWrap/>
            <w:vAlign w:val="bottom"/>
            <w:hideMark/>
          </w:tcPr>
          <w:p w14:paraId="72340984"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0,57</w:t>
            </w:r>
          </w:p>
        </w:tc>
        <w:tc>
          <w:tcPr>
            <w:tcW w:w="1319" w:type="dxa"/>
            <w:noWrap/>
            <w:vAlign w:val="bottom"/>
            <w:hideMark/>
          </w:tcPr>
          <w:p w14:paraId="515DF1A8"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1,00</w:t>
            </w:r>
          </w:p>
        </w:tc>
      </w:tr>
      <w:tr w:rsidR="007C7F94" w:rsidRPr="008A5C48" w14:paraId="4BBB5877" w14:textId="77777777" w:rsidTr="002F5E03">
        <w:trPr>
          <w:trHeight w:val="288"/>
        </w:trPr>
        <w:tc>
          <w:tcPr>
            <w:tcW w:w="3128" w:type="dxa"/>
            <w:noWrap/>
            <w:hideMark/>
          </w:tcPr>
          <w:p w14:paraId="2A499B69"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DDE</w:t>
            </w:r>
          </w:p>
        </w:tc>
        <w:tc>
          <w:tcPr>
            <w:tcW w:w="2022" w:type="dxa"/>
            <w:noWrap/>
            <w:vAlign w:val="bottom"/>
            <w:hideMark/>
          </w:tcPr>
          <w:p w14:paraId="64DBC2F7"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0.14 [0.08; 0.2]</w:t>
            </w:r>
          </w:p>
        </w:tc>
        <w:tc>
          <w:tcPr>
            <w:tcW w:w="960" w:type="dxa"/>
            <w:noWrap/>
            <w:vAlign w:val="bottom"/>
            <w:hideMark/>
          </w:tcPr>
          <w:p w14:paraId="5DD363EE"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c>
          <w:tcPr>
            <w:tcW w:w="1319" w:type="dxa"/>
            <w:noWrap/>
            <w:vAlign w:val="bottom"/>
            <w:hideMark/>
          </w:tcPr>
          <w:p w14:paraId="11AD9860"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r>
      <w:tr w:rsidR="007C7F94" w:rsidRPr="008A5C48" w14:paraId="5069BE90" w14:textId="77777777" w:rsidTr="002F5E03">
        <w:trPr>
          <w:trHeight w:val="288"/>
        </w:trPr>
        <w:tc>
          <w:tcPr>
            <w:tcW w:w="3128" w:type="dxa"/>
            <w:noWrap/>
            <w:hideMark/>
          </w:tcPr>
          <w:p w14:paraId="6D3DB2E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eastAsia="Times New Roman" w:hAnsi="Times New Roman" w:cs="Times New Roman"/>
                <w:color w:val="000000"/>
                <w:sz w:val="20"/>
                <w:szCs w:val="20"/>
                <w:lang w:val="fr-FR"/>
              </w:rPr>
              <w:t>HCB</w:t>
            </w:r>
          </w:p>
        </w:tc>
        <w:tc>
          <w:tcPr>
            <w:tcW w:w="2022" w:type="dxa"/>
            <w:noWrap/>
            <w:vAlign w:val="bottom"/>
            <w:hideMark/>
          </w:tcPr>
          <w:p w14:paraId="73055AC6"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0.14 [0.08; 0.21]</w:t>
            </w:r>
          </w:p>
        </w:tc>
        <w:tc>
          <w:tcPr>
            <w:tcW w:w="960" w:type="dxa"/>
            <w:noWrap/>
            <w:vAlign w:val="bottom"/>
            <w:hideMark/>
          </w:tcPr>
          <w:p w14:paraId="2F785EBC"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c>
          <w:tcPr>
            <w:tcW w:w="1319" w:type="dxa"/>
            <w:noWrap/>
            <w:vAlign w:val="bottom"/>
            <w:hideMark/>
          </w:tcPr>
          <w:p w14:paraId="37D70F11"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r>
      <w:tr w:rsidR="007C7F94" w:rsidRPr="008A5C48" w14:paraId="3A6E8BBC" w14:textId="77777777" w:rsidTr="002F5E03">
        <w:trPr>
          <w:trHeight w:val="288"/>
        </w:trPr>
        <w:tc>
          <w:tcPr>
            <w:tcW w:w="3128" w:type="dxa"/>
            <w:tcBorders>
              <w:bottom w:val="single" w:sz="4" w:space="0" w:color="auto"/>
            </w:tcBorders>
            <w:noWrap/>
            <w:hideMark/>
          </w:tcPr>
          <w:p w14:paraId="03C08DC8"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proofErr w:type="spellStart"/>
            <w:proofErr w:type="gramStart"/>
            <w:r w:rsidRPr="008A5C48">
              <w:rPr>
                <w:rFonts w:ascii="Times New Roman" w:eastAsia="Times New Roman" w:hAnsi="Times New Roman" w:cs="Times New Roman"/>
                <w:color w:val="000000"/>
                <w:sz w:val="20"/>
                <w:szCs w:val="20"/>
                <w:lang w:val="fr-FR"/>
              </w:rPr>
              <w:t>sumPCB</w:t>
            </w:r>
            <w:proofErr w:type="spellEnd"/>
            <w:proofErr w:type="gramEnd"/>
          </w:p>
        </w:tc>
        <w:tc>
          <w:tcPr>
            <w:tcW w:w="2022" w:type="dxa"/>
            <w:tcBorders>
              <w:bottom w:val="single" w:sz="4" w:space="0" w:color="auto"/>
            </w:tcBorders>
            <w:noWrap/>
            <w:vAlign w:val="bottom"/>
            <w:hideMark/>
          </w:tcPr>
          <w:p w14:paraId="0D0BE19D" w14:textId="77777777" w:rsidR="007C7F94" w:rsidRPr="008A5C48" w:rsidRDefault="007C7F94" w:rsidP="00FB6412">
            <w:pPr>
              <w:spacing w:after="0" w:line="240" w:lineRule="auto"/>
              <w:contextualSpacing/>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0.18 [0.1; 0.26]</w:t>
            </w:r>
          </w:p>
        </w:tc>
        <w:tc>
          <w:tcPr>
            <w:tcW w:w="960" w:type="dxa"/>
            <w:tcBorders>
              <w:bottom w:val="single" w:sz="4" w:space="0" w:color="auto"/>
            </w:tcBorders>
            <w:noWrap/>
            <w:vAlign w:val="bottom"/>
            <w:hideMark/>
          </w:tcPr>
          <w:p w14:paraId="1BDB011B"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c>
          <w:tcPr>
            <w:tcW w:w="1319" w:type="dxa"/>
            <w:tcBorders>
              <w:bottom w:val="single" w:sz="4" w:space="0" w:color="auto"/>
            </w:tcBorders>
            <w:noWrap/>
            <w:vAlign w:val="bottom"/>
            <w:hideMark/>
          </w:tcPr>
          <w:p w14:paraId="3BC61DB5" w14:textId="77777777" w:rsidR="007C7F94" w:rsidRPr="008A5C48" w:rsidRDefault="007C7F94" w:rsidP="00FB6412">
            <w:pPr>
              <w:spacing w:after="0" w:line="240" w:lineRule="auto"/>
              <w:contextualSpacing/>
              <w:jc w:val="right"/>
              <w:rPr>
                <w:rFonts w:ascii="Times New Roman" w:eastAsia="Times New Roman" w:hAnsi="Times New Roman" w:cs="Times New Roman"/>
                <w:color w:val="000000"/>
                <w:sz w:val="20"/>
                <w:szCs w:val="20"/>
                <w:lang w:val="fr-FR"/>
              </w:rPr>
            </w:pPr>
            <w:r w:rsidRPr="008A5C48">
              <w:rPr>
                <w:rFonts w:ascii="Times New Roman" w:hAnsi="Times New Roman" w:cs="Times New Roman"/>
                <w:color w:val="000000"/>
                <w:sz w:val="20"/>
                <w:szCs w:val="20"/>
              </w:rPr>
              <w:t>&lt;0,01</w:t>
            </w:r>
          </w:p>
        </w:tc>
      </w:tr>
    </w:tbl>
    <w:p w14:paraId="40CE1A3A" w14:textId="27151CDB" w:rsidR="00C63E87" w:rsidRDefault="00C63E87">
      <w:pPr>
        <w:rPr>
          <w:rFonts w:ascii="Times New Roman" w:eastAsia="Times New Roman" w:hAnsi="Times New Roman" w:cs="Times New Roman"/>
          <w:b/>
          <w:sz w:val="20"/>
          <w:szCs w:val="20"/>
        </w:rPr>
      </w:pPr>
      <w:r>
        <w:rPr>
          <w:rFonts w:ascii="Times New Roman" w:eastAsia="Times New Roman" w:hAnsi="Times New Roman" w:cs="Times New Roman"/>
          <w:b/>
          <w:sz w:val="20"/>
          <w:szCs w:val="20"/>
        </w:rPr>
        <w:br w:type="page"/>
      </w:r>
    </w:p>
    <w:p w14:paraId="705D6696" w14:textId="643BD9CE" w:rsidR="00C63E87" w:rsidRPr="00046B47" w:rsidRDefault="00C63E87" w:rsidP="00C63E87">
      <w:pPr>
        <w:pStyle w:val="Titre1"/>
        <w:rPr>
          <w:b w:val="0"/>
          <w:bCs w:val="0"/>
        </w:rPr>
      </w:pPr>
      <w:bookmarkStart w:id="104" w:name="_Toc132271601"/>
      <w:proofErr w:type="spellStart"/>
      <w:r w:rsidRPr="00110736">
        <w:rPr>
          <w:rFonts w:eastAsia="Times New Roman"/>
        </w:rPr>
        <w:lastRenderedPageBreak/>
        <w:t>eTable</w:t>
      </w:r>
      <w:proofErr w:type="spellEnd"/>
      <w:r w:rsidRPr="00110736">
        <w:rPr>
          <w:rFonts w:eastAsia="Times New Roman"/>
        </w:rPr>
        <w:t xml:space="preserve"> </w:t>
      </w:r>
      <w:r w:rsidR="00CB1193">
        <w:rPr>
          <w:rFonts w:eastAsia="Times New Roman"/>
        </w:rPr>
        <w:t>19</w:t>
      </w:r>
      <w:r w:rsidRPr="00110736">
        <w:rPr>
          <w:rFonts w:eastAsia="Times New Roman"/>
        </w:rPr>
        <w:t>.</w:t>
      </w:r>
      <w:r w:rsidRPr="00046B47">
        <w:rPr>
          <w:rFonts w:eastAsia="Times New Roman"/>
        </w:rPr>
        <w:t xml:space="preserve"> </w:t>
      </w:r>
      <w:r w:rsidRPr="00046B47">
        <w:rPr>
          <w:b w:val="0"/>
          <w:bCs w:val="0"/>
        </w:rPr>
        <w:t>Final multivariable models with and without fish consumption as a confounder (results for postnatal PFOA).</w:t>
      </w:r>
      <w:bookmarkEnd w:id="104"/>
    </w:p>
    <w:p w14:paraId="694687AF" w14:textId="77777777" w:rsidR="00C63E87" w:rsidRPr="00046B47" w:rsidRDefault="00C63E87" w:rsidP="00C63E87">
      <w:pPr>
        <w:rPr>
          <w:rFonts w:ascii="Times New Roman" w:hAnsi="Times New Roman" w:cs="Times New Roman"/>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1826"/>
        <w:gridCol w:w="984"/>
      </w:tblGrid>
      <w:tr w:rsidR="00C63E87" w:rsidRPr="00046B47" w14:paraId="38ABE42D" w14:textId="77777777" w:rsidTr="001277E7">
        <w:tc>
          <w:tcPr>
            <w:tcW w:w="4111" w:type="dxa"/>
            <w:tcBorders>
              <w:top w:val="single" w:sz="4" w:space="0" w:color="auto"/>
              <w:bottom w:val="single" w:sz="4" w:space="0" w:color="auto"/>
            </w:tcBorders>
          </w:tcPr>
          <w:p w14:paraId="4A357E0E" w14:textId="77777777" w:rsidR="00C63E87" w:rsidRPr="00046B47" w:rsidRDefault="00C63E87" w:rsidP="001277E7">
            <w:pPr>
              <w:rPr>
                <w:rFonts w:ascii="Times New Roman" w:hAnsi="Times New Roman" w:cs="Times New Roman"/>
                <w:sz w:val="20"/>
                <w:szCs w:val="20"/>
                <w:lang w:val="en-US"/>
              </w:rPr>
            </w:pPr>
          </w:p>
        </w:tc>
        <w:tc>
          <w:tcPr>
            <w:tcW w:w="1826" w:type="dxa"/>
            <w:tcBorders>
              <w:top w:val="single" w:sz="4" w:space="0" w:color="auto"/>
              <w:bottom w:val="single" w:sz="4" w:space="0" w:color="auto"/>
            </w:tcBorders>
          </w:tcPr>
          <w:p w14:paraId="0131B8C7" w14:textId="77777777" w:rsidR="00C63E87" w:rsidRPr="00046B47" w:rsidRDefault="00C63E87" w:rsidP="001277E7">
            <w:pPr>
              <w:rPr>
                <w:rFonts w:ascii="Times New Roman" w:hAnsi="Times New Roman" w:cs="Times New Roman"/>
                <w:sz w:val="20"/>
                <w:szCs w:val="20"/>
                <w:lang w:val="en-US"/>
              </w:rPr>
            </w:pPr>
            <w:r w:rsidRPr="00046B47">
              <w:rPr>
                <w:rFonts w:ascii="Times New Roman" w:hAnsi="Times New Roman" w:cs="Times New Roman"/>
                <w:sz w:val="20"/>
                <w:szCs w:val="20"/>
                <w:lang w:val="en-US"/>
              </w:rPr>
              <w:t>Estimate [CI 95%]</w:t>
            </w:r>
          </w:p>
        </w:tc>
        <w:tc>
          <w:tcPr>
            <w:tcW w:w="984" w:type="dxa"/>
            <w:tcBorders>
              <w:top w:val="single" w:sz="4" w:space="0" w:color="auto"/>
              <w:bottom w:val="single" w:sz="4" w:space="0" w:color="auto"/>
            </w:tcBorders>
          </w:tcPr>
          <w:p w14:paraId="6B8A6E07" w14:textId="77777777" w:rsidR="00C63E87" w:rsidRPr="00046B47" w:rsidRDefault="00C63E87" w:rsidP="001277E7">
            <w:pPr>
              <w:rPr>
                <w:rFonts w:ascii="Times New Roman" w:hAnsi="Times New Roman" w:cs="Times New Roman"/>
                <w:sz w:val="20"/>
                <w:szCs w:val="20"/>
                <w:lang w:val="en-US"/>
              </w:rPr>
            </w:pPr>
            <w:r w:rsidRPr="00046B47">
              <w:rPr>
                <w:rFonts w:ascii="Times New Roman" w:hAnsi="Times New Roman" w:cs="Times New Roman"/>
                <w:sz w:val="20"/>
                <w:szCs w:val="20"/>
                <w:lang w:val="en-US"/>
              </w:rPr>
              <w:t>p-value</w:t>
            </w:r>
          </w:p>
        </w:tc>
      </w:tr>
      <w:tr w:rsidR="00C63E87" w:rsidRPr="00046B47" w14:paraId="281AB683" w14:textId="77777777" w:rsidTr="001277E7">
        <w:tc>
          <w:tcPr>
            <w:tcW w:w="4111" w:type="dxa"/>
            <w:tcBorders>
              <w:top w:val="single" w:sz="4" w:space="0" w:color="auto"/>
              <w:bottom w:val="single" w:sz="4" w:space="0" w:color="auto"/>
            </w:tcBorders>
          </w:tcPr>
          <w:p w14:paraId="355D6B70" w14:textId="7207655B" w:rsidR="00C63E87" w:rsidRPr="00046B47" w:rsidRDefault="00C63E87" w:rsidP="001277E7">
            <w:pPr>
              <w:rPr>
                <w:rFonts w:ascii="Times New Roman" w:hAnsi="Times New Roman" w:cs="Times New Roman"/>
                <w:sz w:val="20"/>
                <w:szCs w:val="20"/>
                <w:vertAlign w:val="superscript"/>
                <w:lang w:val="en-US"/>
              </w:rPr>
            </w:pPr>
            <w:r w:rsidRPr="00046B47">
              <w:rPr>
                <w:rFonts w:ascii="Times New Roman" w:hAnsi="Times New Roman" w:cs="Times New Roman"/>
                <w:sz w:val="20"/>
                <w:szCs w:val="20"/>
                <w:lang w:val="en-US"/>
              </w:rPr>
              <w:t xml:space="preserve">PFOA unadjusted on fish </w:t>
            </w:r>
            <w:proofErr w:type="spellStart"/>
            <w:r w:rsidRPr="00046B47">
              <w:rPr>
                <w:rFonts w:ascii="Times New Roman" w:hAnsi="Times New Roman" w:cs="Times New Roman"/>
                <w:sz w:val="20"/>
                <w:szCs w:val="20"/>
                <w:lang w:val="en-US"/>
              </w:rPr>
              <w:t>consumption</w:t>
            </w:r>
            <w:r w:rsidR="00873369">
              <w:rPr>
                <w:rFonts w:ascii="Times New Roman" w:hAnsi="Times New Roman" w:cs="Times New Roman"/>
                <w:sz w:val="20"/>
                <w:szCs w:val="20"/>
                <w:vertAlign w:val="superscript"/>
                <w:lang w:val="en-US"/>
              </w:rPr>
              <w:t>a</w:t>
            </w:r>
            <w:proofErr w:type="spellEnd"/>
          </w:p>
        </w:tc>
        <w:tc>
          <w:tcPr>
            <w:tcW w:w="1826" w:type="dxa"/>
            <w:tcBorders>
              <w:top w:val="single" w:sz="4" w:space="0" w:color="auto"/>
              <w:bottom w:val="single" w:sz="4" w:space="0" w:color="auto"/>
            </w:tcBorders>
          </w:tcPr>
          <w:p w14:paraId="5BEF8067" w14:textId="77777777" w:rsidR="00C63E87" w:rsidRPr="00046B47" w:rsidRDefault="00C63E87" w:rsidP="001277E7">
            <w:pPr>
              <w:rPr>
                <w:rFonts w:ascii="Times New Roman" w:hAnsi="Times New Roman" w:cs="Times New Roman"/>
                <w:sz w:val="20"/>
                <w:szCs w:val="20"/>
                <w:lang w:val="en-US"/>
              </w:rPr>
            </w:pPr>
            <w:r w:rsidRPr="00046B47">
              <w:rPr>
                <w:rFonts w:ascii="Times New Roman" w:hAnsi="Times New Roman" w:cs="Times New Roman"/>
                <w:sz w:val="20"/>
                <w:szCs w:val="20"/>
                <w:lang w:val="en-US"/>
              </w:rPr>
              <w:t>0.08 [0.03; 0.13]</w:t>
            </w:r>
          </w:p>
        </w:tc>
        <w:tc>
          <w:tcPr>
            <w:tcW w:w="984" w:type="dxa"/>
            <w:tcBorders>
              <w:top w:val="single" w:sz="4" w:space="0" w:color="auto"/>
              <w:bottom w:val="single" w:sz="4" w:space="0" w:color="auto"/>
            </w:tcBorders>
          </w:tcPr>
          <w:p w14:paraId="0E1DCBA8" w14:textId="77777777" w:rsidR="00C63E87" w:rsidRPr="00046B47" w:rsidRDefault="00C63E87" w:rsidP="001277E7">
            <w:pPr>
              <w:rPr>
                <w:rFonts w:ascii="Times New Roman" w:hAnsi="Times New Roman" w:cs="Times New Roman"/>
                <w:sz w:val="20"/>
                <w:szCs w:val="20"/>
                <w:lang w:val="en-US"/>
              </w:rPr>
            </w:pPr>
            <w:r w:rsidRPr="00046B47">
              <w:rPr>
                <w:rFonts w:ascii="Times New Roman" w:hAnsi="Times New Roman" w:cs="Times New Roman"/>
                <w:sz w:val="20"/>
                <w:szCs w:val="20"/>
                <w:lang w:val="en-US"/>
              </w:rPr>
              <w:t>&lt;0.01</w:t>
            </w:r>
          </w:p>
        </w:tc>
      </w:tr>
      <w:tr w:rsidR="00C63E87" w:rsidRPr="00046B47" w14:paraId="68601C1C" w14:textId="77777777" w:rsidTr="001277E7">
        <w:tc>
          <w:tcPr>
            <w:tcW w:w="4111" w:type="dxa"/>
            <w:tcBorders>
              <w:top w:val="single" w:sz="4" w:space="0" w:color="auto"/>
              <w:bottom w:val="single" w:sz="4" w:space="0" w:color="auto"/>
            </w:tcBorders>
          </w:tcPr>
          <w:p w14:paraId="23D88833" w14:textId="20C84D25" w:rsidR="00C63E87" w:rsidRPr="00046B47" w:rsidRDefault="00C63E87" w:rsidP="001277E7">
            <w:pPr>
              <w:rPr>
                <w:rFonts w:ascii="Times New Roman" w:hAnsi="Times New Roman" w:cs="Times New Roman"/>
                <w:sz w:val="20"/>
                <w:szCs w:val="20"/>
                <w:vertAlign w:val="superscript"/>
                <w:lang w:val="en-US"/>
              </w:rPr>
            </w:pPr>
            <w:r w:rsidRPr="00046B47">
              <w:rPr>
                <w:rFonts w:ascii="Times New Roman" w:hAnsi="Times New Roman" w:cs="Times New Roman"/>
                <w:sz w:val="20"/>
                <w:szCs w:val="20"/>
                <w:lang w:val="en-US"/>
              </w:rPr>
              <w:t xml:space="preserve">PFOA adjusted on total fish </w:t>
            </w:r>
            <w:proofErr w:type="spellStart"/>
            <w:r w:rsidRPr="00046B47">
              <w:rPr>
                <w:rFonts w:ascii="Times New Roman" w:hAnsi="Times New Roman" w:cs="Times New Roman"/>
                <w:sz w:val="20"/>
                <w:szCs w:val="20"/>
                <w:lang w:val="en-US"/>
              </w:rPr>
              <w:t>consumption</w:t>
            </w:r>
            <w:r w:rsidR="00873369">
              <w:rPr>
                <w:rFonts w:ascii="Times New Roman" w:hAnsi="Times New Roman" w:cs="Times New Roman"/>
                <w:sz w:val="20"/>
                <w:szCs w:val="20"/>
                <w:vertAlign w:val="superscript"/>
                <w:lang w:val="en-US"/>
              </w:rPr>
              <w:t>b</w:t>
            </w:r>
            <w:proofErr w:type="spellEnd"/>
          </w:p>
        </w:tc>
        <w:tc>
          <w:tcPr>
            <w:tcW w:w="1826" w:type="dxa"/>
            <w:tcBorders>
              <w:top w:val="single" w:sz="4" w:space="0" w:color="auto"/>
              <w:bottom w:val="single" w:sz="4" w:space="0" w:color="auto"/>
            </w:tcBorders>
          </w:tcPr>
          <w:p w14:paraId="44EDC061" w14:textId="77777777" w:rsidR="00C63E87" w:rsidRPr="00046B47" w:rsidRDefault="00C63E87" w:rsidP="001277E7">
            <w:pPr>
              <w:rPr>
                <w:rFonts w:ascii="Times New Roman" w:hAnsi="Times New Roman" w:cs="Times New Roman"/>
                <w:sz w:val="20"/>
                <w:szCs w:val="20"/>
                <w:lang w:val="en-US"/>
              </w:rPr>
            </w:pPr>
            <w:r w:rsidRPr="00046B47">
              <w:rPr>
                <w:rFonts w:ascii="Times New Roman" w:hAnsi="Times New Roman" w:cs="Times New Roman"/>
                <w:sz w:val="20"/>
                <w:szCs w:val="20"/>
                <w:lang w:val="en-US"/>
              </w:rPr>
              <w:t>0.08 [0.03; 0.13]</w:t>
            </w:r>
          </w:p>
        </w:tc>
        <w:tc>
          <w:tcPr>
            <w:tcW w:w="984" w:type="dxa"/>
            <w:tcBorders>
              <w:top w:val="single" w:sz="4" w:space="0" w:color="auto"/>
              <w:bottom w:val="single" w:sz="4" w:space="0" w:color="auto"/>
            </w:tcBorders>
          </w:tcPr>
          <w:p w14:paraId="6FFA1763" w14:textId="22931A7D" w:rsidR="00C63E87" w:rsidRPr="00046B47" w:rsidRDefault="00C42DD2" w:rsidP="001277E7">
            <w:pPr>
              <w:rPr>
                <w:rFonts w:ascii="Times New Roman" w:hAnsi="Times New Roman" w:cs="Times New Roman"/>
                <w:sz w:val="20"/>
                <w:szCs w:val="20"/>
                <w:lang w:val="en-US"/>
              </w:rPr>
            </w:pPr>
            <w:r>
              <w:rPr>
                <w:rFonts w:ascii="Times New Roman" w:hAnsi="Times New Roman" w:cs="Times New Roman"/>
                <w:sz w:val="20"/>
                <w:szCs w:val="20"/>
                <w:lang w:val="en-US"/>
              </w:rPr>
              <w:t>&lt;0.01</w:t>
            </w:r>
          </w:p>
        </w:tc>
      </w:tr>
    </w:tbl>
    <w:p w14:paraId="29695DDA" w14:textId="25557665" w:rsidR="00873369" w:rsidRPr="00046B47" w:rsidRDefault="00873369">
      <w:pPr>
        <w:rPr>
          <w:rFonts w:ascii="Times New Roman" w:eastAsia="Times New Roman" w:hAnsi="Times New Roman" w:cs="Times New Roman"/>
          <w:bCs/>
          <w:sz w:val="20"/>
          <w:szCs w:val="20"/>
        </w:rPr>
      </w:pPr>
      <w:r>
        <w:rPr>
          <w:rFonts w:ascii="Times New Roman" w:eastAsia="Times New Roman" w:hAnsi="Times New Roman" w:cs="Times New Roman"/>
          <w:b/>
          <w:sz w:val="20"/>
          <w:szCs w:val="20"/>
        </w:rPr>
        <w:br/>
      </w:r>
      <w:r w:rsidRPr="00046B47">
        <w:rPr>
          <w:rFonts w:ascii="Times New Roman" w:eastAsia="Times New Roman" w:hAnsi="Times New Roman" w:cs="Times New Roman"/>
          <w:bCs/>
          <w:sz w:val="20"/>
          <w:szCs w:val="20"/>
        </w:rPr>
        <w:t>a: These estimates correspond to the original multivariable model presented in Table 4 of the manuscript.</w:t>
      </w:r>
      <w:r w:rsidRPr="00046B47">
        <w:rPr>
          <w:rFonts w:ascii="Times New Roman" w:eastAsia="Times New Roman" w:hAnsi="Times New Roman" w:cs="Times New Roman"/>
          <w:bCs/>
          <w:sz w:val="20"/>
          <w:szCs w:val="20"/>
        </w:rPr>
        <w:br/>
        <w:t>b: These estimates correspond to the same multivariable model to which total fish consumption was added a confounder variable.</w:t>
      </w:r>
    </w:p>
    <w:p w14:paraId="7CEE1E00" w14:textId="77777777" w:rsidR="009962BE" w:rsidRPr="00110736" w:rsidRDefault="009962BE">
      <w:pPr>
        <w:rPr>
          <w:rFonts w:ascii="Times New Roman" w:eastAsia="Times New Roman" w:hAnsi="Times New Roman" w:cs="Times New Roman"/>
          <w:b/>
          <w:sz w:val="20"/>
          <w:szCs w:val="20"/>
        </w:rPr>
      </w:pPr>
      <w:r w:rsidRPr="00110736">
        <w:rPr>
          <w:rFonts w:ascii="Times New Roman" w:eastAsia="Times New Roman" w:hAnsi="Times New Roman" w:cs="Times New Roman"/>
          <w:b/>
          <w:sz w:val="20"/>
          <w:szCs w:val="20"/>
        </w:rPr>
        <w:br w:type="page"/>
      </w:r>
    </w:p>
    <w:p w14:paraId="5601D9EA" w14:textId="7CC4338F" w:rsidR="009962BE" w:rsidRPr="007F722E" w:rsidRDefault="009962BE" w:rsidP="00046B47">
      <w:pPr>
        <w:pStyle w:val="Titre1"/>
        <w:rPr>
          <w:rFonts w:cstheme="minorBidi"/>
        </w:rPr>
      </w:pPr>
      <w:bookmarkStart w:id="105" w:name="_Toc132271602"/>
      <w:proofErr w:type="spellStart"/>
      <w:r w:rsidRPr="00040FB6">
        <w:lastRenderedPageBreak/>
        <w:t>eFigure</w:t>
      </w:r>
      <w:proofErr w:type="spellEnd"/>
      <w:r w:rsidRPr="00040FB6">
        <w:t xml:space="preserve"> 1</w:t>
      </w:r>
      <w:bookmarkStart w:id="106" w:name="_Hlk131423818"/>
      <w:r w:rsidR="00040FB6" w:rsidRPr="00040FB6">
        <w:t xml:space="preserve">. </w:t>
      </w:r>
      <w:r w:rsidRPr="00046B47">
        <w:rPr>
          <w:b w:val="0"/>
          <w:bCs w:val="0"/>
        </w:rPr>
        <w:t xml:space="preserve">Variable plot - Mixed Factorial Analysis on standardized variables of mental health </w:t>
      </w:r>
      <w:bookmarkEnd w:id="106"/>
      <w:r w:rsidRPr="00046B47">
        <w:rPr>
          <w:b w:val="0"/>
          <w:bCs w:val="0"/>
        </w:rPr>
        <w:t xml:space="preserve">(Helix </w:t>
      </w:r>
      <w:proofErr w:type="spellStart"/>
      <w:r w:rsidRPr="00046B47">
        <w:rPr>
          <w:b w:val="0"/>
          <w:bCs w:val="0"/>
        </w:rPr>
        <w:t>subcohort</w:t>
      </w:r>
      <w:proofErr w:type="spellEnd"/>
      <w:r w:rsidRPr="00046B47">
        <w:rPr>
          <w:b w:val="0"/>
          <w:bCs w:val="0"/>
        </w:rPr>
        <w:t>, n=1278 with mental health data)</w:t>
      </w:r>
      <w:bookmarkEnd w:id="105"/>
    </w:p>
    <w:p w14:paraId="373A6262" w14:textId="6DE243CB" w:rsidR="00323C72" w:rsidRDefault="009962BE" w:rsidP="009962BE">
      <w:pPr>
        <w:rPr>
          <w:rFonts w:ascii="Times New Roman" w:eastAsia="Times New Roman" w:hAnsi="Times New Roman" w:cs="Times New Roman"/>
          <w:b/>
          <w:sz w:val="20"/>
          <w:szCs w:val="20"/>
        </w:rPr>
      </w:pPr>
      <w:r w:rsidRPr="00AE38CA">
        <w:rPr>
          <w:rFonts w:ascii="HelveticaNeueforSAS Light" w:hAnsi="HelveticaNeueforSAS Light"/>
          <w:noProof/>
          <w:sz w:val="20"/>
        </w:rPr>
        <w:drawing>
          <wp:inline distT="0" distB="0" distL="0" distR="0" wp14:anchorId="63F9B981" wp14:editId="7E4E6340">
            <wp:extent cx="4388944" cy="3112567"/>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FA_mental_health.png"/>
                    <pic:cNvPicPr/>
                  </pic:nvPicPr>
                  <pic:blipFill rotWithShape="1">
                    <a:blip r:embed="rId11">
                      <a:extLst>
                        <a:ext uri="{28A0092B-C50C-407E-A947-70E740481C1C}">
                          <a14:useLocalDpi xmlns:a14="http://schemas.microsoft.com/office/drawing/2010/main" val="0"/>
                        </a:ext>
                      </a:extLst>
                    </a:blip>
                    <a:srcRect t="3624"/>
                    <a:stretch/>
                  </pic:blipFill>
                  <pic:spPr bwMode="auto">
                    <a:xfrm>
                      <a:off x="0" y="0"/>
                      <a:ext cx="4408085" cy="3126142"/>
                    </a:xfrm>
                    <a:prstGeom prst="rect">
                      <a:avLst/>
                    </a:prstGeom>
                    <a:ln>
                      <a:noFill/>
                    </a:ln>
                    <a:extLst>
                      <a:ext uri="{53640926-AAD7-44D8-BBD7-CCE9431645EC}">
                        <a14:shadowObscured xmlns:a14="http://schemas.microsoft.com/office/drawing/2010/main"/>
                      </a:ext>
                    </a:extLst>
                  </pic:spPr>
                </pic:pic>
              </a:graphicData>
            </a:graphic>
          </wp:inline>
        </w:drawing>
      </w:r>
    </w:p>
    <w:p w14:paraId="6DA9F807" w14:textId="77777777" w:rsidR="00323C72" w:rsidRDefault="00323C72" w:rsidP="00323C72">
      <w:pPr>
        <w:rPr>
          <w:rFonts w:ascii="HelveticaNeueforSAS Light" w:hAnsi="HelveticaNeueforSAS Light"/>
          <w:sz w:val="20"/>
          <w:u w:val="single"/>
        </w:rPr>
      </w:pPr>
      <w:r>
        <w:rPr>
          <w:rFonts w:ascii="HelveticaNeueforSAS Light" w:hAnsi="HelveticaNeueforSAS Light"/>
          <w:sz w:val="20"/>
          <w:u w:val="single"/>
        </w:rPr>
        <w:br w:type="page"/>
      </w:r>
    </w:p>
    <w:p w14:paraId="25F3DC3F" w14:textId="5A800201" w:rsidR="00323C72" w:rsidRPr="00110736" w:rsidRDefault="00323C72">
      <w:pPr>
        <w:pStyle w:val="Titre1"/>
        <w:rPr>
          <w:b w:val="0"/>
          <w:bCs w:val="0"/>
        </w:rPr>
      </w:pPr>
      <w:bookmarkStart w:id="107" w:name="_Toc132271603"/>
      <w:proofErr w:type="spellStart"/>
      <w:r w:rsidRPr="00110736">
        <w:lastRenderedPageBreak/>
        <w:t>eFigure</w:t>
      </w:r>
      <w:proofErr w:type="spellEnd"/>
      <w:r w:rsidRPr="00110736">
        <w:t xml:space="preserve"> 2</w:t>
      </w:r>
      <w:r w:rsidR="00040FB6" w:rsidRPr="00110736">
        <w:t>.</w:t>
      </w:r>
      <w:r w:rsidRPr="00046B47">
        <w:rPr>
          <w:b w:val="0"/>
          <w:bCs w:val="0"/>
        </w:rPr>
        <w:t xml:space="preserve"> Variable plots - Mixed Factorial Analysis on standardized variables of respiratory health and allergies (Helix </w:t>
      </w:r>
      <w:proofErr w:type="spellStart"/>
      <w:r w:rsidRPr="00046B47">
        <w:rPr>
          <w:b w:val="0"/>
          <w:bCs w:val="0"/>
        </w:rPr>
        <w:t>subcohort</w:t>
      </w:r>
      <w:proofErr w:type="spellEnd"/>
      <w:r w:rsidRPr="00046B47">
        <w:rPr>
          <w:b w:val="0"/>
          <w:bCs w:val="0"/>
        </w:rPr>
        <w:t>, n=1009 with respiratory and allergic data)</w:t>
      </w:r>
      <w:bookmarkEnd w:id="107"/>
    </w:p>
    <w:p w14:paraId="7BD9D061" w14:textId="77777777" w:rsidR="00CF43B8" w:rsidRPr="00046B47" w:rsidRDefault="00CF43B8" w:rsidP="00110736">
      <w:pPr>
        <w:rPr>
          <w:rFonts w:ascii="Times New Roman" w:hAnsi="Times New Roman" w:cs="Times New Roman"/>
          <w:sz w:val="20"/>
          <w:szCs w:val="20"/>
        </w:rPr>
      </w:pPr>
    </w:p>
    <w:p w14:paraId="1C4FAC19" w14:textId="42E4FEF5" w:rsidR="00323C72" w:rsidRPr="00046B47" w:rsidRDefault="00323C72" w:rsidP="009962BE">
      <w:pPr>
        <w:rPr>
          <w:rFonts w:ascii="Times New Roman" w:hAnsi="Times New Roman" w:cs="Times New Roman"/>
          <w:sz w:val="20"/>
          <w:szCs w:val="20"/>
          <w:u w:val="single"/>
        </w:rPr>
      </w:pPr>
      <w:r w:rsidRPr="00046B47">
        <w:rPr>
          <w:rFonts w:ascii="Times New Roman" w:hAnsi="Times New Roman" w:cs="Times New Roman"/>
          <w:sz w:val="20"/>
          <w:szCs w:val="20"/>
        </w:rPr>
        <w:t>a) Qualitative variable</w:t>
      </w:r>
      <w:r w:rsidR="00AF0969" w:rsidRPr="00046B47">
        <w:rPr>
          <w:rFonts w:ascii="Times New Roman" w:hAnsi="Times New Roman" w:cs="Times New Roman"/>
          <w:sz w:val="20"/>
          <w:szCs w:val="20"/>
        </w:rPr>
        <w:t>s</w:t>
      </w:r>
    </w:p>
    <w:p w14:paraId="3C3E94EC" w14:textId="77777777" w:rsidR="00323C72" w:rsidRPr="00046B47" w:rsidRDefault="00323C72" w:rsidP="00323C72">
      <w:pPr>
        <w:rPr>
          <w:rFonts w:ascii="Times New Roman" w:hAnsi="Times New Roman" w:cs="Times New Roman"/>
        </w:rPr>
      </w:pPr>
      <w:r w:rsidRPr="00046B47">
        <w:rPr>
          <w:rFonts w:ascii="Times New Roman" w:hAnsi="Times New Roman" w:cs="Times New Roman"/>
          <w:b/>
          <w:noProof/>
          <w:u w:val="single"/>
        </w:rPr>
        <w:drawing>
          <wp:inline distT="114300" distB="114300" distL="114300" distR="114300" wp14:anchorId="19FCB187" wp14:editId="0E333D65">
            <wp:extent cx="3714750" cy="2590483"/>
            <wp:effectExtent l="0" t="0" r="0" b="0"/>
            <wp:docPr id="4"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2"/>
                    <a:srcRect t="4573"/>
                    <a:stretch>
                      <a:fillRect/>
                    </a:stretch>
                  </pic:blipFill>
                  <pic:spPr>
                    <a:xfrm>
                      <a:off x="0" y="0"/>
                      <a:ext cx="3714750" cy="2590483"/>
                    </a:xfrm>
                    <a:prstGeom prst="rect">
                      <a:avLst/>
                    </a:prstGeom>
                    <a:ln/>
                  </pic:spPr>
                </pic:pic>
              </a:graphicData>
            </a:graphic>
          </wp:inline>
        </w:drawing>
      </w:r>
      <w:r w:rsidRPr="00046B47">
        <w:rPr>
          <w:rFonts w:ascii="Times New Roman" w:hAnsi="Times New Roman" w:cs="Times New Roman"/>
          <w:b/>
          <w:u w:val="single"/>
        </w:rPr>
        <w:br/>
      </w:r>
    </w:p>
    <w:p w14:paraId="1E32A868" w14:textId="6FA58725" w:rsidR="00323C72" w:rsidRPr="00046B47" w:rsidRDefault="00323C72" w:rsidP="00046B47">
      <w:pPr>
        <w:rPr>
          <w:rFonts w:ascii="Times New Roman" w:hAnsi="Times New Roman" w:cs="Times New Roman"/>
          <w:sz w:val="20"/>
          <w:szCs w:val="20"/>
        </w:rPr>
      </w:pPr>
      <w:r w:rsidRPr="00046B47">
        <w:rPr>
          <w:rFonts w:ascii="Times New Roman" w:hAnsi="Times New Roman" w:cs="Times New Roman"/>
          <w:sz w:val="20"/>
          <w:szCs w:val="20"/>
        </w:rPr>
        <w:t>b) Quantitative variable</w:t>
      </w:r>
    </w:p>
    <w:p w14:paraId="6A27F942" w14:textId="78E38213" w:rsidR="005157D4" w:rsidRPr="00046B47" w:rsidRDefault="00323C72" w:rsidP="009962BE">
      <w:pPr>
        <w:rPr>
          <w:rFonts w:ascii="HelveticaNeueforSAS Light" w:hAnsi="HelveticaNeueforSAS Light"/>
          <w:b/>
          <w:sz w:val="20"/>
          <w:u w:val="single"/>
        </w:rPr>
      </w:pPr>
      <w:r w:rsidRPr="00AE38CA">
        <w:rPr>
          <w:rFonts w:ascii="HelveticaNeueforSAS Light" w:hAnsi="HelveticaNeueforSAS Light"/>
          <w:b/>
          <w:noProof/>
          <w:sz w:val="20"/>
          <w:u w:val="single"/>
        </w:rPr>
        <w:drawing>
          <wp:inline distT="114300" distB="114300" distL="114300" distR="114300" wp14:anchorId="5EC70BC1" wp14:editId="151AD092">
            <wp:extent cx="4076700" cy="2861564"/>
            <wp:effectExtent l="0" t="0" r="0" b="0"/>
            <wp:docPr id="17"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3"/>
                    <a:srcRect t="4017"/>
                    <a:stretch>
                      <a:fillRect/>
                    </a:stretch>
                  </pic:blipFill>
                  <pic:spPr>
                    <a:xfrm>
                      <a:off x="0" y="0"/>
                      <a:ext cx="4076700" cy="2861564"/>
                    </a:xfrm>
                    <a:prstGeom prst="rect">
                      <a:avLst/>
                    </a:prstGeom>
                    <a:ln/>
                  </pic:spPr>
                </pic:pic>
              </a:graphicData>
            </a:graphic>
          </wp:inline>
        </w:drawing>
      </w:r>
      <w:r w:rsidR="005157D4">
        <w:rPr>
          <w:rFonts w:ascii="Times New Roman" w:eastAsia="Times New Roman" w:hAnsi="Times New Roman" w:cs="Times New Roman"/>
          <w:b/>
          <w:sz w:val="20"/>
          <w:szCs w:val="20"/>
        </w:rPr>
        <w:br w:type="page"/>
      </w:r>
    </w:p>
    <w:p w14:paraId="514D70CE" w14:textId="13A098C6" w:rsidR="005157D4" w:rsidRPr="008A5C48" w:rsidRDefault="005157D4" w:rsidP="002D561D">
      <w:pPr>
        <w:pStyle w:val="Titre1"/>
        <w:rPr>
          <w:rFonts w:eastAsia="Times New Roman"/>
        </w:rPr>
      </w:pPr>
      <w:bookmarkStart w:id="108" w:name="_Toc127358172"/>
      <w:bookmarkStart w:id="109" w:name="_Toc132271604"/>
      <w:bookmarkStart w:id="110" w:name="_Hlk127367606"/>
      <w:proofErr w:type="spellStart"/>
      <w:r w:rsidRPr="008A5C48">
        <w:rPr>
          <w:rFonts w:eastAsia="Times New Roman"/>
        </w:rPr>
        <w:lastRenderedPageBreak/>
        <w:t>eFigure</w:t>
      </w:r>
      <w:proofErr w:type="spellEnd"/>
      <w:r w:rsidRPr="008A5C48">
        <w:rPr>
          <w:rFonts w:eastAsia="Times New Roman"/>
        </w:rPr>
        <w:t xml:space="preserve"> </w:t>
      </w:r>
      <w:r w:rsidR="00A176B7">
        <w:rPr>
          <w:rFonts w:eastAsia="Times New Roman"/>
        </w:rPr>
        <w:t>3</w:t>
      </w:r>
      <w:r w:rsidRPr="008A5C48">
        <w:rPr>
          <w:rFonts w:eastAsia="Times New Roman"/>
        </w:rPr>
        <w:t>.</w:t>
      </w:r>
      <w:r w:rsidR="00B837E4">
        <w:rPr>
          <w:rFonts w:eastAsia="Times New Roman"/>
        </w:rPr>
        <w:t xml:space="preserve"> </w:t>
      </w:r>
      <w:r w:rsidRPr="009A5A4D">
        <w:rPr>
          <w:rFonts w:eastAsia="Times New Roman"/>
          <w:b w:val="0"/>
          <w:bCs w:val="0"/>
        </w:rPr>
        <w:t>Distribution of each sub-score by cohort</w:t>
      </w:r>
      <w:bookmarkEnd w:id="108"/>
      <w:bookmarkEnd w:id="109"/>
    </w:p>
    <w:bookmarkEnd w:id="110"/>
    <w:p w14:paraId="22ED78F0" w14:textId="77777777" w:rsidR="005157D4" w:rsidRPr="00205B97" w:rsidRDefault="005157D4" w:rsidP="005157D4">
      <w:pPr>
        <w:spacing w:line="240" w:lineRule="auto"/>
        <w:contextualSpacing/>
        <w:jc w:val="both"/>
        <w:rPr>
          <w:rFonts w:ascii="Times New Roman" w:eastAsia="Times New Roman" w:hAnsi="Times New Roman" w:cs="Times New Roman"/>
          <w:sz w:val="20"/>
          <w:szCs w:val="20"/>
        </w:rPr>
      </w:pPr>
      <w:r w:rsidRPr="00205B97">
        <w:rPr>
          <w:rFonts w:ascii="Times New Roman" w:eastAsia="Times New Roman" w:hAnsi="Times New Roman" w:cs="Times New Roman"/>
          <w:noProof/>
          <w:sz w:val="20"/>
          <w:szCs w:val="20"/>
        </w:rPr>
        <w:drawing>
          <wp:inline distT="0" distB="0" distL="0" distR="0" wp14:anchorId="7ACD1C8B" wp14:editId="29CD0B31">
            <wp:extent cx="3960000" cy="2084761"/>
            <wp:effectExtent l="0" t="0" r="2540" b="0"/>
            <wp:docPr id="1"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96DAC541-7B7A-43D3-8B79-37D633B846F1}">
                          <asvg:svgBlip xmlns:asvg="http://schemas.microsoft.com/office/drawing/2016/SVG/main" r:embed="rId15"/>
                        </a:ext>
                      </a:extLst>
                    </a:blip>
                    <a:stretch>
                      <a:fillRect/>
                    </a:stretch>
                  </pic:blipFill>
                  <pic:spPr>
                    <a:xfrm>
                      <a:off x="0" y="0"/>
                      <a:ext cx="3960000" cy="2084761"/>
                    </a:xfrm>
                    <a:prstGeom prst="rect">
                      <a:avLst/>
                    </a:prstGeom>
                  </pic:spPr>
                </pic:pic>
              </a:graphicData>
            </a:graphic>
          </wp:inline>
        </w:drawing>
      </w:r>
    </w:p>
    <w:p w14:paraId="0B454A76" w14:textId="77777777" w:rsidR="005157D4" w:rsidRDefault="005157D4" w:rsidP="005157D4">
      <w:pPr>
        <w:spacing w:line="240" w:lineRule="auto"/>
        <w:contextualSpacing/>
        <w:jc w:val="both"/>
        <w:rPr>
          <w:rFonts w:ascii="Times New Roman" w:eastAsia="Times New Roman" w:hAnsi="Times New Roman" w:cs="Times New Roman"/>
          <w:b/>
          <w:sz w:val="20"/>
          <w:szCs w:val="20"/>
        </w:rPr>
      </w:pPr>
    </w:p>
    <w:p w14:paraId="7C4637FA" w14:textId="77777777" w:rsidR="005157D4" w:rsidRPr="008A5C48" w:rsidRDefault="005157D4" w:rsidP="005157D4">
      <w:pPr>
        <w:spacing w:line="240" w:lineRule="auto"/>
        <w:contextualSpacing/>
        <w:jc w:val="both"/>
        <w:rPr>
          <w:rFonts w:ascii="Times New Roman" w:eastAsia="Times New Roman" w:hAnsi="Times New Roman" w:cs="Times New Roman"/>
          <w:sz w:val="20"/>
          <w:szCs w:val="20"/>
        </w:rPr>
      </w:pPr>
      <w:r w:rsidRPr="00205B97">
        <w:rPr>
          <w:noProof/>
        </w:rPr>
        <w:t xml:space="preserve"> </w:t>
      </w:r>
      <w:r w:rsidRPr="00205B97">
        <w:rPr>
          <w:noProof/>
        </w:rPr>
        <w:drawing>
          <wp:inline distT="0" distB="0" distL="0" distR="0" wp14:anchorId="3A3312AB" wp14:editId="546008FB">
            <wp:extent cx="3960000" cy="2084762"/>
            <wp:effectExtent l="0" t="0" r="2540" b="0"/>
            <wp:docPr id="5" name="Graphiqu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96DAC541-7B7A-43D3-8B79-37D633B846F1}">
                          <asvg:svgBlip xmlns:asvg="http://schemas.microsoft.com/office/drawing/2016/SVG/main" r:embed="rId17"/>
                        </a:ext>
                      </a:extLst>
                    </a:blip>
                    <a:stretch>
                      <a:fillRect/>
                    </a:stretch>
                  </pic:blipFill>
                  <pic:spPr>
                    <a:xfrm>
                      <a:off x="0" y="0"/>
                      <a:ext cx="3960000" cy="2084762"/>
                    </a:xfrm>
                    <a:prstGeom prst="rect">
                      <a:avLst/>
                    </a:prstGeom>
                  </pic:spPr>
                </pic:pic>
              </a:graphicData>
            </a:graphic>
          </wp:inline>
        </w:drawing>
      </w:r>
    </w:p>
    <w:p w14:paraId="2CDE6AFB" w14:textId="77777777" w:rsidR="005157D4" w:rsidRDefault="005157D4" w:rsidP="005157D4">
      <w:pPr>
        <w:spacing w:line="240" w:lineRule="auto"/>
        <w:contextualSpacing/>
        <w:jc w:val="both"/>
        <w:rPr>
          <w:rFonts w:ascii="Times New Roman" w:eastAsia="Times New Roman" w:hAnsi="Times New Roman" w:cs="Times New Roman"/>
          <w:b/>
          <w:sz w:val="20"/>
          <w:szCs w:val="20"/>
        </w:rPr>
      </w:pPr>
    </w:p>
    <w:p w14:paraId="6BBAEE15" w14:textId="77777777" w:rsidR="005157D4" w:rsidRPr="008A5C48" w:rsidRDefault="005157D4" w:rsidP="005157D4">
      <w:pPr>
        <w:spacing w:line="240" w:lineRule="auto"/>
        <w:contextualSpacing/>
        <w:jc w:val="both"/>
        <w:rPr>
          <w:rFonts w:ascii="Times New Roman" w:eastAsia="Times New Roman" w:hAnsi="Times New Roman" w:cs="Times New Roman"/>
          <w:b/>
          <w:sz w:val="20"/>
          <w:szCs w:val="20"/>
        </w:rPr>
      </w:pPr>
      <w:r w:rsidRPr="00205B97">
        <w:rPr>
          <w:rFonts w:ascii="Times New Roman" w:eastAsia="Times New Roman" w:hAnsi="Times New Roman" w:cs="Times New Roman"/>
          <w:noProof/>
          <w:sz w:val="20"/>
          <w:szCs w:val="20"/>
        </w:rPr>
        <w:drawing>
          <wp:inline distT="0" distB="0" distL="0" distR="0" wp14:anchorId="03455D61" wp14:editId="171BFDB3">
            <wp:extent cx="3960000" cy="2084762"/>
            <wp:effectExtent l="0" t="0" r="2540" b="0"/>
            <wp:docPr id="3" name="Graphiqu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96DAC541-7B7A-43D3-8B79-37D633B846F1}">
                          <asvg:svgBlip xmlns:asvg="http://schemas.microsoft.com/office/drawing/2016/SVG/main" r:embed="rId19"/>
                        </a:ext>
                      </a:extLst>
                    </a:blip>
                    <a:stretch>
                      <a:fillRect/>
                    </a:stretch>
                  </pic:blipFill>
                  <pic:spPr>
                    <a:xfrm>
                      <a:off x="0" y="0"/>
                      <a:ext cx="3960000" cy="2084762"/>
                    </a:xfrm>
                    <a:prstGeom prst="rect">
                      <a:avLst/>
                    </a:prstGeom>
                  </pic:spPr>
                </pic:pic>
              </a:graphicData>
            </a:graphic>
          </wp:inline>
        </w:drawing>
      </w:r>
    </w:p>
    <w:p w14:paraId="7D4C7FBB" w14:textId="77777777" w:rsidR="005157D4" w:rsidRDefault="005157D4" w:rsidP="005157D4">
      <w:pPr>
        <w:spacing w:line="240" w:lineRule="auto"/>
        <w:contextualSpacing/>
        <w:jc w:val="both"/>
        <w:rPr>
          <w:rFonts w:ascii="Times New Roman" w:eastAsia="Times New Roman" w:hAnsi="Times New Roman" w:cs="Times New Roman"/>
          <w:sz w:val="20"/>
          <w:szCs w:val="20"/>
        </w:rPr>
      </w:pPr>
    </w:p>
    <w:p w14:paraId="18B32073" w14:textId="336E8003" w:rsidR="005E717B" w:rsidRPr="009A5A4D" w:rsidRDefault="007C7F94" w:rsidP="002D561D">
      <w:pPr>
        <w:pStyle w:val="Titre1"/>
        <w:rPr>
          <w:b w:val="0"/>
          <w:bCs w:val="0"/>
        </w:rPr>
      </w:pPr>
      <w:r w:rsidRPr="00B837E4">
        <w:br w:type="page"/>
      </w:r>
      <w:bookmarkStart w:id="111" w:name="_Toc127358173"/>
      <w:bookmarkStart w:id="112" w:name="_Toc132271605"/>
      <w:bookmarkStart w:id="113" w:name="_Hlk127367615"/>
      <w:proofErr w:type="spellStart"/>
      <w:r w:rsidR="009500CF" w:rsidRPr="00B837E4">
        <w:lastRenderedPageBreak/>
        <w:t>eFigure</w:t>
      </w:r>
      <w:proofErr w:type="spellEnd"/>
      <w:r w:rsidR="00966211" w:rsidRPr="00B837E4">
        <w:t xml:space="preserve"> </w:t>
      </w:r>
      <w:r w:rsidR="00A176B7">
        <w:t>4</w:t>
      </w:r>
      <w:r w:rsidR="00966211" w:rsidRPr="00B837E4">
        <w:t xml:space="preserve">. </w:t>
      </w:r>
      <w:r w:rsidR="003A073E" w:rsidRPr="009A5A4D">
        <w:rPr>
          <w:b w:val="0"/>
          <w:bCs w:val="0"/>
        </w:rPr>
        <w:t xml:space="preserve">Multi-exposure model on postnatal exposures </w:t>
      </w:r>
      <w:r w:rsidR="00966211" w:rsidRPr="009A5A4D">
        <w:rPr>
          <w:b w:val="0"/>
          <w:bCs w:val="0"/>
        </w:rPr>
        <w:t>stratified on</w:t>
      </w:r>
      <w:r w:rsidR="005D11A4" w:rsidRPr="009A5A4D">
        <w:rPr>
          <w:b w:val="0"/>
          <w:bCs w:val="0"/>
        </w:rPr>
        <w:t xml:space="preserve"> the terciles of z-BMI.</w:t>
      </w:r>
      <w:bookmarkEnd w:id="111"/>
      <w:bookmarkEnd w:id="112"/>
    </w:p>
    <w:bookmarkEnd w:id="113"/>
    <w:p w14:paraId="52ECB413" w14:textId="4E81D90B" w:rsidR="005E717B" w:rsidRPr="008A5C48" w:rsidRDefault="0032268D" w:rsidP="00FB6412">
      <w:pPr>
        <w:spacing w:line="240" w:lineRule="auto"/>
        <w:contextualSpacing/>
        <w:rPr>
          <w:rFonts w:ascii="Times New Roman" w:eastAsia="Times New Roman" w:hAnsi="Times New Roman" w:cs="Times New Roman"/>
          <w:b/>
          <w:sz w:val="20"/>
          <w:szCs w:val="20"/>
        </w:rPr>
      </w:pPr>
      <w:r w:rsidRPr="0032268D">
        <w:rPr>
          <w:rFonts w:ascii="Times New Roman" w:eastAsia="Times New Roman" w:hAnsi="Times New Roman" w:cs="Times New Roman"/>
          <w:b/>
          <w:noProof/>
          <w:sz w:val="20"/>
          <w:szCs w:val="20"/>
        </w:rPr>
        <w:drawing>
          <wp:inline distT="0" distB="0" distL="0" distR="0" wp14:anchorId="66704DA4" wp14:editId="0D9DC7DC">
            <wp:extent cx="5760720" cy="1516380"/>
            <wp:effectExtent l="0" t="0" r="0" b="7620"/>
            <wp:docPr id="7" name="Graphiqu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96DAC541-7B7A-43D3-8B79-37D633B846F1}">
                          <asvg:svgBlip xmlns:asvg="http://schemas.microsoft.com/office/drawing/2016/SVG/main" r:embed="rId21"/>
                        </a:ext>
                      </a:extLst>
                    </a:blip>
                    <a:stretch>
                      <a:fillRect/>
                    </a:stretch>
                  </pic:blipFill>
                  <pic:spPr>
                    <a:xfrm>
                      <a:off x="0" y="0"/>
                      <a:ext cx="5760720" cy="1516380"/>
                    </a:xfrm>
                    <a:prstGeom prst="rect">
                      <a:avLst/>
                    </a:prstGeom>
                  </pic:spPr>
                </pic:pic>
              </a:graphicData>
            </a:graphic>
          </wp:inline>
        </w:drawing>
      </w:r>
    </w:p>
    <w:p w14:paraId="1066FC16" w14:textId="59E190F0" w:rsidR="0055317D" w:rsidRPr="008A5C48" w:rsidRDefault="003A073E" w:rsidP="00FB6412">
      <w:pPr>
        <w:spacing w:line="240" w:lineRule="auto"/>
        <w:contextualSpacing/>
        <w:rPr>
          <w:rFonts w:ascii="Times New Roman" w:eastAsia="Times New Roman" w:hAnsi="Times New Roman" w:cs="Times New Roman"/>
          <w:bCs/>
          <w:sz w:val="20"/>
          <w:szCs w:val="20"/>
        </w:rPr>
      </w:pPr>
      <w:r w:rsidRPr="008A5C48">
        <w:rPr>
          <w:rFonts w:ascii="Times New Roman" w:eastAsia="Times New Roman" w:hAnsi="Times New Roman" w:cs="Times New Roman"/>
          <w:bCs/>
          <w:sz w:val="20"/>
          <w:szCs w:val="20"/>
        </w:rPr>
        <w:t>Note: only results on organochlorine’s compounds are shown here as the hypothesis is that these specific compounds accumulate in fat. The whole model included all selected postnatal exposures.</w:t>
      </w:r>
    </w:p>
    <w:p w14:paraId="56DB8939" w14:textId="77777777" w:rsidR="007C7F94" w:rsidRDefault="007C7F94" w:rsidP="00FB6412">
      <w:pPr>
        <w:spacing w:line="240" w:lineRule="auto"/>
        <w:contextualSpacing/>
        <w:rPr>
          <w:rFonts w:ascii="Times New Roman" w:eastAsia="Times New Roman" w:hAnsi="Times New Roman" w:cs="Times New Roman"/>
          <w:b/>
          <w:sz w:val="20"/>
          <w:szCs w:val="20"/>
        </w:rPr>
      </w:pPr>
    </w:p>
    <w:p w14:paraId="37BEE27A" w14:textId="77777777" w:rsidR="00895FD6" w:rsidRDefault="00895FD6" w:rsidP="00FB6412">
      <w:pPr>
        <w:spacing w:line="240" w:lineRule="auto"/>
        <w:contextualSpacing/>
        <w:rPr>
          <w:rFonts w:ascii="Times New Roman" w:eastAsia="Times New Roman" w:hAnsi="Times New Roman" w:cs="Times New Roman"/>
          <w:b/>
          <w:sz w:val="20"/>
          <w:szCs w:val="20"/>
        </w:rPr>
      </w:pPr>
      <w:r>
        <w:rPr>
          <w:rFonts w:ascii="Times New Roman" w:eastAsia="Times New Roman" w:hAnsi="Times New Roman" w:cs="Times New Roman"/>
          <w:b/>
          <w:sz w:val="20"/>
          <w:szCs w:val="20"/>
        </w:rPr>
        <w:br w:type="page"/>
      </w:r>
    </w:p>
    <w:p w14:paraId="5DC523B4" w14:textId="72AC1164" w:rsidR="005E717B" w:rsidRPr="009A5A4D" w:rsidRDefault="009500CF" w:rsidP="002D561D">
      <w:pPr>
        <w:pStyle w:val="Titre1"/>
        <w:rPr>
          <w:rFonts w:eastAsia="Times New Roman"/>
          <w:b w:val="0"/>
          <w:bCs w:val="0"/>
        </w:rPr>
      </w:pPr>
      <w:bookmarkStart w:id="114" w:name="_Toc127358174"/>
      <w:bookmarkStart w:id="115" w:name="_Toc132271606"/>
      <w:bookmarkStart w:id="116" w:name="_Hlk127367623"/>
      <w:proofErr w:type="spellStart"/>
      <w:r w:rsidRPr="008A5C48">
        <w:rPr>
          <w:rFonts w:eastAsia="Times New Roman"/>
        </w:rPr>
        <w:lastRenderedPageBreak/>
        <w:t>eFigure</w:t>
      </w:r>
      <w:proofErr w:type="spellEnd"/>
      <w:r w:rsidR="00966211" w:rsidRPr="008A5C48">
        <w:rPr>
          <w:rFonts w:eastAsia="Times New Roman"/>
        </w:rPr>
        <w:t xml:space="preserve"> </w:t>
      </w:r>
      <w:r w:rsidR="00A176B7">
        <w:rPr>
          <w:rFonts w:eastAsia="Times New Roman"/>
        </w:rPr>
        <w:t>5</w:t>
      </w:r>
      <w:r w:rsidR="00966211" w:rsidRPr="008A5C48">
        <w:rPr>
          <w:rFonts w:eastAsia="Times New Roman"/>
        </w:rPr>
        <w:t xml:space="preserve">. </w:t>
      </w:r>
      <w:r w:rsidR="00966211" w:rsidRPr="009A5A4D">
        <w:rPr>
          <w:rFonts w:eastAsia="Times New Roman"/>
          <w:b w:val="0"/>
          <w:bCs w:val="0"/>
        </w:rPr>
        <w:t>Multi-exposure model on prenatal exposures stratified on sex</w:t>
      </w:r>
      <w:bookmarkEnd w:id="114"/>
      <w:bookmarkEnd w:id="115"/>
    </w:p>
    <w:bookmarkEnd w:id="116"/>
    <w:p w14:paraId="6EF79252" w14:textId="44F7BAB1" w:rsidR="005E717B" w:rsidRPr="008A5C48" w:rsidRDefault="0032268D" w:rsidP="00FB6412">
      <w:pPr>
        <w:spacing w:line="240" w:lineRule="auto"/>
        <w:contextualSpacing/>
        <w:rPr>
          <w:rFonts w:ascii="Times New Roman" w:eastAsia="Times New Roman" w:hAnsi="Times New Roman" w:cs="Times New Roman"/>
          <w:b/>
          <w:sz w:val="20"/>
          <w:szCs w:val="20"/>
        </w:rPr>
      </w:pPr>
      <w:r w:rsidRPr="0032268D">
        <w:rPr>
          <w:rFonts w:ascii="Times New Roman" w:eastAsia="Times New Roman" w:hAnsi="Times New Roman" w:cs="Times New Roman"/>
          <w:b/>
          <w:noProof/>
          <w:sz w:val="20"/>
          <w:szCs w:val="20"/>
        </w:rPr>
        <w:drawing>
          <wp:inline distT="0" distB="0" distL="0" distR="0" wp14:anchorId="6EC201CC" wp14:editId="232DB81A">
            <wp:extent cx="5760720" cy="1516380"/>
            <wp:effectExtent l="0" t="0" r="0" b="7620"/>
            <wp:docPr id="8" name="Graphiqu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96DAC541-7B7A-43D3-8B79-37D633B846F1}">
                          <asvg:svgBlip xmlns:asvg="http://schemas.microsoft.com/office/drawing/2016/SVG/main" r:embed="rId23"/>
                        </a:ext>
                      </a:extLst>
                    </a:blip>
                    <a:stretch>
                      <a:fillRect/>
                    </a:stretch>
                  </pic:blipFill>
                  <pic:spPr>
                    <a:xfrm>
                      <a:off x="0" y="0"/>
                      <a:ext cx="5760720" cy="1516380"/>
                    </a:xfrm>
                    <a:prstGeom prst="rect">
                      <a:avLst/>
                    </a:prstGeom>
                  </pic:spPr>
                </pic:pic>
              </a:graphicData>
            </a:graphic>
          </wp:inline>
        </w:drawing>
      </w:r>
    </w:p>
    <w:p w14:paraId="71D7BF57" w14:textId="77777777" w:rsidR="007C7F94" w:rsidRDefault="007C7F94" w:rsidP="00FB6412">
      <w:pPr>
        <w:spacing w:line="240" w:lineRule="auto"/>
        <w:contextualSpacing/>
        <w:rPr>
          <w:rFonts w:ascii="Times New Roman" w:eastAsia="Times New Roman" w:hAnsi="Times New Roman" w:cs="Times New Roman"/>
          <w:b/>
          <w:sz w:val="20"/>
          <w:szCs w:val="20"/>
        </w:rPr>
      </w:pPr>
      <w:r>
        <w:rPr>
          <w:rFonts w:ascii="Times New Roman" w:eastAsia="Times New Roman" w:hAnsi="Times New Roman" w:cs="Times New Roman"/>
          <w:b/>
          <w:sz w:val="20"/>
          <w:szCs w:val="20"/>
        </w:rPr>
        <w:br w:type="page"/>
      </w:r>
    </w:p>
    <w:p w14:paraId="2AB53D24" w14:textId="141E100C" w:rsidR="005E717B" w:rsidRPr="003A7E4C" w:rsidRDefault="009500CF" w:rsidP="002D561D">
      <w:pPr>
        <w:pStyle w:val="Titre1"/>
        <w:rPr>
          <w:rFonts w:eastAsia="Times New Roman"/>
          <w:b w:val="0"/>
          <w:bCs w:val="0"/>
        </w:rPr>
      </w:pPr>
      <w:bookmarkStart w:id="117" w:name="_Toc127358175"/>
      <w:bookmarkStart w:id="118" w:name="_Toc132271607"/>
      <w:proofErr w:type="spellStart"/>
      <w:r w:rsidRPr="008A5C48">
        <w:rPr>
          <w:rFonts w:eastAsia="Times New Roman"/>
        </w:rPr>
        <w:lastRenderedPageBreak/>
        <w:t>eFigure</w:t>
      </w:r>
      <w:proofErr w:type="spellEnd"/>
      <w:r w:rsidR="00966211" w:rsidRPr="008A5C48">
        <w:rPr>
          <w:rFonts w:eastAsia="Times New Roman"/>
        </w:rPr>
        <w:t xml:space="preserve"> </w:t>
      </w:r>
      <w:r w:rsidR="00040FB6">
        <w:rPr>
          <w:rFonts w:eastAsia="Times New Roman"/>
        </w:rPr>
        <w:t>6</w:t>
      </w:r>
      <w:r w:rsidR="00966211" w:rsidRPr="008A5C48">
        <w:rPr>
          <w:rFonts w:eastAsia="Times New Roman"/>
        </w:rPr>
        <w:t xml:space="preserve">. </w:t>
      </w:r>
      <w:r w:rsidR="00966211" w:rsidRPr="003A7E4C">
        <w:rPr>
          <w:rFonts w:eastAsia="Times New Roman"/>
          <w:b w:val="0"/>
          <w:bCs w:val="0"/>
        </w:rPr>
        <w:t>Multi-exposure model on postnatal exposures stratified on sex</w:t>
      </w:r>
      <w:bookmarkEnd w:id="117"/>
      <w:bookmarkEnd w:id="118"/>
    </w:p>
    <w:p w14:paraId="05F7508B" w14:textId="29CF3408" w:rsidR="005E717B" w:rsidRPr="008A5C48" w:rsidRDefault="0032268D" w:rsidP="00FB6412">
      <w:pPr>
        <w:spacing w:line="240" w:lineRule="auto"/>
        <w:contextualSpacing/>
        <w:rPr>
          <w:rFonts w:ascii="Times New Roman" w:eastAsia="Times New Roman" w:hAnsi="Times New Roman" w:cs="Times New Roman"/>
          <w:b/>
          <w:sz w:val="20"/>
          <w:szCs w:val="20"/>
        </w:rPr>
      </w:pPr>
      <w:r w:rsidRPr="0032268D">
        <w:rPr>
          <w:rFonts w:ascii="Times New Roman" w:eastAsia="Times New Roman" w:hAnsi="Times New Roman" w:cs="Times New Roman"/>
          <w:b/>
          <w:noProof/>
          <w:sz w:val="20"/>
          <w:szCs w:val="20"/>
        </w:rPr>
        <w:drawing>
          <wp:inline distT="0" distB="0" distL="0" distR="0" wp14:anchorId="0D0BD7F3" wp14:editId="625A3C7E">
            <wp:extent cx="5760720" cy="5760720"/>
            <wp:effectExtent l="0" t="0" r="0" b="0"/>
            <wp:docPr id="9" name="Graphiqu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96DAC541-7B7A-43D3-8B79-37D633B846F1}">
                          <asvg:svgBlip xmlns:asvg="http://schemas.microsoft.com/office/drawing/2016/SVG/main" r:embed="rId25"/>
                        </a:ext>
                      </a:extLst>
                    </a:blip>
                    <a:stretch>
                      <a:fillRect/>
                    </a:stretch>
                  </pic:blipFill>
                  <pic:spPr>
                    <a:xfrm>
                      <a:off x="0" y="0"/>
                      <a:ext cx="5760720" cy="5760720"/>
                    </a:xfrm>
                    <a:prstGeom prst="rect">
                      <a:avLst/>
                    </a:prstGeom>
                  </pic:spPr>
                </pic:pic>
              </a:graphicData>
            </a:graphic>
          </wp:inline>
        </w:drawing>
      </w:r>
    </w:p>
    <w:p w14:paraId="62E11C00" w14:textId="77777777" w:rsidR="005E717B" w:rsidRPr="008A5C48" w:rsidRDefault="005E717B" w:rsidP="00FB6412">
      <w:pPr>
        <w:spacing w:line="240" w:lineRule="auto"/>
        <w:contextualSpacing/>
        <w:rPr>
          <w:rFonts w:ascii="Times New Roman" w:eastAsia="Times New Roman" w:hAnsi="Times New Roman" w:cs="Times New Roman"/>
          <w:b/>
          <w:sz w:val="20"/>
          <w:szCs w:val="20"/>
        </w:rPr>
      </w:pPr>
    </w:p>
    <w:p w14:paraId="70FC174B" w14:textId="7B30D3DB" w:rsidR="005E717B" w:rsidRPr="003A7E4C" w:rsidRDefault="00A41C1A" w:rsidP="002D561D">
      <w:pPr>
        <w:pStyle w:val="Titre1"/>
        <w:rPr>
          <w:rFonts w:eastAsia="Times New Roman"/>
          <w:b w:val="0"/>
          <w:bCs w:val="0"/>
        </w:rPr>
      </w:pPr>
      <w:r w:rsidRPr="008A5C48">
        <w:rPr>
          <w:rFonts w:eastAsia="Times New Roman"/>
        </w:rPr>
        <w:br w:type="page"/>
      </w:r>
      <w:bookmarkStart w:id="119" w:name="_Toc127358176"/>
      <w:bookmarkStart w:id="120" w:name="_Toc132271608"/>
      <w:bookmarkStart w:id="121" w:name="_Hlk127367643"/>
      <w:proofErr w:type="spellStart"/>
      <w:r w:rsidR="009500CF" w:rsidRPr="008A5C48">
        <w:rPr>
          <w:rFonts w:eastAsia="Times New Roman"/>
        </w:rPr>
        <w:lastRenderedPageBreak/>
        <w:t>eFigure</w:t>
      </w:r>
      <w:proofErr w:type="spellEnd"/>
      <w:r w:rsidR="00966211" w:rsidRPr="008A5C48">
        <w:rPr>
          <w:rFonts w:eastAsia="Times New Roman"/>
        </w:rPr>
        <w:t xml:space="preserve"> </w:t>
      </w:r>
      <w:r w:rsidR="00D01796">
        <w:rPr>
          <w:rFonts w:eastAsia="Times New Roman"/>
        </w:rPr>
        <w:t>7</w:t>
      </w:r>
      <w:r w:rsidR="00EB5129">
        <w:rPr>
          <w:rFonts w:eastAsia="Times New Roman"/>
        </w:rPr>
        <w:t>.</w:t>
      </w:r>
      <w:r w:rsidR="00966211" w:rsidRPr="008A5C48">
        <w:rPr>
          <w:rFonts w:eastAsia="Times New Roman"/>
        </w:rPr>
        <w:t xml:space="preserve"> </w:t>
      </w:r>
      <w:r w:rsidR="00966211" w:rsidRPr="003A7E4C">
        <w:rPr>
          <w:rFonts w:eastAsia="Times New Roman"/>
          <w:b w:val="0"/>
          <w:bCs w:val="0"/>
        </w:rPr>
        <w:t>Multi-exposure model on postnatal exposures stratified on cohorts</w:t>
      </w:r>
      <w:bookmarkEnd w:id="119"/>
      <w:bookmarkEnd w:id="120"/>
    </w:p>
    <w:bookmarkEnd w:id="121"/>
    <w:p w14:paraId="12169CA6" w14:textId="23E4ACCA" w:rsidR="005E717B" w:rsidRPr="008A5C48" w:rsidRDefault="0032268D" w:rsidP="00FB6412">
      <w:pPr>
        <w:spacing w:line="240" w:lineRule="auto"/>
        <w:contextualSpacing/>
        <w:rPr>
          <w:rFonts w:ascii="Times New Roman" w:eastAsia="Times New Roman" w:hAnsi="Times New Roman" w:cs="Times New Roman"/>
          <w:b/>
          <w:sz w:val="20"/>
          <w:szCs w:val="20"/>
        </w:rPr>
      </w:pPr>
      <w:r w:rsidRPr="0032268D">
        <w:rPr>
          <w:rFonts w:ascii="Times New Roman" w:eastAsia="Times New Roman" w:hAnsi="Times New Roman" w:cs="Times New Roman"/>
          <w:b/>
          <w:noProof/>
          <w:sz w:val="20"/>
          <w:szCs w:val="20"/>
        </w:rPr>
        <w:drawing>
          <wp:inline distT="0" distB="0" distL="0" distR="0" wp14:anchorId="16C5753C" wp14:editId="74316F26">
            <wp:extent cx="5760720" cy="2423160"/>
            <wp:effectExtent l="0" t="0" r="0" b="0"/>
            <wp:docPr id="10" name="Graphiqu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96DAC541-7B7A-43D3-8B79-37D633B846F1}">
                          <asvg:svgBlip xmlns:asvg="http://schemas.microsoft.com/office/drawing/2016/SVG/main" r:embed="rId27"/>
                        </a:ext>
                      </a:extLst>
                    </a:blip>
                    <a:stretch>
                      <a:fillRect/>
                    </a:stretch>
                  </pic:blipFill>
                  <pic:spPr>
                    <a:xfrm>
                      <a:off x="0" y="0"/>
                      <a:ext cx="5760720" cy="2423160"/>
                    </a:xfrm>
                    <a:prstGeom prst="rect">
                      <a:avLst/>
                    </a:prstGeom>
                  </pic:spPr>
                </pic:pic>
              </a:graphicData>
            </a:graphic>
          </wp:inline>
        </w:drawing>
      </w:r>
    </w:p>
    <w:p w14:paraId="08843E49" w14:textId="77777777" w:rsidR="005E717B" w:rsidRPr="008A5C48" w:rsidRDefault="00966211" w:rsidP="00FB6412">
      <w:pPr>
        <w:spacing w:line="240" w:lineRule="auto"/>
        <w:contextualSpacing/>
        <w:rPr>
          <w:rFonts w:ascii="Times New Roman" w:eastAsia="Times New Roman" w:hAnsi="Times New Roman" w:cs="Times New Roman"/>
          <w:sz w:val="20"/>
          <w:szCs w:val="20"/>
        </w:rPr>
      </w:pPr>
      <w:r w:rsidRPr="008A5C48">
        <w:rPr>
          <w:rFonts w:ascii="Times New Roman" w:eastAsia="Times New Roman" w:hAnsi="Times New Roman" w:cs="Times New Roman"/>
          <w:sz w:val="20"/>
          <w:szCs w:val="20"/>
        </w:rPr>
        <w:t>Note: cotinine was not included in this model because missing in the whole KANC cohort before imputation.</w:t>
      </w:r>
    </w:p>
    <w:p w14:paraId="54562FEA" w14:textId="77777777" w:rsidR="005E717B" w:rsidRPr="008A5C48" w:rsidRDefault="005E717B" w:rsidP="00FB6412">
      <w:pPr>
        <w:spacing w:line="240" w:lineRule="auto"/>
        <w:contextualSpacing/>
        <w:rPr>
          <w:rFonts w:ascii="Times New Roman" w:eastAsia="Times New Roman" w:hAnsi="Times New Roman" w:cs="Times New Roman"/>
          <w:sz w:val="20"/>
          <w:szCs w:val="20"/>
        </w:rPr>
      </w:pPr>
    </w:p>
    <w:p w14:paraId="09790318" w14:textId="0E9DA4FF" w:rsidR="005E717B" w:rsidRPr="003A7E4C" w:rsidRDefault="00966211" w:rsidP="002D561D">
      <w:pPr>
        <w:pStyle w:val="Titre1"/>
        <w:rPr>
          <w:rFonts w:eastAsia="Times New Roman"/>
          <w:b w:val="0"/>
          <w:bCs w:val="0"/>
        </w:rPr>
      </w:pPr>
      <w:r w:rsidRPr="008A5C48">
        <w:br w:type="page"/>
      </w:r>
      <w:bookmarkStart w:id="122" w:name="_Toc127358177"/>
      <w:bookmarkStart w:id="123" w:name="_Toc132271609"/>
      <w:bookmarkStart w:id="124" w:name="_Hlk127367657"/>
      <w:proofErr w:type="spellStart"/>
      <w:r w:rsidR="009500CF" w:rsidRPr="008A5C48">
        <w:rPr>
          <w:rFonts w:eastAsia="Times New Roman"/>
        </w:rPr>
        <w:lastRenderedPageBreak/>
        <w:t>eFigure</w:t>
      </w:r>
      <w:proofErr w:type="spellEnd"/>
      <w:r w:rsidRPr="008A5C48">
        <w:rPr>
          <w:rFonts w:eastAsia="Times New Roman"/>
        </w:rPr>
        <w:t xml:space="preserve"> </w:t>
      </w:r>
      <w:r w:rsidR="00D01796">
        <w:rPr>
          <w:rFonts w:eastAsia="Times New Roman"/>
        </w:rPr>
        <w:t>8</w:t>
      </w:r>
      <w:r w:rsidRPr="008A5C48">
        <w:rPr>
          <w:rFonts w:eastAsia="Times New Roman"/>
        </w:rPr>
        <w:t xml:space="preserve">. </w:t>
      </w:r>
      <w:r w:rsidRPr="003A7E4C">
        <w:rPr>
          <w:rFonts w:eastAsia="Times New Roman"/>
          <w:b w:val="0"/>
          <w:bCs w:val="0"/>
        </w:rPr>
        <w:t>Multi-exposure model on postnatal exposures stratified on cohorts</w:t>
      </w:r>
      <w:bookmarkEnd w:id="122"/>
      <w:bookmarkEnd w:id="123"/>
    </w:p>
    <w:bookmarkEnd w:id="124"/>
    <w:p w14:paraId="02787675" w14:textId="47861482" w:rsidR="005E717B" w:rsidRPr="008A5C48" w:rsidRDefault="0032268D" w:rsidP="00FB6412">
      <w:pPr>
        <w:spacing w:line="240" w:lineRule="auto"/>
        <w:contextualSpacing/>
        <w:rPr>
          <w:rFonts w:ascii="Times New Roman" w:eastAsia="Times New Roman" w:hAnsi="Times New Roman" w:cs="Times New Roman"/>
          <w:b/>
          <w:sz w:val="20"/>
          <w:szCs w:val="20"/>
        </w:rPr>
      </w:pPr>
      <w:r w:rsidRPr="0032268D">
        <w:rPr>
          <w:rFonts w:ascii="Times New Roman" w:eastAsia="Times New Roman" w:hAnsi="Times New Roman" w:cs="Times New Roman"/>
          <w:b/>
          <w:noProof/>
          <w:sz w:val="20"/>
          <w:szCs w:val="20"/>
        </w:rPr>
        <w:drawing>
          <wp:inline distT="0" distB="0" distL="0" distR="0" wp14:anchorId="7DCDA61A" wp14:editId="3500148B">
            <wp:extent cx="5602462" cy="8255479"/>
            <wp:effectExtent l="0" t="0" r="0" b="0"/>
            <wp:docPr id="11" name="Graphiqu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96DAC541-7B7A-43D3-8B79-37D633B846F1}">
                          <asvg:svgBlip xmlns:asvg="http://schemas.microsoft.com/office/drawing/2016/SVG/main" r:embed="rId29"/>
                        </a:ext>
                      </a:extLst>
                    </a:blip>
                    <a:stretch>
                      <a:fillRect/>
                    </a:stretch>
                  </pic:blipFill>
                  <pic:spPr>
                    <a:xfrm>
                      <a:off x="0" y="0"/>
                      <a:ext cx="5605221" cy="8259545"/>
                    </a:xfrm>
                    <a:prstGeom prst="rect">
                      <a:avLst/>
                    </a:prstGeom>
                  </pic:spPr>
                </pic:pic>
              </a:graphicData>
            </a:graphic>
          </wp:inline>
        </w:drawing>
      </w:r>
    </w:p>
    <w:p w14:paraId="62650599" w14:textId="05708BCD" w:rsidR="005E717B" w:rsidRDefault="00966211" w:rsidP="00FB6412">
      <w:pPr>
        <w:spacing w:line="240" w:lineRule="auto"/>
        <w:contextualSpacing/>
        <w:rPr>
          <w:rFonts w:ascii="Times New Roman" w:eastAsia="Times New Roman" w:hAnsi="Times New Roman" w:cs="Times New Roman"/>
          <w:b/>
          <w:noProof/>
          <w:sz w:val="20"/>
          <w:szCs w:val="20"/>
        </w:rPr>
      </w:pPr>
      <w:r w:rsidRPr="008A5C48">
        <w:rPr>
          <w:rFonts w:ascii="Times New Roman" w:eastAsia="Times New Roman" w:hAnsi="Times New Roman" w:cs="Times New Roman"/>
          <w:sz w:val="20"/>
          <w:szCs w:val="20"/>
        </w:rPr>
        <w:t xml:space="preserve">Note: bluespace at school was not included in this model because there were </w:t>
      </w:r>
      <w:r w:rsidR="008E6E71" w:rsidRPr="008A5C48">
        <w:rPr>
          <w:rFonts w:ascii="Times New Roman" w:eastAsia="Times New Roman" w:hAnsi="Times New Roman" w:cs="Times New Roman"/>
          <w:sz w:val="20"/>
          <w:szCs w:val="20"/>
        </w:rPr>
        <w:t>all</w:t>
      </w:r>
      <w:r w:rsidRPr="008A5C48">
        <w:rPr>
          <w:rFonts w:ascii="Times New Roman" w:eastAsia="Times New Roman" w:hAnsi="Times New Roman" w:cs="Times New Roman"/>
          <w:sz w:val="20"/>
          <w:szCs w:val="20"/>
        </w:rPr>
        <w:t xml:space="preserve"> children from RHEA </w:t>
      </w:r>
      <w:r w:rsidR="008E6E71" w:rsidRPr="008A5C48">
        <w:rPr>
          <w:rFonts w:ascii="Times New Roman" w:eastAsia="Times New Roman" w:hAnsi="Times New Roman" w:cs="Times New Roman"/>
          <w:sz w:val="20"/>
          <w:szCs w:val="20"/>
        </w:rPr>
        <w:t>had the same value</w:t>
      </w:r>
      <w:r w:rsidRPr="008A5C48">
        <w:rPr>
          <w:rFonts w:ascii="Times New Roman" w:eastAsia="Times New Roman" w:hAnsi="Times New Roman" w:cs="Times New Roman"/>
          <w:sz w:val="20"/>
          <w:szCs w:val="20"/>
        </w:rPr>
        <w:t xml:space="preserve"> before imputation</w:t>
      </w:r>
      <w:r w:rsidR="008E6E71" w:rsidRPr="008A5C48">
        <w:rPr>
          <w:rFonts w:ascii="Times New Roman" w:eastAsia="Times New Roman" w:hAnsi="Times New Roman" w:cs="Times New Roman"/>
          <w:sz w:val="20"/>
          <w:szCs w:val="20"/>
        </w:rPr>
        <w:t xml:space="preserve"> (no access).</w:t>
      </w:r>
      <w:r w:rsidR="00A41C1A" w:rsidRPr="008A5C48">
        <w:rPr>
          <w:rFonts w:ascii="Times New Roman" w:eastAsia="Times New Roman" w:hAnsi="Times New Roman" w:cs="Times New Roman"/>
          <w:b/>
          <w:noProof/>
          <w:sz w:val="20"/>
          <w:szCs w:val="20"/>
        </w:rPr>
        <w:t xml:space="preserve"> </w:t>
      </w:r>
    </w:p>
    <w:p w14:paraId="526CBBBD" w14:textId="306B18A7" w:rsidR="00D01796" w:rsidRDefault="00D01796">
      <w:pPr>
        <w:rPr>
          <w:rFonts w:ascii="Times New Roman" w:eastAsia="Times New Roman" w:hAnsi="Times New Roman" w:cs="Times New Roman"/>
          <w:b/>
          <w:noProof/>
          <w:sz w:val="20"/>
          <w:szCs w:val="20"/>
        </w:rPr>
      </w:pPr>
      <w:r>
        <w:rPr>
          <w:rFonts w:ascii="Times New Roman" w:eastAsia="Times New Roman" w:hAnsi="Times New Roman" w:cs="Times New Roman"/>
          <w:b/>
          <w:noProof/>
          <w:sz w:val="20"/>
          <w:szCs w:val="20"/>
        </w:rPr>
        <w:br w:type="page"/>
      </w:r>
    </w:p>
    <w:p w14:paraId="1346EC88" w14:textId="7FD3A23C" w:rsidR="00D01796" w:rsidRPr="00D01796" w:rsidRDefault="00D01796" w:rsidP="00046B47">
      <w:pPr>
        <w:pStyle w:val="Titre1"/>
        <w:rPr>
          <w:lang w:val="en-US"/>
        </w:rPr>
      </w:pPr>
      <w:bookmarkStart w:id="125" w:name="_Toc132271610"/>
      <w:bookmarkStart w:id="126" w:name="_Hlk131429340"/>
      <w:bookmarkStart w:id="127" w:name="_Hlk131429025"/>
      <w:proofErr w:type="spellStart"/>
      <w:r w:rsidRPr="00D01796">
        <w:rPr>
          <w:lang w:val="en-US"/>
        </w:rPr>
        <w:lastRenderedPageBreak/>
        <w:t>eFigure</w:t>
      </w:r>
      <w:proofErr w:type="spellEnd"/>
      <w:r w:rsidRPr="00D01796">
        <w:rPr>
          <w:lang w:val="en-US"/>
        </w:rPr>
        <w:t xml:space="preserve"> </w:t>
      </w:r>
      <w:r>
        <w:rPr>
          <w:lang w:val="en-US"/>
        </w:rPr>
        <w:t>9.</w:t>
      </w:r>
      <w:r w:rsidRPr="00D01796">
        <w:rPr>
          <w:lang w:val="en-US"/>
        </w:rPr>
        <w:t xml:space="preserve"> </w:t>
      </w:r>
      <w:r w:rsidRPr="00046B47">
        <w:rPr>
          <w:b w:val="0"/>
          <w:bCs w:val="0"/>
          <w:lang w:val="en-US"/>
        </w:rPr>
        <w:t>GAM estimated curve for postnatal selected exposures by LASSO</w:t>
      </w:r>
      <w:bookmarkEnd w:id="125"/>
    </w:p>
    <w:bookmarkEnd w:id="126"/>
    <w:p w14:paraId="22ECDD66" w14:textId="77777777" w:rsidR="00D01796" w:rsidRDefault="00D01796" w:rsidP="00D01796">
      <w:pPr>
        <w:rPr>
          <w:lang w:val="en-US"/>
        </w:rPr>
      </w:pPr>
      <w:r>
        <w:rPr>
          <w:noProof/>
          <w:lang w:val="en-US"/>
        </w:rPr>
        <w:drawing>
          <wp:inline distT="0" distB="0" distL="0" distR="0" wp14:anchorId="4A887C0F" wp14:editId="710C31E0">
            <wp:extent cx="5756910" cy="4023636"/>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0">
                      <a:extLst>
                        <a:ext uri="{28A0092B-C50C-407E-A947-70E740481C1C}">
                          <a14:useLocalDpi xmlns:a14="http://schemas.microsoft.com/office/drawing/2010/main" val="0"/>
                        </a:ext>
                      </a:extLst>
                    </a:blip>
                    <a:srcRect t="4887"/>
                    <a:stretch/>
                  </pic:blipFill>
                  <pic:spPr bwMode="auto">
                    <a:xfrm>
                      <a:off x="0" y="0"/>
                      <a:ext cx="5756910" cy="4023636"/>
                    </a:xfrm>
                    <a:prstGeom prst="rect">
                      <a:avLst/>
                    </a:prstGeom>
                    <a:noFill/>
                    <a:ln>
                      <a:noFill/>
                    </a:ln>
                    <a:extLst>
                      <a:ext uri="{53640926-AAD7-44D8-BBD7-CCE9431645EC}">
                        <a14:shadowObscured xmlns:a14="http://schemas.microsoft.com/office/drawing/2010/main"/>
                      </a:ext>
                    </a:extLst>
                  </pic:spPr>
                </pic:pic>
              </a:graphicData>
            </a:graphic>
          </wp:inline>
        </w:drawing>
      </w:r>
    </w:p>
    <w:p w14:paraId="73F64A2C" w14:textId="77777777" w:rsidR="00D01796" w:rsidRDefault="00D01796" w:rsidP="00D01796">
      <w:pPr>
        <w:rPr>
          <w:lang w:val="en-US"/>
        </w:rPr>
      </w:pPr>
      <w:r>
        <w:rPr>
          <w:noProof/>
          <w:lang w:val="en-US"/>
        </w:rPr>
        <w:drawing>
          <wp:inline distT="0" distB="0" distL="0" distR="0" wp14:anchorId="7BE243D3" wp14:editId="3250F3C2">
            <wp:extent cx="5760720" cy="2258060"/>
            <wp:effectExtent l="0" t="0" r="0" b="889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rotWithShape="1">
                    <a:blip r:embed="rId31">
                      <a:extLst>
                        <a:ext uri="{28A0092B-C50C-407E-A947-70E740481C1C}">
                          <a14:useLocalDpi xmlns:a14="http://schemas.microsoft.com/office/drawing/2010/main" val="0"/>
                        </a:ext>
                      </a:extLst>
                    </a:blip>
                    <a:srcRect b="46612"/>
                    <a:stretch/>
                  </pic:blipFill>
                  <pic:spPr bwMode="auto">
                    <a:xfrm>
                      <a:off x="0" y="0"/>
                      <a:ext cx="5760720" cy="2258060"/>
                    </a:xfrm>
                    <a:prstGeom prst="rect">
                      <a:avLst/>
                    </a:prstGeom>
                    <a:ln>
                      <a:noFill/>
                    </a:ln>
                    <a:extLst>
                      <a:ext uri="{53640926-AAD7-44D8-BBD7-CCE9431645EC}">
                        <a14:shadowObscured xmlns:a14="http://schemas.microsoft.com/office/drawing/2010/main"/>
                      </a:ext>
                    </a:extLst>
                  </pic:spPr>
                </pic:pic>
              </a:graphicData>
            </a:graphic>
          </wp:inline>
        </w:drawing>
      </w:r>
    </w:p>
    <w:bookmarkEnd w:id="127"/>
    <w:p w14:paraId="179D9417" w14:textId="77777777" w:rsidR="00D01796" w:rsidRPr="008A5C48" w:rsidRDefault="00D01796" w:rsidP="00FB6412">
      <w:pPr>
        <w:spacing w:line="240" w:lineRule="auto"/>
        <w:contextualSpacing/>
        <w:rPr>
          <w:rFonts w:ascii="Times New Roman" w:eastAsia="Times New Roman" w:hAnsi="Times New Roman" w:cs="Times New Roman"/>
          <w:sz w:val="20"/>
          <w:szCs w:val="20"/>
        </w:rPr>
      </w:pPr>
    </w:p>
    <w:p w14:paraId="5894A709" w14:textId="77777777" w:rsidR="005E717B" w:rsidRPr="008A5C48" w:rsidRDefault="00966211" w:rsidP="00FB6412">
      <w:pPr>
        <w:spacing w:line="240" w:lineRule="auto"/>
        <w:contextualSpacing/>
        <w:rPr>
          <w:rFonts w:ascii="Times New Roman" w:eastAsia="Times New Roman" w:hAnsi="Times New Roman" w:cs="Times New Roman"/>
          <w:b/>
          <w:sz w:val="20"/>
          <w:szCs w:val="20"/>
        </w:rPr>
      </w:pPr>
      <w:r w:rsidRPr="008A5C48">
        <w:rPr>
          <w:rFonts w:ascii="Times New Roman" w:hAnsi="Times New Roman" w:cs="Times New Roman"/>
          <w:sz w:val="20"/>
          <w:szCs w:val="20"/>
        </w:rPr>
        <w:br w:type="page"/>
      </w:r>
    </w:p>
    <w:p w14:paraId="59D8D6B0" w14:textId="7893C38B" w:rsidR="005E717B" w:rsidRPr="008A5C48" w:rsidRDefault="009500CF" w:rsidP="002D561D">
      <w:pPr>
        <w:pStyle w:val="Titre1"/>
        <w:rPr>
          <w:rFonts w:eastAsia="Times New Roman"/>
        </w:rPr>
      </w:pPr>
      <w:bookmarkStart w:id="128" w:name="_Toc127358178"/>
      <w:bookmarkStart w:id="129" w:name="_Toc132271611"/>
      <w:bookmarkStart w:id="130" w:name="_Hlk127367662"/>
      <w:proofErr w:type="spellStart"/>
      <w:r w:rsidRPr="008A5C48">
        <w:rPr>
          <w:rFonts w:eastAsia="Times New Roman"/>
        </w:rPr>
        <w:lastRenderedPageBreak/>
        <w:t>eFigure</w:t>
      </w:r>
      <w:proofErr w:type="spellEnd"/>
      <w:r w:rsidR="00966211" w:rsidRPr="008A5C48">
        <w:rPr>
          <w:rFonts w:eastAsia="Times New Roman"/>
        </w:rPr>
        <w:t xml:space="preserve"> </w:t>
      </w:r>
      <w:r w:rsidR="00D01796">
        <w:rPr>
          <w:rFonts w:eastAsia="Times New Roman"/>
        </w:rPr>
        <w:t>10</w:t>
      </w:r>
      <w:r w:rsidR="00966211" w:rsidRPr="008A5C48">
        <w:rPr>
          <w:rFonts w:eastAsia="Times New Roman"/>
        </w:rPr>
        <w:t xml:space="preserve">. </w:t>
      </w:r>
      <w:r w:rsidR="00966211" w:rsidRPr="003A7E4C">
        <w:rPr>
          <w:rFonts w:eastAsia="Times New Roman"/>
          <w:b w:val="0"/>
          <w:bCs w:val="0"/>
        </w:rPr>
        <w:t xml:space="preserve">Multi-exposure model without the 4% most extreme values </w:t>
      </w:r>
      <w:r w:rsidR="003E1060" w:rsidRPr="003A7E4C">
        <w:rPr>
          <w:rFonts w:eastAsia="Times New Roman"/>
          <w:b w:val="0"/>
          <w:bCs w:val="0"/>
        </w:rPr>
        <w:t>for</w:t>
      </w:r>
      <w:r w:rsidR="00966211" w:rsidRPr="003A7E4C">
        <w:rPr>
          <w:rFonts w:eastAsia="Times New Roman"/>
          <w:b w:val="0"/>
          <w:bCs w:val="0"/>
        </w:rPr>
        <w:t xml:space="preserve"> the </w:t>
      </w:r>
      <w:r w:rsidR="003D63D7" w:rsidRPr="003A7E4C">
        <w:rPr>
          <w:rFonts w:eastAsia="Times New Roman"/>
          <w:b w:val="0"/>
          <w:bCs w:val="0"/>
        </w:rPr>
        <w:t>general health score</w:t>
      </w:r>
      <w:bookmarkEnd w:id="128"/>
      <w:bookmarkEnd w:id="129"/>
      <w:r w:rsidR="00966211" w:rsidRPr="003A7E4C">
        <w:rPr>
          <w:rFonts w:eastAsia="Times New Roman"/>
          <w:b w:val="0"/>
          <w:bCs w:val="0"/>
        </w:rPr>
        <w:t xml:space="preserve"> </w:t>
      </w:r>
    </w:p>
    <w:bookmarkEnd w:id="130"/>
    <w:p w14:paraId="6EB116A5" w14:textId="0A45D604" w:rsidR="005E717B" w:rsidRPr="008A5C48" w:rsidRDefault="0032268D" w:rsidP="00FB6412">
      <w:pPr>
        <w:spacing w:line="240" w:lineRule="auto"/>
        <w:contextualSpacing/>
        <w:rPr>
          <w:rFonts w:ascii="Times New Roman" w:eastAsia="Times New Roman" w:hAnsi="Times New Roman" w:cs="Times New Roman"/>
          <w:b/>
          <w:sz w:val="20"/>
          <w:szCs w:val="20"/>
        </w:rPr>
      </w:pPr>
      <w:r w:rsidRPr="0032268D">
        <w:rPr>
          <w:rFonts w:ascii="Times New Roman" w:eastAsia="Times New Roman" w:hAnsi="Times New Roman" w:cs="Times New Roman"/>
          <w:b/>
          <w:noProof/>
          <w:sz w:val="20"/>
          <w:szCs w:val="20"/>
        </w:rPr>
        <w:drawing>
          <wp:inline distT="0" distB="0" distL="0" distR="0" wp14:anchorId="34300742" wp14:editId="6FE9C3FE">
            <wp:extent cx="5760720" cy="5760720"/>
            <wp:effectExtent l="0" t="0" r="0" b="0"/>
            <wp:docPr id="12" name="Graphiqu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96DAC541-7B7A-43D3-8B79-37D633B846F1}">
                          <asvg:svgBlip xmlns:asvg="http://schemas.microsoft.com/office/drawing/2016/SVG/main" r:embed="rId33"/>
                        </a:ext>
                      </a:extLst>
                    </a:blip>
                    <a:stretch>
                      <a:fillRect/>
                    </a:stretch>
                  </pic:blipFill>
                  <pic:spPr>
                    <a:xfrm>
                      <a:off x="0" y="0"/>
                      <a:ext cx="5760720" cy="5760720"/>
                    </a:xfrm>
                    <a:prstGeom prst="rect">
                      <a:avLst/>
                    </a:prstGeom>
                  </pic:spPr>
                </pic:pic>
              </a:graphicData>
            </a:graphic>
          </wp:inline>
        </w:drawing>
      </w:r>
    </w:p>
    <w:p w14:paraId="1744A6EC" w14:textId="5F7DEC64" w:rsidR="004230C6" w:rsidRPr="008A5C48" w:rsidRDefault="004230C6" w:rsidP="00FB6412">
      <w:pPr>
        <w:spacing w:line="240" w:lineRule="auto"/>
        <w:contextualSpacing/>
        <w:rPr>
          <w:rFonts w:ascii="Times New Roman" w:eastAsia="Times New Roman" w:hAnsi="Times New Roman" w:cs="Times New Roman"/>
          <w:b/>
          <w:sz w:val="20"/>
          <w:szCs w:val="20"/>
        </w:rPr>
      </w:pPr>
    </w:p>
    <w:p w14:paraId="3576D90E" w14:textId="0C5E8526" w:rsidR="005E717B" w:rsidRPr="002E0F51" w:rsidRDefault="00466EB1" w:rsidP="002D561D">
      <w:pPr>
        <w:pStyle w:val="Titre1"/>
        <w:rPr>
          <w:lang w:val="en-US"/>
        </w:rPr>
      </w:pPr>
      <w:r w:rsidRPr="008A5C48">
        <w:br w:type="page"/>
      </w:r>
      <w:bookmarkStart w:id="131" w:name="_Toc126332692"/>
      <w:bookmarkStart w:id="132" w:name="_Toc127358179"/>
      <w:bookmarkStart w:id="133" w:name="_Toc132271612"/>
      <w:proofErr w:type="spellStart"/>
      <w:r w:rsidR="00A47C82" w:rsidRPr="002E0F51">
        <w:rPr>
          <w:lang w:val="en-US"/>
        </w:rPr>
        <w:lastRenderedPageBreak/>
        <w:t>e</w:t>
      </w:r>
      <w:r w:rsidR="00966211" w:rsidRPr="002E0F51">
        <w:rPr>
          <w:lang w:val="en-US"/>
        </w:rPr>
        <w:t>References</w:t>
      </w:r>
      <w:bookmarkEnd w:id="131"/>
      <w:bookmarkEnd w:id="132"/>
      <w:bookmarkEnd w:id="133"/>
      <w:proofErr w:type="spellEnd"/>
    </w:p>
    <w:p w14:paraId="56FD0B2A" w14:textId="44A22C30" w:rsidR="00384859" w:rsidRPr="002E0F51" w:rsidRDefault="00384859" w:rsidP="00384859">
      <w:pPr>
        <w:rPr>
          <w:lang w:val="en-US"/>
        </w:rPr>
      </w:pPr>
    </w:p>
    <w:p w14:paraId="556D5954" w14:textId="77777777" w:rsidR="00A52898" w:rsidRPr="00593A4C" w:rsidRDefault="00384859" w:rsidP="00A52898">
      <w:pPr>
        <w:pStyle w:val="Bibliographie"/>
        <w:rPr>
          <w:lang w:val="fr-FR"/>
        </w:rPr>
      </w:pPr>
      <w:r>
        <w:rPr>
          <w:lang w:val="fr-FR"/>
        </w:rPr>
        <w:fldChar w:fldCharType="begin"/>
      </w:r>
      <w:r w:rsidR="001E1198">
        <w:rPr>
          <w:lang w:val="en-US"/>
        </w:rPr>
        <w:instrText xml:space="preserve"> ADDIN ZOTERO_BIBL {"uncited":[],"omitted":[],"custom":[]} CSL_BIBLIOGRAPHY </w:instrText>
      </w:r>
      <w:r>
        <w:rPr>
          <w:lang w:val="fr-FR"/>
        </w:rPr>
        <w:fldChar w:fldCharType="separate"/>
      </w:r>
      <w:r w:rsidR="00A52898">
        <w:t>1.</w:t>
      </w:r>
      <w:r w:rsidR="00A52898">
        <w:tab/>
        <w:t xml:space="preserve">Warembourg C, Maitre L, Tamayo-Uria I, et al. Early-Life Environmental Exposures and Blood Pressure in Children. </w:t>
      </w:r>
      <w:r w:rsidR="00A52898">
        <w:rPr>
          <w:i/>
          <w:iCs/>
        </w:rPr>
        <w:t>J Am Coll Cardiol</w:t>
      </w:r>
      <w:r w:rsidR="00A52898">
        <w:t xml:space="preserve">. </w:t>
      </w:r>
      <w:r w:rsidR="00A52898" w:rsidRPr="00593A4C">
        <w:rPr>
          <w:lang w:val="fr-FR"/>
        </w:rPr>
        <w:t>2019;74(10):1317-1328. doi:10.1016/j.jacc.2019.06.069</w:t>
      </w:r>
    </w:p>
    <w:p w14:paraId="5F08CE45" w14:textId="77777777" w:rsidR="00A52898" w:rsidRDefault="00A52898" w:rsidP="00A52898">
      <w:pPr>
        <w:pStyle w:val="Bibliographie"/>
      </w:pPr>
      <w:r w:rsidRPr="00593A4C">
        <w:rPr>
          <w:lang w:val="fr-FR"/>
        </w:rPr>
        <w:t>2.</w:t>
      </w:r>
      <w:r w:rsidRPr="00593A4C">
        <w:rPr>
          <w:lang w:val="fr-FR"/>
        </w:rPr>
        <w:tab/>
        <w:t xml:space="preserve">Vrijheid M, Fossati S, Maitre L, et al. </w:t>
      </w:r>
      <w:r>
        <w:t xml:space="preserve">Early-Life Environmental Exposures and Childhood Obesity: An Exposome-Wide Approach. </w:t>
      </w:r>
      <w:r>
        <w:rPr>
          <w:i/>
          <w:iCs/>
        </w:rPr>
        <w:t>Environ Health Perspect</w:t>
      </w:r>
      <w:r>
        <w:t>. 2020;128(6):67009. doi:10.1289/EHP5975</w:t>
      </w:r>
    </w:p>
    <w:p w14:paraId="6FDE1657" w14:textId="77777777" w:rsidR="00A52898" w:rsidRDefault="00A52898" w:rsidP="00A52898">
      <w:pPr>
        <w:pStyle w:val="Bibliographie"/>
      </w:pPr>
      <w:r>
        <w:t>3.</w:t>
      </w:r>
      <w:r>
        <w:tab/>
        <w:t xml:space="preserve">de Onis M, Onyango AW, Borghi E, Siyam A, Nishida C, Siekmann J. Development of a WHO growth reference for school-aged children and adolescents. </w:t>
      </w:r>
      <w:r>
        <w:rPr>
          <w:i/>
          <w:iCs/>
        </w:rPr>
        <w:t>Bull World Health Organ</w:t>
      </w:r>
      <w:r>
        <w:t>. 2007;85(9):660-667. doi:10.2471/blt.07.043497</w:t>
      </w:r>
    </w:p>
    <w:p w14:paraId="360BE950" w14:textId="77777777" w:rsidR="00A52898" w:rsidRDefault="00A52898" w:rsidP="00A52898">
      <w:pPr>
        <w:pStyle w:val="Bibliographie"/>
      </w:pPr>
      <w:r>
        <w:t>4.</w:t>
      </w:r>
      <w:r>
        <w:tab/>
        <w:t xml:space="preserve">Horowitz G, Zaman Z, Blanckaert N, et al. MODULAR ANALYTICS: A new approach to automation in the clinical laboratory. </w:t>
      </w:r>
      <w:r>
        <w:rPr>
          <w:i/>
          <w:iCs/>
        </w:rPr>
        <w:t>J Autom Methods Manag Chem</w:t>
      </w:r>
      <w:r>
        <w:t>. 2005;2005:8-25. doi:10.1155/JAMMC.2005.8</w:t>
      </w:r>
    </w:p>
    <w:p w14:paraId="02027683" w14:textId="77777777" w:rsidR="00A52898" w:rsidRPr="00A52898" w:rsidRDefault="00A52898" w:rsidP="00A52898">
      <w:pPr>
        <w:pStyle w:val="Bibliographie"/>
        <w:rPr>
          <w:lang w:val="fr-FR"/>
        </w:rPr>
      </w:pPr>
      <w:r>
        <w:t>5.</w:t>
      </w:r>
      <w:r>
        <w:tab/>
        <w:t xml:space="preserve">Stratakis N, Conti DV, Borras E, et al. Association of Fish Consumption and Mercury Exposure During Pregnancy With Metabolic Health and Inflammatory Biomarkers in Children. </w:t>
      </w:r>
      <w:r w:rsidRPr="00A52898">
        <w:rPr>
          <w:i/>
          <w:iCs/>
          <w:lang w:val="fr-FR"/>
        </w:rPr>
        <w:t>JAMA Netw Open</w:t>
      </w:r>
      <w:r w:rsidRPr="00A52898">
        <w:rPr>
          <w:lang w:val="fr-FR"/>
        </w:rPr>
        <w:t>. 2020;3(3):e201007. doi:10.1001/jamanetworkopen.2020.1007</w:t>
      </w:r>
    </w:p>
    <w:p w14:paraId="338927E7" w14:textId="77777777" w:rsidR="00A52898" w:rsidRDefault="00A52898" w:rsidP="00A52898">
      <w:pPr>
        <w:pStyle w:val="Bibliographie"/>
      </w:pPr>
      <w:r w:rsidRPr="00A52898">
        <w:rPr>
          <w:lang w:val="fr-FR"/>
        </w:rPr>
        <w:t>6.</w:t>
      </w:r>
      <w:r w:rsidRPr="00A52898">
        <w:rPr>
          <w:lang w:val="fr-FR"/>
        </w:rPr>
        <w:tab/>
        <w:t xml:space="preserve">Agier L, Basagaña X, Maitre L, et al. </w:t>
      </w:r>
      <w:r>
        <w:t xml:space="preserve">Early-life exposome and lung function in children in Europe: an analysis of data from the longitudinal, population-based HELIX cohort. </w:t>
      </w:r>
      <w:r>
        <w:rPr>
          <w:i/>
          <w:iCs/>
        </w:rPr>
        <w:t>Lancet Planet Health</w:t>
      </w:r>
      <w:r>
        <w:t>. 2019;3(2):e81-e92. doi:10.1016/S2542-5196(19)30010-5</w:t>
      </w:r>
    </w:p>
    <w:p w14:paraId="2FCC981F" w14:textId="77777777" w:rsidR="00A52898" w:rsidRPr="00A52898" w:rsidRDefault="00A52898" w:rsidP="00A52898">
      <w:pPr>
        <w:pStyle w:val="Bibliographie"/>
        <w:rPr>
          <w:lang w:val="fr-FR"/>
        </w:rPr>
      </w:pPr>
      <w:r>
        <w:t>7.</w:t>
      </w:r>
      <w:r>
        <w:tab/>
        <w:t xml:space="preserve">Granum B, Oftedal B, Agier L, et al. Multiple environmental exposures in early-life and allergy-related outcomes in childhood. </w:t>
      </w:r>
      <w:r w:rsidRPr="00A52898">
        <w:rPr>
          <w:i/>
          <w:iCs/>
          <w:lang w:val="fr-FR"/>
        </w:rPr>
        <w:t>Environ Int</w:t>
      </w:r>
      <w:r w:rsidRPr="00A52898">
        <w:rPr>
          <w:lang w:val="fr-FR"/>
        </w:rPr>
        <w:t>. 2020;144:106038. doi:10.1016/j.envint.2020.106038</w:t>
      </w:r>
    </w:p>
    <w:p w14:paraId="56F4A784" w14:textId="77777777" w:rsidR="00A52898" w:rsidRPr="00A52898" w:rsidRDefault="00A52898" w:rsidP="00A52898">
      <w:pPr>
        <w:pStyle w:val="Bibliographie"/>
        <w:rPr>
          <w:lang w:val="fr-FR"/>
        </w:rPr>
      </w:pPr>
      <w:r w:rsidRPr="00A52898">
        <w:rPr>
          <w:lang w:val="fr-FR"/>
        </w:rPr>
        <w:t>8.</w:t>
      </w:r>
      <w:r w:rsidRPr="00A52898">
        <w:rPr>
          <w:lang w:val="fr-FR"/>
        </w:rPr>
        <w:tab/>
        <w:t xml:space="preserve">Asher MI, Keil U, Anderson HR, et al. </w:t>
      </w:r>
      <w:r>
        <w:t xml:space="preserve">International Study of Asthma and Allergies in Childhood (ISAAC): rationale and methods. </w:t>
      </w:r>
      <w:r w:rsidRPr="00A52898">
        <w:rPr>
          <w:i/>
          <w:iCs/>
          <w:lang w:val="fr-FR"/>
        </w:rPr>
        <w:t>Eur Respir J</w:t>
      </w:r>
      <w:r w:rsidRPr="00A52898">
        <w:rPr>
          <w:lang w:val="fr-FR"/>
        </w:rPr>
        <w:t>. 1995;8(3):483-491. doi:10.1183/09031936.95.08030483</w:t>
      </w:r>
    </w:p>
    <w:p w14:paraId="02CB4D05" w14:textId="77777777" w:rsidR="00A52898" w:rsidRDefault="00A52898" w:rsidP="00A52898">
      <w:pPr>
        <w:pStyle w:val="Bibliographie"/>
      </w:pPr>
      <w:r w:rsidRPr="00A52898">
        <w:rPr>
          <w:lang w:val="fr-FR"/>
        </w:rPr>
        <w:t>9.</w:t>
      </w:r>
      <w:r w:rsidRPr="00A52898">
        <w:rPr>
          <w:lang w:val="fr-FR"/>
        </w:rPr>
        <w:tab/>
        <w:t xml:space="preserve">Raven JC, Raven J. Progressive matrices couleur/colored progressive matrices. </w:t>
      </w:r>
      <w:r>
        <w:rPr>
          <w:i/>
          <w:iCs/>
        </w:rPr>
        <w:t>Paris Cent Psychol Appliquée</w:t>
      </w:r>
      <w:r>
        <w:t>. Published online 1998.</w:t>
      </w:r>
    </w:p>
    <w:p w14:paraId="4C567908" w14:textId="77777777" w:rsidR="00A52898" w:rsidRDefault="00A52898" w:rsidP="00A52898">
      <w:pPr>
        <w:pStyle w:val="Bibliographie"/>
      </w:pPr>
      <w:r>
        <w:t>10.</w:t>
      </w:r>
      <w:r>
        <w:tab/>
        <w:t xml:space="preserve">Achenbach T, Rescorla L. </w:t>
      </w:r>
      <w:r>
        <w:rPr>
          <w:i/>
          <w:iCs/>
        </w:rPr>
        <w:t>Manual for the ASEBA School-Age Forms and Profiles. An Integrated System of Multi-Informant Assessment.</w:t>
      </w:r>
      <w:r>
        <w:t>; 2001.</w:t>
      </w:r>
    </w:p>
    <w:p w14:paraId="2C6DF4F0" w14:textId="77777777" w:rsidR="00A52898" w:rsidRPr="008D310D" w:rsidRDefault="00A52898" w:rsidP="00A52898">
      <w:pPr>
        <w:pStyle w:val="Bibliographie"/>
        <w:rPr>
          <w:lang w:val="en-US"/>
        </w:rPr>
      </w:pPr>
      <w:r>
        <w:t>11.</w:t>
      </w:r>
      <w:r>
        <w:tab/>
        <w:t xml:space="preserve">Gurley JR. Conners’ Parent Rating Scales – Revised. In: Goldstein S, Naglieri JA, eds. </w:t>
      </w:r>
      <w:r>
        <w:rPr>
          <w:i/>
          <w:iCs/>
        </w:rPr>
        <w:t>Encyclopedia of Child Behavior and Development</w:t>
      </w:r>
      <w:r>
        <w:t xml:space="preserve">. </w:t>
      </w:r>
      <w:r w:rsidRPr="008D310D">
        <w:rPr>
          <w:lang w:val="en-US"/>
        </w:rPr>
        <w:t>Springer US; 2011:404-405. doi:10.1007/978-0-387-79061-9_670</w:t>
      </w:r>
    </w:p>
    <w:p w14:paraId="115A5B2E" w14:textId="77777777" w:rsidR="00A52898" w:rsidRPr="00A52898" w:rsidRDefault="00A52898" w:rsidP="00A52898">
      <w:pPr>
        <w:pStyle w:val="Bibliographie"/>
        <w:rPr>
          <w:lang w:val="fr-FR"/>
        </w:rPr>
      </w:pPr>
      <w:r w:rsidRPr="008D310D">
        <w:rPr>
          <w:lang w:val="en-US"/>
        </w:rPr>
        <w:t>12.</w:t>
      </w:r>
      <w:r w:rsidRPr="008D310D">
        <w:rPr>
          <w:lang w:val="en-US"/>
        </w:rPr>
        <w:tab/>
        <w:t xml:space="preserve">Maitre L, Julvez J, López-Vicente M, et al. </w:t>
      </w:r>
      <w:r>
        <w:t xml:space="preserve">Early-life environmental exposure determinants of child behavior in Europe: A longitudinal, population-based study. </w:t>
      </w:r>
      <w:r w:rsidRPr="00A52898">
        <w:rPr>
          <w:i/>
          <w:iCs/>
          <w:lang w:val="fr-FR"/>
        </w:rPr>
        <w:t>Environ Int</w:t>
      </w:r>
      <w:r w:rsidRPr="00A52898">
        <w:rPr>
          <w:lang w:val="fr-FR"/>
        </w:rPr>
        <w:t>. 2021;153:106523. doi:10.1016/j.envint.2021.106523</w:t>
      </w:r>
    </w:p>
    <w:p w14:paraId="5268ABD5" w14:textId="77777777" w:rsidR="00A52898" w:rsidRPr="00A52898" w:rsidRDefault="00A52898" w:rsidP="00A52898">
      <w:pPr>
        <w:pStyle w:val="Bibliographie"/>
        <w:rPr>
          <w:lang w:val="fr-FR"/>
        </w:rPr>
      </w:pPr>
      <w:r w:rsidRPr="00A52898">
        <w:rPr>
          <w:lang w:val="fr-FR"/>
        </w:rPr>
        <w:t>13.</w:t>
      </w:r>
      <w:r w:rsidRPr="00A52898">
        <w:rPr>
          <w:lang w:val="fr-FR"/>
        </w:rPr>
        <w:tab/>
        <w:t xml:space="preserve">Beelen R, Hoek G, Pebesma E, Vienneau D, de Hoogh K, Briggs DJ. </w:t>
      </w:r>
      <w:r>
        <w:t xml:space="preserve">Mapping of background air pollution at a fine spatial scale across the European Union. </w:t>
      </w:r>
      <w:r w:rsidRPr="00A52898">
        <w:rPr>
          <w:i/>
          <w:iCs/>
          <w:lang w:val="fr-FR"/>
        </w:rPr>
        <w:t>Sci Total Environ</w:t>
      </w:r>
      <w:r w:rsidRPr="00A52898">
        <w:rPr>
          <w:lang w:val="fr-FR"/>
        </w:rPr>
        <w:t>. 2009;407(6):1852-1867. doi:10.1016/j.scitotenv.2008.11.048</w:t>
      </w:r>
    </w:p>
    <w:p w14:paraId="1494E618" w14:textId="77777777" w:rsidR="00A52898" w:rsidRPr="00A52898" w:rsidRDefault="00A52898" w:rsidP="00A52898">
      <w:pPr>
        <w:pStyle w:val="Bibliographie"/>
        <w:rPr>
          <w:lang w:val="fr-FR"/>
        </w:rPr>
      </w:pPr>
      <w:r w:rsidRPr="00A52898">
        <w:rPr>
          <w:lang w:val="fr-FR"/>
        </w:rPr>
        <w:t>14.</w:t>
      </w:r>
      <w:r w:rsidRPr="00A52898">
        <w:rPr>
          <w:lang w:val="fr-FR"/>
        </w:rPr>
        <w:tab/>
        <w:t xml:space="preserve">Cyrys J, Eeftens M, Heinrich J, et al. </w:t>
      </w:r>
      <w:r>
        <w:t xml:space="preserve">Variation of NO2 and NOx concentrations between and within 36 European study areas: Results from the ESCAPE study. </w:t>
      </w:r>
      <w:r w:rsidRPr="00A52898">
        <w:rPr>
          <w:i/>
          <w:iCs/>
          <w:lang w:val="fr-FR"/>
        </w:rPr>
        <w:t>Atmos Environ</w:t>
      </w:r>
      <w:r w:rsidRPr="00A52898">
        <w:rPr>
          <w:lang w:val="fr-FR"/>
        </w:rPr>
        <w:t>. 2012;62:374-390. doi:10.1016/j.atmosenv.2012.07.080</w:t>
      </w:r>
    </w:p>
    <w:p w14:paraId="2F4BE6C9" w14:textId="77777777" w:rsidR="00A52898" w:rsidRPr="00A52898" w:rsidRDefault="00A52898" w:rsidP="00A52898">
      <w:pPr>
        <w:pStyle w:val="Bibliographie"/>
        <w:rPr>
          <w:lang w:val="fr-FR"/>
        </w:rPr>
      </w:pPr>
      <w:r w:rsidRPr="00A52898">
        <w:rPr>
          <w:lang w:val="fr-FR"/>
        </w:rPr>
        <w:lastRenderedPageBreak/>
        <w:t>15.</w:t>
      </w:r>
      <w:r w:rsidRPr="00A52898">
        <w:rPr>
          <w:lang w:val="fr-FR"/>
        </w:rPr>
        <w:tab/>
        <w:t xml:space="preserve">Eeftens M, Tsai MY, Ampe C, et al. </w:t>
      </w:r>
      <w:r>
        <w:t xml:space="preserve">Spatial variation of PM2.5, PM10, PM2.5 absorbance and PMcoarse concentrations between and within 20 European study areas and the relationship with NO2 – Results of the ESCAPE project. </w:t>
      </w:r>
      <w:r w:rsidRPr="00A52898">
        <w:rPr>
          <w:i/>
          <w:iCs/>
          <w:lang w:val="fr-FR"/>
        </w:rPr>
        <w:t>Atmos Environ</w:t>
      </w:r>
      <w:r w:rsidRPr="00A52898">
        <w:rPr>
          <w:lang w:val="fr-FR"/>
        </w:rPr>
        <w:t>. 2012;62:303-317. doi:10.1016/j.atmosenv.2012.08.038</w:t>
      </w:r>
    </w:p>
    <w:p w14:paraId="0DE16C1D" w14:textId="77777777" w:rsidR="00A52898" w:rsidRPr="00A52898" w:rsidRDefault="00A52898" w:rsidP="00A52898">
      <w:pPr>
        <w:pStyle w:val="Bibliographie"/>
        <w:rPr>
          <w:lang w:val="fr-FR"/>
        </w:rPr>
      </w:pPr>
      <w:r w:rsidRPr="00A52898">
        <w:rPr>
          <w:lang w:val="fr-FR"/>
        </w:rPr>
        <w:t>16.</w:t>
      </w:r>
      <w:r w:rsidRPr="00A52898">
        <w:rPr>
          <w:lang w:val="fr-FR"/>
        </w:rPr>
        <w:tab/>
        <w:t xml:space="preserve">Beelen R, Hoek G, Vienneau D, et al. </w:t>
      </w:r>
      <w:r>
        <w:t xml:space="preserve">Development of NO2 and NOx land use regression models for estimating air pollution exposure in 36 study areas in Europe – The ESCAPE project. </w:t>
      </w:r>
      <w:r w:rsidRPr="00A52898">
        <w:rPr>
          <w:i/>
          <w:iCs/>
          <w:lang w:val="fr-FR"/>
        </w:rPr>
        <w:t>Atmos Environ</w:t>
      </w:r>
      <w:r w:rsidRPr="00A52898">
        <w:rPr>
          <w:lang w:val="fr-FR"/>
        </w:rPr>
        <w:t>. 2013;72:10-23. doi:10.1016/j.atmosenv.2013.02.037</w:t>
      </w:r>
    </w:p>
    <w:p w14:paraId="1BFD45C4" w14:textId="77777777" w:rsidR="00A52898" w:rsidRPr="00A52898" w:rsidRDefault="00A52898" w:rsidP="00A52898">
      <w:pPr>
        <w:pStyle w:val="Bibliographie"/>
        <w:rPr>
          <w:lang w:val="fr-FR"/>
        </w:rPr>
      </w:pPr>
      <w:r w:rsidRPr="00A52898">
        <w:rPr>
          <w:lang w:val="fr-FR"/>
        </w:rPr>
        <w:t>17.</w:t>
      </w:r>
      <w:r w:rsidRPr="00A52898">
        <w:rPr>
          <w:lang w:val="fr-FR"/>
        </w:rPr>
        <w:tab/>
        <w:t xml:space="preserve">Eeftens M, Beelen R, de Hoogh K, et al. </w:t>
      </w:r>
      <w:r>
        <w:t xml:space="preserve">Development of Land Use Regression Models for PM2.5, PM2.5 Absorbance, PM10 and PMcoarse in 20 European Study Areas; Results of the ESCAPE Project. </w:t>
      </w:r>
      <w:r w:rsidRPr="00A52898">
        <w:rPr>
          <w:i/>
          <w:iCs/>
          <w:lang w:val="fr-FR"/>
        </w:rPr>
        <w:t>Environ Sci Technol</w:t>
      </w:r>
      <w:r w:rsidRPr="00A52898">
        <w:rPr>
          <w:lang w:val="fr-FR"/>
        </w:rPr>
        <w:t>. 2012;46(20):11195-11205. doi:10.1021/es301948k</w:t>
      </w:r>
    </w:p>
    <w:p w14:paraId="5E6A30A4" w14:textId="77777777" w:rsidR="00A52898" w:rsidRDefault="00A52898" w:rsidP="00A52898">
      <w:pPr>
        <w:pStyle w:val="Bibliographie"/>
      </w:pPr>
      <w:r w:rsidRPr="00A52898">
        <w:rPr>
          <w:lang w:val="fr-FR"/>
        </w:rPr>
        <w:t>18.</w:t>
      </w:r>
      <w:r w:rsidRPr="00A52898">
        <w:rPr>
          <w:lang w:val="fr-FR"/>
        </w:rPr>
        <w:tab/>
        <w:t xml:space="preserve">Schembari A, de HK, Pedersen M, et al. </w:t>
      </w:r>
      <w:r>
        <w:t xml:space="preserve">Ambient Air Pollution and Newborn Size and Adiposity at Birth: Differences by Maternal Ethnicity (the Born in Bradford Study Cohort). </w:t>
      </w:r>
      <w:r>
        <w:rPr>
          <w:i/>
          <w:iCs/>
        </w:rPr>
        <w:t>Environ Health Perspect</w:t>
      </w:r>
      <w:r>
        <w:t>. 2015;123(11):1208-1215. doi:10.1289/ehp.1408675</w:t>
      </w:r>
    </w:p>
    <w:p w14:paraId="2AD8E583" w14:textId="77777777" w:rsidR="00A52898" w:rsidRDefault="00A52898" w:rsidP="00A52898">
      <w:pPr>
        <w:pStyle w:val="Bibliographie"/>
      </w:pPr>
      <w:r>
        <w:t>19.</w:t>
      </w:r>
      <w:r>
        <w:tab/>
        <w:t xml:space="preserve">Wang M, Beelen R, Bellander T, et al. Performance of Multi-City Land Use Regression Models for Nitrogen Dioxide and Fine Particles. </w:t>
      </w:r>
      <w:r>
        <w:rPr>
          <w:i/>
          <w:iCs/>
        </w:rPr>
        <w:t>Environ Health Perspect</w:t>
      </w:r>
      <w:r>
        <w:t>. 2014;122(8):843-849. doi:10.1289/ehp.1307271</w:t>
      </w:r>
    </w:p>
    <w:p w14:paraId="5DE99593" w14:textId="77777777" w:rsidR="00A52898" w:rsidRPr="00A52898" w:rsidRDefault="00A52898" w:rsidP="00A52898">
      <w:pPr>
        <w:pStyle w:val="Bibliographie"/>
        <w:rPr>
          <w:lang w:val="fr-FR"/>
        </w:rPr>
      </w:pPr>
      <w:r>
        <w:t>20.</w:t>
      </w:r>
      <w:r>
        <w:tab/>
        <w:t xml:space="preserve">Rahmalia A, Giorgis-Allemand L, Lepeule J, et al. Pregnancy exposure to atmospheric pollutants and placental weight: an approach relying on a dispersion model. </w:t>
      </w:r>
      <w:r w:rsidRPr="00A52898">
        <w:rPr>
          <w:i/>
          <w:iCs/>
          <w:lang w:val="fr-FR"/>
        </w:rPr>
        <w:t>Environ Int</w:t>
      </w:r>
      <w:r w:rsidRPr="00A52898">
        <w:rPr>
          <w:lang w:val="fr-FR"/>
        </w:rPr>
        <w:t>. 2012;48:47-55. doi:10.1016/j.envint.2012.06.013</w:t>
      </w:r>
    </w:p>
    <w:p w14:paraId="651C1113" w14:textId="77777777" w:rsidR="00A52898" w:rsidRDefault="00A52898" w:rsidP="00A52898">
      <w:pPr>
        <w:pStyle w:val="Bibliographie"/>
      </w:pPr>
      <w:r w:rsidRPr="00A52898">
        <w:rPr>
          <w:lang w:val="fr-FR"/>
        </w:rPr>
        <w:t>21.</w:t>
      </w:r>
      <w:r w:rsidRPr="00A52898">
        <w:rPr>
          <w:lang w:val="fr-FR"/>
        </w:rPr>
        <w:tab/>
        <w:t xml:space="preserve">Nieuwenhuijsen MJ, Kruize H, Gidlow C, et al. </w:t>
      </w:r>
      <w:r>
        <w:t xml:space="preserve">Positive health effects of the natural outdoor environment in typical populations in different regions in Europe (PHENOTYPE): a study programme protocol. </w:t>
      </w:r>
      <w:r>
        <w:rPr>
          <w:i/>
          <w:iCs/>
        </w:rPr>
        <w:t>BMJ Open</w:t>
      </w:r>
      <w:r>
        <w:t>. 2014;4(4):e004951. doi:10.1136/bmjopen-2014-004951</w:t>
      </w:r>
    </w:p>
    <w:p w14:paraId="00C7FC98" w14:textId="77777777" w:rsidR="00A52898" w:rsidRDefault="00A52898" w:rsidP="00A52898">
      <w:pPr>
        <w:pStyle w:val="Bibliographie"/>
      </w:pPr>
      <w:r>
        <w:t>22.</w:t>
      </w:r>
      <w:r>
        <w:tab/>
        <w:t>Weier, J. and Herring, D. (2000) Measuring Vegetation (NDVI &amp; EVI). NASA Earth Observatory, Washington DC. - References - Scientific Research Publishing. Accessed February 3, 2023. https://scirp.org/reference/referencespapers.aspx?referenceid=2089851</w:t>
      </w:r>
    </w:p>
    <w:p w14:paraId="1331FBE8" w14:textId="77777777" w:rsidR="00A52898" w:rsidRDefault="00A52898" w:rsidP="00A52898">
      <w:pPr>
        <w:pStyle w:val="Bibliographie"/>
      </w:pPr>
      <w:r>
        <w:t>23.</w:t>
      </w:r>
      <w:r>
        <w:tab/>
        <w:t>Urban Atlas — European Environment Agency. Accessed February 3, 2023. https://www.eea.europa.eu/data-and-maps/data/urban-atlas</w:t>
      </w:r>
    </w:p>
    <w:p w14:paraId="7F99BEF5" w14:textId="77777777" w:rsidR="00A52898" w:rsidRDefault="00A52898" w:rsidP="00A52898">
      <w:pPr>
        <w:pStyle w:val="Bibliographie"/>
      </w:pPr>
      <w:r>
        <w:t>24.</w:t>
      </w:r>
      <w:r>
        <w:tab/>
        <w:t xml:space="preserve">Smargiassi A, Goldberg MS, Plante C, Fournier M, Baudouin Y, Kosatsky T. Variation of daily warm season mortality as a function of micro-urban heat islands. </w:t>
      </w:r>
      <w:r>
        <w:rPr>
          <w:i/>
          <w:iCs/>
        </w:rPr>
        <w:t>J Epidemiol Community Health</w:t>
      </w:r>
      <w:r>
        <w:t>. 2009;63(8):659-664. doi:10.1136/jech.2008.078147</w:t>
      </w:r>
    </w:p>
    <w:p w14:paraId="483FB3E1" w14:textId="77777777" w:rsidR="00A52898" w:rsidRDefault="00A52898" w:rsidP="00A52898">
      <w:pPr>
        <w:pStyle w:val="Bibliographie"/>
      </w:pPr>
      <w:r>
        <w:t>25.</w:t>
      </w:r>
      <w:r>
        <w:tab/>
        <w:t xml:space="preserve">Duncan DT, Aldstadt J, Whalen J, Melly SJ, Gortmaker SL. Validation of Walk Score® for Estimating Neighborhood Walkability: An Analysis of Four US Metropolitan Areas. </w:t>
      </w:r>
      <w:r>
        <w:rPr>
          <w:i/>
          <w:iCs/>
        </w:rPr>
        <w:t>Int J Environ Res Public Health</w:t>
      </w:r>
      <w:r>
        <w:t>. 2011;8(11):4160-4179. doi:10.3390/ijerph8114160</w:t>
      </w:r>
    </w:p>
    <w:p w14:paraId="4EE48C23" w14:textId="77777777" w:rsidR="00A52898" w:rsidRDefault="00A52898" w:rsidP="00A52898">
      <w:pPr>
        <w:pStyle w:val="Bibliographie"/>
      </w:pPr>
      <w:r>
        <w:t>26.</w:t>
      </w:r>
      <w:r>
        <w:tab/>
        <w:t xml:space="preserve">Frank LD, Sallis JF, Conway TL, Chapman JE, Saelens BE, Bachman W. Many Pathways from Land Use to Health: Associations between Neighborhood Walkability and Active Transportation, Body Mass Index, and Air Quality. </w:t>
      </w:r>
      <w:r>
        <w:rPr>
          <w:i/>
          <w:iCs/>
        </w:rPr>
        <w:t>J Am Plann Assoc</w:t>
      </w:r>
      <w:r>
        <w:t>. 2006;72(1):75-87. doi:10.1080/01944360608976725</w:t>
      </w:r>
    </w:p>
    <w:p w14:paraId="30E10CE8" w14:textId="77777777" w:rsidR="00A52898" w:rsidRDefault="00A52898" w:rsidP="00A52898">
      <w:pPr>
        <w:pStyle w:val="Bibliographie"/>
      </w:pPr>
      <w:r>
        <w:t>27.</w:t>
      </w:r>
      <w:r>
        <w:tab/>
        <w:t>Walk Score Terms of Use. Accessed February 3, 2023. https://www.walkscore.com/terms-of-use.shtml</w:t>
      </w:r>
    </w:p>
    <w:p w14:paraId="44B8F33A" w14:textId="77777777" w:rsidR="00A52898" w:rsidRDefault="00A52898" w:rsidP="00A52898">
      <w:pPr>
        <w:pStyle w:val="Bibliographie"/>
      </w:pPr>
      <w:r>
        <w:t>28.</w:t>
      </w:r>
      <w:r>
        <w:tab/>
        <w:t>OpenStreetMap. OpenStreetMap. Accessed February 3, 2023. https://www.openstreetmap.org/</w:t>
      </w:r>
    </w:p>
    <w:p w14:paraId="0657D4D6" w14:textId="77777777" w:rsidR="00A52898" w:rsidRPr="00A52898" w:rsidRDefault="00A52898" w:rsidP="00A52898">
      <w:pPr>
        <w:pStyle w:val="Bibliographie"/>
        <w:rPr>
          <w:lang w:val="fr-FR"/>
        </w:rPr>
      </w:pPr>
      <w:r w:rsidRPr="00A52898">
        <w:rPr>
          <w:lang w:val="fr-FR"/>
        </w:rPr>
        <w:t>29.</w:t>
      </w:r>
      <w:r w:rsidRPr="00A52898">
        <w:rPr>
          <w:lang w:val="fr-FR"/>
        </w:rPr>
        <w:tab/>
        <w:t xml:space="preserve">van Nunen E, Vermeulen R, Tsai MY, et al. </w:t>
      </w:r>
      <w:r>
        <w:t xml:space="preserve">Land Use Regression Models for Ultrafine Particles in Six European Areas. </w:t>
      </w:r>
      <w:r w:rsidRPr="00A52898">
        <w:rPr>
          <w:i/>
          <w:iCs/>
          <w:lang w:val="fr-FR"/>
        </w:rPr>
        <w:t>Environ Sci Technol</w:t>
      </w:r>
      <w:r w:rsidRPr="00A52898">
        <w:rPr>
          <w:lang w:val="fr-FR"/>
        </w:rPr>
        <w:t>. 2017;51(6):3336-3345. doi:10.1021/acs.est.6b05920</w:t>
      </w:r>
    </w:p>
    <w:p w14:paraId="728CC445" w14:textId="77777777" w:rsidR="00A52898" w:rsidRDefault="00A52898" w:rsidP="00A52898">
      <w:pPr>
        <w:pStyle w:val="Bibliographie"/>
      </w:pPr>
      <w:r w:rsidRPr="00A52898">
        <w:rPr>
          <w:lang w:val="fr-FR"/>
        </w:rPr>
        <w:lastRenderedPageBreak/>
        <w:t>30.</w:t>
      </w:r>
      <w:r w:rsidRPr="00A52898">
        <w:rPr>
          <w:lang w:val="fr-FR"/>
        </w:rPr>
        <w:tab/>
        <w:t xml:space="preserve">Jeong CH, Wagner ED, Siebert VR, et al. </w:t>
      </w:r>
      <w:r>
        <w:t xml:space="preserve">Occurrence and Toxicity of Disinfection Byproducts in European Drinking Waters in Relation with the HIWATE Epidemiology Study. </w:t>
      </w:r>
      <w:r>
        <w:rPr>
          <w:i/>
          <w:iCs/>
        </w:rPr>
        <w:t>Environ Sci Technol</w:t>
      </w:r>
      <w:r>
        <w:t>. 2012;46(21):12120-12128. doi:10.1021/es3024226</w:t>
      </w:r>
    </w:p>
    <w:p w14:paraId="1D52838E" w14:textId="77777777" w:rsidR="00A52898" w:rsidRPr="00A52898" w:rsidRDefault="00A52898" w:rsidP="00A52898">
      <w:pPr>
        <w:pStyle w:val="Bibliographie"/>
        <w:rPr>
          <w:lang w:val="fr-FR"/>
        </w:rPr>
      </w:pPr>
      <w:r>
        <w:t>31.</w:t>
      </w:r>
      <w:r>
        <w:tab/>
        <w:t xml:space="preserve">Smith RB, Edwards SC, Best N, Wright J, Nieuwenhuijsen MJ, Toledano MB. Birth Weight, Ethnicity, and Exposure to Trihalomethanes and Haloacetic Acids in Drinking Water during Pregnancy in the Born in Bradford Cohort. </w:t>
      </w:r>
      <w:r w:rsidRPr="00A52898">
        <w:rPr>
          <w:i/>
          <w:iCs/>
          <w:lang w:val="fr-FR"/>
        </w:rPr>
        <w:t>Environ Health Perspect</w:t>
      </w:r>
      <w:r w:rsidRPr="00A52898">
        <w:rPr>
          <w:lang w:val="fr-FR"/>
        </w:rPr>
        <w:t>. 2016;124(5):681-689. doi:10.1289/ehp.1409480</w:t>
      </w:r>
    </w:p>
    <w:p w14:paraId="018D9510" w14:textId="77777777" w:rsidR="00A52898" w:rsidRDefault="00A52898" w:rsidP="00A52898">
      <w:pPr>
        <w:pStyle w:val="Bibliographie"/>
      </w:pPr>
      <w:r w:rsidRPr="00A52898">
        <w:rPr>
          <w:lang w:val="fr-FR"/>
        </w:rPr>
        <w:t>32.</w:t>
      </w:r>
      <w:r w:rsidRPr="00A52898">
        <w:rPr>
          <w:lang w:val="fr-FR"/>
        </w:rPr>
        <w:tab/>
        <w:t xml:space="preserve">Villanueva CM, Gracia-Lavedán E, Ibarluzea J, et al. </w:t>
      </w:r>
      <w:r>
        <w:t xml:space="preserve">Exposure to trihalomethanes through different water uses and birth weight, small for gestational age, and preterm delivery in Spain. </w:t>
      </w:r>
      <w:r>
        <w:rPr>
          <w:i/>
          <w:iCs/>
        </w:rPr>
        <w:t>Environ Health Perspect</w:t>
      </w:r>
      <w:r>
        <w:t>. 2011;119(12):1824-1830. doi:10.1289/ehp.1002425</w:t>
      </w:r>
    </w:p>
    <w:p w14:paraId="2F9C3C50" w14:textId="77777777" w:rsidR="00A52898" w:rsidRDefault="00A52898" w:rsidP="00A52898">
      <w:pPr>
        <w:pStyle w:val="Bibliographie"/>
      </w:pPr>
      <w:r>
        <w:t>33.</w:t>
      </w:r>
      <w:r>
        <w:tab/>
        <w:t xml:space="preserve">Stayner LT, Pedersen M, Patelarou E, et al. Exposure to Brominated Trihalomethanes in Water During Pregnancy and Micronuclei Frequency in Maternal and Cord Blood Lymphocytes. </w:t>
      </w:r>
      <w:r>
        <w:rPr>
          <w:i/>
          <w:iCs/>
        </w:rPr>
        <w:t>Environ Health Perspect</w:t>
      </w:r>
      <w:r>
        <w:t>. 2014;122(1):100-106. doi:10.1289/ehp.1206434</w:t>
      </w:r>
    </w:p>
    <w:p w14:paraId="17C29711" w14:textId="77777777" w:rsidR="00A52898" w:rsidRPr="00A52898" w:rsidRDefault="00A52898" w:rsidP="00A52898">
      <w:pPr>
        <w:pStyle w:val="Bibliographie"/>
        <w:rPr>
          <w:lang w:val="fr-FR"/>
        </w:rPr>
      </w:pPr>
      <w:r>
        <w:t>34.</w:t>
      </w:r>
      <w:r>
        <w:tab/>
        <w:t xml:space="preserve">Danileviciute A, Grazuleviciene R, Vencloviene J, Paulauskas A, Nieuwenhuijsen MJ. Exposure to Drinking Water Trihalomethanes and Their Association with Low Birth Weight and Small for Gestational Age in Genetically Susceptible Women. </w:t>
      </w:r>
      <w:r w:rsidRPr="00A52898">
        <w:rPr>
          <w:i/>
          <w:iCs/>
          <w:lang w:val="fr-FR"/>
        </w:rPr>
        <w:t>Int J Environ Res Public Health</w:t>
      </w:r>
      <w:r w:rsidRPr="00A52898">
        <w:rPr>
          <w:lang w:val="fr-FR"/>
        </w:rPr>
        <w:t>. 2012;9(12):4470-4485. doi:10.3390/ijerph9124470</w:t>
      </w:r>
    </w:p>
    <w:p w14:paraId="1F2A2987" w14:textId="77777777" w:rsidR="00A52898" w:rsidRDefault="00A52898" w:rsidP="00A52898">
      <w:pPr>
        <w:pStyle w:val="Bibliographie"/>
      </w:pPr>
      <w:r w:rsidRPr="00A52898">
        <w:rPr>
          <w:lang w:val="fr-FR"/>
        </w:rPr>
        <w:t>35.</w:t>
      </w:r>
      <w:r w:rsidRPr="00A52898">
        <w:rPr>
          <w:lang w:val="fr-FR"/>
        </w:rPr>
        <w:tab/>
        <w:t xml:space="preserve">Maitre L, de Bont J, Casas M, et al. </w:t>
      </w:r>
      <w:r>
        <w:t xml:space="preserve">Human Early Life Exposome (HELIX) study: a European population-based exposome cohort. </w:t>
      </w:r>
      <w:r>
        <w:rPr>
          <w:i/>
          <w:iCs/>
        </w:rPr>
        <w:t>BMJ Open</w:t>
      </w:r>
      <w:r>
        <w:t>. 2018;8(9):e021311. doi:10.1136/bmjopen-2017-021311</w:t>
      </w:r>
    </w:p>
    <w:p w14:paraId="2F87E0AC" w14:textId="77777777" w:rsidR="00A52898" w:rsidRDefault="00A52898" w:rsidP="00A52898">
      <w:pPr>
        <w:pStyle w:val="Bibliographie"/>
      </w:pPr>
      <w:r>
        <w:t>36.</w:t>
      </w:r>
      <w:r>
        <w:tab/>
        <w:t xml:space="preserve">Serra-Majem L, Ribas L, Ngo J, et al. Food, youth and the Mediterranean diet in Spain. Development of KIDMED, Mediterranean Diet Quality Index in children and adolescents. </w:t>
      </w:r>
      <w:r>
        <w:rPr>
          <w:i/>
          <w:iCs/>
        </w:rPr>
        <w:t>Public Health Nutr</w:t>
      </w:r>
      <w:r>
        <w:t>. 2004;7(7):931-935. doi:10.1079/phn2004556</w:t>
      </w:r>
    </w:p>
    <w:p w14:paraId="0AC2E04C" w14:textId="77777777" w:rsidR="00A52898" w:rsidRDefault="00A52898" w:rsidP="00A52898">
      <w:pPr>
        <w:pStyle w:val="Bibliographie"/>
      </w:pPr>
      <w:r>
        <w:t>37.</w:t>
      </w:r>
      <w:r>
        <w:tab/>
        <w:t xml:space="preserve">Liu Y, Wang M, Villberg J, et al. Reliability and Validity of Family Affluence Scale (FAS II) among Adolescents in Beijing, China. </w:t>
      </w:r>
      <w:r>
        <w:rPr>
          <w:i/>
          <w:iCs/>
        </w:rPr>
        <w:t>Child Indic Res</w:t>
      </w:r>
      <w:r>
        <w:t>. 2012;5(2):235-251. doi:10.1007/s12187-011-9131-5</w:t>
      </w:r>
    </w:p>
    <w:p w14:paraId="7123691C" w14:textId="77777777" w:rsidR="00A52898" w:rsidRPr="00A52898" w:rsidRDefault="00A52898" w:rsidP="00A52898">
      <w:pPr>
        <w:pStyle w:val="Bibliographie"/>
        <w:rPr>
          <w:lang w:val="fr-FR"/>
        </w:rPr>
      </w:pPr>
      <w:r>
        <w:t>38.</w:t>
      </w:r>
      <w:r>
        <w:tab/>
        <w:t xml:space="preserve">Boyce W, Torsheim T, Currie C, Zambon A. The Family Affluence Scale as a Measure of National Wealth: Validation of an Adolescent Self-Report Measure. </w:t>
      </w:r>
      <w:r w:rsidRPr="00A52898">
        <w:rPr>
          <w:i/>
          <w:iCs/>
          <w:lang w:val="fr-FR"/>
        </w:rPr>
        <w:t>Soc Indic Res</w:t>
      </w:r>
      <w:r w:rsidRPr="00A52898">
        <w:rPr>
          <w:lang w:val="fr-FR"/>
        </w:rPr>
        <w:t>. 2006;78(3):473-487. doi:10.1007/s11205-005-1607-6</w:t>
      </w:r>
    </w:p>
    <w:p w14:paraId="768440C8" w14:textId="77777777" w:rsidR="00A52898" w:rsidRPr="00A52898" w:rsidRDefault="00A52898" w:rsidP="00A52898">
      <w:pPr>
        <w:pStyle w:val="Bibliographie"/>
        <w:rPr>
          <w:lang w:val="fr-FR"/>
        </w:rPr>
      </w:pPr>
      <w:r w:rsidRPr="00A52898">
        <w:rPr>
          <w:lang w:val="fr-FR"/>
        </w:rPr>
        <w:t>39.</w:t>
      </w:r>
      <w:r w:rsidRPr="00A52898">
        <w:rPr>
          <w:lang w:val="fr-FR"/>
        </w:rPr>
        <w:tab/>
        <w:t xml:space="preserve">Haug LS, Sakhi AK, Cequier E, et al. </w:t>
      </w:r>
      <w:r>
        <w:t xml:space="preserve">In-utero and childhood chemical exposome in six European mother-child cohorts. </w:t>
      </w:r>
      <w:r w:rsidRPr="00A52898">
        <w:rPr>
          <w:i/>
          <w:iCs/>
          <w:lang w:val="fr-FR"/>
        </w:rPr>
        <w:t>Environ Int</w:t>
      </w:r>
      <w:r w:rsidRPr="00A52898">
        <w:rPr>
          <w:lang w:val="fr-FR"/>
        </w:rPr>
        <w:t>. 2018;121(Pt 1):751-763. doi:10.1016/j.envint.2018.09.056</w:t>
      </w:r>
    </w:p>
    <w:p w14:paraId="4AB62693" w14:textId="77777777" w:rsidR="00A52898" w:rsidRDefault="00A52898" w:rsidP="00A52898">
      <w:pPr>
        <w:pStyle w:val="Bibliographie"/>
      </w:pPr>
      <w:r w:rsidRPr="00A52898">
        <w:rPr>
          <w:lang w:val="fr-FR"/>
        </w:rPr>
        <w:t>40.</w:t>
      </w:r>
      <w:r w:rsidRPr="00A52898">
        <w:rPr>
          <w:lang w:val="fr-FR"/>
        </w:rPr>
        <w:tab/>
        <w:t xml:space="preserve">Caspersen IH, Kvalem HE, Haugen M, et al. </w:t>
      </w:r>
      <w:r>
        <w:t xml:space="preserve">Determinants of plasma PCB, brominated flame retardants, and organochlorine pesticides in pregnant women and 3 year old children in The Norwegian Mother and Child Cohort Study. </w:t>
      </w:r>
      <w:r>
        <w:rPr>
          <w:i/>
          <w:iCs/>
        </w:rPr>
        <w:t>Environ Res</w:t>
      </w:r>
      <w:r>
        <w:t>. 2016;146:136-144. doi:10.1016/j.envres.2015.12.020</w:t>
      </w:r>
    </w:p>
    <w:p w14:paraId="48F2C139" w14:textId="77777777" w:rsidR="00A52898" w:rsidRDefault="00A52898" w:rsidP="00A52898">
      <w:pPr>
        <w:pStyle w:val="Bibliographie"/>
      </w:pPr>
      <w:r>
        <w:t>41.</w:t>
      </w:r>
      <w:r>
        <w:tab/>
        <w:t xml:space="preserve">Goñi F, López R, Etxeandia A, Millán E, Amiano P. High throughput method for the determination of organochlorine pesticides and polychlorinated biphenyls in human serum. </w:t>
      </w:r>
      <w:r>
        <w:rPr>
          <w:i/>
          <w:iCs/>
        </w:rPr>
        <w:t>J Chromatogr B Analyt Technol Biomed Life Sci</w:t>
      </w:r>
      <w:r>
        <w:t>. 2007;852(1-2):15-21. doi:10.1016/j.jchromb.2006.12.049</w:t>
      </w:r>
    </w:p>
    <w:p w14:paraId="23EB9029" w14:textId="77777777" w:rsidR="00A52898" w:rsidRDefault="00A52898" w:rsidP="00A52898">
      <w:pPr>
        <w:pStyle w:val="Bibliographie"/>
      </w:pPr>
      <w:r>
        <w:t>42.</w:t>
      </w:r>
      <w:r>
        <w:tab/>
        <w:t xml:space="preserve">Koponen J, Rantakokko P, Airaksinen R, Kiviranta H. Determination of selected perfluorinated alkyl acids and persistent organic pollutants from a small volume human serum sample relevant for epidemiological studies. </w:t>
      </w:r>
      <w:r>
        <w:rPr>
          <w:i/>
          <w:iCs/>
        </w:rPr>
        <w:t>J Chromatogr A</w:t>
      </w:r>
      <w:r>
        <w:t>. 2013;1309:48-55. doi:10.1016/j.chroma.2013.07.064</w:t>
      </w:r>
    </w:p>
    <w:p w14:paraId="1F063051" w14:textId="77777777" w:rsidR="00A52898" w:rsidRDefault="00A52898" w:rsidP="00A52898">
      <w:pPr>
        <w:pStyle w:val="Bibliographie"/>
      </w:pPr>
      <w:r>
        <w:lastRenderedPageBreak/>
        <w:t>43.</w:t>
      </w:r>
      <w:r>
        <w:tab/>
        <w:t xml:space="preserve">Haug LS, Thomsen C, Becher G. A sensitive method for determination of a broad range of perfluorinated compounds in serum suitable for large-scale human biomonitoring. </w:t>
      </w:r>
      <w:r>
        <w:rPr>
          <w:i/>
          <w:iCs/>
        </w:rPr>
        <w:t>J Chromatogr A</w:t>
      </w:r>
      <w:r>
        <w:t>. 2009;1216(3):385-393. doi:10.1016/j.chroma.2008.10.113</w:t>
      </w:r>
    </w:p>
    <w:p w14:paraId="4B78487A" w14:textId="77777777" w:rsidR="00A52898" w:rsidRDefault="00A52898" w:rsidP="00A52898">
      <w:pPr>
        <w:pStyle w:val="Bibliographie"/>
      </w:pPr>
      <w:r>
        <w:t>44.</w:t>
      </w:r>
      <w:r>
        <w:tab/>
        <w:t xml:space="preserve">Poothong S, Lundanes E, Thomsen C, Haug LS. High throughput online solid phase extraction-ultra high performance liquid chromatography-tandem mass spectrometry method for polyfluoroalkyl phosphate esters, perfluoroalkyl phosphonates, and other perfluoroalkyl substances in human serum, plasma, and whole blood. </w:t>
      </w:r>
      <w:r>
        <w:rPr>
          <w:i/>
          <w:iCs/>
        </w:rPr>
        <w:t>Anal Chim Acta</w:t>
      </w:r>
      <w:r>
        <w:t>. 2017;957:10-19. doi:10.1016/j.aca.2016.12.043</w:t>
      </w:r>
    </w:p>
    <w:p w14:paraId="60813ADF" w14:textId="77777777" w:rsidR="00A52898" w:rsidRPr="00A52898" w:rsidRDefault="00A52898" w:rsidP="00A52898">
      <w:pPr>
        <w:pStyle w:val="Bibliographie"/>
        <w:rPr>
          <w:lang w:val="fr-FR"/>
        </w:rPr>
      </w:pPr>
      <w:r>
        <w:t>45.</w:t>
      </w:r>
      <w:r>
        <w:tab/>
        <w:t xml:space="preserve">Manzano-Salgado CB, Casas M, Lopez-Espinosa MJ, et al. Transfer of perfluoroalkyl substances from mother to fetus in a Spanish birth cohort. </w:t>
      </w:r>
      <w:r w:rsidRPr="00A52898">
        <w:rPr>
          <w:i/>
          <w:iCs/>
          <w:lang w:val="fr-FR"/>
        </w:rPr>
        <w:t>Environ Res</w:t>
      </w:r>
      <w:r w:rsidRPr="00A52898">
        <w:rPr>
          <w:lang w:val="fr-FR"/>
        </w:rPr>
        <w:t>. 2015;142:471-478. doi:10.1016/j.envres.2015.07.020</w:t>
      </w:r>
    </w:p>
    <w:p w14:paraId="58BC72F3" w14:textId="77777777" w:rsidR="00A52898" w:rsidRPr="00A52898" w:rsidRDefault="00A52898" w:rsidP="00A52898">
      <w:pPr>
        <w:pStyle w:val="Bibliographie"/>
        <w:rPr>
          <w:lang w:val="fr-FR"/>
        </w:rPr>
      </w:pPr>
      <w:r w:rsidRPr="00A52898">
        <w:rPr>
          <w:lang w:val="fr-FR"/>
        </w:rPr>
        <w:t>46.</w:t>
      </w:r>
      <w:r w:rsidRPr="00A52898">
        <w:rPr>
          <w:lang w:val="fr-FR"/>
        </w:rPr>
        <w:tab/>
        <w:t xml:space="preserve">Poothong S, Thomsen C, Padilla-Sanchez JA, Papadopoulou E, Haug LS. </w:t>
      </w:r>
      <w:r>
        <w:t xml:space="preserve">Distribution of Novel and Well-Known Poly- and Perfluoroalkyl Substances (PFASs) in Human Serum, Plasma, and Whole Blood. </w:t>
      </w:r>
      <w:r w:rsidRPr="00A52898">
        <w:rPr>
          <w:i/>
          <w:iCs/>
          <w:lang w:val="fr-FR"/>
        </w:rPr>
        <w:t>Environ Sci Technol</w:t>
      </w:r>
      <w:r w:rsidRPr="00A52898">
        <w:rPr>
          <w:lang w:val="fr-FR"/>
        </w:rPr>
        <w:t>. 2017;51(22):13388-13396. doi:10.1021/acs.est.7b03299</w:t>
      </w:r>
    </w:p>
    <w:p w14:paraId="5092AA5F" w14:textId="77777777" w:rsidR="00A52898" w:rsidRPr="00A52898" w:rsidRDefault="00A52898" w:rsidP="00A52898">
      <w:pPr>
        <w:pStyle w:val="Bibliographie"/>
        <w:rPr>
          <w:lang w:val="fr-FR"/>
        </w:rPr>
      </w:pPr>
      <w:r w:rsidRPr="00A52898">
        <w:rPr>
          <w:lang w:val="fr-FR"/>
        </w:rPr>
        <w:t>47.</w:t>
      </w:r>
      <w:r w:rsidRPr="00A52898">
        <w:rPr>
          <w:lang w:val="fr-FR"/>
        </w:rPr>
        <w:tab/>
        <w:t xml:space="preserve">Rodushkin I, Axelsson MD. </w:t>
      </w:r>
      <w:r>
        <w:t xml:space="preserve">Application of double focusing sector field ICP-MS for multielemental characterization of human hair and nails. Part II. A study of the inhabitants of northern Sweden. </w:t>
      </w:r>
      <w:r w:rsidRPr="00A52898">
        <w:rPr>
          <w:i/>
          <w:iCs/>
          <w:lang w:val="fr-FR"/>
        </w:rPr>
        <w:t>Sci Total Environ</w:t>
      </w:r>
      <w:r w:rsidRPr="00A52898">
        <w:rPr>
          <w:lang w:val="fr-FR"/>
        </w:rPr>
        <w:t>. 2000;262(1-2):21-36. doi:10.1016/s0048-9697(00)00531-3</w:t>
      </w:r>
    </w:p>
    <w:p w14:paraId="259ECD0A" w14:textId="77777777" w:rsidR="00A52898" w:rsidRDefault="00A52898" w:rsidP="00A52898">
      <w:pPr>
        <w:pStyle w:val="Bibliographie"/>
      </w:pPr>
      <w:r w:rsidRPr="00A52898">
        <w:rPr>
          <w:lang w:val="fr-FR"/>
        </w:rPr>
        <w:t>48.</w:t>
      </w:r>
      <w:r w:rsidRPr="00A52898">
        <w:rPr>
          <w:lang w:val="fr-FR"/>
        </w:rPr>
        <w:tab/>
        <w:t xml:space="preserve">Ramon R, Murcia M, Aguinagalde X, et al. </w:t>
      </w:r>
      <w:r>
        <w:t xml:space="preserve">Prenatal mercury exposure in a multicenter cohort study in Spain. </w:t>
      </w:r>
      <w:r>
        <w:rPr>
          <w:i/>
          <w:iCs/>
        </w:rPr>
        <w:t>Environ Int</w:t>
      </w:r>
      <w:r>
        <w:t>. 2011;37(3):597-604. doi:10.1016/j.envint.2010.12.004</w:t>
      </w:r>
    </w:p>
    <w:p w14:paraId="582CB9E5" w14:textId="77777777" w:rsidR="00A52898" w:rsidRDefault="00A52898" w:rsidP="00A52898">
      <w:pPr>
        <w:pStyle w:val="Bibliographie"/>
      </w:pPr>
      <w:r>
        <w:t>49.</w:t>
      </w:r>
      <w:r>
        <w:tab/>
        <w:t xml:space="preserve">Stern AH, Smith AE. An assessment of the cord blood:maternal blood methylmercury ratio: implications for risk assessment. </w:t>
      </w:r>
      <w:r>
        <w:rPr>
          <w:i/>
          <w:iCs/>
        </w:rPr>
        <w:t>Environ Health Perspect</w:t>
      </w:r>
      <w:r>
        <w:t>. 2003;111(12):1465-1470.</w:t>
      </w:r>
    </w:p>
    <w:p w14:paraId="46E4680C" w14:textId="77777777" w:rsidR="00A52898" w:rsidRDefault="00A52898" w:rsidP="00A52898">
      <w:pPr>
        <w:pStyle w:val="Bibliographie"/>
      </w:pPr>
      <w:r>
        <w:t>50.</w:t>
      </w:r>
      <w:r>
        <w:tab/>
        <w:t xml:space="preserve">Padilla MA, Elobeid M, Ruden DM, Allison DB. An Examination of the Association of Selected Toxic Metals with Total and Central Obesity Indices: NHANES 99-02. </w:t>
      </w:r>
      <w:r>
        <w:rPr>
          <w:i/>
          <w:iCs/>
        </w:rPr>
        <w:t>Int J Environ Res Public Health</w:t>
      </w:r>
      <w:r>
        <w:t>. 2010;7(9):3332-3347. doi:10.3390/ijerph7093332</w:t>
      </w:r>
    </w:p>
    <w:p w14:paraId="437876BE" w14:textId="77777777" w:rsidR="00A52898" w:rsidRPr="00A52898" w:rsidRDefault="00A52898" w:rsidP="00A52898">
      <w:pPr>
        <w:pStyle w:val="Bibliographie"/>
        <w:rPr>
          <w:lang w:val="fr-FR"/>
        </w:rPr>
      </w:pPr>
      <w:r>
        <w:t>51.</w:t>
      </w:r>
      <w:r>
        <w:tab/>
        <w:t xml:space="preserve">Sabaredzovic A, Sakhi AK, Brantsæter AL, Thomsen C. Determination of 12 urinary phthalate metabolites in Norwegian pregnant women by core–shell high performance liquid chromatography with on-line solid-phase extraction, column switching and tandem mass spectrometry. </w:t>
      </w:r>
      <w:r w:rsidRPr="00A52898">
        <w:rPr>
          <w:i/>
          <w:iCs/>
          <w:lang w:val="fr-FR"/>
        </w:rPr>
        <w:t>J Chromatogr B</w:t>
      </w:r>
      <w:r w:rsidRPr="00A52898">
        <w:rPr>
          <w:lang w:val="fr-FR"/>
        </w:rPr>
        <w:t>. 2015;1002:343-352. doi:10.1016/j.jchromb.2015.08.040</w:t>
      </w:r>
    </w:p>
    <w:p w14:paraId="7F701D74" w14:textId="77777777" w:rsidR="00A52898" w:rsidRDefault="00A52898" w:rsidP="00A52898">
      <w:pPr>
        <w:pStyle w:val="Bibliographie"/>
      </w:pPr>
      <w:r w:rsidRPr="00A52898">
        <w:rPr>
          <w:lang w:val="fr-FR"/>
        </w:rPr>
        <w:t>52.</w:t>
      </w:r>
      <w:r w:rsidRPr="00A52898">
        <w:rPr>
          <w:lang w:val="fr-FR"/>
        </w:rPr>
        <w:tab/>
        <w:t xml:space="preserve">Valvi D, Monfort N, Ventura R, et al. </w:t>
      </w:r>
      <w:r>
        <w:t xml:space="preserve">Variability and predictors of urinary phthalate metabolites in Spanish pregnant women. </w:t>
      </w:r>
      <w:r>
        <w:rPr>
          <w:i/>
          <w:iCs/>
        </w:rPr>
        <w:t>Int J Hyg Environ Health</w:t>
      </w:r>
      <w:r>
        <w:t>. 2015;218(2):220-231. doi:10.1016/j.ijheh.2014.11.003</w:t>
      </w:r>
    </w:p>
    <w:p w14:paraId="0B26E175" w14:textId="77777777" w:rsidR="00A52898" w:rsidRPr="00A52898" w:rsidRDefault="00A52898" w:rsidP="00A52898">
      <w:pPr>
        <w:pStyle w:val="Bibliographie"/>
        <w:rPr>
          <w:lang w:val="fr-FR"/>
        </w:rPr>
      </w:pPr>
      <w:r>
        <w:t>53.</w:t>
      </w:r>
      <w:r>
        <w:tab/>
        <w:t xml:space="preserve">Sakhi AK, Sabaredzovic A, Papadopoulou E, Cequier E, Thomsen C. Levels, variability and determinants of environmental phenols in pairs of Norwegian mothers and children. </w:t>
      </w:r>
      <w:r w:rsidRPr="00A52898">
        <w:rPr>
          <w:i/>
          <w:iCs/>
          <w:lang w:val="fr-FR"/>
        </w:rPr>
        <w:t>Environ Int</w:t>
      </w:r>
      <w:r w:rsidRPr="00A52898">
        <w:rPr>
          <w:lang w:val="fr-FR"/>
        </w:rPr>
        <w:t>. 2018;114:242-251. doi:10.1016/j.envint.2018.02.037</w:t>
      </w:r>
    </w:p>
    <w:p w14:paraId="6DA3F1C9" w14:textId="77777777" w:rsidR="00A52898" w:rsidRDefault="00A52898" w:rsidP="00A52898">
      <w:pPr>
        <w:pStyle w:val="Bibliographie"/>
      </w:pPr>
      <w:r w:rsidRPr="00A52898">
        <w:rPr>
          <w:lang w:val="fr-FR"/>
        </w:rPr>
        <w:t>54.</w:t>
      </w:r>
      <w:r w:rsidRPr="00A52898">
        <w:rPr>
          <w:lang w:val="fr-FR"/>
        </w:rPr>
        <w:tab/>
        <w:t xml:space="preserve">Philippat C, Mortamais M, Chevrier C, et al. </w:t>
      </w:r>
      <w:r>
        <w:t xml:space="preserve">Exposure to phthalates and phenols during pregnancy and offspring size at birth. </w:t>
      </w:r>
      <w:r>
        <w:rPr>
          <w:i/>
          <w:iCs/>
        </w:rPr>
        <w:t>Environ Health Perspect</w:t>
      </w:r>
      <w:r>
        <w:t>. 2012;120(3):464-470. doi:10.1289/ehp.1103634</w:t>
      </w:r>
    </w:p>
    <w:p w14:paraId="457F9345" w14:textId="77777777" w:rsidR="00A52898" w:rsidRDefault="00A52898" w:rsidP="00A52898">
      <w:pPr>
        <w:pStyle w:val="Bibliographie"/>
      </w:pPr>
      <w:r>
        <w:t>55.</w:t>
      </w:r>
      <w:r>
        <w:tab/>
        <w:t xml:space="preserve">Cequier E, Sakhi AK, Haug LS, Thomsen C. Development of an ion-pair liquid chromatography-high resolution mass spectrometry method for determination of organophosphate pesticide metabolites in large-scale biomonitoring studies. </w:t>
      </w:r>
      <w:r>
        <w:rPr>
          <w:i/>
          <w:iCs/>
        </w:rPr>
        <w:t>J Chromatogr A</w:t>
      </w:r>
      <w:r>
        <w:t>. 2016;1454:32-41. doi:10.1016/j.chroma.2016.05.067</w:t>
      </w:r>
    </w:p>
    <w:p w14:paraId="4A41A398" w14:textId="77777777" w:rsidR="00A52898" w:rsidRDefault="00A52898" w:rsidP="00A52898">
      <w:pPr>
        <w:pStyle w:val="Bibliographie"/>
      </w:pPr>
      <w:r>
        <w:lastRenderedPageBreak/>
        <w:t>56.</w:t>
      </w:r>
      <w:r>
        <w:tab/>
        <w:t xml:space="preserve">Aurrekoetxea JJ, Murcia M, Rebagliato M, et al. Determinants of self-reported smoking and misclassification during pregnancy, and analysis of optimal cut-off points for urinary cotinine: a cross-sectional study. </w:t>
      </w:r>
      <w:r>
        <w:rPr>
          <w:i/>
          <w:iCs/>
        </w:rPr>
        <w:t>BMJ Open</w:t>
      </w:r>
      <w:r>
        <w:t>. 2013;3(1):e002034. doi:10.1136/bmjopen-2012-002034</w:t>
      </w:r>
    </w:p>
    <w:p w14:paraId="532DDCC7" w14:textId="77777777" w:rsidR="00A52898" w:rsidRDefault="00A52898" w:rsidP="00A52898">
      <w:pPr>
        <w:pStyle w:val="Bibliographie"/>
      </w:pPr>
      <w:r>
        <w:t>57.</w:t>
      </w:r>
      <w:r>
        <w:tab/>
        <w:t xml:space="preserve">Sunyer J, Garcia-Esteban R, Castilla AM, et al. Exposure to second-hand smoke and reproductive outcomes depending on maternal asthma. </w:t>
      </w:r>
      <w:r>
        <w:rPr>
          <w:i/>
          <w:iCs/>
        </w:rPr>
        <w:t>Eur Respir J</w:t>
      </w:r>
      <w:r>
        <w:t>. 2012;40(2):371-376. doi:10.1183/09031936.00091411</w:t>
      </w:r>
    </w:p>
    <w:p w14:paraId="217BA0FA" w14:textId="77777777" w:rsidR="00A52898" w:rsidRDefault="00A52898" w:rsidP="00A52898">
      <w:pPr>
        <w:pStyle w:val="Bibliographie"/>
      </w:pPr>
      <w:r>
        <w:t>58.</w:t>
      </w:r>
      <w:r>
        <w:tab/>
        <w:t xml:space="preserve">Eisenmann JC. On the use of a continuous metabolic syndrome score in pediatric research. </w:t>
      </w:r>
      <w:r>
        <w:rPr>
          <w:i/>
          <w:iCs/>
        </w:rPr>
        <w:t>Cardiovasc Diabetol</w:t>
      </w:r>
      <w:r>
        <w:t>. 2008;7(1):17. doi:10.1186/1475-2840-7-17</w:t>
      </w:r>
    </w:p>
    <w:p w14:paraId="1EDB52C4" w14:textId="77777777" w:rsidR="00A52898" w:rsidRDefault="00A52898" w:rsidP="00A52898">
      <w:pPr>
        <w:pStyle w:val="Bibliographie"/>
      </w:pPr>
      <w:r>
        <w:t>59.</w:t>
      </w:r>
      <w:r>
        <w:tab/>
        <w:t>Rigby R, Stasinopoulos M, Heller G, Bastiani FD. Distributions for Modelling Location, Scale and Shape: Using GAMLSS in R. Published online November 14, 2017.</w:t>
      </w:r>
    </w:p>
    <w:p w14:paraId="5F02E8AA" w14:textId="77777777" w:rsidR="00A52898" w:rsidRDefault="00A52898" w:rsidP="00A52898">
      <w:pPr>
        <w:pStyle w:val="Bibliographie"/>
      </w:pPr>
      <w:r>
        <w:t>60.</w:t>
      </w:r>
      <w:r>
        <w:tab/>
        <w:t xml:space="preserve">Barba G, Buck C, Bammann K, et al. Blood pressure reference values for European non-overweight school children: the IDEFICS study. </w:t>
      </w:r>
      <w:r>
        <w:rPr>
          <w:i/>
          <w:iCs/>
        </w:rPr>
        <w:t>Int J Obes 2005</w:t>
      </w:r>
      <w:r>
        <w:t>. 2014;38 Suppl 2:S48-56. doi:10.1038/ijo.2014.135</w:t>
      </w:r>
    </w:p>
    <w:p w14:paraId="0DA4BC32" w14:textId="77777777" w:rsidR="00A52898" w:rsidRPr="00A52898" w:rsidRDefault="00A52898" w:rsidP="00A52898">
      <w:pPr>
        <w:pStyle w:val="Bibliographie"/>
        <w:rPr>
          <w:lang w:val="fr-FR"/>
        </w:rPr>
      </w:pPr>
      <w:r>
        <w:t>61.</w:t>
      </w:r>
      <w:r>
        <w:tab/>
        <w:t xml:space="preserve">Ahrens W, Moreno LA, Mårild S, et al. Metabolic syndrome in young children: definitions and results of the IDEFICS study. </w:t>
      </w:r>
      <w:r w:rsidRPr="00A52898">
        <w:rPr>
          <w:i/>
          <w:iCs/>
          <w:lang w:val="fr-FR"/>
        </w:rPr>
        <w:t>Int J Obes 2005</w:t>
      </w:r>
      <w:r w:rsidRPr="00A52898">
        <w:rPr>
          <w:lang w:val="fr-FR"/>
        </w:rPr>
        <w:t>. 2014;38 Suppl 2:S4-14. doi:10.1038/ijo.2014.130</w:t>
      </w:r>
    </w:p>
    <w:p w14:paraId="03D47600" w14:textId="77777777" w:rsidR="00A52898" w:rsidRDefault="00A52898" w:rsidP="00A52898">
      <w:pPr>
        <w:pStyle w:val="Bibliographie"/>
      </w:pPr>
      <w:r w:rsidRPr="00A52898">
        <w:rPr>
          <w:lang w:val="fr-FR"/>
        </w:rPr>
        <w:t>62.</w:t>
      </w:r>
      <w:r w:rsidRPr="00A52898">
        <w:rPr>
          <w:lang w:val="fr-FR"/>
        </w:rPr>
        <w:tab/>
        <w:t xml:space="preserve">Stratakis N, V Conti D, Jin R, et al. </w:t>
      </w:r>
      <w:r>
        <w:t xml:space="preserve">Prenatal Exposure to Perfluoroalkyl Substances Associated With Increased Susceptibility to Liver Injury in Children. </w:t>
      </w:r>
      <w:r>
        <w:rPr>
          <w:i/>
          <w:iCs/>
        </w:rPr>
        <w:t>Hepatol Baltim Md</w:t>
      </w:r>
      <w:r>
        <w:t>. 2020;72(5):1758-1770. doi:10.1002/hep.31483</w:t>
      </w:r>
    </w:p>
    <w:p w14:paraId="08BF9B72" w14:textId="77777777" w:rsidR="00A52898" w:rsidRDefault="00A52898" w:rsidP="00A52898">
      <w:pPr>
        <w:pStyle w:val="Bibliographie"/>
      </w:pPr>
      <w:r>
        <w:t>63.</w:t>
      </w:r>
      <w:r>
        <w:tab/>
        <w:t xml:space="preserve">Jin Y, Hein MJ, Deddens JA, Hines CJ. Analysis of Lognormally Distributed Exposure Data with Repeated Measures and Values below the Limit of Detection Using SAS. </w:t>
      </w:r>
      <w:r>
        <w:rPr>
          <w:i/>
          <w:iCs/>
        </w:rPr>
        <w:t>Ann Occup Hyg</w:t>
      </w:r>
      <w:r>
        <w:t>. 2011;55(1):97-112. doi:10.1093/annhyg/meq061</w:t>
      </w:r>
    </w:p>
    <w:p w14:paraId="39BB15CB" w14:textId="77777777" w:rsidR="00A52898" w:rsidRDefault="00A52898" w:rsidP="00A52898">
      <w:pPr>
        <w:pStyle w:val="Bibliographie"/>
      </w:pPr>
      <w:r>
        <w:t>64.</w:t>
      </w:r>
      <w:r>
        <w:tab/>
        <w:t xml:space="preserve">Stuart EA, Azur M, Frangakis C, Leaf P. Multiple imputation with large data sets: a case study of the Children’s Mental Health Initiative. </w:t>
      </w:r>
      <w:r>
        <w:rPr>
          <w:i/>
          <w:iCs/>
        </w:rPr>
        <w:t>Am J Epidemiol</w:t>
      </w:r>
      <w:r>
        <w:t>. 2009;169(9):1133-1139. doi:10.1093/aje/kwp026</w:t>
      </w:r>
    </w:p>
    <w:p w14:paraId="593FDB1F" w14:textId="77777777" w:rsidR="00A52898" w:rsidRDefault="00A52898" w:rsidP="00A52898">
      <w:pPr>
        <w:pStyle w:val="Bibliographie"/>
      </w:pPr>
      <w:r>
        <w:t>65.</w:t>
      </w:r>
      <w:r>
        <w:tab/>
        <w:t xml:space="preserve">Little RJA. Regression with Missing X’s: A Review. </w:t>
      </w:r>
      <w:r>
        <w:rPr>
          <w:i/>
          <w:iCs/>
        </w:rPr>
        <w:t>J Am Stat Assoc</w:t>
      </w:r>
      <w:r>
        <w:t>. 1992;87(420):1227-1237. doi:10.1080/01621459.1992.10476282</w:t>
      </w:r>
    </w:p>
    <w:p w14:paraId="01C60DF4" w14:textId="77777777" w:rsidR="00A52898" w:rsidRDefault="00A52898" w:rsidP="00A52898">
      <w:pPr>
        <w:pStyle w:val="Bibliographie"/>
      </w:pPr>
      <w:r w:rsidRPr="00A52898">
        <w:rPr>
          <w:lang w:val="fr-FR"/>
        </w:rPr>
        <w:t>66.</w:t>
      </w:r>
      <w:r w:rsidRPr="00A52898">
        <w:rPr>
          <w:lang w:val="fr-FR"/>
        </w:rPr>
        <w:tab/>
        <w:t xml:space="preserve">Agier L, Portengen L, Chadeau-Hyam M, et al. </w:t>
      </w:r>
      <w:r>
        <w:t xml:space="preserve">A Systematic Comparison of Linear Regression–Based Statistical Methods to Assess Exposome-Health Associations. </w:t>
      </w:r>
      <w:r>
        <w:rPr>
          <w:i/>
          <w:iCs/>
        </w:rPr>
        <w:t>Environ Health Perspect</w:t>
      </w:r>
      <w:r>
        <w:t>. 2016;124(12):1848-1856. doi:10.1289/EHP172</w:t>
      </w:r>
    </w:p>
    <w:p w14:paraId="26120D61" w14:textId="77777777" w:rsidR="00A52898" w:rsidRDefault="00A52898" w:rsidP="00A52898">
      <w:pPr>
        <w:pStyle w:val="Bibliographie"/>
      </w:pPr>
      <w:r>
        <w:t>67.</w:t>
      </w:r>
      <w:r>
        <w:tab/>
        <w:t xml:space="preserve">Wang Z, Ma S, Zappitelli M, Parikh C, Wang CY, Devarajan P. Penalized count data regression with application to hospital stay after pediatric cardiac surgery. </w:t>
      </w:r>
      <w:r>
        <w:rPr>
          <w:i/>
          <w:iCs/>
        </w:rPr>
        <w:t>Stat Methods Med Res</w:t>
      </w:r>
      <w:r>
        <w:t>. 2016;25(6):2685-2703. doi:10.1177/0962280214530608</w:t>
      </w:r>
    </w:p>
    <w:p w14:paraId="1D97FD83" w14:textId="77777777" w:rsidR="00A52898" w:rsidRDefault="00A52898" w:rsidP="00A52898">
      <w:pPr>
        <w:pStyle w:val="Bibliographie"/>
      </w:pPr>
      <w:r>
        <w:t>68.</w:t>
      </w:r>
      <w:r>
        <w:tab/>
        <w:t xml:space="preserve">Li MX, Yeung JMY, Cherny SS, Sham PC. Evaluating the effective numbers of independent tests and significant p-value thresholds in commercial genotyping arrays and public imputation reference datasets. </w:t>
      </w:r>
      <w:r>
        <w:rPr>
          <w:i/>
          <w:iCs/>
        </w:rPr>
        <w:t>Hum Genet</w:t>
      </w:r>
      <w:r>
        <w:t>. 2012;131(5):747-756. doi:10.1007/s00439-011-1118-2</w:t>
      </w:r>
    </w:p>
    <w:p w14:paraId="6AE548B4" w14:textId="77777777" w:rsidR="00A52898" w:rsidRPr="00A52898" w:rsidRDefault="00A52898" w:rsidP="00A52898">
      <w:pPr>
        <w:pStyle w:val="Bibliographie"/>
        <w:rPr>
          <w:lang w:val="fr-FR"/>
        </w:rPr>
      </w:pPr>
      <w:r>
        <w:t>69.</w:t>
      </w:r>
      <w:r>
        <w:tab/>
        <w:t xml:space="preserve">White IR, Royston P, Wood AM. Multiple imputation using chained equations: Issues and guidance for practice. </w:t>
      </w:r>
      <w:r w:rsidRPr="00A52898">
        <w:rPr>
          <w:i/>
          <w:iCs/>
          <w:lang w:val="fr-FR"/>
        </w:rPr>
        <w:t>Stat Med</w:t>
      </w:r>
      <w:r w:rsidRPr="00A52898">
        <w:rPr>
          <w:lang w:val="fr-FR"/>
        </w:rPr>
        <w:t>. 2011;30(4):377-399. doi:10.1002/sim.4067</w:t>
      </w:r>
    </w:p>
    <w:p w14:paraId="7923117B" w14:textId="77777777" w:rsidR="00A52898" w:rsidRPr="00A52898" w:rsidRDefault="00A52898" w:rsidP="00A52898">
      <w:pPr>
        <w:pStyle w:val="Bibliographie"/>
        <w:rPr>
          <w:lang w:val="fr-FR"/>
        </w:rPr>
      </w:pPr>
      <w:r w:rsidRPr="00A52898">
        <w:rPr>
          <w:lang w:val="fr-FR"/>
        </w:rPr>
        <w:t>70.</w:t>
      </w:r>
      <w:r w:rsidRPr="00A52898">
        <w:rPr>
          <w:lang w:val="fr-FR"/>
        </w:rPr>
        <w:tab/>
        <w:t xml:space="preserve">De Henauw S, Michels N, Vyncke K, et al. </w:t>
      </w:r>
      <w:r>
        <w:t xml:space="preserve">Blood lipids among young children in Europe: results from the European IDEFICS study. </w:t>
      </w:r>
      <w:r w:rsidRPr="00A52898">
        <w:rPr>
          <w:i/>
          <w:iCs/>
          <w:lang w:val="fr-FR"/>
        </w:rPr>
        <w:t>Int J Obes 2005</w:t>
      </w:r>
      <w:r w:rsidRPr="00A52898">
        <w:rPr>
          <w:lang w:val="fr-FR"/>
        </w:rPr>
        <w:t>. 2014;38 Suppl 2:S67-75. doi:10.1038/ijo.2014.137</w:t>
      </w:r>
    </w:p>
    <w:p w14:paraId="516291B2" w14:textId="77777777" w:rsidR="00A52898" w:rsidRPr="00A52898" w:rsidRDefault="00A52898" w:rsidP="00A52898">
      <w:pPr>
        <w:pStyle w:val="Bibliographie"/>
        <w:rPr>
          <w:lang w:val="fr-FR"/>
        </w:rPr>
      </w:pPr>
      <w:r w:rsidRPr="00A52898">
        <w:rPr>
          <w:lang w:val="fr-FR"/>
        </w:rPr>
        <w:lastRenderedPageBreak/>
        <w:t>71.</w:t>
      </w:r>
      <w:r w:rsidRPr="00A52898">
        <w:rPr>
          <w:lang w:val="fr-FR"/>
        </w:rPr>
        <w:tab/>
        <w:t xml:space="preserve">Nagy P, Kovacs E, Moreno LA, et al. </w:t>
      </w:r>
      <w:r>
        <w:t xml:space="preserve">Percentile reference values for anthropometric body composition indices in European children from the IDEFICS study. </w:t>
      </w:r>
      <w:r w:rsidRPr="00A52898">
        <w:rPr>
          <w:i/>
          <w:iCs/>
          <w:lang w:val="fr-FR"/>
        </w:rPr>
        <w:t>Int J Obes 2005</w:t>
      </w:r>
      <w:r w:rsidRPr="00A52898">
        <w:rPr>
          <w:lang w:val="fr-FR"/>
        </w:rPr>
        <w:t>. 2014;38 Suppl 2:S15-25. doi:10.1038/ijo.2014.131</w:t>
      </w:r>
    </w:p>
    <w:p w14:paraId="4D7C36CD" w14:textId="77777777" w:rsidR="00A52898" w:rsidRDefault="00A52898" w:rsidP="00A52898">
      <w:pPr>
        <w:pStyle w:val="Bibliographie"/>
      </w:pPr>
      <w:r w:rsidRPr="00A52898">
        <w:rPr>
          <w:lang w:val="fr-FR"/>
        </w:rPr>
        <w:t>72.</w:t>
      </w:r>
      <w:r w:rsidRPr="00A52898">
        <w:rPr>
          <w:lang w:val="fr-FR"/>
        </w:rPr>
        <w:tab/>
        <w:t xml:space="preserve">Peplies J, Jiménez-Pavón D, Savva SC, et al. </w:t>
      </w:r>
      <w:r>
        <w:t xml:space="preserve">Percentiles of fasting serum insulin, glucose, HbA1c and HOMA-IR in pre-pubertal normal weight European children from the IDEFICS cohort. </w:t>
      </w:r>
      <w:r>
        <w:rPr>
          <w:i/>
          <w:iCs/>
        </w:rPr>
        <w:t>Int J Obes 2005</w:t>
      </w:r>
      <w:r>
        <w:t>. 2014;38 Suppl 2:S39-47. doi:10.1038/ijo.2014.134</w:t>
      </w:r>
    </w:p>
    <w:p w14:paraId="50FBD747" w14:textId="7247CE0A" w:rsidR="005E717B" w:rsidRPr="0025691D" w:rsidRDefault="00384859" w:rsidP="0025691D">
      <w:pPr>
        <w:rPr>
          <w:lang w:val="fr-FR"/>
        </w:rPr>
      </w:pPr>
      <w:r>
        <w:rPr>
          <w:lang w:val="fr-FR"/>
        </w:rPr>
        <w:fldChar w:fldCharType="end"/>
      </w:r>
    </w:p>
    <w:p w14:paraId="687E9389" w14:textId="77777777" w:rsidR="005E717B" w:rsidRPr="008A5C48" w:rsidRDefault="005E717B" w:rsidP="00FB6412">
      <w:pPr>
        <w:widowControl w:val="0"/>
        <w:pBdr>
          <w:top w:val="nil"/>
          <w:left w:val="nil"/>
          <w:bottom w:val="nil"/>
          <w:right w:val="nil"/>
          <w:between w:val="nil"/>
        </w:pBdr>
        <w:spacing w:after="0" w:line="240" w:lineRule="auto"/>
        <w:rPr>
          <w:rFonts w:ascii="Times New Roman" w:eastAsia="Times New Roman" w:hAnsi="Times New Roman" w:cs="Times New Roman"/>
          <w:b/>
          <w:sz w:val="20"/>
          <w:szCs w:val="20"/>
        </w:rPr>
      </w:pPr>
    </w:p>
    <w:sectPr w:rsidR="005E717B" w:rsidRPr="008A5C48" w:rsidSect="004D6F30">
      <w:pgSz w:w="11906" w:h="16838"/>
      <w:pgMar w:top="1417" w:right="1417" w:bottom="1417" w:left="1417" w:header="708" w:footer="708"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374E8C" w14:textId="77777777" w:rsidR="006434B3" w:rsidRDefault="006434B3">
      <w:pPr>
        <w:spacing w:after="0" w:line="240" w:lineRule="auto"/>
      </w:pPr>
      <w:r>
        <w:separator/>
      </w:r>
    </w:p>
  </w:endnote>
  <w:endnote w:type="continuationSeparator" w:id="0">
    <w:p w14:paraId="5DEBE6B3" w14:textId="77777777" w:rsidR="006434B3" w:rsidRDefault="006434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Noto Sans Symbols">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dvOTe81213fa">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Gungsuh">
    <w:charset w:val="81"/>
    <w:family w:val="roman"/>
    <w:pitch w:val="variable"/>
    <w:sig w:usb0="B00002AF" w:usb1="69D77CFB" w:usb2="00000030" w:usb3="00000000" w:csb0="0008009F" w:csb1="00000000"/>
  </w:font>
  <w:font w:name="HelveticaNeueforSAS Light">
    <w:altName w:val="Arial"/>
    <w:charset w:val="00"/>
    <w:family w:val="swiss"/>
    <w:pitch w:val="variable"/>
    <w:sig w:usb0="A00002EF" w:usb1="5000205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B1B07" w14:textId="19C76FBB" w:rsidR="005E717B" w:rsidRDefault="00966211" w:rsidP="00EF2FC1">
    <w:pPr>
      <w:pBdr>
        <w:top w:val="nil"/>
        <w:left w:val="nil"/>
        <w:bottom w:val="nil"/>
        <w:right w:val="nil"/>
        <w:between w:val="nil"/>
      </w:pBdr>
      <w:tabs>
        <w:tab w:val="center" w:pos="4536"/>
        <w:tab w:val="right" w:pos="9072"/>
      </w:tabs>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fldChar w:fldCharType="begin"/>
    </w:r>
    <w:r>
      <w:rPr>
        <w:rFonts w:ascii="Times New Roman" w:eastAsia="Times New Roman" w:hAnsi="Times New Roman" w:cs="Times New Roman"/>
        <w:color w:val="000000"/>
      </w:rPr>
      <w:instrText>PAGE</w:instrText>
    </w:r>
    <w:r>
      <w:rPr>
        <w:rFonts w:ascii="Times New Roman" w:eastAsia="Times New Roman" w:hAnsi="Times New Roman" w:cs="Times New Roman"/>
        <w:color w:val="000000"/>
      </w:rPr>
      <w:fldChar w:fldCharType="separate"/>
    </w:r>
    <w:r w:rsidR="00B04D26">
      <w:rPr>
        <w:rFonts w:ascii="Times New Roman" w:eastAsia="Times New Roman" w:hAnsi="Times New Roman" w:cs="Times New Roman"/>
        <w:noProof/>
        <w:color w:val="000000"/>
      </w:rPr>
      <w:t>1</w:t>
    </w:r>
    <w:r>
      <w:rPr>
        <w:rFonts w:ascii="Times New Roman" w:eastAsia="Times New Roman" w:hAnsi="Times New Roman" w:cs="Times New Roman"/>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6BC6EA" w14:textId="77777777" w:rsidR="006434B3" w:rsidRDefault="006434B3">
      <w:pPr>
        <w:spacing w:after="0" w:line="240" w:lineRule="auto"/>
      </w:pPr>
      <w:r>
        <w:separator/>
      </w:r>
    </w:p>
  </w:footnote>
  <w:footnote w:type="continuationSeparator" w:id="0">
    <w:p w14:paraId="66F6C0E2" w14:textId="77777777" w:rsidR="006434B3" w:rsidRDefault="006434B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77880"/>
    <w:multiLevelType w:val="multilevel"/>
    <w:tmpl w:val="451A7616"/>
    <w:lvl w:ilvl="0">
      <w:start w:val="1"/>
      <w:numFmt w:val="bullet"/>
      <w:lvlText w:val="-"/>
      <w:lvlJc w:val="left"/>
      <w:pPr>
        <w:ind w:left="720" w:hanging="360"/>
      </w:pPr>
      <w:rPr>
        <w:rFonts w:ascii="Cambria" w:eastAsia="Cambria" w:hAnsi="Cambria" w:cs="Cambri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69121D5"/>
    <w:multiLevelType w:val="hybridMultilevel"/>
    <w:tmpl w:val="635EA5E4"/>
    <w:lvl w:ilvl="0" w:tplc="BFCA626E">
      <w:start w:val="26"/>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26E0BC2"/>
    <w:multiLevelType w:val="multilevel"/>
    <w:tmpl w:val="77B4B02E"/>
    <w:lvl w:ilvl="0">
      <w:start w:val="1"/>
      <w:numFmt w:val="decimal"/>
      <w:lvlText w:val="%1-"/>
      <w:lvlJc w:val="left"/>
      <w:pPr>
        <w:ind w:left="4187"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B1E547B"/>
    <w:multiLevelType w:val="multilevel"/>
    <w:tmpl w:val="6E8A2182"/>
    <w:lvl w:ilvl="0">
      <w:start w:val="1"/>
      <w:numFmt w:val="bullet"/>
      <w:lvlText w:val="●"/>
      <w:lvlJc w:val="left"/>
      <w:pPr>
        <w:ind w:left="360" w:hanging="360"/>
      </w:pPr>
      <w:rPr>
        <w:rFonts w:ascii="Noto Sans Symbols" w:eastAsia="Noto Sans Symbols" w:hAnsi="Noto Sans Symbols" w:cs="Noto Sans Symbols"/>
        <w:b w:val="0"/>
        <w:i w:val="0"/>
        <w:color w:val="44546A"/>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 w15:restartNumberingAfterBreak="0">
    <w:nsid w:val="402922A8"/>
    <w:multiLevelType w:val="hybridMultilevel"/>
    <w:tmpl w:val="6C883ABC"/>
    <w:lvl w:ilvl="0" w:tplc="BF12AF66">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8DA25FA"/>
    <w:multiLevelType w:val="multilevel"/>
    <w:tmpl w:val="2536EF06"/>
    <w:lvl w:ilvl="0">
      <w:start w:val="1"/>
      <w:numFmt w:val="decimal"/>
      <w:lvlText w:val="Annex %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4C4F3C06"/>
    <w:multiLevelType w:val="hybridMultilevel"/>
    <w:tmpl w:val="22D00458"/>
    <w:lvl w:ilvl="0" w:tplc="ADA88296">
      <w:start w:val="1"/>
      <w:numFmt w:val="decimal"/>
      <w:lvlText w:val="%1 -"/>
      <w:lvlJc w:val="left"/>
      <w:pPr>
        <w:ind w:left="1077" w:hanging="360"/>
      </w:pPr>
      <w:rPr>
        <w:rFonts w:hint="default"/>
      </w:rPr>
    </w:lvl>
    <w:lvl w:ilvl="1" w:tplc="040C0019" w:tentative="1">
      <w:start w:val="1"/>
      <w:numFmt w:val="lowerLetter"/>
      <w:lvlText w:val="%2."/>
      <w:lvlJc w:val="left"/>
      <w:pPr>
        <w:ind w:left="1797" w:hanging="360"/>
      </w:pPr>
    </w:lvl>
    <w:lvl w:ilvl="2" w:tplc="040C001B" w:tentative="1">
      <w:start w:val="1"/>
      <w:numFmt w:val="lowerRoman"/>
      <w:lvlText w:val="%3."/>
      <w:lvlJc w:val="right"/>
      <w:pPr>
        <w:ind w:left="2517" w:hanging="180"/>
      </w:pPr>
    </w:lvl>
    <w:lvl w:ilvl="3" w:tplc="040C000F" w:tentative="1">
      <w:start w:val="1"/>
      <w:numFmt w:val="decimal"/>
      <w:lvlText w:val="%4."/>
      <w:lvlJc w:val="left"/>
      <w:pPr>
        <w:ind w:left="3237" w:hanging="360"/>
      </w:pPr>
    </w:lvl>
    <w:lvl w:ilvl="4" w:tplc="040C0019" w:tentative="1">
      <w:start w:val="1"/>
      <w:numFmt w:val="lowerLetter"/>
      <w:lvlText w:val="%5."/>
      <w:lvlJc w:val="left"/>
      <w:pPr>
        <w:ind w:left="3957" w:hanging="360"/>
      </w:pPr>
    </w:lvl>
    <w:lvl w:ilvl="5" w:tplc="040C001B" w:tentative="1">
      <w:start w:val="1"/>
      <w:numFmt w:val="lowerRoman"/>
      <w:lvlText w:val="%6."/>
      <w:lvlJc w:val="right"/>
      <w:pPr>
        <w:ind w:left="4677" w:hanging="180"/>
      </w:pPr>
    </w:lvl>
    <w:lvl w:ilvl="6" w:tplc="040C000F" w:tentative="1">
      <w:start w:val="1"/>
      <w:numFmt w:val="decimal"/>
      <w:lvlText w:val="%7."/>
      <w:lvlJc w:val="left"/>
      <w:pPr>
        <w:ind w:left="5397" w:hanging="360"/>
      </w:pPr>
    </w:lvl>
    <w:lvl w:ilvl="7" w:tplc="040C0019" w:tentative="1">
      <w:start w:val="1"/>
      <w:numFmt w:val="lowerLetter"/>
      <w:lvlText w:val="%8."/>
      <w:lvlJc w:val="left"/>
      <w:pPr>
        <w:ind w:left="6117" w:hanging="360"/>
      </w:pPr>
    </w:lvl>
    <w:lvl w:ilvl="8" w:tplc="040C001B" w:tentative="1">
      <w:start w:val="1"/>
      <w:numFmt w:val="lowerRoman"/>
      <w:lvlText w:val="%9."/>
      <w:lvlJc w:val="right"/>
      <w:pPr>
        <w:ind w:left="6837" w:hanging="180"/>
      </w:pPr>
    </w:lvl>
  </w:abstractNum>
  <w:abstractNum w:abstractNumId="7" w15:restartNumberingAfterBreak="0">
    <w:nsid w:val="5F2A27E9"/>
    <w:multiLevelType w:val="multilevel"/>
    <w:tmpl w:val="98FA232C"/>
    <w:lvl w:ilvl="0">
      <w:start w:val="1"/>
      <w:numFmt w:val="decimal"/>
      <w:lvlText w:val="%1"/>
      <w:lvlJc w:val="left"/>
      <w:pPr>
        <w:ind w:left="408" w:hanging="408"/>
      </w:pPr>
      <w:rPr>
        <w:rFonts w:hint="default"/>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651D59DF"/>
    <w:multiLevelType w:val="hybridMultilevel"/>
    <w:tmpl w:val="F392D450"/>
    <w:lvl w:ilvl="0" w:tplc="27F675C8">
      <w:start w:val="16"/>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7C8301A2"/>
    <w:multiLevelType w:val="hybridMultilevel"/>
    <w:tmpl w:val="C67AA976"/>
    <w:lvl w:ilvl="0" w:tplc="6EF4E6D2">
      <w:start w:val="14"/>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7D9D3209"/>
    <w:multiLevelType w:val="multilevel"/>
    <w:tmpl w:val="6FCEA64A"/>
    <w:lvl w:ilvl="0">
      <w:start w:val="1"/>
      <w:numFmt w:val="bullet"/>
      <w:lvlText w:val="-"/>
      <w:lvlJc w:val="left"/>
      <w:pPr>
        <w:ind w:left="720" w:hanging="360"/>
      </w:pPr>
      <w:rPr>
        <w:rFonts w:ascii="Cambria" w:eastAsia="Cambria" w:hAnsi="Cambria" w:cs="Cambri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0"/>
  </w:num>
  <w:num w:numId="2">
    <w:abstractNumId w:val="0"/>
  </w:num>
  <w:num w:numId="3">
    <w:abstractNumId w:val="5"/>
  </w:num>
  <w:num w:numId="4">
    <w:abstractNumId w:val="3"/>
  </w:num>
  <w:num w:numId="5">
    <w:abstractNumId w:val="2"/>
  </w:num>
  <w:num w:numId="6">
    <w:abstractNumId w:val="6"/>
  </w:num>
  <w:num w:numId="7">
    <w:abstractNumId w:val="4"/>
  </w:num>
  <w:num w:numId="8">
    <w:abstractNumId w:val="7"/>
  </w:num>
  <w:num w:numId="9">
    <w:abstractNumId w:val="8"/>
  </w:num>
  <w:num w:numId="10">
    <w:abstractNumId w:val="1"/>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717B"/>
    <w:rsid w:val="00011D72"/>
    <w:rsid w:val="000154BD"/>
    <w:rsid w:val="00021774"/>
    <w:rsid w:val="00021F36"/>
    <w:rsid w:val="00027188"/>
    <w:rsid w:val="00032931"/>
    <w:rsid w:val="00032CB3"/>
    <w:rsid w:val="00040FB6"/>
    <w:rsid w:val="0004107D"/>
    <w:rsid w:val="00046B47"/>
    <w:rsid w:val="000612D8"/>
    <w:rsid w:val="0006393D"/>
    <w:rsid w:val="000902CC"/>
    <w:rsid w:val="000A78D0"/>
    <w:rsid w:val="000C5D8C"/>
    <w:rsid w:val="000D2F70"/>
    <w:rsid w:val="000E1F66"/>
    <w:rsid w:val="000E6AE6"/>
    <w:rsid w:val="000E7A42"/>
    <w:rsid w:val="000F1407"/>
    <w:rsid w:val="000F7444"/>
    <w:rsid w:val="001027F0"/>
    <w:rsid w:val="001030F8"/>
    <w:rsid w:val="00107A3A"/>
    <w:rsid w:val="00110736"/>
    <w:rsid w:val="0011154C"/>
    <w:rsid w:val="00117196"/>
    <w:rsid w:val="00121503"/>
    <w:rsid w:val="001310CB"/>
    <w:rsid w:val="0014312D"/>
    <w:rsid w:val="00144162"/>
    <w:rsid w:val="001468C7"/>
    <w:rsid w:val="00152C6C"/>
    <w:rsid w:val="00157D43"/>
    <w:rsid w:val="00160D7E"/>
    <w:rsid w:val="00165CF0"/>
    <w:rsid w:val="001672AC"/>
    <w:rsid w:val="0017084B"/>
    <w:rsid w:val="00173021"/>
    <w:rsid w:val="00173604"/>
    <w:rsid w:val="00192C57"/>
    <w:rsid w:val="001962B4"/>
    <w:rsid w:val="001B140B"/>
    <w:rsid w:val="001B2D9D"/>
    <w:rsid w:val="001B4C0A"/>
    <w:rsid w:val="001C0B55"/>
    <w:rsid w:val="001C28D4"/>
    <w:rsid w:val="001C582A"/>
    <w:rsid w:val="001D221F"/>
    <w:rsid w:val="001E1198"/>
    <w:rsid w:val="001E32CE"/>
    <w:rsid w:val="001E4B45"/>
    <w:rsid w:val="001E61A5"/>
    <w:rsid w:val="001F7646"/>
    <w:rsid w:val="002014F6"/>
    <w:rsid w:val="00205B97"/>
    <w:rsid w:val="002126CB"/>
    <w:rsid w:val="002455D5"/>
    <w:rsid w:val="0025691D"/>
    <w:rsid w:val="00257021"/>
    <w:rsid w:val="00257D26"/>
    <w:rsid w:val="00260BF2"/>
    <w:rsid w:val="00262C01"/>
    <w:rsid w:val="00263195"/>
    <w:rsid w:val="00265915"/>
    <w:rsid w:val="00274376"/>
    <w:rsid w:val="00276BE5"/>
    <w:rsid w:val="0029571D"/>
    <w:rsid w:val="002A36DB"/>
    <w:rsid w:val="002A4F43"/>
    <w:rsid w:val="002A5B71"/>
    <w:rsid w:val="002C157C"/>
    <w:rsid w:val="002C323E"/>
    <w:rsid w:val="002D561D"/>
    <w:rsid w:val="002D5EF6"/>
    <w:rsid w:val="002E0F51"/>
    <w:rsid w:val="002E7EB2"/>
    <w:rsid w:val="002F5548"/>
    <w:rsid w:val="00307D60"/>
    <w:rsid w:val="00310920"/>
    <w:rsid w:val="0032268D"/>
    <w:rsid w:val="00323777"/>
    <w:rsid w:val="00323C72"/>
    <w:rsid w:val="00345AF6"/>
    <w:rsid w:val="00347363"/>
    <w:rsid w:val="00351D41"/>
    <w:rsid w:val="00352B1D"/>
    <w:rsid w:val="00366784"/>
    <w:rsid w:val="00375C36"/>
    <w:rsid w:val="00376689"/>
    <w:rsid w:val="00377F57"/>
    <w:rsid w:val="00384859"/>
    <w:rsid w:val="003900F0"/>
    <w:rsid w:val="00394E1F"/>
    <w:rsid w:val="003A073E"/>
    <w:rsid w:val="003A2A54"/>
    <w:rsid w:val="003A373D"/>
    <w:rsid w:val="003A7E4C"/>
    <w:rsid w:val="003B37FD"/>
    <w:rsid w:val="003B3925"/>
    <w:rsid w:val="003B5500"/>
    <w:rsid w:val="003B73E2"/>
    <w:rsid w:val="003C04FB"/>
    <w:rsid w:val="003C1E4B"/>
    <w:rsid w:val="003D1EEC"/>
    <w:rsid w:val="003D38B7"/>
    <w:rsid w:val="003D63D7"/>
    <w:rsid w:val="003E1060"/>
    <w:rsid w:val="003F1D16"/>
    <w:rsid w:val="00401D4E"/>
    <w:rsid w:val="00402297"/>
    <w:rsid w:val="004120E3"/>
    <w:rsid w:val="00417481"/>
    <w:rsid w:val="004230C6"/>
    <w:rsid w:val="00442E58"/>
    <w:rsid w:val="00453FB6"/>
    <w:rsid w:val="004633D5"/>
    <w:rsid w:val="00466EB1"/>
    <w:rsid w:val="00480DE0"/>
    <w:rsid w:val="00482B3B"/>
    <w:rsid w:val="004848B6"/>
    <w:rsid w:val="0048533F"/>
    <w:rsid w:val="0049311A"/>
    <w:rsid w:val="00497F02"/>
    <w:rsid w:val="004A5C45"/>
    <w:rsid w:val="004A5D5D"/>
    <w:rsid w:val="004C0DD1"/>
    <w:rsid w:val="004D590A"/>
    <w:rsid w:val="004D6F30"/>
    <w:rsid w:val="004E05B8"/>
    <w:rsid w:val="004E2DEE"/>
    <w:rsid w:val="004E6AF3"/>
    <w:rsid w:val="004E6CEB"/>
    <w:rsid w:val="004F1408"/>
    <w:rsid w:val="00504DB0"/>
    <w:rsid w:val="00506C07"/>
    <w:rsid w:val="0051000E"/>
    <w:rsid w:val="005157D4"/>
    <w:rsid w:val="005212D3"/>
    <w:rsid w:val="0052350E"/>
    <w:rsid w:val="00524E0D"/>
    <w:rsid w:val="00526E13"/>
    <w:rsid w:val="0053030C"/>
    <w:rsid w:val="00534273"/>
    <w:rsid w:val="005345EE"/>
    <w:rsid w:val="00536C78"/>
    <w:rsid w:val="00536CC2"/>
    <w:rsid w:val="00542897"/>
    <w:rsid w:val="0055085F"/>
    <w:rsid w:val="0055317D"/>
    <w:rsid w:val="00553B77"/>
    <w:rsid w:val="005710E7"/>
    <w:rsid w:val="0058265C"/>
    <w:rsid w:val="00593A4C"/>
    <w:rsid w:val="00596C42"/>
    <w:rsid w:val="005A1CC9"/>
    <w:rsid w:val="005B06FE"/>
    <w:rsid w:val="005B0913"/>
    <w:rsid w:val="005B7A66"/>
    <w:rsid w:val="005D11A4"/>
    <w:rsid w:val="005E717B"/>
    <w:rsid w:val="005F1DBE"/>
    <w:rsid w:val="00606B95"/>
    <w:rsid w:val="00612D91"/>
    <w:rsid w:val="006155D3"/>
    <w:rsid w:val="00617D74"/>
    <w:rsid w:val="00640EA8"/>
    <w:rsid w:val="006434B3"/>
    <w:rsid w:val="00657203"/>
    <w:rsid w:val="00665A9C"/>
    <w:rsid w:val="006678E9"/>
    <w:rsid w:val="00671B87"/>
    <w:rsid w:val="006734C4"/>
    <w:rsid w:val="00674923"/>
    <w:rsid w:val="006771C4"/>
    <w:rsid w:val="006963FD"/>
    <w:rsid w:val="006965CC"/>
    <w:rsid w:val="006A1988"/>
    <w:rsid w:val="006A6A62"/>
    <w:rsid w:val="006A6AEE"/>
    <w:rsid w:val="006B0270"/>
    <w:rsid w:val="006C26A1"/>
    <w:rsid w:val="006C5F83"/>
    <w:rsid w:val="006C6654"/>
    <w:rsid w:val="006D6454"/>
    <w:rsid w:val="006E17E9"/>
    <w:rsid w:val="006E637C"/>
    <w:rsid w:val="006F590A"/>
    <w:rsid w:val="006F6BAF"/>
    <w:rsid w:val="00701BB6"/>
    <w:rsid w:val="00704714"/>
    <w:rsid w:val="00712A8B"/>
    <w:rsid w:val="00716100"/>
    <w:rsid w:val="007349EA"/>
    <w:rsid w:val="00741368"/>
    <w:rsid w:val="00742BEA"/>
    <w:rsid w:val="00747C79"/>
    <w:rsid w:val="007530E7"/>
    <w:rsid w:val="00753D68"/>
    <w:rsid w:val="00755B26"/>
    <w:rsid w:val="00771AE5"/>
    <w:rsid w:val="00776ABE"/>
    <w:rsid w:val="00786933"/>
    <w:rsid w:val="007A3712"/>
    <w:rsid w:val="007B142D"/>
    <w:rsid w:val="007C2594"/>
    <w:rsid w:val="007C7F94"/>
    <w:rsid w:val="007F3B76"/>
    <w:rsid w:val="007F6456"/>
    <w:rsid w:val="007F722E"/>
    <w:rsid w:val="008002A5"/>
    <w:rsid w:val="0080791D"/>
    <w:rsid w:val="00810CC4"/>
    <w:rsid w:val="00811CD4"/>
    <w:rsid w:val="00817CE5"/>
    <w:rsid w:val="0082189F"/>
    <w:rsid w:val="00823887"/>
    <w:rsid w:val="008260A6"/>
    <w:rsid w:val="00827EF9"/>
    <w:rsid w:val="00834C5B"/>
    <w:rsid w:val="008358B7"/>
    <w:rsid w:val="00841A16"/>
    <w:rsid w:val="00843804"/>
    <w:rsid w:val="00862C08"/>
    <w:rsid w:val="00864FC9"/>
    <w:rsid w:val="00871535"/>
    <w:rsid w:val="00873369"/>
    <w:rsid w:val="00877189"/>
    <w:rsid w:val="008776B9"/>
    <w:rsid w:val="0089162E"/>
    <w:rsid w:val="00895FD6"/>
    <w:rsid w:val="008A46D7"/>
    <w:rsid w:val="008A5C48"/>
    <w:rsid w:val="008C6B92"/>
    <w:rsid w:val="008C76FD"/>
    <w:rsid w:val="008D310D"/>
    <w:rsid w:val="008D754C"/>
    <w:rsid w:val="008E542B"/>
    <w:rsid w:val="008E559C"/>
    <w:rsid w:val="008E6E71"/>
    <w:rsid w:val="0090406D"/>
    <w:rsid w:val="00905BBF"/>
    <w:rsid w:val="00906DB3"/>
    <w:rsid w:val="00910F5E"/>
    <w:rsid w:val="00915AE2"/>
    <w:rsid w:val="00917D9E"/>
    <w:rsid w:val="00921D72"/>
    <w:rsid w:val="009339EA"/>
    <w:rsid w:val="00935245"/>
    <w:rsid w:val="00942F8C"/>
    <w:rsid w:val="009500CF"/>
    <w:rsid w:val="0095011A"/>
    <w:rsid w:val="00950248"/>
    <w:rsid w:val="0095445C"/>
    <w:rsid w:val="00954F51"/>
    <w:rsid w:val="00966211"/>
    <w:rsid w:val="00966EE4"/>
    <w:rsid w:val="00974B8C"/>
    <w:rsid w:val="009763C7"/>
    <w:rsid w:val="00980219"/>
    <w:rsid w:val="009878D5"/>
    <w:rsid w:val="009900E7"/>
    <w:rsid w:val="009962BE"/>
    <w:rsid w:val="009A3716"/>
    <w:rsid w:val="009A5A4D"/>
    <w:rsid w:val="009B5474"/>
    <w:rsid w:val="009C6152"/>
    <w:rsid w:val="009D7293"/>
    <w:rsid w:val="009F1DF8"/>
    <w:rsid w:val="009F1E3E"/>
    <w:rsid w:val="00A02CD9"/>
    <w:rsid w:val="00A077BB"/>
    <w:rsid w:val="00A122B9"/>
    <w:rsid w:val="00A176B7"/>
    <w:rsid w:val="00A20D1F"/>
    <w:rsid w:val="00A235D0"/>
    <w:rsid w:val="00A37BC3"/>
    <w:rsid w:val="00A41C1A"/>
    <w:rsid w:val="00A45D10"/>
    <w:rsid w:val="00A47C82"/>
    <w:rsid w:val="00A52898"/>
    <w:rsid w:val="00A6506A"/>
    <w:rsid w:val="00A65A92"/>
    <w:rsid w:val="00A6632E"/>
    <w:rsid w:val="00A75847"/>
    <w:rsid w:val="00A82AAC"/>
    <w:rsid w:val="00A86E7E"/>
    <w:rsid w:val="00A97E6F"/>
    <w:rsid w:val="00AA1F89"/>
    <w:rsid w:val="00AA27C9"/>
    <w:rsid w:val="00AB620E"/>
    <w:rsid w:val="00AC44FA"/>
    <w:rsid w:val="00AC77BA"/>
    <w:rsid w:val="00AD07DA"/>
    <w:rsid w:val="00AD2ECB"/>
    <w:rsid w:val="00AD60A3"/>
    <w:rsid w:val="00AE5BF2"/>
    <w:rsid w:val="00AE78B4"/>
    <w:rsid w:val="00AF0969"/>
    <w:rsid w:val="00AF0ED1"/>
    <w:rsid w:val="00AF34B4"/>
    <w:rsid w:val="00AF6BD6"/>
    <w:rsid w:val="00AF757E"/>
    <w:rsid w:val="00B01C37"/>
    <w:rsid w:val="00B01D5E"/>
    <w:rsid w:val="00B04D26"/>
    <w:rsid w:val="00B11356"/>
    <w:rsid w:val="00B121B2"/>
    <w:rsid w:val="00B126CD"/>
    <w:rsid w:val="00B12FBA"/>
    <w:rsid w:val="00B169F7"/>
    <w:rsid w:val="00B200C8"/>
    <w:rsid w:val="00B20FB5"/>
    <w:rsid w:val="00B221CF"/>
    <w:rsid w:val="00B32066"/>
    <w:rsid w:val="00B37ECD"/>
    <w:rsid w:val="00B47ACC"/>
    <w:rsid w:val="00B57654"/>
    <w:rsid w:val="00B60C3C"/>
    <w:rsid w:val="00B6392A"/>
    <w:rsid w:val="00B773D0"/>
    <w:rsid w:val="00B82FB3"/>
    <w:rsid w:val="00B837E4"/>
    <w:rsid w:val="00B90C82"/>
    <w:rsid w:val="00B937F9"/>
    <w:rsid w:val="00BA2A84"/>
    <w:rsid w:val="00BB4056"/>
    <w:rsid w:val="00BC14DD"/>
    <w:rsid w:val="00BC757D"/>
    <w:rsid w:val="00BC7860"/>
    <w:rsid w:val="00BD0419"/>
    <w:rsid w:val="00BD35A3"/>
    <w:rsid w:val="00BD57CC"/>
    <w:rsid w:val="00BD5E94"/>
    <w:rsid w:val="00C009F7"/>
    <w:rsid w:val="00C02C66"/>
    <w:rsid w:val="00C03B92"/>
    <w:rsid w:val="00C06607"/>
    <w:rsid w:val="00C07E7D"/>
    <w:rsid w:val="00C2440E"/>
    <w:rsid w:val="00C32812"/>
    <w:rsid w:val="00C34C8B"/>
    <w:rsid w:val="00C41906"/>
    <w:rsid w:val="00C42DD2"/>
    <w:rsid w:val="00C430E0"/>
    <w:rsid w:val="00C4431A"/>
    <w:rsid w:val="00C46E60"/>
    <w:rsid w:val="00C53C05"/>
    <w:rsid w:val="00C55DEC"/>
    <w:rsid w:val="00C63E87"/>
    <w:rsid w:val="00C66221"/>
    <w:rsid w:val="00C67211"/>
    <w:rsid w:val="00C72F9D"/>
    <w:rsid w:val="00C73558"/>
    <w:rsid w:val="00C82488"/>
    <w:rsid w:val="00C95533"/>
    <w:rsid w:val="00CB1193"/>
    <w:rsid w:val="00CB25C3"/>
    <w:rsid w:val="00CB5738"/>
    <w:rsid w:val="00CC15F3"/>
    <w:rsid w:val="00CC58DB"/>
    <w:rsid w:val="00CC749D"/>
    <w:rsid w:val="00CE1961"/>
    <w:rsid w:val="00CE405A"/>
    <w:rsid w:val="00CE5BC8"/>
    <w:rsid w:val="00CF2DD4"/>
    <w:rsid w:val="00CF2F5F"/>
    <w:rsid w:val="00CF43B8"/>
    <w:rsid w:val="00CF4679"/>
    <w:rsid w:val="00D01796"/>
    <w:rsid w:val="00D0403E"/>
    <w:rsid w:val="00D121AB"/>
    <w:rsid w:val="00D20EB2"/>
    <w:rsid w:val="00D214EF"/>
    <w:rsid w:val="00D226FD"/>
    <w:rsid w:val="00D44B5A"/>
    <w:rsid w:val="00D44F77"/>
    <w:rsid w:val="00D47752"/>
    <w:rsid w:val="00D50EB9"/>
    <w:rsid w:val="00D573B8"/>
    <w:rsid w:val="00D77749"/>
    <w:rsid w:val="00D8727C"/>
    <w:rsid w:val="00D87280"/>
    <w:rsid w:val="00D94E29"/>
    <w:rsid w:val="00DA06BD"/>
    <w:rsid w:val="00DA0A1D"/>
    <w:rsid w:val="00DA1757"/>
    <w:rsid w:val="00DA3331"/>
    <w:rsid w:val="00DA7C24"/>
    <w:rsid w:val="00DC5B96"/>
    <w:rsid w:val="00DC6ADA"/>
    <w:rsid w:val="00DD0DC1"/>
    <w:rsid w:val="00DD16A5"/>
    <w:rsid w:val="00DE27AA"/>
    <w:rsid w:val="00DE4085"/>
    <w:rsid w:val="00DF3C56"/>
    <w:rsid w:val="00E013C7"/>
    <w:rsid w:val="00E03838"/>
    <w:rsid w:val="00E10FA6"/>
    <w:rsid w:val="00E13EBA"/>
    <w:rsid w:val="00E15220"/>
    <w:rsid w:val="00E21214"/>
    <w:rsid w:val="00E258FC"/>
    <w:rsid w:val="00E32205"/>
    <w:rsid w:val="00E419CF"/>
    <w:rsid w:val="00E41E3E"/>
    <w:rsid w:val="00E641BB"/>
    <w:rsid w:val="00E71637"/>
    <w:rsid w:val="00E72330"/>
    <w:rsid w:val="00E74B7E"/>
    <w:rsid w:val="00E90416"/>
    <w:rsid w:val="00EA2F5F"/>
    <w:rsid w:val="00EB5129"/>
    <w:rsid w:val="00ED0FB9"/>
    <w:rsid w:val="00ED4D80"/>
    <w:rsid w:val="00ED7644"/>
    <w:rsid w:val="00EF2FC1"/>
    <w:rsid w:val="00EF3C36"/>
    <w:rsid w:val="00F02D4F"/>
    <w:rsid w:val="00F13E9A"/>
    <w:rsid w:val="00F16F7C"/>
    <w:rsid w:val="00F368BE"/>
    <w:rsid w:val="00F44C3A"/>
    <w:rsid w:val="00F478E4"/>
    <w:rsid w:val="00F564DF"/>
    <w:rsid w:val="00F62AFC"/>
    <w:rsid w:val="00F76165"/>
    <w:rsid w:val="00F8161C"/>
    <w:rsid w:val="00F8371A"/>
    <w:rsid w:val="00F8629E"/>
    <w:rsid w:val="00F9353B"/>
    <w:rsid w:val="00F943C1"/>
    <w:rsid w:val="00F94E70"/>
    <w:rsid w:val="00FA0750"/>
    <w:rsid w:val="00FA0955"/>
    <w:rsid w:val="00FA1600"/>
    <w:rsid w:val="00FA25BC"/>
    <w:rsid w:val="00FA2C5E"/>
    <w:rsid w:val="00FB059A"/>
    <w:rsid w:val="00FB583C"/>
    <w:rsid w:val="00FB6412"/>
    <w:rsid w:val="00FD0912"/>
    <w:rsid w:val="00FD152D"/>
    <w:rsid w:val="00FD72DA"/>
    <w:rsid w:val="00FD7EC2"/>
    <w:rsid w:val="00FF08E5"/>
    <w:rsid w:val="00FF401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AE058D"/>
  <w15:docId w15:val="{D6B83607-24D8-4330-BD7A-DAF09B125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GB"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1310CB"/>
    <w:pPr>
      <w:keepNext/>
      <w:keepLines/>
      <w:spacing w:before="240" w:after="0" w:line="240" w:lineRule="auto"/>
      <w:contextualSpacing/>
      <w:outlineLvl w:val="0"/>
    </w:pPr>
    <w:rPr>
      <w:rFonts w:ascii="Times New Roman" w:eastAsiaTheme="majorEastAsia" w:hAnsi="Times New Roman" w:cs="Times New Roman"/>
      <w:b/>
      <w:bCs/>
    </w:rPr>
  </w:style>
  <w:style w:type="paragraph" w:styleId="Titre2">
    <w:name w:val="heading 2"/>
    <w:basedOn w:val="Normal"/>
    <w:next w:val="Normal"/>
    <w:link w:val="Titre2Car"/>
    <w:uiPriority w:val="9"/>
    <w:unhideWhenUsed/>
    <w:qFormat/>
    <w:rsid w:val="008A5C48"/>
    <w:pPr>
      <w:spacing w:after="0" w:line="480" w:lineRule="auto"/>
      <w:jc w:val="both"/>
      <w:outlineLvl w:val="1"/>
    </w:pPr>
    <w:rPr>
      <w:rFonts w:ascii="Times New Roman" w:eastAsia="Times New Roman" w:hAnsi="Times New Roman" w:cs="Times New Roman"/>
      <w:b/>
      <w:bCs/>
      <w:sz w:val="20"/>
      <w:szCs w:val="20"/>
    </w:rPr>
  </w:style>
  <w:style w:type="paragraph" w:styleId="Titre3">
    <w:name w:val="heading 3"/>
    <w:basedOn w:val="Normal"/>
    <w:next w:val="Normal"/>
    <w:link w:val="Titre3Car"/>
    <w:uiPriority w:val="9"/>
    <w:unhideWhenUsed/>
    <w:qFormat/>
    <w:rsid w:val="00810AC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semiHidden/>
    <w:unhideWhenUsed/>
    <w:qFormat/>
    <w:rsid w:val="00350309"/>
    <w:pPr>
      <w:keepNext/>
      <w:keepLines/>
      <w:spacing w:before="40" w:after="0" w:line="240" w:lineRule="auto"/>
      <w:ind w:left="864" w:hanging="144"/>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350309"/>
    <w:pPr>
      <w:keepNext/>
      <w:keepLines/>
      <w:spacing w:before="40" w:after="0" w:line="240" w:lineRule="auto"/>
      <w:ind w:left="1008" w:hanging="432"/>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350309"/>
    <w:pPr>
      <w:keepNext/>
      <w:keepLines/>
      <w:spacing w:before="40" w:after="0" w:line="240" w:lineRule="auto"/>
      <w:ind w:left="1152" w:hanging="432"/>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350309"/>
    <w:pPr>
      <w:keepNext/>
      <w:keepLines/>
      <w:spacing w:before="40" w:after="0" w:line="240" w:lineRule="auto"/>
      <w:ind w:left="1296" w:hanging="288"/>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350309"/>
    <w:pPr>
      <w:keepNext/>
      <w:keepLines/>
      <w:spacing w:before="40" w:after="0" w:line="240" w:lineRule="auto"/>
      <w:ind w:left="1440" w:hanging="432"/>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350309"/>
    <w:pPr>
      <w:keepNext/>
      <w:keepLines/>
      <w:spacing w:before="40" w:after="0" w:line="240" w:lineRule="auto"/>
      <w:ind w:left="1584" w:hanging="144"/>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link w:val="TitreCar"/>
    <w:uiPriority w:val="10"/>
    <w:qFormat/>
    <w:rsid w:val="00810AC0"/>
    <w:pPr>
      <w:spacing w:after="0" w:line="240" w:lineRule="auto"/>
      <w:contextualSpacing/>
      <w:jc w:val="center"/>
    </w:pPr>
    <w:rPr>
      <w:rFonts w:ascii="Times New Roman" w:eastAsiaTheme="majorEastAsia" w:hAnsi="Times New Roman" w:cs="Times New Roman"/>
      <w:spacing w:val="-10"/>
      <w:kern w:val="28"/>
      <w:sz w:val="56"/>
      <w:szCs w:val="56"/>
    </w:rPr>
  </w:style>
  <w:style w:type="character" w:customStyle="1" w:styleId="Titre1Car">
    <w:name w:val="Titre 1 Car"/>
    <w:basedOn w:val="Policepardfaut"/>
    <w:link w:val="Titre1"/>
    <w:uiPriority w:val="9"/>
    <w:rsid w:val="001310CB"/>
    <w:rPr>
      <w:rFonts w:ascii="Times New Roman" w:eastAsiaTheme="majorEastAsia" w:hAnsi="Times New Roman" w:cs="Times New Roman"/>
      <w:b/>
      <w:bCs/>
    </w:rPr>
  </w:style>
  <w:style w:type="character" w:customStyle="1" w:styleId="Titre2Car">
    <w:name w:val="Titre 2 Car"/>
    <w:basedOn w:val="Policepardfaut"/>
    <w:link w:val="Titre2"/>
    <w:uiPriority w:val="9"/>
    <w:rsid w:val="008A5C48"/>
    <w:rPr>
      <w:rFonts w:ascii="Times New Roman" w:eastAsia="Times New Roman" w:hAnsi="Times New Roman" w:cs="Times New Roman"/>
      <w:b/>
      <w:bCs/>
      <w:sz w:val="20"/>
      <w:szCs w:val="20"/>
    </w:rPr>
  </w:style>
  <w:style w:type="character" w:customStyle="1" w:styleId="Titre3Car">
    <w:name w:val="Titre 3 Car"/>
    <w:basedOn w:val="Policepardfaut"/>
    <w:link w:val="Titre3"/>
    <w:rsid w:val="00810AC0"/>
    <w:rPr>
      <w:rFonts w:asciiTheme="majorHAnsi" w:eastAsiaTheme="majorEastAsia" w:hAnsiTheme="majorHAnsi" w:cstheme="majorBidi"/>
      <w:color w:val="1F3763" w:themeColor="accent1" w:themeShade="7F"/>
      <w:sz w:val="24"/>
      <w:szCs w:val="24"/>
      <w:lang w:val="en-GB"/>
    </w:rPr>
  </w:style>
  <w:style w:type="paragraph" w:styleId="Paragraphedeliste">
    <w:name w:val="List Paragraph"/>
    <w:basedOn w:val="Normal"/>
    <w:link w:val="ParagraphedelisteCar"/>
    <w:uiPriority w:val="34"/>
    <w:qFormat/>
    <w:rsid w:val="00810AC0"/>
    <w:pPr>
      <w:ind w:left="720"/>
      <w:contextualSpacing/>
    </w:pPr>
    <w:rPr>
      <w:rFonts w:ascii="Times New Roman" w:hAnsi="Times New Roman" w:cs="Times New Roman"/>
    </w:rPr>
  </w:style>
  <w:style w:type="character" w:styleId="lev">
    <w:name w:val="Strong"/>
    <w:basedOn w:val="Policepardfaut"/>
    <w:uiPriority w:val="22"/>
    <w:qFormat/>
    <w:rsid w:val="00810AC0"/>
    <w:rPr>
      <w:bCs/>
      <w:i/>
      <w:sz w:val="24"/>
    </w:rPr>
  </w:style>
  <w:style w:type="table" w:styleId="TableauListe3-Accentuation5">
    <w:name w:val="List Table 3 Accent 5"/>
    <w:basedOn w:val="TableauNormal"/>
    <w:uiPriority w:val="48"/>
    <w:rsid w:val="00810AC0"/>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paragraph" w:styleId="En-tte">
    <w:name w:val="header"/>
    <w:basedOn w:val="Normal"/>
    <w:link w:val="En-tteCar"/>
    <w:uiPriority w:val="99"/>
    <w:unhideWhenUsed/>
    <w:rsid w:val="00810AC0"/>
    <w:pPr>
      <w:tabs>
        <w:tab w:val="center" w:pos="4536"/>
        <w:tab w:val="right" w:pos="9072"/>
      </w:tabs>
      <w:spacing w:after="0" w:line="240" w:lineRule="auto"/>
    </w:pPr>
    <w:rPr>
      <w:rFonts w:ascii="Times New Roman" w:hAnsi="Times New Roman" w:cs="Times New Roman"/>
    </w:rPr>
  </w:style>
  <w:style w:type="character" w:customStyle="1" w:styleId="En-tteCar">
    <w:name w:val="En-tête Car"/>
    <w:basedOn w:val="Policepardfaut"/>
    <w:link w:val="En-tte"/>
    <w:uiPriority w:val="99"/>
    <w:rsid w:val="00810AC0"/>
    <w:rPr>
      <w:rFonts w:ascii="Times New Roman" w:hAnsi="Times New Roman" w:cs="Times New Roman"/>
      <w:lang w:val="en-GB"/>
    </w:rPr>
  </w:style>
  <w:style w:type="paragraph" w:styleId="Pieddepage">
    <w:name w:val="footer"/>
    <w:basedOn w:val="Normal"/>
    <w:link w:val="PieddepageCar"/>
    <w:uiPriority w:val="99"/>
    <w:unhideWhenUsed/>
    <w:rsid w:val="00810AC0"/>
    <w:pPr>
      <w:tabs>
        <w:tab w:val="center" w:pos="4536"/>
        <w:tab w:val="right" w:pos="9072"/>
      </w:tabs>
      <w:spacing w:after="0" w:line="240" w:lineRule="auto"/>
    </w:pPr>
    <w:rPr>
      <w:rFonts w:ascii="Times New Roman" w:hAnsi="Times New Roman" w:cs="Times New Roman"/>
    </w:rPr>
  </w:style>
  <w:style w:type="character" w:customStyle="1" w:styleId="PieddepageCar">
    <w:name w:val="Pied de page Car"/>
    <w:basedOn w:val="Policepardfaut"/>
    <w:link w:val="Pieddepage"/>
    <w:uiPriority w:val="99"/>
    <w:rsid w:val="00810AC0"/>
    <w:rPr>
      <w:rFonts w:ascii="Times New Roman" w:hAnsi="Times New Roman" w:cs="Times New Roman"/>
      <w:lang w:val="en-GB"/>
    </w:rPr>
  </w:style>
  <w:style w:type="character" w:customStyle="1" w:styleId="TitreCar">
    <w:name w:val="Titre Car"/>
    <w:basedOn w:val="Policepardfaut"/>
    <w:link w:val="Titre"/>
    <w:uiPriority w:val="99"/>
    <w:rsid w:val="00810AC0"/>
    <w:rPr>
      <w:rFonts w:ascii="Times New Roman" w:eastAsiaTheme="majorEastAsia" w:hAnsi="Times New Roman" w:cs="Times New Roman"/>
      <w:spacing w:val="-10"/>
      <w:kern w:val="28"/>
      <w:sz w:val="56"/>
      <w:szCs w:val="56"/>
      <w:lang w:val="en-GB"/>
    </w:rPr>
  </w:style>
  <w:style w:type="paragraph" w:styleId="Bibliographie">
    <w:name w:val="Bibliography"/>
    <w:basedOn w:val="Normal"/>
    <w:next w:val="Normal"/>
    <w:uiPriority w:val="37"/>
    <w:unhideWhenUsed/>
    <w:rsid w:val="00810AC0"/>
    <w:pPr>
      <w:tabs>
        <w:tab w:val="left" w:pos="384"/>
      </w:tabs>
      <w:spacing w:after="240" w:line="240" w:lineRule="auto"/>
      <w:ind w:left="384" w:hanging="384"/>
    </w:pPr>
    <w:rPr>
      <w:rFonts w:ascii="Times New Roman" w:hAnsi="Times New Roman" w:cs="Times New Roman"/>
    </w:rPr>
  </w:style>
  <w:style w:type="paragraph" w:styleId="Sansinterligne">
    <w:name w:val="No Spacing"/>
    <w:uiPriority w:val="1"/>
    <w:qFormat/>
    <w:rsid w:val="00810AC0"/>
    <w:pPr>
      <w:spacing w:after="0" w:line="240" w:lineRule="auto"/>
    </w:pPr>
    <w:rPr>
      <w:rFonts w:ascii="Times New Roman" w:hAnsi="Times New Roman" w:cs="Times New Roman"/>
    </w:rPr>
  </w:style>
  <w:style w:type="character" w:styleId="Accentuationintense">
    <w:name w:val="Intense Emphasis"/>
    <w:basedOn w:val="Policepardfaut"/>
    <w:uiPriority w:val="21"/>
    <w:qFormat/>
    <w:rsid w:val="00810AC0"/>
    <w:rPr>
      <w:i/>
      <w:iCs/>
      <w:color w:val="4472C4" w:themeColor="accent1"/>
    </w:rPr>
  </w:style>
  <w:style w:type="character" w:styleId="Accentuation">
    <w:name w:val="Emphasis"/>
    <w:basedOn w:val="Policepardfaut"/>
    <w:uiPriority w:val="20"/>
    <w:qFormat/>
    <w:rsid w:val="00810AC0"/>
    <w:rPr>
      <w:i/>
      <w:iCs/>
    </w:rPr>
  </w:style>
  <w:style w:type="character" w:styleId="Accentuationlgre">
    <w:name w:val="Subtle Emphasis"/>
    <w:basedOn w:val="Policepardfaut"/>
    <w:uiPriority w:val="19"/>
    <w:qFormat/>
    <w:rsid w:val="00810AC0"/>
    <w:rPr>
      <w:i/>
      <w:iCs/>
      <w:color w:val="404040" w:themeColor="text1" w:themeTint="BF"/>
    </w:rPr>
  </w:style>
  <w:style w:type="paragraph" w:styleId="Sous-titre">
    <w:name w:val="Subtitle"/>
    <w:basedOn w:val="Normal"/>
    <w:next w:val="Normal"/>
    <w:link w:val="Sous-titreCar"/>
    <w:uiPriority w:val="11"/>
    <w:qFormat/>
    <w:rPr>
      <w:color w:val="5A5A5A"/>
    </w:rPr>
  </w:style>
  <w:style w:type="character" w:customStyle="1" w:styleId="Sous-titreCar">
    <w:name w:val="Sous-titre Car"/>
    <w:basedOn w:val="Policepardfaut"/>
    <w:link w:val="Sous-titre"/>
    <w:uiPriority w:val="11"/>
    <w:rsid w:val="00810AC0"/>
    <w:rPr>
      <w:rFonts w:eastAsiaTheme="minorEastAsia"/>
      <w:color w:val="5A5A5A" w:themeColor="text1" w:themeTint="A5"/>
      <w:spacing w:val="15"/>
      <w:lang w:val="en-GB"/>
    </w:rPr>
  </w:style>
  <w:style w:type="paragraph" w:styleId="En-ttedetabledesmatires">
    <w:name w:val="TOC Heading"/>
    <w:basedOn w:val="Titre1"/>
    <w:next w:val="Normal"/>
    <w:uiPriority w:val="39"/>
    <w:unhideWhenUsed/>
    <w:qFormat/>
    <w:rsid w:val="00810AC0"/>
    <w:pPr>
      <w:outlineLvl w:val="9"/>
    </w:pPr>
    <w:rPr>
      <w:rFonts w:asciiTheme="majorHAnsi" w:hAnsiTheme="majorHAnsi" w:cstheme="majorBidi"/>
      <w:sz w:val="32"/>
      <w:lang w:val="fr-FR"/>
    </w:rPr>
  </w:style>
  <w:style w:type="paragraph" w:styleId="TM1">
    <w:name w:val="toc 1"/>
    <w:basedOn w:val="Normal"/>
    <w:next w:val="Normal"/>
    <w:autoRedefine/>
    <w:uiPriority w:val="39"/>
    <w:unhideWhenUsed/>
    <w:rsid w:val="00810AC0"/>
    <w:pPr>
      <w:spacing w:before="120" w:after="0"/>
    </w:pPr>
    <w:rPr>
      <w:rFonts w:cstheme="minorHAnsi"/>
      <w:b/>
      <w:bCs/>
      <w:i/>
      <w:iCs/>
      <w:sz w:val="24"/>
      <w:szCs w:val="24"/>
    </w:rPr>
  </w:style>
  <w:style w:type="paragraph" w:styleId="TM2">
    <w:name w:val="toc 2"/>
    <w:basedOn w:val="Normal"/>
    <w:next w:val="Normal"/>
    <w:autoRedefine/>
    <w:uiPriority w:val="39"/>
    <w:unhideWhenUsed/>
    <w:rsid w:val="00810AC0"/>
    <w:pPr>
      <w:spacing w:before="120" w:after="0"/>
      <w:ind w:left="220"/>
    </w:pPr>
    <w:rPr>
      <w:rFonts w:cstheme="minorHAnsi"/>
      <w:b/>
      <w:bCs/>
    </w:rPr>
  </w:style>
  <w:style w:type="character" w:styleId="Lienhypertexte">
    <w:name w:val="Hyperlink"/>
    <w:basedOn w:val="Policepardfaut"/>
    <w:uiPriority w:val="99"/>
    <w:unhideWhenUsed/>
    <w:rsid w:val="00810AC0"/>
    <w:rPr>
      <w:color w:val="0563C1" w:themeColor="hyperlink"/>
      <w:u w:val="single"/>
    </w:rPr>
  </w:style>
  <w:style w:type="character" w:customStyle="1" w:styleId="hgkelc">
    <w:name w:val="hgkelc"/>
    <w:basedOn w:val="Policepardfaut"/>
    <w:rsid w:val="00810AC0"/>
  </w:style>
  <w:style w:type="paragraph" w:styleId="TM3">
    <w:name w:val="toc 3"/>
    <w:basedOn w:val="Normal"/>
    <w:next w:val="Normal"/>
    <w:autoRedefine/>
    <w:uiPriority w:val="39"/>
    <w:unhideWhenUsed/>
    <w:rsid w:val="00810AC0"/>
    <w:pPr>
      <w:spacing w:after="0"/>
      <w:ind w:left="440"/>
    </w:pPr>
    <w:rPr>
      <w:rFonts w:cstheme="minorHAnsi"/>
      <w:sz w:val="20"/>
      <w:szCs w:val="20"/>
    </w:rPr>
  </w:style>
  <w:style w:type="paragraph" w:customStyle="1" w:styleId="dx-doi">
    <w:name w:val="dx-doi"/>
    <w:basedOn w:val="Normal"/>
    <w:rsid w:val="00810AC0"/>
    <w:pPr>
      <w:spacing w:before="100" w:beforeAutospacing="1" w:after="100" w:afterAutospacing="1" w:line="240" w:lineRule="auto"/>
    </w:pPr>
    <w:rPr>
      <w:rFonts w:ascii="Times New Roman" w:eastAsia="Times New Roman" w:hAnsi="Times New Roman" w:cs="Times New Roman"/>
      <w:sz w:val="24"/>
      <w:szCs w:val="24"/>
      <w:lang w:val="fr-FR"/>
    </w:rPr>
  </w:style>
  <w:style w:type="character" w:styleId="Mentionnonrsolue">
    <w:name w:val="Unresolved Mention"/>
    <w:basedOn w:val="Policepardfaut"/>
    <w:uiPriority w:val="99"/>
    <w:semiHidden/>
    <w:unhideWhenUsed/>
    <w:rsid w:val="00810AC0"/>
    <w:rPr>
      <w:color w:val="605E5C"/>
      <w:shd w:val="clear" w:color="auto" w:fill="E1DFDD"/>
    </w:rPr>
  </w:style>
  <w:style w:type="table" w:styleId="Grilledutableau">
    <w:name w:val="Table Grid"/>
    <w:basedOn w:val="TableauNormal"/>
    <w:uiPriority w:val="39"/>
    <w:rsid w:val="00810A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4">
    <w:name w:val="toc 4"/>
    <w:basedOn w:val="Normal"/>
    <w:next w:val="Normal"/>
    <w:autoRedefine/>
    <w:uiPriority w:val="39"/>
    <w:unhideWhenUsed/>
    <w:rsid w:val="00810AC0"/>
    <w:pPr>
      <w:spacing w:after="0"/>
      <w:ind w:left="660"/>
    </w:pPr>
    <w:rPr>
      <w:rFonts w:cstheme="minorHAnsi"/>
      <w:sz w:val="20"/>
      <w:szCs w:val="20"/>
    </w:rPr>
  </w:style>
  <w:style w:type="paragraph" w:styleId="TM5">
    <w:name w:val="toc 5"/>
    <w:basedOn w:val="Normal"/>
    <w:next w:val="Normal"/>
    <w:autoRedefine/>
    <w:uiPriority w:val="39"/>
    <w:unhideWhenUsed/>
    <w:rsid w:val="00810AC0"/>
    <w:pPr>
      <w:spacing w:after="0"/>
      <w:ind w:left="880"/>
    </w:pPr>
    <w:rPr>
      <w:rFonts w:cstheme="minorHAnsi"/>
      <w:sz w:val="20"/>
      <w:szCs w:val="20"/>
    </w:rPr>
  </w:style>
  <w:style w:type="paragraph" w:styleId="TM6">
    <w:name w:val="toc 6"/>
    <w:basedOn w:val="Normal"/>
    <w:next w:val="Normal"/>
    <w:autoRedefine/>
    <w:uiPriority w:val="39"/>
    <w:unhideWhenUsed/>
    <w:rsid w:val="00810AC0"/>
    <w:pPr>
      <w:spacing w:after="0"/>
      <w:ind w:left="1100"/>
    </w:pPr>
    <w:rPr>
      <w:rFonts w:cstheme="minorHAnsi"/>
      <w:sz w:val="20"/>
      <w:szCs w:val="20"/>
    </w:rPr>
  </w:style>
  <w:style w:type="paragraph" w:styleId="TM7">
    <w:name w:val="toc 7"/>
    <w:basedOn w:val="Normal"/>
    <w:next w:val="Normal"/>
    <w:autoRedefine/>
    <w:uiPriority w:val="39"/>
    <w:unhideWhenUsed/>
    <w:rsid w:val="00810AC0"/>
    <w:pPr>
      <w:spacing w:after="0"/>
      <w:ind w:left="1320"/>
    </w:pPr>
    <w:rPr>
      <w:rFonts w:cstheme="minorHAnsi"/>
      <w:sz w:val="20"/>
      <w:szCs w:val="20"/>
    </w:rPr>
  </w:style>
  <w:style w:type="paragraph" w:styleId="TM8">
    <w:name w:val="toc 8"/>
    <w:basedOn w:val="Normal"/>
    <w:next w:val="Normal"/>
    <w:autoRedefine/>
    <w:uiPriority w:val="39"/>
    <w:unhideWhenUsed/>
    <w:rsid w:val="00810AC0"/>
    <w:pPr>
      <w:spacing w:after="0"/>
      <w:ind w:left="1540"/>
    </w:pPr>
    <w:rPr>
      <w:rFonts w:cstheme="minorHAnsi"/>
      <w:sz w:val="20"/>
      <w:szCs w:val="20"/>
    </w:rPr>
  </w:style>
  <w:style w:type="paragraph" w:styleId="TM9">
    <w:name w:val="toc 9"/>
    <w:basedOn w:val="Normal"/>
    <w:next w:val="Normal"/>
    <w:autoRedefine/>
    <w:uiPriority w:val="39"/>
    <w:unhideWhenUsed/>
    <w:rsid w:val="00810AC0"/>
    <w:pPr>
      <w:spacing w:after="0"/>
      <w:ind w:left="1760"/>
    </w:pPr>
    <w:rPr>
      <w:rFonts w:cstheme="minorHAnsi"/>
      <w:sz w:val="20"/>
      <w:szCs w:val="20"/>
    </w:rPr>
  </w:style>
  <w:style w:type="paragraph" w:customStyle="1" w:styleId="Default">
    <w:name w:val="Default"/>
    <w:qFormat/>
    <w:rsid w:val="00810AC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ektkfwmypwzmkoyr0gym">
    <w:name w:val="ektkfwmypwzmkoyr0gym"/>
    <w:basedOn w:val="Policepardfaut"/>
    <w:rsid w:val="00810AC0"/>
  </w:style>
  <w:style w:type="paragraph" w:styleId="Commentaire">
    <w:name w:val="annotation text"/>
    <w:basedOn w:val="Normal"/>
    <w:link w:val="CommentaireCar"/>
    <w:uiPriority w:val="99"/>
    <w:unhideWhenUsed/>
    <w:qFormat/>
    <w:rsid w:val="00810AC0"/>
    <w:pPr>
      <w:spacing w:line="240" w:lineRule="auto"/>
    </w:pPr>
    <w:rPr>
      <w:rFonts w:ascii="Times New Roman" w:hAnsi="Times New Roman" w:cs="Times New Roman"/>
      <w:sz w:val="20"/>
      <w:szCs w:val="20"/>
    </w:rPr>
  </w:style>
  <w:style w:type="character" w:customStyle="1" w:styleId="CommentaireCar">
    <w:name w:val="Commentaire Car"/>
    <w:basedOn w:val="Policepardfaut"/>
    <w:link w:val="Commentaire"/>
    <w:uiPriority w:val="99"/>
    <w:qFormat/>
    <w:rsid w:val="00810AC0"/>
    <w:rPr>
      <w:rFonts w:ascii="Times New Roman" w:hAnsi="Times New Roman" w:cs="Times New Roman"/>
      <w:sz w:val="20"/>
      <w:szCs w:val="20"/>
      <w:lang w:val="en-GB"/>
    </w:rPr>
  </w:style>
  <w:style w:type="character" w:customStyle="1" w:styleId="ObjetducommentaireCar">
    <w:name w:val="Objet du commentaire Car"/>
    <w:basedOn w:val="CommentaireCar"/>
    <w:link w:val="Objetducommentaire"/>
    <w:uiPriority w:val="99"/>
    <w:semiHidden/>
    <w:rsid w:val="00810AC0"/>
    <w:rPr>
      <w:rFonts w:ascii="Times New Roman" w:hAnsi="Times New Roman" w:cs="Times New Roman"/>
      <w:b/>
      <w:bCs/>
      <w:sz w:val="20"/>
      <w:szCs w:val="20"/>
      <w:lang w:val="en-GB"/>
    </w:rPr>
  </w:style>
  <w:style w:type="paragraph" w:styleId="Objetducommentaire">
    <w:name w:val="annotation subject"/>
    <w:basedOn w:val="Commentaire"/>
    <w:next w:val="Commentaire"/>
    <w:link w:val="ObjetducommentaireCar"/>
    <w:uiPriority w:val="99"/>
    <w:semiHidden/>
    <w:unhideWhenUsed/>
    <w:rsid w:val="00810AC0"/>
    <w:rPr>
      <w:b/>
      <w:bCs/>
    </w:rPr>
  </w:style>
  <w:style w:type="character" w:customStyle="1" w:styleId="TextedebullesCar">
    <w:name w:val="Texte de bulles Car"/>
    <w:basedOn w:val="Policepardfaut"/>
    <w:link w:val="Textedebulles"/>
    <w:uiPriority w:val="99"/>
    <w:semiHidden/>
    <w:rsid w:val="00810AC0"/>
    <w:rPr>
      <w:rFonts w:ascii="Segoe UI" w:hAnsi="Segoe UI" w:cs="Segoe UI"/>
      <w:sz w:val="18"/>
      <w:szCs w:val="18"/>
      <w:lang w:val="en-GB"/>
    </w:rPr>
  </w:style>
  <w:style w:type="paragraph" w:styleId="Textedebulles">
    <w:name w:val="Balloon Text"/>
    <w:basedOn w:val="Normal"/>
    <w:link w:val="TextedebullesCar"/>
    <w:uiPriority w:val="99"/>
    <w:semiHidden/>
    <w:unhideWhenUsed/>
    <w:rsid w:val="00810AC0"/>
    <w:pPr>
      <w:spacing w:after="0" w:line="240" w:lineRule="auto"/>
    </w:pPr>
    <w:rPr>
      <w:rFonts w:ascii="Segoe UI" w:hAnsi="Segoe UI" w:cs="Segoe UI"/>
      <w:sz w:val="18"/>
      <w:szCs w:val="18"/>
    </w:rPr>
  </w:style>
  <w:style w:type="character" w:styleId="Numrodeligne">
    <w:name w:val="line number"/>
    <w:basedOn w:val="Policepardfaut"/>
    <w:uiPriority w:val="99"/>
    <w:semiHidden/>
    <w:unhideWhenUsed/>
    <w:rsid w:val="00810AC0"/>
  </w:style>
  <w:style w:type="paragraph" w:styleId="NormalWeb">
    <w:name w:val="Normal (Web)"/>
    <w:basedOn w:val="Normal"/>
    <w:uiPriority w:val="99"/>
    <w:unhideWhenUsed/>
    <w:rsid w:val="00810AC0"/>
    <w:pPr>
      <w:spacing w:before="100" w:beforeAutospacing="1" w:after="100" w:afterAutospacing="1" w:line="240" w:lineRule="auto"/>
    </w:pPr>
    <w:rPr>
      <w:rFonts w:ascii="Times New Roman" w:eastAsia="Times New Roman" w:hAnsi="Times New Roman" w:cs="Times New Roman"/>
      <w:sz w:val="24"/>
      <w:szCs w:val="24"/>
      <w:lang w:val="fr-FR"/>
    </w:rPr>
  </w:style>
  <w:style w:type="character" w:styleId="Marquedecommentaire">
    <w:name w:val="annotation reference"/>
    <w:basedOn w:val="Policepardfaut"/>
    <w:uiPriority w:val="99"/>
    <w:semiHidden/>
    <w:unhideWhenUsed/>
    <w:qFormat/>
    <w:rsid w:val="009256F0"/>
    <w:rPr>
      <w:sz w:val="16"/>
      <w:szCs w:val="16"/>
    </w:rPr>
  </w:style>
  <w:style w:type="character" w:styleId="Textedelespacerserv">
    <w:name w:val="Placeholder Text"/>
    <w:basedOn w:val="Policepardfaut"/>
    <w:uiPriority w:val="99"/>
    <w:semiHidden/>
    <w:rsid w:val="002D4D02"/>
    <w:rPr>
      <w:color w:val="808080"/>
    </w:rPr>
  </w:style>
  <w:style w:type="paragraph" w:styleId="Rvision">
    <w:name w:val="Revision"/>
    <w:hidden/>
    <w:uiPriority w:val="99"/>
    <w:semiHidden/>
    <w:rsid w:val="00A56DFC"/>
    <w:pPr>
      <w:spacing w:after="0" w:line="240" w:lineRule="auto"/>
    </w:pPr>
    <w:rPr>
      <w:rFonts w:ascii="Times New Roman" w:hAnsi="Times New Roman" w:cs="Times New Roman"/>
    </w:rPr>
  </w:style>
  <w:style w:type="character" w:customStyle="1" w:styleId="Titre4Car">
    <w:name w:val="Titre 4 Car"/>
    <w:basedOn w:val="Policepardfaut"/>
    <w:link w:val="Titre4"/>
    <w:uiPriority w:val="9"/>
    <w:semiHidden/>
    <w:rsid w:val="00350309"/>
    <w:rPr>
      <w:rFonts w:asciiTheme="majorHAnsi" w:eastAsiaTheme="majorEastAsia" w:hAnsiTheme="majorHAnsi" w:cstheme="majorBidi"/>
      <w:i/>
      <w:iCs/>
      <w:color w:val="2F5496" w:themeColor="accent1" w:themeShade="BF"/>
      <w:lang w:val="en-GB"/>
    </w:rPr>
  </w:style>
  <w:style w:type="character" w:customStyle="1" w:styleId="Titre5Car">
    <w:name w:val="Titre 5 Car"/>
    <w:basedOn w:val="Policepardfaut"/>
    <w:link w:val="Titre5"/>
    <w:uiPriority w:val="9"/>
    <w:semiHidden/>
    <w:rsid w:val="00350309"/>
    <w:rPr>
      <w:rFonts w:asciiTheme="majorHAnsi" w:eastAsiaTheme="majorEastAsia" w:hAnsiTheme="majorHAnsi" w:cstheme="majorBidi"/>
      <w:color w:val="2F5496" w:themeColor="accent1" w:themeShade="BF"/>
      <w:lang w:val="en-GB"/>
    </w:rPr>
  </w:style>
  <w:style w:type="character" w:customStyle="1" w:styleId="Titre6Car">
    <w:name w:val="Titre 6 Car"/>
    <w:basedOn w:val="Policepardfaut"/>
    <w:link w:val="Titre6"/>
    <w:uiPriority w:val="9"/>
    <w:semiHidden/>
    <w:rsid w:val="00350309"/>
    <w:rPr>
      <w:rFonts w:asciiTheme="majorHAnsi" w:eastAsiaTheme="majorEastAsia" w:hAnsiTheme="majorHAnsi" w:cstheme="majorBidi"/>
      <w:color w:val="1F3763" w:themeColor="accent1" w:themeShade="7F"/>
      <w:lang w:val="en-GB"/>
    </w:rPr>
  </w:style>
  <w:style w:type="character" w:customStyle="1" w:styleId="Titre7Car">
    <w:name w:val="Titre 7 Car"/>
    <w:basedOn w:val="Policepardfaut"/>
    <w:link w:val="Titre7"/>
    <w:uiPriority w:val="9"/>
    <w:semiHidden/>
    <w:rsid w:val="00350309"/>
    <w:rPr>
      <w:rFonts w:asciiTheme="majorHAnsi" w:eastAsiaTheme="majorEastAsia" w:hAnsiTheme="majorHAnsi" w:cstheme="majorBidi"/>
      <w:i/>
      <w:iCs/>
      <w:color w:val="1F3763" w:themeColor="accent1" w:themeShade="7F"/>
      <w:lang w:val="en-GB"/>
    </w:rPr>
  </w:style>
  <w:style w:type="character" w:customStyle="1" w:styleId="Titre8Car">
    <w:name w:val="Titre 8 Car"/>
    <w:basedOn w:val="Policepardfaut"/>
    <w:link w:val="Titre8"/>
    <w:uiPriority w:val="9"/>
    <w:semiHidden/>
    <w:rsid w:val="00350309"/>
    <w:rPr>
      <w:rFonts w:asciiTheme="majorHAnsi" w:eastAsiaTheme="majorEastAsia" w:hAnsiTheme="majorHAnsi" w:cstheme="majorBidi"/>
      <w:color w:val="272727" w:themeColor="text1" w:themeTint="D8"/>
      <w:sz w:val="21"/>
      <w:szCs w:val="21"/>
      <w:lang w:val="en-GB"/>
    </w:rPr>
  </w:style>
  <w:style w:type="character" w:customStyle="1" w:styleId="Titre9Car">
    <w:name w:val="Titre 9 Car"/>
    <w:basedOn w:val="Policepardfaut"/>
    <w:link w:val="Titre9"/>
    <w:uiPriority w:val="9"/>
    <w:semiHidden/>
    <w:rsid w:val="00350309"/>
    <w:rPr>
      <w:rFonts w:asciiTheme="majorHAnsi" w:eastAsiaTheme="majorEastAsia" w:hAnsiTheme="majorHAnsi" w:cstheme="majorBidi"/>
      <w:i/>
      <w:iCs/>
      <w:color w:val="272727" w:themeColor="text1" w:themeTint="D8"/>
      <w:sz w:val="21"/>
      <w:szCs w:val="21"/>
      <w:lang w:val="en-GB"/>
    </w:rPr>
  </w:style>
  <w:style w:type="character" w:customStyle="1" w:styleId="ParagraphedelisteCar">
    <w:name w:val="Paragraphe de liste Car"/>
    <w:link w:val="Paragraphedeliste"/>
    <w:uiPriority w:val="34"/>
    <w:locked/>
    <w:rsid w:val="00350309"/>
    <w:rPr>
      <w:rFonts w:ascii="Times New Roman" w:hAnsi="Times New Roman" w:cs="Times New Roman"/>
      <w:lang w:val="en-GB"/>
    </w:rPr>
  </w:style>
  <w:style w:type="paragraph" w:styleId="Lgende">
    <w:name w:val="caption"/>
    <w:basedOn w:val="Normal"/>
    <w:next w:val="Normal"/>
    <w:uiPriority w:val="35"/>
    <w:unhideWhenUsed/>
    <w:qFormat/>
    <w:rsid w:val="00350309"/>
    <w:pPr>
      <w:spacing w:after="200" w:line="240" w:lineRule="auto"/>
    </w:pPr>
    <w:rPr>
      <w:rFonts w:ascii="Times New Roman" w:hAnsi="Times New Roman"/>
      <w:b/>
      <w:bCs/>
      <w:szCs w:val="18"/>
    </w:rPr>
  </w:style>
  <w:style w:type="paragraph" w:styleId="Explorateurdedocuments">
    <w:name w:val="Document Map"/>
    <w:basedOn w:val="Normal"/>
    <w:link w:val="ExplorateurdedocumentsCar"/>
    <w:uiPriority w:val="99"/>
    <w:semiHidden/>
    <w:unhideWhenUsed/>
    <w:rsid w:val="00350309"/>
    <w:pPr>
      <w:spacing w:after="0" w:line="240" w:lineRule="auto"/>
    </w:pPr>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350309"/>
    <w:rPr>
      <w:rFonts w:ascii="Tahoma" w:hAnsi="Tahoma" w:cs="Tahoma"/>
      <w:sz w:val="16"/>
      <w:szCs w:val="16"/>
      <w:lang w:val="en-GB"/>
    </w:rPr>
  </w:style>
  <w:style w:type="numbering" w:customStyle="1" w:styleId="Sinlista1">
    <w:name w:val="Sin lista1"/>
    <w:next w:val="Aucuneliste"/>
    <w:uiPriority w:val="99"/>
    <w:semiHidden/>
    <w:unhideWhenUsed/>
    <w:rsid w:val="00350309"/>
  </w:style>
  <w:style w:type="paragraph" w:customStyle="1" w:styleId="Normal1">
    <w:name w:val="Normal1"/>
    <w:rsid w:val="00350309"/>
    <w:pPr>
      <w:pBdr>
        <w:top w:val="nil"/>
        <w:left w:val="nil"/>
        <w:bottom w:val="nil"/>
        <w:right w:val="nil"/>
        <w:between w:val="nil"/>
      </w:pBdr>
      <w:spacing w:after="200" w:line="240" w:lineRule="auto"/>
    </w:pPr>
    <w:rPr>
      <w:rFonts w:ascii="Cambria" w:eastAsia="Cambria" w:hAnsi="Cambria" w:cs="Cambria"/>
      <w:color w:val="000000"/>
      <w:sz w:val="24"/>
      <w:szCs w:val="24"/>
      <w:lang w:val="en-US" w:eastAsia="es-ES"/>
    </w:rPr>
  </w:style>
  <w:style w:type="paragraph" w:customStyle="1" w:styleId="EndNoteBibliography">
    <w:name w:val="EndNote Bibliography"/>
    <w:basedOn w:val="Normal"/>
    <w:link w:val="EndNoteBibliographyChar"/>
    <w:uiPriority w:val="99"/>
    <w:rsid w:val="00350309"/>
    <w:pPr>
      <w:spacing w:after="0" w:line="360" w:lineRule="auto"/>
      <w:jc w:val="both"/>
    </w:pPr>
    <w:rPr>
      <w:rFonts w:eastAsia="Times New Roman"/>
      <w:noProof/>
      <w:lang w:eastAsia="en-GB"/>
    </w:rPr>
  </w:style>
  <w:style w:type="character" w:customStyle="1" w:styleId="EndNoteBibliographyChar">
    <w:name w:val="EndNote Bibliography Char"/>
    <w:basedOn w:val="Policepardfaut"/>
    <w:link w:val="EndNoteBibliography"/>
    <w:uiPriority w:val="99"/>
    <w:locked/>
    <w:rsid w:val="00350309"/>
    <w:rPr>
      <w:rFonts w:ascii="Calibri" w:eastAsia="Times New Roman" w:hAnsi="Calibri" w:cs="Calibri"/>
      <w:noProof/>
      <w:lang w:val="en-GB" w:eastAsia="en-GB"/>
    </w:rPr>
  </w:style>
  <w:style w:type="paragraph" w:customStyle="1" w:styleId="Titulo3">
    <w:name w:val="Titulo 3"/>
    <w:basedOn w:val="Titre3"/>
    <w:link w:val="Titulo3Car"/>
    <w:qFormat/>
    <w:rsid w:val="00350309"/>
    <w:pPr>
      <w:numPr>
        <w:ilvl w:val="2"/>
      </w:numPr>
      <w:pBdr>
        <w:top w:val="nil"/>
        <w:left w:val="nil"/>
        <w:bottom w:val="nil"/>
        <w:right w:val="nil"/>
        <w:between w:val="nil"/>
      </w:pBdr>
      <w:spacing w:before="200" w:line="240" w:lineRule="auto"/>
      <w:ind w:left="720" w:hanging="432"/>
    </w:pPr>
    <w:rPr>
      <w:rFonts w:ascii="Times New Roman" w:eastAsia="Calibri" w:hAnsi="Times New Roman" w:cs="Calibri"/>
      <w:b/>
      <w:i/>
      <w:szCs w:val="28"/>
      <w:lang w:val="en-US" w:eastAsia="es-ES"/>
    </w:rPr>
  </w:style>
  <w:style w:type="character" w:customStyle="1" w:styleId="Titulo3Car">
    <w:name w:val="Titulo 3 Car"/>
    <w:basedOn w:val="Titre3Car"/>
    <w:link w:val="Titulo3"/>
    <w:rsid w:val="00350309"/>
    <w:rPr>
      <w:rFonts w:ascii="Times New Roman" w:eastAsia="Calibri" w:hAnsi="Times New Roman" w:cs="Calibri"/>
      <w:b/>
      <w:i/>
      <w:color w:val="1F3763" w:themeColor="accent1" w:themeShade="7F"/>
      <w:sz w:val="24"/>
      <w:szCs w:val="28"/>
      <w:lang w:val="en-US" w:eastAsia="es-ES"/>
    </w:rPr>
  </w:style>
  <w:style w:type="paragraph" w:customStyle="1" w:styleId="Textoindependiente1">
    <w:name w:val="Texto independiente1"/>
    <w:basedOn w:val="Normal"/>
    <w:next w:val="Corpsdetexte"/>
    <w:link w:val="TextoindependienteCar"/>
    <w:qFormat/>
    <w:rsid w:val="00350309"/>
    <w:pPr>
      <w:spacing w:before="180" w:after="180" w:line="240" w:lineRule="auto"/>
    </w:pPr>
    <w:rPr>
      <w:sz w:val="24"/>
      <w:szCs w:val="24"/>
    </w:rPr>
  </w:style>
  <w:style w:type="character" w:customStyle="1" w:styleId="TextoindependienteCar">
    <w:name w:val="Texto independiente Car"/>
    <w:basedOn w:val="Policepardfaut"/>
    <w:link w:val="Textoindependiente1"/>
    <w:rsid w:val="00350309"/>
    <w:rPr>
      <w:sz w:val="24"/>
      <w:szCs w:val="24"/>
      <w:lang w:val="en-GB"/>
    </w:rPr>
  </w:style>
  <w:style w:type="paragraph" w:customStyle="1" w:styleId="FirstParagraph">
    <w:name w:val="First Paragraph"/>
    <w:basedOn w:val="Corpsdetexte"/>
    <w:next w:val="Corpsdetexte"/>
    <w:qFormat/>
    <w:rsid w:val="00350309"/>
    <w:pPr>
      <w:spacing w:before="180" w:after="180"/>
    </w:pPr>
    <w:rPr>
      <w:sz w:val="24"/>
      <w:szCs w:val="24"/>
      <w:lang w:val="en-US"/>
    </w:rPr>
  </w:style>
  <w:style w:type="paragraph" w:customStyle="1" w:styleId="TtulodeTDC1">
    <w:name w:val="Título de TDC1"/>
    <w:basedOn w:val="Titre1"/>
    <w:next w:val="Normal"/>
    <w:uiPriority w:val="39"/>
    <w:unhideWhenUsed/>
    <w:qFormat/>
    <w:rsid w:val="00350309"/>
    <w:pPr>
      <w:outlineLvl w:val="9"/>
    </w:pPr>
    <w:rPr>
      <w:rFonts w:eastAsia="Times New Roman"/>
      <w:b w:val="0"/>
      <w:bCs w:val="0"/>
      <w:sz w:val="28"/>
      <w:szCs w:val="28"/>
      <w:u w:val="single"/>
      <w:lang w:val="es-ES" w:eastAsia="es-ES"/>
    </w:rPr>
  </w:style>
  <w:style w:type="character" w:customStyle="1" w:styleId="Hipervnculo1">
    <w:name w:val="Hipervínculo1"/>
    <w:basedOn w:val="Policepardfaut"/>
    <w:uiPriority w:val="99"/>
    <w:unhideWhenUsed/>
    <w:rsid w:val="00350309"/>
    <w:rPr>
      <w:color w:val="0563C1"/>
      <w:u w:val="single"/>
    </w:rPr>
  </w:style>
  <w:style w:type="table" w:customStyle="1" w:styleId="Tabladecuadrcula21">
    <w:name w:val="Tabla de cuadrícula 21"/>
    <w:basedOn w:val="TableauNormal"/>
    <w:uiPriority w:val="47"/>
    <w:rsid w:val="00350309"/>
    <w:pPr>
      <w:spacing w:after="0" w:line="240" w:lineRule="auto"/>
    </w:pPr>
    <w:rPr>
      <w:lang w:val="es-ES"/>
    </w:rPr>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paragraph" w:customStyle="1" w:styleId="helixformattaulesv2">
    <w:name w:val="helix_format_taules_v2"/>
    <w:basedOn w:val="Normal"/>
    <w:link w:val="helixformattaulesv2Car"/>
    <w:qFormat/>
    <w:rsid w:val="00350309"/>
    <w:pPr>
      <w:spacing w:after="60" w:line="240" w:lineRule="auto"/>
      <w:jc w:val="center"/>
    </w:pPr>
    <w:rPr>
      <w:rFonts w:ascii="Times New Roman" w:hAnsi="Times New Roman" w:cs="Times New Roman"/>
      <w:b/>
      <w:bCs/>
      <w:sz w:val="20"/>
      <w:szCs w:val="20"/>
      <w:lang w:val="en-US"/>
    </w:rPr>
  </w:style>
  <w:style w:type="character" w:customStyle="1" w:styleId="helixformattaulesv2Car">
    <w:name w:val="helix_format_taules_v2 Car"/>
    <w:basedOn w:val="Policepardfaut"/>
    <w:link w:val="helixformattaulesv2"/>
    <w:rsid w:val="00350309"/>
    <w:rPr>
      <w:rFonts w:ascii="Times New Roman" w:eastAsia="Calibri" w:hAnsi="Times New Roman" w:cs="Times New Roman"/>
      <w:b/>
      <w:bCs/>
      <w:sz w:val="20"/>
      <w:szCs w:val="20"/>
      <w:lang w:val="en-US"/>
    </w:rPr>
  </w:style>
  <w:style w:type="character" w:customStyle="1" w:styleId="hps">
    <w:name w:val="hps"/>
    <w:basedOn w:val="Policepardfaut"/>
    <w:rsid w:val="00350309"/>
  </w:style>
  <w:style w:type="paragraph" w:customStyle="1" w:styleId="xl63">
    <w:name w:val="xl63"/>
    <w:basedOn w:val="Normal"/>
    <w:rsid w:val="00350309"/>
    <w:pPr>
      <w:pBdr>
        <w:top w:val="single" w:sz="8" w:space="0" w:color="auto"/>
        <w:lef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64">
    <w:name w:val="xl64"/>
    <w:basedOn w:val="Normal"/>
    <w:rsid w:val="00350309"/>
    <w:pPr>
      <w:pBdr>
        <w:top w:val="single" w:sz="8" w:space="0" w:color="auto"/>
        <w:left w:val="single" w:sz="8" w:space="0" w:color="auto"/>
        <w:bottom w:val="single" w:sz="8" w:space="0" w:color="auto"/>
      </w:pBdr>
      <w:spacing w:before="100" w:beforeAutospacing="1" w:after="100" w:afterAutospacing="1" w:line="240" w:lineRule="auto"/>
      <w:jc w:val="center"/>
    </w:pPr>
    <w:rPr>
      <w:rFonts w:ascii="Cambria" w:eastAsia="Times New Roman" w:hAnsi="Cambria" w:cs="Times New Roman"/>
      <w:color w:val="000000"/>
      <w:sz w:val="24"/>
      <w:szCs w:val="24"/>
      <w:lang w:val="es-ES" w:eastAsia="es-ES"/>
    </w:rPr>
  </w:style>
  <w:style w:type="paragraph" w:customStyle="1" w:styleId="xl65">
    <w:name w:val="xl65"/>
    <w:basedOn w:val="Normal"/>
    <w:rsid w:val="00350309"/>
    <w:pPr>
      <w:pBdr>
        <w:left w:val="single" w:sz="8" w:space="0" w:color="auto"/>
        <w:right w:val="single" w:sz="4" w:space="0" w:color="auto"/>
      </w:pBdr>
      <w:spacing w:before="100" w:beforeAutospacing="1" w:after="100" w:afterAutospacing="1" w:line="240" w:lineRule="auto"/>
      <w:jc w:val="center"/>
      <w:textAlignment w:val="center"/>
    </w:pPr>
    <w:rPr>
      <w:rFonts w:ascii="Cambria" w:eastAsia="Times New Roman" w:hAnsi="Cambria" w:cs="Times New Roman"/>
      <w:color w:val="000000"/>
      <w:sz w:val="24"/>
      <w:szCs w:val="24"/>
      <w:lang w:val="es-ES" w:eastAsia="es-ES"/>
    </w:rPr>
  </w:style>
  <w:style w:type="paragraph" w:customStyle="1" w:styleId="xl66">
    <w:name w:val="xl66"/>
    <w:basedOn w:val="Normal"/>
    <w:rsid w:val="00350309"/>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Cambria" w:eastAsia="Times New Roman" w:hAnsi="Cambria" w:cs="Times New Roman"/>
      <w:color w:val="000000"/>
      <w:sz w:val="24"/>
      <w:szCs w:val="24"/>
      <w:lang w:val="es-ES" w:eastAsia="es-ES"/>
    </w:rPr>
  </w:style>
  <w:style w:type="paragraph" w:customStyle="1" w:styleId="xl67">
    <w:name w:val="xl67"/>
    <w:basedOn w:val="Normal"/>
    <w:rsid w:val="00350309"/>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Cambria" w:eastAsia="Times New Roman" w:hAnsi="Cambria" w:cs="Times New Roman"/>
      <w:color w:val="000000"/>
      <w:sz w:val="24"/>
      <w:szCs w:val="24"/>
      <w:lang w:val="es-ES" w:eastAsia="es-ES"/>
    </w:rPr>
  </w:style>
  <w:style w:type="paragraph" w:customStyle="1" w:styleId="xl68">
    <w:name w:val="xl68"/>
    <w:basedOn w:val="Normal"/>
    <w:rsid w:val="00350309"/>
    <w:pPr>
      <w:pBdr>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69">
    <w:name w:val="xl69"/>
    <w:basedOn w:val="Normal"/>
    <w:rsid w:val="00350309"/>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70">
    <w:name w:val="xl70"/>
    <w:basedOn w:val="Normal"/>
    <w:rsid w:val="00350309"/>
    <w:pPr>
      <w:pBdr>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71">
    <w:name w:val="xl71"/>
    <w:basedOn w:val="Normal"/>
    <w:rsid w:val="00350309"/>
    <w:pPr>
      <w:shd w:val="clear" w:color="FFD700"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72">
    <w:name w:val="xl72"/>
    <w:basedOn w:val="Normal"/>
    <w:rsid w:val="00350309"/>
    <w:pPr>
      <w:shd w:val="clear" w:color="FFD70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73">
    <w:name w:val="xl73"/>
    <w:basedOn w:val="Normal"/>
    <w:rsid w:val="00350309"/>
    <w:pPr>
      <w:shd w:val="clear" w:color="FFD700"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74">
    <w:name w:val="xl74"/>
    <w:basedOn w:val="Normal"/>
    <w:rsid w:val="00350309"/>
    <w:pPr>
      <w:shd w:val="clear" w:color="F4A460"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75">
    <w:name w:val="xl75"/>
    <w:basedOn w:val="Normal"/>
    <w:rsid w:val="00350309"/>
    <w:pPr>
      <w:shd w:val="clear" w:color="F4A46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76">
    <w:name w:val="xl76"/>
    <w:basedOn w:val="Normal"/>
    <w:rsid w:val="00350309"/>
    <w:pPr>
      <w:shd w:val="clear" w:color="F4A460"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77">
    <w:name w:val="xl77"/>
    <w:basedOn w:val="Normal"/>
    <w:rsid w:val="00350309"/>
    <w:pPr>
      <w:shd w:val="clear" w:color="C0C0C0"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78">
    <w:name w:val="xl78"/>
    <w:basedOn w:val="Normal"/>
    <w:rsid w:val="00350309"/>
    <w:pPr>
      <w:shd w:val="clear" w:color="C0C0C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79">
    <w:name w:val="xl79"/>
    <w:basedOn w:val="Normal"/>
    <w:rsid w:val="00350309"/>
    <w:pPr>
      <w:shd w:val="clear" w:color="C0C0C0"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80">
    <w:name w:val="xl80"/>
    <w:basedOn w:val="Normal"/>
    <w:rsid w:val="00350309"/>
    <w:pPr>
      <w:shd w:val="clear" w:color="DEB887"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81">
    <w:name w:val="xl81"/>
    <w:basedOn w:val="Normal"/>
    <w:rsid w:val="00350309"/>
    <w:pPr>
      <w:shd w:val="clear" w:color="DEB887"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82">
    <w:name w:val="xl82"/>
    <w:basedOn w:val="Normal"/>
    <w:rsid w:val="00350309"/>
    <w:pPr>
      <w:shd w:val="clear" w:color="DEB887"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83">
    <w:name w:val="xl83"/>
    <w:basedOn w:val="Normal"/>
    <w:rsid w:val="00350309"/>
    <w:pPr>
      <w:shd w:val="clear" w:color="95B3D7"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84">
    <w:name w:val="xl84"/>
    <w:basedOn w:val="Normal"/>
    <w:rsid w:val="00350309"/>
    <w:pPr>
      <w:shd w:val="clear" w:color="95B3D7"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85">
    <w:name w:val="xl85"/>
    <w:basedOn w:val="Normal"/>
    <w:rsid w:val="00350309"/>
    <w:pPr>
      <w:shd w:val="clear" w:color="95B3D7"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86">
    <w:name w:val="xl86"/>
    <w:basedOn w:val="Normal"/>
    <w:rsid w:val="00350309"/>
    <w:pPr>
      <w:shd w:val="clear" w:color="95B3D7"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87">
    <w:name w:val="xl87"/>
    <w:basedOn w:val="Normal"/>
    <w:rsid w:val="00350309"/>
    <w:pPr>
      <w:shd w:val="clear" w:color="8FBC8F"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88">
    <w:name w:val="xl88"/>
    <w:basedOn w:val="Normal"/>
    <w:rsid w:val="00350309"/>
    <w:pPr>
      <w:shd w:val="clear" w:color="8FBC8F"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89">
    <w:name w:val="xl89"/>
    <w:basedOn w:val="Normal"/>
    <w:rsid w:val="00350309"/>
    <w:pPr>
      <w:shd w:val="clear" w:color="8FBC8F"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90">
    <w:name w:val="xl90"/>
    <w:basedOn w:val="Normal"/>
    <w:rsid w:val="00350309"/>
    <w:pPr>
      <w:shd w:val="clear" w:color="CD853F"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91">
    <w:name w:val="xl91"/>
    <w:basedOn w:val="Normal"/>
    <w:rsid w:val="00350309"/>
    <w:pPr>
      <w:shd w:val="clear" w:color="CD853F"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92">
    <w:name w:val="xl92"/>
    <w:basedOn w:val="Normal"/>
    <w:rsid w:val="00350309"/>
    <w:pPr>
      <w:shd w:val="clear" w:color="CD853F"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93">
    <w:name w:val="xl93"/>
    <w:basedOn w:val="Normal"/>
    <w:rsid w:val="00350309"/>
    <w:pPr>
      <w:shd w:val="clear" w:color="EE82EE"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94">
    <w:name w:val="xl94"/>
    <w:basedOn w:val="Normal"/>
    <w:rsid w:val="00350309"/>
    <w:pPr>
      <w:shd w:val="clear" w:color="EE82EE"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95">
    <w:name w:val="xl95"/>
    <w:basedOn w:val="Normal"/>
    <w:rsid w:val="00350309"/>
    <w:pPr>
      <w:shd w:val="clear" w:color="EE82EE"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96">
    <w:name w:val="xl96"/>
    <w:basedOn w:val="Normal"/>
    <w:rsid w:val="00350309"/>
    <w:pPr>
      <w:shd w:val="clear" w:color="92D050"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97">
    <w:name w:val="xl97"/>
    <w:basedOn w:val="Normal"/>
    <w:rsid w:val="00350309"/>
    <w:pPr>
      <w:shd w:val="clear" w:color="92D05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98">
    <w:name w:val="xl98"/>
    <w:basedOn w:val="Normal"/>
    <w:rsid w:val="00350309"/>
    <w:pPr>
      <w:shd w:val="clear" w:color="92D050"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99">
    <w:name w:val="xl99"/>
    <w:basedOn w:val="Normal"/>
    <w:rsid w:val="00350309"/>
    <w:pPr>
      <w:shd w:val="clear" w:color="00000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00">
    <w:name w:val="xl100"/>
    <w:basedOn w:val="Normal"/>
    <w:rsid w:val="00350309"/>
    <w:pP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101">
    <w:name w:val="xl101"/>
    <w:basedOn w:val="Normal"/>
    <w:rsid w:val="00350309"/>
    <w:pPr>
      <w:shd w:val="clear" w:color="000000"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102">
    <w:name w:val="xl102"/>
    <w:basedOn w:val="Normal"/>
    <w:rsid w:val="00350309"/>
    <w:pPr>
      <w:pBdr>
        <w:top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03">
    <w:name w:val="xl103"/>
    <w:basedOn w:val="Normal"/>
    <w:rsid w:val="00350309"/>
    <w:pPr>
      <w:pBdr>
        <w:top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04">
    <w:name w:val="xl104"/>
    <w:basedOn w:val="Normal"/>
    <w:rsid w:val="00350309"/>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pPr>
    <w:rPr>
      <w:rFonts w:ascii="Cambria" w:eastAsia="Times New Roman" w:hAnsi="Cambria" w:cs="Times New Roman"/>
      <w:sz w:val="24"/>
      <w:szCs w:val="24"/>
      <w:lang w:val="es-ES" w:eastAsia="es-ES"/>
    </w:rPr>
  </w:style>
  <w:style w:type="paragraph" w:customStyle="1" w:styleId="xl105">
    <w:name w:val="xl105"/>
    <w:basedOn w:val="Normal"/>
    <w:rsid w:val="00350309"/>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06">
    <w:name w:val="xl106"/>
    <w:basedOn w:val="Normal"/>
    <w:rsid w:val="00350309"/>
    <w:pPr>
      <w:pBdr>
        <w:top w:val="single" w:sz="8" w:space="0" w:color="auto"/>
        <w:bottom w:val="single" w:sz="8"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07">
    <w:name w:val="xl107"/>
    <w:basedOn w:val="Normal"/>
    <w:rsid w:val="00350309"/>
    <w:pPr>
      <w:pBdr>
        <w:top w:val="single" w:sz="8" w:space="0" w:color="auto"/>
        <w:bottom w:val="single" w:sz="8" w:space="0" w:color="auto"/>
      </w:pBdr>
      <w:shd w:val="clear" w:color="000000" w:fill="FFFFFF"/>
      <w:spacing w:before="100" w:beforeAutospacing="1" w:after="100" w:afterAutospacing="1" w:line="240" w:lineRule="auto"/>
    </w:pPr>
    <w:rPr>
      <w:rFonts w:ascii="Cambria" w:eastAsia="Times New Roman" w:hAnsi="Cambria" w:cs="Times New Roman"/>
      <w:sz w:val="24"/>
      <w:szCs w:val="24"/>
      <w:lang w:val="es-ES" w:eastAsia="es-ES"/>
    </w:rPr>
  </w:style>
  <w:style w:type="paragraph" w:customStyle="1" w:styleId="xl108">
    <w:name w:val="xl108"/>
    <w:basedOn w:val="Normal"/>
    <w:rsid w:val="0035030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cs="Times New Roman"/>
      <w:sz w:val="24"/>
      <w:szCs w:val="24"/>
      <w:lang w:val="es-ES" w:eastAsia="es-ES"/>
    </w:rPr>
  </w:style>
  <w:style w:type="paragraph" w:customStyle="1" w:styleId="xl109">
    <w:name w:val="xl109"/>
    <w:basedOn w:val="Normal"/>
    <w:rsid w:val="00350309"/>
    <w:pPr>
      <w:pBdr>
        <w:bottom w:val="single" w:sz="8" w:space="0" w:color="auto"/>
      </w:pBdr>
      <w:shd w:val="clear" w:color="000000" w:fill="FFFFFF"/>
      <w:spacing w:before="100" w:beforeAutospacing="1" w:after="100" w:afterAutospacing="1" w:line="240" w:lineRule="auto"/>
    </w:pPr>
    <w:rPr>
      <w:rFonts w:ascii="Cambria" w:eastAsia="Times New Roman" w:hAnsi="Cambria" w:cs="Times New Roman"/>
      <w:sz w:val="24"/>
      <w:szCs w:val="24"/>
      <w:lang w:val="es-ES" w:eastAsia="es-ES"/>
    </w:rPr>
  </w:style>
  <w:style w:type="paragraph" w:customStyle="1" w:styleId="xl110">
    <w:name w:val="xl110"/>
    <w:basedOn w:val="Normal"/>
    <w:rsid w:val="00350309"/>
    <w:pPr>
      <w:pBdr>
        <w:bottom w:val="single" w:sz="8" w:space="0" w:color="auto"/>
      </w:pBdr>
      <w:shd w:val="clear" w:color="000000" w:fill="FFFFFF"/>
      <w:spacing w:before="100" w:beforeAutospacing="1" w:after="100" w:afterAutospacing="1" w:line="240" w:lineRule="auto"/>
      <w:jc w:val="center"/>
    </w:pPr>
    <w:rPr>
      <w:rFonts w:ascii="Cambria" w:eastAsia="Times New Roman" w:hAnsi="Cambria" w:cs="Times New Roman"/>
      <w:sz w:val="24"/>
      <w:szCs w:val="24"/>
      <w:lang w:val="es-ES" w:eastAsia="es-ES"/>
    </w:rPr>
  </w:style>
  <w:style w:type="paragraph" w:customStyle="1" w:styleId="xl111">
    <w:name w:val="xl111"/>
    <w:basedOn w:val="Normal"/>
    <w:rsid w:val="00350309"/>
    <w:pPr>
      <w:pBdr>
        <w:bottom w:val="single" w:sz="8" w:space="0" w:color="auto"/>
      </w:pBdr>
      <w:shd w:val="clear" w:color="000000" w:fill="FFFFFF"/>
      <w:spacing w:before="100" w:beforeAutospacing="1" w:after="100" w:afterAutospacing="1" w:line="240" w:lineRule="auto"/>
      <w:jc w:val="right"/>
    </w:pPr>
    <w:rPr>
      <w:rFonts w:ascii="Cambria" w:eastAsia="Times New Roman" w:hAnsi="Cambria" w:cs="Times New Roman"/>
      <w:sz w:val="24"/>
      <w:szCs w:val="24"/>
      <w:lang w:val="es-ES" w:eastAsia="es-ES"/>
    </w:rPr>
  </w:style>
  <w:style w:type="paragraph" w:customStyle="1" w:styleId="xl112">
    <w:name w:val="xl112"/>
    <w:basedOn w:val="Normal"/>
    <w:rsid w:val="00350309"/>
    <w:pPr>
      <w:shd w:val="clear" w:color="7B68EE"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113">
    <w:name w:val="xl113"/>
    <w:basedOn w:val="Normal"/>
    <w:rsid w:val="00350309"/>
    <w:pPr>
      <w:shd w:val="clear" w:color="7B68EE"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14">
    <w:name w:val="xl114"/>
    <w:basedOn w:val="Normal"/>
    <w:rsid w:val="00350309"/>
    <w:pPr>
      <w:shd w:val="clear" w:color="7B68EE"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115">
    <w:name w:val="xl115"/>
    <w:basedOn w:val="Normal"/>
    <w:rsid w:val="00350309"/>
    <w:pPr>
      <w:shd w:val="clear" w:color="228B22"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116">
    <w:name w:val="xl116"/>
    <w:basedOn w:val="Normal"/>
    <w:rsid w:val="00350309"/>
    <w:pPr>
      <w:shd w:val="clear" w:color="228B22"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17">
    <w:name w:val="xl117"/>
    <w:basedOn w:val="Normal"/>
    <w:rsid w:val="00350309"/>
    <w:pPr>
      <w:shd w:val="clear" w:color="228B22"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118">
    <w:name w:val="xl118"/>
    <w:basedOn w:val="Normal"/>
    <w:rsid w:val="00350309"/>
    <w:pPr>
      <w:shd w:val="clear" w:color="B22222"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119">
    <w:name w:val="xl119"/>
    <w:basedOn w:val="Normal"/>
    <w:rsid w:val="00350309"/>
    <w:pPr>
      <w:shd w:val="clear" w:color="B22222"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20">
    <w:name w:val="xl120"/>
    <w:basedOn w:val="Normal"/>
    <w:rsid w:val="00350309"/>
    <w:pPr>
      <w:shd w:val="clear" w:color="B22222"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121">
    <w:name w:val="xl121"/>
    <w:basedOn w:val="Normal"/>
    <w:rsid w:val="00350309"/>
    <w:pPr>
      <w:shd w:val="clear" w:color="20B2AA"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122">
    <w:name w:val="xl122"/>
    <w:basedOn w:val="Normal"/>
    <w:rsid w:val="00350309"/>
    <w:pPr>
      <w:shd w:val="clear" w:color="20B2AA"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23">
    <w:name w:val="xl123"/>
    <w:basedOn w:val="Normal"/>
    <w:rsid w:val="00350309"/>
    <w:pPr>
      <w:shd w:val="clear" w:color="20B2AA"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124">
    <w:name w:val="xl124"/>
    <w:basedOn w:val="Normal"/>
    <w:rsid w:val="00350309"/>
    <w:pPr>
      <w:shd w:val="clear" w:color="008080"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125">
    <w:name w:val="xl125"/>
    <w:basedOn w:val="Normal"/>
    <w:rsid w:val="00350309"/>
    <w:pPr>
      <w:shd w:val="clear" w:color="00808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26">
    <w:name w:val="xl126"/>
    <w:basedOn w:val="Normal"/>
    <w:rsid w:val="00350309"/>
    <w:pPr>
      <w:shd w:val="clear" w:color="008080"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127">
    <w:name w:val="xl127"/>
    <w:basedOn w:val="Normal"/>
    <w:rsid w:val="00350309"/>
    <w:pPr>
      <w:shd w:val="clear" w:color="008080"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128">
    <w:name w:val="xl128"/>
    <w:basedOn w:val="Normal"/>
    <w:rsid w:val="00350309"/>
    <w:pPr>
      <w:shd w:val="clear" w:color="696969"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129">
    <w:name w:val="xl129"/>
    <w:basedOn w:val="Normal"/>
    <w:rsid w:val="00350309"/>
    <w:pPr>
      <w:shd w:val="clear" w:color="696969"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30">
    <w:name w:val="xl130"/>
    <w:basedOn w:val="Normal"/>
    <w:rsid w:val="00350309"/>
    <w:pPr>
      <w:shd w:val="clear" w:color="696969"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131">
    <w:name w:val="xl131"/>
    <w:basedOn w:val="Normal"/>
    <w:rsid w:val="00350309"/>
    <w:pPr>
      <w:shd w:val="clear" w:color="6495ED"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132">
    <w:name w:val="xl132"/>
    <w:basedOn w:val="Normal"/>
    <w:rsid w:val="00350309"/>
    <w:pPr>
      <w:shd w:val="clear" w:color="6495ED"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33">
    <w:name w:val="xl133"/>
    <w:basedOn w:val="Normal"/>
    <w:rsid w:val="00350309"/>
    <w:pPr>
      <w:shd w:val="clear" w:color="6495ED"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134">
    <w:name w:val="xl134"/>
    <w:basedOn w:val="Normal"/>
    <w:rsid w:val="00350309"/>
    <w:pPr>
      <w:shd w:val="clear" w:color="FF4500"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135">
    <w:name w:val="xl135"/>
    <w:basedOn w:val="Normal"/>
    <w:rsid w:val="00350309"/>
    <w:pPr>
      <w:shd w:val="clear" w:color="FF450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36">
    <w:name w:val="xl136"/>
    <w:basedOn w:val="Normal"/>
    <w:rsid w:val="00350309"/>
    <w:pPr>
      <w:shd w:val="clear" w:color="FF4500"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137">
    <w:name w:val="xl137"/>
    <w:basedOn w:val="Normal"/>
    <w:rsid w:val="00350309"/>
    <w:pPr>
      <w:shd w:val="clear" w:color="000000" w:fill="FFFFFF"/>
      <w:spacing w:before="100" w:beforeAutospacing="1" w:after="100" w:afterAutospacing="1" w:line="240" w:lineRule="auto"/>
      <w:jc w:val="center"/>
      <w:textAlignment w:val="top"/>
    </w:pPr>
    <w:rPr>
      <w:rFonts w:ascii="Cambria" w:eastAsia="Times New Roman" w:hAnsi="Cambria" w:cs="Times New Roman"/>
      <w:sz w:val="24"/>
      <w:szCs w:val="24"/>
      <w:lang w:val="es-ES" w:eastAsia="es-ES"/>
    </w:rPr>
  </w:style>
  <w:style w:type="paragraph" w:customStyle="1" w:styleId="xl138">
    <w:name w:val="xl138"/>
    <w:basedOn w:val="Normal"/>
    <w:rsid w:val="00350309"/>
    <w:pPr>
      <w:shd w:val="clear" w:color="000000" w:fill="FFFFFF"/>
      <w:spacing w:before="100" w:beforeAutospacing="1" w:after="100" w:afterAutospacing="1" w:line="240" w:lineRule="auto"/>
      <w:jc w:val="right"/>
      <w:textAlignment w:val="top"/>
    </w:pPr>
    <w:rPr>
      <w:rFonts w:ascii="Cambria" w:eastAsia="Times New Roman" w:hAnsi="Cambria" w:cs="Times New Roman"/>
      <w:sz w:val="24"/>
      <w:szCs w:val="24"/>
      <w:lang w:val="es-ES" w:eastAsia="es-ES"/>
    </w:rPr>
  </w:style>
  <w:style w:type="paragraph" w:customStyle="1" w:styleId="xl139">
    <w:name w:val="xl139"/>
    <w:basedOn w:val="Normal"/>
    <w:rsid w:val="00350309"/>
    <w:pPr>
      <w:shd w:val="clear" w:color="000000" w:fill="FFFFFF"/>
      <w:spacing w:before="100" w:beforeAutospacing="1" w:after="100" w:afterAutospacing="1" w:line="240" w:lineRule="auto"/>
      <w:textAlignment w:val="top"/>
    </w:pPr>
    <w:rPr>
      <w:rFonts w:ascii="Cambria" w:eastAsia="Times New Roman" w:hAnsi="Cambria" w:cs="Times New Roman"/>
      <w:sz w:val="24"/>
      <w:szCs w:val="24"/>
      <w:lang w:val="es-ES" w:eastAsia="es-ES"/>
    </w:rPr>
  </w:style>
  <w:style w:type="paragraph" w:customStyle="1" w:styleId="xl140">
    <w:name w:val="xl140"/>
    <w:basedOn w:val="Normal"/>
    <w:rsid w:val="00350309"/>
    <w:pPr>
      <w:pBdr>
        <w:bottom w:val="single" w:sz="4" w:space="0" w:color="auto"/>
      </w:pBdr>
      <w:shd w:val="clear" w:color="000000" w:fill="FFFFFF"/>
      <w:spacing w:before="100" w:beforeAutospacing="1" w:after="100" w:afterAutospacing="1" w:line="240" w:lineRule="auto"/>
      <w:jc w:val="center"/>
      <w:textAlignment w:val="top"/>
    </w:pPr>
    <w:rPr>
      <w:rFonts w:ascii="Cambria" w:eastAsia="Times New Roman" w:hAnsi="Cambria" w:cs="Times New Roman"/>
      <w:sz w:val="24"/>
      <w:szCs w:val="24"/>
      <w:lang w:val="es-ES" w:eastAsia="es-ES"/>
    </w:rPr>
  </w:style>
  <w:style w:type="paragraph" w:customStyle="1" w:styleId="xl141">
    <w:name w:val="xl141"/>
    <w:basedOn w:val="Normal"/>
    <w:rsid w:val="00350309"/>
    <w:pPr>
      <w:pBdr>
        <w:bottom w:val="single" w:sz="4" w:space="0" w:color="auto"/>
      </w:pBdr>
      <w:shd w:val="clear" w:color="000000" w:fill="FFFFFF"/>
      <w:spacing w:before="100" w:beforeAutospacing="1" w:after="100" w:afterAutospacing="1" w:line="240" w:lineRule="auto"/>
      <w:textAlignment w:val="top"/>
    </w:pPr>
    <w:rPr>
      <w:rFonts w:ascii="Cambria" w:eastAsia="Times New Roman" w:hAnsi="Cambria" w:cs="Times New Roman"/>
      <w:sz w:val="24"/>
      <w:szCs w:val="24"/>
      <w:lang w:val="es-ES" w:eastAsia="es-ES"/>
    </w:rPr>
  </w:style>
  <w:style w:type="paragraph" w:customStyle="1" w:styleId="xl142">
    <w:name w:val="xl142"/>
    <w:basedOn w:val="Normal"/>
    <w:rsid w:val="00350309"/>
    <w:pPr>
      <w:shd w:val="clear" w:color="000080"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143">
    <w:name w:val="xl143"/>
    <w:basedOn w:val="Normal"/>
    <w:rsid w:val="00350309"/>
    <w:pPr>
      <w:shd w:val="clear" w:color="00008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44">
    <w:name w:val="xl144"/>
    <w:basedOn w:val="Normal"/>
    <w:rsid w:val="00350309"/>
    <w:pPr>
      <w:shd w:val="clear" w:color="000080"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145">
    <w:name w:val="xl145"/>
    <w:basedOn w:val="Normal"/>
    <w:rsid w:val="00350309"/>
    <w:pPr>
      <w:pBdr>
        <w:bottom w:val="single" w:sz="8" w:space="0" w:color="auto"/>
      </w:pBdr>
      <w:shd w:val="clear" w:color="000080" w:fill="FFFFFF"/>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146">
    <w:name w:val="xl146"/>
    <w:basedOn w:val="Normal"/>
    <w:rsid w:val="00350309"/>
    <w:pPr>
      <w:pBdr>
        <w:bottom w:val="single" w:sz="8" w:space="0" w:color="auto"/>
      </w:pBdr>
      <w:shd w:val="clear" w:color="000080" w:fill="FFFFFF"/>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147">
    <w:name w:val="xl147"/>
    <w:basedOn w:val="Normal"/>
    <w:rsid w:val="00350309"/>
    <w:pPr>
      <w:pBdr>
        <w:bottom w:val="single" w:sz="8" w:space="0" w:color="auto"/>
      </w:pBdr>
      <w:shd w:val="clear" w:color="000080"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paragraph" w:customStyle="1" w:styleId="xl148">
    <w:name w:val="xl148"/>
    <w:basedOn w:val="Normal"/>
    <w:rsid w:val="00350309"/>
    <w:pPr>
      <w:shd w:val="clear" w:color="20B2AA" w:fill="FFFFFF"/>
      <w:spacing w:before="100" w:beforeAutospacing="1" w:after="100" w:afterAutospacing="1" w:line="240" w:lineRule="auto"/>
      <w:jc w:val="right"/>
    </w:pPr>
    <w:rPr>
      <w:rFonts w:ascii="Times New Roman" w:eastAsia="Times New Roman" w:hAnsi="Times New Roman" w:cs="Times New Roman"/>
      <w:sz w:val="24"/>
      <w:szCs w:val="24"/>
      <w:lang w:val="es-ES" w:eastAsia="es-ES"/>
    </w:rPr>
  </w:style>
  <w:style w:type="table" w:customStyle="1" w:styleId="GridTable21">
    <w:name w:val="Grid Table 21"/>
    <w:basedOn w:val="TableauNormal"/>
    <w:uiPriority w:val="47"/>
    <w:rsid w:val="00350309"/>
    <w:pPr>
      <w:spacing w:after="0" w:line="240" w:lineRule="auto"/>
    </w:pPr>
    <w:rPr>
      <w:lang w:val="es-ES"/>
    </w:rPr>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character" w:customStyle="1" w:styleId="im">
    <w:name w:val="im"/>
    <w:basedOn w:val="Policepardfaut"/>
    <w:rsid w:val="00350309"/>
  </w:style>
  <w:style w:type="character" w:customStyle="1" w:styleId="m-4243621972565899472m-1050762060831264804gmail-il">
    <w:name w:val="m_-4243621972565899472m_-1050762060831264804gmail-il"/>
    <w:basedOn w:val="Policepardfaut"/>
    <w:rsid w:val="00350309"/>
  </w:style>
  <w:style w:type="character" w:styleId="Lienhypertextesuivivisit">
    <w:name w:val="FollowedHyperlink"/>
    <w:basedOn w:val="Policepardfaut"/>
    <w:uiPriority w:val="99"/>
    <w:semiHidden/>
    <w:unhideWhenUsed/>
    <w:rsid w:val="00350309"/>
    <w:rPr>
      <w:color w:val="800080"/>
      <w:u w:val="single"/>
    </w:rPr>
  </w:style>
  <w:style w:type="paragraph" w:styleId="Corpsdetexte">
    <w:name w:val="Body Text"/>
    <w:basedOn w:val="Normal"/>
    <w:link w:val="CorpsdetexteCar"/>
    <w:unhideWhenUsed/>
    <w:qFormat/>
    <w:rsid w:val="008A5C48"/>
    <w:pPr>
      <w:spacing w:after="120" w:line="240" w:lineRule="auto"/>
    </w:pPr>
    <w:rPr>
      <w:rFonts w:ascii="Times New Roman" w:hAnsi="Times New Roman" w:cs="Times New Roman"/>
      <w:sz w:val="20"/>
      <w:szCs w:val="20"/>
    </w:rPr>
  </w:style>
  <w:style w:type="character" w:customStyle="1" w:styleId="CorpsdetexteCar">
    <w:name w:val="Corps de texte Car"/>
    <w:basedOn w:val="Policepardfaut"/>
    <w:link w:val="Corpsdetexte"/>
    <w:rsid w:val="008A5C48"/>
    <w:rPr>
      <w:rFonts w:ascii="Times New Roman" w:hAnsi="Times New Roman" w:cs="Times New Roman"/>
      <w:sz w:val="20"/>
      <w:szCs w:val="20"/>
    </w:rPr>
  </w:style>
  <w:style w:type="numbering" w:customStyle="1" w:styleId="Sinlista2">
    <w:name w:val="Sin lista2"/>
    <w:next w:val="Aucuneliste"/>
    <w:uiPriority w:val="99"/>
    <w:semiHidden/>
    <w:unhideWhenUsed/>
    <w:rsid w:val="00350309"/>
  </w:style>
  <w:style w:type="paragraph" w:customStyle="1" w:styleId="TtulodeTDC2">
    <w:name w:val="Título de TDC2"/>
    <w:basedOn w:val="Titre1"/>
    <w:next w:val="Normal"/>
    <w:uiPriority w:val="39"/>
    <w:unhideWhenUsed/>
    <w:qFormat/>
    <w:rsid w:val="00350309"/>
    <w:pPr>
      <w:outlineLvl w:val="9"/>
    </w:pPr>
    <w:rPr>
      <w:rFonts w:eastAsia="Times New Roman"/>
      <w:b w:val="0"/>
      <w:bCs w:val="0"/>
      <w:sz w:val="28"/>
      <w:szCs w:val="28"/>
      <w:u w:val="single"/>
      <w:lang w:val="es-ES" w:eastAsia="es-ES"/>
    </w:rPr>
  </w:style>
  <w:style w:type="table" w:customStyle="1" w:styleId="Tabladecuadrcula211">
    <w:name w:val="Tabla de cuadrícula 211"/>
    <w:basedOn w:val="TableauNormal"/>
    <w:uiPriority w:val="47"/>
    <w:rsid w:val="00350309"/>
    <w:pPr>
      <w:spacing w:after="0" w:line="240" w:lineRule="auto"/>
    </w:pPr>
    <w:rPr>
      <w:lang w:val="es-ES"/>
    </w:rPr>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GridTable211">
    <w:name w:val="Grid Table 211"/>
    <w:basedOn w:val="TableauNormal"/>
    <w:uiPriority w:val="47"/>
    <w:rsid w:val="00350309"/>
    <w:pPr>
      <w:spacing w:after="0" w:line="240" w:lineRule="auto"/>
    </w:pPr>
    <w:rPr>
      <w:lang w:val="es-ES"/>
    </w:rPr>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Sombreadomedio21">
    <w:name w:val="Sombreado medio 21"/>
    <w:basedOn w:val="TableauNormal"/>
    <w:uiPriority w:val="64"/>
    <w:rsid w:val="00350309"/>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Sombreadoclaro1">
    <w:name w:val="Sombreado claro1"/>
    <w:basedOn w:val="TableauNormal"/>
    <w:uiPriority w:val="60"/>
    <w:rsid w:val="00350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Grillecouleur-Accent4">
    <w:name w:val="Colorful Grid Accent 4"/>
    <w:basedOn w:val="TableauNormal"/>
    <w:uiPriority w:val="73"/>
    <w:rsid w:val="00350309"/>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FF2CC" w:themeFill="accent4" w:themeFillTint="33"/>
    </w:tcPr>
    <w:tblStylePr w:type="firstRow">
      <w:rPr>
        <w:b/>
        <w:bCs/>
      </w:rPr>
      <w:tblPr/>
      <w:tcPr>
        <w:shd w:val="clear" w:color="auto" w:fill="FFE599" w:themeFill="accent4" w:themeFillTint="66"/>
      </w:tcPr>
    </w:tblStylePr>
    <w:tblStylePr w:type="lastRow">
      <w:rPr>
        <w:b/>
        <w:bCs/>
        <w:color w:val="000000" w:themeColor="text1"/>
      </w:rPr>
      <w:tblPr/>
      <w:tcPr>
        <w:shd w:val="clear" w:color="auto" w:fill="FFE599" w:themeFill="accent4" w:themeFillTint="66"/>
      </w:tcPr>
    </w:tblStylePr>
    <w:tblStylePr w:type="firstCol">
      <w:rPr>
        <w:color w:val="FFFFFF" w:themeColor="background1"/>
      </w:rPr>
      <w:tblPr/>
      <w:tcPr>
        <w:shd w:val="clear" w:color="auto" w:fill="BF8F00" w:themeFill="accent4" w:themeFillShade="BF"/>
      </w:tcPr>
    </w:tblStylePr>
    <w:tblStylePr w:type="lastCol">
      <w:rPr>
        <w:color w:val="FFFFFF" w:themeColor="background1"/>
      </w:rPr>
      <w:tblPr/>
      <w:tcPr>
        <w:shd w:val="clear" w:color="auto" w:fill="BF8F00" w:themeFill="accent4" w:themeFillShade="BF"/>
      </w:tc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paragraph" w:customStyle="1" w:styleId="font0">
    <w:name w:val="font0"/>
    <w:basedOn w:val="Normal"/>
    <w:rsid w:val="00350309"/>
    <w:pPr>
      <w:spacing w:before="100" w:beforeAutospacing="1" w:after="100" w:afterAutospacing="1" w:line="240" w:lineRule="auto"/>
    </w:pPr>
    <w:rPr>
      <w:rFonts w:eastAsia="Times New Roman"/>
      <w:color w:val="000000"/>
      <w:lang w:eastAsia="en-GB"/>
    </w:rPr>
  </w:style>
  <w:style w:type="paragraph" w:customStyle="1" w:styleId="font5">
    <w:name w:val="font5"/>
    <w:basedOn w:val="Normal"/>
    <w:rsid w:val="00350309"/>
    <w:pPr>
      <w:spacing w:before="100" w:beforeAutospacing="1" w:after="100" w:afterAutospacing="1" w:line="240" w:lineRule="auto"/>
    </w:pPr>
    <w:rPr>
      <w:rFonts w:eastAsia="Times New Roman"/>
      <w:i/>
      <w:iCs/>
      <w:color w:val="000000"/>
      <w:lang w:eastAsia="en-GB"/>
    </w:rPr>
  </w:style>
  <w:style w:type="character" w:customStyle="1" w:styleId="il">
    <w:name w:val="il"/>
    <w:basedOn w:val="Policepardfaut"/>
    <w:rsid w:val="00350309"/>
  </w:style>
  <w:style w:type="paragraph" w:customStyle="1" w:styleId="msonormal0">
    <w:name w:val="msonormal"/>
    <w:basedOn w:val="Normal"/>
    <w:rsid w:val="0035030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Tabledesillustrations">
    <w:name w:val="table of figures"/>
    <w:basedOn w:val="Normal"/>
    <w:next w:val="Normal"/>
    <w:uiPriority w:val="99"/>
    <w:unhideWhenUsed/>
    <w:rsid w:val="00350309"/>
    <w:pPr>
      <w:spacing w:after="0" w:line="240" w:lineRule="auto"/>
    </w:pPr>
  </w:style>
  <w:style w:type="character" w:customStyle="1" w:styleId="fontstyle01">
    <w:name w:val="fontstyle01"/>
    <w:basedOn w:val="Policepardfaut"/>
    <w:rsid w:val="00350309"/>
    <w:rPr>
      <w:rFonts w:ascii="AdvOTe81213fa" w:hAnsi="AdvOTe81213fa" w:hint="default"/>
      <w:b w:val="0"/>
      <w:bCs w:val="0"/>
      <w:i w:val="0"/>
      <w:iCs w:val="0"/>
      <w:color w:val="000000"/>
      <w:sz w:val="16"/>
      <w:szCs w:val="16"/>
    </w:rPr>
  </w:style>
  <w:style w:type="paragraph" w:customStyle="1" w:styleId="font6">
    <w:name w:val="font6"/>
    <w:basedOn w:val="Normal"/>
    <w:rsid w:val="00350309"/>
    <w:pPr>
      <w:spacing w:before="100" w:beforeAutospacing="1" w:after="100" w:afterAutospacing="1" w:line="240" w:lineRule="auto"/>
    </w:pPr>
    <w:rPr>
      <w:rFonts w:ascii="Times New Roman" w:eastAsia="Times New Roman" w:hAnsi="Times New Roman" w:cs="Times New Roman"/>
      <w:color w:val="000000"/>
      <w:lang w:eastAsia="en-GB"/>
    </w:rPr>
  </w:style>
  <w:style w:type="table" w:customStyle="1" w:styleId="Tabladecuadrcula4-nfasis31">
    <w:name w:val="Tabla de cuadrícula 4 - Énfasis 31"/>
    <w:basedOn w:val="TableauNormal"/>
    <w:uiPriority w:val="49"/>
    <w:rsid w:val="00350309"/>
    <w:pPr>
      <w:spacing w:after="0" w:line="240" w:lineRule="auto"/>
    </w:pPr>
    <w:rPr>
      <w:lang w:val="es-E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Tabladecuadrcula5oscura1">
    <w:name w:val="Tabla de cuadrícula 5 oscura1"/>
    <w:basedOn w:val="TableauNormal"/>
    <w:uiPriority w:val="50"/>
    <w:rsid w:val="00350309"/>
    <w:pPr>
      <w:spacing w:after="0" w:line="240" w:lineRule="auto"/>
    </w:pPr>
    <w:rPr>
      <w:lang w:val="es-E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Tabladecuadrcula4-nfasis11">
    <w:name w:val="Tabla de cuadrícula 4 - Énfasis 11"/>
    <w:basedOn w:val="TableauNormal"/>
    <w:uiPriority w:val="49"/>
    <w:rsid w:val="00350309"/>
    <w:pPr>
      <w:spacing w:after="0" w:line="240" w:lineRule="auto"/>
    </w:pPr>
    <w:rPr>
      <w:lang w:val="es-ES"/>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mi">
    <w:name w:val="mi"/>
    <w:basedOn w:val="Policepardfaut"/>
    <w:rsid w:val="00350309"/>
  </w:style>
  <w:style w:type="character" w:customStyle="1" w:styleId="mtext">
    <w:name w:val="mtext"/>
    <w:basedOn w:val="Policepardfaut"/>
    <w:rsid w:val="00350309"/>
  </w:style>
  <w:style w:type="character" w:customStyle="1" w:styleId="mn">
    <w:name w:val="mn"/>
    <w:basedOn w:val="Policepardfaut"/>
    <w:rsid w:val="00350309"/>
  </w:style>
  <w:style w:type="table" w:customStyle="1" w:styleId="a">
    <w:basedOn w:val="TableNormal"/>
    <w:pPr>
      <w:spacing w:after="0" w:line="240" w:lineRule="auto"/>
    </w:pPr>
    <w:rPr>
      <w:color w:val="000000"/>
    </w:rPr>
    <w:tblPr>
      <w:tblStyleRowBandSize w:val="1"/>
      <w:tblStyleColBandSize w:val="1"/>
      <w:tblCellMar>
        <w:left w:w="115" w:type="dxa"/>
        <w:right w:w="115" w:type="dxa"/>
      </w:tblCellMar>
    </w:tblPr>
    <w:tcPr>
      <w:shd w:val="clear" w:color="auto" w:fill="CCCCCC"/>
    </w:tcPr>
    <w:tblStylePr w:type="firstRow">
      <w:pPr>
        <w:spacing w:before="0" w:after="0" w:line="240" w:lineRule="auto"/>
      </w:pPr>
      <w:rPr>
        <w:b/>
        <w:color w:val="FFFFFF"/>
      </w:rPr>
      <w:tblPr/>
      <w:tcPr>
        <w:tcBorders>
          <w:top w:val="single" w:sz="18" w:space="0" w:color="000000"/>
          <w:left w:val="nil"/>
          <w:bottom w:val="single" w:sz="18" w:space="0" w:color="000000"/>
          <w:right w:val="nil"/>
          <w:insideH w:val="nil"/>
          <w:insideV w:val="nil"/>
        </w:tcBorders>
        <w:shd w:val="clear" w:color="auto" w:fill="000000"/>
      </w:tcPr>
    </w:tblStylePr>
    <w:tblStylePr w:type="lastRow">
      <w:pPr>
        <w:spacing w:before="0" w:after="0" w:line="240" w:lineRule="auto"/>
      </w:pPr>
      <w:rPr>
        <w:color w:val="000000"/>
      </w:rPr>
      <w:tblPr/>
      <w:tcPr>
        <w:tcBorders>
          <w:top w:val="single" w:sz="6" w:space="0" w:color="000000"/>
          <w:left w:val="nil"/>
          <w:bottom w:val="single" w:sz="18" w:space="0" w:color="000000"/>
          <w:right w:val="nil"/>
          <w:insideH w:val="nil"/>
          <w:insideV w:val="nil"/>
        </w:tcBorders>
        <w:shd w:val="clear" w:color="auto" w:fill="FFFFFF"/>
      </w:tcPr>
    </w:tblStylePr>
    <w:tblStylePr w:type="firstCol">
      <w:rPr>
        <w:b/>
        <w:color w:val="FFFFFF"/>
      </w:rPr>
      <w:tblPr/>
      <w:tcPr>
        <w:tcBorders>
          <w:top w:val="nil"/>
          <w:left w:val="nil"/>
          <w:bottom w:val="single" w:sz="18" w:space="0" w:color="000000"/>
          <w:right w:val="nil"/>
          <w:insideH w:val="nil"/>
          <w:insideV w:val="nil"/>
        </w:tcBorders>
        <w:shd w:val="clear" w:color="auto" w:fill="000000"/>
      </w:tcPr>
    </w:tblStylePr>
    <w:tblStylePr w:type="lastCol">
      <w:rPr>
        <w:b/>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000000"/>
          <w:left w:val="nil"/>
          <w:bottom w:val="single" w:sz="18" w:space="0" w:color="000000"/>
          <w:right w:val="nil"/>
          <w:insideH w:val="nil"/>
          <w:insideV w:val="nil"/>
        </w:tcBorders>
      </w:tcPr>
    </w:tblStylePr>
    <w:tblStylePr w:type="nwCell">
      <w:rPr>
        <w:color w:val="FFFFFF"/>
      </w:rPr>
      <w:tblPr/>
      <w:tcPr>
        <w:tcBorders>
          <w:top w:val="single" w:sz="18" w:space="0" w:color="000000"/>
          <w:left w:val="nil"/>
          <w:bottom w:val="single" w:sz="18" w:space="0" w:color="000000"/>
          <w:right w:val="nil"/>
          <w:insideH w:val="nil"/>
          <w:insideV w:val="nil"/>
        </w:tcBorders>
      </w:tcPr>
    </w:tblStyle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pPr>
      <w:spacing w:after="0" w:line="240" w:lineRule="auto"/>
    </w:pPr>
    <w:rPr>
      <w:color w:val="000000"/>
    </w:rPr>
    <w:tblPr>
      <w:tblStyleRowBandSize w:val="1"/>
      <w:tblStyleColBandSize w:val="1"/>
      <w:tblCellMar>
        <w:left w:w="115" w:type="dxa"/>
        <w:right w:w="115" w:type="dxa"/>
      </w:tblCellMar>
    </w:tblPr>
    <w:tcPr>
      <w:shd w:val="clear" w:color="auto" w:fill="CCCCCC"/>
    </w:tcPr>
  </w:style>
  <w:style w:type="table" w:customStyle="1" w:styleId="a2">
    <w:basedOn w:val="TableNormal"/>
    <w:tblPr>
      <w:tblStyleRowBandSize w:val="1"/>
      <w:tblStyleColBandSize w:val="1"/>
      <w:tblCellMar>
        <w:left w:w="70" w:type="dxa"/>
        <w:right w:w="70" w:type="dxa"/>
      </w:tblCellMar>
    </w:tblPr>
  </w:style>
  <w:style w:type="table" w:customStyle="1" w:styleId="a3">
    <w:basedOn w:val="TableNormal"/>
    <w:tblPr>
      <w:tblStyleRowBandSize w:val="1"/>
      <w:tblStyleColBandSize w:val="1"/>
      <w:tblCellMar>
        <w:left w:w="70" w:type="dxa"/>
        <w:right w:w="70" w:type="dxa"/>
      </w:tblCellMar>
    </w:tblPr>
  </w:style>
  <w:style w:type="table" w:customStyle="1" w:styleId="a4">
    <w:basedOn w:val="TableNormal"/>
    <w:pPr>
      <w:spacing w:after="0" w:line="240" w:lineRule="auto"/>
    </w:pPr>
    <w:rPr>
      <w:color w:val="000000"/>
    </w:rPr>
    <w:tblPr>
      <w:tblStyleRowBandSize w:val="1"/>
      <w:tblStyleColBandSize w:val="1"/>
      <w:tblCellMar>
        <w:left w:w="115" w:type="dxa"/>
        <w:right w:w="115" w:type="dxa"/>
      </w:tblCellMar>
    </w:tblPr>
    <w:tcPr>
      <w:shd w:val="clear" w:color="auto" w:fill="CCCCCC"/>
    </w:tcPr>
    <w:tblStylePr w:type="fir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rPr>
      <w:tblPr/>
      <w:tcPr>
        <w:tcBorders>
          <w:top w:val="single" w:sz="8" w:space="0" w:color="000000"/>
          <w:left w:val="nil"/>
          <w:bottom w:val="single" w:sz="8" w:space="0" w:color="000000"/>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5">
    <w:basedOn w:val="TableNormal"/>
    <w:pPr>
      <w:spacing w:after="0" w:line="240" w:lineRule="auto"/>
    </w:pPr>
    <w:rPr>
      <w:color w:val="000000"/>
    </w:rPr>
    <w:tblPr>
      <w:tblStyleRowBandSize w:val="1"/>
      <w:tblStyleColBandSize w:val="1"/>
      <w:tblCellMar>
        <w:left w:w="115" w:type="dxa"/>
        <w:right w:w="115" w:type="dxa"/>
      </w:tblCellMar>
    </w:tblPr>
    <w:tcPr>
      <w:shd w:val="clear" w:color="auto" w:fill="CCCCCC"/>
    </w:tcPr>
  </w:style>
  <w:style w:type="table" w:customStyle="1" w:styleId="a6">
    <w:basedOn w:val="TableNormal"/>
    <w:tblPr>
      <w:tblStyleRowBandSize w:val="1"/>
      <w:tblStyleColBandSize w:val="1"/>
      <w:tblCellMar>
        <w:left w:w="70" w:type="dxa"/>
        <w:right w:w="70" w:type="dxa"/>
      </w:tblCellMar>
    </w:tblPr>
  </w:style>
  <w:style w:type="table" w:customStyle="1" w:styleId="a7">
    <w:basedOn w:val="TableNormal"/>
    <w:pPr>
      <w:spacing w:after="0" w:line="240" w:lineRule="auto"/>
    </w:pPr>
    <w:rPr>
      <w:color w:val="000000"/>
    </w:rPr>
    <w:tblPr>
      <w:tblStyleRowBandSize w:val="1"/>
      <w:tblStyleColBandSize w:val="1"/>
      <w:tblCellMar>
        <w:left w:w="115" w:type="dxa"/>
        <w:right w:w="115" w:type="dxa"/>
      </w:tblCellMar>
    </w:tblPr>
    <w:tcPr>
      <w:shd w:val="clear" w:color="auto" w:fill="CCCCCC"/>
    </w:tcPr>
  </w:style>
  <w:style w:type="table" w:customStyle="1" w:styleId="a8">
    <w:basedOn w:val="TableNormal"/>
    <w:tblPr>
      <w:tblStyleRowBandSize w:val="1"/>
      <w:tblStyleColBandSize w:val="1"/>
      <w:tblCellMar>
        <w:left w:w="70" w:type="dxa"/>
        <w:right w:w="70" w:type="dxa"/>
      </w:tblCellMar>
    </w:tblPr>
  </w:style>
  <w:style w:type="table" w:customStyle="1" w:styleId="a9">
    <w:basedOn w:val="TableNormal"/>
    <w:tblPr>
      <w:tblStyleRowBandSize w:val="1"/>
      <w:tblStyleColBandSize w:val="1"/>
      <w:tblCellMar>
        <w:left w:w="70" w:type="dxa"/>
        <w:right w:w="70" w:type="dxa"/>
      </w:tblCellMar>
    </w:tblPr>
  </w:style>
  <w:style w:type="table" w:customStyle="1" w:styleId="aa">
    <w:basedOn w:val="TableNormal"/>
    <w:tblPr>
      <w:tblStyleRowBandSize w:val="1"/>
      <w:tblStyleColBandSize w:val="1"/>
      <w:tblCellMar>
        <w:left w:w="70" w:type="dxa"/>
        <w:right w:w="70" w:type="dxa"/>
      </w:tblCellMar>
    </w:tblPr>
  </w:style>
  <w:style w:type="table" w:customStyle="1" w:styleId="ab">
    <w:basedOn w:val="TableNormal"/>
    <w:tblPr>
      <w:tblStyleRowBandSize w:val="1"/>
      <w:tblStyleColBandSize w:val="1"/>
      <w:tblCellMar>
        <w:left w:w="70" w:type="dxa"/>
        <w:right w:w="70" w:type="dxa"/>
      </w:tblCellMar>
    </w:tblPr>
  </w:style>
  <w:style w:type="table" w:customStyle="1" w:styleId="ac">
    <w:basedOn w:val="TableNormal"/>
    <w:tblPr>
      <w:tblStyleRowBandSize w:val="1"/>
      <w:tblStyleColBandSize w:val="1"/>
      <w:tblCellMar>
        <w:left w:w="70" w:type="dxa"/>
        <w:right w:w="70" w:type="dxa"/>
      </w:tblCellMar>
    </w:tblPr>
  </w:style>
  <w:style w:type="table" w:customStyle="1" w:styleId="ad">
    <w:basedOn w:val="TableNormal"/>
    <w:tblPr>
      <w:tblStyleRowBandSize w:val="1"/>
      <w:tblStyleColBandSize w:val="1"/>
      <w:tblCellMar>
        <w:left w:w="70" w:type="dxa"/>
        <w:right w:w="70" w:type="dxa"/>
      </w:tblCellMar>
    </w:tblPr>
  </w:style>
  <w:style w:type="table" w:customStyle="1" w:styleId="ae">
    <w:basedOn w:val="TableNormal"/>
    <w:pPr>
      <w:spacing w:after="0" w:line="240" w:lineRule="auto"/>
    </w:pPr>
    <w:rPr>
      <w:color w:val="000000"/>
    </w:rPr>
    <w:tblPr>
      <w:tblStyleRowBandSize w:val="1"/>
      <w:tblStyleColBandSize w:val="1"/>
      <w:tblCellMar>
        <w:left w:w="115" w:type="dxa"/>
        <w:right w:w="115" w:type="dxa"/>
      </w:tblCellMar>
    </w:tblPr>
    <w:tcPr>
      <w:shd w:val="clear" w:color="auto" w:fill="CCCCCC"/>
    </w:tcPr>
  </w:style>
  <w:style w:type="table" w:customStyle="1" w:styleId="af">
    <w:basedOn w:val="TableNormal"/>
    <w:pPr>
      <w:spacing w:after="0" w:line="240" w:lineRule="auto"/>
    </w:pPr>
    <w:rPr>
      <w:color w:val="000000"/>
    </w:rPr>
    <w:tblPr>
      <w:tblStyleRowBandSize w:val="1"/>
      <w:tblStyleColBandSize w:val="1"/>
      <w:tblCellMar>
        <w:left w:w="115" w:type="dxa"/>
        <w:right w:w="115" w:type="dxa"/>
      </w:tblCellMar>
    </w:tblPr>
    <w:tcPr>
      <w:shd w:val="clear" w:color="auto" w:fill="CCCCCC"/>
    </w:tcPr>
  </w:style>
  <w:style w:type="table" w:customStyle="1" w:styleId="af0">
    <w:basedOn w:val="TableNormal"/>
    <w:tblPr>
      <w:tblStyleRowBandSize w:val="1"/>
      <w:tblStyleColBandSize w:val="1"/>
      <w:tblCellMar>
        <w:left w:w="70" w:type="dxa"/>
        <w:right w:w="70" w:type="dxa"/>
      </w:tblCellMar>
    </w:tblPr>
  </w:style>
  <w:style w:type="table" w:customStyle="1" w:styleId="af1">
    <w:basedOn w:val="TableNormal"/>
    <w:tblPr>
      <w:tblStyleRowBandSize w:val="1"/>
      <w:tblStyleColBandSize w:val="1"/>
      <w:tblCellMar>
        <w:left w:w="70" w:type="dxa"/>
        <w:right w:w="70" w:type="dxa"/>
      </w:tblCellMar>
    </w:tblPr>
  </w:style>
  <w:style w:type="table" w:customStyle="1" w:styleId="af2">
    <w:basedOn w:val="TableNormal"/>
    <w:tblPr>
      <w:tblStyleRowBandSize w:val="1"/>
      <w:tblStyleColBandSize w:val="1"/>
      <w:tblCellMar>
        <w:left w:w="70" w:type="dxa"/>
        <w:right w:w="70" w:type="dxa"/>
      </w:tblCellMar>
    </w:tblPr>
  </w:style>
  <w:style w:type="table" w:customStyle="1" w:styleId="2">
    <w:name w:val="2"/>
    <w:basedOn w:val="TableNormal"/>
    <w:rsid w:val="00AB620E"/>
    <w:tblPr>
      <w:tblStyleRowBandSize w:val="1"/>
      <w:tblStyleColBandSize w:val="1"/>
      <w:tblCellMar>
        <w:left w:w="108" w:type="dxa"/>
        <w:right w:w="108" w:type="dxa"/>
      </w:tblCellMar>
    </w:tblPr>
  </w:style>
  <w:style w:type="table" w:customStyle="1" w:styleId="3">
    <w:name w:val="3"/>
    <w:basedOn w:val="TableNormal"/>
    <w:rsid w:val="00FA1600"/>
    <w:tblPr>
      <w:tblStyleRowBandSize w:val="1"/>
      <w:tblStyleColBandSize w:val="1"/>
      <w:tblCellMar>
        <w:left w:w="70" w:type="dxa"/>
        <w:right w:w="70" w:type="dxa"/>
      </w:tblCellMar>
    </w:tblPr>
  </w:style>
  <w:style w:type="table" w:customStyle="1" w:styleId="1">
    <w:name w:val="1"/>
    <w:basedOn w:val="TableNormal"/>
    <w:rsid w:val="004D6F30"/>
    <w:tblPr>
      <w:tblStyleRowBandSize w:val="1"/>
      <w:tblStyleColBandSize w:val="1"/>
      <w:tblCellMar>
        <w:left w:w="70" w:type="dxa"/>
        <w:right w:w="70" w:type="dxa"/>
      </w:tblCellMar>
    </w:tblPr>
  </w:style>
  <w:style w:type="paragraph" w:customStyle="1" w:styleId="i4a-back-to-top">
    <w:name w:val="i4a-back-to-top"/>
    <w:basedOn w:val="Normal"/>
    <w:rsid w:val="009500CF"/>
    <w:pPr>
      <w:spacing w:before="100" w:beforeAutospacing="1" w:after="100" w:afterAutospacing="1" w:line="240" w:lineRule="auto"/>
    </w:pPr>
    <w:rPr>
      <w:rFonts w:ascii="Times New Roman" w:eastAsia="Times New Roman" w:hAnsi="Times New Roman" w:cs="Times New Roman"/>
      <w:sz w:val="24"/>
      <w:szCs w:val="24"/>
      <w:lang w:val="fr-FR"/>
    </w:rPr>
  </w:style>
  <w:style w:type="table" w:customStyle="1" w:styleId="5">
    <w:name w:val="5"/>
    <w:basedOn w:val="TableauNormal"/>
    <w:rsid w:val="00B01C37"/>
    <w:tblPr>
      <w:tblStyleRowBandSize w:val="1"/>
      <w:tblStyleColBandSize w:val="1"/>
      <w:tblInd w:w="0" w:type="nil"/>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926858">
      <w:bodyDiv w:val="1"/>
      <w:marLeft w:val="0"/>
      <w:marRight w:val="0"/>
      <w:marTop w:val="0"/>
      <w:marBottom w:val="0"/>
      <w:divBdr>
        <w:top w:val="none" w:sz="0" w:space="0" w:color="auto"/>
        <w:left w:val="none" w:sz="0" w:space="0" w:color="auto"/>
        <w:bottom w:val="none" w:sz="0" w:space="0" w:color="auto"/>
        <w:right w:val="none" w:sz="0" w:space="0" w:color="auto"/>
      </w:divBdr>
    </w:div>
    <w:div w:id="156573859">
      <w:bodyDiv w:val="1"/>
      <w:marLeft w:val="0"/>
      <w:marRight w:val="0"/>
      <w:marTop w:val="0"/>
      <w:marBottom w:val="0"/>
      <w:divBdr>
        <w:top w:val="none" w:sz="0" w:space="0" w:color="auto"/>
        <w:left w:val="none" w:sz="0" w:space="0" w:color="auto"/>
        <w:bottom w:val="none" w:sz="0" w:space="0" w:color="auto"/>
        <w:right w:val="none" w:sz="0" w:space="0" w:color="auto"/>
      </w:divBdr>
    </w:div>
    <w:div w:id="206069386">
      <w:bodyDiv w:val="1"/>
      <w:marLeft w:val="0"/>
      <w:marRight w:val="0"/>
      <w:marTop w:val="0"/>
      <w:marBottom w:val="0"/>
      <w:divBdr>
        <w:top w:val="none" w:sz="0" w:space="0" w:color="auto"/>
        <w:left w:val="none" w:sz="0" w:space="0" w:color="auto"/>
        <w:bottom w:val="none" w:sz="0" w:space="0" w:color="auto"/>
        <w:right w:val="none" w:sz="0" w:space="0" w:color="auto"/>
      </w:divBdr>
    </w:div>
    <w:div w:id="738794083">
      <w:bodyDiv w:val="1"/>
      <w:marLeft w:val="0"/>
      <w:marRight w:val="0"/>
      <w:marTop w:val="0"/>
      <w:marBottom w:val="0"/>
      <w:divBdr>
        <w:top w:val="none" w:sz="0" w:space="0" w:color="auto"/>
        <w:left w:val="none" w:sz="0" w:space="0" w:color="auto"/>
        <w:bottom w:val="none" w:sz="0" w:space="0" w:color="auto"/>
        <w:right w:val="none" w:sz="0" w:space="0" w:color="auto"/>
      </w:divBdr>
    </w:div>
    <w:div w:id="914709625">
      <w:bodyDiv w:val="1"/>
      <w:marLeft w:val="0"/>
      <w:marRight w:val="0"/>
      <w:marTop w:val="0"/>
      <w:marBottom w:val="0"/>
      <w:divBdr>
        <w:top w:val="none" w:sz="0" w:space="0" w:color="auto"/>
        <w:left w:val="none" w:sz="0" w:space="0" w:color="auto"/>
        <w:bottom w:val="none" w:sz="0" w:space="0" w:color="auto"/>
        <w:right w:val="none" w:sz="0" w:space="0" w:color="auto"/>
      </w:divBdr>
    </w:div>
    <w:div w:id="944309147">
      <w:bodyDiv w:val="1"/>
      <w:marLeft w:val="0"/>
      <w:marRight w:val="0"/>
      <w:marTop w:val="0"/>
      <w:marBottom w:val="0"/>
      <w:divBdr>
        <w:top w:val="none" w:sz="0" w:space="0" w:color="auto"/>
        <w:left w:val="none" w:sz="0" w:space="0" w:color="auto"/>
        <w:bottom w:val="none" w:sz="0" w:space="0" w:color="auto"/>
        <w:right w:val="none" w:sz="0" w:space="0" w:color="auto"/>
      </w:divBdr>
    </w:div>
    <w:div w:id="999694912">
      <w:bodyDiv w:val="1"/>
      <w:marLeft w:val="0"/>
      <w:marRight w:val="0"/>
      <w:marTop w:val="0"/>
      <w:marBottom w:val="0"/>
      <w:divBdr>
        <w:top w:val="none" w:sz="0" w:space="0" w:color="auto"/>
        <w:left w:val="none" w:sz="0" w:space="0" w:color="auto"/>
        <w:bottom w:val="none" w:sz="0" w:space="0" w:color="auto"/>
        <w:right w:val="none" w:sz="0" w:space="0" w:color="auto"/>
      </w:divBdr>
    </w:div>
    <w:div w:id="1058480678">
      <w:bodyDiv w:val="1"/>
      <w:marLeft w:val="0"/>
      <w:marRight w:val="0"/>
      <w:marTop w:val="0"/>
      <w:marBottom w:val="0"/>
      <w:divBdr>
        <w:top w:val="none" w:sz="0" w:space="0" w:color="auto"/>
        <w:left w:val="none" w:sz="0" w:space="0" w:color="auto"/>
        <w:bottom w:val="none" w:sz="0" w:space="0" w:color="auto"/>
        <w:right w:val="none" w:sz="0" w:space="0" w:color="auto"/>
      </w:divBdr>
    </w:div>
    <w:div w:id="1108348987">
      <w:bodyDiv w:val="1"/>
      <w:marLeft w:val="0"/>
      <w:marRight w:val="0"/>
      <w:marTop w:val="0"/>
      <w:marBottom w:val="0"/>
      <w:divBdr>
        <w:top w:val="none" w:sz="0" w:space="0" w:color="auto"/>
        <w:left w:val="none" w:sz="0" w:space="0" w:color="auto"/>
        <w:bottom w:val="none" w:sz="0" w:space="0" w:color="auto"/>
        <w:right w:val="none" w:sz="0" w:space="0" w:color="auto"/>
      </w:divBdr>
    </w:div>
    <w:div w:id="1560238610">
      <w:bodyDiv w:val="1"/>
      <w:marLeft w:val="0"/>
      <w:marRight w:val="0"/>
      <w:marTop w:val="0"/>
      <w:marBottom w:val="0"/>
      <w:divBdr>
        <w:top w:val="none" w:sz="0" w:space="0" w:color="auto"/>
        <w:left w:val="none" w:sz="0" w:space="0" w:color="auto"/>
        <w:bottom w:val="none" w:sz="0" w:space="0" w:color="auto"/>
        <w:right w:val="none" w:sz="0" w:space="0" w:color="auto"/>
      </w:divBdr>
    </w:div>
    <w:div w:id="17994496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numbering" Target="numbering.xml"/><Relationship Id="rId21" Type="http://schemas.openxmlformats.org/officeDocument/2006/relationships/image" Target="media/image11.sv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svg"/><Relationship Id="rId25" Type="http://schemas.openxmlformats.org/officeDocument/2006/relationships/image" Target="media/image15.svg"/><Relationship Id="rId33" Type="http://schemas.openxmlformats.org/officeDocument/2006/relationships/image" Target="media/image23.sv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sv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5" Type="http://schemas.openxmlformats.org/officeDocument/2006/relationships/settings" Target="settings.xml"/><Relationship Id="rId15" Type="http://schemas.openxmlformats.org/officeDocument/2006/relationships/image" Target="media/image5.svg"/><Relationship Id="rId23" Type="http://schemas.openxmlformats.org/officeDocument/2006/relationships/image" Target="media/image13.svg"/><Relationship Id="rId28" Type="http://schemas.openxmlformats.org/officeDocument/2006/relationships/image" Target="media/image18.png"/><Relationship Id="rId10" Type="http://schemas.openxmlformats.org/officeDocument/2006/relationships/footer" Target="footer1.xml"/><Relationship Id="rId19" Type="http://schemas.openxmlformats.org/officeDocument/2006/relationships/image" Target="media/image9.svg"/><Relationship Id="rId31" Type="http://schemas.openxmlformats.org/officeDocument/2006/relationships/image" Target="media/image21.png"/><Relationship Id="rId4" Type="http://schemas.openxmlformats.org/officeDocument/2006/relationships/styles" Target="styles.xml"/><Relationship Id="rId9" Type="http://schemas.openxmlformats.org/officeDocument/2006/relationships/hyperlink" Target="http://www.escapeproject.eu/manuals"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svg"/><Relationship Id="rId30" Type="http://schemas.openxmlformats.org/officeDocument/2006/relationships/image" Target="media/image20.png"/><Relationship Id="rId35" Type="http://schemas.openxmlformats.org/officeDocument/2006/relationships/theme" Target="theme/theme1.xml"/><Relationship Id="rId8" Type="http://schemas.openxmlformats.org/officeDocument/2006/relationships/endnotes" Target="end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TJ8tBzCBjBYUxlRxhNfRZ2EVl5g==">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</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C7C7589-C805-4FF0-B436-6C973DF480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61</Pages>
  <Words>59336</Words>
  <Characters>326352</Characters>
  <Application>Microsoft Office Word</Application>
  <DocSecurity>0</DocSecurity>
  <Lines>2719</Lines>
  <Paragraphs>769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384919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Ines</dc:creator>
  <cp:lastModifiedBy>Ines</cp:lastModifiedBy>
  <cp:revision>43</cp:revision>
  <cp:lastPrinted>2023-04-05T15:03:00Z</cp:lastPrinted>
  <dcterms:created xsi:type="dcterms:W3CDTF">2023-04-05T15:02:00Z</dcterms:created>
  <dcterms:modified xsi:type="dcterms:W3CDTF">2023-04-13T14:34:00Z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zotero-version="6.0.20"&gt;&lt;session id="5c7t72y6"/&gt;&lt;style id="http://www.zotero.org/styles/american-medical-association" hasBibliography="1" bibliographyStyleHasBeenSet="1"/&gt;&lt;prefs&gt;&lt;pref name="fieldType" value="Field"/&gt;&lt;pref name="auto</vt:lpwstr>
  </property>
  <property fmtid="{D5CDD505-2E9C-101B-9397-08002B2CF9AE}" pid="3" name="ZOTERO_PREF_2">
    <vt:lpwstr>maticJournalAbbreviations" value="true"/&gt;&lt;/prefs&gt;&lt;/data&gt;</vt:lpwstr>
  </property>
</Properties>
</file>