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00FB819" w14:textId="15407148" w:rsidR="00781365" w:rsidRDefault="004E06A0" w:rsidP="00E07A63">
      <w:pPr>
        <w:spacing w:after="0"/>
        <w:jc w:val="center"/>
        <w:rPr>
          <w:sz w:val="32"/>
          <w:szCs w:val="32"/>
        </w:rPr>
      </w:pPr>
      <w:bookmarkStart w:id="0" w:name="_Toc399503949"/>
      <w:bookmarkStart w:id="1" w:name="_Toc399850636"/>
      <w:bookmarkStart w:id="2" w:name="_Toc405560699"/>
      <w:r w:rsidRPr="004E06A0">
        <w:rPr>
          <w:sz w:val="32"/>
          <w:szCs w:val="32"/>
        </w:rPr>
        <w:t>U</w:t>
      </w:r>
      <w:bookmarkStart w:id="3" w:name="_Ref94104986"/>
      <w:bookmarkEnd w:id="3"/>
      <w:r w:rsidRPr="004E06A0">
        <w:rPr>
          <w:sz w:val="32"/>
          <w:szCs w:val="32"/>
        </w:rPr>
        <w:t>se of the Benchmark Dose approach in risk assessment</w:t>
      </w:r>
    </w:p>
    <w:p w14:paraId="546CC531" w14:textId="35E35299" w:rsidR="00E07A63" w:rsidRPr="004E06A0" w:rsidRDefault="00E07A63" w:rsidP="00E07A63">
      <w:pPr>
        <w:spacing w:after="0"/>
        <w:jc w:val="center"/>
        <w:rPr>
          <w:sz w:val="32"/>
          <w:szCs w:val="32"/>
        </w:rPr>
      </w:pPr>
      <w:r w:rsidRPr="00E07A63">
        <w:rPr>
          <w:sz w:val="32"/>
          <w:szCs w:val="32"/>
          <w:highlight w:val="yellow"/>
        </w:rPr>
        <w:t>EFSA/SC/2770</w:t>
      </w:r>
    </w:p>
    <w:tbl>
      <w:tblPr>
        <w:tblStyle w:val="GridTable4-Accent3"/>
        <w:tblpPr w:leftFromText="180" w:rightFromText="180" w:vertAnchor="page" w:horzAnchor="margin" w:tblpXSpec="right" w:tblpY="2851"/>
        <w:tblW w:w="9889" w:type="dxa"/>
        <w:tblLayout w:type="fixed"/>
        <w:tblLook w:val="04A0" w:firstRow="1" w:lastRow="0" w:firstColumn="1" w:lastColumn="0" w:noHBand="0" w:noVBand="1"/>
      </w:tblPr>
      <w:tblGrid>
        <w:gridCol w:w="3750"/>
        <w:gridCol w:w="6139"/>
      </w:tblGrid>
      <w:tr w:rsidR="00F00C12" w:rsidRPr="00E07A63" w14:paraId="33FCAAA9" w14:textId="77777777" w:rsidTr="00204E6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9" w:type="dxa"/>
            <w:gridSpan w:val="2"/>
          </w:tcPr>
          <w:p w14:paraId="4C7B5F1D" w14:textId="35E35299" w:rsidR="00F00C12" w:rsidRPr="00E07A63" w:rsidRDefault="00F00C12" w:rsidP="00204E6B">
            <w:pPr>
              <w:jc w:val="center"/>
              <w:rPr>
                <w:rFonts w:ascii="Tahoma" w:hAnsi="Tahoma" w:cs="Tahoma"/>
                <w:b w:val="0"/>
                <w:color w:val="auto"/>
                <w:sz w:val="18"/>
                <w:szCs w:val="18"/>
              </w:rPr>
            </w:pPr>
            <w:r w:rsidRPr="00E07A63">
              <w:rPr>
                <w:rFonts w:ascii="Tahoma" w:hAnsi="Tahoma" w:cs="Tahoma"/>
                <w:b w:val="0"/>
                <w:color w:val="auto"/>
                <w:sz w:val="18"/>
                <w:szCs w:val="18"/>
              </w:rPr>
              <w:t>Output metadata</w:t>
            </w:r>
          </w:p>
        </w:tc>
      </w:tr>
      <w:tr w:rsidR="00F00C12" w:rsidRPr="00E07A63" w14:paraId="6E4EF9A0" w14:textId="77777777" w:rsidTr="00204E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50" w:type="dxa"/>
          </w:tcPr>
          <w:p w14:paraId="7F2BE809" w14:textId="77777777" w:rsidR="00F00C12" w:rsidRPr="00E07A63" w:rsidRDefault="00F00C12" w:rsidP="00204E6B">
            <w:pPr>
              <w:rPr>
                <w:rFonts w:ascii="Tahoma" w:hAnsi="Tahoma" w:cs="Tahoma"/>
                <w:sz w:val="18"/>
                <w:szCs w:val="18"/>
              </w:rPr>
            </w:pPr>
            <w:r w:rsidRPr="00E07A63">
              <w:rPr>
                <w:rFonts w:ascii="Tahoma" w:hAnsi="Tahoma" w:cs="Tahoma"/>
                <w:sz w:val="18"/>
                <w:szCs w:val="18"/>
              </w:rPr>
              <w:t>Output category</w:t>
            </w:r>
          </w:p>
        </w:tc>
        <w:tc>
          <w:tcPr>
            <w:tcW w:w="6139" w:type="dxa"/>
          </w:tcPr>
          <w:p w14:paraId="5271AEE2" w14:textId="77777777" w:rsidR="00F00C12" w:rsidRPr="00E07A63" w:rsidRDefault="009615DC" w:rsidP="00204E6B">
            <w:pPr>
              <w:cnfStyle w:val="000000100000" w:firstRow="0" w:lastRow="0" w:firstColumn="0" w:lastColumn="0" w:oddVBand="0" w:evenVBand="0" w:oddHBand="1" w:evenHBand="0" w:firstRowFirstColumn="0" w:firstRowLastColumn="0" w:lastRowFirstColumn="0" w:lastRowLastColumn="0"/>
              <w:rPr>
                <w:rFonts w:ascii="Tahoma" w:hAnsi="Tahoma" w:cs="Tahoma"/>
                <w:sz w:val="18"/>
                <w:szCs w:val="18"/>
              </w:rPr>
            </w:pPr>
            <w:sdt>
              <w:sdtPr>
                <w:rPr>
                  <w:rFonts w:ascii="Tahoma" w:hAnsi="Tahoma" w:cs="Tahoma"/>
                  <w:sz w:val="18"/>
                  <w:szCs w:val="18"/>
                </w:rPr>
                <w:alias w:val="PubType"/>
                <w:tag w:val="PubType"/>
                <w:id w:val="-1262526042"/>
                <w:comboBox>
                  <w:listItem w:displayText="Scientific opinion " w:value="Scientific opinion "/>
                  <w:listItem w:displayText="Statement " w:value="Statement "/>
                  <w:listItem w:displayText="Guidance " w:value="Guidance "/>
                  <w:listItem w:displayText="Conclusion on Pesticides Peer Review" w:value="Conclusion on Pesticides Peer Review"/>
                  <w:listItem w:displayText="Reasoned Opinion" w:value="Reasoned Opinion"/>
                  <w:listItem w:displayText="Scientific Report" w:value="Scientific Report"/>
                </w:comboBox>
              </w:sdtPr>
              <w:sdtEndPr/>
              <w:sdtContent>
                <w:r w:rsidR="00F00C12" w:rsidRPr="00E07A63">
                  <w:rPr>
                    <w:rFonts w:ascii="Tahoma" w:hAnsi="Tahoma" w:cs="Tahoma"/>
                    <w:sz w:val="18"/>
                    <w:szCs w:val="18"/>
                  </w:rPr>
                  <w:t xml:space="preserve">Scientific opinion </w:t>
                </w:r>
              </w:sdtContent>
            </w:sdt>
          </w:p>
        </w:tc>
      </w:tr>
      <w:tr w:rsidR="00F00C12" w:rsidRPr="00E07A63" w14:paraId="13C5C8AF" w14:textId="77777777" w:rsidTr="00204E6B">
        <w:tc>
          <w:tcPr>
            <w:cnfStyle w:val="001000000000" w:firstRow="0" w:lastRow="0" w:firstColumn="1" w:lastColumn="0" w:oddVBand="0" w:evenVBand="0" w:oddHBand="0" w:evenHBand="0" w:firstRowFirstColumn="0" w:firstRowLastColumn="0" w:lastRowFirstColumn="0" w:lastRowLastColumn="0"/>
            <w:tcW w:w="3750" w:type="dxa"/>
          </w:tcPr>
          <w:p w14:paraId="66CB740C" w14:textId="77777777" w:rsidR="00F00C12" w:rsidRPr="00E07A63" w:rsidRDefault="00F00C12" w:rsidP="00204E6B">
            <w:pPr>
              <w:rPr>
                <w:rFonts w:ascii="Tahoma" w:hAnsi="Tahoma" w:cs="Tahoma"/>
                <w:b w:val="0"/>
                <w:bCs w:val="0"/>
                <w:sz w:val="18"/>
                <w:szCs w:val="18"/>
              </w:rPr>
            </w:pPr>
            <w:r w:rsidRPr="00E07A63">
              <w:rPr>
                <w:rFonts w:ascii="Tahoma" w:hAnsi="Tahoma" w:cs="Tahoma"/>
                <w:sz w:val="18"/>
                <w:szCs w:val="18"/>
              </w:rPr>
              <w:t>Date adopted</w:t>
            </w:r>
            <w:r w:rsidRPr="00E07A63">
              <w:rPr>
                <w:rFonts w:ascii="Tahoma" w:hAnsi="Tahoma" w:cs="Tahoma"/>
                <w:b w:val="0"/>
                <w:sz w:val="18"/>
                <w:szCs w:val="18"/>
              </w:rPr>
              <w:t xml:space="preserve"> [Panel/SC]</w:t>
            </w:r>
          </w:p>
        </w:tc>
        <w:tc>
          <w:tcPr>
            <w:tcW w:w="6139" w:type="dxa"/>
          </w:tcPr>
          <w:p w14:paraId="262FD331" w14:textId="77777777" w:rsidR="00F00C12" w:rsidRPr="00E07A63" w:rsidRDefault="00F00C12" w:rsidP="00204E6B">
            <w:pPr>
              <w:cnfStyle w:val="000000000000" w:firstRow="0" w:lastRow="0" w:firstColumn="0" w:lastColumn="0" w:oddVBand="0" w:evenVBand="0" w:oddHBand="0" w:evenHBand="0" w:firstRowFirstColumn="0" w:firstRowLastColumn="0" w:lastRowFirstColumn="0" w:lastRowLastColumn="0"/>
              <w:rPr>
                <w:rFonts w:ascii="Tahoma" w:hAnsi="Tahoma" w:cs="Tahoma"/>
                <w:sz w:val="18"/>
                <w:szCs w:val="18"/>
              </w:rPr>
            </w:pPr>
            <w:r w:rsidRPr="00E07A63">
              <w:rPr>
                <w:rFonts w:ascii="Tahoma" w:hAnsi="Tahoma" w:cs="Tahoma"/>
                <w:sz w:val="18"/>
                <w:szCs w:val="18"/>
              </w:rPr>
              <w:t>[]</w:t>
            </w:r>
          </w:p>
        </w:tc>
      </w:tr>
      <w:tr w:rsidR="00F00C12" w:rsidRPr="00E07A63" w14:paraId="4AF7DB9D" w14:textId="77777777" w:rsidTr="00204E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50" w:type="dxa"/>
          </w:tcPr>
          <w:p w14:paraId="25B098CC" w14:textId="77777777" w:rsidR="00F00C12" w:rsidRPr="00E07A63" w:rsidRDefault="00F00C12" w:rsidP="00204E6B">
            <w:pPr>
              <w:rPr>
                <w:rFonts w:ascii="Tahoma" w:hAnsi="Tahoma" w:cs="Tahoma"/>
                <w:b w:val="0"/>
                <w:bCs w:val="0"/>
                <w:sz w:val="18"/>
                <w:szCs w:val="18"/>
              </w:rPr>
            </w:pPr>
            <w:r w:rsidRPr="00E07A63">
              <w:rPr>
                <w:rFonts w:ascii="Tahoma" w:hAnsi="Tahoma" w:cs="Tahoma"/>
                <w:sz w:val="18"/>
                <w:szCs w:val="18"/>
              </w:rPr>
              <w:t xml:space="preserve">Date approved </w:t>
            </w:r>
            <w:r w:rsidRPr="00E07A63">
              <w:rPr>
                <w:rFonts w:ascii="Tahoma" w:hAnsi="Tahoma" w:cs="Tahoma"/>
                <w:b w:val="0"/>
                <w:sz w:val="18"/>
                <w:szCs w:val="18"/>
              </w:rPr>
              <w:t>[non-Panel/SC]</w:t>
            </w:r>
          </w:p>
        </w:tc>
        <w:tc>
          <w:tcPr>
            <w:tcW w:w="6139" w:type="dxa"/>
          </w:tcPr>
          <w:p w14:paraId="02E29EEF" w14:textId="77777777" w:rsidR="00F00C12" w:rsidRPr="00E07A63" w:rsidRDefault="00F00C12" w:rsidP="00204E6B">
            <w:pPr>
              <w:cnfStyle w:val="000000100000" w:firstRow="0" w:lastRow="0" w:firstColumn="0" w:lastColumn="0" w:oddVBand="0" w:evenVBand="0" w:oddHBand="1" w:evenHBand="0" w:firstRowFirstColumn="0" w:firstRowLastColumn="0" w:lastRowFirstColumn="0" w:lastRowLastColumn="0"/>
              <w:rPr>
                <w:rFonts w:ascii="Tahoma" w:hAnsi="Tahoma" w:cs="Tahoma"/>
                <w:sz w:val="18"/>
                <w:szCs w:val="18"/>
              </w:rPr>
            </w:pPr>
            <w:r w:rsidRPr="00E07A63">
              <w:rPr>
                <w:rFonts w:ascii="Tahoma" w:hAnsi="Tahoma" w:cs="Tahoma"/>
                <w:sz w:val="18"/>
                <w:szCs w:val="18"/>
              </w:rPr>
              <w:t>[]</w:t>
            </w:r>
          </w:p>
        </w:tc>
      </w:tr>
      <w:tr w:rsidR="00F00C12" w:rsidRPr="00E07A63" w14:paraId="328D07A9" w14:textId="77777777" w:rsidTr="00204E6B">
        <w:tc>
          <w:tcPr>
            <w:cnfStyle w:val="001000000000" w:firstRow="0" w:lastRow="0" w:firstColumn="1" w:lastColumn="0" w:oddVBand="0" w:evenVBand="0" w:oddHBand="0" w:evenHBand="0" w:firstRowFirstColumn="0" w:firstRowLastColumn="0" w:lastRowFirstColumn="0" w:lastRowLastColumn="0"/>
            <w:tcW w:w="3750" w:type="dxa"/>
          </w:tcPr>
          <w:p w14:paraId="21B0F6FF" w14:textId="77777777" w:rsidR="00F00C12" w:rsidRPr="00E07A63" w:rsidRDefault="00F00C12" w:rsidP="00204E6B">
            <w:pPr>
              <w:rPr>
                <w:rFonts w:ascii="Tahoma" w:hAnsi="Tahoma" w:cs="Tahoma"/>
                <w:b w:val="0"/>
                <w:sz w:val="18"/>
                <w:szCs w:val="18"/>
              </w:rPr>
            </w:pPr>
            <w:r w:rsidRPr="00E07A63">
              <w:rPr>
                <w:rFonts w:ascii="Tahoma" w:hAnsi="Tahoma" w:cs="Tahoma"/>
                <w:sz w:val="18"/>
                <w:szCs w:val="18"/>
              </w:rPr>
              <w:t>Author list</w:t>
            </w:r>
            <w:r w:rsidRPr="00E07A63">
              <w:rPr>
                <w:rFonts w:ascii="Tahoma" w:hAnsi="Tahoma" w:cs="Tahoma"/>
                <w:b w:val="0"/>
                <w:sz w:val="18"/>
                <w:szCs w:val="18"/>
              </w:rPr>
              <w:t xml:space="preserve"> [names or ORCID in order of authorship WIN, beginning with EFSA Panel]</w:t>
            </w:r>
          </w:p>
        </w:tc>
        <w:tc>
          <w:tcPr>
            <w:tcW w:w="6139" w:type="dxa"/>
          </w:tcPr>
          <w:p w14:paraId="1D0060C4" w14:textId="7818E18D" w:rsidR="00F00C12" w:rsidRPr="00E07A63" w:rsidRDefault="00DB28CB" w:rsidP="00204E6B">
            <w:pPr>
              <w:cnfStyle w:val="000000000000" w:firstRow="0" w:lastRow="0" w:firstColumn="0" w:lastColumn="0" w:oddVBand="0" w:evenVBand="0" w:oddHBand="0" w:evenHBand="0" w:firstRowFirstColumn="0" w:firstRowLastColumn="0" w:lastRowFirstColumn="0" w:lastRowLastColumn="0"/>
              <w:rPr>
                <w:rFonts w:ascii="Tahoma" w:hAnsi="Tahoma" w:cs="Tahoma"/>
                <w:sz w:val="18"/>
                <w:szCs w:val="18"/>
              </w:rPr>
            </w:pPr>
            <w:r w:rsidRPr="00E07A63">
              <w:rPr>
                <w:rFonts w:ascii="Tahoma" w:hAnsi="Tahoma" w:cs="Tahoma"/>
                <w:sz w:val="18"/>
                <w:szCs w:val="18"/>
              </w:rPr>
              <w:t xml:space="preserve">EFSA Scientific Committee, </w:t>
            </w:r>
            <w:r w:rsidR="00F00C12" w:rsidRPr="00E07A63">
              <w:rPr>
                <w:rFonts w:ascii="Tahoma" w:hAnsi="Tahoma" w:cs="Tahoma"/>
                <w:sz w:val="18"/>
                <w:szCs w:val="18"/>
              </w:rPr>
              <w:t xml:space="preserve">Simon John More, Vasileios </w:t>
            </w:r>
            <w:proofErr w:type="spellStart"/>
            <w:r w:rsidR="00F00C12" w:rsidRPr="00E07A63">
              <w:rPr>
                <w:rFonts w:ascii="Tahoma" w:hAnsi="Tahoma" w:cs="Tahoma"/>
                <w:sz w:val="18"/>
                <w:szCs w:val="18"/>
              </w:rPr>
              <w:t>Bampidis</w:t>
            </w:r>
            <w:proofErr w:type="spellEnd"/>
            <w:r w:rsidR="00F00C12" w:rsidRPr="00E07A63">
              <w:rPr>
                <w:rFonts w:ascii="Tahoma" w:hAnsi="Tahoma" w:cs="Tahoma"/>
                <w:sz w:val="18"/>
                <w:szCs w:val="18"/>
              </w:rPr>
              <w:t xml:space="preserve">, </w:t>
            </w:r>
            <w:r w:rsidR="00FB1B6F" w:rsidRPr="00E07A63">
              <w:rPr>
                <w:rFonts w:ascii="Tahoma" w:hAnsi="Tahoma" w:cs="Tahoma"/>
                <w:sz w:val="18"/>
                <w:szCs w:val="18"/>
              </w:rPr>
              <w:t xml:space="preserve">Diane </w:t>
            </w:r>
            <w:proofErr w:type="spellStart"/>
            <w:r w:rsidR="00FB1B6F" w:rsidRPr="00E07A63">
              <w:rPr>
                <w:rFonts w:ascii="Tahoma" w:hAnsi="Tahoma" w:cs="Tahoma"/>
                <w:sz w:val="18"/>
                <w:szCs w:val="18"/>
              </w:rPr>
              <w:t>Benford</w:t>
            </w:r>
            <w:proofErr w:type="spellEnd"/>
            <w:r w:rsidR="00FB1B6F" w:rsidRPr="00E07A63">
              <w:rPr>
                <w:rFonts w:ascii="Tahoma" w:hAnsi="Tahoma" w:cs="Tahoma"/>
                <w:sz w:val="18"/>
                <w:szCs w:val="18"/>
              </w:rPr>
              <w:t xml:space="preserve">, </w:t>
            </w:r>
            <w:r w:rsidR="00F00C12" w:rsidRPr="00E07A63">
              <w:rPr>
                <w:rFonts w:ascii="Tahoma" w:hAnsi="Tahoma" w:cs="Tahoma"/>
                <w:sz w:val="18"/>
                <w:szCs w:val="18"/>
              </w:rPr>
              <w:t xml:space="preserve">Claude </w:t>
            </w:r>
            <w:proofErr w:type="spellStart"/>
            <w:r w:rsidR="00F00C12" w:rsidRPr="00E07A63">
              <w:rPr>
                <w:rFonts w:ascii="Tahoma" w:hAnsi="Tahoma" w:cs="Tahoma"/>
                <w:sz w:val="18"/>
                <w:szCs w:val="18"/>
              </w:rPr>
              <w:t>Bragard</w:t>
            </w:r>
            <w:proofErr w:type="spellEnd"/>
            <w:r w:rsidR="00F00C12" w:rsidRPr="00E07A63">
              <w:rPr>
                <w:rFonts w:ascii="Tahoma" w:hAnsi="Tahoma" w:cs="Tahoma"/>
                <w:sz w:val="18"/>
                <w:szCs w:val="18"/>
              </w:rPr>
              <w:t xml:space="preserve">, Thorhallur </w:t>
            </w:r>
            <w:proofErr w:type="spellStart"/>
            <w:r w:rsidR="00F00C12" w:rsidRPr="00E07A63">
              <w:rPr>
                <w:rFonts w:ascii="Tahoma" w:hAnsi="Tahoma" w:cs="Tahoma"/>
                <w:sz w:val="18"/>
                <w:szCs w:val="18"/>
              </w:rPr>
              <w:t>Ingi</w:t>
            </w:r>
            <w:proofErr w:type="spellEnd"/>
            <w:r w:rsidR="00F00C12" w:rsidRPr="00E07A63">
              <w:rPr>
                <w:rFonts w:ascii="Tahoma" w:hAnsi="Tahoma" w:cs="Tahoma"/>
                <w:sz w:val="18"/>
                <w:szCs w:val="18"/>
              </w:rPr>
              <w:t xml:space="preserve"> </w:t>
            </w:r>
            <w:proofErr w:type="spellStart"/>
            <w:r w:rsidR="00F00C12" w:rsidRPr="00E07A63">
              <w:rPr>
                <w:rFonts w:ascii="Tahoma" w:hAnsi="Tahoma" w:cs="Tahoma"/>
                <w:sz w:val="18"/>
                <w:szCs w:val="18"/>
              </w:rPr>
              <w:t>Halldorsson</w:t>
            </w:r>
            <w:proofErr w:type="spellEnd"/>
            <w:r w:rsidR="00F00C12" w:rsidRPr="00E07A63">
              <w:rPr>
                <w:rFonts w:ascii="Tahoma" w:hAnsi="Tahoma" w:cs="Tahoma"/>
                <w:sz w:val="18"/>
                <w:szCs w:val="18"/>
              </w:rPr>
              <w:t xml:space="preserve">, Antonio F. Hernández-Jerez, Susanne </w:t>
            </w:r>
            <w:proofErr w:type="spellStart"/>
            <w:r w:rsidR="00F00C12" w:rsidRPr="00E07A63">
              <w:rPr>
                <w:rFonts w:ascii="Tahoma" w:hAnsi="Tahoma" w:cs="Tahoma"/>
                <w:sz w:val="18"/>
                <w:szCs w:val="18"/>
              </w:rPr>
              <w:t>Hougaard</w:t>
            </w:r>
            <w:proofErr w:type="spellEnd"/>
            <w:r w:rsidR="00F00C12" w:rsidRPr="00E07A63">
              <w:rPr>
                <w:rFonts w:ascii="Tahoma" w:hAnsi="Tahoma" w:cs="Tahoma"/>
                <w:sz w:val="18"/>
                <w:szCs w:val="18"/>
              </w:rPr>
              <w:t xml:space="preserve"> </w:t>
            </w:r>
            <w:proofErr w:type="spellStart"/>
            <w:r w:rsidR="00F00C12" w:rsidRPr="00E07A63">
              <w:rPr>
                <w:rFonts w:ascii="Tahoma" w:hAnsi="Tahoma" w:cs="Tahoma"/>
                <w:sz w:val="18"/>
                <w:szCs w:val="18"/>
              </w:rPr>
              <w:t>Bennekou</w:t>
            </w:r>
            <w:proofErr w:type="spellEnd"/>
            <w:r w:rsidR="00F00C12" w:rsidRPr="00E07A63">
              <w:rPr>
                <w:rFonts w:ascii="Tahoma" w:hAnsi="Tahoma" w:cs="Tahoma"/>
                <w:sz w:val="18"/>
                <w:szCs w:val="18"/>
              </w:rPr>
              <w:t xml:space="preserve">, Kostas </w:t>
            </w:r>
            <w:proofErr w:type="spellStart"/>
            <w:r w:rsidR="00F00C12" w:rsidRPr="00E07A63">
              <w:rPr>
                <w:rFonts w:ascii="Tahoma" w:hAnsi="Tahoma" w:cs="Tahoma"/>
                <w:sz w:val="18"/>
                <w:szCs w:val="18"/>
              </w:rPr>
              <w:t>Koutsoumanis</w:t>
            </w:r>
            <w:proofErr w:type="spellEnd"/>
            <w:r w:rsidR="00F00C12" w:rsidRPr="00E07A63">
              <w:rPr>
                <w:rFonts w:ascii="Tahoma" w:hAnsi="Tahoma" w:cs="Tahoma"/>
                <w:sz w:val="18"/>
                <w:szCs w:val="18"/>
              </w:rPr>
              <w:t xml:space="preserve">, Claude </w:t>
            </w:r>
            <w:proofErr w:type="spellStart"/>
            <w:r w:rsidR="00F00C12" w:rsidRPr="00E07A63">
              <w:rPr>
                <w:rFonts w:ascii="Tahoma" w:hAnsi="Tahoma" w:cs="Tahoma"/>
                <w:sz w:val="18"/>
                <w:szCs w:val="18"/>
              </w:rPr>
              <w:t>Lambré</w:t>
            </w:r>
            <w:proofErr w:type="spellEnd"/>
            <w:r w:rsidR="00F00C12" w:rsidRPr="00E07A63">
              <w:rPr>
                <w:rFonts w:ascii="Tahoma" w:hAnsi="Tahoma" w:cs="Tahoma"/>
                <w:sz w:val="18"/>
                <w:szCs w:val="18"/>
              </w:rPr>
              <w:t xml:space="preserve">, </w:t>
            </w:r>
            <w:proofErr w:type="spellStart"/>
            <w:r w:rsidR="00F00C12" w:rsidRPr="00E07A63">
              <w:rPr>
                <w:rFonts w:ascii="Tahoma" w:hAnsi="Tahoma" w:cs="Tahoma"/>
                <w:sz w:val="18"/>
                <w:szCs w:val="18"/>
              </w:rPr>
              <w:t>Kyriaki</w:t>
            </w:r>
            <w:proofErr w:type="spellEnd"/>
            <w:r w:rsidR="00F00C12" w:rsidRPr="00E07A63">
              <w:rPr>
                <w:rFonts w:ascii="Tahoma" w:hAnsi="Tahoma" w:cs="Tahoma"/>
                <w:sz w:val="18"/>
                <w:szCs w:val="18"/>
              </w:rPr>
              <w:t xml:space="preserve"> </w:t>
            </w:r>
            <w:proofErr w:type="spellStart"/>
            <w:r w:rsidR="00F00C12" w:rsidRPr="00E07A63">
              <w:rPr>
                <w:rFonts w:ascii="Tahoma" w:hAnsi="Tahoma" w:cs="Tahoma"/>
                <w:sz w:val="18"/>
                <w:szCs w:val="18"/>
              </w:rPr>
              <w:t>Machera</w:t>
            </w:r>
            <w:proofErr w:type="spellEnd"/>
            <w:r w:rsidR="00F00C12" w:rsidRPr="00E07A63">
              <w:rPr>
                <w:rFonts w:ascii="Tahoma" w:hAnsi="Tahoma" w:cs="Tahoma"/>
                <w:sz w:val="18"/>
                <w:szCs w:val="18"/>
              </w:rPr>
              <w:t xml:space="preserve">, </w:t>
            </w:r>
            <w:r w:rsidR="00BE1160" w:rsidRPr="00E07A63">
              <w:rPr>
                <w:rFonts w:ascii="Tahoma" w:hAnsi="Tahoma" w:cs="Tahoma"/>
                <w:sz w:val="18"/>
                <w:szCs w:val="18"/>
              </w:rPr>
              <w:t xml:space="preserve">Ewen Mullins, </w:t>
            </w:r>
            <w:proofErr w:type="spellStart"/>
            <w:r w:rsidR="00F00C12" w:rsidRPr="00E07A63">
              <w:rPr>
                <w:rFonts w:ascii="Tahoma" w:hAnsi="Tahoma" w:cs="Tahoma"/>
                <w:sz w:val="18"/>
                <w:szCs w:val="18"/>
              </w:rPr>
              <w:t>Søren</w:t>
            </w:r>
            <w:proofErr w:type="spellEnd"/>
            <w:r w:rsidR="00F00C12" w:rsidRPr="00E07A63">
              <w:rPr>
                <w:rFonts w:ascii="Tahoma" w:hAnsi="Tahoma" w:cs="Tahoma"/>
                <w:sz w:val="18"/>
                <w:szCs w:val="18"/>
              </w:rPr>
              <w:t xml:space="preserve"> </w:t>
            </w:r>
            <w:proofErr w:type="spellStart"/>
            <w:r w:rsidR="00F00C12" w:rsidRPr="00E07A63">
              <w:rPr>
                <w:rFonts w:ascii="Tahoma" w:hAnsi="Tahoma" w:cs="Tahoma"/>
                <w:sz w:val="18"/>
                <w:szCs w:val="18"/>
              </w:rPr>
              <w:t>Saxmose</w:t>
            </w:r>
            <w:proofErr w:type="spellEnd"/>
            <w:r w:rsidR="00F00C12" w:rsidRPr="00E07A63">
              <w:rPr>
                <w:rFonts w:ascii="Tahoma" w:hAnsi="Tahoma" w:cs="Tahoma"/>
                <w:sz w:val="18"/>
                <w:szCs w:val="18"/>
              </w:rPr>
              <w:t xml:space="preserve"> Nielsen, Dieter </w:t>
            </w:r>
            <w:proofErr w:type="spellStart"/>
            <w:r w:rsidR="00F00C12" w:rsidRPr="00E07A63">
              <w:rPr>
                <w:rFonts w:ascii="Tahoma" w:hAnsi="Tahoma" w:cs="Tahoma"/>
                <w:sz w:val="18"/>
                <w:szCs w:val="18"/>
              </w:rPr>
              <w:t>Schrenk</w:t>
            </w:r>
            <w:proofErr w:type="spellEnd"/>
            <w:r w:rsidR="00F00C12" w:rsidRPr="00E07A63">
              <w:rPr>
                <w:rFonts w:ascii="Tahoma" w:hAnsi="Tahoma" w:cs="Tahoma"/>
                <w:sz w:val="18"/>
                <w:szCs w:val="18"/>
              </w:rPr>
              <w:t xml:space="preserve">, Dominique </w:t>
            </w:r>
            <w:proofErr w:type="spellStart"/>
            <w:r w:rsidR="00F00C12" w:rsidRPr="00E07A63">
              <w:rPr>
                <w:rFonts w:ascii="Tahoma" w:hAnsi="Tahoma" w:cs="Tahoma"/>
                <w:sz w:val="18"/>
                <w:szCs w:val="18"/>
              </w:rPr>
              <w:t>Turck</w:t>
            </w:r>
            <w:proofErr w:type="spellEnd"/>
            <w:r w:rsidR="00F00C12" w:rsidRPr="00E07A63">
              <w:rPr>
                <w:rFonts w:ascii="Tahoma" w:hAnsi="Tahoma" w:cs="Tahoma"/>
                <w:sz w:val="18"/>
                <w:szCs w:val="18"/>
              </w:rPr>
              <w:t xml:space="preserve">, </w:t>
            </w:r>
            <w:proofErr w:type="spellStart"/>
            <w:r w:rsidR="00F00C12" w:rsidRPr="00E07A63">
              <w:rPr>
                <w:rFonts w:ascii="Tahoma" w:hAnsi="Tahoma" w:cs="Tahoma"/>
                <w:sz w:val="18"/>
                <w:szCs w:val="18"/>
              </w:rPr>
              <w:t>Maged</w:t>
            </w:r>
            <w:proofErr w:type="spellEnd"/>
            <w:r w:rsidR="00F00C12" w:rsidRPr="00E07A63">
              <w:rPr>
                <w:rFonts w:ascii="Tahoma" w:hAnsi="Tahoma" w:cs="Tahoma"/>
                <w:sz w:val="18"/>
                <w:szCs w:val="18"/>
              </w:rPr>
              <w:t xml:space="preserve"> Younes, </w:t>
            </w:r>
            <w:r w:rsidR="00755AC5" w:rsidRPr="00E07A63">
              <w:rPr>
                <w:rFonts w:ascii="Tahoma" w:hAnsi="Tahoma" w:cs="Tahoma"/>
                <w:sz w:val="18"/>
                <w:szCs w:val="18"/>
              </w:rPr>
              <w:t xml:space="preserve">Marc </w:t>
            </w:r>
            <w:proofErr w:type="spellStart"/>
            <w:r w:rsidR="00755AC5" w:rsidRPr="00E07A63">
              <w:rPr>
                <w:rFonts w:ascii="Tahoma" w:hAnsi="Tahoma" w:cs="Tahoma"/>
                <w:sz w:val="18"/>
                <w:szCs w:val="18"/>
              </w:rPr>
              <w:t>Aerts</w:t>
            </w:r>
            <w:proofErr w:type="spellEnd"/>
            <w:r w:rsidR="00755AC5" w:rsidRPr="00E07A63">
              <w:rPr>
                <w:rFonts w:ascii="Tahoma" w:hAnsi="Tahoma" w:cs="Tahoma"/>
                <w:sz w:val="18"/>
                <w:szCs w:val="18"/>
              </w:rPr>
              <w:t xml:space="preserve">, Lutz </w:t>
            </w:r>
            <w:proofErr w:type="spellStart"/>
            <w:r w:rsidR="00755AC5" w:rsidRPr="00E07A63">
              <w:rPr>
                <w:rFonts w:ascii="Tahoma" w:hAnsi="Tahoma" w:cs="Tahoma"/>
                <w:sz w:val="18"/>
                <w:szCs w:val="18"/>
              </w:rPr>
              <w:t>Edler</w:t>
            </w:r>
            <w:proofErr w:type="spellEnd"/>
            <w:r w:rsidR="00755AC5" w:rsidRPr="00E07A63">
              <w:rPr>
                <w:rFonts w:ascii="Tahoma" w:hAnsi="Tahoma" w:cs="Tahoma"/>
                <w:sz w:val="18"/>
                <w:szCs w:val="18"/>
              </w:rPr>
              <w:t xml:space="preserve">, Salomon Sand, </w:t>
            </w:r>
            <w:r w:rsidR="00895E02" w:rsidRPr="00E07A63">
              <w:rPr>
                <w:rFonts w:ascii="Tahoma" w:hAnsi="Tahoma" w:cs="Tahoma"/>
                <w:sz w:val="18"/>
                <w:szCs w:val="18"/>
              </w:rPr>
              <w:t xml:space="preserve">Matthew Wright, </w:t>
            </w:r>
            <w:r w:rsidR="00665AE9" w:rsidRPr="00E07A63">
              <w:rPr>
                <w:rFonts w:ascii="Tahoma" w:hAnsi="Tahoma" w:cs="Tahoma"/>
                <w:sz w:val="18"/>
                <w:szCs w:val="18"/>
              </w:rPr>
              <w:t xml:space="preserve">Maria Chiara </w:t>
            </w:r>
            <w:proofErr w:type="spellStart"/>
            <w:r w:rsidR="00665AE9" w:rsidRPr="00E07A63">
              <w:rPr>
                <w:rFonts w:ascii="Tahoma" w:hAnsi="Tahoma" w:cs="Tahoma"/>
                <w:sz w:val="18"/>
                <w:szCs w:val="18"/>
              </w:rPr>
              <w:t>Astuto</w:t>
            </w:r>
            <w:proofErr w:type="spellEnd"/>
            <w:r w:rsidR="00665AE9" w:rsidRPr="00E07A63">
              <w:rPr>
                <w:rFonts w:ascii="Tahoma" w:hAnsi="Tahoma" w:cs="Tahoma"/>
                <w:sz w:val="18"/>
                <w:szCs w:val="18"/>
              </w:rPr>
              <w:t xml:space="preserve">, </w:t>
            </w:r>
            <w:r w:rsidR="009D73B5" w:rsidRPr="00E07A63">
              <w:rPr>
                <w:rFonts w:ascii="Tahoma" w:hAnsi="Tahoma" w:cs="Tahoma"/>
                <w:sz w:val="18"/>
                <w:szCs w:val="18"/>
              </w:rPr>
              <w:t xml:space="preserve">Marco </w:t>
            </w:r>
            <w:proofErr w:type="spellStart"/>
            <w:r w:rsidR="009D73B5" w:rsidRPr="00E07A63">
              <w:rPr>
                <w:rFonts w:ascii="Tahoma" w:hAnsi="Tahoma" w:cs="Tahoma"/>
                <w:sz w:val="18"/>
                <w:szCs w:val="18"/>
              </w:rPr>
              <w:t>Binaglia</w:t>
            </w:r>
            <w:proofErr w:type="spellEnd"/>
            <w:r w:rsidR="009D73B5" w:rsidRPr="00E07A63">
              <w:rPr>
                <w:rFonts w:ascii="Tahoma" w:hAnsi="Tahoma" w:cs="Tahoma"/>
                <w:sz w:val="18"/>
                <w:szCs w:val="18"/>
              </w:rPr>
              <w:t xml:space="preserve">, </w:t>
            </w:r>
            <w:r w:rsidR="00755AC5" w:rsidRPr="00E07A63">
              <w:rPr>
                <w:rFonts w:ascii="Tahoma" w:hAnsi="Tahoma" w:cs="Tahoma"/>
                <w:sz w:val="18"/>
                <w:szCs w:val="18"/>
              </w:rPr>
              <w:t xml:space="preserve">Bernard </w:t>
            </w:r>
            <w:proofErr w:type="spellStart"/>
            <w:r w:rsidR="00755AC5" w:rsidRPr="00E07A63">
              <w:rPr>
                <w:rFonts w:ascii="Tahoma" w:hAnsi="Tahoma" w:cs="Tahoma"/>
                <w:sz w:val="18"/>
                <w:szCs w:val="18"/>
              </w:rPr>
              <w:t>Bottex</w:t>
            </w:r>
            <w:proofErr w:type="spellEnd"/>
            <w:r w:rsidR="009D73B5" w:rsidRPr="00E07A63">
              <w:rPr>
                <w:rFonts w:ascii="Tahoma" w:hAnsi="Tahoma" w:cs="Tahoma"/>
                <w:sz w:val="18"/>
                <w:szCs w:val="18"/>
              </w:rPr>
              <w:t xml:space="preserve">, Jose </w:t>
            </w:r>
            <w:proofErr w:type="spellStart"/>
            <w:r w:rsidR="009D73B5" w:rsidRPr="00E07A63">
              <w:rPr>
                <w:rFonts w:ascii="Tahoma" w:hAnsi="Tahoma" w:cs="Tahoma"/>
                <w:sz w:val="18"/>
                <w:szCs w:val="18"/>
              </w:rPr>
              <w:t>Cortiñas</w:t>
            </w:r>
            <w:proofErr w:type="spellEnd"/>
            <w:r w:rsidR="005500D9" w:rsidRPr="00E07A63">
              <w:rPr>
                <w:rFonts w:ascii="Tahoma" w:hAnsi="Tahoma" w:cs="Tahoma"/>
                <w:sz w:val="18"/>
                <w:szCs w:val="18"/>
              </w:rPr>
              <w:t xml:space="preserve"> </w:t>
            </w:r>
            <w:proofErr w:type="spellStart"/>
            <w:r w:rsidR="009D73B5" w:rsidRPr="00E07A63">
              <w:rPr>
                <w:rFonts w:ascii="Tahoma" w:hAnsi="Tahoma" w:cs="Tahoma"/>
                <w:sz w:val="18"/>
                <w:szCs w:val="18"/>
              </w:rPr>
              <w:t>Abrahantes</w:t>
            </w:r>
            <w:proofErr w:type="spellEnd"/>
            <w:r w:rsidR="00664569" w:rsidRPr="00E07A63">
              <w:rPr>
                <w:rFonts w:ascii="Tahoma" w:hAnsi="Tahoma" w:cs="Tahoma"/>
                <w:sz w:val="18"/>
                <w:szCs w:val="18"/>
              </w:rPr>
              <w:t xml:space="preserve">, Hans </w:t>
            </w:r>
            <w:proofErr w:type="spellStart"/>
            <w:r w:rsidR="00664569" w:rsidRPr="00E07A63">
              <w:rPr>
                <w:rFonts w:ascii="Tahoma" w:hAnsi="Tahoma" w:cs="Tahoma"/>
                <w:sz w:val="18"/>
                <w:szCs w:val="18"/>
              </w:rPr>
              <w:t>Steinkell</w:t>
            </w:r>
            <w:r w:rsidR="00B1431A" w:rsidRPr="00E07A63">
              <w:rPr>
                <w:rFonts w:ascii="Tahoma" w:hAnsi="Tahoma" w:cs="Tahoma"/>
                <w:sz w:val="18"/>
                <w:szCs w:val="18"/>
              </w:rPr>
              <w:t>ner</w:t>
            </w:r>
            <w:proofErr w:type="spellEnd"/>
            <w:r w:rsidR="009D73B5" w:rsidRPr="00E07A63">
              <w:rPr>
                <w:rFonts w:ascii="Tahoma" w:hAnsi="Tahoma" w:cs="Tahoma"/>
                <w:sz w:val="18"/>
                <w:szCs w:val="18"/>
              </w:rPr>
              <w:t xml:space="preserve"> </w:t>
            </w:r>
            <w:r w:rsidR="00F00C12" w:rsidRPr="00E07A63">
              <w:rPr>
                <w:rFonts w:ascii="Tahoma" w:hAnsi="Tahoma" w:cs="Tahoma"/>
                <w:sz w:val="18"/>
                <w:szCs w:val="18"/>
              </w:rPr>
              <w:t>and Josef Schlatter</w:t>
            </w:r>
          </w:p>
        </w:tc>
      </w:tr>
      <w:tr w:rsidR="00F00C12" w:rsidRPr="00E07A63" w14:paraId="3967A1C6" w14:textId="77777777" w:rsidTr="00204E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50" w:type="dxa"/>
          </w:tcPr>
          <w:p w14:paraId="676BAAAB" w14:textId="77777777" w:rsidR="00F00C12" w:rsidRPr="00E07A63" w:rsidRDefault="00F00C12" w:rsidP="00204E6B">
            <w:pPr>
              <w:rPr>
                <w:rFonts w:ascii="Tahoma" w:hAnsi="Tahoma" w:cs="Tahoma"/>
                <w:sz w:val="18"/>
                <w:szCs w:val="18"/>
              </w:rPr>
            </w:pPr>
            <w:r w:rsidRPr="00E07A63">
              <w:rPr>
                <w:rFonts w:ascii="Tahoma" w:hAnsi="Tahoma" w:cs="Tahoma"/>
                <w:sz w:val="18"/>
                <w:szCs w:val="18"/>
              </w:rPr>
              <w:t>DOI</w:t>
            </w:r>
          </w:p>
        </w:tc>
        <w:tc>
          <w:tcPr>
            <w:tcW w:w="6139" w:type="dxa"/>
          </w:tcPr>
          <w:p w14:paraId="287F5EE1" w14:textId="65B207A4" w:rsidR="00F00C12" w:rsidRPr="00E07A63" w:rsidRDefault="009615DC" w:rsidP="00204E6B">
            <w:pPr>
              <w:cnfStyle w:val="000000100000" w:firstRow="0" w:lastRow="0" w:firstColumn="0" w:lastColumn="0" w:oddVBand="0" w:evenVBand="0" w:oddHBand="1" w:evenHBand="0" w:firstRowFirstColumn="0" w:firstRowLastColumn="0" w:lastRowFirstColumn="0" w:lastRowLastColumn="0"/>
              <w:rPr>
                <w:rFonts w:ascii="Tahoma" w:hAnsi="Tahoma" w:cs="Tahoma"/>
                <w:sz w:val="18"/>
                <w:szCs w:val="18"/>
              </w:rPr>
            </w:pPr>
            <w:sdt>
              <w:sdtPr>
                <w:rPr>
                  <w:rFonts w:ascii="Tahoma" w:hAnsi="Tahoma" w:cs="Tahoma"/>
                  <w:sz w:val="18"/>
                  <w:szCs w:val="18"/>
                </w:rPr>
                <w:alias w:val="doi"/>
                <w:tag w:val="doi"/>
                <w:id w:val="1586039088"/>
                <w:text/>
              </w:sdtPr>
              <w:sdtEndPr/>
              <w:sdtContent>
                <w:r w:rsidR="00F00C12" w:rsidRPr="00E07A63">
                  <w:rPr>
                    <w:rFonts w:ascii="Tahoma" w:hAnsi="Tahoma" w:cs="Tahoma"/>
                    <w:sz w:val="18"/>
                    <w:szCs w:val="18"/>
                  </w:rPr>
                  <w:t>10.2903/j.efsa.20</w:t>
                </w:r>
                <w:r w:rsidR="00FC0346" w:rsidRPr="00E07A63">
                  <w:rPr>
                    <w:rFonts w:ascii="Tahoma" w:hAnsi="Tahoma" w:cs="Tahoma"/>
                    <w:sz w:val="18"/>
                    <w:szCs w:val="18"/>
                  </w:rPr>
                  <w:t>22</w:t>
                </w:r>
                <w:r w:rsidR="00F00C12" w:rsidRPr="00E07A63">
                  <w:rPr>
                    <w:rFonts w:ascii="Tahoma" w:hAnsi="Tahoma" w:cs="Tahoma"/>
                    <w:sz w:val="18"/>
                    <w:szCs w:val="18"/>
                  </w:rPr>
                  <w:t>.xxxx</w:t>
                </w:r>
              </w:sdtContent>
            </w:sdt>
          </w:p>
        </w:tc>
      </w:tr>
      <w:tr w:rsidR="00F00C12" w:rsidRPr="00E07A63" w14:paraId="7BDC467B" w14:textId="77777777" w:rsidTr="00204E6B">
        <w:tc>
          <w:tcPr>
            <w:cnfStyle w:val="001000000000" w:firstRow="0" w:lastRow="0" w:firstColumn="1" w:lastColumn="0" w:oddVBand="0" w:evenVBand="0" w:oddHBand="0" w:evenHBand="0" w:firstRowFirstColumn="0" w:firstRowLastColumn="0" w:lastRowFirstColumn="0" w:lastRowLastColumn="0"/>
            <w:tcW w:w="3750" w:type="dxa"/>
          </w:tcPr>
          <w:p w14:paraId="57B60012" w14:textId="77777777" w:rsidR="00F00C12" w:rsidRPr="00E07A63" w:rsidRDefault="00F00C12" w:rsidP="00204E6B">
            <w:pPr>
              <w:rPr>
                <w:rFonts w:ascii="Tahoma" w:hAnsi="Tahoma" w:cs="Tahoma"/>
                <w:sz w:val="18"/>
                <w:szCs w:val="18"/>
              </w:rPr>
            </w:pPr>
            <w:r w:rsidRPr="00E07A63">
              <w:rPr>
                <w:rFonts w:ascii="Tahoma" w:hAnsi="Tahoma" w:cs="Tahoma"/>
                <w:sz w:val="18"/>
                <w:szCs w:val="18"/>
              </w:rPr>
              <w:t>Requestor</w:t>
            </w:r>
          </w:p>
        </w:tc>
        <w:tc>
          <w:tcPr>
            <w:tcW w:w="6139" w:type="dxa"/>
          </w:tcPr>
          <w:p w14:paraId="7C2D95E4" w14:textId="08DF07D7" w:rsidR="00F00C12" w:rsidRPr="00E07A63" w:rsidRDefault="009615DC" w:rsidP="00204E6B">
            <w:pPr>
              <w:cnfStyle w:val="000000000000" w:firstRow="0" w:lastRow="0" w:firstColumn="0" w:lastColumn="0" w:oddVBand="0" w:evenVBand="0" w:oddHBand="0" w:evenHBand="0" w:firstRowFirstColumn="0" w:firstRowLastColumn="0" w:lastRowFirstColumn="0" w:lastRowLastColumn="0"/>
              <w:rPr>
                <w:rFonts w:ascii="Tahoma" w:hAnsi="Tahoma" w:cs="Tahoma"/>
                <w:sz w:val="18"/>
                <w:szCs w:val="18"/>
              </w:rPr>
            </w:pPr>
            <w:sdt>
              <w:sdtPr>
                <w:rPr>
                  <w:rFonts w:ascii="Tahoma" w:hAnsi="Tahoma" w:cs="Tahoma"/>
                  <w:sz w:val="18"/>
                  <w:szCs w:val="18"/>
                </w:rPr>
                <w:alias w:val="requestor"/>
                <w:tag w:val="requestor"/>
                <w:id w:val="1098138072"/>
                <w:text/>
              </w:sdtPr>
              <w:sdtEndPr/>
              <w:sdtContent>
                <w:r w:rsidR="003825E9" w:rsidRPr="00E07A63">
                  <w:rPr>
                    <w:rFonts w:ascii="Tahoma" w:hAnsi="Tahoma" w:cs="Tahoma"/>
                    <w:sz w:val="18"/>
                    <w:szCs w:val="18"/>
                  </w:rPr>
                  <w:t>EFSA</w:t>
                </w:r>
              </w:sdtContent>
            </w:sdt>
          </w:p>
        </w:tc>
      </w:tr>
      <w:tr w:rsidR="00F00C12" w:rsidRPr="00E07A63" w14:paraId="61B31283" w14:textId="77777777" w:rsidTr="00204E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50" w:type="dxa"/>
          </w:tcPr>
          <w:p w14:paraId="4C88EA39" w14:textId="77777777" w:rsidR="00F00C12" w:rsidRPr="00E07A63" w:rsidRDefault="00F00C12" w:rsidP="00204E6B">
            <w:pPr>
              <w:rPr>
                <w:rFonts w:ascii="Tahoma" w:hAnsi="Tahoma" w:cs="Tahoma"/>
                <w:sz w:val="18"/>
                <w:szCs w:val="18"/>
              </w:rPr>
            </w:pPr>
            <w:r w:rsidRPr="00E07A63">
              <w:rPr>
                <w:rFonts w:ascii="Tahoma" w:hAnsi="Tahoma" w:cs="Tahoma"/>
                <w:sz w:val="18"/>
                <w:szCs w:val="18"/>
              </w:rPr>
              <w:t>Output number</w:t>
            </w:r>
          </w:p>
        </w:tc>
        <w:sdt>
          <w:sdtPr>
            <w:rPr>
              <w:rFonts w:ascii="Tahoma" w:hAnsi="Tahoma" w:cs="Tahoma"/>
              <w:sz w:val="18"/>
              <w:szCs w:val="18"/>
            </w:rPr>
            <w:alias w:val="EFSA_article_id"/>
            <w:tag w:val="EFSA_article_id"/>
            <w:id w:val="1880046659"/>
            <w:placeholder>
              <w:docPart w:val="EDAF2FEB37BA4E8EAFC9DE1265A28CB0"/>
            </w:placeholder>
            <w:text/>
          </w:sdtPr>
          <w:sdtEndPr/>
          <w:sdtContent>
            <w:tc>
              <w:tcPr>
                <w:tcW w:w="6139" w:type="dxa"/>
              </w:tcPr>
              <w:p w14:paraId="3B8E6B31" w14:textId="77777777" w:rsidR="00F00C12" w:rsidRPr="00E07A63" w:rsidRDefault="00F00C12" w:rsidP="00204E6B">
                <w:pPr>
                  <w:cnfStyle w:val="000000100000" w:firstRow="0" w:lastRow="0" w:firstColumn="0" w:lastColumn="0" w:oddVBand="0" w:evenVBand="0" w:oddHBand="1" w:evenHBand="0" w:firstRowFirstColumn="0" w:firstRowLastColumn="0" w:lastRowFirstColumn="0" w:lastRowLastColumn="0"/>
                  <w:rPr>
                    <w:rFonts w:ascii="Tahoma" w:hAnsi="Tahoma" w:cs="Tahoma"/>
                    <w:sz w:val="18"/>
                    <w:szCs w:val="18"/>
                  </w:rPr>
                </w:pPr>
                <w:r w:rsidRPr="00E07A63">
                  <w:rPr>
                    <w:rFonts w:ascii="Tahoma" w:hAnsi="Tahoma" w:cs="Tahoma"/>
                    <w:sz w:val="18"/>
                    <w:szCs w:val="18"/>
                  </w:rPr>
                  <w:t>ON1234</w:t>
                </w:r>
              </w:p>
            </w:tc>
          </w:sdtContent>
        </w:sdt>
      </w:tr>
      <w:tr w:rsidR="00F00C12" w:rsidRPr="00E07A63" w14:paraId="5D4C83DF" w14:textId="77777777" w:rsidTr="00204E6B">
        <w:tc>
          <w:tcPr>
            <w:cnfStyle w:val="001000000000" w:firstRow="0" w:lastRow="0" w:firstColumn="1" w:lastColumn="0" w:oddVBand="0" w:evenVBand="0" w:oddHBand="0" w:evenHBand="0" w:firstRowFirstColumn="0" w:firstRowLastColumn="0" w:lastRowFirstColumn="0" w:lastRowLastColumn="0"/>
            <w:tcW w:w="3750" w:type="dxa"/>
          </w:tcPr>
          <w:p w14:paraId="2DDA1205" w14:textId="77777777" w:rsidR="00F00C12" w:rsidRPr="00E07A63" w:rsidRDefault="00F00C12" w:rsidP="00204E6B">
            <w:pPr>
              <w:rPr>
                <w:rFonts w:ascii="Tahoma" w:hAnsi="Tahoma" w:cs="Tahoma"/>
                <w:b w:val="0"/>
                <w:bCs w:val="0"/>
                <w:sz w:val="18"/>
                <w:szCs w:val="18"/>
              </w:rPr>
            </w:pPr>
            <w:r w:rsidRPr="00E07A63">
              <w:rPr>
                <w:rFonts w:ascii="Tahoma" w:hAnsi="Tahoma" w:cs="Tahoma"/>
                <w:sz w:val="18"/>
                <w:szCs w:val="18"/>
              </w:rPr>
              <w:t>Question number(s)</w:t>
            </w:r>
            <w:r w:rsidRPr="00E07A63">
              <w:rPr>
                <w:rFonts w:ascii="Tahoma" w:hAnsi="Tahoma" w:cs="Tahoma"/>
                <w:b w:val="0"/>
                <w:bCs w:val="0"/>
                <w:sz w:val="18"/>
                <w:szCs w:val="18"/>
              </w:rPr>
              <w:t xml:space="preserve"> </w:t>
            </w:r>
            <w:r w:rsidRPr="00E07A63">
              <w:rPr>
                <w:rFonts w:ascii="Tahoma" w:hAnsi="Tahoma" w:cs="Tahoma"/>
                <w:b w:val="0"/>
                <w:sz w:val="18"/>
                <w:szCs w:val="18"/>
              </w:rPr>
              <w:t>[separate multiple entries with commas]</w:t>
            </w:r>
          </w:p>
        </w:tc>
        <w:tc>
          <w:tcPr>
            <w:tcW w:w="6139" w:type="dxa"/>
          </w:tcPr>
          <w:p w14:paraId="21F208E8" w14:textId="70A4529E" w:rsidR="00F00C12" w:rsidRPr="00E07A63" w:rsidRDefault="00F00C12" w:rsidP="00204E6B">
            <w:pPr>
              <w:cnfStyle w:val="000000000000" w:firstRow="0" w:lastRow="0" w:firstColumn="0" w:lastColumn="0" w:oddVBand="0" w:evenVBand="0" w:oddHBand="0" w:evenHBand="0" w:firstRowFirstColumn="0" w:firstRowLastColumn="0" w:lastRowFirstColumn="0" w:lastRowLastColumn="0"/>
              <w:rPr>
                <w:rFonts w:ascii="Tahoma" w:hAnsi="Tahoma" w:cs="Tahoma"/>
                <w:sz w:val="18"/>
                <w:szCs w:val="18"/>
              </w:rPr>
            </w:pPr>
            <w:r w:rsidRPr="00E07A63">
              <w:rPr>
                <w:rFonts w:ascii="Tahoma" w:hAnsi="Tahoma" w:cs="Tahoma"/>
                <w:sz w:val="18"/>
                <w:szCs w:val="18"/>
                <w:highlight w:val="yellow"/>
                <w:shd w:val="clear" w:color="auto" w:fill="FFFFFF"/>
              </w:rPr>
              <w:t>EFSA-Q-2020-00</w:t>
            </w:r>
            <w:r w:rsidR="00B2352F" w:rsidRPr="00E07A63">
              <w:rPr>
                <w:rFonts w:ascii="Tahoma" w:hAnsi="Tahoma" w:cs="Tahoma"/>
                <w:sz w:val="18"/>
                <w:szCs w:val="18"/>
                <w:highlight w:val="yellow"/>
                <w:shd w:val="clear" w:color="auto" w:fill="FFFFFF"/>
              </w:rPr>
              <w:t>137</w:t>
            </w:r>
          </w:p>
        </w:tc>
      </w:tr>
      <w:tr w:rsidR="00F00C12" w:rsidRPr="00E07A63" w14:paraId="0E0FAC20" w14:textId="77777777" w:rsidTr="00204E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50" w:type="dxa"/>
          </w:tcPr>
          <w:p w14:paraId="5B6BE8D0" w14:textId="77777777" w:rsidR="00F00C12" w:rsidRPr="00E07A63" w:rsidRDefault="00F00C12" w:rsidP="00204E6B">
            <w:pPr>
              <w:rPr>
                <w:rFonts w:ascii="Tahoma" w:hAnsi="Tahoma" w:cs="Tahoma"/>
                <w:sz w:val="18"/>
                <w:szCs w:val="18"/>
              </w:rPr>
            </w:pPr>
            <w:r w:rsidRPr="00E07A63">
              <w:rPr>
                <w:rFonts w:ascii="Tahoma" w:hAnsi="Tahoma" w:cs="Tahoma"/>
                <w:sz w:val="18"/>
                <w:szCs w:val="18"/>
              </w:rPr>
              <w:t>Correspondence</w:t>
            </w:r>
          </w:p>
        </w:tc>
        <w:tc>
          <w:tcPr>
            <w:tcW w:w="6139" w:type="dxa"/>
          </w:tcPr>
          <w:sdt>
            <w:sdtPr>
              <w:rPr>
                <w:rFonts w:ascii="Tahoma" w:hAnsi="Tahoma" w:cs="Tahoma"/>
                <w:strike/>
                <w:sz w:val="18"/>
                <w:szCs w:val="18"/>
              </w:rPr>
              <w:alias w:val="Correspondence"/>
              <w:tag w:val="Correspondence"/>
              <w:id w:val="-2125924463"/>
              <w:text/>
            </w:sdtPr>
            <w:sdtEndPr/>
            <w:sdtContent>
              <w:p w14:paraId="55CF557E" w14:textId="77777777" w:rsidR="00F00C12" w:rsidRPr="00E07A63" w:rsidRDefault="00F00C12" w:rsidP="00204E6B">
                <w:pPr>
                  <w:cnfStyle w:val="000000100000" w:firstRow="0" w:lastRow="0" w:firstColumn="0" w:lastColumn="0" w:oddVBand="0" w:evenVBand="0" w:oddHBand="1" w:evenHBand="0" w:firstRowFirstColumn="0" w:firstRowLastColumn="0" w:lastRowFirstColumn="0" w:lastRowLastColumn="0"/>
                  <w:rPr>
                    <w:rFonts w:ascii="Tahoma" w:hAnsi="Tahoma" w:cs="Tahoma"/>
                    <w:sz w:val="18"/>
                    <w:szCs w:val="18"/>
                  </w:rPr>
                </w:pPr>
                <w:r w:rsidRPr="00E07A63">
                  <w:rPr>
                    <w:rFonts w:ascii="Tahoma" w:hAnsi="Tahoma" w:cs="Tahoma"/>
                    <w:strike/>
                    <w:sz w:val="18"/>
                    <w:szCs w:val="18"/>
                  </w:rPr>
                  <w:t>SCER@efsa.europa.eu</w:t>
                </w:r>
              </w:p>
            </w:sdtContent>
          </w:sdt>
        </w:tc>
      </w:tr>
      <w:tr w:rsidR="00F00C12" w:rsidRPr="00E07A63" w14:paraId="6AF1CCA3" w14:textId="77777777" w:rsidTr="00204E6B">
        <w:trPr>
          <w:trHeight w:val="355"/>
        </w:trPr>
        <w:tc>
          <w:tcPr>
            <w:cnfStyle w:val="001000000000" w:firstRow="0" w:lastRow="0" w:firstColumn="1" w:lastColumn="0" w:oddVBand="0" w:evenVBand="0" w:oddHBand="0" w:evenHBand="0" w:firstRowFirstColumn="0" w:firstRowLastColumn="0" w:lastRowFirstColumn="0" w:lastRowLastColumn="0"/>
            <w:tcW w:w="3750" w:type="dxa"/>
          </w:tcPr>
          <w:p w14:paraId="0A4B09F1" w14:textId="77777777" w:rsidR="00F00C12" w:rsidRPr="00E07A63" w:rsidRDefault="00F00C12" w:rsidP="00204E6B">
            <w:pPr>
              <w:rPr>
                <w:rFonts w:ascii="Tahoma" w:hAnsi="Tahoma" w:cs="Tahoma"/>
                <w:sz w:val="18"/>
                <w:szCs w:val="18"/>
              </w:rPr>
            </w:pPr>
            <w:r w:rsidRPr="00E07A63">
              <w:rPr>
                <w:rFonts w:ascii="Tahoma" w:hAnsi="Tahoma" w:cs="Tahoma"/>
                <w:sz w:val="18"/>
                <w:szCs w:val="18"/>
              </w:rPr>
              <w:t xml:space="preserve">Short title </w:t>
            </w:r>
            <w:r w:rsidRPr="00E07A63">
              <w:rPr>
                <w:rFonts w:ascii="Tahoma" w:hAnsi="Tahoma" w:cs="Tahoma"/>
                <w:b w:val="0"/>
                <w:sz w:val="18"/>
                <w:szCs w:val="18"/>
              </w:rPr>
              <w:t>[header]</w:t>
            </w:r>
          </w:p>
        </w:tc>
        <w:tc>
          <w:tcPr>
            <w:tcW w:w="6139" w:type="dxa"/>
          </w:tcPr>
          <w:p w14:paraId="7BC90C82" w14:textId="5A923FAE" w:rsidR="00F00C12" w:rsidRPr="00E07A63" w:rsidRDefault="005328CA" w:rsidP="00204E6B">
            <w:pPr>
              <w:cnfStyle w:val="000000000000" w:firstRow="0" w:lastRow="0" w:firstColumn="0" w:lastColumn="0" w:oddVBand="0" w:evenVBand="0" w:oddHBand="0" w:evenHBand="0" w:firstRowFirstColumn="0" w:firstRowLastColumn="0" w:lastRowFirstColumn="0" w:lastRowLastColumn="0"/>
              <w:rPr>
                <w:rFonts w:ascii="Tahoma" w:hAnsi="Tahoma" w:cs="Tahoma"/>
                <w:sz w:val="18"/>
                <w:szCs w:val="18"/>
              </w:rPr>
            </w:pPr>
            <w:r w:rsidRPr="00E07A63">
              <w:rPr>
                <w:rFonts w:ascii="Tahoma" w:hAnsi="Tahoma" w:cs="Tahoma"/>
                <w:sz w:val="18"/>
                <w:szCs w:val="18"/>
              </w:rPr>
              <w:t>BMD approach in risk assessment</w:t>
            </w:r>
          </w:p>
        </w:tc>
      </w:tr>
      <w:tr w:rsidR="00F00C12" w:rsidRPr="00E07A63" w14:paraId="283A8D50" w14:textId="77777777" w:rsidTr="00204E6B">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3750" w:type="dxa"/>
          </w:tcPr>
          <w:p w14:paraId="59447B54" w14:textId="77777777" w:rsidR="00F00C12" w:rsidRPr="00E07A63" w:rsidRDefault="00F00C12" w:rsidP="00204E6B">
            <w:pPr>
              <w:rPr>
                <w:rFonts w:ascii="Tahoma" w:hAnsi="Tahoma" w:cs="Tahoma"/>
                <w:sz w:val="18"/>
                <w:szCs w:val="18"/>
              </w:rPr>
            </w:pPr>
            <w:r w:rsidRPr="00E07A63">
              <w:rPr>
                <w:rFonts w:ascii="Tahoma" w:hAnsi="Tahoma" w:cs="Tahoma"/>
                <w:sz w:val="18"/>
                <w:szCs w:val="18"/>
              </w:rPr>
              <w:t>Panel members</w:t>
            </w:r>
          </w:p>
        </w:tc>
        <w:tc>
          <w:tcPr>
            <w:tcW w:w="6139" w:type="dxa"/>
          </w:tcPr>
          <w:p w14:paraId="333C37EF" w14:textId="4D2BDCAC" w:rsidR="00F00C12" w:rsidRPr="00E07A63" w:rsidRDefault="00D9142C" w:rsidP="00204E6B">
            <w:pPr>
              <w:cnfStyle w:val="000000100000" w:firstRow="0" w:lastRow="0" w:firstColumn="0" w:lastColumn="0" w:oddVBand="0" w:evenVBand="0" w:oddHBand="1" w:evenHBand="0" w:firstRowFirstColumn="0" w:firstRowLastColumn="0" w:lastRowFirstColumn="0" w:lastRowLastColumn="0"/>
              <w:rPr>
                <w:rFonts w:ascii="Tahoma" w:hAnsi="Tahoma" w:cs="Tahoma"/>
                <w:sz w:val="18"/>
                <w:szCs w:val="18"/>
              </w:rPr>
            </w:pPr>
            <w:r w:rsidRPr="00E07A63">
              <w:rPr>
                <w:rFonts w:ascii="Tahoma" w:hAnsi="Tahoma" w:cs="Tahoma"/>
                <w:sz w:val="18"/>
                <w:szCs w:val="18"/>
              </w:rPr>
              <w:t xml:space="preserve">Simon John More, Vasileios </w:t>
            </w:r>
            <w:proofErr w:type="spellStart"/>
            <w:r w:rsidRPr="00E07A63">
              <w:rPr>
                <w:rFonts w:ascii="Tahoma" w:hAnsi="Tahoma" w:cs="Tahoma"/>
                <w:sz w:val="18"/>
                <w:szCs w:val="18"/>
              </w:rPr>
              <w:t>Bampidis</w:t>
            </w:r>
            <w:proofErr w:type="spellEnd"/>
            <w:r w:rsidRPr="00E07A63">
              <w:rPr>
                <w:rFonts w:ascii="Tahoma" w:hAnsi="Tahoma" w:cs="Tahoma"/>
                <w:sz w:val="18"/>
                <w:szCs w:val="18"/>
              </w:rPr>
              <w:t xml:space="preserve">, </w:t>
            </w:r>
            <w:r w:rsidR="00FB1B6F" w:rsidRPr="00E07A63">
              <w:rPr>
                <w:rFonts w:ascii="Tahoma" w:hAnsi="Tahoma" w:cs="Tahoma"/>
                <w:sz w:val="18"/>
                <w:szCs w:val="18"/>
              </w:rPr>
              <w:t xml:space="preserve">Diane </w:t>
            </w:r>
            <w:proofErr w:type="spellStart"/>
            <w:r w:rsidR="00FB1B6F" w:rsidRPr="00E07A63">
              <w:rPr>
                <w:rFonts w:ascii="Tahoma" w:hAnsi="Tahoma" w:cs="Tahoma"/>
                <w:sz w:val="18"/>
                <w:szCs w:val="18"/>
              </w:rPr>
              <w:t>Benford</w:t>
            </w:r>
            <w:proofErr w:type="spellEnd"/>
            <w:r w:rsidR="00FB1B6F" w:rsidRPr="00E07A63">
              <w:rPr>
                <w:rFonts w:ascii="Tahoma" w:hAnsi="Tahoma" w:cs="Tahoma"/>
                <w:sz w:val="18"/>
                <w:szCs w:val="18"/>
              </w:rPr>
              <w:t xml:space="preserve">, </w:t>
            </w:r>
            <w:r w:rsidRPr="00E07A63">
              <w:rPr>
                <w:rFonts w:ascii="Tahoma" w:hAnsi="Tahoma" w:cs="Tahoma"/>
                <w:sz w:val="18"/>
                <w:szCs w:val="18"/>
              </w:rPr>
              <w:t xml:space="preserve">Claude </w:t>
            </w:r>
            <w:proofErr w:type="spellStart"/>
            <w:r w:rsidRPr="00E07A63">
              <w:rPr>
                <w:rFonts w:ascii="Tahoma" w:hAnsi="Tahoma" w:cs="Tahoma"/>
                <w:sz w:val="18"/>
                <w:szCs w:val="18"/>
              </w:rPr>
              <w:t>Bragard</w:t>
            </w:r>
            <w:proofErr w:type="spellEnd"/>
            <w:r w:rsidRPr="00E07A63">
              <w:rPr>
                <w:rFonts w:ascii="Tahoma" w:hAnsi="Tahoma" w:cs="Tahoma"/>
                <w:sz w:val="18"/>
                <w:szCs w:val="18"/>
              </w:rPr>
              <w:t xml:space="preserve">, Thorhallur </w:t>
            </w:r>
            <w:proofErr w:type="spellStart"/>
            <w:r w:rsidRPr="00E07A63">
              <w:rPr>
                <w:rFonts w:ascii="Tahoma" w:hAnsi="Tahoma" w:cs="Tahoma"/>
                <w:sz w:val="18"/>
                <w:szCs w:val="18"/>
              </w:rPr>
              <w:t>Ingi</w:t>
            </w:r>
            <w:proofErr w:type="spellEnd"/>
            <w:r w:rsidRPr="00E07A63">
              <w:rPr>
                <w:rFonts w:ascii="Tahoma" w:hAnsi="Tahoma" w:cs="Tahoma"/>
                <w:sz w:val="18"/>
                <w:szCs w:val="18"/>
              </w:rPr>
              <w:t xml:space="preserve"> </w:t>
            </w:r>
            <w:proofErr w:type="spellStart"/>
            <w:r w:rsidRPr="00E07A63">
              <w:rPr>
                <w:rFonts w:ascii="Tahoma" w:hAnsi="Tahoma" w:cs="Tahoma"/>
                <w:sz w:val="18"/>
                <w:szCs w:val="18"/>
              </w:rPr>
              <w:t>Halldorsson</w:t>
            </w:r>
            <w:proofErr w:type="spellEnd"/>
            <w:r w:rsidRPr="00E07A63">
              <w:rPr>
                <w:rFonts w:ascii="Tahoma" w:hAnsi="Tahoma" w:cs="Tahoma"/>
                <w:sz w:val="18"/>
                <w:szCs w:val="18"/>
              </w:rPr>
              <w:t xml:space="preserve">, Antonio F. Hernández-Jerez, Susanne </w:t>
            </w:r>
            <w:proofErr w:type="spellStart"/>
            <w:r w:rsidRPr="00E07A63">
              <w:rPr>
                <w:rFonts w:ascii="Tahoma" w:hAnsi="Tahoma" w:cs="Tahoma"/>
                <w:sz w:val="18"/>
                <w:szCs w:val="18"/>
              </w:rPr>
              <w:t>Hougaard</w:t>
            </w:r>
            <w:proofErr w:type="spellEnd"/>
            <w:r w:rsidRPr="00E07A63">
              <w:rPr>
                <w:rFonts w:ascii="Tahoma" w:hAnsi="Tahoma" w:cs="Tahoma"/>
                <w:sz w:val="18"/>
                <w:szCs w:val="18"/>
              </w:rPr>
              <w:t xml:space="preserve"> </w:t>
            </w:r>
            <w:proofErr w:type="spellStart"/>
            <w:r w:rsidRPr="00E07A63">
              <w:rPr>
                <w:rFonts w:ascii="Tahoma" w:hAnsi="Tahoma" w:cs="Tahoma"/>
                <w:sz w:val="18"/>
                <w:szCs w:val="18"/>
              </w:rPr>
              <w:t>Bennekou</w:t>
            </w:r>
            <w:proofErr w:type="spellEnd"/>
            <w:r w:rsidRPr="00E07A63">
              <w:rPr>
                <w:rFonts w:ascii="Tahoma" w:hAnsi="Tahoma" w:cs="Tahoma"/>
                <w:sz w:val="18"/>
                <w:szCs w:val="18"/>
              </w:rPr>
              <w:t xml:space="preserve">, Kostas </w:t>
            </w:r>
            <w:proofErr w:type="spellStart"/>
            <w:r w:rsidRPr="00E07A63">
              <w:rPr>
                <w:rFonts w:ascii="Tahoma" w:hAnsi="Tahoma" w:cs="Tahoma"/>
                <w:sz w:val="18"/>
                <w:szCs w:val="18"/>
              </w:rPr>
              <w:t>Koutsoumanis</w:t>
            </w:r>
            <w:proofErr w:type="spellEnd"/>
            <w:r w:rsidRPr="00E07A63">
              <w:rPr>
                <w:rFonts w:ascii="Tahoma" w:hAnsi="Tahoma" w:cs="Tahoma"/>
                <w:sz w:val="18"/>
                <w:szCs w:val="18"/>
              </w:rPr>
              <w:t xml:space="preserve">, Claude </w:t>
            </w:r>
            <w:proofErr w:type="spellStart"/>
            <w:r w:rsidRPr="00E07A63">
              <w:rPr>
                <w:rFonts w:ascii="Tahoma" w:hAnsi="Tahoma" w:cs="Tahoma"/>
                <w:sz w:val="18"/>
                <w:szCs w:val="18"/>
              </w:rPr>
              <w:t>Lambré</w:t>
            </w:r>
            <w:proofErr w:type="spellEnd"/>
            <w:r w:rsidRPr="00E07A63">
              <w:rPr>
                <w:rFonts w:ascii="Tahoma" w:hAnsi="Tahoma" w:cs="Tahoma"/>
                <w:sz w:val="18"/>
                <w:szCs w:val="18"/>
              </w:rPr>
              <w:t xml:space="preserve">, </w:t>
            </w:r>
            <w:proofErr w:type="spellStart"/>
            <w:r w:rsidRPr="00E07A63">
              <w:rPr>
                <w:rFonts w:ascii="Tahoma" w:hAnsi="Tahoma" w:cs="Tahoma"/>
                <w:sz w:val="18"/>
                <w:szCs w:val="18"/>
              </w:rPr>
              <w:t>Kyriaki</w:t>
            </w:r>
            <w:proofErr w:type="spellEnd"/>
            <w:r w:rsidRPr="00E07A63">
              <w:rPr>
                <w:rFonts w:ascii="Tahoma" w:hAnsi="Tahoma" w:cs="Tahoma"/>
                <w:sz w:val="18"/>
                <w:szCs w:val="18"/>
              </w:rPr>
              <w:t xml:space="preserve"> </w:t>
            </w:r>
            <w:proofErr w:type="spellStart"/>
            <w:r w:rsidRPr="00E07A63">
              <w:rPr>
                <w:rFonts w:ascii="Tahoma" w:hAnsi="Tahoma" w:cs="Tahoma"/>
                <w:sz w:val="18"/>
                <w:szCs w:val="18"/>
              </w:rPr>
              <w:t>Machera</w:t>
            </w:r>
            <w:proofErr w:type="spellEnd"/>
            <w:r w:rsidRPr="00E07A63">
              <w:rPr>
                <w:rFonts w:ascii="Tahoma" w:hAnsi="Tahoma" w:cs="Tahoma"/>
                <w:sz w:val="18"/>
                <w:szCs w:val="18"/>
              </w:rPr>
              <w:t xml:space="preserve">, </w:t>
            </w:r>
            <w:r w:rsidR="005672D6" w:rsidRPr="00E07A63">
              <w:rPr>
                <w:rFonts w:ascii="Tahoma" w:hAnsi="Tahoma" w:cs="Tahoma"/>
                <w:sz w:val="18"/>
                <w:szCs w:val="18"/>
              </w:rPr>
              <w:t>Ewen Mullins</w:t>
            </w:r>
            <w:r w:rsidRPr="00E07A63">
              <w:rPr>
                <w:rFonts w:ascii="Tahoma" w:hAnsi="Tahoma" w:cs="Tahoma"/>
                <w:sz w:val="18"/>
                <w:szCs w:val="18"/>
              </w:rPr>
              <w:t xml:space="preserve">, </w:t>
            </w:r>
            <w:proofErr w:type="spellStart"/>
            <w:r w:rsidRPr="00E07A63">
              <w:rPr>
                <w:rFonts w:ascii="Tahoma" w:hAnsi="Tahoma" w:cs="Tahoma"/>
                <w:sz w:val="18"/>
                <w:szCs w:val="18"/>
              </w:rPr>
              <w:t>Søren</w:t>
            </w:r>
            <w:proofErr w:type="spellEnd"/>
            <w:r w:rsidRPr="00E07A63">
              <w:rPr>
                <w:rFonts w:ascii="Tahoma" w:hAnsi="Tahoma" w:cs="Tahoma"/>
                <w:sz w:val="18"/>
                <w:szCs w:val="18"/>
              </w:rPr>
              <w:t xml:space="preserve"> </w:t>
            </w:r>
            <w:proofErr w:type="spellStart"/>
            <w:r w:rsidRPr="00E07A63">
              <w:rPr>
                <w:rFonts w:ascii="Tahoma" w:hAnsi="Tahoma" w:cs="Tahoma"/>
                <w:sz w:val="18"/>
                <w:szCs w:val="18"/>
              </w:rPr>
              <w:t>Saxmose</w:t>
            </w:r>
            <w:proofErr w:type="spellEnd"/>
            <w:r w:rsidRPr="00E07A63">
              <w:rPr>
                <w:rFonts w:ascii="Tahoma" w:hAnsi="Tahoma" w:cs="Tahoma"/>
                <w:sz w:val="18"/>
                <w:szCs w:val="18"/>
              </w:rPr>
              <w:t xml:space="preserve"> Nielsen, </w:t>
            </w:r>
            <w:r w:rsidR="005672D6" w:rsidRPr="00E07A63">
              <w:rPr>
                <w:rFonts w:ascii="Tahoma" w:hAnsi="Tahoma" w:cs="Tahoma"/>
                <w:sz w:val="18"/>
                <w:szCs w:val="18"/>
              </w:rPr>
              <w:t xml:space="preserve">Josef Schlatter, </w:t>
            </w:r>
            <w:r w:rsidRPr="00E07A63">
              <w:rPr>
                <w:rFonts w:ascii="Tahoma" w:hAnsi="Tahoma" w:cs="Tahoma"/>
                <w:sz w:val="18"/>
                <w:szCs w:val="18"/>
              </w:rPr>
              <w:t xml:space="preserve">Dieter </w:t>
            </w:r>
            <w:proofErr w:type="spellStart"/>
            <w:r w:rsidRPr="00E07A63">
              <w:rPr>
                <w:rFonts w:ascii="Tahoma" w:hAnsi="Tahoma" w:cs="Tahoma"/>
                <w:sz w:val="18"/>
                <w:szCs w:val="18"/>
              </w:rPr>
              <w:t>Schrenk</w:t>
            </w:r>
            <w:proofErr w:type="spellEnd"/>
            <w:r w:rsidRPr="00E07A63">
              <w:rPr>
                <w:rFonts w:ascii="Tahoma" w:hAnsi="Tahoma" w:cs="Tahoma"/>
                <w:sz w:val="18"/>
                <w:szCs w:val="18"/>
              </w:rPr>
              <w:t xml:space="preserve">, Dominique </w:t>
            </w:r>
            <w:proofErr w:type="spellStart"/>
            <w:r w:rsidRPr="00E07A63">
              <w:rPr>
                <w:rFonts w:ascii="Tahoma" w:hAnsi="Tahoma" w:cs="Tahoma"/>
                <w:sz w:val="18"/>
                <w:szCs w:val="18"/>
              </w:rPr>
              <w:t>Turck</w:t>
            </w:r>
            <w:proofErr w:type="spellEnd"/>
            <w:r w:rsidRPr="00E07A63">
              <w:rPr>
                <w:rFonts w:ascii="Tahoma" w:hAnsi="Tahoma" w:cs="Tahoma"/>
                <w:sz w:val="18"/>
                <w:szCs w:val="18"/>
              </w:rPr>
              <w:t xml:space="preserve">, </w:t>
            </w:r>
            <w:proofErr w:type="spellStart"/>
            <w:r w:rsidRPr="00E07A63">
              <w:rPr>
                <w:rFonts w:ascii="Tahoma" w:hAnsi="Tahoma" w:cs="Tahoma"/>
                <w:sz w:val="18"/>
                <w:szCs w:val="18"/>
              </w:rPr>
              <w:t>Maged</w:t>
            </w:r>
            <w:proofErr w:type="spellEnd"/>
            <w:r w:rsidRPr="00E07A63">
              <w:rPr>
                <w:rFonts w:ascii="Tahoma" w:hAnsi="Tahoma" w:cs="Tahoma"/>
                <w:sz w:val="18"/>
                <w:szCs w:val="18"/>
              </w:rPr>
              <w:t xml:space="preserve"> Younes</w:t>
            </w:r>
          </w:p>
        </w:tc>
      </w:tr>
      <w:tr w:rsidR="00F00C12" w:rsidRPr="00E07A63" w14:paraId="43FB7605" w14:textId="77777777" w:rsidTr="00204E6B">
        <w:trPr>
          <w:trHeight w:val="340"/>
        </w:trPr>
        <w:tc>
          <w:tcPr>
            <w:cnfStyle w:val="001000000000" w:firstRow="0" w:lastRow="0" w:firstColumn="1" w:lastColumn="0" w:oddVBand="0" w:evenVBand="0" w:oddHBand="0" w:evenHBand="0" w:firstRowFirstColumn="0" w:firstRowLastColumn="0" w:lastRowFirstColumn="0" w:lastRowLastColumn="0"/>
            <w:tcW w:w="3750" w:type="dxa"/>
          </w:tcPr>
          <w:p w14:paraId="694C0675" w14:textId="77777777" w:rsidR="00F00C12" w:rsidRPr="00E07A63" w:rsidRDefault="00F00C12" w:rsidP="00204E6B">
            <w:pPr>
              <w:rPr>
                <w:rFonts w:ascii="Tahoma" w:hAnsi="Tahoma" w:cs="Tahoma"/>
                <w:sz w:val="18"/>
                <w:szCs w:val="18"/>
              </w:rPr>
            </w:pPr>
            <w:r w:rsidRPr="00E07A63">
              <w:rPr>
                <w:rFonts w:ascii="Tahoma" w:hAnsi="Tahoma" w:cs="Tahoma"/>
                <w:sz w:val="18"/>
                <w:szCs w:val="18"/>
              </w:rPr>
              <w:t>Copyright for non-EFSA content</w:t>
            </w:r>
          </w:p>
        </w:tc>
        <w:tc>
          <w:tcPr>
            <w:tcW w:w="6139" w:type="dxa"/>
          </w:tcPr>
          <w:p w14:paraId="24A0B2E3" w14:textId="77777777" w:rsidR="00F00C12" w:rsidRPr="00E07A63" w:rsidRDefault="00F00C12" w:rsidP="00204E6B">
            <w:pPr>
              <w:cnfStyle w:val="000000000000" w:firstRow="0" w:lastRow="0" w:firstColumn="0" w:lastColumn="0" w:oddVBand="0" w:evenVBand="0" w:oddHBand="0" w:evenHBand="0" w:firstRowFirstColumn="0" w:firstRowLastColumn="0" w:lastRowFirstColumn="0" w:lastRowLastColumn="0"/>
              <w:rPr>
                <w:rFonts w:ascii="Tahoma" w:hAnsi="Tahoma" w:cs="Tahoma"/>
                <w:sz w:val="18"/>
                <w:szCs w:val="18"/>
              </w:rPr>
            </w:pPr>
            <w:r w:rsidRPr="00E07A63">
              <w:rPr>
                <w:rFonts w:ascii="Tahoma" w:hAnsi="Tahoma" w:cs="Tahoma"/>
                <w:sz w:val="18"/>
                <w:szCs w:val="18"/>
              </w:rPr>
              <w:t>[Example: Reproduction of the images listed below is prohibited and permission must be sought directly from the copyright holder: Figure 1: © ECDC]</w:t>
            </w:r>
          </w:p>
        </w:tc>
      </w:tr>
      <w:tr w:rsidR="00F00C12" w:rsidRPr="00E07A63" w14:paraId="03F8B259" w14:textId="77777777" w:rsidTr="00204E6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750" w:type="dxa"/>
          </w:tcPr>
          <w:p w14:paraId="20EB8991" w14:textId="77777777" w:rsidR="00F00C12" w:rsidRPr="00E07A63" w:rsidRDefault="00F00C12" w:rsidP="00204E6B">
            <w:pPr>
              <w:rPr>
                <w:rFonts w:ascii="Tahoma" w:hAnsi="Tahoma" w:cs="Tahoma"/>
                <w:sz w:val="18"/>
                <w:szCs w:val="18"/>
              </w:rPr>
            </w:pPr>
            <w:r w:rsidRPr="00E07A63">
              <w:rPr>
                <w:rFonts w:ascii="Tahoma" w:hAnsi="Tahoma" w:cs="Tahoma"/>
                <w:sz w:val="18"/>
                <w:szCs w:val="18"/>
              </w:rPr>
              <w:t xml:space="preserve">Acknowledgments </w:t>
            </w:r>
          </w:p>
        </w:tc>
        <w:tc>
          <w:tcPr>
            <w:tcW w:w="6139" w:type="dxa"/>
          </w:tcPr>
          <w:p w14:paraId="07093ACC" w14:textId="605611BC" w:rsidR="00F00C12" w:rsidRPr="00E07A63" w:rsidRDefault="00F00C12" w:rsidP="00204E6B">
            <w:pPr>
              <w:cnfStyle w:val="000000100000" w:firstRow="0" w:lastRow="0" w:firstColumn="0" w:lastColumn="0" w:oddVBand="0" w:evenVBand="0" w:oddHBand="1" w:evenHBand="0" w:firstRowFirstColumn="0" w:firstRowLastColumn="0" w:lastRowFirstColumn="0" w:lastRowLastColumn="0"/>
              <w:rPr>
                <w:rFonts w:ascii="Tahoma" w:hAnsi="Tahoma" w:cs="Tahoma"/>
                <w:sz w:val="18"/>
                <w:szCs w:val="18"/>
              </w:rPr>
            </w:pPr>
            <w:r w:rsidRPr="00E07A63">
              <w:rPr>
                <w:rFonts w:ascii="Tahoma" w:hAnsi="Tahoma" w:cs="Tahoma"/>
                <w:sz w:val="18"/>
                <w:szCs w:val="18"/>
              </w:rPr>
              <w:t xml:space="preserve">The Scientific Committee wishes to thank the following for the support provided to this scientific output: [staff members or others who </w:t>
            </w:r>
            <w:proofErr w:type="gramStart"/>
            <w:r w:rsidRPr="00E07A63">
              <w:rPr>
                <w:rFonts w:ascii="Tahoma" w:hAnsi="Tahoma" w:cs="Tahoma"/>
                <w:sz w:val="18"/>
                <w:szCs w:val="18"/>
              </w:rPr>
              <w:t>made a contribution</w:t>
            </w:r>
            <w:proofErr w:type="gramEnd"/>
            <w:r w:rsidRPr="00E07A63">
              <w:rPr>
                <w:rFonts w:ascii="Tahoma" w:hAnsi="Tahoma" w:cs="Tahoma"/>
                <w:sz w:val="18"/>
                <w:szCs w:val="18"/>
              </w:rPr>
              <w:t xml:space="preserve"> but are not eligible as authors]. The Panel [Panel/Scientific Committee/EFSA] wishes to acknowledge all European competent institutions, Member State bodies and other </w:t>
            </w:r>
            <w:proofErr w:type="spellStart"/>
            <w:r w:rsidRPr="00E07A63">
              <w:rPr>
                <w:rFonts w:ascii="Tahoma" w:hAnsi="Tahoma" w:cs="Tahoma"/>
                <w:sz w:val="18"/>
                <w:szCs w:val="18"/>
              </w:rPr>
              <w:t>organisations</w:t>
            </w:r>
            <w:proofErr w:type="spellEnd"/>
            <w:r w:rsidRPr="00E07A63">
              <w:rPr>
                <w:rFonts w:ascii="Tahoma" w:hAnsi="Tahoma" w:cs="Tahoma"/>
                <w:sz w:val="18"/>
                <w:szCs w:val="18"/>
              </w:rPr>
              <w:t xml:space="preserve"> that provided data for this scientific output.]</w:t>
            </w:r>
          </w:p>
          <w:p w14:paraId="082163A7" w14:textId="3CF06C58" w:rsidR="00F00C12" w:rsidRPr="00E07A63" w:rsidRDefault="00F00C12" w:rsidP="00204E6B">
            <w:pPr>
              <w:cnfStyle w:val="000000100000" w:firstRow="0" w:lastRow="0" w:firstColumn="0" w:lastColumn="0" w:oddVBand="0" w:evenVBand="0" w:oddHBand="1" w:evenHBand="0" w:firstRowFirstColumn="0" w:firstRowLastColumn="0" w:lastRowFirstColumn="0" w:lastRowLastColumn="0"/>
              <w:rPr>
                <w:rFonts w:ascii="Tahoma" w:hAnsi="Tahoma" w:cs="Tahoma"/>
                <w:sz w:val="18"/>
                <w:szCs w:val="18"/>
              </w:rPr>
            </w:pPr>
          </w:p>
        </w:tc>
      </w:tr>
      <w:tr w:rsidR="00F00C12" w:rsidRPr="00E07A63" w14:paraId="26B19CA5" w14:textId="77777777" w:rsidTr="00204E6B">
        <w:trPr>
          <w:trHeight w:val="340"/>
        </w:trPr>
        <w:tc>
          <w:tcPr>
            <w:cnfStyle w:val="001000000000" w:firstRow="0" w:lastRow="0" w:firstColumn="1" w:lastColumn="0" w:oddVBand="0" w:evenVBand="0" w:oddHBand="0" w:evenHBand="0" w:firstRowFirstColumn="0" w:firstRowLastColumn="0" w:lastRowFirstColumn="0" w:lastRowLastColumn="0"/>
            <w:tcW w:w="3750" w:type="dxa"/>
          </w:tcPr>
          <w:p w14:paraId="76DEA80A" w14:textId="77777777" w:rsidR="00F00C12" w:rsidRPr="00E07A63" w:rsidRDefault="00F00C12" w:rsidP="00204E6B">
            <w:pPr>
              <w:rPr>
                <w:rFonts w:ascii="Tahoma" w:hAnsi="Tahoma" w:cs="Tahoma"/>
                <w:sz w:val="18"/>
                <w:szCs w:val="18"/>
              </w:rPr>
            </w:pPr>
            <w:r w:rsidRPr="00E07A63">
              <w:rPr>
                <w:rFonts w:ascii="Tahoma" w:hAnsi="Tahoma" w:cs="Tahoma"/>
                <w:sz w:val="18"/>
                <w:szCs w:val="18"/>
              </w:rPr>
              <w:t xml:space="preserve">Minority opinion </w:t>
            </w:r>
          </w:p>
        </w:tc>
        <w:tc>
          <w:tcPr>
            <w:tcW w:w="6139" w:type="dxa"/>
          </w:tcPr>
          <w:p w14:paraId="56E1922D" w14:textId="77777777" w:rsidR="00F00C12" w:rsidRPr="00E07A63" w:rsidRDefault="00F00C12" w:rsidP="00204E6B">
            <w:pPr>
              <w:cnfStyle w:val="000000000000" w:firstRow="0" w:lastRow="0" w:firstColumn="0" w:lastColumn="0" w:oddVBand="0" w:evenVBand="0" w:oddHBand="0" w:evenHBand="0" w:firstRowFirstColumn="0" w:firstRowLastColumn="0" w:lastRowFirstColumn="0" w:lastRowLastColumn="0"/>
              <w:rPr>
                <w:rFonts w:ascii="Tahoma" w:hAnsi="Tahoma" w:cs="Tahoma"/>
                <w:sz w:val="18"/>
                <w:szCs w:val="18"/>
              </w:rPr>
            </w:pPr>
            <w:r w:rsidRPr="00E07A63">
              <w:rPr>
                <w:rFonts w:ascii="Tahoma" w:hAnsi="Tahoma" w:cs="Tahoma"/>
                <w:sz w:val="18"/>
                <w:szCs w:val="18"/>
              </w:rPr>
              <w:t>[[Part of this/This] scientific output is not shared by the following member(s) of the Panel: [add names]]</w:t>
            </w:r>
          </w:p>
        </w:tc>
      </w:tr>
      <w:tr w:rsidR="00F00C12" w:rsidRPr="00E07A63" w14:paraId="57DBB788" w14:textId="77777777" w:rsidTr="00204E6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750" w:type="dxa"/>
          </w:tcPr>
          <w:p w14:paraId="06D326AF" w14:textId="77777777" w:rsidR="00F00C12" w:rsidRPr="00E07A63" w:rsidRDefault="00F00C12" w:rsidP="00204E6B">
            <w:pPr>
              <w:rPr>
                <w:rFonts w:ascii="Tahoma" w:hAnsi="Tahoma" w:cs="Tahoma"/>
                <w:sz w:val="18"/>
                <w:szCs w:val="18"/>
              </w:rPr>
            </w:pPr>
            <w:r w:rsidRPr="00E07A63">
              <w:rPr>
                <w:rFonts w:ascii="Tahoma" w:hAnsi="Tahoma" w:cs="Tahoma"/>
                <w:sz w:val="18"/>
                <w:szCs w:val="18"/>
              </w:rPr>
              <w:t xml:space="preserve">Competing interests </w:t>
            </w:r>
          </w:p>
        </w:tc>
        <w:tc>
          <w:tcPr>
            <w:tcW w:w="6139" w:type="dxa"/>
          </w:tcPr>
          <w:p w14:paraId="6D7FB8A6" w14:textId="77777777" w:rsidR="00F00C12" w:rsidRPr="00E07A63" w:rsidRDefault="00F00C12" w:rsidP="00204E6B">
            <w:pPr>
              <w:cnfStyle w:val="000000100000" w:firstRow="0" w:lastRow="0" w:firstColumn="0" w:lastColumn="0" w:oddVBand="0" w:evenVBand="0" w:oddHBand="1" w:evenHBand="0" w:firstRowFirstColumn="0" w:firstRowLastColumn="0" w:lastRowFirstColumn="0" w:lastRowLastColumn="0"/>
              <w:rPr>
                <w:rFonts w:ascii="Tahoma" w:hAnsi="Tahoma" w:cs="Tahoma"/>
                <w:sz w:val="18"/>
                <w:szCs w:val="18"/>
              </w:rPr>
            </w:pPr>
            <w:r w:rsidRPr="00E07A63">
              <w:rPr>
                <w:rFonts w:ascii="Tahoma" w:hAnsi="Tahoma" w:cs="Tahoma"/>
                <w:sz w:val="18"/>
                <w:szCs w:val="18"/>
              </w:rPr>
              <w:t>[In line with EFSA’s policy on declarations of interest, Panel member(s) [add names] did not participate in the development and adoption of this scientific output.]</w:t>
            </w:r>
          </w:p>
        </w:tc>
      </w:tr>
      <w:tr w:rsidR="00F00C12" w:rsidRPr="00E07A63" w14:paraId="1270274A" w14:textId="77777777" w:rsidTr="00204E6B">
        <w:trPr>
          <w:trHeight w:val="340"/>
        </w:trPr>
        <w:tc>
          <w:tcPr>
            <w:cnfStyle w:val="001000000000" w:firstRow="0" w:lastRow="0" w:firstColumn="1" w:lastColumn="0" w:oddVBand="0" w:evenVBand="0" w:oddHBand="0" w:evenHBand="0" w:firstRowFirstColumn="0" w:firstRowLastColumn="0" w:lastRowFirstColumn="0" w:lastRowLastColumn="0"/>
            <w:tcW w:w="3750" w:type="dxa"/>
          </w:tcPr>
          <w:p w14:paraId="231CC6BB" w14:textId="77777777" w:rsidR="00F00C12" w:rsidRPr="00E07A63" w:rsidRDefault="00F00C12" w:rsidP="00204E6B">
            <w:pPr>
              <w:rPr>
                <w:rFonts w:ascii="Tahoma" w:hAnsi="Tahoma" w:cs="Tahoma"/>
                <w:sz w:val="18"/>
                <w:szCs w:val="18"/>
              </w:rPr>
            </w:pPr>
            <w:r w:rsidRPr="00E07A63">
              <w:rPr>
                <w:rFonts w:ascii="Tahoma" w:hAnsi="Tahoma" w:cs="Tahoma"/>
                <w:sz w:val="18"/>
                <w:szCs w:val="18"/>
              </w:rPr>
              <w:t>Waiver</w:t>
            </w:r>
          </w:p>
        </w:tc>
        <w:tc>
          <w:tcPr>
            <w:tcW w:w="6139" w:type="dxa"/>
          </w:tcPr>
          <w:p w14:paraId="2200C41C" w14:textId="77777777" w:rsidR="00F00C12" w:rsidRPr="00E07A63" w:rsidRDefault="00F00C12" w:rsidP="00204E6B">
            <w:pPr>
              <w:cnfStyle w:val="000000000000" w:firstRow="0" w:lastRow="0" w:firstColumn="0" w:lastColumn="0" w:oddVBand="0" w:evenVBand="0" w:oddHBand="0" w:evenHBand="0" w:firstRowFirstColumn="0" w:firstRowLastColumn="0" w:lastRowFirstColumn="0" w:lastRowLastColumn="0"/>
              <w:rPr>
                <w:rFonts w:ascii="Tahoma" w:hAnsi="Tahoma" w:cs="Tahoma"/>
                <w:sz w:val="18"/>
                <w:szCs w:val="18"/>
              </w:rPr>
            </w:pPr>
            <w:r w:rsidRPr="00E07A63">
              <w:rPr>
                <w:rFonts w:ascii="Tahoma" w:hAnsi="Tahoma" w:cs="Tahoma"/>
                <w:sz w:val="18"/>
                <w:szCs w:val="18"/>
                <w:shd w:val="clear" w:color="auto" w:fill="FFFFFF"/>
              </w:rPr>
              <w:t xml:space="preserve"> [In accordance with Article 21 of the Decision of the Executive Director on Competing Interest Management a waiver was granted to an expert of the Working Group. Pursuant to Article 21(6) of the </w:t>
            </w:r>
            <w:proofErr w:type="gramStart"/>
            <w:r w:rsidRPr="00E07A63">
              <w:rPr>
                <w:rFonts w:ascii="Tahoma" w:hAnsi="Tahoma" w:cs="Tahoma"/>
                <w:sz w:val="18"/>
                <w:szCs w:val="18"/>
                <w:shd w:val="clear" w:color="auto" w:fill="FFFFFF"/>
              </w:rPr>
              <w:t>aforementioned Decision</w:t>
            </w:r>
            <w:proofErr w:type="gramEnd"/>
            <w:r w:rsidRPr="00E07A63">
              <w:rPr>
                <w:rFonts w:ascii="Tahoma" w:hAnsi="Tahoma" w:cs="Tahoma"/>
                <w:sz w:val="18"/>
                <w:szCs w:val="18"/>
                <w:shd w:val="clear" w:color="auto" w:fill="FFFFFF"/>
              </w:rPr>
              <w:t>, the concerned expert was allowed to take part in xxx and in the xxx of the scientific output but was not allowed to take up the role of xxx within that time frame. Any competing interests are recorded in the respective minutes of the meetings of the xxx Panel]</w:t>
            </w:r>
          </w:p>
        </w:tc>
      </w:tr>
      <w:tr w:rsidR="00F00C12" w:rsidRPr="00E07A63" w14:paraId="0A7A70D3" w14:textId="77777777" w:rsidTr="00204E6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750" w:type="dxa"/>
          </w:tcPr>
          <w:p w14:paraId="739FEF70" w14:textId="77777777" w:rsidR="00F00C12" w:rsidRPr="00E07A63" w:rsidRDefault="00F00C12" w:rsidP="00204E6B">
            <w:pPr>
              <w:rPr>
                <w:rFonts w:ascii="Tahoma" w:hAnsi="Tahoma" w:cs="Tahoma"/>
                <w:sz w:val="18"/>
                <w:szCs w:val="18"/>
              </w:rPr>
            </w:pPr>
            <w:r w:rsidRPr="00E07A63">
              <w:rPr>
                <w:rFonts w:ascii="Tahoma" w:hAnsi="Tahoma" w:cs="Tahoma"/>
                <w:sz w:val="18"/>
                <w:szCs w:val="18"/>
              </w:rPr>
              <w:t>Note</w:t>
            </w:r>
          </w:p>
        </w:tc>
        <w:tc>
          <w:tcPr>
            <w:tcW w:w="6139" w:type="dxa"/>
          </w:tcPr>
          <w:p w14:paraId="59B1864F" w14:textId="77777777" w:rsidR="00F00C12" w:rsidRPr="00E07A63" w:rsidRDefault="00F00C12" w:rsidP="00204E6B">
            <w:pPr>
              <w:cnfStyle w:val="000000100000" w:firstRow="0" w:lastRow="0" w:firstColumn="0" w:lastColumn="0" w:oddVBand="0" w:evenVBand="0" w:oddHBand="1" w:evenHBand="0" w:firstRowFirstColumn="0" w:firstRowLastColumn="0" w:lastRowFirstColumn="0" w:lastRowLastColumn="0"/>
              <w:rPr>
                <w:rFonts w:ascii="Tahoma" w:hAnsi="Tahoma" w:cs="Tahoma"/>
                <w:sz w:val="18"/>
                <w:szCs w:val="18"/>
              </w:rPr>
            </w:pPr>
          </w:p>
        </w:tc>
      </w:tr>
      <w:tr w:rsidR="00F00C12" w:rsidRPr="00E07A63" w14:paraId="2CE755C6" w14:textId="77777777" w:rsidTr="00204E6B">
        <w:trPr>
          <w:trHeight w:val="340"/>
        </w:trPr>
        <w:tc>
          <w:tcPr>
            <w:cnfStyle w:val="001000000000" w:firstRow="0" w:lastRow="0" w:firstColumn="1" w:lastColumn="0" w:oddVBand="0" w:evenVBand="0" w:oddHBand="0" w:evenHBand="0" w:firstRowFirstColumn="0" w:firstRowLastColumn="0" w:lastRowFirstColumn="0" w:lastRowLastColumn="0"/>
            <w:tcW w:w="3750" w:type="dxa"/>
            <w:tcBorders>
              <w:bottom w:val="single" w:sz="4" w:space="0" w:color="C2D69B" w:themeColor="accent3" w:themeTint="99"/>
            </w:tcBorders>
          </w:tcPr>
          <w:p w14:paraId="16470641" w14:textId="77777777" w:rsidR="00F00C12" w:rsidRPr="00E07A63" w:rsidRDefault="00F00C12" w:rsidP="00204E6B">
            <w:pPr>
              <w:rPr>
                <w:rFonts w:ascii="Tahoma" w:hAnsi="Tahoma" w:cs="Tahoma"/>
                <w:sz w:val="18"/>
                <w:szCs w:val="18"/>
              </w:rPr>
            </w:pPr>
            <w:r w:rsidRPr="00E07A63">
              <w:rPr>
                <w:rFonts w:ascii="Tahoma" w:hAnsi="Tahoma" w:cs="Tahoma"/>
                <w:sz w:val="18"/>
                <w:szCs w:val="18"/>
              </w:rPr>
              <w:t>Legal notice</w:t>
            </w:r>
          </w:p>
        </w:tc>
        <w:tc>
          <w:tcPr>
            <w:tcW w:w="6139" w:type="dxa"/>
            <w:tcBorders>
              <w:bottom w:val="single" w:sz="4" w:space="0" w:color="C2D69B" w:themeColor="accent3" w:themeTint="99"/>
            </w:tcBorders>
          </w:tcPr>
          <w:p w14:paraId="3DC7968C" w14:textId="77777777" w:rsidR="00F00C12" w:rsidRPr="00E07A63" w:rsidRDefault="00F00C12" w:rsidP="00204E6B">
            <w:pPr>
              <w:tabs>
                <w:tab w:val="left" w:pos="1200"/>
              </w:tabs>
              <w:cnfStyle w:val="000000000000" w:firstRow="0" w:lastRow="0" w:firstColumn="0" w:lastColumn="0" w:oddVBand="0" w:evenVBand="0" w:oddHBand="0" w:evenHBand="0" w:firstRowFirstColumn="0" w:firstRowLastColumn="0" w:lastRowFirstColumn="0" w:lastRowLastColumn="0"/>
              <w:rPr>
                <w:rFonts w:ascii="Tahoma" w:hAnsi="Tahoma" w:cs="Tahoma"/>
                <w:sz w:val="18"/>
                <w:szCs w:val="18"/>
              </w:rPr>
            </w:pPr>
            <w:r w:rsidRPr="00E07A63">
              <w:rPr>
                <w:rFonts w:ascii="Tahoma" w:hAnsi="Tahoma" w:cs="Tahoma"/>
                <w:sz w:val="18"/>
                <w:szCs w:val="18"/>
              </w:rPr>
              <w:tab/>
            </w:r>
          </w:p>
        </w:tc>
      </w:tr>
      <w:tr w:rsidR="00F00C12" w:rsidRPr="00E07A63" w14:paraId="040F896A" w14:textId="77777777" w:rsidTr="00204E6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750" w:type="dxa"/>
            <w:tcBorders>
              <w:bottom w:val="single" w:sz="4" w:space="0" w:color="auto"/>
            </w:tcBorders>
          </w:tcPr>
          <w:p w14:paraId="41D24966" w14:textId="77777777" w:rsidR="00F00C12" w:rsidRPr="00E07A63" w:rsidRDefault="00F00C12" w:rsidP="00204E6B">
            <w:pPr>
              <w:rPr>
                <w:rFonts w:ascii="Tahoma" w:hAnsi="Tahoma" w:cs="Tahoma"/>
                <w:sz w:val="18"/>
                <w:szCs w:val="18"/>
              </w:rPr>
            </w:pPr>
            <w:r w:rsidRPr="00E07A63">
              <w:rPr>
                <w:rFonts w:ascii="Tahoma" w:hAnsi="Tahoma" w:cs="Tahoma"/>
                <w:sz w:val="18"/>
                <w:szCs w:val="18"/>
              </w:rPr>
              <w:t>Disclaimer</w:t>
            </w:r>
          </w:p>
        </w:tc>
        <w:tc>
          <w:tcPr>
            <w:tcW w:w="6139" w:type="dxa"/>
            <w:tcBorders>
              <w:bottom w:val="single" w:sz="4" w:space="0" w:color="auto"/>
            </w:tcBorders>
          </w:tcPr>
          <w:p w14:paraId="3B5697EF" w14:textId="77777777" w:rsidR="00F00C12" w:rsidRPr="00E07A63" w:rsidRDefault="00F00C12" w:rsidP="00204E6B">
            <w:pPr>
              <w:tabs>
                <w:tab w:val="left" w:pos="1200"/>
              </w:tabs>
              <w:cnfStyle w:val="000000100000" w:firstRow="0" w:lastRow="0" w:firstColumn="0" w:lastColumn="0" w:oddVBand="0" w:evenVBand="0" w:oddHBand="1" w:evenHBand="0" w:firstRowFirstColumn="0" w:firstRowLastColumn="0" w:lastRowFirstColumn="0" w:lastRowLastColumn="0"/>
              <w:rPr>
                <w:rFonts w:ascii="Tahoma" w:hAnsi="Tahoma" w:cs="Tahoma"/>
                <w:sz w:val="18"/>
                <w:szCs w:val="18"/>
              </w:rPr>
            </w:pPr>
          </w:p>
        </w:tc>
      </w:tr>
    </w:tbl>
    <w:p w14:paraId="309542AF" w14:textId="0D48DDA4" w:rsidR="00F00C12" w:rsidRDefault="00F00C12">
      <w:pPr>
        <w:rPr>
          <w:rFonts w:ascii="Tahoma" w:hAnsi="Tahoma"/>
          <w:b/>
          <w:sz w:val="24"/>
          <w:szCs w:val="24"/>
        </w:rPr>
      </w:pPr>
    </w:p>
    <w:p w14:paraId="604F91F8" w14:textId="3A16099F" w:rsidR="00E07A63" w:rsidRDefault="00E07A63">
      <w:pPr>
        <w:rPr>
          <w:rFonts w:ascii="Tahoma" w:hAnsi="Tahoma"/>
          <w:b/>
          <w:sz w:val="24"/>
          <w:szCs w:val="24"/>
        </w:rPr>
      </w:pPr>
    </w:p>
    <w:p w14:paraId="7A7BDC58" w14:textId="4B0C49E6" w:rsidR="00E07A63" w:rsidRDefault="00E07A63">
      <w:pPr>
        <w:rPr>
          <w:rFonts w:ascii="Tahoma" w:hAnsi="Tahoma"/>
          <w:b/>
          <w:sz w:val="24"/>
          <w:szCs w:val="24"/>
        </w:rPr>
      </w:pPr>
    </w:p>
    <w:p w14:paraId="317BCCCE" w14:textId="7DE67D13" w:rsidR="00E07A63" w:rsidRDefault="00E07A63">
      <w:pPr>
        <w:rPr>
          <w:rFonts w:ascii="Tahoma" w:hAnsi="Tahoma"/>
          <w:b/>
          <w:sz w:val="24"/>
          <w:szCs w:val="24"/>
        </w:rPr>
      </w:pPr>
    </w:p>
    <w:p w14:paraId="0E593140" w14:textId="1F52F08C" w:rsidR="00E07A63" w:rsidRDefault="00E07A63">
      <w:pPr>
        <w:rPr>
          <w:rFonts w:ascii="Tahoma" w:hAnsi="Tahoma"/>
          <w:b/>
          <w:sz w:val="24"/>
          <w:szCs w:val="24"/>
        </w:rPr>
      </w:pPr>
    </w:p>
    <w:p w14:paraId="4BE2E215" w14:textId="5DBD60CA" w:rsidR="00E07A63" w:rsidRDefault="00E07A63">
      <w:pPr>
        <w:rPr>
          <w:rFonts w:ascii="Tahoma" w:hAnsi="Tahoma"/>
          <w:b/>
          <w:sz w:val="24"/>
          <w:szCs w:val="24"/>
        </w:rPr>
      </w:pPr>
    </w:p>
    <w:p w14:paraId="4536FD20" w14:textId="6BA61FF5" w:rsidR="00E07A63" w:rsidRDefault="00E07A63">
      <w:pPr>
        <w:rPr>
          <w:rFonts w:ascii="Tahoma" w:hAnsi="Tahoma"/>
          <w:b/>
          <w:sz w:val="24"/>
          <w:szCs w:val="24"/>
        </w:rPr>
      </w:pPr>
    </w:p>
    <w:p w14:paraId="5F24ED64" w14:textId="09F41EA2" w:rsidR="00E07A63" w:rsidRDefault="00E07A63">
      <w:pPr>
        <w:rPr>
          <w:rFonts w:ascii="Tahoma" w:hAnsi="Tahoma"/>
          <w:b/>
          <w:sz w:val="24"/>
          <w:szCs w:val="24"/>
        </w:rPr>
      </w:pPr>
    </w:p>
    <w:tbl>
      <w:tblPr>
        <w:tblpPr w:leftFromText="180" w:rightFromText="180" w:vertAnchor="page" w:horzAnchor="margin" w:tblpY="7110"/>
        <w:tblW w:w="909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10"/>
        <w:gridCol w:w="413"/>
        <w:gridCol w:w="2793"/>
        <w:gridCol w:w="615"/>
        <w:gridCol w:w="2764"/>
      </w:tblGrid>
      <w:tr w:rsidR="00E07A63" w:rsidRPr="00AD10B4" w14:paraId="37921E29" w14:textId="77777777" w:rsidTr="00E07A63">
        <w:trPr>
          <w:trHeight w:val="195"/>
        </w:trPr>
        <w:tc>
          <w:tcPr>
            <w:tcW w:w="2510" w:type="dxa"/>
            <w:tcBorders>
              <w:top w:val="single" w:sz="6" w:space="0" w:color="auto"/>
              <w:left w:val="single" w:sz="6" w:space="0" w:color="auto"/>
              <w:bottom w:val="single" w:sz="6" w:space="0" w:color="auto"/>
              <w:right w:val="single" w:sz="6" w:space="0" w:color="auto"/>
            </w:tcBorders>
            <w:shd w:val="clear" w:color="auto" w:fill="auto"/>
            <w:hideMark/>
          </w:tcPr>
          <w:p w14:paraId="13E92BFB" w14:textId="77777777" w:rsidR="00E07A63" w:rsidRPr="00E07A63" w:rsidRDefault="00E07A63" w:rsidP="00E07A63">
            <w:pPr>
              <w:spacing w:after="0"/>
              <w:textAlignment w:val="baseline"/>
              <w:rPr>
                <w:rFonts w:ascii="Times New Roman" w:eastAsia="Times New Roman" w:hAnsi="Times New Roman" w:cs="Times New Roman"/>
                <w:lang w:eastAsia="en-GB"/>
              </w:rPr>
            </w:pPr>
            <w:r w:rsidRPr="00E07A63">
              <w:rPr>
                <w:rFonts w:ascii="Verdana" w:eastAsia="Times New Roman" w:hAnsi="Verdana" w:cs="Times New Roman"/>
                <w:b/>
                <w:bCs/>
                <w:lang w:eastAsia="en-GB"/>
              </w:rPr>
              <w:t>Title:</w:t>
            </w:r>
            <w:r w:rsidRPr="00E07A63">
              <w:rPr>
                <w:rFonts w:ascii="Verdana" w:eastAsia="Times New Roman" w:hAnsi="Verdana" w:cs="Times New Roman"/>
                <w:lang w:eastAsia="en-GB"/>
              </w:rPr>
              <w:t> </w:t>
            </w:r>
          </w:p>
        </w:tc>
        <w:tc>
          <w:tcPr>
            <w:tcW w:w="6585" w:type="dxa"/>
            <w:gridSpan w:val="4"/>
            <w:tcBorders>
              <w:top w:val="single" w:sz="6" w:space="0" w:color="auto"/>
              <w:left w:val="single" w:sz="6" w:space="0" w:color="auto"/>
              <w:bottom w:val="single" w:sz="6" w:space="0" w:color="auto"/>
              <w:right w:val="single" w:sz="6" w:space="0" w:color="auto"/>
            </w:tcBorders>
            <w:shd w:val="clear" w:color="auto" w:fill="auto"/>
          </w:tcPr>
          <w:p w14:paraId="7348EC82" w14:textId="77777777" w:rsidR="00E07A63" w:rsidRPr="00E07A63" w:rsidRDefault="00E07A63" w:rsidP="00E07A63">
            <w:pPr>
              <w:spacing w:after="0"/>
              <w:jc w:val="both"/>
              <w:rPr>
                <w:rFonts w:ascii="Verdana" w:eastAsia="Times New Roman" w:hAnsi="Verdana" w:cs="Times New Roman"/>
                <w:b/>
                <w:bCs/>
                <w:lang w:eastAsia="en-GB"/>
              </w:rPr>
            </w:pPr>
            <w:r w:rsidRPr="00E07A63">
              <w:rPr>
                <w:rFonts w:ascii="Verdana" w:eastAsia="Times New Roman" w:hAnsi="Verdana" w:cs="Times New Roman"/>
                <w:b/>
                <w:bCs/>
                <w:lang w:eastAsia="en-GB"/>
              </w:rPr>
              <w:t>Draft guidance Use of the Benchmark Dose approach in risk assessment</w:t>
            </w:r>
          </w:p>
          <w:p w14:paraId="4FA63D7F" w14:textId="77777777" w:rsidR="00E07A63" w:rsidRPr="00E07A63" w:rsidRDefault="00E07A63" w:rsidP="00E07A63">
            <w:pPr>
              <w:spacing w:after="0"/>
              <w:textAlignment w:val="baseline"/>
              <w:rPr>
                <w:rFonts w:ascii="Times New Roman" w:eastAsia="Times New Roman" w:hAnsi="Times New Roman" w:cs="Times New Roman"/>
                <w:lang w:eastAsia="en-GB"/>
              </w:rPr>
            </w:pPr>
            <w:r w:rsidRPr="00E07A63">
              <w:rPr>
                <w:rFonts w:ascii="Verdana" w:eastAsia="Times New Roman" w:hAnsi="Verdana" w:cs="Times New Roman"/>
                <w:b/>
                <w:bCs/>
                <w:lang w:eastAsia="en-GB"/>
              </w:rPr>
              <w:t xml:space="preserve"> </w:t>
            </w:r>
          </w:p>
        </w:tc>
      </w:tr>
      <w:tr w:rsidR="00E07A63" w:rsidRPr="00AD10B4" w14:paraId="14F8F678" w14:textId="77777777" w:rsidTr="00E07A63">
        <w:trPr>
          <w:trHeight w:val="65"/>
        </w:trPr>
        <w:tc>
          <w:tcPr>
            <w:tcW w:w="2510" w:type="dxa"/>
            <w:tcBorders>
              <w:top w:val="single" w:sz="6" w:space="0" w:color="auto"/>
              <w:left w:val="nil"/>
              <w:bottom w:val="single" w:sz="6" w:space="0" w:color="auto"/>
              <w:right w:val="nil"/>
            </w:tcBorders>
            <w:shd w:val="clear" w:color="auto" w:fill="auto"/>
            <w:hideMark/>
          </w:tcPr>
          <w:p w14:paraId="7B9BC962" w14:textId="77777777" w:rsidR="00E07A63" w:rsidRPr="00E07A63" w:rsidRDefault="00E07A63" w:rsidP="00E07A63">
            <w:pPr>
              <w:spacing w:after="0" w:line="240" w:lineRule="auto"/>
              <w:textAlignment w:val="baseline"/>
              <w:rPr>
                <w:rFonts w:ascii="Times New Roman" w:eastAsia="Times New Roman" w:hAnsi="Times New Roman" w:cs="Times New Roman"/>
                <w:lang w:eastAsia="en-GB"/>
              </w:rPr>
            </w:pPr>
            <w:r w:rsidRPr="00E07A63">
              <w:rPr>
                <w:rFonts w:ascii="Verdana" w:eastAsia="Times New Roman" w:hAnsi="Verdana" w:cs="Times New Roman"/>
                <w:lang w:eastAsia="en-GB"/>
              </w:rPr>
              <w:t> </w:t>
            </w:r>
          </w:p>
        </w:tc>
        <w:tc>
          <w:tcPr>
            <w:tcW w:w="6585" w:type="dxa"/>
            <w:gridSpan w:val="4"/>
            <w:tcBorders>
              <w:top w:val="single" w:sz="6" w:space="0" w:color="auto"/>
              <w:left w:val="nil"/>
              <w:bottom w:val="single" w:sz="6" w:space="0" w:color="auto"/>
              <w:right w:val="nil"/>
            </w:tcBorders>
            <w:shd w:val="clear" w:color="auto" w:fill="auto"/>
            <w:hideMark/>
          </w:tcPr>
          <w:p w14:paraId="2289A12D" w14:textId="77777777" w:rsidR="00E07A63" w:rsidRPr="00E07A63" w:rsidRDefault="00E07A63" w:rsidP="00E07A63">
            <w:pPr>
              <w:spacing w:after="0" w:line="240" w:lineRule="auto"/>
              <w:textAlignment w:val="baseline"/>
              <w:rPr>
                <w:rFonts w:ascii="Times New Roman" w:eastAsia="Times New Roman" w:hAnsi="Times New Roman" w:cs="Times New Roman"/>
                <w:lang w:eastAsia="en-GB"/>
              </w:rPr>
            </w:pPr>
            <w:r w:rsidRPr="00E07A63">
              <w:rPr>
                <w:rFonts w:ascii="Verdana" w:eastAsia="Times New Roman" w:hAnsi="Verdana" w:cs="Times New Roman"/>
                <w:lang w:eastAsia="en-GB"/>
              </w:rPr>
              <w:t> </w:t>
            </w:r>
          </w:p>
        </w:tc>
      </w:tr>
      <w:tr w:rsidR="00E07A63" w:rsidRPr="006A7104" w14:paraId="179BFD9A" w14:textId="77777777" w:rsidTr="00E07A63">
        <w:trPr>
          <w:trHeight w:val="198"/>
        </w:trPr>
        <w:tc>
          <w:tcPr>
            <w:tcW w:w="2510" w:type="dxa"/>
            <w:tcBorders>
              <w:top w:val="single" w:sz="6" w:space="0" w:color="auto"/>
              <w:left w:val="single" w:sz="6" w:space="0" w:color="auto"/>
              <w:bottom w:val="single" w:sz="6" w:space="0" w:color="auto"/>
              <w:right w:val="single" w:sz="6" w:space="0" w:color="auto"/>
            </w:tcBorders>
            <w:shd w:val="clear" w:color="auto" w:fill="auto"/>
            <w:hideMark/>
          </w:tcPr>
          <w:p w14:paraId="2E141922" w14:textId="77777777" w:rsidR="00E07A63" w:rsidRPr="00E07A63" w:rsidRDefault="00E07A63" w:rsidP="00E07A63">
            <w:pPr>
              <w:spacing w:after="0" w:line="240" w:lineRule="auto"/>
              <w:textAlignment w:val="baseline"/>
              <w:rPr>
                <w:rFonts w:ascii="Times New Roman" w:eastAsia="Times New Roman" w:hAnsi="Times New Roman" w:cs="Times New Roman"/>
                <w:lang w:eastAsia="en-GB"/>
              </w:rPr>
            </w:pPr>
            <w:r w:rsidRPr="00E07A63">
              <w:rPr>
                <w:rFonts w:ascii="Verdana" w:eastAsia="Times New Roman" w:hAnsi="Verdana" w:cs="Times New Roman"/>
                <w:b/>
                <w:bCs/>
                <w:lang w:eastAsia="en-GB"/>
              </w:rPr>
              <w:t>Submitted by:</w:t>
            </w:r>
            <w:r w:rsidRPr="00E07A63">
              <w:rPr>
                <w:rFonts w:ascii="Verdana" w:eastAsia="Times New Roman" w:hAnsi="Verdana" w:cs="Times New Roman"/>
                <w:lang w:eastAsia="en-GB"/>
              </w:rPr>
              <w:t> </w:t>
            </w:r>
          </w:p>
        </w:tc>
        <w:tc>
          <w:tcPr>
            <w:tcW w:w="6585" w:type="dxa"/>
            <w:gridSpan w:val="4"/>
            <w:tcBorders>
              <w:top w:val="single" w:sz="6" w:space="0" w:color="auto"/>
              <w:left w:val="single" w:sz="6" w:space="0" w:color="auto"/>
              <w:bottom w:val="single" w:sz="6" w:space="0" w:color="auto"/>
              <w:right w:val="single" w:sz="6" w:space="0" w:color="auto"/>
            </w:tcBorders>
            <w:shd w:val="clear" w:color="auto" w:fill="auto"/>
            <w:hideMark/>
          </w:tcPr>
          <w:p w14:paraId="54150863" w14:textId="77777777" w:rsidR="00E07A63" w:rsidRPr="00E07A63" w:rsidRDefault="00E07A63" w:rsidP="00E07A63">
            <w:pPr>
              <w:spacing w:after="0" w:line="240" w:lineRule="auto"/>
              <w:textAlignment w:val="baseline"/>
              <w:rPr>
                <w:rFonts w:ascii="Verdana" w:eastAsia="Times New Roman" w:hAnsi="Verdana" w:cs="Times New Roman"/>
                <w:b/>
                <w:bCs/>
                <w:lang w:eastAsia="en-GB"/>
              </w:rPr>
            </w:pPr>
            <w:r w:rsidRPr="00E07A63">
              <w:rPr>
                <w:rFonts w:ascii="Verdana" w:eastAsia="Times New Roman" w:hAnsi="Verdana" w:cs="Times New Roman"/>
                <w:b/>
                <w:bCs/>
                <w:lang w:eastAsia="en-GB"/>
              </w:rPr>
              <w:t xml:space="preserve"> WG BMD,</w:t>
            </w:r>
          </w:p>
          <w:p w14:paraId="45EFB267" w14:textId="77777777" w:rsidR="00E07A63" w:rsidRPr="00E07A63" w:rsidRDefault="00E07A63" w:rsidP="00E07A63">
            <w:pPr>
              <w:spacing w:after="0" w:line="240" w:lineRule="auto"/>
              <w:textAlignment w:val="baseline"/>
              <w:rPr>
                <w:rFonts w:ascii="Times New Roman" w:eastAsia="Times New Roman" w:hAnsi="Times New Roman" w:cs="Times New Roman"/>
                <w:lang w:eastAsia="en-GB"/>
              </w:rPr>
            </w:pPr>
            <w:r w:rsidRPr="00E07A63">
              <w:rPr>
                <w:rFonts w:ascii="Verdana" w:eastAsia="Times New Roman" w:hAnsi="Verdana" w:cs="Times New Roman"/>
                <w:b/>
                <w:bCs/>
                <w:lang w:eastAsia="en-GB"/>
              </w:rPr>
              <w:t xml:space="preserve">Scientific officers Bernard </w:t>
            </w:r>
            <w:proofErr w:type="spellStart"/>
            <w:r w:rsidRPr="00E07A63">
              <w:rPr>
                <w:rFonts w:ascii="Verdana" w:eastAsia="Times New Roman" w:hAnsi="Verdana" w:cs="Times New Roman"/>
                <w:b/>
                <w:bCs/>
                <w:lang w:eastAsia="en-GB"/>
              </w:rPr>
              <w:t>Bottex</w:t>
            </w:r>
            <w:proofErr w:type="spellEnd"/>
            <w:r w:rsidRPr="00E07A63">
              <w:rPr>
                <w:rFonts w:ascii="Verdana" w:eastAsia="Times New Roman" w:hAnsi="Verdana" w:cs="Times New Roman"/>
                <w:b/>
                <w:bCs/>
                <w:lang w:eastAsia="en-GB"/>
              </w:rPr>
              <w:t xml:space="preserve"> and José </w:t>
            </w:r>
            <w:proofErr w:type="spellStart"/>
            <w:r w:rsidRPr="00E07A63">
              <w:rPr>
                <w:rFonts w:ascii="Verdana" w:eastAsia="Times New Roman" w:hAnsi="Verdana" w:cs="Times New Roman"/>
                <w:b/>
                <w:bCs/>
                <w:lang w:eastAsia="en-GB"/>
              </w:rPr>
              <w:t>Cortiñas</w:t>
            </w:r>
            <w:proofErr w:type="spellEnd"/>
            <w:r w:rsidRPr="00E07A63">
              <w:rPr>
                <w:rFonts w:ascii="Verdana" w:eastAsia="Times New Roman" w:hAnsi="Verdana" w:cs="Times New Roman"/>
                <w:b/>
                <w:bCs/>
                <w:lang w:eastAsia="en-GB"/>
              </w:rPr>
              <w:t xml:space="preserve"> </w:t>
            </w:r>
            <w:proofErr w:type="spellStart"/>
            <w:r w:rsidRPr="00E07A63">
              <w:rPr>
                <w:rFonts w:ascii="Verdana" w:eastAsia="Times New Roman" w:hAnsi="Verdana" w:cs="Times New Roman"/>
                <w:b/>
                <w:bCs/>
                <w:lang w:eastAsia="en-GB"/>
              </w:rPr>
              <w:t>Abrahantes</w:t>
            </w:r>
            <w:proofErr w:type="spellEnd"/>
            <w:r w:rsidRPr="00E07A63">
              <w:rPr>
                <w:rFonts w:ascii="Verdana" w:eastAsia="Times New Roman" w:hAnsi="Verdana" w:cs="Times New Roman"/>
                <w:lang w:eastAsia="en-GB"/>
              </w:rPr>
              <w:t> </w:t>
            </w:r>
          </w:p>
        </w:tc>
      </w:tr>
      <w:tr w:rsidR="00E07A63" w:rsidRPr="006A7104" w14:paraId="00CDC7E0" w14:textId="77777777" w:rsidTr="00E07A63">
        <w:trPr>
          <w:trHeight w:val="66"/>
        </w:trPr>
        <w:tc>
          <w:tcPr>
            <w:tcW w:w="2510" w:type="dxa"/>
            <w:tcBorders>
              <w:top w:val="single" w:sz="6" w:space="0" w:color="auto"/>
              <w:left w:val="nil"/>
              <w:bottom w:val="single" w:sz="6" w:space="0" w:color="auto"/>
              <w:right w:val="nil"/>
            </w:tcBorders>
            <w:shd w:val="clear" w:color="auto" w:fill="auto"/>
            <w:hideMark/>
          </w:tcPr>
          <w:p w14:paraId="565CAACD" w14:textId="77777777" w:rsidR="00E07A63" w:rsidRPr="00E07A63" w:rsidRDefault="00E07A63" w:rsidP="00E07A63">
            <w:pPr>
              <w:spacing w:after="0" w:line="240" w:lineRule="auto"/>
              <w:textAlignment w:val="baseline"/>
              <w:rPr>
                <w:rFonts w:ascii="Times New Roman" w:eastAsia="Times New Roman" w:hAnsi="Times New Roman" w:cs="Times New Roman"/>
                <w:lang w:eastAsia="en-GB"/>
              </w:rPr>
            </w:pPr>
            <w:r w:rsidRPr="00E07A63">
              <w:rPr>
                <w:rFonts w:ascii="Verdana" w:eastAsia="Times New Roman" w:hAnsi="Verdana" w:cs="Times New Roman"/>
                <w:lang w:eastAsia="en-GB"/>
              </w:rPr>
              <w:t> </w:t>
            </w:r>
          </w:p>
        </w:tc>
        <w:tc>
          <w:tcPr>
            <w:tcW w:w="6585" w:type="dxa"/>
            <w:gridSpan w:val="4"/>
            <w:tcBorders>
              <w:top w:val="single" w:sz="6" w:space="0" w:color="auto"/>
              <w:left w:val="nil"/>
              <w:bottom w:val="single" w:sz="6" w:space="0" w:color="auto"/>
              <w:right w:val="nil"/>
            </w:tcBorders>
            <w:shd w:val="clear" w:color="auto" w:fill="auto"/>
            <w:hideMark/>
          </w:tcPr>
          <w:p w14:paraId="3C115A9B" w14:textId="77777777" w:rsidR="00E07A63" w:rsidRPr="00E07A63" w:rsidRDefault="00E07A63" w:rsidP="00E07A63">
            <w:pPr>
              <w:spacing w:after="0" w:line="240" w:lineRule="auto"/>
              <w:textAlignment w:val="baseline"/>
              <w:rPr>
                <w:rFonts w:ascii="Times New Roman" w:eastAsia="Times New Roman" w:hAnsi="Times New Roman" w:cs="Times New Roman"/>
                <w:lang w:eastAsia="en-GB"/>
              </w:rPr>
            </w:pPr>
            <w:r w:rsidRPr="00E07A63">
              <w:rPr>
                <w:rFonts w:ascii="Verdana" w:eastAsia="Times New Roman" w:hAnsi="Verdana" w:cs="Times New Roman"/>
                <w:lang w:eastAsia="en-GB"/>
              </w:rPr>
              <w:t> </w:t>
            </w:r>
          </w:p>
        </w:tc>
      </w:tr>
      <w:tr w:rsidR="00E07A63" w:rsidRPr="00F67C2A" w14:paraId="14FA634C" w14:textId="77777777" w:rsidTr="00E07A63">
        <w:trPr>
          <w:trHeight w:val="73"/>
        </w:trPr>
        <w:tc>
          <w:tcPr>
            <w:tcW w:w="251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1798E80" w14:textId="77777777" w:rsidR="00E07A63" w:rsidRPr="00E07A63" w:rsidRDefault="00E07A63" w:rsidP="00E07A63">
            <w:pPr>
              <w:spacing w:after="0" w:line="240" w:lineRule="auto"/>
              <w:textAlignment w:val="baseline"/>
              <w:rPr>
                <w:rFonts w:ascii="Times New Roman" w:eastAsia="Times New Roman" w:hAnsi="Times New Roman" w:cs="Times New Roman"/>
                <w:lang w:eastAsia="en-GB"/>
              </w:rPr>
            </w:pPr>
            <w:r w:rsidRPr="00E07A63">
              <w:rPr>
                <w:rFonts w:ascii="Verdana" w:eastAsia="Times New Roman" w:hAnsi="Verdana" w:cs="Times New Roman"/>
                <w:b/>
                <w:bCs/>
                <w:lang w:eastAsia="en-GB"/>
              </w:rPr>
              <w:t>Document for:</w:t>
            </w:r>
            <w:r w:rsidRPr="00E07A63">
              <w:rPr>
                <w:rFonts w:ascii="Verdana" w:eastAsia="Times New Roman" w:hAnsi="Verdana" w:cs="Times New Roman"/>
                <w:lang w:eastAsia="en-GB"/>
              </w:rPr>
              <w:t> </w:t>
            </w:r>
          </w:p>
        </w:tc>
        <w:tc>
          <w:tcPr>
            <w:tcW w:w="41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F5CB232" w14:textId="77777777" w:rsidR="00E07A63" w:rsidRPr="00E07A63" w:rsidRDefault="00E07A63" w:rsidP="00E07A63">
            <w:pPr>
              <w:spacing w:after="0" w:line="240" w:lineRule="auto"/>
              <w:jc w:val="center"/>
              <w:textAlignment w:val="baseline"/>
              <w:rPr>
                <w:rFonts w:ascii="Times New Roman" w:eastAsia="Times New Roman" w:hAnsi="Times New Roman" w:cs="Times New Roman"/>
                <w:lang w:eastAsia="en-GB"/>
              </w:rPr>
            </w:pPr>
            <w:r w:rsidRPr="00E07A63">
              <w:rPr>
                <w:rFonts w:ascii="Verdana" w:eastAsia="Times New Roman" w:hAnsi="Verdana" w:cs="Times New Roman"/>
                <w:b/>
                <w:bCs/>
                <w:lang w:eastAsia="en-GB"/>
              </w:rPr>
              <w:t>X</w:t>
            </w:r>
            <w:r w:rsidRPr="00E07A63">
              <w:rPr>
                <w:rFonts w:ascii="Verdana" w:eastAsia="Times New Roman" w:hAnsi="Verdana" w:cs="Times New Roman"/>
                <w:lang w:eastAsia="en-GB"/>
              </w:rPr>
              <w:t> </w:t>
            </w:r>
          </w:p>
        </w:tc>
        <w:tc>
          <w:tcPr>
            <w:tcW w:w="6171"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022D0A8D" w14:textId="77777777" w:rsidR="00E07A63" w:rsidRPr="00E07A63" w:rsidRDefault="00E07A63" w:rsidP="00E07A63">
            <w:pPr>
              <w:spacing w:after="0" w:line="240" w:lineRule="auto"/>
              <w:textAlignment w:val="baseline"/>
              <w:rPr>
                <w:rFonts w:ascii="Times New Roman" w:eastAsia="Times New Roman" w:hAnsi="Times New Roman" w:cs="Times New Roman"/>
                <w:lang w:eastAsia="en-GB"/>
              </w:rPr>
            </w:pPr>
            <w:r w:rsidRPr="00E07A63">
              <w:rPr>
                <w:rFonts w:ascii="Verdana" w:eastAsia="Times New Roman" w:hAnsi="Verdana" w:cs="Times New Roman"/>
                <w:b/>
                <w:bCs/>
                <w:lang w:eastAsia="en-GB"/>
              </w:rPr>
              <w:t>For possible endorsement for public consultation</w:t>
            </w:r>
          </w:p>
        </w:tc>
      </w:tr>
      <w:tr w:rsidR="00E07A63" w:rsidRPr="00F67C2A" w14:paraId="082853B4" w14:textId="77777777" w:rsidTr="00E07A63">
        <w:trPr>
          <w:trHeight w:val="71"/>
        </w:trPr>
        <w:tc>
          <w:tcPr>
            <w:tcW w:w="2510" w:type="dxa"/>
            <w:tcBorders>
              <w:top w:val="single" w:sz="6" w:space="0" w:color="auto"/>
              <w:left w:val="nil"/>
              <w:bottom w:val="single" w:sz="6" w:space="0" w:color="auto"/>
              <w:right w:val="nil"/>
            </w:tcBorders>
            <w:shd w:val="clear" w:color="auto" w:fill="auto"/>
            <w:vAlign w:val="center"/>
            <w:hideMark/>
          </w:tcPr>
          <w:p w14:paraId="64C00432" w14:textId="77777777" w:rsidR="00E07A63" w:rsidRPr="00E07A63" w:rsidRDefault="00E07A63" w:rsidP="00E07A63">
            <w:pPr>
              <w:spacing w:after="0" w:line="240" w:lineRule="auto"/>
              <w:textAlignment w:val="baseline"/>
              <w:rPr>
                <w:rFonts w:ascii="Times New Roman" w:eastAsia="Times New Roman" w:hAnsi="Times New Roman" w:cs="Times New Roman"/>
                <w:lang w:eastAsia="en-GB"/>
              </w:rPr>
            </w:pPr>
            <w:r w:rsidRPr="00E07A63">
              <w:rPr>
                <w:rFonts w:ascii="Verdana" w:eastAsia="Times New Roman" w:hAnsi="Verdana" w:cs="Times New Roman"/>
                <w:lang w:eastAsia="en-GB"/>
              </w:rPr>
              <w:t> </w:t>
            </w:r>
          </w:p>
        </w:tc>
        <w:tc>
          <w:tcPr>
            <w:tcW w:w="413" w:type="dxa"/>
            <w:tcBorders>
              <w:top w:val="single" w:sz="6" w:space="0" w:color="auto"/>
              <w:left w:val="nil"/>
              <w:bottom w:val="single" w:sz="6" w:space="0" w:color="auto"/>
              <w:right w:val="nil"/>
            </w:tcBorders>
            <w:shd w:val="clear" w:color="auto" w:fill="auto"/>
            <w:vAlign w:val="center"/>
            <w:hideMark/>
          </w:tcPr>
          <w:p w14:paraId="356DDBBD" w14:textId="77777777" w:rsidR="00E07A63" w:rsidRPr="00E07A63" w:rsidRDefault="00E07A63" w:rsidP="00E07A63">
            <w:pPr>
              <w:spacing w:after="0" w:line="240" w:lineRule="auto"/>
              <w:jc w:val="center"/>
              <w:textAlignment w:val="baseline"/>
              <w:rPr>
                <w:rFonts w:ascii="Times New Roman" w:eastAsia="Times New Roman" w:hAnsi="Times New Roman" w:cs="Times New Roman"/>
                <w:lang w:eastAsia="en-GB"/>
              </w:rPr>
            </w:pPr>
            <w:r w:rsidRPr="00E07A63">
              <w:rPr>
                <w:rFonts w:ascii="Verdana" w:eastAsia="Times New Roman" w:hAnsi="Verdana" w:cs="Times New Roman"/>
                <w:lang w:eastAsia="en-GB"/>
              </w:rPr>
              <w:t> </w:t>
            </w:r>
          </w:p>
        </w:tc>
        <w:tc>
          <w:tcPr>
            <w:tcW w:w="6171" w:type="dxa"/>
            <w:gridSpan w:val="3"/>
            <w:tcBorders>
              <w:top w:val="single" w:sz="6" w:space="0" w:color="auto"/>
              <w:left w:val="nil"/>
              <w:bottom w:val="single" w:sz="6" w:space="0" w:color="auto"/>
              <w:right w:val="nil"/>
            </w:tcBorders>
            <w:shd w:val="clear" w:color="auto" w:fill="auto"/>
            <w:vAlign w:val="center"/>
            <w:hideMark/>
          </w:tcPr>
          <w:p w14:paraId="5293B8E0" w14:textId="77777777" w:rsidR="00E07A63" w:rsidRPr="00E07A63" w:rsidRDefault="00E07A63" w:rsidP="00E07A63">
            <w:pPr>
              <w:spacing w:after="0" w:line="240" w:lineRule="auto"/>
              <w:textAlignment w:val="baseline"/>
              <w:rPr>
                <w:rFonts w:ascii="Times New Roman" w:eastAsia="Times New Roman" w:hAnsi="Times New Roman" w:cs="Times New Roman"/>
                <w:lang w:eastAsia="en-GB"/>
              </w:rPr>
            </w:pPr>
            <w:r w:rsidRPr="00E07A63">
              <w:rPr>
                <w:rFonts w:ascii="Verdana" w:eastAsia="Times New Roman" w:hAnsi="Verdana" w:cs="Times New Roman"/>
                <w:lang w:eastAsia="en-GB"/>
              </w:rPr>
              <w:t> </w:t>
            </w:r>
          </w:p>
        </w:tc>
      </w:tr>
      <w:tr w:rsidR="00E07A63" w:rsidRPr="006A7104" w14:paraId="33C66A99" w14:textId="77777777" w:rsidTr="00E07A63">
        <w:trPr>
          <w:trHeight w:val="158"/>
        </w:trPr>
        <w:tc>
          <w:tcPr>
            <w:tcW w:w="251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1FCA34" w14:textId="77777777" w:rsidR="00E07A63" w:rsidRPr="00E07A63" w:rsidRDefault="00E07A63" w:rsidP="00E07A63">
            <w:pPr>
              <w:spacing w:after="0" w:line="240" w:lineRule="auto"/>
              <w:textAlignment w:val="baseline"/>
              <w:rPr>
                <w:rFonts w:ascii="Times New Roman" w:eastAsia="Times New Roman" w:hAnsi="Times New Roman" w:cs="Times New Roman"/>
                <w:lang w:eastAsia="en-GB"/>
              </w:rPr>
            </w:pPr>
            <w:r w:rsidRPr="00E07A63">
              <w:rPr>
                <w:rFonts w:ascii="Verdana" w:eastAsia="Times New Roman" w:hAnsi="Verdana" w:cs="Times New Roman"/>
                <w:b/>
                <w:bCs/>
                <w:lang w:eastAsia="en-GB"/>
              </w:rPr>
              <w:t>Distributed to:</w:t>
            </w:r>
            <w:r w:rsidRPr="00E07A63">
              <w:rPr>
                <w:rFonts w:ascii="Verdana" w:eastAsia="Times New Roman" w:hAnsi="Verdana" w:cs="Times New Roman"/>
                <w:lang w:eastAsia="en-GB"/>
              </w:rPr>
              <w:t> </w:t>
            </w:r>
          </w:p>
        </w:tc>
        <w:tc>
          <w:tcPr>
            <w:tcW w:w="41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9CEE00" w14:textId="77777777" w:rsidR="00E07A63" w:rsidRPr="00E07A63" w:rsidRDefault="00E07A63" w:rsidP="00E07A63">
            <w:pPr>
              <w:spacing w:after="0" w:line="240" w:lineRule="auto"/>
              <w:jc w:val="center"/>
              <w:textAlignment w:val="baseline"/>
              <w:rPr>
                <w:rFonts w:ascii="Times New Roman" w:eastAsia="Times New Roman" w:hAnsi="Times New Roman" w:cs="Times New Roman"/>
                <w:lang w:eastAsia="en-GB"/>
              </w:rPr>
            </w:pPr>
            <w:r w:rsidRPr="00E07A63">
              <w:rPr>
                <w:rFonts w:ascii="Verdana" w:eastAsia="Times New Roman" w:hAnsi="Verdana" w:cs="Times New Roman"/>
                <w:b/>
                <w:bCs/>
                <w:lang w:eastAsia="en-GB"/>
              </w:rPr>
              <w:t>X</w:t>
            </w:r>
            <w:r w:rsidRPr="00E07A63">
              <w:rPr>
                <w:rFonts w:ascii="Verdana" w:eastAsia="Times New Roman" w:hAnsi="Verdana" w:cs="Times New Roman"/>
                <w:lang w:eastAsia="en-GB"/>
              </w:rPr>
              <w:t> </w:t>
            </w:r>
          </w:p>
        </w:tc>
        <w:tc>
          <w:tcPr>
            <w:tcW w:w="279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637048" w14:textId="77777777" w:rsidR="00E07A63" w:rsidRPr="00E07A63" w:rsidRDefault="00E07A63" w:rsidP="00E07A63">
            <w:pPr>
              <w:spacing w:after="0" w:line="240" w:lineRule="auto"/>
              <w:textAlignment w:val="baseline"/>
              <w:rPr>
                <w:rFonts w:ascii="Times New Roman" w:eastAsia="Times New Roman" w:hAnsi="Times New Roman" w:cs="Times New Roman"/>
                <w:lang w:eastAsia="en-GB"/>
              </w:rPr>
            </w:pPr>
            <w:r w:rsidRPr="00E07A63">
              <w:rPr>
                <w:rFonts w:ascii="Verdana" w:eastAsia="Times New Roman" w:hAnsi="Verdana" w:cs="Times New Roman"/>
                <w:b/>
                <w:bCs/>
                <w:lang w:eastAsia="en-GB"/>
              </w:rPr>
              <w:t>Scientific Committee</w:t>
            </w:r>
            <w:r w:rsidRPr="00E07A63">
              <w:rPr>
                <w:rFonts w:ascii="Verdana" w:eastAsia="Times New Roman" w:hAnsi="Verdana" w:cs="Times New Roman"/>
                <w:lang w:eastAsia="en-GB"/>
              </w:rPr>
              <w:t> </w:t>
            </w:r>
            <w:r w:rsidRPr="00E07A63" w:rsidDel="00BC5C81">
              <w:rPr>
                <w:rFonts w:ascii="Verdana" w:eastAsia="Times New Roman" w:hAnsi="Verdana" w:cs="Times New Roman"/>
                <w:b/>
                <w:bCs/>
                <w:lang w:eastAsia="en-GB"/>
              </w:rPr>
              <w:t xml:space="preserve"> </w:t>
            </w:r>
          </w:p>
        </w:tc>
        <w:tc>
          <w:tcPr>
            <w:tcW w:w="61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8D764C7" w14:textId="77777777" w:rsidR="00E07A63" w:rsidRPr="00E07A63" w:rsidRDefault="00E07A63" w:rsidP="00E07A63">
            <w:pPr>
              <w:spacing w:after="0" w:line="240" w:lineRule="auto"/>
              <w:textAlignment w:val="baseline"/>
              <w:rPr>
                <w:rFonts w:ascii="Times New Roman" w:eastAsia="Times New Roman" w:hAnsi="Times New Roman" w:cs="Times New Roman"/>
                <w:lang w:eastAsia="en-GB"/>
              </w:rPr>
            </w:pPr>
            <w:r w:rsidRPr="00E07A63">
              <w:rPr>
                <w:rFonts w:ascii="Verdana" w:eastAsia="Times New Roman" w:hAnsi="Verdana" w:cs="Times New Roman"/>
                <w:b/>
                <w:bCs/>
                <w:lang w:eastAsia="en-GB"/>
              </w:rPr>
              <w:t>on </w:t>
            </w:r>
            <w:r w:rsidRPr="00E07A63">
              <w:rPr>
                <w:rFonts w:ascii="Verdana" w:eastAsia="Times New Roman" w:hAnsi="Verdana" w:cs="Times New Roman"/>
                <w:lang w:eastAsia="en-GB"/>
              </w:rPr>
              <w:t> </w:t>
            </w:r>
          </w:p>
        </w:tc>
        <w:tc>
          <w:tcPr>
            <w:tcW w:w="276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A421257" w14:textId="77777777" w:rsidR="00E07A63" w:rsidRPr="00E07A63" w:rsidRDefault="00E07A63" w:rsidP="00E07A63">
            <w:pPr>
              <w:spacing w:after="0" w:line="240" w:lineRule="auto"/>
              <w:textAlignment w:val="baseline"/>
              <w:rPr>
                <w:rFonts w:ascii="Times New Roman" w:eastAsia="Times New Roman" w:hAnsi="Times New Roman" w:cs="Times New Roman"/>
                <w:lang w:eastAsia="en-GB"/>
              </w:rPr>
            </w:pPr>
            <w:r w:rsidRPr="00E07A63">
              <w:rPr>
                <w:rFonts w:ascii="Verdana" w:eastAsia="Times New Roman" w:hAnsi="Verdana" w:cs="Times New Roman"/>
                <w:b/>
                <w:bCs/>
                <w:lang w:eastAsia="en-GB"/>
              </w:rPr>
              <w:t xml:space="preserve"> 1 February 2021</w:t>
            </w:r>
          </w:p>
        </w:tc>
      </w:tr>
      <w:tr w:rsidR="00E07A63" w:rsidRPr="006A7104" w14:paraId="3ED58629" w14:textId="77777777" w:rsidTr="00E07A63">
        <w:trPr>
          <w:trHeight w:val="71"/>
        </w:trPr>
        <w:tc>
          <w:tcPr>
            <w:tcW w:w="2510" w:type="dxa"/>
            <w:tcBorders>
              <w:top w:val="single" w:sz="6" w:space="0" w:color="auto"/>
              <w:left w:val="nil"/>
              <w:bottom w:val="single" w:sz="6" w:space="0" w:color="auto"/>
              <w:right w:val="nil"/>
            </w:tcBorders>
            <w:shd w:val="clear" w:color="auto" w:fill="auto"/>
            <w:vAlign w:val="center"/>
            <w:hideMark/>
          </w:tcPr>
          <w:p w14:paraId="5DF44500" w14:textId="77777777" w:rsidR="00E07A63" w:rsidRPr="00E07A63" w:rsidRDefault="00E07A63" w:rsidP="00E07A63">
            <w:pPr>
              <w:spacing w:after="0" w:line="240" w:lineRule="auto"/>
              <w:textAlignment w:val="baseline"/>
              <w:rPr>
                <w:rFonts w:ascii="Times New Roman" w:eastAsia="Times New Roman" w:hAnsi="Times New Roman" w:cs="Times New Roman"/>
                <w:lang w:eastAsia="en-GB"/>
              </w:rPr>
            </w:pPr>
            <w:r w:rsidRPr="00E07A63">
              <w:rPr>
                <w:rFonts w:ascii="Verdana" w:eastAsia="Times New Roman" w:hAnsi="Verdana" w:cs="Times New Roman"/>
                <w:lang w:eastAsia="en-GB"/>
              </w:rPr>
              <w:t> </w:t>
            </w:r>
          </w:p>
        </w:tc>
        <w:tc>
          <w:tcPr>
            <w:tcW w:w="413" w:type="dxa"/>
            <w:tcBorders>
              <w:top w:val="single" w:sz="6" w:space="0" w:color="auto"/>
              <w:left w:val="nil"/>
              <w:bottom w:val="single" w:sz="6" w:space="0" w:color="auto"/>
              <w:right w:val="nil"/>
            </w:tcBorders>
            <w:shd w:val="clear" w:color="auto" w:fill="auto"/>
            <w:vAlign w:val="center"/>
            <w:hideMark/>
          </w:tcPr>
          <w:p w14:paraId="7F07ED88" w14:textId="77777777" w:rsidR="00E07A63" w:rsidRPr="00E07A63" w:rsidRDefault="00E07A63" w:rsidP="00E07A63">
            <w:pPr>
              <w:spacing w:after="0" w:line="240" w:lineRule="auto"/>
              <w:jc w:val="center"/>
              <w:textAlignment w:val="baseline"/>
              <w:rPr>
                <w:rFonts w:ascii="Times New Roman" w:eastAsia="Times New Roman" w:hAnsi="Times New Roman" w:cs="Times New Roman"/>
                <w:lang w:eastAsia="en-GB"/>
              </w:rPr>
            </w:pPr>
            <w:r w:rsidRPr="00E07A63">
              <w:rPr>
                <w:rFonts w:ascii="Verdana" w:eastAsia="Times New Roman" w:hAnsi="Verdana" w:cs="Times New Roman"/>
                <w:lang w:eastAsia="en-GB"/>
              </w:rPr>
              <w:t> </w:t>
            </w:r>
          </w:p>
        </w:tc>
        <w:tc>
          <w:tcPr>
            <w:tcW w:w="2793" w:type="dxa"/>
            <w:tcBorders>
              <w:top w:val="single" w:sz="6" w:space="0" w:color="auto"/>
              <w:left w:val="nil"/>
              <w:bottom w:val="single" w:sz="6" w:space="0" w:color="auto"/>
              <w:right w:val="nil"/>
            </w:tcBorders>
            <w:shd w:val="clear" w:color="auto" w:fill="auto"/>
            <w:vAlign w:val="center"/>
            <w:hideMark/>
          </w:tcPr>
          <w:p w14:paraId="6E30871E" w14:textId="77777777" w:rsidR="00E07A63" w:rsidRPr="00E07A63" w:rsidRDefault="00E07A63" w:rsidP="00E07A63">
            <w:pPr>
              <w:spacing w:after="0" w:line="240" w:lineRule="auto"/>
              <w:textAlignment w:val="baseline"/>
              <w:rPr>
                <w:rFonts w:ascii="Times New Roman" w:eastAsia="Times New Roman" w:hAnsi="Times New Roman" w:cs="Times New Roman"/>
                <w:lang w:eastAsia="en-GB"/>
              </w:rPr>
            </w:pPr>
            <w:r w:rsidRPr="00E07A63">
              <w:rPr>
                <w:rFonts w:ascii="Verdana" w:eastAsia="Times New Roman" w:hAnsi="Verdana" w:cs="Times New Roman"/>
                <w:lang w:eastAsia="en-GB"/>
              </w:rPr>
              <w:t> </w:t>
            </w:r>
          </w:p>
        </w:tc>
        <w:tc>
          <w:tcPr>
            <w:tcW w:w="615" w:type="dxa"/>
            <w:tcBorders>
              <w:top w:val="single" w:sz="6" w:space="0" w:color="auto"/>
              <w:left w:val="nil"/>
              <w:bottom w:val="single" w:sz="6" w:space="0" w:color="auto"/>
              <w:right w:val="nil"/>
            </w:tcBorders>
            <w:shd w:val="clear" w:color="auto" w:fill="auto"/>
            <w:vAlign w:val="center"/>
            <w:hideMark/>
          </w:tcPr>
          <w:p w14:paraId="56BC8EE5" w14:textId="77777777" w:rsidR="00E07A63" w:rsidRPr="00E07A63" w:rsidRDefault="00E07A63" w:rsidP="00E07A63">
            <w:pPr>
              <w:spacing w:after="0" w:line="240" w:lineRule="auto"/>
              <w:textAlignment w:val="baseline"/>
              <w:rPr>
                <w:rFonts w:ascii="Times New Roman" w:eastAsia="Times New Roman" w:hAnsi="Times New Roman" w:cs="Times New Roman"/>
                <w:lang w:eastAsia="en-GB"/>
              </w:rPr>
            </w:pPr>
            <w:r w:rsidRPr="00E07A63">
              <w:rPr>
                <w:rFonts w:ascii="Verdana" w:eastAsia="Times New Roman" w:hAnsi="Verdana" w:cs="Times New Roman"/>
                <w:lang w:eastAsia="en-GB"/>
              </w:rPr>
              <w:t> </w:t>
            </w:r>
          </w:p>
        </w:tc>
        <w:tc>
          <w:tcPr>
            <w:tcW w:w="2761" w:type="dxa"/>
            <w:tcBorders>
              <w:top w:val="single" w:sz="6" w:space="0" w:color="auto"/>
              <w:left w:val="nil"/>
              <w:bottom w:val="single" w:sz="6" w:space="0" w:color="auto"/>
              <w:right w:val="nil"/>
            </w:tcBorders>
            <w:shd w:val="clear" w:color="auto" w:fill="auto"/>
            <w:vAlign w:val="center"/>
            <w:hideMark/>
          </w:tcPr>
          <w:p w14:paraId="1AC2D0EB" w14:textId="77777777" w:rsidR="00E07A63" w:rsidRPr="00E07A63" w:rsidRDefault="00E07A63" w:rsidP="00E07A63">
            <w:pPr>
              <w:spacing w:after="0" w:line="240" w:lineRule="auto"/>
              <w:textAlignment w:val="baseline"/>
              <w:rPr>
                <w:rFonts w:ascii="Times New Roman" w:eastAsia="Times New Roman" w:hAnsi="Times New Roman" w:cs="Times New Roman"/>
                <w:lang w:eastAsia="en-GB"/>
              </w:rPr>
            </w:pPr>
            <w:r w:rsidRPr="00E07A63">
              <w:rPr>
                <w:rFonts w:ascii="Verdana" w:eastAsia="Times New Roman" w:hAnsi="Verdana" w:cs="Times New Roman"/>
                <w:lang w:eastAsia="en-GB"/>
              </w:rPr>
              <w:t> </w:t>
            </w:r>
          </w:p>
        </w:tc>
      </w:tr>
      <w:tr w:rsidR="00E07A63" w:rsidRPr="006A7104" w14:paraId="5989F193" w14:textId="77777777" w:rsidTr="00E07A63">
        <w:trPr>
          <w:trHeight w:val="71"/>
        </w:trPr>
        <w:tc>
          <w:tcPr>
            <w:tcW w:w="251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088B4FA" w14:textId="77777777" w:rsidR="00E07A63" w:rsidRPr="00E07A63" w:rsidRDefault="00E07A63" w:rsidP="00E07A63">
            <w:pPr>
              <w:spacing w:after="0" w:line="240" w:lineRule="auto"/>
              <w:textAlignment w:val="baseline"/>
              <w:rPr>
                <w:rFonts w:ascii="Times New Roman" w:eastAsia="Times New Roman" w:hAnsi="Times New Roman" w:cs="Times New Roman"/>
                <w:lang w:eastAsia="en-GB"/>
              </w:rPr>
            </w:pPr>
            <w:r w:rsidRPr="00E07A63">
              <w:rPr>
                <w:rFonts w:ascii="Verdana" w:eastAsia="Times New Roman" w:hAnsi="Verdana" w:cs="Times New Roman"/>
                <w:b/>
                <w:bCs/>
                <w:lang w:eastAsia="en-GB"/>
              </w:rPr>
              <w:t>Confidentiality level:</w:t>
            </w:r>
            <w:r w:rsidRPr="00E07A63">
              <w:rPr>
                <w:rFonts w:ascii="Verdana" w:eastAsia="Times New Roman" w:hAnsi="Verdana" w:cs="Times New Roman"/>
                <w:lang w:eastAsia="en-GB"/>
              </w:rPr>
              <w:t> </w:t>
            </w:r>
          </w:p>
        </w:tc>
        <w:tc>
          <w:tcPr>
            <w:tcW w:w="41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793ABBE" w14:textId="77777777" w:rsidR="00E07A63" w:rsidRPr="00E07A63" w:rsidRDefault="00E07A63" w:rsidP="00E07A63">
            <w:pPr>
              <w:spacing w:after="0" w:line="240" w:lineRule="auto"/>
              <w:jc w:val="center"/>
              <w:textAlignment w:val="baseline"/>
              <w:rPr>
                <w:rFonts w:ascii="Times New Roman" w:eastAsia="Times New Roman" w:hAnsi="Times New Roman" w:cs="Times New Roman"/>
                <w:b/>
                <w:bCs/>
                <w:lang w:eastAsia="en-GB"/>
              </w:rPr>
            </w:pPr>
            <w:r w:rsidRPr="00E07A63">
              <w:rPr>
                <w:rFonts w:ascii="Verdana" w:eastAsia="Times New Roman" w:hAnsi="Verdana" w:cs="Times New Roman"/>
                <w:lang w:eastAsia="en-GB"/>
              </w:rPr>
              <w:t> </w:t>
            </w:r>
          </w:p>
        </w:tc>
        <w:tc>
          <w:tcPr>
            <w:tcW w:w="6171"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37307875" w14:textId="77777777" w:rsidR="00E07A63" w:rsidRPr="00E07A63" w:rsidRDefault="00E07A63" w:rsidP="00E07A63">
            <w:pPr>
              <w:spacing w:after="0" w:line="240" w:lineRule="auto"/>
              <w:textAlignment w:val="baseline"/>
              <w:rPr>
                <w:rFonts w:ascii="Times New Roman" w:eastAsia="Times New Roman" w:hAnsi="Times New Roman" w:cs="Times New Roman"/>
                <w:lang w:eastAsia="en-GB"/>
              </w:rPr>
            </w:pPr>
            <w:r w:rsidRPr="00E07A63">
              <w:rPr>
                <w:rFonts w:ascii="Verdana" w:eastAsia="Times New Roman" w:hAnsi="Verdana" w:cs="Times New Roman"/>
                <w:b/>
                <w:bCs/>
                <w:lang w:eastAsia="en-GB"/>
              </w:rPr>
              <w:t>Confidential</w:t>
            </w:r>
            <w:r w:rsidRPr="00E07A63">
              <w:rPr>
                <w:rFonts w:ascii="Verdana" w:eastAsia="Times New Roman" w:hAnsi="Verdana" w:cs="Times New Roman"/>
                <w:lang w:eastAsia="en-GB"/>
              </w:rPr>
              <w:t> </w:t>
            </w:r>
          </w:p>
        </w:tc>
      </w:tr>
      <w:tr w:rsidR="00E07A63" w:rsidRPr="006A7104" w14:paraId="6D30AA5E" w14:textId="77777777" w:rsidTr="00E07A63">
        <w:trPr>
          <w:trHeight w:val="73"/>
        </w:trPr>
        <w:tc>
          <w:tcPr>
            <w:tcW w:w="251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C0582C6" w14:textId="77777777" w:rsidR="00E07A63" w:rsidRPr="00E07A63" w:rsidRDefault="00E07A63" w:rsidP="00E07A63">
            <w:pPr>
              <w:spacing w:after="0" w:line="240" w:lineRule="auto"/>
              <w:textAlignment w:val="baseline"/>
              <w:rPr>
                <w:rFonts w:ascii="Times New Roman" w:eastAsia="Times New Roman" w:hAnsi="Times New Roman" w:cs="Times New Roman"/>
                <w:lang w:eastAsia="en-GB"/>
              </w:rPr>
            </w:pPr>
            <w:r w:rsidRPr="00E07A63">
              <w:rPr>
                <w:rFonts w:ascii="Verdana" w:eastAsia="Times New Roman" w:hAnsi="Verdana" w:cs="Times New Roman"/>
                <w:lang w:eastAsia="en-GB"/>
              </w:rPr>
              <w:t> </w:t>
            </w:r>
          </w:p>
        </w:tc>
        <w:tc>
          <w:tcPr>
            <w:tcW w:w="41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76AEC3" w14:textId="77777777" w:rsidR="00E07A63" w:rsidRPr="00E07A63" w:rsidRDefault="00E07A63" w:rsidP="00E07A63">
            <w:pPr>
              <w:spacing w:after="0" w:line="240" w:lineRule="auto"/>
              <w:jc w:val="center"/>
              <w:textAlignment w:val="baseline"/>
              <w:rPr>
                <w:rFonts w:ascii="Times New Roman" w:eastAsia="Times New Roman" w:hAnsi="Times New Roman" w:cs="Times New Roman"/>
                <w:lang w:eastAsia="en-GB"/>
              </w:rPr>
            </w:pPr>
            <w:r w:rsidRPr="00E07A63">
              <w:rPr>
                <w:rFonts w:ascii="Verdana" w:eastAsia="Times New Roman" w:hAnsi="Verdana" w:cs="Times New Roman"/>
                <w:b/>
                <w:bCs/>
                <w:lang w:eastAsia="en-GB"/>
              </w:rPr>
              <w:t>X</w:t>
            </w:r>
            <w:r w:rsidRPr="00E07A63">
              <w:rPr>
                <w:rFonts w:ascii="Verdana" w:eastAsia="Times New Roman" w:hAnsi="Verdana" w:cs="Times New Roman"/>
                <w:lang w:eastAsia="en-GB"/>
              </w:rPr>
              <w:t> </w:t>
            </w:r>
          </w:p>
        </w:tc>
        <w:tc>
          <w:tcPr>
            <w:tcW w:w="6171"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561B3798" w14:textId="77777777" w:rsidR="00E07A63" w:rsidRPr="00E07A63" w:rsidRDefault="00E07A63" w:rsidP="00E07A63">
            <w:pPr>
              <w:spacing w:after="0" w:line="240" w:lineRule="auto"/>
              <w:textAlignment w:val="baseline"/>
              <w:rPr>
                <w:rFonts w:ascii="Times New Roman" w:eastAsia="Times New Roman" w:hAnsi="Times New Roman" w:cs="Times New Roman"/>
                <w:lang w:eastAsia="en-GB"/>
              </w:rPr>
            </w:pPr>
            <w:r w:rsidRPr="00E07A63">
              <w:rPr>
                <w:rFonts w:ascii="Verdana" w:eastAsia="Times New Roman" w:hAnsi="Verdana" w:cs="Times New Roman"/>
                <w:b/>
                <w:bCs/>
                <w:lang w:eastAsia="en-GB"/>
              </w:rPr>
              <w:t>For Restricted Use Only</w:t>
            </w:r>
            <w:r w:rsidRPr="00E07A63">
              <w:rPr>
                <w:rFonts w:ascii="Verdana" w:eastAsia="Times New Roman" w:hAnsi="Verdana" w:cs="Times New Roman"/>
                <w:lang w:eastAsia="en-GB"/>
              </w:rPr>
              <w:t> </w:t>
            </w:r>
          </w:p>
        </w:tc>
      </w:tr>
    </w:tbl>
    <w:p w14:paraId="7547E319" w14:textId="1E7185C6" w:rsidR="00E07A63" w:rsidRDefault="00E07A63">
      <w:pPr>
        <w:rPr>
          <w:rFonts w:ascii="Tahoma" w:hAnsi="Tahoma"/>
          <w:b/>
          <w:sz w:val="24"/>
          <w:szCs w:val="24"/>
        </w:rPr>
      </w:pPr>
    </w:p>
    <w:p w14:paraId="0425BF65" w14:textId="4C3F7800" w:rsidR="00E07A63" w:rsidRDefault="00E07A63">
      <w:pPr>
        <w:rPr>
          <w:rFonts w:ascii="Tahoma" w:hAnsi="Tahoma"/>
          <w:b/>
          <w:sz w:val="24"/>
          <w:szCs w:val="24"/>
        </w:rPr>
      </w:pPr>
    </w:p>
    <w:p w14:paraId="39EB7403" w14:textId="525ACF3A" w:rsidR="00E07A63" w:rsidRDefault="00E07A63">
      <w:pPr>
        <w:rPr>
          <w:rFonts w:ascii="Tahoma" w:hAnsi="Tahoma"/>
          <w:b/>
          <w:sz w:val="24"/>
          <w:szCs w:val="24"/>
        </w:rPr>
      </w:pPr>
    </w:p>
    <w:p w14:paraId="00CCB512" w14:textId="07348D1D" w:rsidR="00E07A63" w:rsidRDefault="00E07A63">
      <w:pPr>
        <w:rPr>
          <w:rFonts w:ascii="Tahoma" w:hAnsi="Tahoma"/>
          <w:b/>
          <w:sz w:val="24"/>
          <w:szCs w:val="24"/>
        </w:rPr>
      </w:pPr>
    </w:p>
    <w:p w14:paraId="061633EE" w14:textId="4AFA634A" w:rsidR="00E07A63" w:rsidRDefault="00E07A63">
      <w:pPr>
        <w:rPr>
          <w:rFonts w:ascii="Tahoma" w:hAnsi="Tahoma"/>
          <w:b/>
          <w:sz w:val="24"/>
          <w:szCs w:val="24"/>
        </w:rPr>
      </w:pPr>
    </w:p>
    <w:p w14:paraId="02BFDFEF" w14:textId="30BECBC7" w:rsidR="00E07A63" w:rsidRDefault="00E07A63">
      <w:pPr>
        <w:rPr>
          <w:rFonts w:ascii="Tahoma" w:hAnsi="Tahoma"/>
          <w:b/>
          <w:sz w:val="24"/>
          <w:szCs w:val="24"/>
        </w:rPr>
      </w:pPr>
    </w:p>
    <w:p w14:paraId="638FF3C1" w14:textId="77777777" w:rsidR="00E07A63" w:rsidRDefault="00E07A63">
      <w:pPr>
        <w:rPr>
          <w:rFonts w:ascii="Tahoma" w:hAnsi="Tahoma"/>
          <w:b/>
          <w:sz w:val="24"/>
          <w:szCs w:val="24"/>
        </w:rPr>
      </w:pPr>
    </w:p>
    <w:p w14:paraId="229C6C42" w14:textId="77ADD9F8" w:rsidR="00E07A63" w:rsidRDefault="00E07A63">
      <w:pPr>
        <w:rPr>
          <w:rFonts w:ascii="Tahoma" w:hAnsi="Tahoma"/>
          <w:b/>
          <w:sz w:val="24"/>
          <w:szCs w:val="24"/>
        </w:rPr>
      </w:pPr>
      <w:r>
        <w:rPr>
          <w:rFonts w:ascii="Tahoma" w:hAnsi="Tahoma"/>
          <w:b/>
          <w:sz w:val="24"/>
          <w:szCs w:val="24"/>
        </w:rPr>
        <w:t xml:space="preserve">Document history </w:t>
      </w:r>
    </w:p>
    <w:p w14:paraId="0A78DA4B" w14:textId="3A6C70BE" w:rsidR="00E07A63" w:rsidRDefault="00E07A63" w:rsidP="00E07A63">
      <w:pPr>
        <w:pStyle w:val="EFSABodytext"/>
      </w:pPr>
      <w:r>
        <w:t>The purpose of the present update of the EFSA Guidance on the use of the benchmark dose approach in risk assessment published in 2017</w:t>
      </w:r>
      <w:r w:rsidR="00967600">
        <w:t xml:space="preserve"> (</w:t>
      </w:r>
      <w:hyperlink r:id="rId11" w:history="1">
        <w:r w:rsidR="00967600" w:rsidRPr="00967600">
          <w:rPr>
            <w:rStyle w:val="Hyperlink"/>
          </w:rPr>
          <w:t>here</w:t>
        </w:r>
      </w:hyperlink>
      <w:r w:rsidR="00967600">
        <w:t>)</w:t>
      </w:r>
      <w:r>
        <w:t xml:space="preserve">  is to align the content of the document with the concepts agreed at the workshop organised by EFSA in March 2017. At this workshop, </w:t>
      </w:r>
      <w:proofErr w:type="gramStart"/>
      <w:r>
        <w:t>commonalities</w:t>
      </w:r>
      <w:proofErr w:type="gramEnd"/>
      <w:r>
        <w:t xml:space="preserve"> and divergences in the various approaches for BMD analysis worldwide</w:t>
      </w:r>
      <w:r>
        <w:rPr>
          <w:rStyle w:val="FootnoteReference"/>
        </w:rPr>
        <w:footnoteReference w:id="2"/>
      </w:r>
      <w:r>
        <w:t xml:space="preserve"> were discussed, and WHO convened a group of experts from all over the world to update the Chapter 5 on dose response assessment of WHO/IPCS Environmental Health Criteria 240 (WHO, 2020). This work resulted in a consensus on </w:t>
      </w:r>
      <w:proofErr w:type="gramStart"/>
      <w:r>
        <w:t>a number of</w:t>
      </w:r>
      <w:proofErr w:type="gramEnd"/>
      <w:r>
        <w:t xml:space="preserve"> concepts related to benchmark dose analysis that have been used </w:t>
      </w:r>
      <w:r w:rsidR="00682716">
        <w:t>as a starting point to update the present guidance.</w:t>
      </w:r>
      <w:r>
        <w:t xml:space="preserve"> </w:t>
      </w:r>
    </w:p>
    <w:p w14:paraId="72B004A5" w14:textId="37885D58" w:rsidR="00E07A63" w:rsidRDefault="00E07A63" w:rsidP="00E07A63">
      <w:pPr>
        <w:pStyle w:val="EFSABodytext"/>
      </w:pPr>
    </w:p>
    <w:p w14:paraId="62091908" w14:textId="129CF8BC" w:rsidR="00E07A63" w:rsidRDefault="00E07A63" w:rsidP="00E07A63">
      <w:pPr>
        <w:pStyle w:val="EFSABodytext"/>
      </w:pPr>
    </w:p>
    <w:p w14:paraId="2AFF0842" w14:textId="71302DE6" w:rsidR="00E07A63" w:rsidRDefault="00E07A63" w:rsidP="00E07A63">
      <w:pPr>
        <w:pStyle w:val="EFSABodytext"/>
      </w:pPr>
    </w:p>
    <w:p w14:paraId="605DD3FA" w14:textId="0AFEDCDB" w:rsidR="00E07A63" w:rsidRDefault="00E07A63" w:rsidP="00E07A63">
      <w:pPr>
        <w:pStyle w:val="EFSABodytext"/>
      </w:pPr>
    </w:p>
    <w:p w14:paraId="7CBFD60A" w14:textId="470089A0" w:rsidR="00214C6C" w:rsidRPr="00952D08" w:rsidRDefault="00214C6C" w:rsidP="00214C6C">
      <w:pPr>
        <w:pStyle w:val="EFSAHeading1nonumber"/>
      </w:pPr>
      <w:bookmarkStart w:id="4" w:name="_Toc94255322"/>
      <w:r>
        <w:t>Abstract</w:t>
      </w:r>
      <w:bookmarkEnd w:id="0"/>
      <w:bookmarkEnd w:id="1"/>
      <w:bookmarkEnd w:id="2"/>
      <w:bookmarkEnd w:id="4"/>
    </w:p>
    <w:p w14:paraId="373AEFE2" w14:textId="615731FA" w:rsidR="00F07970" w:rsidRPr="00806647" w:rsidRDefault="00F07970" w:rsidP="00F07970">
      <w:pPr>
        <w:pStyle w:val="EFSABodytext"/>
        <w:rPr>
          <w:rFonts w:cs="Tahoma"/>
        </w:rPr>
      </w:pPr>
      <w:r w:rsidRPr="6DB25C72">
        <w:rPr>
          <w:rFonts w:cs="Tahoma"/>
        </w:rPr>
        <w:t xml:space="preserve">The Scientific Committee </w:t>
      </w:r>
      <w:r w:rsidR="00D14CF9" w:rsidRPr="6DB25C72">
        <w:rPr>
          <w:rFonts w:cs="Tahoma"/>
        </w:rPr>
        <w:t xml:space="preserve">(SC) </w:t>
      </w:r>
      <w:r w:rsidRPr="6DB25C72">
        <w:rPr>
          <w:rFonts w:cs="Tahoma"/>
        </w:rPr>
        <w:t xml:space="preserve">reconfirms that the </w:t>
      </w:r>
      <w:r w:rsidR="00D14CF9" w:rsidRPr="6DB25C72">
        <w:rPr>
          <w:rFonts w:cs="Tahoma"/>
        </w:rPr>
        <w:t>benchmark dose (</w:t>
      </w:r>
      <w:r w:rsidRPr="6DB25C72">
        <w:rPr>
          <w:rFonts w:cs="Tahoma"/>
        </w:rPr>
        <w:t>BMD</w:t>
      </w:r>
      <w:r w:rsidR="00D14CF9" w:rsidRPr="6DB25C72">
        <w:rPr>
          <w:rFonts w:cs="Tahoma"/>
        </w:rPr>
        <w:t>)</w:t>
      </w:r>
      <w:r w:rsidRPr="6DB25C72">
        <w:rPr>
          <w:rFonts w:cs="Tahoma"/>
        </w:rPr>
        <w:t xml:space="preserve"> approach</w:t>
      </w:r>
      <w:r w:rsidR="00603B2A" w:rsidRPr="6DB25C72">
        <w:rPr>
          <w:rFonts w:cs="Tahoma"/>
        </w:rPr>
        <w:t xml:space="preserve"> is a scientifically more advanced method compared to the NOAEL approach for deriving a Reference Point</w:t>
      </w:r>
      <w:r w:rsidR="00D14CF9" w:rsidRPr="6DB25C72">
        <w:rPr>
          <w:rFonts w:cs="Tahoma"/>
        </w:rPr>
        <w:t xml:space="preserve"> (RP)</w:t>
      </w:r>
      <w:r w:rsidRPr="6DB25C72">
        <w:rPr>
          <w:rFonts w:cs="Tahoma"/>
        </w:rPr>
        <w:t xml:space="preserve">. </w:t>
      </w:r>
      <w:r w:rsidR="6BC99632" w:rsidRPr="6DB25C72">
        <w:rPr>
          <w:rFonts w:cs="Tahoma"/>
        </w:rPr>
        <w:t>T</w:t>
      </w:r>
      <w:r w:rsidR="4ED41A7F" w:rsidRPr="6DB25C72">
        <w:rPr>
          <w:rFonts w:cs="Tahoma"/>
        </w:rPr>
        <w:t>he major change</w:t>
      </w:r>
      <w:r w:rsidRPr="6DB25C72">
        <w:rPr>
          <w:rFonts w:cs="Tahoma"/>
        </w:rPr>
        <w:t xml:space="preserve"> </w:t>
      </w:r>
      <w:r w:rsidR="00B1557D" w:rsidRPr="6DB25C72">
        <w:rPr>
          <w:rFonts w:cs="Tahoma"/>
        </w:rPr>
        <w:t xml:space="preserve">compared </w:t>
      </w:r>
      <w:r w:rsidRPr="6DB25C72">
        <w:rPr>
          <w:rFonts w:cs="Tahoma"/>
        </w:rPr>
        <w:t xml:space="preserve">to the </w:t>
      </w:r>
      <w:r w:rsidR="00226C96" w:rsidRPr="6DB25C72">
        <w:rPr>
          <w:rFonts w:cs="Tahoma"/>
        </w:rPr>
        <w:t xml:space="preserve">previous </w:t>
      </w:r>
      <w:r w:rsidRPr="6DB25C72">
        <w:rPr>
          <w:rFonts w:cs="Tahoma"/>
        </w:rPr>
        <w:t xml:space="preserve">SC guidance </w:t>
      </w:r>
      <w:r w:rsidR="00226C96" w:rsidRPr="6DB25C72">
        <w:rPr>
          <w:rFonts w:cs="Tahoma"/>
        </w:rPr>
        <w:t>(EFSA, 2017)</w:t>
      </w:r>
      <w:r w:rsidR="00F41911" w:rsidRPr="6DB25C72">
        <w:rPr>
          <w:rFonts w:cs="Tahoma"/>
        </w:rPr>
        <w:t xml:space="preserve"> </w:t>
      </w:r>
      <w:r w:rsidRPr="6DB25C72">
        <w:rPr>
          <w:rFonts w:cs="Tahoma"/>
        </w:rPr>
        <w:t>concern</w:t>
      </w:r>
      <w:r w:rsidR="00F41911" w:rsidRPr="6DB25C72">
        <w:rPr>
          <w:rFonts w:cs="Tahoma"/>
        </w:rPr>
        <w:t>s</w:t>
      </w:r>
      <w:r w:rsidRPr="6DB25C72">
        <w:rPr>
          <w:rFonts w:cs="Tahoma"/>
        </w:rPr>
        <w:t xml:space="preserve"> the section </w:t>
      </w:r>
      <w:r w:rsidR="1D7B3917" w:rsidRPr="6DB25C72">
        <w:rPr>
          <w:rFonts w:cs="Tahoma"/>
        </w:rPr>
        <w:t>2.5</w:t>
      </w:r>
      <w:r w:rsidR="37BF6A7E" w:rsidRPr="6DB25C72">
        <w:rPr>
          <w:rFonts w:cs="Tahoma"/>
        </w:rPr>
        <w:t xml:space="preserve">, in which </w:t>
      </w:r>
      <w:r w:rsidR="45856DD0" w:rsidRPr="6DB25C72">
        <w:rPr>
          <w:rFonts w:cs="Tahoma"/>
        </w:rPr>
        <w:t xml:space="preserve">a change from </w:t>
      </w:r>
      <w:r w:rsidR="45856DD0">
        <w:t>the</w:t>
      </w:r>
      <w:r>
        <w:t xml:space="preserve"> </w:t>
      </w:r>
      <w:r w:rsidR="45856DD0">
        <w:t>frequentist</w:t>
      </w:r>
      <w:r>
        <w:t xml:space="preserve"> </w:t>
      </w:r>
      <w:r w:rsidR="45856DD0">
        <w:t xml:space="preserve">to the Bayesian </w:t>
      </w:r>
      <w:r w:rsidR="001626D8">
        <w:t>paradigm</w:t>
      </w:r>
      <w:r w:rsidR="45856DD0">
        <w:t xml:space="preserve"> is recommended. </w:t>
      </w:r>
      <w:r w:rsidR="1C9101D9">
        <w:t xml:space="preserve">In the former, uncertainty about the unknown parameters is measured by confidence and significance levels, </w:t>
      </w:r>
      <w:proofErr w:type="gramStart"/>
      <w:r w:rsidR="1C9101D9">
        <w:t>interpreted</w:t>
      </w:r>
      <w:proofErr w:type="gramEnd"/>
      <w:r w:rsidR="1C9101D9">
        <w:t xml:space="preserve"> and calibrated under hypothetical repetition</w:t>
      </w:r>
      <w:r w:rsidR="008E4F7C">
        <w:t>,</w:t>
      </w:r>
      <w:r w:rsidR="77C9BFFE">
        <w:t xml:space="preserve"> while</w:t>
      </w:r>
      <w:r w:rsidR="45856DD0">
        <w:t xml:space="preserve"> probability distributions are attached to the unknown parameters</w:t>
      </w:r>
      <w:r w:rsidR="0CD66CAA">
        <w:t xml:space="preserve"> in </w:t>
      </w:r>
      <w:r w:rsidR="45856DD0">
        <w:t xml:space="preserve">the </w:t>
      </w:r>
      <w:r w:rsidR="0CD66CAA">
        <w:t>Ba</w:t>
      </w:r>
      <w:r w:rsidR="0E343783">
        <w:t>y</w:t>
      </w:r>
      <w:r w:rsidR="0CD66CAA">
        <w:t>esian</w:t>
      </w:r>
      <w:r>
        <w:t xml:space="preserve"> approach</w:t>
      </w:r>
      <w:r w:rsidR="45856DD0">
        <w:t>, and the notion of probability is extended so that it reflects uncertainty of knowledge</w:t>
      </w:r>
      <w:r w:rsidR="135DDA6C">
        <w:t>.</w:t>
      </w:r>
      <w:r w:rsidR="37BF6A7E" w:rsidRPr="6DB25C72">
        <w:rPr>
          <w:rFonts w:cs="Tahoma"/>
        </w:rPr>
        <w:t xml:space="preserve"> </w:t>
      </w:r>
      <w:r w:rsidRPr="6DB25C72">
        <w:rPr>
          <w:rFonts w:cs="Tahoma"/>
        </w:rPr>
        <w:t xml:space="preserve">Model averaging is </w:t>
      </w:r>
      <w:r w:rsidR="1A456955" w:rsidRPr="6DB25C72">
        <w:rPr>
          <w:rFonts w:cs="Tahoma"/>
        </w:rPr>
        <w:t xml:space="preserve">again </w:t>
      </w:r>
      <w:r w:rsidRPr="6DB25C72">
        <w:rPr>
          <w:rFonts w:cs="Tahoma"/>
        </w:rPr>
        <w:t xml:space="preserve">recommended as the preferred method for </w:t>
      </w:r>
      <w:r w:rsidR="00B14486" w:rsidRPr="6DB25C72">
        <w:rPr>
          <w:rFonts w:cs="Tahoma"/>
        </w:rPr>
        <w:t xml:space="preserve">estimating the </w:t>
      </w:r>
      <w:r w:rsidR="00795E7B" w:rsidRPr="6DB25C72">
        <w:rPr>
          <w:rFonts w:cs="Tahoma"/>
        </w:rPr>
        <w:t xml:space="preserve">BMD and </w:t>
      </w:r>
      <w:r w:rsidRPr="6DB25C72">
        <w:rPr>
          <w:rFonts w:cs="Tahoma"/>
        </w:rPr>
        <w:t>calculat</w:t>
      </w:r>
      <w:r w:rsidR="008E187C" w:rsidRPr="6DB25C72">
        <w:rPr>
          <w:rFonts w:cs="Tahoma"/>
        </w:rPr>
        <w:t xml:space="preserve">ing </w:t>
      </w:r>
      <w:r w:rsidR="00795E7B" w:rsidRPr="6DB25C72">
        <w:rPr>
          <w:rFonts w:cs="Tahoma"/>
        </w:rPr>
        <w:t xml:space="preserve">its </w:t>
      </w:r>
      <w:r w:rsidR="5F5C7023" w:rsidRPr="6DB25C72">
        <w:rPr>
          <w:rFonts w:cs="Tahoma"/>
        </w:rPr>
        <w:t xml:space="preserve">credible </w:t>
      </w:r>
      <w:r w:rsidR="008E187C" w:rsidRPr="6DB25C72">
        <w:rPr>
          <w:rFonts w:cs="Tahoma"/>
        </w:rPr>
        <w:t>interval</w:t>
      </w:r>
      <w:r w:rsidR="00D14CF9" w:rsidRPr="6DB25C72">
        <w:rPr>
          <w:rFonts w:cs="Tahoma"/>
        </w:rPr>
        <w:t xml:space="preserve">. </w:t>
      </w:r>
      <w:r w:rsidRPr="6DB25C72">
        <w:rPr>
          <w:rFonts w:cs="Tahoma"/>
        </w:rPr>
        <w:t xml:space="preserve">The set of default models to be used for BMD analysis has been reviewed and </w:t>
      </w:r>
      <w:r w:rsidR="51B727AA" w:rsidRPr="6DB25C72">
        <w:rPr>
          <w:rFonts w:cs="Tahoma"/>
        </w:rPr>
        <w:t>amended so that there is now a single set</w:t>
      </w:r>
      <w:r w:rsidR="5B93F117" w:rsidRPr="6DB25C72">
        <w:rPr>
          <w:rFonts w:cs="Tahoma"/>
        </w:rPr>
        <w:t xml:space="preserve"> </w:t>
      </w:r>
      <w:r w:rsidR="51B727AA" w:rsidRPr="6DB25C72">
        <w:rPr>
          <w:rFonts w:cs="Tahoma"/>
        </w:rPr>
        <w:t>of models for both quantal and</w:t>
      </w:r>
      <w:r w:rsidR="0DE94C47" w:rsidRPr="6DB25C72">
        <w:rPr>
          <w:rFonts w:cs="Tahoma"/>
        </w:rPr>
        <w:t xml:space="preserve"> continuous data</w:t>
      </w:r>
      <w:r w:rsidRPr="6DB25C72">
        <w:rPr>
          <w:rFonts w:cs="Tahoma"/>
        </w:rPr>
        <w:t xml:space="preserve">. </w:t>
      </w:r>
      <w:r w:rsidR="009C7A6D" w:rsidRPr="6DB25C72">
        <w:rPr>
          <w:rFonts w:cs="Tahoma"/>
        </w:rPr>
        <w:t>The</w:t>
      </w:r>
      <w:r w:rsidRPr="6DB25C72">
        <w:rPr>
          <w:rFonts w:cs="Tahoma"/>
        </w:rPr>
        <w:t xml:space="preserve"> flow chart </w:t>
      </w:r>
      <w:r w:rsidR="009C7A6D" w:rsidRPr="6DB25C72">
        <w:rPr>
          <w:rFonts w:cs="Tahoma"/>
        </w:rPr>
        <w:t xml:space="preserve">guiding the reader step-by-step when performing a BMD analysis </w:t>
      </w:r>
      <w:r w:rsidRPr="6DB25C72">
        <w:rPr>
          <w:rFonts w:cs="Tahoma"/>
        </w:rPr>
        <w:t>has also been update</w:t>
      </w:r>
      <w:r w:rsidR="009C7A6D" w:rsidRPr="6DB25C72">
        <w:rPr>
          <w:rFonts w:cs="Tahoma"/>
        </w:rPr>
        <w:t>d</w:t>
      </w:r>
      <w:r w:rsidRPr="6DB25C72">
        <w:rPr>
          <w:rFonts w:cs="Tahoma"/>
        </w:rPr>
        <w:t xml:space="preserve">, </w:t>
      </w:r>
      <w:r w:rsidR="009C7A6D" w:rsidRPr="6DB25C72">
        <w:rPr>
          <w:rFonts w:cs="Tahoma"/>
        </w:rPr>
        <w:t>and</w:t>
      </w:r>
      <w:r w:rsidRPr="6DB25C72">
        <w:rPr>
          <w:rFonts w:cs="Tahoma"/>
        </w:rPr>
        <w:t xml:space="preserve"> a </w:t>
      </w:r>
      <w:r w:rsidR="00D14CF9" w:rsidRPr="6DB25C72">
        <w:rPr>
          <w:rFonts w:cs="Tahoma"/>
        </w:rPr>
        <w:t xml:space="preserve">chapter </w:t>
      </w:r>
      <w:r w:rsidR="3157EE47" w:rsidRPr="6DB25C72">
        <w:rPr>
          <w:rFonts w:cs="Tahoma"/>
        </w:rPr>
        <w:t xml:space="preserve">comparing the </w:t>
      </w:r>
      <w:r w:rsidR="3157EE47">
        <w:t xml:space="preserve">frequentist to the Bayesian </w:t>
      </w:r>
      <w:r w:rsidR="060B37E4">
        <w:t>paradigm</w:t>
      </w:r>
      <w:r w:rsidR="009C7A6D">
        <w:t xml:space="preserve"> inserted</w:t>
      </w:r>
      <w:r w:rsidRPr="6DB25C72">
        <w:rPr>
          <w:rFonts w:cs="Tahoma"/>
        </w:rPr>
        <w:t xml:space="preserve">. </w:t>
      </w:r>
      <w:r w:rsidR="747072DC" w:rsidRPr="6DB25C72">
        <w:rPr>
          <w:rFonts w:cs="Tahoma"/>
        </w:rPr>
        <w:t>Also</w:t>
      </w:r>
      <w:r w:rsidR="6187C5D5" w:rsidRPr="6DB25C72">
        <w:rPr>
          <w:rFonts w:cs="Tahoma"/>
        </w:rPr>
        <w:t>,</w:t>
      </w:r>
      <w:r w:rsidR="747072DC" w:rsidRPr="6DB25C72">
        <w:rPr>
          <w:rFonts w:cs="Tahoma"/>
        </w:rPr>
        <w:t xml:space="preserve"> when using Bayesian</w:t>
      </w:r>
      <w:r w:rsidR="20DFB01D" w:rsidRPr="6DB25C72">
        <w:rPr>
          <w:rFonts w:cs="Tahoma"/>
        </w:rPr>
        <w:t xml:space="preserve"> BMD modelling,</w:t>
      </w:r>
      <w:r w:rsidR="747072DC" w:rsidRPr="6DB25C72">
        <w:rPr>
          <w:rFonts w:cs="Tahoma"/>
        </w:rPr>
        <w:t xml:space="preserve"> </w:t>
      </w:r>
      <w:r w:rsidR="5B565036" w:rsidRPr="6DB25C72">
        <w:rPr>
          <w:rFonts w:cs="Tahoma"/>
        </w:rPr>
        <w:t>t</w:t>
      </w:r>
      <w:r w:rsidRPr="6DB25C72">
        <w:rPr>
          <w:rFonts w:cs="Tahoma"/>
        </w:rPr>
        <w:t xml:space="preserve">he lower bound (BMDL) is </w:t>
      </w:r>
      <w:r w:rsidR="00407F0E" w:rsidRPr="6DB25C72">
        <w:rPr>
          <w:rFonts w:cs="Tahoma"/>
        </w:rPr>
        <w:t>to be considered</w:t>
      </w:r>
      <w:r w:rsidRPr="6DB25C72">
        <w:rPr>
          <w:rFonts w:cs="Tahoma"/>
        </w:rPr>
        <w:t xml:space="preserve"> as potential RP, and the upper bound (BMDU) is needed for establishing the</w:t>
      </w:r>
      <w:r w:rsidR="009D7CC7" w:rsidRPr="6DB25C72">
        <w:rPr>
          <w:rFonts w:cs="Tahoma"/>
        </w:rPr>
        <w:t xml:space="preserve"> BMDU/BMDL</w:t>
      </w:r>
      <w:r w:rsidR="00EC380F" w:rsidRPr="6DB25C72">
        <w:rPr>
          <w:rFonts w:cs="Tahoma"/>
        </w:rPr>
        <w:t xml:space="preserve"> </w:t>
      </w:r>
      <w:r w:rsidR="009D7CC7" w:rsidRPr="6DB25C72">
        <w:rPr>
          <w:rFonts w:cs="Tahoma"/>
        </w:rPr>
        <w:t>ratio reflecting the</w:t>
      </w:r>
      <w:r w:rsidRPr="6DB25C72">
        <w:rPr>
          <w:rFonts w:cs="Tahoma"/>
        </w:rPr>
        <w:t xml:space="preserve"> uncertainty in the BMD estimate. </w:t>
      </w:r>
      <w:r w:rsidR="009D7348" w:rsidRPr="6DB25C72">
        <w:rPr>
          <w:rFonts w:cs="Tahoma"/>
        </w:rPr>
        <w:t xml:space="preserve">This updated guidance does not call for a general re-evaluation of previous assessments where the NOAEL approach or the BMD approach as described in the 2009 </w:t>
      </w:r>
      <w:r w:rsidR="00EC380F" w:rsidRPr="6DB25C72">
        <w:rPr>
          <w:rFonts w:cs="Tahoma"/>
        </w:rPr>
        <w:t xml:space="preserve">or 2017 </w:t>
      </w:r>
      <w:r w:rsidR="009D7348" w:rsidRPr="6DB25C72">
        <w:rPr>
          <w:rFonts w:cs="Tahoma"/>
        </w:rPr>
        <w:t>SC guidance was used, in particular when the exposure is clearly smaller (</w:t>
      </w:r>
      <w:proofErr w:type="gramStart"/>
      <w:r w:rsidR="009D7348" w:rsidRPr="6DB25C72">
        <w:rPr>
          <w:rFonts w:cs="Tahoma"/>
        </w:rPr>
        <w:t>e.g.</w:t>
      </w:r>
      <w:proofErr w:type="gramEnd"/>
      <w:r w:rsidR="009D7348" w:rsidRPr="6DB25C72">
        <w:rPr>
          <w:rFonts w:cs="Tahoma"/>
        </w:rPr>
        <w:t xml:space="preserve"> more than one order of magnitude) than the health-based guidance value</w:t>
      </w:r>
      <w:r w:rsidRPr="6DB25C72">
        <w:rPr>
          <w:rFonts w:cs="Tahoma"/>
        </w:rPr>
        <w:t xml:space="preserve">. Finally, the </w:t>
      </w:r>
      <w:r w:rsidR="003A5D7C" w:rsidRPr="6DB25C72">
        <w:rPr>
          <w:rFonts w:cs="Tahoma"/>
        </w:rPr>
        <w:t>SC</w:t>
      </w:r>
      <w:r w:rsidRPr="6DB25C72">
        <w:rPr>
          <w:rFonts w:cs="Tahoma"/>
        </w:rPr>
        <w:t xml:space="preserve"> firmly reiterate</w:t>
      </w:r>
      <w:r w:rsidR="00DB00D3" w:rsidRPr="6DB25C72">
        <w:rPr>
          <w:rFonts w:cs="Tahoma"/>
        </w:rPr>
        <w:t>s</w:t>
      </w:r>
      <w:r w:rsidRPr="6DB25C72">
        <w:rPr>
          <w:rFonts w:cs="Tahoma"/>
        </w:rPr>
        <w:t xml:space="preserve"> </w:t>
      </w:r>
      <w:r w:rsidR="009D7CC7" w:rsidRPr="6DB25C72">
        <w:rPr>
          <w:rFonts w:cs="Tahoma"/>
        </w:rPr>
        <w:t xml:space="preserve">to </w:t>
      </w:r>
      <w:r w:rsidR="00DF3551" w:rsidRPr="6DB25C72">
        <w:rPr>
          <w:rFonts w:cs="Tahoma"/>
        </w:rPr>
        <w:t>re</w:t>
      </w:r>
      <w:r w:rsidR="009D7CC7" w:rsidRPr="6DB25C72">
        <w:rPr>
          <w:rFonts w:cs="Tahoma"/>
        </w:rPr>
        <w:t xml:space="preserve">consider </w:t>
      </w:r>
      <w:r w:rsidRPr="6DB25C72">
        <w:rPr>
          <w:rFonts w:cs="Tahoma"/>
        </w:rPr>
        <w:t>test guidelines given the wide application of the BMD approach.</w:t>
      </w:r>
    </w:p>
    <w:p w14:paraId="29D6B04F" w14:textId="4F3AF8D9" w:rsidR="00214C6C" w:rsidRPr="007F1F73" w:rsidRDefault="007F1F73" w:rsidP="00214C6C">
      <w:pPr>
        <w:pStyle w:val="EFSABodytext"/>
        <w:rPr>
          <w:b/>
          <w:bCs/>
          <w:i/>
          <w:iCs/>
        </w:rPr>
      </w:pPr>
      <w:r w:rsidRPr="007F1F73">
        <w:rPr>
          <w:b/>
          <w:bCs/>
          <w:i/>
          <w:iCs/>
        </w:rPr>
        <w:t>[2</w:t>
      </w:r>
      <w:r w:rsidR="005E171D">
        <w:rPr>
          <w:b/>
          <w:bCs/>
          <w:i/>
          <w:iCs/>
        </w:rPr>
        <w:t>8</w:t>
      </w:r>
      <w:r w:rsidR="00322E28">
        <w:rPr>
          <w:b/>
          <w:bCs/>
          <w:i/>
          <w:iCs/>
        </w:rPr>
        <w:t>6</w:t>
      </w:r>
      <w:r w:rsidRPr="007F1F73">
        <w:rPr>
          <w:b/>
          <w:bCs/>
          <w:i/>
          <w:iCs/>
        </w:rPr>
        <w:t xml:space="preserve"> words]</w:t>
      </w:r>
    </w:p>
    <w:p w14:paraId="22D1DB76" w14:textId="6B57B332" w:rsidR="00214C6C" w:rsidRDefault="0048503C" w:rsidP="00214C6C">
      <w:pPr>
        <w:pStyle w:val="EFSABodytext"/>
      </w:pPr>
      <w:r>
        <w:rPr>
          <w:b/>
        </w:rPr>
        <w:t>Key</w:t>
      </w:r>
      <w:r w:rsidR="00214C6C" w:rsidRPr="00384332">
        <w:rPr>
          <w:b/>
        </w:rPr>
        <w:t>words:</w:t>
      </w:r>
      <w:r w:rsidR="00214C6C" w:rsidRPr="002303D1">
        <w:t xml:space="preserve"> </w:t>
      </w:r>
      <w:r w:rsidR="009279D9">
        <w:tab/>
      </w:r>
      <w:r w:rsidR="009279D9" w:rsidRPr="00367B5F">
        <w:t xml:space="preserve">Benchmark dose, BMD, BMDL, </w:t>
      </w:r>
      <w:r w:rsidR="009279D9">
        <w:t xml:space="preserve">benchmark response, </w:t>
      </w:r>
      <w:r w:rsidR="009279D9" w:rsidRPr="00367B5F">
        <w:t xml:space="preserve">NOAEL, dose-response </w:t>
      </w:r>
      <w:r w:rsidR="003E6361">
        <w:tab/>
      </w:r>
      <w:r w:rsidR="003E6361">
        <w:tab/>
      </w:r>
      <w:r w:rsidR="009279D9">
        <w:tab/>
      </w:r>
      <w:r w:rsidR="009279D9" w:rsidRPr="00367B5F">
        <w:t>model</w:t>
      </w:r>
      <w:r w:rsidR="009279D9">
        <w:t xml:space="preserve">ling, </w:t>
      </w:r>
      <w:r w:rsidR="009279D9" w:rsidRPr="005B0605">
        <w:t>BMD software</w:t>
      </w:r>
    </w:p>
    <w:p w14:paraId="0A37501D" w14:textId="77777777" w:rsidR="00214C6C" w:rsidRDefault="00214C6C" w:rsidP="00214C6C">
      <w:pPr>
        <w:pStyle w:val="EFSABodytext"/>
      </w:pPr>
    </w:p>
    <w:p w14:paraId="3461D779" w14:textId="77777777" w:rsidR="00214C6C" w:rsidRDefault="00214C6C" w:rsidP="00214C6C">
      <w:pPr>
        <w:tabs>
          <w:tab w:val="right" w:pos="9923"/>
        </w:tabs>
      </w:pPr>
    </w:p>
    <w:p w14:paraId="3CF2D8B6" w14:textId="77777777" w:rsidR="00214C6C" w:rsidRDefault="00214C6C" w:rsidP="00214C6C">
      <w:pPr>
        <w:spacing w:after="0"/>
        <w:sectPr w:rsidR="00214C6C" w:rsidSect="0068202A">
          <w:headerReference w:type="default" r:id="rId12"/>
          <w:footerReference w:type="default" r:id="rId13"/>
          <w:headerReference w:type="first" r:id="rId14"/>
          <w:footerReference w:type="first" r:id="rId15"/>
          <w:pgSz w:w="11906" w:h="16838" w:code="9"/>
          <w:pgMar w:top="1418" w:right="1418" w:bottom="1418" w:left="1418" w:header="709" w:footer="709" w:gutter="0"/>
          <w:lnNumType w:countBy="1" w:restart="continuous"/>
          <w:cols w:space="720"/>
          <w:vAlign w:val="bottom"/>
          <w:docGrid w:linePitch="360" w:charSpace="2047"/>
        </w:sectPr>
      </w:pPr>
    </w:p>
    <w:p w14:paraId="08423271" w14:textId="77777777" w:rsidR="00214C6C" w:rsidRPr="00952D08" w:rsidRDefault="00214C6C" w:rsidP="00214C6C">
      <w:pPr>
        <w:pStyle w:val="EFSAHeading1nonumber"/>
        <w:pageBreakBefore/>
      </w:pPr>
      <w:bookmarkStart w:id="5" w:name="_Toc399503950"/>
      <w:bookmarkStart w:id="6" w:name="_Toc399850637"/>
      <w:bookmarkStart w:id="7" w:name="_Toc405560700"/>
      <w:bookmarkStart w:id="8" w:name="_Toc94255323"/>
      <w:r>
        <w:t>Summary</w:t>
      </w:r>
      <w:bookmarkEnd w:id="5"/>
      <w:bookmarkEnd w:id="6"/>
      <w:bookmarkEnd w:id="7"/>
      <w:bookmarkEnd w:id="8"/>
    </w:p>
    <w:p w14:paraId="42325AE5" w14:textId="77777777" w:rsidR="00570569" w:rsidRPr="00B23CD8" w:rsidRDefault="00570569" w:rsidP="00B23CD8">
      <w:pPr>
        <w:pStyle w:val="EFSABodytext"/>
      </w:pPr>
      <w:r w:rsidRPr="00B23CD8">
        <w:t>Considering the need for transparent and scientifically justifiable approache</w:t>
      </w:r>
      <w:r w:rsidRPr="00B23CD8">
        <w:rPr>
          <w:rStyle w:val="EFSABodytextCharChar"/>
          <w:sz w:val="20"/>
          <w:szCs w:val="20"/>
        </w:rPr>
        <w:t>s to be used when risks are assessed by the Scientific Committee</w:t>
      </w:r>
      <w:r w:rsidR="00D14CF9">
        <w:rPr>
          <w:rStyle w:val="EFSABodytextCharChar"/>
          <w:sz w:val="20"/>
          <w:szCs w:val="20"/>
        </w:rPr>
        <w:t xml:space="preserve"> (SC)</w:t>
      </w:r>
      <w:r w:rsidRPr="00B23CD8">
        <w:rPr>
          <w:rStyle w:val="EFSABodytextCharChar"/>
          <w:sz w:val="20"/>
          <w:szCs w:val="20"/>
        </w:rPr>
        <w:t xml:space="preserve"> an</w:t>
      </w:r>
      <w:r w:rsidRPr="00B23CD8">
        <w:t xml:space="preserve">d the Scientific Panels of EFSA, the SC was requested in 2005 by EFSA </w:t>
      </w:r>
      <w:proofErr w:type="spellStart"/>
      <w:r w:rsidRPr="00B23CD8">
        <w:t>i</w:t>
      </w:r>
      <w:proofErr w:type="spellEnd"/>
      <w:r w:rsidRPr="00B23CD8">
        <w:t>) to assess the existing information on the utility of the benchmark dose (BMD) approach, as an alternative to the tra</w:t>
      </w:r>
      <w:r w:rsidRPr="00B23CD8">
        <w:rPr>
          <w:rStyle w:val="EFSABodytextCharChar"/>
          <w:sz w:val="20"/>
          <w:szCs w:val="20"/>
        </w:rPr>
        <w:t xml:space="preserve">ditionally used NOAEL approach, ii) </w:t>
      </w:r>
      <w:r w:rsidRPr="00B23CD8">
        <w:t>to provide guidance on how to use the BMD approach for analysing dose-response data from experimental animal studies, and iii) to look at the possible application of this approach to data from observational epidemiological studies</w:t>
      </w:r>
      <w:r w:rsidRPr="00B23CD8">
        <w:rPr>
          <w:rStyle w:val="EFSABodytextCharChar"/>
          <w:sz w:val="20"/>
          <w:szCs w:val="20"/>
        </w:rPr>
        <w:t>.</w:t>
      </w:r>
      <w:r w:rsidR="00A33969">
        <w:rPr>
          <w:rStyle w:val="EFSABodytextCharChar"/>
          <w:sz w:val="20"/>
          <w:szCs w:val="20"/>
        </w:rPr>
        <w:t xml:space="preserve"> </w:t>
      </w:r>
    </w:p>
    <w:p w14:paraId="7D09D3F4" w14:textId="67F31992" w:rsidR="00570569" w:rsidRDefault="00570569" w:rsidP="00570569">
      <w:pPr>
        <w:pStyle w:val="EFSABodytext"/>
      </w:pPr>
      <w:r>
        <w:t>A guidance document on the use of the benchmark dose approach in risk assessment was published in 2009. In 2015, the SC reviewed the implementation of the BMD approach in EFSA’s work,</w:t>
      </w:r>
      <w:r w:rsidRPr="00BE166E">
        <w:t xml:space="preserve"> </w:t>
      </w:r>
      <w:r>
        <w:t>the experie</w:t>
      </w:r>
      <w:r w:rsidR="000B2D01">
        <w:t>nce gained with its application</w:t>
      </w:r>
      <w:r>
        <w:t xml:space="preserve"> and the latest methodological developments in regulatory risk </w:t>
      </w:r>
      <w:proofErr w:type="gramStart"/>
      <w:r>
        <w:t>assessment, and</w:t>
      </w:r>
      <w:proofErr w:type="gramEnd"/>
      <w:r>
        <w:t xml:space="preserve"> concluded that an update of its guidance from 2009 was necessary. </w:t>
      </w:r>
      <w:proofErr w:type="gramStart"/>
      <w:r w:rsidR="5AB8461D">
        <w:t>As a consequence</w:t>
      </w:r>
      <w:proofErr w:type="gramEnd"/>
      <w:r w:rsidR="5AB8461D">
        <w:t>, an updated guidance document was published in 2017</w:t>
      </w:r>
      <w:r w:rsidR="1E5A77C8">
        <w:t>.</w:t>
      </w:r>
      <w:r w:rsidR="5AB8461D">
        <w:t xml:space="preserve"> </w:t>
      </w:r>
      <w:r>
        <w:t xml:space="preserve">Most of the modifications made </w:t>
      </w:r>
      <w:r w:rsidR="32C7A06B">
        <w:t>at the</w:t>
      </w:r>
      <w:r>
        <w:t xml:space="preserve"> </w:t>
      </w:r>
      <w:r w:rsidR="32C7A06B">
        <w:t>time</w:t>
      </w:r>
      <w:r>
        <w:t xml:space="preserve"> concern</w:t>
      </w:r>
      <w:r w:rsidR="1A96764C">
        <w:t>ed</w:t>
      </w:r>
      <w:r>
        <w:t xml:space="preserve"> the section providing guidance on</w:t>
      </w:r>
      <w:r w:rsidRPr="00367B5F">
        <w:t xml:space="preserve"> how</w:t>
      </w:r>
      <w:r>
        <w:t xml:space="preserve"> to apply</w:t>
      </w:r>
      <w:r w:rsidRPr="00367B5F">
        <w:t xml:space="preserve"> the BMD approach in practice</w:t>
      </w:r>
      <w:r>
        <w:t xml:space="preserve">. Model averaging </w:t>
      </w:r>
      <w:r w:rsidR="3BAB45E8">
        <w:t>was</w:t>
      </w:r>
      <w:r w:rsidR="00C061A0">
        <w:t xml:space="preserve"> </w:t>
      </w:r>
      <w:r>
        <w:t>recommended as the preferred method for calculating the BMD confidence interval,</w:t>
      </w:r>
      <w:r w:rsidRPr="003B3280">
        <w:t xml:space="preserve"> </w:t>
      </w:r>
      <w:r>
        <w:t xml:space="preserve">while acknowledging that the respective tools </w:t>
      </w:r>
      <w:r w:rsidR="6EFB90C3">
        <w:t xml:space="preserve">were </w:t>
      </w:r>
      <w:r>
        <w:t xml:space="preserve">still under development. </w:t>
      </w:r>
    </w:p>
    <w:p w14:paraId="6CDC7819" w14:textId="454042C8" w:rsidR="00570569" w:rsidRPr="004B5ACB" w:rsidRDefault="005A75FA" w:rsidP="00570569">
      <w:pPr>
        <w:pStyle w:val="EFSABodytext"/>
      </w:pPr>
      <w:r>
        <w:t xml:space="preserve">Following a workshop organised by EFSA in March 2017 to discuss commonalities and divergences in the various approaches for BMD analysis worldwide, </w:t>
      </w:r>
      <w:r w:rsidR="00681BFE">
        <w:t xml:space="preserve">and the </w:t>
      </w:r>
      <w:r>
        <w:t xml:space="preserve">update </w:t>
      </w:r>
      <w:r w:rsidR="00681BFE">
        <w:t xml:space="preserve">of </w:t>
      </w:r>
      <w:r>
        <w:t xml:space="preserve">the </w:t>
      </w:r>
      <w:r w:rsidR="00A61D50">
        <w:t>C</w:t>
      </w:r>
      <w:r>
        <w:t>hapter 5 on dose response assessment of WHO</w:t>
      </w:r>
      <w:r w:rsidR="00A61D50">
        <w:t>/</w:t>
      </w:r>
      <w:r>
        <w:t>IPCS Environmental Health Criteria 240 (</w:t>
      </w:r>
      <w:r w:rsidR="00FA72C8">
        <w:t xml:space="preserve">WHO, </w:t>
      </w:r>
      <w:r>
        <w:t>2020)</w:t>
      </w:r>
      <w:r w:rsidR="0035093B">
        <w:t>, the Scientific Committee decide</w:t>
      </w:r>
      <w:r w:rsidR="5CDAC66F">
        <w:t>d</w:t>
      </w:r>
      <w:r w:rsidR="0035093B">
        <w:t xml:space="preserve"> to update again its guidance</w:t>
      </w:r>
      <w:r w:rsidR="00B74818">
        <w:t xml:space="preserve"> </w:t>
      </w:r>
      <w:r w:rsidR="002E45E3">
        <w:t>in order</w:t>
      </w:r>
      <w:r w:rsidR="00B74818">
        <w:t xml:space="preserve"> </w:t>
      </w:r>
      <w:r w:rsidDel="008C282D">
        <w:t xml:space="preserve">to </w:t>
      </w:r>
      <w:r w:rsidR="008C282D">
        <w:t xml:space="preserve">align the content of the document with </w:t>
      </w:r>
      <w:r w:rsidR="00A51BA2">
        <w:t>internationally</w:t>
      </w:r>
      <w:r w:rsidR="008C282D">
        <w:t xml:space="preserve"> agreed concepts</w:t>
      </w:r>
      <w:r w:rsidR="00A51BA2">
        <w:t xml:space="preserve"> related to benchmark dose analysis</w:t>
      </w:r>
      <w:r w:rsidR="008C282D">
        <w:t>, and therefore harmonise further EFSA’s approach with those of its partners</w:t>
      </w:r>
      <w:r w:rsidR="004B5ACB">
        <w:t xml:space="preserve">. </w:t>
      </w:r>
      <w:r w:rsidR="62CFDC21" w:rsidRPr="6DB25C72">
        <w:rPr>
          <w:rFonts w:cs="Tahoma"/>
        </w:rPr>
        <w:t xml:space="preserve">The major change to the update of the SC </w:t>
      </w:r>
      <w:r w:rsidR="0028444D" w:rsidRPr="12B8674C">
        <w:rPr>
          <w:rFonts w:cs="Tahoma"/>
        </w:rPr>
        <w:t>Guidance</w:t>
      </w:r>
      <w:r w:rsidR="62CFDC21" w:rsidRPr="6DB25C72">
        <w:rPr>
          <w:rFonts w:cs="Tahoma"/>
        </w:rPr>
        <w:t xml:space="preserve"> of 2017 concern</w:t>
      </w:r>
      <w:r w:rsidR="00AA63C8" w:rsidRPr="6DB25C72">
        <w:rPr>
          <w:rFonts w:cs="Tahoma"/>
        </w:rPr>
        <w:t>s</w:t>
      </w:r>
      <w:r w:rsidR="62CFDC21" w:rsidRPr="6DB25C72">
        <w:rPr>
          <w:rFonts w:cs="Tahoma"/>
        </w:rPr>
        <w:t xml:space="preserve"> the </w:t>
      </w:r>
      <w:r w:rsidR="00EC3C71">
        <w:rPr>
          <w:rFonts w:cs="Tahoma"/>
        </w:rPr>
        <w:t>S</w:t>
      </w:r>
      <w:r w:rsidR="62CFDC21" w:rsidRPr="12B8674C">
        <w:rPr>
          <w:rFonts w:cs="Tahoma"/>
        </w:rPr>
        <w:t>ection</w:t>
      </w:r>
      <w:r w:rsidR="62CFDC21" w:rsidRPr="6DB25C72">
        <w:rPr>
          <w:rFonts w:cs="Tahoma"/>
        </w:rPr>
        <w:t xml:space="preserve"> 2.5, in which a change from </w:t>
      </w:r>
      <w:r w:rsidR="62CFDC21">
        <w:t xml:space="preserve">the frequentist to the Bayesian </w:t>
      </w:r>
      <w:r w:rsidR="00D32A79">
        <w:t>paradigm</w:t>
      </w:r>
      <w:r w:rsidR="62CFDC21">
        <w:t xml:space="preserve"> is recommended. In the former, uncertainty about the unknown parameters </w:t>
      </w:r>
      <w:r w:rsidR="00D32A79">
        <w:t>was</w:t>
      </w:r>
      <w:r w:rsidR="62CFDC21">
        <w:t xml:space="preserve"> measured by confidence and significance levels, </w:t>
      </w:r>
      <w:proofErr w:type="gramStart"/>
      <w:r w:rsidR="62CFDC21">
        <w:t>interpreted</w:t>
      </w:r>
      <w:proofErr w:type="gramEnd"/>
      <w:r w:rsidR="62CFDC21">
        <w:t xml:space="preserve"> and calibrated under hypothetical repetition</w:t>
      </w:r>
      <w:r w:rsidR="00D32A79">
        <w:t>,</w:t>
      </w:r>
      <w:r w:rsidR="62CFDC21">
        <w:t xml:space="preserve"> while probability distributions are attached to the unknown parameters in the Bayesian approach, and the notion of probability is extended so that it reflects uncertainty of knowledge.</w:t>
      </w:r>
      <w:r w:rsidR="62CFDC21" w:rsidRPr="6DB25C72">
        <w:rPr>
          <w:rFonts w:cs="Tahoma"/>
        </w:rPr>
        <w:t xml:space="preserve"> Model averaging is again recommended as the preferred method for calculating the BMD credible interval. The set of default models to be used for BMD analysis has been reviewed and amended so that there is now a single set of models for both quantal and continuous data. </w:t>
      </w:r>
      <w:r w:rsidR="00915BE9">
        <w:t>The</w:t>
      </w:r>
      <w:r w:rsidR="00570569">
        <w:t xml:space="preserve"> flow chart </w:t>
      </w:r>
      <w:r w:rsidR="00915BE9">
        <w:t xml:space="preserve">guiding the reader step-by-step when performing a BMD analysis </w:t>
      </w:r>
      <w:r w:rsidR="00570569">
        <w:t>has also been update</w:t>
      </w:r>
      <w:r w:rsidR="00915BE9">
        <w:t>d, and</w:t>
      </w:r>
      <w:r w:rsidR="00570569">
        <w:t xml:space="preserve"> </w:t>
      </w:r>
      <w:r w:rsidR="00603B2A">
        <w:t xml:space="preserve">a chapter </w:t>
      </w:r>
      <w:r w:rsidR="5AC7E4BB" w:rsidRPr="6DB25C72">
        <w:rPr>
          <w:rFonts w:cs="Tahoma"/>
        </w:rPr>
        <w:t xml:space="preserve">comparing the </w:t>
      </w:r>
      <w:r w:rsidR="5AC7E4BB">
        <w:t>frequentist to the Bayesian paradigm</w:t>
      </w:r>
      <w:r w:rsidR="00915BE9">
        <w:t xml:space="preserve"> inserted.</w:t>
      </w:r>
      <w:r w:rsidR="5AC7E4BB">
        <w:t xml:space="preserve"> </w:t>
      </w:r>
      <w:r w:rsidR="04BF4A68" w:rsidRPr="6DB25C72">
        <w:rPr>
          <w:rFonts w:cs="Tahoma"/>
        </w:rPr>
        <w:t>Also</w:t>
      </w:r>
      <w:r w:rsidR="64E37A74" w:rsidRPr="6DB25C72">
        <w:rPr>
          <w:rFonts w:cs="Tahoma"/>
        </w:rPr>
        <w:t>,</w:t>
      </w:r>
      <w:r w:rsidR="04BF4A68" w:rsidRPr="6DB25C72">
        <w:rPr>
          <w:rFonts w:cs="Tahoma"/>
        </w:rPr>
        <w:t xml:space="preserve"> when using Bayesian BMD modelling,</w:t>
      </w:r>
      <w:r w:rsidR="04BF4A68">
        <w:t xml:space="preserve"> </w:t>
      </w:r>
      <w:r w:rsidR="00C631B5">
        <w:t xml:space="preserve">the potential Reference Point (RP) is provided by </w:t>
      </w:r>
      <w:r w:rsidR="04BF4A68">
        <w:t>t</w:t>
      </w:r>
      <w:r w:rsidR="00B24644">
        <w:t>he lower bound (BMDL)</w:t>
      </w:r>
      <w:r w:rsidR="001067FD">
        <w:t xml:space="preserve"> of the credible interval</w:t>
      </w:r>
      <w:r w:rsidR="00B24644">
        <w:t xml:space="preserve">, and the upper bound (BMDU) is needed for establishing the BMDU/BMDL ratio, which reflects the uncertainty </w:t>
      </w:r>
      <w:r w:rsidR="001067FD">
        <w:t>around</w:t>
      </w:r>
      <w:r w:rsidR="00B24644">
        <w:t xml:space="preserve"> the BMD estimate.</w:t>
      </w:r>
      <w:r w:rsidR="00A33969">
        <w:t xml:space="preserve"> </w:t>
      </w:r>
    </w:p>
    <w:p w14:paraId="350A8372" w14:textId="37E5262E" w:rsidR="00570569" w:rsidRDefault="6770887F" w:rsidP="00570569">
      <w:pPr>
        <w:pStyle w:val="EFSABodytext"/>
      </w:pPr>
      <w:r>
        <w:t xml:space="preserve">The </w:t>
      </w:r>
      <w:r w:rsidR="45D06268">
        <w:t>SC</w:t>
      </w:r>
      <w:r>
        <w:t xml:space="preserve"> reconfirms in t</w:t>
      </w:r>
      <w:r w:rsidRPr="5979428D">
        <w:rPr>
          <w:color w:val="000000" w:themeColor="text1"/>
        </w:rPr>
        <w:t>h</w:t>
      </w:r>
      <w:r w:rsidR="004C68CE" w:rsidRPr="5979428D">
        <w:rPr>
          <w:color w:val="000000" w:themeColor="text1"/>
        </w:rPr>
        <w:t>e</w:t>
      </w:r>
      <w:r w:rsidRPr="5979428D">
        <w:rPr>
          <w:color w:val="000000" w:themeColor="text1"/>
        </w:rPr>
        <w:t xml:space="preserve"> </w:t>
      </w:r>
      <w:r w:rsidR="705CC3DE" w:rsidRPr="5979428D">
        <w:rPr>
          <w:color w:val="000000" w:themeColor="text1"/>
        </w:rPr>
        <w:t xml:space="preserve">present </w:t>
      </w:r>
      <w:r w:rsidRPr="5979428D">
        <w:rPr>
          <w:color w:val="000000" w:themeColor="text1"/>
        </w:rPr>
        <w:t>updated guidance that the BMD approach</w:t>
      </w:r>
      <w:r w:rsidR="2A317E8E" w:rsidRPr="5979428D">
        <w:rPr>
          <w:color w:val="000000" w:themeColor="text1"/>
        </w:rPr>
        <w:t>, and more specifically model averaging,</w:t>
      </w:r>
      <w:r w:rsidRPr="5979428D">
        <w:rPr>
          <w:color w:val="000000" w:themeColor="text1"/>
        </w:rPr>
        <w:t xml:space="preserve"> should be used for deriv</w:t>
      </w:r>
      <w:r w:rsidRPr="5979428D">
        <w:rPr>
          <w:rFonts w:cs="Tahoma"/>
          <w:color w:val="000000" w:themeColor="text1"/>
        </w:rPr>
        <w:t xml:space="preserve">ing a RP from the critical dose-response data to establish health-based guidance values </w:t>
      </w:r>
      <w:r w:rsidR="009E5818">
        <w:rPr>
          <w:rFonts w:cs="Tahoma"/>
          <w:color w:val="000000" w:themeColor="text1"/>
        </w:rPr>
        <w:t xml:space="preserve">(HBGVs) </w:t>
      </w:r>
      <w:r w:rsidRPr="5979428D">
        <w:rPr>
          <w:rFonts w:cs="Tahoma"/>
          <w:color w:val="000000" w:themeColor="text1"/>
        </w:rPr>
        <w:t xml:space="preserve">and margins of exposure. </w:t>
      </w:r>
      <w:r w:rsidR="30801257" w:rsidRPr="5979428D">
        <w:rPr>
          <w:rFonts w:cs="Tahoma"/>
          <w:color w:val="000000" w:themeColor="text1"/>
        </w:rPr>
        <w:t xml:space="preserve">This updated guidance does not call for a general re-evaluation of previous assessments where the NOAEL approach or the BMD approach as described in the 2009 </w:t>
      </w:r>
      <w:r w:rsidR="00954E82">
        <w:rPr>
          <w:rFonts w:cs="Tahoma"/>
          <w:color w:val="000000" w:themeColor="text1"/>
        </w:rPr>
        <w:t xml:space="preserve">or 2017 </w:t>
      </w:r>
      <w:r w:rsidR="30801257" w:rsidRPr="5979428D">
        <w:rPr>
          <w:rFonts w:cs="Tahoma"/>
          <w:color w:val="000000" w:themeColor="text1"/>
        </w:rPr>
        <w:t xml:space="preserve">SC </w:t>
      </w:r>
      <w:r w:rsidR="00692CEE" w:rsidRPr="5979428D">
        <w:rPr>
          <w:rFonts w:cs="Tahoma"/>
          <w:color w:val="000000" w:themeColor="text1"/>
        </w:rPr>
        <w:t>Guidance</w:t>
      </w:r>
      <w:r w:rsidR="30801257" w:rsidRPr="5979428D">
        <w:rPr>
          <w:rFonts w:cs="Tahoma"/>
          <w:color w:val="000000" w:themeColor="text1"/>
        </w:rPr>
        <w:t xml:space="preserve"> was used, in particular when the exposure is clearly smaller (</w:t>
      </w:r>
      <w:proofErr w:type="gramStart"/>
      <w:r w:rsidR="30801257" w:rsidRPr="5979428D">
        <w:rPr>
          <w:rFonts w:cs="Tahoma"/>
          <w:color w:val="000000" w:themeColor="text1"/>
        </w:rPr>
        <w:t>e.g.</w:t>
      </w:r>
      <w:proofErr w:type="gramEnd"/>
      <w:r w:rsidR="30801257" w:rsidRPr="5979428D">
        <w:rPr>
          <w:rFonts w:cs="Tahoma"/>
          <w:color w:val="000000" w:themeColor="text1"/>
        </w:rPr>
        <w:t xml:space="preserve"> more than one order of magnitude) than the </w:t>
      </w:r>
      <w:r w:rsidR="009E5818">
        <w:rPr>
          <w:rFonts w:cs="Tahoma"/>
          <w:color w:val="000000" w:themeColor="text1"/>
        </w:rPr>
        <w:t>HBGV</w:t>
      </w:r>
      <w:r w:rsidR="30801257" w:rsidRPr="5979428D">
        <w:rPr>
          <w:rFonts w:cs="Tahoma"/>
          <w:color w:val="000000" w:themeColor="text1"/>
        </w:rPr>
        <w:t>.</w:t>
      </w:r>
      <w:r w:rsidRPr="5979428D">
        <w:rPr>
          <w:rFonts w:cs="Tahoma"/>
          <w:color w:val="000000" w:themeColor="text1"/>
        </w:rPr>
        <w:t xml:space="preserve"> </w:t>
      </w:r>
      <w:r w:rsidR="70316D68" w:rsidRPr="5979428D">
        <w:rPr>
          <w:rFonts w:cs="Tahoma"/>
          <w:color w:val="000000" w:themeColor="text1"/>
        </w:rPr>
        <w:t xml:space="preserve">The application of this updated guidance to previous risk assessments where the 2009 </w:t>
      </w:r>
      <w:r w:rsidR="13306541" w:rsidRPr="5979428D">
        <w:rPr>
          <w:rFonts w:cs="Tahoma"/>
          <w:color w:val="000000" w:themeColor="text1"/>
        </w:rPr>
        <w:t xml:space="preserve">or 2017 </w:t>
      </w:r>
      <w:r w:rsidR="70316D68" w:rsidRPr="5979428D">
        <w:rPr>
          <w:rFonts w:cs="Tahoma"/>
          <w:color w:val="000000" w:themeColor="text1"/>
        </w:rPr>
        <w:t xml:space="preserve">guidance was used might result in different RPs, </w:t>
      </w:r>
      <w:proofErr w:type="gramStart"/>
      <w:r w:rsidR="70316D68" w:rsidRPr="5979428D">
        <w:rPr>
          <w:rFonts w:cs="Tahoma"/>
          <w:color w:val="000000" w:themeColor="text1"/>
        </w:rPr>
        <w:t xml:space="preserve">in particular </w:t>
      </w:r>
      <w:r w:rsidR="45F6F512" w:rsidRPr="5979428D">
        <w:rPr>
          <w:rFonts w:cs="Tahoma"/>
          <w:color w:val="000000" w:themeColor="text1"/>
        </w:rPr>
        <w:t>in</w:t>
      </w:r>
      <w:proofErr w:type="gramEnd"/>
      <w:r w:rsidR="45F6F512" w:rsidRPr="5979428D">
        <w:rPr>
          <w:rFonts w:cs="Tahoma"/>
          <w:color w:val="000000" w:themeColor="text1"/>
        </w:rPr>
        <w:t xml:space="preserve"> the case of continuous response data </w:t>
      </w:r>
      <w:r w:rsidR="071650B7" w:rsidRPr="5979428D">
        <w:rPr>
          <w:rFonts w:cs="Tahoma"/>
          <w:color w:val="000000" w:themeColor="text1"/>
        </w:rPr>
        <w:t>where informative priors are used.</w:t>
      </w:r>
      <w:r w:rsidR="45F6F512" w:rsidRPr="5979428D">
        <w:rPr>
          <w:rFonts w:cs="Tahoma"/>
          <w:color w:val="000000" w:themeColor="text1"/>
        </w:rPr>
        <w:t xml:space="preserve"> </w:t>
      </w:r>
    </w:p>
    <w:p w14:paraId="60BE8529" w14:textId="2C6E8359" w:rsidR="00570569" w:rsidRDefault="00570569" w:rsidP="00570569">
      <w:pPr>
        <w:pStyle w:val="EFSABodytext"/>
      </w:pPr>
      <w:r>
        <w:t xml:space="preserve">The </w:t>
      </w:r>
      <w:r w:rsidR="00D14CF9">
        <w:t>SC</w:t>
      </w:r>
      <w:r>
        <w:t xml:space="preserve"> </w:t>
      </w:r>
      <w:r w:rsidRPr="000E3346">
        <w:t>rec</w:t>
      </w:r>
      <w:r>
        <w:t xml:space="preserve">ommends </w:t>
      </w:r>
      <w:r w:rsidR="00B436FC" w:rsidRPr="00B32A68">
        <w:t xml:space="preserve">that training in dose-response modelling and the use of </w:t>
      </w:r>
      <w:r w:rsidR="00FE42CF">
        <w:t>the BMD application hosted in the R4EU servers</w:t>
      </w:r>
      <w:r w:rsidR="00B436FC" w:rsidRPr="00B32A68">
        <w:t xml:space="preserve"> continues to be offered to experts in the </w:t>
      </w:r>
      <w:r w:rsidR="00784527">
        <w:t>S</w:t>
      </w:r>
      <w:r w:rsidR="00B436FC" w:rsidRPr="00B32A68">
        <w:t>cientific Panels and EFSA Units.</w:t>
      </w:r>
      <w:r w:rsidR="00B436FC">
        <w:t xml:space="preserve"> </w:t>
      </w:r>
      <w:r w:rsidR="134A64E0">
        <w:t xml:space="preserve">Furthermore, the </w:t>
      </w:r>
      <w:r w:rsidR="00665477">
        <w:t xml:space="preserve">option </w:t>
      </w:r>
      <w:r w:rsidR="00F07753">
        <w:t xml:space="preserve">for the </w:t>
      </w:r>
      <w:r w:rsidR="006A4053">
        <w:t>C</w:t>
      </w:r>
      <w:r w:rsidR="00A16734">
        <w:t>ross-</w:t>
      </w:r>
      <w:r w:rsidR="006A4053">
        <w:t>C</w:t>
      </w:r>
      <w:r w:rsidR="00A16734">
        <w:t>utting</w:t>
      </w:r>
      <w:r>
        <w:t xml:space="preserve"> Working Group on BMD analysis </w:t>
      </w:r>
      <w:r w:rsidRPr="000E3346">
        <w:t xml:space="preserve">to </w:t>
      </w:r>
      <w:r>
        <w:t xml:space="preserve">be consulted by EFSA experts and staff if needed, </w:t>
      </w:r>
      <w:r w:rsidR="16396AEA">
        <w:t>should be maintained</w:t>
      </w:r>
      <w:r w:rsidR="00B436FC">
        <w:t>.</w:t>
      </w:r>
      <w:r w:rsidR="0094239D">
        <w:t xml:space="preserve"> </w:t>
      </w:r>
    </w:p>
    <w:p w14:paraId="741FEDE8" w14:textId="31744E27" w:rsidR="00214C6C" w:rsidRDefault="009616BA" w:rsidP="00186CB7">
      <w:pPr>
        <w:pStyle w:val="EFSABodytext"/>
      </w:pPr>
      <w:r>
        <w:t>F</w:t>
      </w:r>
      <w:r w:rsidR="00B43532">
        <w:t>inally</w:t>
      </w:r>
      <w:r>
        <w:t>,</w:t>
      </w:r>
      <w:r w:rsidR="00B43532">
        <w:t xml:space="preserve"> </w:t>
      </w:r>
      <w:r>
        <w:t>t</w:t>
      </w:r>
      <w:r w:rsidR="00570569">
        <w:t xml:space="preserve">he </w:t>
      </w:r>
      <w:r w:rsidR="00D14CF9">
        <w:t>SC</w:t>
      </w:r>
      <w:r w:rsidR="00570569">
        <w:t xml:space="preserve"> </w:t>
      </w:r>
      <w:r w:rsidR="0094239D">
        <w:t>firmly reiterate</w:t>
      </w:r>
      <w:r w:rsidR="00DB00D3">
        <w:t>s</w:t>
      </w:r>
      <w:r w:rsidR="0094239D">
        <w:t xml:space="preserve"> </w:t>
      </w:r>
      <w:r w:rsidR="00570569">
        <w:t xml:space="preserve">the need for </w:t>
      </w:r>
      <w:r w:rsidR="00A97F9D">
        <w:t>current</w:t>
      </w:r>
      <w:r w:rsidR="00570569">
        <w:t xml:space="preserve"> toxicity test guidelines to be reconsidered given the wide a</w:t>
      </w:r>
      <w:r w:rsidR="00B436FC">
        <w:t>pplication of the BMD approach</w:t>
      </w:r>
      <w:r w:rsidR="47D61992">
        <w:t>, as well as the need for a specific guidance on the use of the BMD approach to analyse human data.</w:t>
      </w:r>
    </w:p>
    <w:p w14:paraId="3B15387E" w14:textId="76D3D4D2" w:rsidR="00214C6C" w:rsidRDefault="00214C6C" w:rsidP="00186CB7">
      <w:pPr>
        <w:pStyle w:val="EFSABodytext"/>
      </w:pPr>
    </w:p>
    <w:p w14:paraId="0FB78278" w14:textId="77777777" w:rsidR="00B30F05" w:rsidRDefault="00B30F05" w:rsidP="00186CB7">
      <w:pPr>
        <w:pStyle w:val="EFSABodytext"/>
      </w:pPr>
    </w:p>
    <w:p w14:paraId="1FC39945" w14:textId="77777777" w:rsidR="00B30F05" w:rsidRDefault="00B30F05" w:rsidP="00186CB7">
      <w:pPr>
        <w:pStyle w:val="EFSABodytext"/>
      </w:pPr>
    </w:p>
    <w:p w14:paraId="3735CF94" w14:textId="77777777" w:rsidR="00214C6C" w:rsidRPr="00347022" w:rsidRDefault="00214C6C" w:rsidP="00214C6C">
      <w:pPr>
        <w:spacing w:before="240"/>
        <w:rPr>
          <w:rFonts w:ascii="Tahoma" w:hAnsi="Tahoma" w:cs="Tahoma"/>
          <w:b/>
          <w:sz w:val="24"/>
          <w:szCs w:val="24"/>
        </w:rPr>
      </w:pPr>
      <w:bookmarkStart w:id="9" w:name="_Toc399503951"/>
      <w:bookmarkStart w:id="10" w:name="_Toc399850638"/>
      <w:bookmarkStart w:id="11" w:name="_Toc400616575"/>
      <w:r w:rsidRPr="00347022">
        <w:rPr>
          <w:rFonts w:ascii="Tahoma" w:hAnsi="Tahoma" w:cs="Tahoma"/>
          <w:b/>
          <w:sz w:val="24"/>
          <w:szCs w:val="24"/>
        </w:rPr>
        <w:t>Table of contents</w:t>
      </w:r>
      <w:bookmarkEnd w:id="9"/>
      <w:bookmarkEnd w:id="10"/>
      <w:bookmarkEnd w:id="11"/>
    </w:p>
    <w:sdt>
      <w:sdtPr>
        <w:rPr>
          <w:rFonts w:asciiTheme="minorHAnsi" w:eastAsiaTheme="minorHAnsi" w:hAnsiTheme="minorHAnsi" w:cstheme="minorBidi"/>
          <w:b w:val="0"/>
          <w:bCs w:val="0"/>
          <w:color w:val="auto"/>
          <w:sz w:val="22"/>
          <w:szCs w:val="22"/>
          <w:shd w:val="clear" w:color="auto" w:fill="E6E6E6"/>
          <w:lang w:val="en-GB" w:eastAsia="en-US"/>
        </w:rPr>
        <w:id w:val="806053902"/>
        <w:docPartObj>
          <w:docPartGallery w:val="Table of Contents"/>
          <w:docPartUnique/>
        </w:docPartObj>
      </w:sdtPr>
      <w:sdtEndPr/>
      <w:sdtContent>
        <w:p w14:paraId="2946DB82" w14:textId="77777777" w:rsidR="001219D4" w:rsidRPr="001219D4" w:rsidRDefault="001219D4">
          <w:pPr>
            <w:pStyle w:val="TOCHeading"/>
            <w:rPr>
              <w:rStyle w:val="EFSAHeading1nonumberChar"/>
              <w:color w:val="auto"/>
              <w:sz w:val="2"/>
              <w:szCs w:val="2"/>
            </w:rPr>
          </w:pPr>
        </w:p>
        <w:p w14:paraId="5568A050" w14:textId="0AF3EF3A" w:rsidR="00B6074D" w:rsidRDefault="00046C2A">
          <w:pPr>
            <w:pStyle w:val="TOC1"/>
            <w:rPr>
              <w:rFonts w:asciiTheme="minorHAnsi" w:eastAsiaTheme="minorEastAsia" w:hAnsiTheme="minorHAnsi" w:cstheme="minorBidi"/>
              <w:noProof/>
              <w:sz w:val="22"/>
              <w:szCs w:val="22"/>
            </w:rPr>
          </w:pPr>
          <w:r>
            <w:rPr>
              <w:color w:val="2B579A"/>
              <w:shd w:val="clear" w:color="auto" w:fill="E6E6E6"/>
            </w:rPr>
            <w:fldChar w:fldCharType="begin"/>
          </w:r>
          <w:r>
            <w:instrText xml:space="preserve"> TOC \h \z \t "EFSA_Appendix title,1,EFSA_Heading 1 (no number),1,EFSA_Heading 1,1,EFSA_Heading 2,2,EFSA_Heading 3,3,EFSA_Annex title,1" </w:instrText>
          </w:r>
          <w:r>
            <w:rPr>
              <w:color w:val="2B579A"/>
              <w:shd w:val="clear" w:color="auto" w:fill="E6E6E6"/>
            </w:rPr>
            <w:fldChar w:fldCharType="separate"/>
          </w:r>
          <w:hyperlink w:anchor="_Toc94255322" w:history="1">
            <w:r w:rsidR="00B6074D" w:rsidRPr="00FE1F5F">
              <w:rPr>
                <w:rStyle w:val="Hyperlink"/>
                <w:noProof/>
              </w:rPr>
              <w:t>Abstract</w:t>
            </w:r>
            <w:r w:rsidR="00B6074D">
              <w:rPr>
                <w:noProof/>
                <w:webHidden/>
              </w:rPr>
              <w:tab/>
            </w:r>
            <w:r w:rsidR="00B6074D">
              <w:rPr>
                <w:noProof/>
                <w:webHidden/>
              </w:rPr>
              <w:fldChar w:fldCharType="begin"/>
            </w:r>
            <w:r w:rsidR="00B6074D">
              <w:rPr>
                <w:noProof/>
                <w:webHidden/>
              </w:rPr>
              <w:instrText xml:space="preserve"> PAGEREF _Toc94255322 \h </w:instrText>
            </w:r>
            <w:r w:rsidR="00B6074D">
              <w:rPr>
                <w:noProof/>
                <w:webHidden/>
              </w:rPr>
            </w:r>
            <w:r w:rsidR="00B6074D">
              <w:rPr>
                <w:noProof/>
                <w:webHidden/>
              </w:rPr>
              <w:fldChar w:fldCharType="separate"/>
            </w:r>
            <w:r w:rsidR="00B6074D">
              <w:rPr>
                <w:noProof/>
                <w:webHidden/>
              </w:rPr>
              <w:t>2</w:t>
            </w:r>
            <w:r w:rsidR="00B6074D">
              <w:rPr>
                <w:noProof/>
                <w:webHidden/>
              </w:rPr>
              <w:fldChar w:fldCharType="end"/>
            </w:r>
          </w:hyperlink>
        </w:p>
        <w:p w14:paraId="29DB0FB4" w14:textId="740708B3" w:rsidR="00B6074D" w:rsidRDefault="009615DC">
          <w:pPr>
            <w:pStyle w:val="TOC1"/>
            <w:rPr>
              <w:rFonts w:asciiTheme="minorHAnsi" w:eastAsiaTheme="minorEastAsia" w:hAnsiTheme="minorHAnsi" w:cstheme="minorBidi"/>
              <w:noProof/>
              <w:sz w:val="22"/>
              <w:szCs w:val="22"/>
            </w:rPr>
          </w:pPr>
          <w:hyperlink w:anchor="_Toc94255323" w:history="1">
            <w:r w:rsidR="00B6074D" w:rsidRPr="00FE1F5F">
              <w:rPr>
                <w:rStyle w:val="Hyperlink"/>
                <w:noProof/>
              </w:rPr>
              <w:t>Summary</w:t>
            </w:r>
            <w:r w:rsidR="00B6074D">
              <w:rPr>
                <w:noProof/>
                <w:webHidden/>
              </w:rPr>
              <w:tab/>
            </w:r>
            <w:r w:rsidR="00B6074D">
              <w:rPr>
                <w:noProof/>
                <w:webHidden/>
              </w:rPr>
              <w:fldChar w:fldCharType="begin"/>
            </w:r>
            <w:r w:rsidR="00B6074D">
              <w:rPr>
                <w:noProof/>
                <w:webHidden/>
              </w:rPr>
              <w:instrText xml:space="preserve"> PAGEREF _Toc94255323 \h </w:instrText>
            </w:r>
            <w:r w:rsidR="00B6074D">
              <w:rPr>
                <w:noProof/>
                <w:webHidden/>
              </w:rPr>
            </w:r>
            <w:r w:rsidR="00B6074D">
              <w:rPr>
                <w:noProof/>
                <w:webHidden/>
              </w:rPr>
              <w:fldChar w:fldCharType="separate"/>
            </w:r>
            <w:r w:rsidR="00B6074D">
              <w:rPr>
                <w:noProof/>
                <w:webHidden/>
              </w:rPr>
              <w:t>3</w:t>
            </w:r>
            <w:r w:rsidR="00B6074D">
              <w:rPr>
                <w:noProof/>
                <w:webHidden/>
              </w:rPr>
              <w:fldChar w:fldCharType="end"/>
            </w:r>
          </w:hyperlink>
        </w:p>
        <w:p w14:paraId="53F642C8" w14:textId="781FA331" w:rsidR="00B6074D" w:rsidRDefault="009615DC">
          <w:pPr>
            <w:pStyle w:val="TOC1"/>
            <w:rPr>
              <w:rFonts w:asciiTheme="minorHAnsi" w:eastAsiaTheme="minorEastAsia" w:hAnsiTheme="minorHAnsi" w:cstheme="minorBidi"/>
              <w:noProof/>
              <w:sz w:val="22"/>
              <w:szCs w:val="22"/>
            </w:rPr>
          </w:pPr>
          <w:hyperlink w:anchor="_Toc94255324" w:history="1">
            <w:r w:rsidR="00B6074D" w:rsidRPr="00FE1F5F">
              <w:rPr>
                <w:rStyle w:val="Hyperlink"/>
                <w:noProof/>
              </w:rPr>
              <w:t>1.</w:t>
            </w:r>
            <w:r w:rsidR="00B6074D">
              <w:rPr>
                <w:rFonts w:asciiTheme="minorHAnsi" w:eastAsiaTheme="minorEastAsia" w:hAnsiTheme="minorHAnsi" w:cstheme="minorBidi"/>
                <w:noProof/>
                <w:sz w:val="22"/>
                <w:szCs w:val="22"/>
              </w:rPr>
              <w:tab/>
            </w:r>
            <w:r w:rsidR="00B6074D" w:rsidRPr="00FE1F5F">
              <w:rPr>
                <w:rStyle w:val="Hyperlink"/>
                <w:noProof/>
              </w:rPr>
              <w:t>Background</w:t>
            </w:r>
            <w:r w:rsidR="00B6074D">
              <w:rPr>
                <w:noProof/>
                <w:webHidden/>
              </w:rPr>
              <w:tab/>
            </w:r>
            <w:r w:rsidR="00B6074D">
              <w:rPr>
                <w:noProof/>
                <w:webHidden/>
              </w:rPr>
              <w:fldChar w:fldCharType="begin"/>
            </w:r>
            <w:r w:rsidR="00B6074D">
              <w:rPr>
                <w:noProof/>
                <w:webHidden/>
              </w:rPr>
              <w:instrText xml:space="preserve"> PAGEREF _Toc94255324 \h </w:instrText>
            </w:r>
            <w:r w:rsidR="00B6074D">
              <w:rPr>
                <w:noProof/>
                <w:webHidden/>
              </w:rPr>
            </w:r>
            <w:r w:rsidR="00B6074D">
              <w:rPr>
                <w:noProof/>
                <w:webHidden/>
              </w:rPr>
              <w:fldChar w:fldCharType="separate"/>
            </w:r>
            <w:r w:rsidR="00B6074D">
              <w:rPr>
                <w:noProof/>
                <w:webHidden/>
              </w:rPr>
              <w:t>5</w:t>
            </w:r>
            <w:r w:rsidR="00B6074D">
              <w:rPr>
                <w:noProof/>
                <w:webHidden/>
              </w:rPr>
              <w:fldChar w:fldCharType="end"/>
            </w:r>
          </w:hyperlink>
        </w:p>
        <w:p w14:paraId="296CDD0E" w14:textId="3D5A12F2" w:rsidR="00B6074D" w:rsidRDefault="009615DC">
          <w:pPr>
            <w:pStyle w:val="TOC2"/>
            <w:rPr>
              <w:rFonts w:asciiTheme="minorHAnsi" w:eastAsiaTheme="minorEastAsia" w:hAnsiTheme="minorHAnsi" w:cstheme="minorBidi"/>
              <w:noProof/>
              <w:sz w:val="22"/>
              <w:szCs w:val="22"/>
            </w:rPr>
          </w:pPr>
          <w:hyperlink w:anchor="_Toc94255325" w:history="1">
            <w:r w:rsidR="00B6074D" w:rsidRPr="00FE1F5F">
              <w:rPr>
                <w:rStyle w:val="Hyperlink"/>
                <w:noProof/>
                <w14:scene3d>
                  <w14:camera w14:prst="orthographicFront"/>
                  <w14:lightRig w14:rig="threePt" w14:dir="t">
                    <w14:rot w14:lat="0" w14:lon="0" w14:rev="0"/>
                  </w14:lightRig>
                </w14:scene3d>
              </w:rPr>
              <w:t>1.1.</w:t>
            </w:r>
            <w:r w:rsidR="00B6074D">
              <w:rPr>
                <w:rFonts w:asciiTheme="minorHAnsi" w:eastAsiaTheme="minorEastAsia" w:hAnsiTheme="minorHAnsi" w:cstheme="minorBidi"/>
                <w:noProof/>
                <w:sz w:val="22"/>
                <w:szCs w:val="22"/>
              </w:rPr>
              <w:tab/>
            </w:r>
            <w:r w:rsidR="00B6074D" w:rsidRPr="00FE1F5F">
              <w:rPr>
                <w:rStyle w:val="Hyperlink"/>
                <w:noProof/>
              </w:rPr>
              <w:t>Terms of Reference as provided by EFSA</w:t>
            </w:r>
            <w:r w:rsidR="00B6074D">
              <w:rPr>
                <w:noProof/>
                <w:webHidden/>
              </w:rPr>
              <w:tab/>
            </w:r>
            <w:r w:rsidR="00B6074D">
              <w:rPr>
                <w:noProof/>
                <w:webHidden/>
              </w:rPr>
              <w:fldChar w:fldCharType="begin"/>
            </w:r>
            <w:r w:rsidR="00B6074D">
              <w:rPr>
                <w:noProof/>
                <w:webHidden/>
              </w:rPr>
              <w:instrText xml:space="preserve"> PAGEREF _Toc94255325 \h </w:instrText>
            </w:r>
            <w:r w:rsidR="00B6074D">
              <w:rPr>
                <w:noProof/>
                <w:webHidden/>
              </w:rPr>
            </w:r>
            <w:r w:rsidR="00B6074D">
              <w:rPr>
                <w:noProof/>
                <w:webHidden/>
              </w:rPr>
              <w:fldChar w:fldCharType="separate"/>
            </w:r>
            <w:r w:rsidR="00B6074D">
              <w:rPr>
                <w:noProof/>
                <w:webHidden/>
              </w:rPr>
              <w:t>5</w:t>
            </w:r>
            <w:r w:rsidR="00B6074D">
              <w:rPr>
                <w:noProof/>
                <w:webHidden/>
              </w:rPr>
              <w:fldChar w:fldCharType="end"/>
            </w:r>
          </w:hyperlink>
        </w:p>
        <w:p w14:paraId="5069393A" w14:textId="1D239844" w:rsidR="00B6074D" w:rsidRDefault="009615DC">
          <w:pPr>
            <w:pStyle w:val="TOC2"/>
            <w:rPr>
              <w:rFonts w:asciiTheme="minorHAnsi" w:eastAsiaTheme="minorEastAsia" w:hAnsiTheme="minorHAnsi" w:cstheme="minorBidi"/>
              <w:noProof/>
              <w:sz w:val="22"/>
              <w:szCs w:val="22"/>
            </w:rPr>
          </w:pPr>
          <w:hyperlink w:anchor="_Toc94255326" w:history="1">
            <w:r w:rsidR="00B6074D" w:rsidRPr="00FE1F5F">
              <w:rPr>
                <w:rStyle w:val="Hyperlink"/>
                <w:noProof/>
                <w14:scene3d>
                  <w14:camera w14:prst="orthographicFront"/>
                  <w14:lightRig w14:rig="threePt" w14:dir="t">
                    <w14:rot w14:lat="0" w14:lon="0" w14:rev="0"/>
                  </w14:lightRig>
                </w14:scene3d>
              </w:rPr>
              <w:t>1.2.</w:t>
            </w:r>
            <w:r w:rsidR="00B6074D">
              <w:rPr>
                <w:rFonts w:asciiTheme="minorHAnsi" w:eastAsiaTheme="minorEastAsia" w:hAnsiTheme="minorHAnsi" w:cstheme="minorBidi"/>
                <w:noProof/>
                <w:sz w:val="22"/>
                <w:szCs w:val="22"/>
              </w:rPr>
              <w:tab/>
            </w:r>
            <w:r w:rsidR="00B6074D" w:rsidRPr="00FE1F5F">
              <w:rPr>
                <w:rStyle w:val="Hyperlink"/>
                <w:noProof/>
              </w:rPr>
              <w:t>Interpretation of Terms of Reference</w:t>
            </w:r>
            <w:r w:rsidR="00B6074D">
              <w:rPr>
                <w:noProof/>
                <w:webHidden/>
              </w:rPr>
              <w:tab/>
            </w:r>
            <w:r w:rsidR="00B6074D">
              <w:rPr>
                <w:noProof/>
                <w:webHidden/>
              </w:rPr>
              <w:fldChar w:fldCharType="begin"/>
            </w:r>
            <w:r w:rsidR="00B6074D">
              <w:rPr>
                <w:noProof/>
                <w:webHidden/>
              </w:rPr>
              <w:instrText xml:space="preserve"> PAGEREF _Toc94255326 \h </w:instrText>
            </w:r>
            <w:r w:rsidR="00B6074D">
              <w:rPr>
                <w:noProof/>
                <w:webHidden/>
              </w:rPr>
            </w:r>
            <w:r w:rsidR="00B6074D">
              <w:rPr>
                <w:noProof/>
                <w:webHidden/>
              </w:rPr>
              <w:fldChar w:fldCharType="separate"/>
            </w:r>
            <w:r w:rsidR="00B6074D">
              <w:rPr>
                <w:noProof/>
                <w:webHidden/>
              </w:rPr>
              <w:t>5</w:t>
            </w:r>
            <w:r w:rsidR="00B6074D">
              <w:rPr>
                <w:noProof/>
                <w:webHidden/>
              </w:rPr>
              <w:fldChar w:fldCharType="end"/>
            </w:r>
          </w:hyperlink>
        </w:p>
        <w:p w14:paraId="6FC5496C" w14:textId="33D54CCB" w:rsidR="00B6074D" w:rsidRDefault="009615DC">
          <w:pPr>
            <w:pStyle w:val="TOC1"/>
            <w:rPr>
              <w:rFonts w:asciiTheme="minorHAnsi" w:eastAsiaTheme="minorEastAsia" w:hAnsiTheme="minorHAnsi" w:cstheme="minorBidi"/>
              <w:noProof/>
              <w:sz w:val="22"/>
              <w:szCs w:val="22"/>
            </w:rPr>
          </w:pPr>
          <w:hyperlink w:anchor="_Toc94255327" w:history="1">
            <w:r w:rsidR="00B6074D" w:rsidRPr="00FE1F5F">
              <w:rPr>
                <w:rStyle w:val="Hyperlink"/>
                <w:noProof/>
              </w:rPr>
              <w:t>2.</w:t>
            </w:r>
            <w:r w:rsidR="00B6074D">
              <w:rPr>
                <w:rFonts w:asciiTheme="minorHAnsi" w:eastAsiaTheme="minorEastAsia" w:hAnsiTheme="minorHAnsi" w:cstheme="minorBidi"/>
                <w:noProof/>
                <w:sz w:val="22"/>
                <w:szCs w:val="22"/>
              </w:rPr>
              <w:tab/>
            </w:r>
            <w:r w:rsidR="00B6074D" w:rsidRPr="00FE1F5F">
              <w:rPr>
                <w:rStyle w:val="Hyperlink"/>
                <w:noProof/>
              </w:rPr>
              <w:t>Assessment</w:t>
            </w:r>
            <w:r w:rsidR="00B6074D">
              <w:rPr>
                <w:noProof/>
                <w:webHidden/>
              </w:rPr>
              <w:tab/>
            </w:r>
            <w:r w:rsidR="00B6074D">
              <w:rPr>
                <w:noProof/>
                <w:webHidden/>
              </w:rPr>
              <w:fldChar w:fldCharType="begin"/>
            </w:r>
            <w:r w:rsidR="00B6074D">
              <w:rPr>
                <w:noProof/>
                <w:webHidden/>
              </w:rPr>
              <w:instrText xml:space="preserve"> PAGEREF _Toc94255327 \h </w:instrText>
            </w:r>
            <w:r w:rsidR="00B6074D">
              <w:rPr>
                <w:noProof/>
                <w:webHidden/>
              </w:rPr>
            </w:r>
            <w:r w:rsidR="00B6074D">
              <w:rPr>
                <w:noProof/>
                <w:webHidden/>
              </w:rPr>
              <w:fldChar w:fldCharType="separate"/>
            </w:r>
            <w:r w:rsidR="00B6074D">
              <w:rPr>
                <w:noProof/>
                <w:webHidden/>
              </w:rPr>
              <w:t>7</w:t>
            </w:r>
            <w:r w:rsidR="00B6074D">
              <w:rPr>
                <w:noProof/>
                <w:webHidden/>
              </w:rPr>
              <w:fldChar w:fldCharType="end"/>
            </w:r>
          </w:hyperlink>
        </w:p>
        <w:p w14:paraId="7E9EAEE3" w14:textId="5B99B3FF" w:rsidR="00B6074D" w:rsidRDefault="009615DC">
          <w:pPr>
            <w:pStyle w:val="TOC2"/>
            <w:rPr>
              <w:rFonts w:asciiTheme="minorHAnsi" w:eastAsiaTheme="minorEastAsia" w:hAnsiTheme="minorHAnsi" w:cstheme="minorBidi"/>
              <w:noProof/>
              <w:sz w:val="22"/>
              <w:szCs w:val="22"/>
            </w:rPr>
          </w:pPr>
          <w:hyperlink w:anchor="_Toc94255328" w:history="1">
            <w:r w:rsidR="00B6074D" w:rsidRPr="00FE1F5F">
              <w:rPr>
                <w:rStyle w:val="Hyperlink"/>
                <w:noProof/>
                <w14:scene3d>
                  <w14:camera w14:prst="orthographicFront"/>
                  <w14:lightRig w14:rig="threePt" w14:dir="t">
                    <w14:rot w14:lat="0" w14:lon="0" w14:rev="0"/>
                  </w14:lightRig>
                </w14:scene3d>
              </w:rPr>
              <w:t>2.1.</w:t>
            </w:r>
            <w:r w:rsidR="00B6074D">
              <w:rPr>
                <w:rFonts w:asciiTheme="minorHAnsi" w:eastAsiaTheme="minorEastAsia" w:hAnsiTheme="minorHAnsi" w:cstheme="minorBidi"/>
                <w:noProof/>
                <w:sz w:val="22"/>
                <w:szCs w:val="22"/>
              </w:rPr>
              <w:tab/>
            </w:r>
            <w:r w:rsidR="00B6074D" w:rsidRPr="00FE1F5F">
              <w:rPr>
                <w:rStyle w:val="Hyperlink"/>
                <w:noProof/>
              </w:rPr>
              <w:t>Introduction</w:t>
            </w:r>
            <w:r w:rsidR="00B6074D">
              <w:rPr>
                <w:noProof/>
                <w:webHidden/>
              </w:rPr>
              <w:tab/>
            </w:r>
            <w:r w:rsidR="00B6074D">
              <w:rPr>
                <w:noProof/>
                <w:webHidden/>
              </w:rPr>
              <w:fldChar w:fldCharType="begin"/>
            </w:r>
            <w:r w:rsidR="00B6074D">
              <w:rPr>
                <w:noProof/>
                <w:webHidden/>
              </w:rPr>
              <w:instrText xml:space="preserve"> PAGEREF _Toc94255328 \h </w:instrText>
            </w:r>
            <w:r w:rsidR="00B6074D">
              <w:rPr>
                <w:noProof/>
                <w:webHidden/>
              </w:rPr>
            </w:r>
            <w:r w:rsidR="00B6074D">
              <w:rPr>
                <w:noProof/>
                <w:webHidden/>
              </w:rPr>
              <w:fldChar w:fldCharType="separate"/>
            </w:r>
            <w:r w:rsidR="00B6074D">
              <w:rPr>
                <w:noProof/>
                <w:webHidden/>
              </w:rPr>
              <w:t>7</w:t>
            </w:r>
            <w:r w:rsidR="00B6074D">
              <w:rPr>
                <w:noProof/>
                <w:webHidden/>
              </w:rPr>
              <w:fldChar w:fldCharType="end"/>
            </w:r>
          </w:hyperlink>
        </w:p>
        <w:p w14:paraId="28A84802" w14:textId="088CA13C" w:rsidR="00B6074D" w:rsidRDefault="009615DC">
          <w:pPr>
            <w:pStyle w:val="TOC2"/>
            <w:rPr>
              <w:rFonts w:asciiTheme="minorHAnsi" w:eastAsiaTheme="minorEastAsia" w:hAnsiTheme="minorHAnsi" w:cstheme="minorBidi"/>
              <w:noProof/>
              <w:sz w:val="22"/>
              <w:szCs w:val="22"/>
            </w:rPr>
          </w:pPr>
          <w:hyperlink w:anchor="_Toc94255329" w:history="1">
            <w:r w:rsidR="00B6074D" w:rsidRPr="00FE1F5F">
              <w:rPr>
                <w:rStyle w:val="Hyperlink"/>
                <w:noProof/>
                <w14:scene3d>
                  <w14:camera w14:prst="orthographicFront"/>
                  <w14:lightRig w14:rig="threePt" w14:dir="t">
                    <w14:rot w14:lat="0" w14:lon="0" w14:rev="0"/>
                  </w14:lightRig>
                </w14:scene3d>
              </w:rPr>
              <w:t>2.2.</w:t>
            </w:r>
            <w:r w:rsidR="00B6074D">
              <w:rPr>
                <w:rFonts w:asciiTheme="minorHAnsi" w:eastAsiaTheme="minorEastAsia" w:hAnsiTheme="minorHAnsi" w:cstheme="minorBidi"/>
                <w:noProof/>
                <w:sz w:val="22"/>
                <w:szCs w:val="22"/>
              </w:rPr>
              <w:tab/>
            </w:r>
            <w:r w:rsidR="00B6074D" w:rsidRPr="00FE1F5F">
              <w:rPr>
                <w:rStyle w:val="Hyperlink"/>
                <w:noProof/>
              </w:rPr>
              <w:t>Hazard identification: selection of potential critical endpoints</w:t>
            </w:r>
            <w:r w:rsidR="00B6074D">
              <w:rPr>
                <w:noProof/>
                <w:webHidden/>
              </w:rPr>
              <w:tab/>
            </w:r>
            <w:r w:rsidR="00B6074D">
              <w:rPr>
                <w:noProof/>
                <w:webHidden/>
              </w:rPr>
              <w:fldChar w:fldCharType="begin"/>
            </w:r>
            <w:r w:rsidR="00B6074D">
              <w:rPr>
                <w:noProof/>
                <w:webHidden/>
              </w:rPr>
              <w:instrText xml:space="preserve"> PAGEREF _Toc94255329 \h </w:instrText>
            </w:r>
            <w:r w:rsidR="00B6074D">
              <w:rPr>
                <w:noProof/>
                <w:webHidden/>
              </w:rPr>
            </w:r>
            <w:r w:rsidR="00B6074D">
              <w:rPr>
                <w:noProof/>
                <w:webHidden/>
              </w:rPr>
              <w:fldChar w:fldCharType="separate"/>
            </w:r>
            <w:r w:rsidR="00B6074D">
              <w:rPr>
                <w:noProof/>
                <w:webHidden/>
              </w:rPr>
              <w:t>8</w:t>
            </w:r>
            <w:r w:rsidR="00B6074D">
              <w:rPr>
                <w:noProof/>
                <w:webHidden/>
              </w:rPr>
              <w:fldChar w:fldCharType="end"/>
            </w:r>
          </w:hyperlink>
        </w:p>
        <w:p w14:paraId="5ADF2CD9" w14:textId="350116B9" w:rsidR="00B6074D" w:rsidRDefault="009615DC">
          <w:pPr>
            <w:pStyle w:val="TOC2"/>
            <w:rPr>
              <w:rFonts w:asciiTheme="minorHAnsi" w:eastAsiaTheme="minorEastAsia" w:hAnsiTheme="minorHAnsi" w:cstheme="minorBidi"/>
              <w:noProof/>
              <w:sz w:val="22"/>
              <w:szCs w:val="22"/>
            </w:rPr>
          </w:pPr>
          <w:hyperlink w:anchor="_Toc94255330" w:history="1">
            <w:r w:rsidR="00B6074D" w:rsidRPr="00FE1F5F">
              <w:rPr>
                <w:rStyle w:val="Hyperlink"/>
                <w:noProof/>
                <w14:scene3d>
                  <w14:camera w14:prst="orthographicFront"/>
                  <w14:lightRig w14:rig="threePt" w14:dir="t">
                    <w14:rot w14:lat="0" w14:lon="0" w14:rev="0"/>
                  </w14:lightRig>
                </w14:scene3d>
              </w:rPr>
              <w:t>2.3.</w:t>
            </w:r>
            <w:r w:rsidR="00B6074D">
              <w:rPr>
                <w:rFonts w:asciiTheme="minorHAnsi" w:eastAsiaTheme="minorEastAsia" w:hAnsiTheme="minorHAnsi" w:cstheme="minorBidi"/>
                <w:noProof/>
                <w:sz w:val="22"/>
                <w:szCs w:val="22"/>
              </w:rPr>
              <w:tab/>
            </w:r>
            <w:r w:rsidR="00B6074D" w:rsidRPr="00FE1F5F">
              <w:rPr>
                <w:rStyle w:val="Hyperlink"/>
                <w:noProof/>
              </w:rPr>
              <w:t>Using dose-response data in hazard characterisation</w:t>
            </w:r>
            <w:r w:rsidR="00B6074D">
              <w:rPr>
                <w:noProof/>
                <w:webHidden/>
              </w:rPr>
              <w:tab/>
            </w:r>
            <w:r w:rsidR="00B6074D">
              <w:rPr>
                <w:noProof/>
                <w:webHidden/>
              </w:rPr>
              <w:fldChar w:fldCharType="begin"/>
            </w:r>
            <w:r w:rsidR="00B6074D">
              <w:rPr>
                <w:noProof/>
                <w:webHidden/>
              </w:rPr>
              <w:instrText xml:space="preserve"> PAGEREF _Toc94255330 \h </w:instrText>
            </w:r>
            <w:r w:rsidR="00B6074D">
              <w:rPr>
                <w:noProof/>
                <w:webHidden/>
              </w:rPr>
            </w:r>
            <w:r w:rsidR="00B6074D">
              <w:rPr>
                <w:noProof/>
                <w:webHidden/>
              </w:rPr>
              <w:fldChar w:fldCharType="separate"/>
            </w:r>
            <w:r w:rsidR="00B6074D">
              <w:rPr>
                <w:noProof/>
                <w:webHidden/>
              </w:rPr>
              <w:t>8</w:t>
            </w:r>
            <w:r w:rsidR="00B6074D">
              <w:rPr>
                <w:noProof/>
                <w:webHidden/>
              </w:rPr>
              <w:fldChar w:fldCharType="end"/>
            </w:r>
          </w:hyperlink>
        </w:p>
        <w:p w14:paraId="3EC85C8B" w14:textId="05A7A595" w:rsidR="00B6074D" w:rsidRDefault="009615DC">
          <w:pPr>
            <w:pStyle w:val="TOC3"/>
            <w:rPr>
              <w:rFonts w:asciiTheme="minorHAnsi" w:eastAsiaTheme="minorEastAsia" w:hAnsiTheme="minorHAnsi" w:cstheme="minorBidi"/>
              <w:noProof/>
              <w:sz w:val="22"/>
              <w:szCs w:val="22"/>
            </w:rPr>
          </w:pPr>
          <w:hyperlink w:anchor="_Toc94255331" w:history="1">
            <w:r w:rsidR="00B6074D" w:rsidRPr="00FE1F5F">
              <w:rPr>
                <w:rStyle w:val="Hyperlink"/>
                <w:noProof/>
              </w:rPr>
              <w:t>2.3.1.</w:t>
            </w:r>
            <w:r w:rsidR="00B6074D">
              <w:rPr>
                <w:rFonts w:asciiTheme="minorHAnsi" w:eastAsiaTheme="minorEastAsia" w:hAnsiTheme="minorHAnsi" w:cstheme="minorBidi"/>
                <w:noProof/>
                <w:sz w:val="22"/>
                <w:szCs w:val="22"/>
              </w:rPr>
              <w:tab/>
            </w:r>
            <w:r w:rsidR="00B6074D" w:rsidRPr="00FE1F5F">
              <w:rPr>
                <w:rStyle w:val="Hyperlink"/>
                <w:noProof/>
              </w:rPr>
              <w:t>The NOAEL approach</w:t>
            </w:r>
            <w:r w:rsidR="00B6074D">
              <w:rPr>
                <w:noProof/>
                <w:webHidden/>
              </w:rPr>
              <w:tab/>
            </w:r>
            <w:r w:rsidR="00B6074D">
              <w:rPr>
                <w:noProof/>
                <w:webHidden/>
              </w:rPr>
              <w:fldChar w:fldCharType="begin"/>
            </w:r>
            <w:r w:rsidR="00B6074D">
              <w:rPr>
                <w:noProof/>
                <w:webHidden/>
              </w:rPr>
              <w:instrText xml:space="preserve"> PAGEREF _Toc94255331 \h </w:instrText>
            </w:r>
            <w:r w:rsidR="00B6074D">
              <w:rPr>
                <w:noProof/>
                <w:webHidden/>
              </w:rPr>
            </w:r>
            <w:r w:rsidR="00B6074D">
              <w:rPr>
                <w:noProof/>
                <w:webHidden/>
              </w:rPr>
              <w:fldChar w:fldCharType="separate"/>
            </w:r>
            <w:r w:rsidR="00B6074D">
              <w:rPr>
                <w:noProof/>
                <w:webHidden/>
              </w:rPr>
              <w:t>8</w:t>
            </w:r>
            <w:r w:rsidR="00B6074D">
              <w:rPr>
                <w:noProof/>
                <w:webHidden/>
              </w:rPr>
              <w:fldChar w:fldCharType="end"/>
            </w:r>
          </w:hyperlink>
        </w:p>
        <w:p w14:paraId="279326ED" w14:textId="3D00BF27" w:rsidR="00B6074D" w:rsidRDefault="009615DC">
          <w:pPr>
            <w:pStyle w:val="TOC3"/>
            <w:rPr>
              <w:rFonts w:asciiTheme="minorHAnsi" w:eastAsiaTheme="minorEastAsia" w:hAnsiTheme="minorHAnsi" w:cstheme="minorBidi"/>
              <w:noProof/>
              <w:sz w:val="22"/>
              <w:szCs w:val="22"/>
            </w:rPr>
          </w:pPr>
          <w:hyperlink w:anchor="_Toc94255332" w:history="1">
            <w:r w:rsidR="00B6074D" w:rsidRPr="00FE1F5F">
              <w:rPr>
                <w:rStyle w:val="Hyperlink"/>
                <w:noProof/>
              </w:rPr>
              <w:t>2.3.2.</w:t>
            </w:r>
            <w:r w:rsidR="00B6074D">
              <w:rPr>
                <w:rFonts w:asciiTheme="minorHAnsi" w:eastAsiaTheme="minorEastAsia" w:hAnsiTheme="minorHAnsi" w:cstheme="minorBidi"/>
                <w:noProof/>
                <w:sz w:val="22"/>
                <w:szCs w:val="22"/>
              </w:rPr>
              <w:tab/>
            </w:r>
            <w:r w:rsidR="00B6074D" w:rsidRPr="00FE1F5F">
              <w:rPr>
                <w:rStyle w:val="Hyperlink"/>
                <w:noProof/>
              </w:rPr>
              <w:t>The BMD approach</w:t>
            </w:r>
            <w:r w:rsidR="00B6074D">
              <w:rPr>
                <w:noProof/>
                <w:webHidden/>
              </w:rPr>
              <w:tab/>
            </w:r>
            <w:r w:rsidR="00B6074D">
              <w:rPr>
                <w:noProof/>
                <w:webHidden/>
              </w:rPr>
              <w:fldChar w:fldCharType="begin"/>
            </w:r>
            <w:r w:rsidR="00B6074D">
              <w:rPr>
                <w:noProof/>
                <w:webHidden/>
              </w:rPr>
              <w:instrText xml:space="preserve"> PAGEREF _Toc94255332 \h </w:instrText>
            </w:r>
            <w:r w:rsidR="00B6074D">
              <w:rPr>
                <w:noProof/>
                <w:webHidden/>
              </w:rPr>
            </w:r>
            <w:r w:rsidR="00B6074D">
              <w:rPr>
                <w:noProof/>
                <w:webHidden/>
              </w:rPr>
              <w:fldChar w:fldCharType="separate"/>
            </w:r>
            <w:r w:rsidR="00B6074D">
              <w:rPr>
                <w:noProof/>
                <w:webHidden/>
              </w:rPr>
              <w:t>9</w:t>
            </w:r>
            <w:r w:rsidR="00B6074D">
              <w:rPr>
                <w:noProof/>
                <w:webHidden/>
              </w:rPr>
              <w:fldChar w:fldCharType="end"/>
            </w:r>
          </w:hyperlink>
        </w:p>
        <w:p w14:paraId="53491130" w14:textId="69757BAB" w:rsidR="00B6074D" w:rsidRDefault="009615DC">
          <w:pPr>
            <w:pStyle w:val="TOC3"/>
            <w:rPr>
              <w:rFonts w:asciiTheme="minorHAnsi" w:eastAsiaTheme="minorEastAsia" w:hAnsiTheme="minorHAnsi" w:cstheme="minorBidi"/>
              <w:noProof/>
              <w:sz w:val="22"/>
              <w:szCs w:val="22"/>
            </w:rPr>
          </w:pPr>
          <w:hyperlink w:anchor="_Toc94255333" w:history="1">
            <w:r w:rsidR="00B6074D" w:rsidRPr="00FE1F5F">
              <w:rPr>
                <w:rStyle w:val="Hyperlink"/>
                <w:noProof/>
              </w:rPr>
              <w:t>2.3.3.</w:t>
            </w:r>
            <w:r w:rsidR="00B6074D">
              <w:rPr>
                <w:rFonts w:asciiTheme="minorHAnsi" w:eastAsiaTheme="minorEastAsia" w:hAnsiTheme="minorHAnsi" w:cstheme="minorBidi"/>
                <w:noProof/>
                <w:sz w:val="22"/>
                <w:szCs w:val="22"/>
              </w:rPr>
              <w:tab/>
            </w:r>
            <w:r w:rsidR="00B6074D" w:rsidRPr="00FE1F5F">
              <w:rPr>
                <w:rStyle w:val="Hyperlink"/>
                <w:noProof/>
              </w:rPr>
              <w:t>Interpretation and properties of the NOAEL and the BMDL</w:t>
            </w:r>
            <w:r w:rsidR="00B6074D">
              <w:rPr>
                <w:noProof/>
                <w:webHidden/>
              </w:rPr>
              <w:tab/>
            </w:r>
            <w:r w:rsidR="00B6074D">
              <w:rPr>
                <w:noProof/>
                <w:webHidden/>
              </w:rPr>
              <w:fldChar w:fldCharType="begin"/>
            </w:r>
            <w:r w:rsidR="00B6074D">
              <w:rPr>
                <w:noProof/>
                <w:webHidden/>
              </w:rPr>
              <w:instrText xml:space="preserve"> PAGEREF _Toc94255333 \h </w:instrText>
            </w:r>
            <w:r w:rsidR="00B6074D">
              <w:rPr>
                <w:noProof/>
                <w:webHidden/>
              </w:rPr>
            </w:r>
            <w:r w:rsidR="00B6074D">
              <w:rPr>
                <w:noProof/>
                <w:webHidden/>
              </w:rPr>
              <w:fldChar w:fldCharType="separate"/>
            </w:r>
            <w:r w:rsidR="00B6074D">
              <w:rPr>
                <w:noProof/>
                <w:webHidden/>
              </w:rPr>
              <w:t>11</w:t>
            </w:r>
            <w:r w:rsidR="00B6074D">
              <w:rPr>
                <w:noProof/>
                <w:webHidden/>
              </w:rPr>
              <w:fldChar w:fldCharType="end"/>
            </w:r>
          </w:hyperlink>
        </w:p>
        <w:p w14:paraId="35253608" w14:textId="268ED701" w:rsidR="00B6074D" w:rsidRDefault="009615DC">
          <w:pPr>
            <w:pStyle w:val="TOC2"/>
            <w:rPr>
              <w:rFonts w:asciiTheme="minorHAnsi" w:eastAsiaTheme="minorEastAsia" w:hAnsiTheme="minorHAnsi" w:cstheme="minorBidi"/>
              <w:noProof/>
              <w:sz w:val="22"/>
              <w:szCs w:val="22"/>
            </w:rPr>
          </w:pPr>
          <w:hyperlink w:anchor="_Toc94255334" w:history="1">
            <w:r w:rsidR="00B6074D" w:rsidRPr="00FE1F5F">
              <w:rPr>
                <w:rStyle w:val="Hyperlink"/>
                <w:noProof/>
                <w14:scene3d>
                  <w14:camera w14:prst="orthographicFront"/>
                  <w14:lightRig w14:rig="threePt" w14:dir="t">
                    <w14:rot w14:lat="0" w14:lon="0" w14:rev="0"/>
                  </w14:lightRig>
                </w14:scene3d>
              </w:rPr>
              <w:t>2.4.</w:t>
            </w:r>
            <w:r w:rsidR="00B6074D">
              <w:rPr>
                <w:rFonts w:asciiTheme="minorHAnsi" w:eastAsiaTheme="minorEastAsia" w:hAnsiTheme="minorHAnsi" w:cstheme="minorBidi"/>
                <w:noProof/>
                <w:sz w:val="22"/>
                <w:szCs w:val="22"/>
              </w:rPr>
              <w:tab/>
            </w:r>
            <w:r w:rsidR="00B6074D" w:rsidRPr="00FE1F5F">
              <w:rPr>
                <w:rStyle w:val="Hyperlink"/>
                <w:noProof/>
              </w:rPr>
              <w:t>Consequences for hazard/risk characterisation</w:t>
            </w:r>
            <w:r w:rsidR="00B6074D">
              <w:rPr>
                <w:noProof/>
                <w:webHidden/>
              </w:rPr>
              <w:tab/>
            </w:r>
            <w:r w:rsidR="00B6074D">
              <w:rPr>
                <w:noProof/>
                <w:webHidden/>
              </w:rPr>
              <w:fldChar w:fldCharType="begin"/>
            </w:r>
            <w:r w:rsidR="00B6074D">
              <w:rPr>
                <w:noProof/>
                <w:webHidden/>
              </w:rPr>
              <w:instrText xml:space="preserve"> PAGEREF _Toc94255334 \h </w:instrText>
            </w:r>
            <w:r w:rsidR="00B6074D">
              <w:rPr>
                <w:noProof/>
                <w:webHidden/>
              </w:rPr>
            </w:r>
            <w:r w:rsidR="00B6074D">
              <w:rPr>
                <w:noProof/>
                <w:webHidden/>
              </w:rPr>
              <w:fldChar w:fldCharType="separate"/>
            </w:r>
            <w:r w:rsidR="00B6074D">
              <w:rPr>
                <w:noProof/>
                <w:webHidden/>
              </w:rPr>
              <w:t>11</w:t>
            </w:r>
            <w:r w:rsidR="00B6074D">
              <w:rPr>
                <w:noProof/>
                <w:webHidden/>
              </w:rPr>
              <w:fldChar w:fldCharType="end"/>
            </w:r>
          </w:hyperlink>
        </w:p>
        <w:p w14:paraId="6F969158" w14:textId="12583F9B" w:rsidR="00B6074D" w:rsidRDefault="009615DC">
          <w:pPr>
            <w:pStyle w:val="TOC2"/>
            <w:rPr>
              <w:rFonts w:asciiTheme="minorHAnsi" w:eastAsiaTheme="minorEastAsia" w:hAnsiTheme="minorHAnsi" w:cstheme="minorBidi"/>
              <w:noProof/>
              <w:sz w:val="22"/>
              <w:szCs w:val="22"/>
            </w:rPr>
          </w:pPr>
          <w:hyperlink w:anchor="_Toc94255335" w:history="1">
            <w:r w:rsidR="00B6074D" w:rsidRPr="00FE1F5F">
              <w:rPr>
                <w:rStyle w:val="Hyperlink"/>
                <w:noProof/>
                <w14:scene3d>
                  <w14:camera w14:prst="orthographicFront"/>
                  <w14:lightRig w14:rig="threePt" w14:dir="t">
                    <w14:rot w14:lat="0" w14:lon="0" w14:rev="0"/>
                  </w14:lightRig>
                </w14:scene3d>
              </w:rPr>
              <w:t>2.5.</w:t>
            </w:r>
            <w:r w:rsidR="00B6074D">
              <w:rPr>
                <w:rFonts w:asciiTheme="minorHAnsi" w:eastAsiaTheme="minorEastAsia" w:hAnsiTheme="minorHAnsi" w:cstheme="minorBidi"/>
                <w:noProof/>
                <w:sz w:val="22"/>
                <w:szCs w:val="22"/>
              </w:rPr>
              <w:tab/>
            </w:r>
            <w:r w:rsidR="00B6074D" w:rsidRPr="00FE1F5F">
              <w:rPr>
                <w:rStyle w:val="Hyperlink"/>
                <w:noProof/>
              </w:rPr>
              <w:t>Statistical methodology</w:t>
            </w:r>
            <w:r w:rsidR="00B6074D">
              <w:rPr>
                <w:noProof/>
                <w:webHidden/>
              </w:rPr>
              <w:tab/>
            </w:r>
            <w:r w:rsidR="00B6074D">
              <w:rPr>
                <w:noProof/>
                <w:webHidden/>
              </w:rPr>
              <w:fldChar w:fldCharType="begin"/>
            </w:r>
            <w:r w:rsidR="00B6074D">
              <w:rPr>
                <w:noProof/>
                <w:webHidden/>
              </w:rPr>
              <w:instrText xml:space="preserve"> PAGEREF _Toc94255335 \h </w:instrText>
            </w:r>
            <w:r w:rsidR="00B6074D">
              <w:rPr>
                <w:noProof/>
                <w:webHidden/>
              </w:rPr>
            </w:r>
            <w:r w:rsidR="00B6074D">
              <w:rPr>
                <w:noProof/>
                <w:webHidden/>
              </w:rPr>
              <w:fldChar w:fldCharType="separate"/>
            </w:r>
            <w:r w:rsidR="00B6074D">
              <w:rPr>
                <w:noProof/>
                <w:webHidden/>
              </w:rPr>
              <w:t>12</w:t>
            </w:r>
            <w:r w:rsidR="00B6074D">
              <w:rPr>
                <w:noProof/>
                <w:webHidden/>
              </w:rPr>
              <w:fldChar w:fldCharType="end"/>
            </w:r>
          </w:hyperlink>
        </w:p>
        <w:p w14:paraId="7E52BEE6" w14:textId="654EF74B" w:rsidR="00B6074D" w:rsidRDefault="009615DC">
          <w:pPr>
            <w:pStyle w:val="TOC3"/>
            <w:rPr>
              <w:rFonts w:asciiTheme="minorHAnsi" w:eastAsiaTheme="minorEastAsia" w:hAnsiTheme="minorHAnsi" w:cstheme="minorBidi"/>
              <w:noProof/>
              <w:sz w:val="22"/>
              <w:szCs w:val="22"/>
            </w:rPr>
          </w:pPr>
          <w:hyperlink w:anchor="_Toc94255336" w:history="1">
            <w:r w:rsidR="00B6074D" w:rsidRPr="00FE1F5F">
              <w:rPr>
                <w:rStyle w:val="Hyperlink"/>
                <w:noProof/>
              </w:rPr>
              <w:t>2.5.1.</w:t>
            </w:r>
            <w:r w:rsidR="00B6074D">
              <w:rPr>
                <w:rFonts w:asciiTheme="minorHAnsi" w:eastAsiaTheme="minorEastAsia" w:hAnsiTheme="minorHAnsi" w:cstheme="minorBidi"/>
                <w:noProof/>
                <w:sz w:val="22"/>
                <w:szCs w:val="22"/>
              </w:rPr>
              <w:tab/>
            </w:r>
            <w:r w:rsidR="00B6074D" w:rsidRPr="00FE1F5F">
              <w:rPr>
                <w:rStyle w:val="Hyperlink"/>
                <w:noProof/>
              </w:rPr>
              <w:t>Specification of a dose-response model for a single continuous endpoint</w:t>
            </w:r>
            <w:r w:rsidR="00B6074D">
              <w:rPr>
                <w:noProof/>
                <w:webHidden/>
              </w:rPr>
              <w:tab/>
            </w:r>
            <w:r w:rsidR="00B6074D">
              <w:rPr>
                <w:noProof/>
                <w:webHidden/>
              </w:rPr>
              <w:fldChar w:fldCharType="begin"/>
            </w:r>
            <w:r w:rsidR="00B6074D">
              <w:rPr>
                <w:noProof/>
                <w:webHidden/>
              </w:rPr>
              <w:instrText xml:space="preserve"> PAGEREF _Toc94255336 \h </w:instrText>
            </w:r>
            <w:r w:rsidR="00B6074D">
              <w:rPr>
                <w:noProof/>
                <w:webHidden/>
              </w:rPr>
            </w:r>
            <w:r w:rsidR="00B6074D">
              <w:rPr>
                <w:noProof/>
                <w:webHidden/>
              </w:rPr>
              <w:fldChar w:fldCharType="separate"/>
            </w:r>
            <w:r w:rsidR="00B6074D">
              <w:rPr>
                <w:noProof/>
                <w:webHidden/>
              </w:rPr>
              <w:t>13</w:t>
            </w:r>
            <w:r w:rsidR="00B6074D">
              <w:rPr>
                <w:noProof/>
                <w:webHidden/>
              </w:rPr>
              <w:fldChar w:fldCharType="end"/>
            </w:r>
          </w:hyperlink>
        </w:p>
        <w:p w14:paraId="477266FB" w14:textId="274A2ADD" w:rsidR="00B6074D" w:rsidRDefault="009615DC">
          <w:pPr>
            <w:pStyle w:val="TOC3"/>
            <w:rPr>
              <w:rFonts w:asciiTheme="minorHAnsi" w:eastAsiaTheme="minorEastAsia" w:hAnsiTheme="minorHAnsi" w:cstheme="minorBidi"/>
              <w:noProof/>
              <w:sz w:val="22"/>
              <w:szCs w:val="22"/>
            </w:rPr>
          </w:pPr>
          <w:hyperlink w:anchor="_Toc94255337" w:history="1">
            <w:r w:rsidR="00B6074D" w:rsidRPr="00FE1F5F">
              <w:rPr>
                <w:rStyle w:val="Hyperlink"/>
                <w:noProof/>
              </w:rPr>
              <w:t>2.5.2.</w:t>
            </w:r>
            <w:r w:rsidR="00B6074D">
              <w:rPr>
                <w:rFonts w:asciiTheme="minorHAnsi" w:eastAsiaTheme="minorEastAsia" w:hAnsiTheme="minorHAnsi" w:cstheme="minorBidi"/>
                <w:noProof/>
                <w:sz w:val="22"/>
                <w:szCs w:val="22"/>
              </w:rPr>
              <w:tab/>
            </w:r>
            <w:r w:rsidR="00B6074D" w:rsidRPr="00FE1F5F">
              <w:rPr>
                <w:rStyle w:val="Hyperlink"/>
                <w:noProof/>
              </w:rPr>
              <w:t>Specification of a dose-response model for a single quantal endpoint</w:t>
            </w:r>
            <w:r w:rsidR="00B6074D">
              <w:rPr>
                <w:noProof/>
                <w:webHidden/>
              </w:rPr>
              <w:tab/>
            </w:r>
            <w:r w:rsidR="00B6074D">
              <w:rPr>
                <w:noProof/>
                <w:webHidden/>
              </w:rPr>
              <w:fldChar w:fldCharType="begin"/>
            </w:r>
            <w:r w:rsidR="00B6074D">
              <w:rPr>
                <w:noProof/>
                <w:webHidden/>
              </w:rPr>
              <w:instrText xml:space="preserve"> PAGEREF _Toc94255337 \h </w:instrText>
            </w:r>
            <w:r w:rsidR="00B6074D">
              <w:rPr>
                <w:noProof/>
                <w:webHidden/>
              </w:rPr>
            </w:r>
            <w:r w:rsidR="00B6074D">
              <w:rPr>
                <w:noProof/>
                <w:webHidden/>
              </w:rPr>
              <w:fldChar w:fldCharType="separate"/>
            </w:r>
            <w:r w:rsidR="00B6074D">
              <w:rPr>
                <w:noProof/>
                <w:webHidden/>
              </w:rPr>
              <w:t>19</w:t>
            </w:r>
            <w:r w:rsidR="00B6074D">
              <w:rPr>
                <w:noProof/>
                <w:webHidden/>
              </w:rPr>
              <w:fldChar w:fldCharType="end"/>
            </w:r>
          </w:hyperlink>
        </w:p>
        <w:p w14:paraId="0AE5748B" w14:textId="1B7AFBD2" w:rsidR="00B6074D" w:rsidRDefault="009615DC">
          <w:pPr>
            <w:pStyle w:val="TOC3"/>
            <w:rPr>
              <w:rFonts w:asciiTheme="minorHAnsi" w:eastAsiaTheme="minorEastAsia" w:hAnsiTheme="minorHAnsi" w:cstheme="minorBidi"/>
              <w:noProof/>
              <w:sz w:val="22"/>
              <w:szCs w:val="22"/>
            </w:rPr>
          </w:pPr>
          <w:hyperlink w:anchor="_Toc94255338" w:history="1">
            <w:r w:rsidR="00B6074D" w:rsidRPr="00FE1F5F">
              <w:rPr>
                <w:rStyle w:val="Hyperlink"/>
                <w:noProof/>
              </w:rPr>
              <w:t>2.5.3.</w:t>
            </w:r>
            <w:r w:rsidR="00B6074D">
              <w:rPr>
                <w:rFonts w:asciiTheme="minorHAnsi" w:eastAsiaTheme="minorEastAsia" w:hAnsiTheme="minorHAnsi" w:cstheme="minorBidi"/>
                <w:noProof/>
                <w:sz w:val="22"/>
                <w:szCs w:val="22"/>
              </w:rPr>
              <w:tab/>
            </w:r>
            <w:r w:rsidR="00B6074D" w:rsidRPr="00FE1F5F">
              <w:rPr>
                <w:rStyle w:val="Hyperlink"/>
                <w:noProof/>
              </w:rPr>
              <w:t>Frequentist or Bayesian inferential paradigm</w:t>
            </w:r>
            <w:r w:rsidR="00B6074D">
              <w:rPr>
                <w:noProof/>
                <w:webHidden/>
              </w:rPr>
              <w:tab/>
            </w:r>
            <w:r w:rsidR="00B6074D">
              <w:rPr>
                <w:noProof/>
                <w:webHidden/>
              </w:rPr>
              <w:fldChar w:fldCharType="begin"/>
            </w:r>
            <w:r w:rsidR="00B6074D">
              <w:rPr>
                <w:noProof/>
                <w:webHidden/>
              </w:rPr>
              <w:instrText xml:space="preserve"> PAGEREF _Toc94255338 \h </w:instrText>
            </w:r>
            <w:r w:rsidR="00B6074D">
              <w:rPr>
                <w:noProof/>
                <w:webHidden/>
              </w:rPr>
            </w:r>
            <w:r w:rsidR="00B6074D">
              <w:rPr>
                <w:noProof/>
                <w:webHidden/>
              </w:rPr>
              <w:fldChar w:fldCharType="separate"/>
            </w:r>
            <w:r w:rsidR="00B6074D">
              <w:rPr>
                <w:noProof/>
                <w:webHidden/>
              </w:rPr>
              <w:t>22</w:t>
            </w:r>
            <w:r w:rsidR="00B6074D">
              <w:rPr>
                <w:noProof/>
                <w:webHidden/>
              </w:rPr>
              <w:fldChar w:fldCharType="end"/>
            </w:r>
          </w:hyperlink>
        </w:p>
        <w:p w14:paraId="1FB4A54E" w14:textId="261D7156" w:rsidR="00B6074D" w:rsidRDefault="009615DC">
          <w:pPr>
            <w:pStyle w:val="TOC3"/>
            <w:rPr>
              <w:rFonts w:asciiTheme="minorHAnsi" w:eastAsiaTheme="minorEastAsia" w:hAnsiTheme="minorHAnsi" w:cstheme="minorBidi"/>
              <w:noProof/>
              <w:sz w:val="22"/>
              <w:szCs w:val="22"/>
            </w:rPr>
          </w:pPr>
          <w:hyperlink w:anchor="_Toc94255339" w:history="1">
            <w:r w:rsidR="00B6074D" w:rsidRPr="00FE1F5F">
              <w:rPr>
                <w:rStyle w:val="Hyperlink"/>
                <w:noProof/>
              </w:rPr>
              <w:t>2.5.4.</w:t>
            </w:r>
            <w:r w:rsidR="00B6074D">
              <w:rPr>
                <w:rFonts w:asciiTheme="minorHAnsi" w:eastAsiaTheme="minorEastAsia" w:hAnsiTheme="minorHAnsi" w:cstheme="minorBidi"/>
                <w:noProof/>
                <w:sz w:val="22"/>
                <w:szCs w:val="22"/>
              </w:rPr>
              <w:tab/>
            </w:r>
            <w:r w:rsidR="00B6074D" w:rsidRPr="00FE1F5F">
              <w:rPr>
                <w:rStyle w:val="Hyperlink"/>
                <w:noProof/>
              </w:rPr>
              <w:t>Extensions</w:t>
            </w:r>
            <w:r w:rsidR="00B6074D">
              <w:rPr>
                <w:noProof/>
                <w:webHidden/>
              </w:rPr>
              <w:tab/>
            </w:r>
            <w:r w:rsidR="00B6074D">
              <w:rPr>
                <w:noProof/>
                <w:webHidden/>
              </w:rPr>
              <w:fldChar w:fldCharType="begin"/>
            </w:r>
            <w:r w:rsidR="00B6074D">
              <w:rPr>
                <w:noProof/>
                <w:webHidden/>
              </w:rPr>
              <w:instrText xml:space="preserve"> PAGEREF _Toc94255339 \h </w:instrText>
            </w:r>
            <w:r w:rsidR="00B6074D">
              <w:rPr>
                <w:noProof/>
                <w:webHidden/>
              </w:rPr>
            </w:r>
            <w:r w:rsidR="00B6074D">
              <w:rPr>
                <w:noProof/>
                <w:webHidden/>
              </w:rPr>
              <w:fldChar w:fldCharType="separate"/>
            </w:r>
            <w:r w:rsidR="00B6074D">
              <w:rPr>
                <w:noProof/>
                <w:webHidden/>
              </w:rPr>
              <w:t>25</w:t>
            </w:r>
            <w:r w:rsidR="00B6074D">
              <w:rPr>
                <w:noProof/>
                <w:webHidden/>
              </w:rPr>
              <w:fldChar w:fldCharType="end"/>
            </w:r>
          </w:hyperlink>
        </w:p>
        <w:p w14:paraId="70366CA3" w14:textId="419E0CF2" w:rsidR="00B6074D" w:rsidRDefault="009615DC">
          <w:pPr>
            <w:pStyle w:val="TOC2"/>
            <w:rPr>
              <w:rFonts w:asciiTheme="minorHAnsi" w:eastAsiaTheme="minorEastAsia" w:hAnsiTheme="minorHAnsi" w:cstheme="minorBidi"/>
              <w:noProof/>
              <w:sz w:val="22"/>
              <w:szCs w:val="22"/>
            </w:rPr>
          </w:pPr>
          <w:hyperlink w:anchor="_Toc94255340" w:history="1">
            <w:r w:rsidR="00B6074D" w:rsidRPr="00FE1F5F">
              <w:rPr>
                <w:rStyle w:val="Hyperlink"/>
                <w:noProof/>
                <w14:scene3d>
                  <w14:camera w14:prst="orthographicFront"/>
                  <w14:lightRig w14:rig="threePt" w14:dir="t">
                    <w14:rot w14:lat="0" w14:lon="0" w14:rev="0"/>
                  </w14:lightRig>
                </w14:scene3d>
              </w:rPr>
              <w:t>2.6.</w:t>
            </w:r>
            <w:r w:rsidR="00B6074D">
              <w:rPr>
                <w:rFonts w:asciiTheme="minorHAnsi" w:eastAsiaTheme="minorEastAsia" w:hAnsiTheme="minorHAnsi" w:cstheme="minorBidi"/>
                <w:noProof/>
                <w:sz w:val="22"/>
                <w:szCs w:val="22"/>
              </w:rPr>
              <w:tab/>
            </w:r>
            <w:r w:rsidR="00B6074D" w:rsidRPr="00FE1F5F">
              <w:rPr>
                <w:rStyle w:val="Hyperlink"/>
                <w:noProof/>
              </w:rPr>
              <w:t>Guidance to apply the BMD approach</w:t>
            </w:r>
            <w:r w:rsidR="00B6074D">
              <w:rPr>
                <w:noProof/>
                <w:webHidden/>
              </w:rPr>
              <w:tab/>
            </w:r>
            <w:r w:rsidR="00B6074D">
              <w:rPr>
                <w:noProof/>
                <w:webHidden/>
              </w:rPr>
              <w:fldChar w:fldCharType="begin"/>
            </w:r>
            <w:r w:rsidR="00B6074D">
              <w:rPr>
                <w:noProof/>
                <w:webHidden/>
              </w:rPr>
              <w:instrText xml:space="preserve"> PAGEREF _Toc94255340 \h </w:instrText>
            </w:r>
            <w:r w:rsidR="00B6074D">
              <w:rPr>
                <w:noProof/>
                <w:webHidden/>
              </w:rPr>
            </w:r>
            <w:r w:rsidR="00B6074D">
              <w:rPr>
                <w:noProof/>
                <w:webHidden/>
              </w:rPr>
              <w:fldChar w:fldCharType="separate"/>
            </w:r>
            <w:r w:rsidR="00B6074D">
              <w:rPr>
                <w:noProof/>
                <w:webHidden/>
              </w:rPr>
              <w:t>26</w:t>
            </w:r>
            <w:r w:rsidR="00B6074D">
              <w:rPr>
                <w:noProof/>
                <w:webHidden/>
              </w:rPr>
              <w:fldChar w:fldCharType="end"/>
            </w:r>
          </w:hyperlink>
        </w:p>
        <w:p w14:paraId="72F2981B" w14:textId="5C2B8921" w:rsidR="00B6074D" w:rsidRDefault="009615DC">
          <w:pPr>
            <w:pStyle w:val="TOC3"/>
            <w:rPr>
              <w:rFonts w:asciiTheme="minorHAnsi" w:eastAsiaTheme="minorEastAsia" w:hAnsiTheme="minorHAnsi" w:cstheme="minorBidi"/>
              <w:noProof/>
              <w:sz w:val="22"/>
              <w:szCs w:val="22"/>
            </w:rPr>
          </w:pPr>
          <w:hyperlink w:anchor="_Toc94255341" w:history="1">
            <w:r w:rsidR="00B6074D" w:rsidRPr="00FE1F5F">
              <w:rPr>
                <w:rStyle w:val="Hyperlink"/>
                <w:noProof/>
              </w:rPr>
              <w:t>2.6.1.</w:t>
            </w:r>
            <w:r w:rsidR="00B6074D">
              <w:rPr>
                <w:rFonts w:asciiTheme="minorHAnsi" w:eastAsiaTheme="minorEastAsia" w:hAnsiTheme="minorHAnsi" w:cstheme="minorBidi"/>
                <w:noProof/>
                <w:sz w:val="22"/>
                <w:szCs w:val="22"/>
              </w:rPr>
              <w:tab/>
            </w:r>
            <w:r w:rsidR="00B6074D" w:rsidRPr="00FE1F5F">
              <w:rPr>
                <w:rStyle w:val="Hyperlink"/>
                <w:noProof/>
              </w:rPr>
              <w:t>Structure of the dose-response data</w:t>
            </w:r>
            <w:r w:rsidR="00B6074D">
              <w:rPr>
                <w:noProof/>
                <w:webHidden/>
              </w:rPr>
              <w:tab/>
            </w:r>
            <w:r w:rsidR="00B6074D">
              <w:rPr>
                <w:noProof/>
                <w:webHidden/>
              </w:rPr>
              <w:fldChar w:fldCharType="begin"/>
            </w:r>
            <w:r w:rsidR="00B6074D">
              <w:rPr>
                <w:noProof/>
                <w:webHidden/>
              </w:rPr>
              <w:instrText xml:space="preserve"> PAGEREF _Toc94255341 \h </w:instrText>
            </w:r>
            <w:r w:rsidR="00B6074D">
              <w:rPr>
                <w:noProof/>
                <w:webHidden/>
              </w:rPr>
            </w:r>
            <w:r w:rsidR="00B6074D">
              <w:rPr>
                <w:noProof/>
                <w:webHidden/>
              </w:rPr>
              <w:fldChar w:fldCharType="separate"/>
            </w:r>
            <w:r w:rsidR="00B6074D">
              <w:rPr>
                <w:noProof/>
                <w:webHidden/>
              </w:rPr>
              <w:t>28</w:t>
            </w:r>
            <w:r w:rsidR="00B6074D">
              <w:rPr>
                <w:noProof/>
                <w:webHidden/>
              </w:rPr>
              <w:fldChar w:fldCharType="end"/>
            </w:r>
          </w:hyperlink>
        </w:p>
        <w:p w14:paraId="5FC23D6A" w14:textId="44F1B882" w:rsidR="00B6074D" w:rsidRDefault="009615DC">
          <w:pPr>
            <w:pStyle w:val="TOC3"/>
            <w:rPr>
              <w:rFonts w:asciiTheme="minorHAnsi" w:eastAsiaTheme="minorEastAsia" w:hAnsiTheme="minorHAnsi" w:cstheme="minorBidi"/>
              <w:noProof/>
              <w:sz w:val="22"/>
              <w:szCs w:val="22"/>
            </w:rPr>
          </w:pPr>
          <w:hyperlink w:anchor="_Toc94255342" w:history="1">
            <w:r w:rsidR="00B6074D" w:rsidRPr="00FE1F5F">
              <w:rPr>
                <w:rStyle w:val="Hyperlink"/>
                <w:noProof/>
              </w:rPr>
              <w:t>2.6.2.</w:t>
            </w:r>
            <w:r w:rsidR="00B6074D">
              <w:rPr>
                <w:rFonts w:asciiTheme="minorHAnsi" w:eastAsiaTheme="minorEastAsia" w:hAnsiTheme="minorHAnsi" w:cstheme="minorBidi"/>
                <w:noProof/>
                <w:sz w:val="22"/>
                <w:szCs w:val="22"/>
              </w:rPr>
              <w:tab/>
            </w:r>
            <w:r w:rsidR="00B6074D" w:rsidRPr="00FE1F5F">
              <w:rPr>
                <w:rStyle w:val="Hyperlink"/>
                <w:noProof/>
              </w:rPr>
              <w:t>Selection of the BMR</w:t>
            </w:r>
            <w:r w:rsidR="00B6074D">
              <w:rPr>
                <w:noProof/>
                <w:webHidden/>
              </w:rPr>
              <w:tab/>
            </w:r>
            <w:r w:rsidR="00B6074D">
              <w:rPr>
                <w:noProof/>
                <w:webHidden/>
              </w:rPr>
              <w:fldChar w:fldCharType="begin"/>
            </w:r>
            <w:r w:rsidR="00B6074D">
              <w:rPr>
                <w:noProof/>
                <w:webHidden/>
              </w:rPr>
              <w:instrText xml:space="preserve"> PAGEREF _Toc94255342 \h </w:instrText>
            </w:r>
            <w:r w:rsidR="00B6074D">
              <w:rPr>
                <w:noProof/>
                <w:webHidden/>
              </w:rPr>
            </w:r>
            <w:r w:rsidR="00B6074D">
              <w:rPr>
                <w:noProof/>
                <w:webHidden/>
              </w:rPr>
              <w:fldChar w:fldCharType="separate"/>
            </w:r>
            <w:r w:rsidR="00B6074D">
              <w:rPr>
                <w:noProof/>
                <w:webHidden/>
              </w:rPr>
              <w:t>28</w:t>
            </w:r>
            <w:r w:rsidR="00B6074D">
              <w:rPr>
                <w:noProof/>
                <w:webHidden/>
              </w:rPr>
              <w:fldChar w:fldCharType="end"/>
            </w:r>
          </w:hyperlink>
        </w:p>
        <w:p w14:paraId="39BB0438" w14:textId="46537E2B" w:rsidR="00B6074D" w:rsidRDefault="009615DC">
          <w:pPr>
            <w:pStyle w:val="TOC3"/>
            <w:rPr>
              <w:rFonts w:asciiTheme="minorHAnsi" w:eastAsiaTheme="minorEastAsia" w:hAnsiTheme="minorHAnsi" w:cstheme="minorBidi"/>
              <w:noProof/>
              <w:sz w:val="22"/>
              <w:szCs w:val="22"/>
            </w:rPr>
          </w:pPr>
          <w:hyperlink w:anchor="_Toc94255343" w:history="1">
            <w:r w:rsidR="00B6074D" w:rsidRPr="00FE1F5F">
              <w:rPr>
                <w:rStyle w:val="Hyperlink"/>
                <w:noProof/>
              </w:rPr>
              <w:t>2.6.3.</w:t>
            </w:r>
            <w:r w:rsidR="00B6074D">
              <w:rPr>
                <w:rFonts w:asciiTheme="minorHAnsi" w:eastAsiaTheme="minorEastAsia" w:hAnsiTheme="minorHAnsi" w:cstheme="minorBidi"/>
                <w:noProof/>
                <w:sz w:val="22"/>
                <w:szCs w:val="22"/>
              </w:rPr>
              <w:tab/>
            </w:r>
            <w:r w:rsidR="00B6074D" w:rsidRPr="00FE1F5F">
              <w:rPr>
                <w:rStyle w:val="Hyperlink"/>
                <w:noProof/>
              </w:rPr>
              <w:t>Data suitability to estimate the BMD using dose-response modelling</w:t>
            </w:r>
            <w:r w:rsidR="00B6074D">
              <w:rPr>
                <w:noProof/>
                <w:webHidden/>
              </w:rPr>
              <w:tab/>
            </w:r>
            <w:r w:rsidR="00B6074D">
              <w:rPr>
                <w:noProof/>
                <w:webHidden/>
              </w:rPr>
              <w:fldChar w:fldCharType="begin"/>
            </w:r>
            <w:r w:rsidR="00B6074D">
              <w:rPr>
                <w:noProof/>
                <w:webHidden/>
              </w:rPr>
              <w:instrText xml:space="preserve"> PAGEREF _Toc94255343 \h </w:instrText>
            </w:r>
            <w:r w:rsidR="00B6074D">
              <w:rPr>
                <w:noProof/>
                <w:webHidden/>
              </w:rPr>
            </w:r>
            <w:r w:rsidR="00B6074D">
              <w:rPr>
                <w:noProof/>
                <w:webHidden/>
              </w:rPr>
              <w:fldChar w:fldCharType="separate"/>
            </w:r>
            <w:r w:rsidR="00B6074D">
              <w:rPr>
                <w:noProof/>
                <w:webHidden/>
              </w:rPr>
              <w:t>30</w:t>
            </w:r>
            <w:r w:rsidR="00B6074D">
              <w:rPr>
                <w:noProof/>
                <w:webHidden/>
              </w:rPr>
              <w:fldChar w:fldCharType="end"/>
            </w:r>
          </w:hyperlink>
        </w:p>
        <w:p w14:paraId="569DA3B8" w14:textId="4111C476" w:rsidR="00B6074D" w:rsidRDefault="009615DC">
          <w:pPr>
            <w:pStyle w:val="TOC3"/>
            <w:rPr>
              <w:rFonts w:asciiTheme="minorHAnsi" w:eastAsiaTheme="minorEastAsia" w:hAnsiTheme="minorHAnsi" w:cstheme="minorBidi"/>
              <w:noProof/>
              <w:sz w:val="22"/>
              <w:szCs w:val="22"/>
            </w:rPr>
          </w:pPr>
          <w:hyperlink w:anchor="_Toc94255344" w:history="1">
            <w:r w:rsidR="00B6074D" w:rsidRPr="00FE1F5F">
              <w:rPr>
                <w:rStyle w:val="Hyperlink"/>
                <w:noProof/>
              </w:rPr>
              <w:t>2.6.4.</w:t>
            </w:r>
            <w:r w:rsidR="00B6074D">
              <w:rPr>
                <w:rFonts w:asciiTheme="minorHAnsi" w:eastAsiaTheme="minorEastAsia" w:hAnsiTheme="minorHAnsi" w:cstheme="minorBidi"/>
                <w:noProof/>
                <w:sz w:val="22"/>
                <w:szCs w:val="22"/>
              </w:rPr>
              <w:tab/>
            </w:r>
            <w:r w:rsidR="00B6074D" w:rsidRPr="00FE1F5F">
              <w:rPr>
                <w:rStyle w:val="Hyperlink"/>
                <w:noProof/>
              </w:rPr>
              <w:t>Consideration of prior information for the endpoint(s) considered</w:t>
            </w:r>
            <w:r w:rsidR="00B6074D">
              <w:rPr>
                <w:noProof/>
                <w:webHidden/>
              </w:rPr>
              <w:tab/>
            </w:r>
            <w:r w:rsidR="00B6074D">
              <w:rPr>
                <w:noProof/>
                <w:webHidden/>
              </w:rPr>
              <w:fldChar w:fldCharType="begin"/>
            </w:r>
            <w:r w:rsidR="00B6074D">
              <w:rPr>
                <w:noProof/>
                <w:webHidden/>
              </w:rPr>
              <w:instrText xml:space="preserve"> PAGEREF _Toc94255344 \h </w:instrText>
            </w:r>
            <w:r w:rsidR="00B6074D">
              <w:rPr>
                <w:noProof/>
                <w:webHidden/>
              </w:rPr>
            </w:r>
            <w:r w:rsidR="00B6074D">
              <w:rPr>
                <w:noProof/>
                <w:webHidden/>
              </w:rPr>
              <w:fldChar w:fldCharType="separate"/>
            </w:r>
            <w:r w:rsidR="00B6074D">
              <w:rPr>
                <w:noProof/>
                <w:webHidden/>
              </w:rPr>
              <w:t>33</w:t>
            </w:r>
            <w:r w:rsidR="00B6074D">
              <w:rPr>
                <w:noProof/>
                <w:webHidden/>
              </w:rPr>
              <w:fldChar w:fldCharType="end"/>
            </w:r>
          </w:hyperlink>
        </w:p>
        <w:p w14:paraId="789EBFB4" w14:textId="101775CF" w:rsidR="00B6074D" w:rsidRDefault="009615DC">
          <w:pPr>
            <w:pStyle w:val="TOC3"/>
            <w:rPr>
              <w:rFonts w:asciiTheme="minorHAnsi" w:eastAsiaTheme="minorEastAsia" w:hAnsiTheme="minorHAnsi" w:cstheme="minorBidi"/>
              <w:noProof/>
              <w:sz w:val="22"/>
              <w:szCs w:val="22"/>
            </w:rPr>
          </w:pPr>
          <w:hyperlink w:anchor="_Toc94255345" w:history="1">
            <w:r w:rsidR="00B6074D" w:rsidRPr="00FE1F5F">
              <w:rPr>
                <w:rStyle w:val="Hyperlink"/>
                <w:noProof/>
              </w:rPr>
              <w:t>2.6.5.</w:t>
            </w:r>
            <w:r w:rsidR="00B6074D">
              <w:rPr>
                <w:rFonts w:asciiTheme="minorHAnsi" w:eastAsiaTheme="minorEastAsia" w:hAnsiTheme="minorHAnsi" w:cstheme="minorBidi"/>
                <w:noProof/>
                <w:sz w:val="22"/>
                <w:szCs w:val="22"/>
              </w:rPr>
              <w:tab/>
            </w:r>
            <w:r w:rsidR="00B6074D" w:rsidRPr="00FE1F5F">
              <w:rPr>
                <w:rStyle w:val="Hyperlink"/>
                <w:noProof/>
              </w:rPr>
              <w:t>Using Bayesian model averaging to estimate the BMD and calculate its credible interval</w:t>
            </w:r>
            <w:r w:rsidR="00B6074D">
              <w:rPr>
                <w:noProof/>
                <w:webHidden/>
              </w:rPr>
              <w:tab/>
            </w:r>
            <w:r w:rsidR="00B6074D">
              <w:rPr>
                <w:noProof/>
                <w:webHidden/>
              </w:rPr>
              <w:fldChar w:fldCharType="begin"/>
            </w:r>
            <w:r w:rsidR="00B6074D">
              <w:rPr>
                <w:noProof/>
                <w:webHidden/>
              </w:rPr>
              <w:instrText xml:space="preserve"> PAGEREF _Toc94255345 \h </w:instrText>
            </w:r>
            <w:r w:rsidR="00B6074D">
              <w:rPr>
                <w:noProof/>
                <w:webHidden/>
              </w:rPr>
            </w:r>
            <w:r w:rsidR="00B6074D">
              <w:rPr>
                <w:noProof/>
                <w:webHidden/>
              </w:rPr>
              <w:fldChar w:fldCharType="separate"/>
            </w:r>
            <w:r w:rsidR="00B6074D">
              <w:rPr>
                <w:noProof/>
                <w:webHidden/>
              </w:rPr>
              <w:t>35</w:t>
            </w:r>
            <w:r w:rsidR="00B6074D">
              <w:rPr>
                <w:noProof/>
                <w:webHidden/>
              </w:rPr>
              <w:fldChar w:fldCharType="end"/>
            </w:r>
          </w:hyperlink>
        </w:p>
        <w:p w14:paraId="7D2D51E0" w14:textId="0463C3EA" w:rsidR="00B6074D" w:rsidRDefault="009615DC">
          <w:pPr>
            <w:pStyle w:val="TOC3"/>
            <w:rPr>
              <w:rFonts w:asciiTheme="minorHAnsi" w:eastAsiaTheme="minorEastAsia" w:hAnsiTheme="minorHAnsi" w:cstheme="minorBidi"/>
              <w:noProof/>
              <w:sz w:val="22"/>
              <w:szCs w:val="22"/>
            </w:rPr>
          </w:pPr>
          <w:hyperlink w:anchor="_Toc94255346" w:history="1">
            <w:r w:rsidR="00B6074D" w:rsidRPr="00FE1F5F">
              <w:rPr>
                <w:rStyle w:val="Hyperlink"/>
                <w:noProof/>
              </w:rPr>
              <w:t>2.6.6.</w:t>
            </w:r>
            <w:r w:rsidR="00B6074D">
              <w:rPr>
                <w:rFonts w:asciiTheme="minorHAnsi" w:eastAsiaTheme="minorEastAsia" w:hAnsiTheme="minorHAnsi" w:cstheme="minorBidi"/>
                <w:noProof/>
                <w:sz w:val="22"/>
                <w:szCs w:val="22"/>
              </w:rPr>
              <w:tab/>
            </w:r>
            <w:r w:rsidR="00B6074D" w:rsidRPr="00FE1F5F">
              <w:rPr>
                <w:rStyle w:val="Hyperlink"/>
                <w:noProof/>
              </w:rPr>
              <w:t>Reporting of the BMD analysis</w:t>
            </w:r>
            <w:r w:rsidR="00B6074D">
              <w:rPr>
                <w:noProof/>
                <w:webHidden/>
              </w:rPr>
              <w:tab/>
            </w:r>
            <w:r w:rsidR="00B6074D">
              <w:rPr>
                <w:noProof/>
                <w:webHidden/>
              </w:rPr>
              <w:fldChar w:fldCharType="begin"/>
            </w:r>
            <w:r w:rsidR="00B6074D">
              <w:rPr>
                <w:noProof/>
                <w:webHidden/>
              </w:rPr>
              <w:instrText xml:space="preserve"> PAGEREF _Toc94255346 \h </w:instrText>
            </w:r>
            <w:r w:rsidR="00B6074D">
              <w:rPr>
                <w:noProof/>
                <w:webHidden/>
              </w:rPr>
            </w:r>
            <w:r w:rsidR="00B6074D">
              <w:rPr>
                <w:noProof/>
                <w:webHidden/>
              </w:rPr>
              <w:fldChar w:fldCharType="separate"/>
            </w:r>
            <w:r w:rsidR="00B6074D">
              <w:rPr>
                <w:noProof/>
                <w:webHidden/>
              </w:rPr>
              <w:t>37</w:t>
            </w:r>
            <w:r w:rsidR="00B6074D">
              <w:rPr>
                <w:noProof/>
                <w:webHidden/>
              </w:rPr>
              <w:fldChar w:fldCharType="end"/>
            </w:r>
          </w:hyperlink>
        </w:p>
        <w:p w14:paraId="4EAAF762" w14:textId="039A423D" w:rsidR="00B6074D" w:rsidRDefault="009615DC">
          <w:pPr>
            <w:pStyle w:val="TOC1"/>
            <w:rPr>
              <w:rFonts w:asciiTheme="minorHAnsi" w:eastAsiaTheme="minorEastAsia" w:hAnsiTheme="minorHAnsi" w:cstheme="minorBidi"/>
              <w:noProof/>
              <w:sz w:val="22"/>
              <w:szCs w:val="22"/>
            </w:rPr>
          </w:pPr>
          <w:hyperlink w:anchor="_Toc94255347" w:history="1">
            <w:r w:rsidR="00B6074D" w:rsidRPr="00FE1F5F">
              <w:rPr>
                <w:rStyle w:val="Hyperlink"/>
                <w:noProof/>
              </w:rPr>
              <w:t>3.</w:t>
            </w:r>
            <w:r w:rsidR="00B6074D">
              <w:rPr>
                <w:rFonts w:asciiTheme="minorHAnsi" w:eastAsiaTheme="minorEastAsia" w:hAnsiTheme="minorHAnsi" w:cstheme="minorBidi"/>
                <w:noProof/>
                <w:sz w:val="22"/>
                <w:szCs w:val="22"/>
              </w:rPr>
              <w:tab/>
            </w:r>
            <w:r w:rsidR="00B6074D" w:rsidRPr="00FE1F5F">
              <w:rPr>
                <w:rStyle w:val="Hyperlink"/>
                <w:noProof/>
              </w:rPr>
              <w:t>Conclusions</w:t>
            </w:r>
            <w:r w:rsidR="00B6074D">
              <w:rPr>
                <w:noProof/>
                <w:webHidden/>
              </w:rPr>
              <w:tab/>
            </w:r>
            <w:r w:rsidR="00B6074D">
              <w:rPr>
                <w:noProof/>
                <w:webHidden/>
              </w:rPr>
              <w:fldChar w:fldCharType="begin"/>
            </w:r>
            <w:r w:rsidR="00B6074D">
              <w:rPr>
                <w:noProof/>
                <w:webHidden/>
              </w:rPr>
              <w:instrText xml:space="preserve"> PAGEREF _Toc94255347 \h </w:instrText>
            </w:r>
            <w:r w:rsidR="00B6074D">
              <w:rPr>
                <w:noProof/>
                <w:webHidden/>
              </w:rPr>
            </w:r>
            <w:r w:rsidR="00B6074D">
              <w:rPr>
                <w:noProof/>
                <w:webHidden/>
              </w:rPr>
              <w:fldChar w:fldCharType="separate"/>
            </w:r>
            <w:r w:rsidR="00B6074D">
              <w:rPr>
                <w:noProof/>
                <w:webHidden/>
              </w:rPr>
              <w:t>38</w:t>
            </w:r>
            <w:r w:rsidR="00B6074D">
              <w:rPr>
                <w:noProof/>
                <w:webHidden/>
              </w:rPr>
              <w:fldChar w:fldCharType="end"/>
            </w:r>
          </w:hyperlink>
        </w:p>
        <w:p w14:paraId="0FE151EE" w14:textId="09C4949D" w:rsidR="00B6074D" w:rsidRDefault="009615DC">
          <w:pPr>
            <w:pStyle w:val="TOC1"/>
            <w:rPr>
              <w:rFonts w:asciiTheme="minorHAnsi" w:eastAsiaTheme="minorEastAsia" w:hAnsiTheme="minorHAnsi" w:cstheme="minorBidi"/>
              <w:noProof/>
              <w:sz w:val="22"/>
              <w:szCs w:val="22"/>
            </w:rPr>
          </w:pPr>
          <w:hyperlink w:anchor="_Toc94255348" w:history="1">
            <w:r w:rsidR="00B6074D" w:rsidRPr="00FE1F5F">
              <w:rPr>
                <w:rStyle w:val="Hyperlink"/>
                <w:noProof/>
              </w:rPr>
              <w:t>4.</w:t>
            </w:r>
            <w:r w:rsidR="00B6074D">
              <w:rPr>
                <w:rFonts w:asciiTheme="minorHAnsi" w:eastAsiaTheme="minorEastAsia" w:hAnsiTheme="minorHAnsi" w:cstheme="minorBidi"/>
                <w:noProof/>
                <w:sz w:val="22"/>
                <w:szCs w:val="22"/>
              </w:rPr>
              <w:tab/>
            </w:r>
            <w:r w:rsidR="00B6074D" w:rsidRPr="00FE1F5F">
              <w:rPr>
                <w:rStyle w:val="Hyperlink"/>
                <w:noProof/>
              </w:rPr>
              <w:t>Recommendations:</w:t>
            </w:r>
            <w:r w:rsidR="00B6074D">
              <w:rPr>
                <w:noProof/>
                <w:webHidden/>
              </w:rPr>
              <w:tab/>
            </w:r>
            <w:r w:rsidR="00B6074D">
              <w:rPr>
                <w:noProof/>
                <w:webHidden/>
              </w:rPr>
              <w:fldChar w:fldCharType="begin"/>
            </w:r>
            <w:r w:rsidR="00B6074D">
              <w:rPr>
                <w:noProof/>
                <w:webHidden/>
              </w:rPr>
              <w:instrText xml:space="preserve"> PAGEREF _Toc94255348 \h </w:instrText>
            </w:r>
            <w:r w:rsidR="00B6074D">
              <w:rPr>
                <w:noProof/>
                <w:webHidden/>
              </w:rPr>
            </w:r>
            <w:r w:rsidR="00B6074D">
              <w:rPr>
                <w:noProof/>
                <w:webHidden/>
              </w:rPr>
              <w:fldChar w:fldCharType="separate"/>
            </w:r>
            <w:r w:rsidR="00B6074D">
              <w:rPr>
                <w:noProof/>
                <w:webHidden/>
              </w:rPr>
              <w:t>39</w:t>
            </w:r>
            <w:r w:rsidR="00B6074D">
              <w:rPr>
                <w:noProof/>
                <w:webHidden/>
              </w:rPr>
              <w:fldChar w:fldCharType="end"/>
            </w:r>
          </w:hyperlink>
        </w:p>
        <w:p w14:paraId="5210DD71" w14:textId="7B86A782" w:rsidR="00B6074D" w:rsidRDefault="009615DC">
          <w:pPr>
            <w:pStyle w:val="TOC1"/>
            <w:rPr>
              <w:rFonts w:asciiTheme="minorHAnsi" w:eastAsiaTheme="minorEastAsia" w:hAnsiTheme="minorHAnsi" w:cstheme="minorBidi"/>
              <w:noProof/>
              <w:sz w:val="22"/>
              <w:szCs w:val="22"/>
            </w:rPr>
          </w:pPr>
          <w:hyperlink w:anchor="_Toc94255349" w:history="1">
            <w:r w:rsidR="00B6074D" w:rsidRPr="00FE1F5F">
              <w:rPr>
                <w:rStyle w:val="Hyperlink"/>
                <w:noProof/>
              </w:rPr>
              <w:t>References</w:t>
            </w:r>
            <w:r w:rsidR="00B6074D">
              <w:rPr>
                <w:noProof/>
                <w:webHidden/>
              </w:rPr>
              <w:tab/>
            </w:r>
            <w:r w:rsidR="00B6074D">
              <w:rPr>
                <w:noProof/>
                <w:webHidden/>
              </w:rPr>
              <w:fldChar w:fldCharType="begin"/>
            </w:r>
            <w:r w:rsidR="00B6074D">
              <w:rPr>
                <w:noProof/>
                <w:webHidden/>
              </w:rPr>
              <w:instrText xml:space="preserve"> PAGEREF _Toc94255349 \h </w:instrText>
            </w:r>
            <w:r w:rsidR="00B6074D">
              <w:rPr>
                <w:noProof/>
                <w:webHidden/>
              </w:rPr>
            </w:r>
            <w:r w:rsidR="00B6074D">
              <w:rPr>
                <w:noProof/>
                <w:webHidden/>
              </w:rPr>
              <w:fldChar w:fldCharType="separate"/>
            </w:r>
            <w:r w:rsidR="00B6074D">
              <w:rPr>
                <w:noProof/>
                <w:webHidden/>
              </w:rPr>
              <w:t>40</w:t>
            </w:r>
            <w:r w:rsidR="00B6074D">
              <w:rPr>
                <w:noProof/>
                <w:webHidden/>
              </w:rPr>
              <w:fldChar w:fldCharType="end"/>
            </w:r>
          </w:hyperlink>
        </w:p>
        <w:p w14:paraId="6C0C2AEA" w14:textId="45C6687A" w:rsidR="00B6074D" w:rsidRDefault="009615DC">
          <w:pPr>
            <w:pStyle w:val="TOC1"/>
            <w:rPr>
              <w:rFonts w:asciiTheme="minorHAnsi" w:eastAsiaTheme="minorEastAsia" w:hAnsiTheme="minorHAnsi" w:cstheme="minorBidi"/>
              <w:noProof/>
              <w:sz w:val="22"/>
              <w:szCs w:val="22"/>
            </w:rPr>
          </w:pPr>
          <w:hyperlink w:anchor="_Toc94255350" w:history="1">
            <w:r w:rsidR="00B6074D" w:rsidRPr="00FE1F5F">
              <w:rPr>
                <w:rStyle w:val="Hyperlink"/>
                <w:noProof/>
              </w:rPr>
              <w:t>Abbreviations</w:t>
            </w:r>
            <w:r w:rsidR="00B6074D">
              <w:rPr>
                <w:noProof/>
                <w:webHidden/>
              </w:rPr>
              <w:tab/>
            </w:r>
            <w:r w:rsidR="00B6074D">
              <w:rPr>
                <w:noProof/>
                <w:webHidden/>
              </w:rPr>
              <w:fldChar w:fldCharType="begin"/>
            </w:r>
            <w:r w:rsidR="00B6074D">
              <w:rPr>
                <w:noProof/>
                <w:webHidden/>
              </w:rPr>
              <w:instrText xml:space="preserve"> PAGEREF _Toc94255350 \h </w:instrText>
            </w:r>
            <w:r w:rsidR="00B6074D">
              <w:rPr>
                <w:noProof/>
                <w:webHidden/>
              </w:rPr>
            </w:r>
            <w:r w:rsidR="00B6074D">
              <w:rPr>
                <w:noProof/>
                <w:webHidden/>
              </w:rPr>
              <w:fldChar w:fldCharType="separate"/>
            </w:r>
            <w:r w:rsidR="00B6074D">
              <w:rPr>
                <w:noProof/>
                <w:webHidden/>
              </w:rPr>
              <w:t>45</w:t>
            </w:r>
            <w:r w:rsidR="00B6074D">
              <w:rPr>
                <w:noProof/>
                <w:webHidden/>
              </w:rPr>
              <w:fldChar w:fldCharType="end"/>
            </w:r>
          </w:hyperlink>
        </w:p>
        <w:p w14:paraId="29D73E4F" w14:textId="7052705E" w:rsidR="00B6074D" w:rsidRDefault="009615DC">
          <w:pPr>
            <w:pStyle w:val="TOC1"/>
            <w:tabs>
              <w:tab w:val="left" w:pos="1540"/>
            </w:tabs>
            <w:rPr>
              <w:rFonts w:asciiTheme="minorHAnsi" w:eastAsiaTheme="minorEastAsia" w:hAnsiTheme="minorHAnsi" w:cstheme="minorBidi"/>
              <w:noProof/>
              <w:sz w:val="22"/>
              <w:szCs w:val="22"/>
            </w:rPr>
          </w:pPr>
          <w:hyperlink w:anchor="_Toc94255351" w:history="1">
            <w:r w:rsidR="00B6074D" w:rsidRPr="00FE1F5F">
              <w:rPr>
                <w:rStyle w:val="Hyperlink"/>
                <w:rFonts w:cs="Tahoma"/>
                <w:bCs/>
                <w:noProof/>
              </w:rPr>
              <w:t>Appendix A –</w:t>
            </w:r>
            <w:r w:rsidR="00B6074D">
              <w:rPr>
                <w:rFonts w:asciiTheme="minorHAnsi" w:eastAsiaTheme="minorEastAsia" w:hAnsiTheme="minorHAnsi" w:cstheme="minorBidi"/>
                <w:noProof/>
                <w:sz w:val="22"/>
                <w:szCs w:val="22"/>
              </w:rPr>
              <w:tab/>
            </w:r>
            <w:r w:rsidR="00B6074D" w:rsidRPr="00FE1F5F">
              <w:rPr>
                <w:rStyle w:val="Hyperlink"/>
                <w:noProof/>
              </w:rPr>
              <w:t>Upper bounds(a) of effect at NOAELs related to 10 substances evaluated previously by JMPR or EFSA.</w:t>
            </w:r>
            <w:r w:rsidR="00B6074D">
              <w:rPr>
                <w:noProof/>
                <w:webHidden/>
              </w:rPr>
              <w:tab/>
            </w:r>
            <w:r w:rsidR="00B6074D">
              <w:rPr>
                <w:noProof/>
                <w:webHidden/>
              </w:rPr>
              <w:fldChar w:fldCharType="begin"/>
            </w:r>
            <w:r w:rsidR="00B6074D">
              <w:rPr>
                <w:noProof/>
                <w:webHidden/>
              </w:rPr>
              <w:instrText xml:space="preserve"> PAGEREF _Toc94255351 \h </w:instrText>
            </w:r>
            <w:r w:rsidR="00B6074D">
              <w:rPr>
                <w:noProof/>
                <w:webHidden/>
              </w:rPr>
            </w:r>
            <w:r w:rsidR="00B6074D">
              <w:rPr>
                <w:noProof/>
                <w:webHidden/>
              </w:rPr>
              <w:fldChar w:fldCharType="separate"/>
            </w:r>
            <w:r w:rsidR="00B6074D">
              <w:rPr>
                <w:noProof/>
                <w:webHidden/>
              </w:rPr>
              <w:t>46</w:t>
            </w:r>
            <w:r w:rsidR="00B6074D">
              <w:rPr>
                <w:noProof/>
                <w:webHidden/>
              </w:rPr>
              <w:fldChar w:fldCharType="end"/>
            </w:r>
          </w:hyperlink>
        </w:p>
        <w:p w14:paraId="417E145F" w14:textId="3B0907F2" w:rsidR="00B6074D" w:rsidRDefault="009615DC">
          <w:pPr>
            <w:pStyle w:val="TOC1"/>
            <w:tabs>
              <w:tab w:val="left" w:pos="1540"/>
            </w:tabs>
            <w:rPr>
              <w:rFonts w:asciiTheme="minorHAnsi" w:eastAsiaTheme="minorEastAsia" w:hAnsiTheme="minorHAnsi" w:cstheme="minorBidi"/>
              <w:noProof/>
              <w:sz w:val="22"/>
              <w:szCs w:val="22"/>
            </w:rPr>
          </w:pPr>
          <w:hyperlink w:anchor="_Toc94255352" w:history="1">
            <w:r w:rsidR="00B6074D" w:rsidRPr="00FE1F5F">
              <w:rPr>
                <w:rStyle w:val="Hyperlink"/>
                <w:noProof/>
              </w:rPr>
              <w:t>Appendix B –</w:t>
            </w:r>
            <w:r w:rsidR="00B6074D">
              <w:rPr>
                <w:rFonts w:asciiTheme="minorHAnsi" w:eastAsiaTheme="minorEastAsia" w:hAnsiTheme="minorHAnsi" w:cstheme="minorBidi"/>
                <w:noProof/>
                <w:sz w:val="22"/>
                <w:szCs w:val="22"/>
              </w:rPr>
              <w:tab/>
            </w:r>
            <w:r w:rsidR="00B6074D" w:rsidRPr="00FE1F5F">
              <w:rPr>
                <w:rStyle w:val="Hyperlink"/>
                <w:noProof/>
              </w:rPr>
              <w:t>Statistical methodology</w:t>
            </w:r>
            <w:r w:rsidR="00B6074D">
              <w:rPr>
                <w:noProof/>
                <w:webHidden/>
              </w:rPr>
              <w:tab/>
            </w:r>
            <w:r w:rsidR="00B6074D">
              <w:rPr>
                <w:noProof/>
                <w:webHidden/>
              </w:rPr>
              <w:fldChar w:fldCharType="begin"/>
            </w:r>
            <w:r w:rsidR="00B6074D">
              <w:rPr>
                <w:noProof/>
                <w:webHidden/>
              </w:rPr>
              <w:instrText xml:space="preserve"> PAGEREF _Toc94255352 \h </w:instrText>
            </w:r>
            <w:r w:rsidR="00B6074D">
              <w:rPr>
                <w:noProof/>
                <w:webHidden/>
              </w:rPr>
            </w:r>
            <w:r w:rsidR="00B6074D">
              <w:rPr>
                <w:noProof/>
                <w:webHidden/>
              </w:rPr>
              <w:fldChar w:fldCharType="separate"/>
            </w:r>
            <w:r w:rsidR="00B6074D">
              <w:rPr>
                <w:noProof/>
                <w:webHidden/>
              </w:rPr>
              <w:t>47</w:t>
            </w:r>
            <w:r w:rsidR="00B6074D">
              <w:rPr>
                <w:noProof/>
                <w:webHidden/>
              </w:rPr>
              <w:fldChar w:fldCharType="end"/>
            </w:r>
          </w:hyperlink>
        </w:p>
        <w:p w14:paraId="1CE058C8" w14:textId="294FFAA7" w:rsidR="00B6074D" w:rsidRDefault="009615DC">
          <w:pPr>
            <w:pStyle w:val="TOC1"/>
            <w:tabs>
              <w:tab w:val="left" w:pos="1540"/>
            </w:tabs>
            <w:rPr>
              <w:rFonts w:asciiTheme="minorHAnsi" w:eastAsiaTheme="minorEastAsia" w:hAnsiTheme="minorHAnsi" w:cstheme="minorBidi"/>
              <w:noProof/>
              <w:sz w:val="22"/>
              <w:szCs w:val="22"/>
            </w:rPr>
          </w:pPr>
          <w:hyperlink w:anchor="_Toc94255353" w:history="1">
            <w:r w:rsidR="00B6074D" w:rsidRPr="00FE1F5F">
              <w:rPr>
                <w:rStyle w:val="Hyperlink"/>
                <w:noProof/>
              </w:rPr>
              <w:t>Appendix C –</w:t>
            </w:r>
            <w:r w:rsidR="00B6074D">
              <w:rPr>
                <w:rFonts w:asciiTheme="minorHAnsi" w:eastAsiaTheme="minorEastAsia" w:hAnsiTheme="minorHAnsi" w:cstheme="minorBidi"/>
                <w:noProof/>
                <w:sz w:val="22"/>
                <w:szCs w:val="22"/>
              </w:rPr>
              <w:tab/>
            </w:r>
            <w:r w:rsidR="00B6074D" w:rsidRPr="00FE1F5F">
              <w:rPr>
                <w:rStyle w:val="Hyperlink"/>
                <w:noProof/>
              </w:rPr>
              <w:t>Data Examples: Continuous Endpoints</w:t>
            </w:r>
            <w:r w:rsidR="00B6074D">
              <w:rPr>
                <w:noProof/>
                <w:webHidden/>
              </w:rPr>
              <w:tab/>
            </w:r>
            <w:r w:rsidR="00B6074D">
              <w:rPr>
                <w:noProof/>
                <w:webHidden/>
              </w:rPr>
              <w:fldChar w:fldCharType="begin"/>
            </w:r>
            <w:r w:rsidR="00B6074D">
              <w:rPr>
                <w:noProof/>
                <w:webHidden/>
              </w:rPr>
              <w:instrText xml:space="preserve"> PAGEREF _Toc94255353 \h </w:instrText>
            </w:r>
            <w:r w:rsidR="00B6074D">
              <w:rPr>
                <w:noProof/>
                <w:webHidden/>
              </w:rPr>
            </w:r>
            <w:r w:rsidR="00B6074D">
              <w:rPr>
                <w:noProof/>
                <w:webHidden/>
              </w:rPr>
              <w:fldChar w:fldCharType="separate"/>
            </w:r>
            <w:r w:rsidR="00B6074D">
              <w:rPr>
                <w:noProof/>
                <w:webHidden/>
              </w:rPr>
              <w:t>54</w:t>
            </w:r>
            <w:r w:rsidR="00B6074D">
              <w:rPr>
                <w:noProof/>
                <w:webHidden/>
              </w:rPr>
              <w:fldChar w:fldCharType="end"/>
            </w:r>
          </w:hyperlink>
        </w:p>
        <w:p w14:paraId="65BAA315" w14:textId="7BD770C3" w:rsidR="00B6074D" w:rsidRDefault="009615DC">
          <w:pPr>
            <w:pStyle w:val="TOC1"/>
            <w:rPr>
              <w:rFonts w:asciiTheme="minorHAnsi" w:eastAsiaTheme="minorEastAsia" w:hAnsiTheme="minorHAnsi" w:cstheme="minorBidi"/>
              <w:noProof/>
              <w:sz w:val="22"/>
              <w:szCs w:val="22"/>
            </w:rPr>
          </w:pPr>
          <w:hyperlink w:anchor="_Toc94255354" w:history="1">
            <w:r w:rsidR="00B6074D" w:rsidRPr="00FE1F5F">
              <w:rPr>
                <w:rStyle w:val="Hyperlink"/>
                <w:noProof/>
              </w:rPr>
              <w:t>Example generated based on Figure 3.1</w:t>
            </w:r>
            <w:r w:rsidR="00B6074D">
              <w:rPr>
                <w:noProof/>
                <w:webHidden/>
              </w:rPr>
              <w:tab/>
            </w:r>
            <w:r w:rsidR="00B6074D">
              <w:rPr>
                <w:noProof/>
                <w:webHidden/>
              </w:rPr>
              <w:fldChar w:fldCharType="begin"/>
            </w:r>
            <w:r w:rsidR="00B6074D">
              <w:rPr>
                <w:noProof/>
                <w:webHidden/>
              </w:rPr>
              <w:instrText xml:space="preserve"> PAGEREF _Toc94255354 \h </w:instrText>
            </w:r>
            <w:r w:rsidR="00B6074D">
              <w:rPr>
                <w:noProof/>
                <w:webHidden/>
              </w:rPr>
            </w:r>
            <w:r w:rsidR="00B6074D">
              <w:rPr>
                <w:noProof/>
                <w:webHidden/>
              </w:rPr>
              <w:fldChar w:fldCharType="separate"/>
            </w:r>
            <w:r w:rsidR="00B6074D">
              <w:rPr>
                <w:noProof/>
                <w:webHidden/>
              </w:rPr>
              <w:t>54</w:t>
            </w:r>
            <w:r w:rsidR="00B6074D">
              <w:rPr>
                <w:noProof/>
                <w:webHidden/>
              </w:rPr>
              <w:fldChar w:fldCharType="end"/>
            </w:r>
          </w:hyperlink>
        </w:p>
        <w:p w14:paraId="440F3FD6" w14:textId="3A3A9FF5" w:rsidR="00B6074D" w:rsidRDefault="009615DC">
          <w:pPr>
            <w:pStyle w:val="TOC1"/>
            <w:rPr>
              <w:rFonts w:asciiTheme="minorHAnsi" w:eastAsiaTheme="minorEastAsia" w:hAnsiTheme="minorHAnsi" w:cstheme="minorBidi"/>
              <w:noProof/>
              <w:sz w:val="22"/>
              <w:szCs w:val="22"/>
            </w:rPr>
          </w:pPr>
          <w:hyperlink w:anchor="_Toc94255355" w:history="1">
            <w:r w:rsidR="00B6074D" w:rsidRPr="00FE1F5F">
              <w:rPr>
                <w:rStyle w:val="Hyperlink"/>
                <w:noProof/>
              </w:rPr>
              <w:t>Example generated based on Figure 3.2</w:t>
            </w:r>
            <w:r w:rsidR="00B6074D">
              <w:rPr>
                <w:noProof/>
                <w:webHidden/>
              </w:rPr>
              <w:tab/>
            </w:r>
            <w:r w:rsidR="00B6074D">
              <w:rPr>
                <w:noProof/>
                <w:webHidden/>
              </w:rPr>
              <w:fldChar w:fldCharType="begin"/>
            </w:r>
            <w:r w:rsidR="00B6074D">
              <w:rPr>
                <w:noProof/>
                <w:webHidden/>
              </w:rPr>
              <w:instrText xml:space="preserve"> PAGEREF _Toc94255355 \h </w:instrText>
            </w:r>
            <w:r w:rsidR="00B6074D">
              <w:rPr>
                <w:noProof/>
                <w:webHidden/>
              </w:rPr>
            </w:r>
            <w:r w:rsidR="00B6074D">
              <w:rPr>
                <w:noProof/>
                <w:webHidden/>
              </w:rPr>
              <w:fldChar w:fldCharType="separate"/>
            </w:r>
            <w:r w:rsidR="00B6074D">
              <w:rPr>
                <w:noProof/>
                <w:webHidden/>
              </w:rPr>
              <w:t>56</w:t>
            </w:r>
            <w:r w:rsidR="00B6074D">
              <w:rPr>
                <w:noProof/>
                <w:webHidden/>
              </w:rPr>
              <w:fldChar w:fldCharType="end"/>
            </w:r>
          </w:hyperlink>
        </w:p>
        <w:p w14:paraId="1810BB1A" w14:textId="7709D6D8" w:rsidR="00B6074D" w:rsidRDefault="009615DC">
          <w:pPr>
            <w:pStyle w:val="TOC1"/>
            <w:rPr>
              <w:rFonts w:asciiTheme="minorHAnsi" w:eastAsiaTheme="minorEastAsia" w:hAnsiTheme="minorHAnsi" w:cstheme="minorBidi"/>
              <w:noProof/>
              <w:sz w:val="22"/>
              <w:szCs w:val="22"/>
            </w:rPr>
          </w:pPr>
          <w:hyperlink w:anchor="_Toc94255356" w:history="1">
            <w:r w:rsidR="00B6074D" w:rsidRPr="00FE1F5F">
              <w:rPr>
                <w:rStyle w:val="Hyperlink"/>
                <w:noProof/>
              </w:rPr>
              <w:t>Example generated based on Figure 3.3</w:t>
            </w:r>
            <w:r w:rsidR="00B6074D">
              <w:rPr>
                <w:noProof/>
                <w:webHidden/>
              </w:rPr>
              <w:tab/>
            </w:r>
            <w:r w:rsidR="00B6074D">
              <w:rPr>
                <w:noProof/>
                <w:webHidden/>
              </w:rPr>
              <w:fldChar w:fldCharType="begin"/>
            </w:r>
            <w:r w:rsidR="00B6074D">
              <w:rPr>
                <w:noProof/>
                <w:webHidden/>
              </w:rPr>
              <w:instrText xml:space="preserve"> PAGEREF _Toc94255356 \h </w:instrText>
            </w:r>
            <w:r w:rsidR="00B6074D">
              <w:rPr>
                <w:noProof/>
                <w:webHidden/>
              </w:rPr>
            </w:r>
            <w:r w:rsidR="00B6074D">
              <w:rPr>
                <w:noProof/>
                <w:webHidden/>
              </w:rPr>
              <w:fldChar w:fldCharType="separate"/>
            </w:r>
            <w:r w:rsidR="00B6074D">
              <w:rPr>
                <w:noProof/>
                <w:webHidden/>
              </w:rPr>
              <w:t>60</w:t>
            </w:r>
            <w:r w:rsidR="00B6074D">
              <w:rPr>
                <w:noProof/>
                <w:webHidden/>
              </w:rPr>
              <w:fldChar w:fldCharType="end"/>
            </w:r>
          </w:hyperlink>
        </w:p>
        <w:p w14:paraId="54E69D6D" w14:textId="75399411" w:rsidR="00B6074D" w:rsidRDefault="009615DC">
          <w:pPr>
            <w:pStyle w:val="TOC1"/>
            <w:rPr>
              <w:rFonts w:asciiTheme="minorHAnsi" w:eastAsiaTheme="minorEastAsia" w:hAnsiTheme="minorHAnsi" w:cstheme="minorBidi"/>
              <w:noProof/>
              <w:sz w:val="22"/>
              <w:szCs w:val="22"/>
            </w:rPr>
          </w:pPr>
          <w:hyperlink w:anchor="_Toc94255357" w:history="1">
            <w:r w:rsidR="00B6074D" w:rsidRPr="00FE1F5F">
              <w:rPr>
                <w:rStyle w:val="Hyperlink"/>
                <w:noProof/>
              </w:rPr>
              <w:t>The Body Weight Example in the 2017 EFSA Guidance Update</w:t>
            </w:r>
            <w:r w:rsidR="00B6074D">
              <w:rPr>
                <w:noProof/>
                <w:webHidden/>
              </w:rPr>
              <w:tab/>
            </w:r>
            <w:r w:rsidR="00B6074D">
              <w:rPr>
                <w:noProof/>
                <w:webHidden/>
              </w:rPr>
              <w:fldChar w:fldCharType="begin"/>
            </w:r>
            <w:r w:rsidR="00B6074D">
              <w:rPr>
                <w:noProof/>
                <w:webHidden/>
              </w:rPr>
              <w:instrText xml:space="preserve"> PAGEREF _Toc94255357 \h </w:instrText>
            </w:r>
            <w:r w:rsidR="00B6074D">
              <w:rPr>
                <w:noProof/>
                <w:webHidden/>
              </w:rPr>
            </w:r>
            <w:r w:rsidR="00B6074D">
              <w:rPr>
                <w:noProof/>
                <w:webHidden/>
              </w:rPr>
              <w:fldChar w:fldCharType="separate"/>
            </w:r>
            <w:r w:rsidR="00B6074D">
              <w:rPr>
                <w:noProof/>
                <w:webHidden/>
              </w:rPr>
              <w:t>63</w:t>
            </w:r>
            <w:r w:rsidR="00B6074D">
              <w:rPr>
                <w:noProof/>
                <w:webHidden/>
              </w:rPr>
              <w:fldChar w:fldCharType="end"/>
            </w:r>
          </w:hyperlink>
        </w:p>
        <w:p w14:paraId="2E32354B" w14:textId="562D13BE" w:rsidR="00B6074D" w:rsidRDefault="009615DC">
          <w:pPr>
            <w:pStyle w:val="TOC1"/>
            <w:tabs>
              <w:tab w:val="left" w:pos="1540"/>
            </w:tabs>
            <w:rPr>
              <w:rFonts w:asciiTheme="minorHAnsi" w:eastAsiaTheme="minorEastAsia" w:hAnsiTheme="minorHAnsi" w:cstheme="minorBidi"/>
              <w:noProof/>
              <w:sz w:val="22"/>
              <w:szCs w:val="22"/>
            </w:rPr>
          </w:pPr>
          <w:hyperlink w:anchor="_Toc94255358" w:history="1">
            <w:r w:rsidR="00B6074D" w:rsidRPr="00FE1F5F">
              <w:rPr>
                <w:rStyle w:val="Hyperlink"/>
                <w:noProof/>
              </w:rPr>
              <w:t>Appendix D –</w:t>
            </w:r>
            <w:r w:rsidR="00B6074D">
              <w:rPr>
                <w:rFonts w:asciiTheme="minorHAnsi" w:eastAsiaTheme="minorEastAsia" w:hAnsiTheme="minorHAnsi" w:cstheme="minorBidi"/>
                <w:noProof/>
                <w:sz w:val="22"/>
                <w:szCs w:val="22"/>
              </w:rPr>
              <w:tab/>
            </w:r>
            <w:r w:rsidR="00B6074D" w:rsidRPr="00FE1F5F">
              <w:rPr>
                <w:rStyle w:val="Hyperlink"/>
                <w:noProof/>
              </w:rPr>
              <w:t>Data Examples: Quantal Endpoints</w:t>
            </w:r>
            <w:r w:rsidR="00B6074D">
              <w:rPr>
                <w:noProof/>
                <w:webHidden/>
              </w:rPr>
              <w:tab/>
            </w:r>
            <w:r w:rsidR="00B6074D">
              <w:rPr>
                <w:noProof/>
                <w:webHidden/>
              </w:rPr>
              <w:fldChar w:fldCharType="begin"/>
            </w:r>
            <w:r w:rsidR="00B6074D">
              <w:rPr>
                <w:noProof/>
                <w:webHidden/>
              </w:rPr>
              <w:instrText xml:space="preserve"> PAGEREF _Toc94255358 \h </w:instrText>
            </w:r>
            <w:r w:rsidR="00B6074D">
              <w:rPr>
                <w:noProof/>
                <w:webHidden/>
              </w:rPr>
            </w:r>
            <w:r w:rsidR="00B6074D">
              <w:rPr>
                <w:noProof/>
                <w:webHidden/>
              </w:rPr>
              <w:fldChar w:fldCharType="separate"/>
            </w:r>
            <w:r w:rsidR="00B6074D">
              <w:rPr>
                <w:noProof/>
                <w:webHidden/>
              </w:rPr>
              <w:t>67</w:t>
            </w:r>
            <w:r w:rsidR="00B6074D">
              <w:rPr>
                <w:noProof/>
                <w:webHidden/>
              </w:rPr>
              <w:fldChar w:fldCharType="end"/>
            </w:r>
          </w:hyperlink>
        </w:p>
        <w:p w14:paraId="573337CA" w14:textId="3BA74287" w:rsidR="00B6074D" w:rsidRDefault="009615DC">
          <w:pPr>
            <w:pStyle w:val="TOC1"/>
            <w:rPr>
              <w:rFonts w:asciiTheme="minorHAnsi" w:eastAsiaTheme="minorEastAsia" w:hAnsiTheme="minorHAnsi" w:cstheme="minorBidi"/>
              <w:noProof/>
              <w:sz w:val="22"/>
              <w:szCs w:val="22"/>
            </w:rPr>
          </w:pPr>
          <w:hyperlink w:anchor="_Toc94255359" w:history="1">
            <w:r w:rsidR="00B6074D" w:rsidRPr="00FE1F5F">
              <w:rPr>
                <w:rStyle w:val="Hyperlink"/>
                <w:noProof/>
              </w:rPr>
              <w:t>Thyroid epithelial cell vacuolisation data in the 2017 EFSA Guidance Update</w:t>
            </w:r>
            <w:r w:rsidR="00B6074D">
              <w:rPr>
                <w:noProof/>
                <w:webHidden/>
              </w:rPr>
              <w:tab/>
            </w:r>
            <w:r w:rsidR="00B6074D">
              <w:rPr>
                <w:noProof/>
                <w:webHidden/>
              </w:rPr>
              <w:fldChar w:fldCharType="begin"/>
            </w:r>
            <w:r w:rsidR="00B6074D">
              <w:rPr>
                <w:noProof/>
                <w:webHidden/>
              </w:rPr>
              <w:instrText xml:space="preserve"> PAGEREF _Toc94255359 \h </w:instrText>
            </w:r>
            <w:r w:rsidR="00B6074D">
              <w:rPr>
                <w:noProof/>
                <w:webHidden/>
              </w:rPr>
            </w:r>
            <w:r w:rsidR="00B6074D">
              <w:rPr>
                <w:noProof/>
                <w:webHidden/>
              </w:rPr>
              <w:fldChar w:fldCharType="separate"/>
            </w:r>
            <w:r w:rsidR="00B6074D">
              <w:rPr>
                <w:noProof/>
                <w:webHidden/>
              </w:rPr>
              <w:t>67</w:t>
            </w:r>
            <w:r w:rsidR="00B6074D">
              <w:rPr>
                <w:noProof/>
                <w:webHidden/>
              </w:rPr>
              <w:fldChar w:fldCharType="end"/>
            </w:r>
          </w:hyperlink>
        </w:p>
        <w:p w14:paraId="62F02D67" w14:textId="74B3D879" w:rsidR="00B6074D" w:rsidRDefault="009615DC">
          <w:pPr>
            <w:pStyle w:val="TOC1"/>
            <w:tabs>
              <w:tab w:val="left" w:pos="1540"/>
            </w:tabs>
            <w:rPr>
              <w:rFonts w:asciiTheme="minorHAnsi" w:eastAsiaTheme="minorEastAsia" w:hAnsiTheme="minorHAnsi" w:cstheme="minorBidi"/>
              <w:noProof/>
              <w:sz w:val="22"/>
              <w:szCs w:val="22"/>
            </w:rPr>
          </w:pPr>
          <w:hyperlink w:anchor="_Toc94255360" w:history="1">
            <w:r w:rsidR="00B6074D" w:rsidRPr="00FE1F5F">
              <w:rPr>
                <w:rStyle w:val="Hyperlink"/>
                <w:noProof/>
              </w:rPr>
              <w:t>Appendix E –</w:t>
            </w:r>
            <w:r w:rsidR="00B6074D">
              <w:rPr>
                <w:rFonts w:asciiTheme="minorHAnsi" w:eastAsiaTheme="minorEastAsia" w:hAnsiTheme="minorHAnsi" w:cstheme="minorBidi"/>
                <w:noProof/>
                <w:sz w:val="22"/>
                <w:szCs w:val="22"/>
              </w:rPr>
              <w:tab/>
            </w:r>
            <w:r w:rsidR="00B6074D" w:rsidRPr="00FE1F5F">
              <w:rPr>
                <w:rStyle w:val="Hyperlink"/>
                <w:noProof/>
              </w:rPr>
              <w:t>Template for reporting a BMD analysis</w:t>
            </w:r>
            <w:r w:rsidR="00B6074D">
              <w:rPr>
                <w:noProof/>
                <w:webHidden/>
              </w:rPr>
              <w:tab/>
            </w:r>
            <w:r w:rsidR="00B6074D">
              <w:rPr>
                <w:noProof/>
                <w:webHidden/>
              </w:rPr>
              <w:fldChar w:fldCharType="begin"/>
            </w:r>
            <w:r w:rsidR="00B6074D">
              <w:rPr>
                <w:noProof/>
                <w:webHidden/>
              </w:rPr>
              <w:instrText xml:space="preserve"> PAGEREF _Toc94255360 \h </w:instrText>
            </w:r>
            <w:r w:rsidR="00B6074D">
              <w:rPr>
                <w:noProof/>
                <w:webHidden/>
              </w:rPr>
            </w:r>
            <w:r w:rsidR="00B6074D">
              <w:rPr>
                <w:noProof/>
                <w:webHidden/>
              </w:rPr>
              <w:fldChar w:fldCharType="separate"/>
            </w:r>
            <w:r w:rsidR="00B6074D">
              <w:rPr>
                <w:noProof/>
                <w:webHidden/>
              </w:rPr>
              <w:t>70</w:t>
            </w:r>
            <w:r w:rsidR="00B6074D">
              <w:rPr>
                <w:noProof/>
                <w:webHidden/>
              </w:rPr>
              <w:fldChar w:fldCharType="end"/>
            </w:r>
          </w:hyperlink>
        </w:p>
        <w:p w14:paraId="5997CC1D" w14:textId="330AAD46" w:rsidR="001219D4" w:rsidRDefault="00046C2A" w:rsidP="001219D4">
          <w:r>
            <w:rPr>
              <w:rFonts w:ascii="Tahoma" w:eastAsia="Times New Roman" w:hAnsi="Tahoma" w:cs="Times New Roman"/>
              <w:color w:val="2B579A"/>
              <w:sz w:val="20"/>
              <w:szCs w:val="20"/>
              <w:shd w:val="clear" w:color="auto" w:fill="E6E6E6"/>
              <w:lang w:eastAsia="en-GB"/>
            </w:rPr>
            <w:fldChar w:fldCharType="end"/>
          </w:r>
        </w:p>
      </w:sdtContent>
    </w:sdt>
    <w:p w14:paraId="110FFD37" w14:textId="77777777" w:rsidR="00214C6C" w:rsidRDefault="00214C6C" w:rsidP="00214C6C">
      <w:pPr>
        <w:spacing w:after="0"/>
      </w:pPr>
      <w:r>
        <w:br w:type="page"/>
      </w:r>
    </w:p>
    <w:p w14:paraId="2635E364" w14:textId="3E3F2DC6" w:rsidR="00FB384F" w:rsidRPr="00D07C61" w:rsidRDefault="007E20F7" w:rsidP="00FB384F">
      <w:pPr>
        <w:pStyle w:val="EFSAHeading1"/>
      </w:pPr>
      <w:bookmarkStart w:id="12" w:name="_Toc94255324"/>
      <w:r w:rsidRPr="00D07C61">
        <w:t>Background</w:t>
      </w:r>
      <w:bookmarkEnd w:id="12"/>
      <w:r w:rsidRPr="00D07C61">
        <w:t xml:space="preserve"> </w:t>
      </w:r>
    </w:p>
    <w:p w14:paraId="69A72615" w14:textId="38993ADF" w:rsidR="00570569" w:rsidRPr="006B5401" w:rsidRDefault="00570569" w:rsidP="00570569">
      <w:pPr>
        <w:pStyle w:val="EFSABodytext"/>
      </w:pPr>
      <w:r w:rsidRPr="006B5401">
        <w:t xml:space="preserve">As per EFSA’s Founding Regulation (EC) No 178/2002 of the European Parliament and of the Council, “the EFSA Scientific Committee shall be responsible for the general coordination necessary to ensure the consistency of the scientific opinion procedure, in particular with regard to the adoption of working procedures and harmonisation of working methods”. </w:t>
      </w:r>
      <w:r w:rsidR="00602C5E">
        <w:t>Strategic objective 2 of the</w:t>
      </w:r>
      <w:r w:rsidRPr="006B5401">
        <w:t xml:space="preserve"> EFSA Strategy 20</w:t>
      </w:r>
      <w:r w:rsidR="00602C5E">
        <w:t>27</w:t>
      </w:r>
      <w:r w:rsidRPr="006B5401">
        <w:t xml:space="preserve"> </w:t>
      </w:r>
      <w:r w:rsidR="00E21A3E">
        <w:t xml:space="preserve">regarding </w:t>
      </w:r>
      <w:r w:rsidR="00380B1A">
        <w:t xml:space="preserve">ensuring preparedness for future risk analysis needs </w:t>
      </w:r>
      <w:r w:rsidRPr="006B5401">
        <w:t>echoes this key responsibility of the Scientific Committee</w:t>
      </w:r>
      <w:r w:rsidR="00CB32B6">
        <w:t xml:space="preserve">, putting the emphasis on </w:t>
      </w:r>
      <w:r w:rsidR="00C60619">
        <w:t xml:space="preserve">the development of </w:t>
      </w:r>
      <w:r w:rsidR="003F4828">
        <w:t xml:space="preserve">a harmonised risk assessment culture and </w:t>
      </w:r>
      <w:r w:rsidR="00785538">
        <w:t xml:space="preserve">the </w:t>
      </w:r>
      <w:r w:rsidR="000F641F">
        <w:t>improv</w:t>
      </w:r>
      <w:r w:rsidR="00785538">
        <w:t>ement of</w:t>
      </w:r>
      <w:r w:rsidR="000F641F">
        <w:t xml:space="preserve"> the </w:t>
      </w:r>
      <w:r w:rsidR="00785538">
        <w:t xml:space="preserve">assessment </w:t>
      </w:r>
      <w:r w:rsidR="002A4C0B">
        <w:t xml:space="preserve">methodologies to </w:t>
      </w:r>
      <w:r w:rsidR="00B85C4F">
        <w:t>address future challenges.</w:t>
      </w:r>
      <w:r w:rsidRPr="006B5401">
        <w:t xml:space="preserve"> </w:t>
      </w:r>
    </w:p>
    <w:p w14:paraId="23BEC01C" w14:textId="158F7C0D" w:rsidR="00570569" w:rsidRDefault="00570569" w:rsidP="00570569">
      <w:pPr>
        <w:pStyle w:val="EFSABodytext"/>
      </w:pPr>
      <w:r>
        <w:t xml:space="preserve">In May 2009, the </w:t>
      </w:r>
      <w:r w:rsidRPr="00D05E98">
        <w:t>Scientific Committee adopted its guidance on the use of the benchmark dose (BMD) approach in risk assessment (EFSA Scientific Committee, 2009</w:t>
      </w:r>
      <w:r w:rsidR="004F40D2">
        <w:t>a</w:t>
      </w:r>
      <w:r w:rsidRPr="00D05E98">
        <w:t xml:space="preserve">). </w:t>
      </w:r>
      <w:r w:rsidR="000F19C1">
        <w:t>The guidance document recommends using the BMD approach instead of the traditionally used NOAEL approach to identify</w:t>
      </w:r>
      <w:r w:rsidR="000F19C1" w:rsidRPr="0089225C">
        <w:t xml:space="preserve"> </w:t>
      </w:r>
      <w:r w:rsidR="000F19C1">
        <w:t>a Reference Point</w:t>
      </w:r>
      <w:r>
        <w:t>, since it makes a more extended use of dose-response data and it allows for a quantification of the uncertainties in the dose-response data. The BMD approach is applicable to all chemicals, irrespective of their category</w:t>
      </w:r>
      <w:r w:rsidR="00C52016">
        <w:t xml:space="preserve"> (</w:t>
      </w:r>
      <w:proofErr w:type="gramStart"/>
      <w:r w:rsidR="00C52016">
        <w:t>e.g.</w:t>
      </w:r>
      <w:proofErr w:type="gramEnd"/>
      <w:r w:rsidR="00C52016">
        <w:t xml:space="preserve"> pesticide, food additive</w:t>
      </w:r>
      <w:r w:rsidR="001577DC">
        <w:t>, contaminant)</w:t>
      </w:r>
      <w:r>
        <w:t xml:space="preserve"> or origin</w:t>
      </w:r>
      <w:r w:rsidR="00906543">
        <w:t xml:space="preserve"> (</w:t>
      </w:r>
      <w:r w:rsidR="0095141D">
        <w:t>chemically synthesised or from natural sources</w:t>
      </w:r>
      <w:r w:rsidR="00906543">
        <w:t>)</w:t>
      </w:r>
      <w:r>
        <w:t xml:space="preserve">. </w:t>
      </w:r>
      <w:r w:rsidR="00E93934">
        <w:t>Within the re</w:t>
      </w:r>
      <w:r w:rsidR="005D7DAC">
        <w:t>m</w:t>
      </w:r>
      <w:r w:rsidR="00E93934">
        <w:t>it of EFSA</w:t>
      </w:r>
      <w:r w:rsidR="005D7DAC">
        <w:t>,</w:t>
      </w:r>
      <w:r w:rsidR="00E93934">
        <w:t xml:space="preserve"> th</w:t>
      </w:r>
      <w:r w:rsidR="004C007E">
        <w:t xml:space="preserve">is </w:t>
      </w:r>
      <w:r w:rsidR="00E93934">
        <w:t>guidance documen</w:t>
      </w:r>
      <w:r w:rsidR="005D7DAC">
        <w:t xml:space="preserve">t </w:t>
      </w:r>
      <w:r w:rsidR="004C007E">
        <w:t xml:space="preserve">addresses </w:t>
      </w:r>
      <w:r w:rsidR="006B614B">
        <w:t>the assessment of substances in food.</w:t>
      </w:r>
      <w:r w:rsidR="00B41409">
        <w:t xml:space="preserve"> The guidance was further </w:t>
      </w:r>
      <w:r w:rsidR="00C97803">
        <w:t>updated in 2017 (</w:t>
      </w:r>
      <w:r w:rsidR="00261267">
        <w:t>EFSA Scientific Committee, 2017)</w:t>
      </w:r>
      <w:r w:rsidR="00231CBD">
        <w:t xml:space="preserve">, </w:t>
      </w:r>
      <w:r w:rsidR="007D506B">
        <w:t>recommending</w:t>
      </w:r>
      <w:r w:rsidR="00231CBD">
        <w:t xml:space="preserve"> model a</w:t>
      </w:r>
      <w:r w:rsidR="005B14EA">
        <w:t>veraging as the pref</w:t>
      </w:r>
      <w:r w:rsidR="007D506B">
        <w:t xml:space="preserve">erred approach for BMD </w:t>
      </w:r>
      <w:r w:rsidR="00B74AFE">
        <w:t>analysis</w:t>
      </w:r>
      <w:r w:rsidR="002D0EC5">
        <w:t>;</w:t>
      </w:r>
      <w:r w:rsidR="00B74AFE">
        <w:t xml:space="preserve"> the set of </w:t>
      </w:r>
      <w:r w:rsidR="00BC45CE">
        <w:t xml:space="preserve">mathematical </w:t>
      </w:r>
      <w:r w:rsidR="00B74AFE">
        <w:t>models to be fitted to the data by default</w:t>
      </w:r>
      <w:r w:rsidR="002D0EC5">
        <w:t xml:space="preserve"> was updated</w:t>
      </w:r>
      <w:r w:rsidR="00B74AFE">
        <w:t xml:space="preserve">, </w:t>
      </w:r>
      <w:r w:rsidR="00F157D5">
        <w:t xml:space="preserve">and </w:t>
      </w:r>
      <w:r w:rsidR="002D0EC5">
        <w:t xml:space="preserve">a flow chart, guiding step-by-step the </w:t>
      </w:r>
      <w:r w:rsidR="003357AB">
        <w:t>reader when performing BMD analysis was added.</w:t>
      </w:r>
    </w:p>
    <w:p w14:paraId="5EAE91D0" w14:textId="2B7B8A87" w:rsidR="00E9140A" w:rsidRDefault="00372722" w:rsidP="00570569">
      <w:pPr>
        <w:pStyle w:val="EFSABodytext"/>
      </w:pPr>
      <w:r>
        <w:t>Following a w</w:t>
      </w:r>
      <w:r w:rsidR="00C90008">
        <w:t xml:space="preserve">orkshop organised by EFSA </w:t>
      </w:r>
      <w:r w:rsidR="00541C47">
        <w:t>in March 2017 to discuss common</w:t>
      </w:r>
      <w:r w:rsidR="00200677">
        <w:t>alities and divergences in the various approaches for BMD analysis worldwide</w:t>
      </w:r>
      <w:r w:rsidR="00AC58E8">
        <w:rPr>
          <w:rStyle w:val="FootnoteReference"/>
        </w:rPr>
        <w:footnoteReference w:id="3"/>
      </w:r>
      <w:r w:rsidR="00200677">
        <w:t xml:space="preserve">, </w:t>
      </w:r>
      <w:r w:rsidR="006143A7">
        <w:t xml:space="preserve">WHO </w:t>
      </w:r>
      <w:r w:rsidR="00E61494">
        <w:t xml:space="preserve">convened </w:t>
      </w:r>
      <w:r w:rsidR="00796718">
        <w:t>a group of experts</w:t>
      </w:r>
      <w:r w:rsidR="00576CC6">
        <w:t xml:space="preserve"> from all over the world</w:t>
      </w:r>
      <w:r w:rsidR="00796718">
        <w:t xml:space="preserve"> to update the </w:t>
      </w:r>
      <w:r w:rsidR="00D91060">
        <w:t>Chapter</w:t>
      </w:r>
      <w:r w:rsidR="00796718">
        <w:t xml:space="preserve"> 5 on dose response assessment of </w:t>
      </w:r>
      <w:r w:rsidR="007840AA">
        <w:t>WHO</w:t>
      </w:r>
      <w:r w:rsidR="00D91060">
        <w:t>/</w:t>
      </w:r>
      <w:r w:rsidR="007840AA">
        <w:t xml:space="preserve">IPCS Environmental Health Criteria 240 </w:t>
      </w:r>
      <w:r w:rsidR="00B852B7">
        <w:t>(</w:t>
      </w:r>
      <w:r w:rsidR="002B3CE2">
        <w:t xml:space="preserve">WHO, </w:t>
      </w:r>
      <w:r w:rsidR="00A43897">
        <w:t>2020</w:t>
      </w:r>
      <w:r w:rsidR="00B852B7">
        <w:t xml:space="preserve">). </w:t>
      </w:r>
      <w:r w:rsidR="00BE2AD9">
        <w:t xml:space="preserve">This work resulted </w:t>
      </w:r>
      <w:r w:rsidR="00DD3807">
        <w:t xml:space="preserve">in </w:t>
      </w:r>
      <w:r w:rsidR="00576CC6">
        <w:t xml:space="preserve">a consensus on </w:t>
      </w:r>
      <w:proofErr w:type="gramStart"/>
      <w:r w:rsidR="00576CC6">
        <w:t>a number of</w:t>
      </w:r>
      <w:proofErr w:type="gramEnd"/>
      <w:r w:rsidR="00576CC6">
        <w:t xml:space="preserve"> concepts </w:t>
      </w:r>
      <w:r w:rsidR="00E9140A">
        <w:t xml:space="preserve">related to benchmark dose analysis. </w:t>
      </w:r>
    </w:p>
    <w:p w14:paraId="0F211C55" w14:textId="59A1D38D" w:rsidR="001A0CB6" w:rsidRDefault="00E9140A" w:rsidP="00570569">
      <w:pPr>
        <w:pStyle w:val="EFSABodytext"/>
      </w:pPr>
      <w:r>
        <w:t xml:space="preserve">The purpose of </w:t>
      </w:r>
      <w:r w:rsidR="7DAA3F4F">
        <w:t>the present</w:t>
      </w:r>
      <w:r>
        <w:t xml:space="preserve"> update </w:t>
      </w:r>
      <w:r w:rsidR="00AD695D">
        <w:t xml:space="preserve">of the EFSA </w:t>
      </w:r>
      <w:r w:rsidR="00D91060">
        <w:t>Guidance</w:t>
      </w:r>
      <w:r w:rsidR="00AD695D">
        <w:t xml:space="preserve"> on the use of the benchmark dose approach in risk assessment is to align the content of the document with the above-mentioned </w:t>
      </w:r>
      <w:r w:rsidR="00DD39BF">
        <w:t xml:space="preserve">agreed concepts, and </w:t>
      </w:r>
      <w:r w:rsidR="002124AC">
        <w:t xml:space="preserve">therefore </w:t>
      </w:r>
      <w:r w:rsidR="00E22D87">
        <w:t xml:space="preserve">harmonise further EFSA’s approach </w:t>
      </w:r>
      <w:r w:rsidR="002124AC">
        <w:t xml:space="preserve">with </w:t>
      </w:r>
      <w:r w:rsidR="00771614">
        <w:t xml:space="preserve">those </w:t>
      </w:r>
      <w:r w:rsidR="002124AC">
        <w:t>of its partners.</w:t>
      </w:r>
    </w:p>
    <w:p w14:paraId="6B699379" w14:textId="77777777" w:rsidR="00570569" w:rsidRPr="00570569" w:rsidRDefault="00570569" w:rsidP="00570569">
      <w:pPr>
        <w:pStyle w:val="EFSABodytext"/>
      </w:pPr>
    </w:p>
    <w:p w14:paraId="69B89E2E" w14:textId="77777777" w:rsidR="00214C6C" w:rsidRPr="00D07C61" w:rsidRDefault="00214C6C" w:rsidP="00752B9F">
      <w:pPr>
        <w:pStyle w:val="EFSAHeading2"/>
      </w:pPr>
      <w:bookmarkStart w:id="13" w:name="_Toc399503953"/>
      <w:bookmarkStart w:id="14" w:name="_Toc399850640"/>
      <w:bookmarkStart w:id="15" w:name="_Toc405560702"/>
      <w:bookmarkStart w:id="16" w:name="_Toc94255325"/>
      <w:r w:rsidRPr="00D07C61">
        <w:t xml:space="preserve">Terms of Reference as provided by </w:t>
      </w:r>
      <w:bookmarkEnd w:id="13"/>
      <w:bookmarkEnd w:id="14"/>
      <w:bookmarkEnd w:id="15"/>
      <w:r w:rsidR="00570569" w:rsidRPr="00D07C61">
        <w:t>EFSA</w:t>
      </w:r>
      <w:bookmarkEnd w:id="16"/>
    </w:p>
    <w:p w14:paraId="5D370B10" w14:textId="77777777" w:rsidR="00631860" w:rsidRDefault="00570569" w:rsidP="00570569">
      <w:pPr>
        <w:pStyle w:val="EFSABodytext"/>
        <w:rPr>
          <w:rFonts w:cs="Tahoma"/>
          <w:shd w:val="clear" w:color="auto" w:fill="FAF9F8"/>
        </w:rPr>
      </w:pPr>
      <w:r>
        <w:rPr>
          <w:lang w:eastAsia="en-GB"/>
        </w:rPr>
        <w:t>T</w:t>
      </w:r>
      <w:r w:rsidRPr="00FA3409">
        <w:rPr>
          <w:lang w:eastAsia="en-GB"/>
        </w:rPr>
        <w:t xml:space="preserve">he European Food Safety Authority requests the Scientific Committee to </w:t>
      </w:r>
      <w:r w:rsidR="00631860" w:rsidRPr="00631860">
        <w:rPr>
          <w:rFonts w:cs="Tahoma"/>
          <w:shd w:val="clear" w:color="auto" w:fill="FAF9F8"/>
        </w:rPr>
        <w:t>align the Guidance on the use of the benchmark dose approach in risk assessment with the principles for dose-response assessment described in chapter 5 of FAO/WHO IPCS EHC240</w:t>
      </w:r>
      <w:r w:rsidR="00631860">
        <w:rPr>
          <w:rStyle w:val="FootnoteReference"/>
          <w:rFonts w:cs="Tahoma"/>
          <w:shd w:val="clear" w:color="auto" w:fill="FAF9F8"/>
        </w:rPr>
        <w:footnoteReference w:id="4"/>
      </w:r>
      <w:r w:rsidR="00631860" w:rsidRPr="00631860">
        <w:rPr>
          <w:rFonts w:cs="Tahoma"/>
          <w:shd w:val="clear" w:color="auto" w:fill="FAF9F8"/>
        </w:rPr>
        <w:t xml:space="preserve">. EFSA Partners (US EPA, US NIOSH, US FDA, Health Canada, EU Member States competent authorities, EFSA Sister Agencies and other international partners) will be involved/consulted during the drafting phase. </w:t>
      </w:r>
    </w:p>
    <w:p w14:paraId="3FE9F23F" w14:textId="6A42A5BD" w:rsidR="00570569" w:rsidRDefault="00631860" w:rsidP="00570569">
      <w:pPr>
        <w:pStyle w:val="EFSABodytext"/>
        <w:rPr>
          <w:rFonts w:cs="Tahoma"/>
          <w:shd w:val="clear" w:color="auto" w:fill="FAF9F8"/>
        </w:rPr>
      </w:pPr>
      <w:bookmarkStart w:id="17" w:name="_Hlk94042416"/>
      <w:r w:rsidRPr="00631860">
        <w:rPr>
          <w:rFonts w:cs="Tahoma"/>
          <w:shd w:val="clear" w:color="auto" w:fill="FAF9F8"/>
        </w:rPr>
        <w:t xml:space="preserve">EFSA is requesting </w:t>
      </w:r>
      <w:r w:rsidR="00545944" w:rsidRPr="51474178">
        <w:rPr>
          <w:rFonts w:cs="Tahoma"/>
        </w:rPr>
        <w:t xml:space="preserve">its </w:t>
      </w:r>
      <w:r w:rsidRPr="00631860">
        <w:rPr>
          <w:rFonts w:cs="Tahoma"/>
          <w:shd w:val="clear" w:color="auto" w:fill="FAF9F8"/>
        </w:rPr>
        <w:t>A</w:t>
      </w:r>
      <w:r w:rsidR="00545944" w:rsidRPr="51474178">
        <w:rPr>
          <w:rFonts w:cs="Tahoma"/>
        </w:rPr>
        <w:t xml:space="preserve">ssessment </w:t>
      </w:r>
      <w:r w:rsidRPr="00631860">
        <w:rPr>
          <w:rFonts w:cs="Tahoma"/>
          <w:shd w:val="clear" w:color="auto" w:fill="FAF9F8"/>
        </w:rPr>
        <w:t>M</w:t>
      </w:r>
      <w:r w:rsidR="00545944" w:rsidRPr="51474178">
        <w:rPr>
          <w:rFonts w:cs="Tahoma"/>
        </w:rPr>
        <w:t>ethodology (AMU)</w:t>
      </w:r>
      <w:r w:rsidRPr="00631860">
        <w:rPr>
          <w:rFonts w:cs="Tahoma"/>
          <w:shd w:val="clear" w:color="auto" w:fill="FAF9F8"/>
        </w:rPr>
        <w:t xml:space="preserve"> Unit to update its Platform for BMD analysis so that it implements the above-mentioned updated guidance on BMD</w:t>
      </w:r>
      <w:bookmarkEnd w:id="17"/>
      <w:r w:rsidR="00FF45A0">
        <w:rPr>
          <w:rStyle w:val="FootnoteReference"/>
          <w:rFonts w:cs="Tahoma"/>
          <w:shd w:val="clear" w:color="auto" w:fill="FAF9F8"/>
        </w:rPr>
        <w:footnoteReference w:id="5"/>
      </w:r>
      <w:r w:rsidRPr="00631860">
        <w:rPr>
          <w:rFonts w:cs="Tahoma"/>
          <w:shd w:val="clear" w:color="auto" w:fill="FAF9F8"/>
        </w:rPr>
        <w:t>. When doing so, harmonisation with other existing BMD tools (US EPA BMDS and PROAST) will be sought.</w:t>
      </w:r>
    </w:p>
    <w:p w14:paraId="7BC91632" w14:textId="77777777" w:rsidR="003A5C32" w:rsidRDefault="003A5C32" w:rsidP="00570569">
      <w:pPr>
        <w:pStyle w:val="EFSABodytext"/>
        <w:rPr>
          <w:rFonts w:cs="Tahoma"/>
          <w:shd w:val="clear" w:color="auto" w:fill="FAF9F8"/>
        </w:rPr>
      </w:pPr>
    </w:p>
    <w:p w14:paraId="529C9C52" w14:textId="311590F9" w:rsidR="00C836DD" w:rsidRDefault="004B7876" w:rsidP="004B7876">
      <w:pPr>
        <w:pStyle w:val="EFSAHeading2"/>
      </w:pPr>
      <w:bookmarkStart w:id="18" w:name="_Toc94255326"/>
      <w:r>
        <w:t xml:space="preserve">Interpretation of </w:t>
      </w:r>
      <w:r w:rsidR="001F51EA">
        <w:t>Terms of Reference</w:t>
      </w:r>
      <w:bookmarkEnd w:id="18"/>
    </w:p>
    <w:p w14:paraId="4965E126" w14:textId="0DE7F454" w:rsidR="001F51EA" w:rsidRDefault="000C5EEB" w:rsidP="001F51EA">
      <w:pPr>
        <w:pStyle w:val="EFSABodytext"/>
      </w:pPr>
      <w:r>
        <w:t>T</w:t>
      </w:r>
      <w:r w:rsidR="006F5E2E">
        <w:t xml:space="preserve">o address the mandate </w:t>
      </w:r>
      <w:r>
        <w:t xml:space="preserve">received, the </w:t>
      </w:r>
      <w:r w:rsidR="00441DDE">
        <w:t xml:space="preserve">following </w:t>
      </w:r>
      <w:r w:rsidR="00147146">
        <w:t xml:space="preserve">modifications have been made to the 2017 SC </w:t>
      </w:r>
      <w:r w:rsidR="00A6016B">
        <w:t>Guidance</w:t>
      </w:r>
      <w:r w:rsidR="00147146">
        <w:t xml:space="preserve"> on the use of the benchmark dose approach in risk assessment:</w:t>
      </w:r>
    </w:p>
    <w:p w14:paraId="46895363" w14:textId="21EBD34A" w:rsidR="006D6052" w:rsidRDefault="000729FD" w:rsidP="006D6052">
      <w:pPr>
        <w:pStyle w:val="EFSABodytext"/>
        <w:numPr>
          <w:ilvl w:val="0"/>
          <w:numId w:val="54"/>
        </w:numPr>
      </w:pPr>
      <w:r>
        <w:t>The e</w:t>
      </w:r>
      <w:r w:rsidR="006D6052">
        <w:t>xtension</w:t>
      </w:r>
      <w:r w:rsidR="00C61959">
        <w:t xml:space="preserve"> </w:t>
      </w:r>
      <w:r>
        <w:t xml:space="preserve">and unification </w:t>
      </w:r>
      <w:r w:rsidR="00C61959">
        <w:t xml:space="preserve">of </w:t>
      </w:r>
      <w:r w:rsidR="000C0BA8">
        <w:t xml:space="preserve">the </w:t>
      </w:r>
      <w:r w:rsidR="00C61959">
        <w:t xml:space="preserve">suite of models for </w:t>
      </w:r>
      <w:r>
        <w:t>continuous and quantal</w:t>
      </w:r>
      <w:r w:rsidR="00C61959">
        <w:t xml:space="preserve"> endpoint</w:t>
      </w:r>
      <w:r>
        <w:t>s</w:t>
      </w:r>
      <w:r w:rsidR="00C129B8">
        <w:t xml:space="preserve"> (sections 2.5.1 and 2.5.2)</w:t>
      </w:r>
      <w:r w:rsidR="00BA1AC2">
        <w:t>,</w:t>
      </w:r>
      <w:r w:rsidR="00A32E04">
        <w:t xml:space="preserve"> </w:t>
      </w:r>
    </w:p>
    <w:p w14:paraId="6F158164" w14:textId="3A434152" w:rsidR="00FF7E1A" w:rsidRPr="00440A37" w:rsidRDefault="00FF7E1A" w:rsidP="006D6052">
      <w:pPr>
        <w:pStyle w:val="EFSABodytext"/>
        <w:numPr>
          <w:ilvl w:val="0"/>
          <w:numId w:val="54"/>
        </w:numPr>
      </w:pPr>
      <w:r w:rsidRPr="00440A37">
        <w:t xml:space="preserve">Introduction of the normal distribution, next to the Log-normal distribution </w:t>
      </w:r>
      <w:r w:rsidR="00440A37" w:rsidRPr="00440A37">
        <w:t xml:space="preserve">default </w:t>
      </w:r>
      <w:r w:rsidRPr="00440A37">
        <w:t>assumption of the response at a specified dose level</w:t>
      </w:r>
      <w:r w:rsidR="00440A37" w:rsidRPr="00440A37">
        <w:t xml:space="preserve"> for continuous endpoints (</w:t>
      </w:r>
      <w:r w:rsidR="00317486" w:rsidRPr="00440A37">
        <w:t>Section</w:t>
      </w:r>
      <w:r w:rsidR="00440A37" w:rsidRPr="00440A37">
        <w:t xml:space="preserve"> 2.5.1)</w:t>
      </w:r>
    </w:p>
    <w:p w14:paraId="4DA416A3" w14:textId="6D90E281" w:rsidR="00DD5BCD" w:rsidRDefault="00DD5BCD" w:rsidP="006D6052">
      <w:pPr>
        <w:pStyle w:val="EFSABodytext"/>
        <w:numPr>
          <w:ilvl w:val="0"/>
          <w:numId w:val="54"/>
        </w:numPr>
      </w:pPr>
      <w:r>
        <w:t xml:space="preserve">The introduction of the Bayesian inferential paradigm and the </w:t>
      </w:r>
      <w:r w:rsidR="005B2D64">
        <w:t xml:space="preserve">rationale for </w:t>
      </w:r>
      <w:r w:rsidR="00F5294C">
        <w:t>replac</w:t>
      </w:r>
      <w:r w:rsidR="003F4749">
        <w:t xml:space="preserve">ing the Frequentist BMD model averaging by </w:t>
      </w:r>
      <w:r w:rsidR="00C544C4">
        <w:t>the</w:t>
      </w:r>
      <w:r w:rsidR="005B2D64">
        <w:t xml:space="preserve"> Bayesian model averaging as the </w:t>
      </w:r>
      <w:r w:rsidR="00C544C4">
        <w:t xml:space="preserve">recommended </w:t>
      </w:r>
      <w:r w:rsidR="005B2D64">
        <w:t xml:space="preserve">preferred approach </w:t>
      </w:r>
      <w:r w:rsidR="008B2021">
        <w:t>to estimate the BMD and calculate its credible</w:t>
      </w:r>
      <w:r w:rsidR="008B2021" w:rsidRPr="14054181">
        <w:rPr>
          <w:rStyle w:val="FootnoteReference"/>
        </w:rPr>
        <w:footnoteReference w:id="6"/>
      </w:r>
      <w:r w:rsidR="008B2021">
        <w:t xml:space="preserve"> interval</w:t>
      </w:r>
      <w:r w:rsidR="007D06EE">
        <w:t xml:space="preserve"> (</w:t>
      </w:r>
      <w:r w:rsidR="00317486">
        <w:t>Section</w:t>
      </w:r>
      <w:r w:rsidR="007D06EE">
        <w:t xml:space="preserve"> 2.5.3)</w:t>
      </w:r>
    </w:p>
    <w:p w14:paraId="0E70AA2A" w14:textId="427DFB6A" w:rsidR="00AE3D23" w:rsidRDefault="00AE3D23" w:rsidP="006D6052">
      <w:pPr>
        <w:pStyle w:val="EFSABodytext"/>
        <w:numPr>
          <w:ilvl w:val="0"/>
          <w:numId w:val="54"/>
        </w:numPr>
      </w:pPr>
      <w:r>
        <w:t xml:space="preserve">Guidance on how to </w:t>
      </w:r>
      <w:r w:rsidR="001E229D">
        <w:t>select the Benchmark Response (</w:t>
      </w:r>
      <w:r w:rsidR="00317486">
        <w:t>Section</w:t>
      </w:r>
      <w:r w:rsidR="001E229D">
        <w:t xml:space="preserve"> </w:t>
      </w:r>
      <w:r w:rsidR="00EA4573">
        <w:t>2.6.2)</w:t>
      </w:r>
    </w:p>
    <w:p w14:paraId="0F2D1DAF" w14:textId="6C5E3E37" w:rsidR="00BA1AC2" w:rsidRPr="000C1579" w:rsidRDefault="00A27946" w:rsidP="006D6052">
      <w:pPr>
        <w:pStyle w:val="EFSABodytext"/>
        <w:numPr>
          <w:ilvl w:val="0"/>
          <w:numId w:val="54"/>
        </w:numPr>
      </w:pPr>
      <w:r>
        <w:t>G</w:t>
      </w:r>
      <w:r w:rsidR="00BA1AC2">
        <w:t xml:space="preserve">uidance on how to decide </w:t>
      </w:r>
      <w:r w:rsidR="00EA4573">
        <w:t>whether</w:t>
      </w:r>
      <w:r w:rsidR="00BA1AC2">
        <w:t xml:space="preserve"> experimental data are</w:t>
      </w:r>
      <w:r w:rsidR="00731C1F">
        <w:t xml:space="preserve"> worth</w:t>
      </w:r>
      <w:r w:rsidR="00BA1AC2">
        <w:t xml:space="preserve"> modelling and if not, </w:t>
      </w:r>
      <w:r w:rsidR="00BA1AC2" w:rsidRPr="000C1579">
        <w:t>recommendation on how to use these data for the assessment</w:t>
      </w:r>
      <w:r w:rsidR="00731C1F" w:rsidRPr="000C1579">
        <w:t xml:space="preserve"> (</w:t>
      </w:r>
      <w:r w:rsidR="005165B6" w:rsidRPr="000C1579">
        <w:t>Section</w:t>
      </w:r>
      <w:r w:rsidR="00731C1F" w:rsidRPr="000C1579">
        <w:t xml:space="preserve"> 2.6.3)</w:t>
      </w:r>
    </w:p>
    <w:p w14:paraId="387B9179" w14:textId="697BEA23" w:rsidR="00731C1F" w:rsidRPr="000C1579" w:rsidRDefault="00731C1F" w:rsidP="006D6052">
      <w:pPr>
        <w:pStyle w:val="EFSABodytext"/>
        <w:numPr>
          <w:ilvl w:val="0"/>
          <w:numId w:val="54"/>
        </w:numPr>
      </w:pPr>
      <w:r w:rsidRPr="000C1579">
        <w:t>Guidance on how to construct informative priors (</w:t>
      </w:r>
      <w:r w:rsidR="00362B9A" w:rsidRPr="000C1579">
        <w:t>Section</w:t>
      </w:r>
      <w:r w:rsidRPr="000C1579">
        <w:t xml:space="preserve"> 2.6.4)</w:t>
      </w:r>
    </w:p>
    <w:p w14:paraId="38534532" w14:textId="7A3107E5" w:rsidR="000C1579" w:rsidRPr="000C1579" w:rsidRDefault="00A27946" w:rsidP="000C1579">
      <w:pPr>
        <w:pStyle w:val="EFSABodytext"/>
        <w:numPr>
          <w:ilvl w:val="0"/>
          <w:numId w:val="54"/>
        </w:numPr>
      </w:pPr>
      <w:r>
        <w:t>G</w:t>
      </w:r>
      <w:r w:rsidR="00BD2DCC" w:rsidRPr="000C1579">
        <w:t xml:space="preserve">uidance on how to deal with </w:t>
      </w:r>
      <w:r w:rsidR="009A4449" w:rsidRPr="000C1579">
        <w:t xml:space="preserve">data </w:t>
      </w:r>
      <w:r w:rsidR="0024389A" w:rsidRPr="000C1579">
        <w:t xml:space="preserve">leading </w:t>
      </w:r>
      <w:r w:rsidR="00DD2C08" w:rsidRPr="000C1579">
        <w:t>to unpractical BMDL</w:t>
      </w:r>
      <w:r w:rsidR="0000092D" w:rsidRPr="000C1579">
        <w:t xml:space="preserve">s and/or </w:t>
      </w:r>
      <w:r w:rsidR="00AD1B89" w:rsidRPr="000C1579">
        <w:t>large BMD</w:t>
      </w:r>
      <w:r w:rsidR="004156F3" w:rsidRPr="000C1579">
        <w:t>L-BMDU</w:t>
      </w:r>
      <w:r w:rsidR="00AD1B89" w:rsidRPr="000C1579">
        <w:t xml:space="preserve"> confidence intervals</w:t>
      </w:r>
      <w:r w:rsidR="00935232" w:rsidRPr="000C1579">
        <w:t xml:space="preserve"> (</w:t>
      </w:r>
      <w:r w:rsidR="00865199" w:rsidRPr="000C1579">
        <w:t>Section</w:t>
      </w:r>
      <w:r w:rsidR="00935232" w:rsidRPr="000C1579">
        <w:t xml:space="preserve"> 2.6.5)</w:t>
      </w:r>
      <w:r w:rsidR="000C1579" w:rsidRPr="000C1579">
        <w:t xml:space="preserve"> </w:t>
      </w:r>
    </w:p>
    <w:p w14:paraId="248BE48C" w14:textId="63061A0B" w:rsidR="005C2780" w:rsidRDefault="00C64B3E" w:rsidP="00214C6C">
      <w:pPr>
        <w:pStyle w:val="EFSABodytext"/>
        <w:numPr>
          <w:ilvl w:val="0"/>
          <w:numId w:val="54"/>
        </w:numPr>
      </w:pPr>
      <w:r w:rsidRPr="00CB4C45">
        <w:t>G</w:t>
      </w:r>
      <w:r w:rsidR="000C1579" w:rsidRPr="00B3199B">
        <w:t>uidance on how to perform BMD analysis on datasets with no non-exposed controls</w:t>
      </w:r>
      <w:r w:rsidR="000C1579" w:rsidRPr="00EC2251">
        <w:t xml:space="preserve"> </w:t>
      </w:r>
      <w:r w:rsidR="000C1579" w:rsidRPr="008402DB">
        <w:t>(</w:t>
      </w:r>
      <w:r w:rsidR="003C5DA6">
        <w:t>S</w:t>
      </w:r>
      <w:r w:rsidR="000C1579" w:rsidRPr="008D212B">
        <w:t>ection 2.6.</w:t>
      </w:r>
      <w:r w:rsidR="0091303E" w:rsidRPr="008D212B">
        <w:t>3</w:t>
      </w:r>
      <w:r w:rsidR="000C1579" w:rsidRPr="008D212B">
        <w:t>)</w:t>
      </w:r>
    </w:p>
    <w:p w14:paraId="52A22430" w14:textId="327D6D37" w:rsidR="00B4379A" w:rsidRPr="00E73839" w:rsidRDefault="00C64B3E" w:rsidP="00214C6C">
      <w:pPr>
        <w:pStyle w:val="EFSABodytext"/>
        <w:numPr>
          <w:ilvl w:val="0"/>
          <w:numId w:val="54"/>
        </w:numPr>
      </w:pPr>
      <w:r w:rsidRPr="008D212B">
        <w:t>G</w:t>
      </w:r>
      <w:r w:rsidR="005C2780" w:rsidRPr="008D212B">
        <w:t>ui</w:t>
      </w:r>
      <w:r w:rsidR="00343AC1" w:rsidRPr="008D212B">
        <w:t>dance on how to handle high dose impac</w:t>
      </w:r>
      <w:r w:rsidR="00343AC1">
        <w:t>t</w:t>
      </w:r>
      <w:r>
        <w:t xml:space="preserve"> (</w:t>
      </w:r>
      <w:r w:rsidR="003C5DA6">
        <w:t>S</w:t>
      </w:r>
      <w:r w:rsidRPr="00B34B68">
        <w:t>e</w:t>
      </w:r>
      <w:r w:rsidRPr="00071794">
        <w:t>c</w:t>
      </w:r>
      <w:r w:rsidRPr="00065AA2">
        <w:t>t</w:t>
      </w:r>
      <w:r w:rsidRPr="00E953FA">
        <w:t>i</w:t>
      </w:r>
      <w:r w:rsidRPr="00F40AB3">
        <w:t>o</w:t>
      </w:r>
      <w:r w:rsidRPr="00502378">
        <w:t>n 2</w:t>
      </w:r>
      <w:r w:rsidRPr="00980165">
        <w:t>.</w:t>
      </w:r>
      <w:r w:rsidRPr="009453B0">
        <w:t>6</w:t>
      </w:r>
      <w:r w:rsidRPr="00FC173E">
        <w:t>.</w:t>
      </w:r>
      <w:r w:rsidRPr="00B3664D">
        <w:t>3</w:t>
      </w:r>
      <w:r w:rsidRPr="00936832">
        <w:t>)</w:t>
      </w:r>
    </w:p>
    <w:p w14:paraId="1F72F646" w14:textId="2E385C32" w:rsidR="00214C6C" w:rsidRDefault="00214C6C" w:rsidP="00214C6C">
      <w:pPr>
        <w:pStyle w:val="EFSABodytext"/>
        <w:numPr>
          <w:ilvl w:val="0"/>
          <w:numId w:val="54"/>
        </w:numPr>
      </w:pPr>
      <w:r>
        <w:br w:type="page"/>
      </w:r>
    </w:p>
    <w:p w14:paraId="5AEEA579" w14:textId="77777777" w:rsidR="00214C6C" w:rsidRDefault="00214C6C" w:rsidP="008F4828">
      <w:pPr>
        <w:pStyle w:val="EFSAHeading1"/>
      </w:pPr>
      <w:bookmarkStart w:id="19" w:name="_Toc399503960"/>
      <w:bookmarkStart w:id="20" w:name="_Toc399850647"/>
      <w:bookmarkStart w:id="21" w:name="_Toc405560709"/>
      <w:bookmarkStart w:id="22" w:name="_Toc94255327"/>
      <w:r w:rsidRPr="008F4828">
        <w:t>Assessment</w:t>
      </w:r>
      <w:bookmarkEnd w:id="19"/>
      <w:bookmarkEnd w:id="20"/>
      <w:bookmarkEnd w:id="21"/>
      <w:bookmarkEnd w:id="22"/>
    </w:p>
    <w:p w14:paraId="3E7A9F1C" w14:textId="77777777" w:rsidR="00CC165F" w:rsidRPr="00D07C61" w:rsidRDefault="00CC165F" w:rsidP="00CC165F">
      <w:pPr>
        <w:pStyle w:val="EFSAHeading2"/>
      </w:pPr>
      <w:bookmarkStart w:id="23" w:name="_Toc139444862"/>
      <w:bookmarkStart w:id="24" w:name="_Toc139446069"/>
      <w:bookmarkStart w:id="25" w:name="_Toc232584097"/>
      <w:bookmarkStart w:id="26" w:name="_Toc94255328"/>
      <w:r w:rsidRPr="00D07C61">
        <w:t>Introduction</w:t>
      </w:r>
      <w:bookmarkEnd w:id="23"/>
      <w:bookmarkEnd w:id="24"/>
      <w:bookmarkEnd w:id="25"/>
      <w:bookmarkEnd w:id="26"/>
    </w:p>
    <w:p w14:paraId="519B10F1" w14:textId="41229F61" w:rsidR="000A4533" w:rsidRDefault="000A4533" w:rsidP="000A4533">
      <w:pPr>
        <w:pStyle w:val="EFSABodytext"/>
      </w:pPr>
      <w:r>
        <w:t xml:space="preserve">This </w:t>
      </w:r>
      <w:r w:rsidR="002061B0">
        <w:t>Guidance</w:t>
      </w:r>
      <w:r>
        <w:t xml:space="preserve"> is an update </w:t>
      </w:r>
      <w:r w:rsidR="07039E2B">
        <w:t xml:space="preserve">and modification </w:t>
      </w:r>
      <w:r>
        <w:t xml:space="preserve">of the </w:t>
      </w:r>
      <w:r w:rsidR="008D148D">
        <w:t>version</w:t>
      </w:r>
      <w:r>
        <w:t xml:space="preserve"> released in 2017 (EFSA SC</w:t>
      </w:r>
      <w:r w:rsidR="00DD5AD0">
        <w:t>,</w:t>
      </w:r>
      <w:r>
        <w:t xml:space="preserve"> 2017). The purpose </w:t>
      </w:r>
      <w:r w:rsidR="4BA33933">
        <w:t xml:space="preserve">of this </w:t>
      </w:r>
      <w:r w:rsidR="00876BD2">
        <w:t>update</w:t>
      </w:r>
      <w:r w:rsidR="4BA33933">
        <w:t xml:space="preserve"> </w:t>
      </w:r>
      <w:r>
        <w:t xml:space="preserve">is to further support </w:t>
      </w:r>
      <w:r w:rsidR="00876BD2">
        <w:t xml:space="preserve">the </w:t>
      </w:r>
      <w:r>
        <w:t xml:space="preserve">implementation of dose-response modelling in EFSA’s work and to harmonise the statistical background and theoretical insights between EFSA </w:t>
      </w:r>
      <w:r w:rsidR="00EF6201">
        <w:t xml:space="preserve">and </w:t>
      </w:r>
      <w:r>
        <w:t xml:space="preserve">other national and international organisations such as WHO (EHC240 </w:t>
      </w:r>
      <w:r w:rsidR="002061B0">
        <w:t>C</w:t>
      </w:r>
      <w:r>
        <w:t>hapter 5</w:t>
      </w:r>
      <w:r w:rsidR="00B3199B">
        <w:t xml:space="preserve"> (WHO, 2020)</w:t>
      </w:r>
      <w:r>
        <w:t>) and US</w:t>
      </w:r>
      <w:r w:rsidR="00065AA2">
        <w:t xml:space="preserve"> </w:t>
      </w:r>
      <w:r>
        <w:t>EPA (</w:t>
      </w:r>
      <w:r w:rsidR="00060838">
        <w:t>2012</w:t>
      </w:r>
      <w:r>
        <w:t>).</w:t>
      </w:r>
    </w:p>
    <w:p w14:paraId="171FC054" w14:textId="37646CE3" w:rsidR="005132E1" w:rsidRPr="00872FAE" w:rsidRDefault="005132E1" w:rsidP="009F517A">
      <w:pPr>
        <w:pStyle w:val="EFSABodytext"/>
        <w:rPr>
          <w:highlight w:val="yellow"/>
        </w:rPr>
      </w:pPr>
      <w:r>
        <w:t>This document addresses the analysis of dose-response data from toxicity studies</w:t>
      </w:r>
      <w:r w:rsidR="00998526">
        <w:t xml:space="preserve"> in experimental animals</w:t>
      </w:r>
      <w:r>
        <w:t>. Toxicity studies are conducted to identify and characterize potential adverse effects of a substance. The data obtained in these studies may be further analysed to identify a dose that can be used as a starting point for risk assessment. The dose used for this purpose, however derived, is referred to in this opinion as the Reference Point (RP). This term, adopted by the EFSA Scientific Committee in 2005 (EFSA SC, 2005) is preferred to the equivalent term Point of Departure (</w:t>
      </w:r>
      <w:proofErr w:type="spellStart"/>
      <w:r>
        <w:t>PoD</w:t>
      </w:r>
      <w:proofErr w:type="spellEnd"/>
      <w:r>
        <w:t xml:space="preserve">), used by others such as US EPA. </w:t>
      </w:r>
    </w:p>
    <w:p w14:paraId="382217DB" w14:textId="5A894D7B" w:rsidR="005132E1" w:rsidRDefault="005132E1" w:rsidP="009F517A">
      <w:pPr>
        <w:pStyle w:val="EFSABodytext"/>
      </w:pPr>
      <w:r>
        <w:t xml:space="preserve">The No-Observed-Adverse-Effect-Level (NOAEL) has been used historically as the RP for </w:t>
      </w:r>
      <w:r w:rsidR="00FA122D">
        <w:t>establishing</w:t>
      </w:r>
      <w:r>
        <w:t xml:space="preserve"> health-based guidance values </w:t>
      </w:r>
      <w:r w:rsidR="00E92AF0">
        <w:t xml:space="preserve">(HBGVs) </w:t>
      </w:r>
      <w:r>
        <w:t xml:space="preserve">in risk assessment of non-genotoxic substances. EFSA (2005) and the Joint FAO/WHO Expert Committee on Food Additives (JECFA, 2006a) have proposed the use of the </w:t>
      </w:r>
      <w:r w:rsidR="000D4501">
        <w:t>benchmark dose (</w:t>
      </w:r>
      <w:r>
        <w:t>BMD</w:t>
      </w:r>
      <w:r w:rsidR="000D4501">
        <w:t>)</w:t>
      </w:r>
      <w:r>
        <w:t xml:space="preserve"> approach for deriving RP</w:t>
      </w:r>
      <w:r w:rsidR="2FE988BF">
        <w:t>s</w:t>
      </w:r>
      <w:r>
        <w:t xml:space="preserve"> used to calculate the margin</w:t>
      </w:r>
      <w:r w:rsidR="000B4020">
        <w:t>s</w:t>
      </w:r>
      <w:r>
        <w:t xml:space="preserve"> of exposure </w:t>
      </w:r>
      <w:r w:rsidR="0983C086">
        <w:t>(MOE</w:t>
      </w:r>
      <w:r w:rsidR="000B4020">
        <w:t>s</w:t>
      </w:r>
      <w:r w:rsidR="0983C086">
        <w:t xml:space="preserve">) </w:t>
      </w:r>
      <w:r>
        <w:t xml:space="preserve">for substances that are both genotoxic and carcinogenic, since for such substances </w:t>
      </w:r>
      <w:r w:rsidR="009C46F3">
        <w:t xml:space="preserve">it is </w:t>
      </w:r>
      <w:r w:rsidR="2054CF5A">
        <w:t xml:space="preserve">conventionally </w:t>
      </w:r>
      <w:r w:rsidR="009C46F3">
        <w:t>considered inappropriate to identif</w:t>
      </w:r>
      <w:r w:rsidR="006E01E7">
        <w:t xml:space="preserve">y </w:t>
      </w:r>
      <w:r>
        <w:t xml:space="preserve">NOAELs </w:t>
      </w:r>
      <w:r w:rsidR="006E01E7">
        <w:t>for use as RPs</w:t>
      </w:r>
      <w:r>
        <w:t>.</w:t>
      </w:r>
    </w:p>
    <w:p w14:paraId="0EF9EF06" w14:textId="1F9E2CEE" w:rsidR="005132E1" w:rsidRDefault="00CB01E7" w:rsidP="009F517A">
      <w:pPr>
        <w:pStyle w:val="EFSABodytext"/>
      </w:pPr>
      <w:r>
        <w:t>T</w:t>
      </w:r>
      <w:r w:rsidR="005132E1">
        <w:t xml:space="preserve">he SC concluded in 2009 that the BMD approach is the </w:t>
      </w:r>
      <w:r w:rsidR="34FEB7AD">
        <w:t xml:space="preserve">preferred </w:t>
      </w:r>
      <w:r w:rsidR="005132E1">
        <w:t xml:space="preserve">approach for </w:t>
      </w:r>
      <w:r w:rsidR="737FA598">
        <w:t>identify</w:t>
      </w:r>
      <w:r w:rsidR="005132E1">
        <w:t xml:space="preserve">ing a RP; not only for </w:t>
      </w:r>
      <w:r w:rsidR="00CB66CF">
        <w:t xml:space="preserve">substances that are both </w:t>
      </w:r>
      <w:r w:rsidR="005132E1">
        <w:t xml:space="preserve">genotoxic and carcinogenic, but also for non-genotoxic substances (EFSA, 2009a, </w:t>
      </w:r>
      <w:r w:rsidR="005132E1" w:rsidRPr="00396374">
        <w:t>2017).</w:t>
      </w:r>
      <w:r w:rsidR="005132E1">
        <w:t xml:space="preserve"> The methodology discussed in the 2009 guidance document and its update from 2017 has </w:t>
      </w:r>
      <w:r w:rsidR="000A20B2">
        <w:t>increasingly</w:t>
      </w:r>
      <w:r w:rsidR="005132E1">
        <w:t xml:space="preserve"> been applied </w:t>
      </w:r>
      <w:r w:rsidR="00D37F59">
        <w:t xml:space="preserve">by EFSA </w:t>
      </w:r>
      <w:r w:rsidR="005132E1">
        <w:t xml:space="preserve">for </w:t>
      </w:r>
      <w:r w:rsidR="50D7C909">
        <w:t xml:space="preserve">identifying </w:t>
      </w:r>
      <w:r w:rsidR="005132E1">
        <w:t>RPs (</w:t>
      </w:r>
      <w:proofErr w:type="gramStart"/>
      <w:r w:rsidR="005132E1">
        <w:t>i.e.</w:t>
      </w:r>
      <w:proofErr w:type="gramEnd"/>
      <w:r w:rsidR="005132E1">
        <w:t xml:space="preserve"> BMDLs) for various types of chemicals (e.g. pesticide, </w:t>
      </w:r>
      <w:r>
        <w:t xml:space="preserve">additives, </w:t>
      </w:r>
      <w:r w:rsidR="005132E1">
        <w:t xml:space="preserve">and contaminants). </w:t>
      </w:r>
    </w:p>
    <w:p w14:paraId="71DB874C" w14:textId="3C460AF4" w:rsidR="00505283" w:rsidRDefault="005132E1" w:rsidP="005132E1">
      <w:pPr>
        <w:pStyle w:val="EFSABodytext"/>
      </w:pPr>
      <w:r>
        <w:t xml:space="preserve">In </w:t>
      </w:r>
      <w:r w:rsidR="007E4B25" w:rsidRPr="006D4C05">
        <w:t>Sections</w:t>
      </w:r>
      <w:r>
        <w:t xml:space="preserve"> </w:t>
      </w:r>
      <w:r w:rsidRPr="00396374">
        <w:t>2.</w:t>
      </w:r>
      <w:r w:rsidR="006D4C05" w:rsidRPr="00396374">
        <w:t>3.</w:t>
      </w:r>
      <w:r w:rsidRPr="00396374">
        <w:t>1</w:t>
      </w:r>
      <w:r>
        <w:t xml:space="preserve"> to </w:t>
      </w:r>
      <w:r w:rsidRPr="00396374">
        <w:t>2.3</w:t>
      </w:r>
      <w:r w:rsidR="006D4C05" w:rsidRPr="006D4C05">
        <w:t>.</w:t>
      </w:r>
      <w:r w:rsidR="006D4C05" w:rsidRPr="00BE0862">
        <w:t>2</w:t>
      </w:r>
      <w:r w:rsidRPr="00BD1F9C">
        <w:t xml:space="preserve"> of this guidance document</w:t>
      </w:r>
      <w:r>
        <w:t>, the concepts underlying both the NOAEL and BMD approaches are discussed</w:t>
      </w:r>
      <w:r w:rsidR="00565D21">
        <w:t xml:space="preserve">, and </w:t>
      </w:r>
      <w:r>
        <w:t xml:space="preserve">it is outlined why the SC considers the BMD approach a more powerful approach. Section </w:t>
      </w:r>
      <w:r w:rsidRPr="00396374">
        <w:t>2.4</w:t>
      </w:r>
      <w:r>
        <w:t xml:space="preserve"> discusses the potential impact of using the BMD approach for hazard/risk characterisation and risk communication. </w:t>
      </w:r>
      <w:r w:rsidR="00505283">
        <w:t xml:space="preserve">Within EFSA, the main application of the BMD approach is to identify a RP for </w:t>
      </w:r>
      <w:r w:rsidR="59EE6A95">
        <w:t xml:space="preserve">hazard and subsequently </w:t>
      </w:r>
      <w:r w:rsidR="00505283">
        <w:t xml:space="preserve">risk characterisation of chemicals. The SC notes that the BMD approach has also been used for other purposes such as for evaluating the plausibility of non-monotonicity in a dose-response curve (parameter d is a measure of the steepness of the curve, </w:t>
      </w:r>
      <w:proofErr w:type="spellStart"/>
      <w:r w:rsidR="00505283">
        <w:t>Beausoleil</w:t>
      </w:r>
      <w:proofErr w:type="spellEnd"/>
      <w:r w:rsidR="00505283">
        <w:t xml:space="preserve"> et al., 2016) or for estimating relative potencies of chemicals (</w:t>
      </w:r>
      <w:proofErr w:type="gramStart"/>
      <w:r w:rsidR="00505283">
        <w:t>e.g.</w:t>
      </w:r>
      <w:proofErr w:type="gramEnd"/>
      <w:r w:rsidR="00505283">
        <w:t xml:space="preserve"> organophosphates, </w:t>
      </w:r>
      <w:proofErr w:type="spellStart"/>
      <w:r w:rsidR="00505283">
        <w:t>Bosgra</w:t>
      </w:r>
      <w:proofErr w:type="spellEnd"/>
      <w:r w:rsidR="00505283">
        <w:t xml:space="preserve"> et al., 2009 or </w:t>
      </w:r>
      <w:proofErr w:type="spellStart"/>
      <w:r w:rsidR="00D745C0" w:rsidRPr="00D745C0">
        <w:t>Zeilmaker</w:t>
      </w:r>
      <w:proofErr w:type="spellEnd"/>
      <w:r w:rsidR="00D745C0" w:rsidRPr="00D745C0">
        <w:t xml:space="preserve"> </w:t>
      </w:r>
      <w:r w:rsidR="00C457F3">
        <w:t>et al., 2018</w:t>
      </w:r>
      <w:r w:rsidR="00505283">
        <w:t xml:space="preserve">). However, these applications of the BMD approach are outside the scope of the present </w:t>
      </w:r>
      <w:r w:rsidR="009777D8">
        <w:t>Guidance</w:t>
      </w:r>
      <w:r w:rsidR="00505283">
        <w:t>.</w:t>
      </w:r>
    </w:p>
    <w:p w14:paraId="7B4AF3C0" w14:textId="6804190A" w:rsidR="006C7CB4" w:rsidRPr="005571D0" w:rsidRDefault="006C7CB4" w:rsidP="005132E1">
      <w:pPr>
        <w:pStyle w:val="EFSABodytext"/>
      </w:pPr>
      <w:r w:rsidRPr="00396374">
        <w:t>Further, the set of default models to be used for BMD analysis has been revised</w:t>
      </w:r>
      <w:r w:rsidR="00D86810">
        <w:t>;</w:t>
      </w:r>
      <w:r w:rsidR="001E6EE5" w:rsidRPr="00396374">
        <w:t xml:space="preserve"> </w:t>
      </w:r>
      <w:r w:rsidR="002F18B7">
        <w:t xml:space="preserve">they are described in Sections </w:t>
      </w:r>
      <w:r w:rsidR="002F18B7">
        <w:fldChar w:fldCharType="begin"/>
      </w:r>
      <w:r w:rsidR="002F18B7">
        <w:instrText xml:space="preserve"> REF _Ref94101045 \r \h </w:instrText>
      </w:r>
      <w:r w:rsidR="002F18B7">
        <w:fldChar w:fldCharType="separate"/>
      </w:r>
      <w:r w:rsidR="002F18B7">
        <w:t>2.5.1</w:t>
      </w:r>
      <w:r w:rsidR="002F18B7">
        <w:fldChar w:fldCharType="end"/>
      </w:r>
      <w:r w:rsidR="002B19B1">
        <w:t xml:space="preserve"> and </w:t>
      </w:r>
      <w:r w:rsidR="002F18B7">
        <w:fldChar w:fldCharType="begin"/>
      </w:r>
      <w:r w:rsidR="002F18B7">
        <w:instrText xml:space="preserve"> REF _Ref94101049 \r \h </w:instrText>
      </w:r>
      <w:r w:rsidR="002F18B7">
        <w:fldChar w:fldCharType="separate"/>
      </w:r>
      <w:r w:rsidR="002F18B7">
        <w:t>2.5.2</w:t>
      </w:r>
      <w:r w:rsidR="002F18B7">
        <w:fldChar w:fldCharType="end"/>
      </w:r>
      <w:r w:rsidRPr="005571D0">
        <w:t xml:space="preserve">. </w:t>
      </w:r>
      <w:r w:rsidR="0087004B">
        <w:t>The Bayesian model averaging pro</w:t>
      </w:r>
      <w:r w:rsidR="00857D96">
        <w:t>cedure</w:t>
      </w:r>
      <w:r w:rsidR="00173399">
        <w:t>, recommended as the preferred approach for BMD analysis,</w:t>
      </w:r>
      <w:r w:rsidR="00857D96">
        <w:t xml:space="preserve"> is described in Section </w:t>
      </w:r>
      <w:r w:rsidR="00857D96">
        <w:fldChar w:fldCharType="begin"/>
      </w:r>
      <w:r w:rsidR="00857D96">
        <w:instrText xml:space="preserve"> REF _Ref94101161 \r \h </w:instrText>
      </w:r>
      <w:r w:rsidR="00857D96">
        <w:fldChar w:fldCharType="separate"/>
      </w:r>
      <w:r w:rsidR="00857D96">
        <w:t>2.5.3</w:t>
      </w:r>
      <w:r w:rsidR="00857D96">
        <w:fldChar w:fldCharType="end"/>
      </w:r>
      <w:r w:rsidR="00857D96">
        <w:t xml:space="preserve"> and later possible extensions </w:t>
      </w:r>
      <w:r w:rsidR="00B926A3">
        <w:t xml:space="preserve">to include covariates and deal with cluster data. In </w:t>
      </w:r>
      <w:r w:rsidR="00B926A3">
        <w:fldChar w:fldCharType="begin"/>
      </w:r>
      <w:r w:rsidR="00B926A3">
        <w:instrText xml:space="preserve"> REF _Ref94101211 \r \h </w:instrText>
      </w:r>
      <w:r w:rsidR="00B926A3">
        <w:fldChar w:fldCharType="separate"/>
      </w:r>
      <w:r w:rsidR="00B926A3">
        <w:t>Appendix C</w:t>
      </w:r>
      <w:r w:rsidR="00B926A3">
        <w:fldChar w:fldCharType="end"/>
      </w:r>
      <w:r w:rsidR="00B926A3">
        <w:t xml:space="preserve"> and </w:t>
      </w:r>
      <w:r w:rsidR="00B926A3">
        <w:fldChar w:fldCharType="begin"/>
      </w:r>
      <w:r w:rsidR="00B926A3">
        <w:instrText xml:space="preserve"> REF _Ref94101213 \r \h </w:instrText>
      </w:r>
      <w:r w:rsidR="00B926A3">
        <w:fldChar w:fldCharType="separate"/>
      </w:r>
      <w:r w:rsidR="00B926A3">
        <w:t>Appendix D</w:t>
      </w:r>
      <w:r w:rsidR="00B926A3">
        <w:fldChar w:fldCharType="end"/>
      </w:r>
      <w:r w:rsidRPr="008D3BD3">
        <w:t xml:space="preserve">, examples based on </w:t>
      </w:r>
      <w:r w:rsidR="00D40D86">
        <w:t xml:space="preserve">continuous and </w:t>
      </w:r>
      <w:r w:rsidRPr="008D3BD3">
        <w:t xml:space="preserve">quantal data are provided to illustrate the application of the BMD approach in practice and </w:t>
      </w:r>
      <w:r w:rsidR="00B7284E">
        <w:t>a discussion of</w:t>
      </w:r>
      <w:r w:rsidRPr="008D3BD3">
        <w:t xml:space="preserve"> the results</w:t>
      </w:r>
      <w:r w:rsidR="00B7284E">
        <w:t xml:space="preserve"> is presented</w:t>
      </w:r>
      <w:r w:rsidRPr="008D3BD3">
        <w:t>. A template for BMD analysis reporting has been inserted in</w:t>
      </w:r>
      <w:r w:rsidR="004E771B">
        <w:t xml:space="preserve"> </w:t>
      </w:r>
      <w:r w:rsidR="004E771B">
        <w:fldChar w:fldCharType="begin"/>
      </w:r>
      <w:r w:rsidR="004E771B">
        <w:instrText xml:space="preserve"> REF _Ref94101325 \r \h </w:instrText>
      </w:r>
      <w:r w:rsidR="004E771B">
        <w:fldChar w:fldCharType="separate"/>
      </w:r>
      <w:r w:rsidR="004E771B">
        <w:t>Appendix E</w:t>
      </w:r>
      <w:r w:rsidR="004E771B">
        <w:fldChar w:fldCharType="end"/>
      </w:r>
      <w:r w:rsidRPr="005571D0">
        <w:t>.</w:t>
      </w:r>
    </w:p>
    <w:p w14:paraId="2795D0E0" w14:textId="66CE9B03" w:rsidR="005132E1" w:rsidRDefault="005132E1" w:rsidP="00CC165F">
      <w:pPr>
        <w:pStyle w:val="EFSABodytext"/>
      </w:pPr>
      <w:r w:rsidRPr="00267ECA">
        <w:t xml:space="preserve">Section </w:t>
      </w:r>
      <w:r w:rsidRPr="005571D0">
        <w:t>2.</w:t>
      </w:r>
      <w:r w:rsidR="0019146A" w:rsidRPr="005571D0">
        <w:t>6</w:t>
      </w:r>
      <w:r w:rsidRPr="00267ECA">
        <w:t>, which provides guidance on how to apply the BMD approach in practice, has been significantly modified compared to the 2009</w:t>
      </w:r>
      <w:r w:rsidR="7848B073" w:rsidRPr="00267ECA">
        <w:t>a</w:t>
      </w:r>
      <w:r w:rsidRPr="00267ECA">
        <w:t xml:space="preserve"> </w:t>
      </w:r>
      <w:r w:rsidR="6FEA8882" w:rsidRPr="00267ECA">
        <w:t xml:space="preserve">and 2017 </w:t>
      </w:r>
      <w:r w:rsidRPr="00267ECA">
        <w:t>version</w:t>
      </w:r>
      <w:r w:rsidR="0844D25B" w:rsidRPr="00267ECA">
        <w:t>s</w:t>
      </w:r>
      <w:r w:rsidRPr="00267ECA">
        <w:t xml:space="preserve"> of the guidance document: </w:t>
      </w:r>
      <w:r w:rsidR="0019146A" w:rsidRPr="00267ECA">
        <w:t xml:space="preserve">Bayesian </w:t>
      </w:r>
      <w:r w:rsidRPr="00267ECA">
        <w:t xml:space="preserve">model averaging </w:t>
      </w:r>
      <w:r w:rsidR="0019146A" w:rsidRPr="00267ECA">
        <w:t>has been introduced</w:t>
      </w:r>
      <w:r w:rsidRPr="00267ECA">
        <w:t xml:space="preserve"> as the preferred method for </w:t>
      </w:r>
      <w:r w:rsidR="00AE0A37" w:rsidRPr="00267ECA">
        <w:t>estimating</w:t>
      </w:r>
      <w:r w:rsidRPr="00267ECA">
        <w:t xml:space="preserve"> the BMD </w:t>
      </w:r>
      <w:r w:rsidR="00AE0A37" w:rsidRPr="00267ECA">
        <w:t>and calculating its credible</w:t>
      </w:r>
      <w:r w:rsidRPr="00267ECA">
        <w:t xml:space="preserve"> interval.</w:t>
      </w:r>
      <w:r w:rsidRPr="006C7CB4">
        <w:t xml:space="preserve"> </w:t>
      </w:r>
      <w:r w:rsidR="00793EC8">
        <w:t>T</w:t>
      </w:r>
      <w:r w:rsidR="002F6FD1">
        <w:t>he problem formulation</w:t>
      </w:r>
      <w:r w:rsidR="008D1BDB">
        <w:t xml:space="preserve"> step</w:t>
      </w:r>
      <w:r w:rsidR="00793EC8">
        <w:t xml:space="preserve"> </w:t>
      </w:r>
      <w:r w:rsidR="00573B00">
        <w:t xml:space="preserve">has been </w:t>
      </w:r>
      <w:r w:rsidR="008D13AC">
        <w:t xml:space="preserve">particularly </w:t>
      </w:r>
      <w:r w:rsidR="00605A03">
        <w:t>expanded,</w:t>
      </w:r>
      <w:r w:rsidR="00EF1F74">
        <w:t xml:space="preserve"> </w:t>
      </w:r>
      <w:r w:rsidR="00657470">
        <w:t xml:space="preserve">providing further guidance </w:t>
      </w:r>
      <w:r w:rsidR="009D14F3">
        <w:t xml:space="preserve">on key decisions to be taken before </w:t>
      </w:r>
      <w:r w:rsidR="00BB7317">
        <w:t>starting to model</w:t>
      </w:r>
      <w:r w:rsidR="006646C8">
        <w:t xml:space="preserve"> the data: </w:t>
      </w:r>
      <w:r w:rsidR="00D26DF4">
        <w:t>specification of the BMR</w:t>
      </w:r>
      <w:r w:rsidR="00EA16BF">
        <w:t xml:space="preserve">, </w:t>
      </w:r>
      <w:r w:rsidR="001F5159">
        <w:t xml:space="preserve">data suitability </w:t>
      </w:r>
      <w:r w:rsidR="00664CED">
        <w:t xml:space="preserve">to </w:t>
      </w:r>
      <w:r w:rsidR="000E5A6B">
        <w:t xml:space="preserve">estimate the BMD using dose-response modelling, </w:t>
      </w:r>
      <w:r w:rsidR="00B37F74">
        <w:t xml:space="preserve">consideration of prior information for the endpoint(s) considered. </w:t>
      </w:r>
    </w:p>
    <w:p w14:paraId="0CFA58A0" w14:textId="77777777" w:rsidR="006219A5" w:rsidRDefault="006219A5" w:rsidP="0019146A">
      <w:pPr>
        <w:pStyle w:val="EFSABodytext"/>
      </w:pPr>
    </w:p>
    <w:p w14:paraId="2D5DBF9F" w14:textId="0F46B6D0" w:rsidR="009F517A" w:rsidRDefault="009F517A" w:rsidP="0019146A">
      <w:pPr>
        <w:pStyle w:val="EFSABodytext"/>
      </w:pPr>
      <w:r>
        <w:t>The principles outline</w:t>
      </w:r>
      <w:r w:rsidR="76AB5188">
        <w:t>d</w:t>
      </w:r>
      <w:r>
        <w:t xml:space="preserve"> in this guidance document may also apply to data from (observational) epidemiological studies. However, such studies have their own peculiarities with respect to study design and interpretation of data and for this reason the application of dose-response analysis of epidemiological data </w:t>
      </w:r>
      <w:r w:rsidR="090DE77D">
        <w:t>will</w:t>
      </w:r>
      <w:r w:rsidR="1BD4CFC6">
        <w:t xml:space="preserve"> </w:t>
      </w:r>
      <w:r>
        <w:t>be addressed in a separate future guidance document.</w:t>
      </w:r>
    </w:p>
    <w:p w14:paraId="008CFFF9" w14:textId="4DD464E3" w:rsidR="009F517A" w:rsidRDefault="009F517A" w:rsidP="009F517A">
      <w:pPr>
        <w:pStyle w:val="EFSABodytext"/>
      </w:pPr>
      <w:r>
        <w:t xml:space="preserve">The present guidance is primarily aimed at EFSA Units and Panels and other stakeholders, for example applicants, performing dose-response analyses. The SC considers that the use of the BMD approach is </w:t>
      </w:r>
      <w:r w:rsidR="308F5B37">
        <w:t xml:space="preserve">the preferred approach compared to </w:t>
      </w:r>
      <w:r>
        <w:t xml:space="preserve">the NOAEL approach to </w:t>
      </w:r>
      <w:r w:rsidR="44C50A63">
        <w:t xml:space="preserve">identify </w:t>
      </w:r>
      <w:r>
        <w:t>a RP; therefore</w:t>
      </w:r>
      <w:r w:rsidR="00D27D18">
        <w:t>,</w:t>
      </w:r>
      <w:r>
        <w:t xml:space="preserve"> the application of this guidance document is unconditional for EFSA and is strongly recommended for all parties submitting assessments to EFSA for peer-review or dossiers for authorisation purposes (see </w:t>
      </w:r>
      <w:r w:rsidRPr="2A453333">
        <w:rPr>
          <w:lang w:val="en-US"/>
        </w:rPr>
        <w:t>EFSA Scientific Committee, 2015</w:t>
      </w:r>
      <w:r>
        <w:t xml:space="preserve">). </w:t>
      </w:r>
    </w:p>
    <w:p w14:paraId="2AF9A2C8" w14:textId="77777777" w:rsidR="003D562A" w:rsidRDefault="003D562A" w:rsidP="009F517A">
      <w:pPr>
        <w:pStyle w:val="EFSABodytext"/>
      </w:pPr>
    </w:p>
    <w:p w14:paraId="11469CFF" w14:textId="77777777" w:rsidR="00CC165F" w:rsidRPr="00D07C61" w:rsidRDefault="00CC165F" w:rsidP="00CC165F">
      <w:pPr>
        <w:pStyle w:val="EFSAHeading2"/>
        <w:rPr>
          <w:rFonts w:cs="Times New Roman"/>
        </w:rPr>
      </w:pPr>
      <w:bookmarkStart w:id="27" w:name="_Toc232584098"/>
      <w:bookmarkStart w:id="28" w:name="_Toc94255329"/>
      <w:r w:rsidRPr="00D07C61">
        <w:t>Hazard identification: selection of potential critical endpoints</w:t>
      </w:r>
      <w:bookmarkEnd w:id="27"/>
      <w:bookmarkEnd w:id="28"/>
    </w:p>
    <w:p w14:paraId="77A746CD" w14:textId="5A497112" w:rsidR="0037660F" w:rsidRPr="00367B5F" w:rsidRDefault="0037660F" w:rsidP="0037660F">
      <w:pPr>
        <w:pStyle w:val="EFSABodytext"/>
      </w:pPr>
      <w:r>
        <w:t xml:space="preserve">Toxicity studies are designed to identify adverse effects produced by a substance, and to characterize the dose-response relationships for the adverse effects detected. While human dose-response data are </w:t>
      </w:r>
      <w:r w:rsidR="1AC4DA83">
        <w:t xml:space="preserve">occasionally </w:t>
      </w:r>
      <w:r>
        <w:t xml:space="preserve">available, most risk assessments rely on data from animal studies. The aim of hazard identification is to identify potential critical endpoints that may be of relevance for human health. An important component </w:t>
      </w:r>
      <w:r w:rsidR="16C13B7B">
        <w:t xml:space="preserve">in hazard identification </w:t>
      </w:r>
      <w:r>
        <w:t>is the consideration of dose dependency of observed effects. Traditionally this is done by visual inspection together with conventional statistical tools.</w:t>
      </w:r>
      <w:r w:rsidR="00732658">
        <w:t xml:space="preserve"> </w:t>
      </w:r>
      <w:r>
        <w:t xml:space="preserve">The SC recommends using </w:t>
      </w:r>
      <w:r w:rsidRPr="00367B5F">
        <w:t>dose-response modelling approaches</w:t>
      </w:r>
      <w:r w:rsidR="008C5CCC">
        <w:t xml:space="preserve"> </w:t>
      </w:r>
      <w:r>
        <w:t>(</w:t>
      </w:r>
      <w:r w:rsidRPr="005E1077">
        <w:t>see section 2.5)</w:t>
      </w:r>
      <w:r w:rsidRPr="00367B5F">
        <w:t xml:space="preserve">. </w:t>
      </w:r>
      <w:r w:rsidR="0079625A">
        <w:t>When no statistical evidence for a treatment-related change is observed</w:t>
      </w:r>
      <w:r>
        <w:t xml:space="preserve">, the dataset for the endpoint under consideration would normally not be used for </w:t>
      </w:r>
      <w:r w:rsidR="1F07F4DD">
        <w:t xml:space="preserve">identifying </w:t>
      </w:r>
      <w:r>
        <w:t>a</w:t>
      </w:r>
      <w:r w:rsidR="00B02496">
        <w:t>n</w:t>
      </w:r>
      <w:r>
        <w:t xml:space="preserve"> RP. </w:t>
      </w:r>
      <w:r w:rsidR="076AC320">
        <w:t>However, t</w:t>
      </w:r>
      <w:r>
        <w:t>he s</w:t>
      </w:r>
      <w:r w:rsidRPr="00367B5F">
        <w:t xml:space="preserve">election of </w:t>
      </w:r>
      <w:r w:rsidR="2B8C45C8" w:rsidRPr="00367B5F">
        <w:t>any</w:t>
      </w:r>
      <w:r w:rsidRPr="00367B5F">
        <w:t xml:space="preserve"> critical </w:t>
      </w:r>
      <w:r w:rsidR="674D0ECE" w:rsidRPr="00367B5F">
        <w:t xml:space="preserve">adverse </w:t>
      </w:r>
      <w:r w:rsidRPr="00367B5F">
        <w:t xml:space="preserve">effect should not </w:t>
      </w:r>
      <w:r>
        <w:t xml:space="preserve">solely </w:t>
      </w:r>
      <w:r w:rsidRPr="00367B5F">
        <w:t xml:space="preserve">be based on statistical procedures. Importantly, additional toxicological </w:t>
      </w:r>
      <w:r w:rsidR="0047295A">
        <w:t>considerations</w:t>
      </w:r>
      <w:r w:rsidRPr="00367B5F">
        <w:t xml:space="preserve"> should be </w:t>
      </w:r>
      <w:proofErr w:type="gramStart"/>
      <w:r w:rsidRPr="00367B5F">
        <w:t>taken into account</w:t>
      </w:r>
      <w:proofErr w:type="gramEnd"/>
      <w:r w:rsidRPr="00367B5F">
        <w:t xml:space="preserve"> in the evaluation of a toxicological data package. </w:t>
      </w:r>
      <w:r>
        <w:t>Use of the BMD approach does not remove the need for a critical evaluation of the response data</w:t>
      </w:r>
      <w:r>
        <w:rPr>
          <w:rStyle w:val="FootnoteReference"/>
        </w:rPr>
        <w:footnoteReference w:id="7"/>
      </w:r>
      <w:r>
        <w:t xml:space="preserve"> and an assessment of the relevance of the effect to human health.</w:t>
      </w:r>
    </w:p>
    <w:p w14:paraId="61CDCEAD" w14:textId="77777777" w:rsidR="00CC165F" w:rsidRDefault="00CC165F" w:rsidP="00CC165F">
      <w:pPr>
        <w:pStyle w:val="EFSABodytext"/>
      </w:pPr>
    </w:p>
    <w:p w14:paraId="2365F932" w14:textId="77777777" w:rsidR="00CC165F" w:rsidRPr="00D07C61" w:rsidRDefault="00CC165F" w:rsidP="00CC165F">
      <w:pPr>
        <w:pStyle w:val="EFSAHeading2"/>
        <w:rPr>
          <w:rFonts w:cs="Times New Roman"/>
        </w:rPr>
      </w:pPr>
      <w:bookmarkStart w:id="29" w:name="_Toc229469371"/>
      <w:bookmarkStart w:id="30" w:name="_Toc232584099"/>
      <w:bookmarkStart w:id="31" w:name="_Toc94255330"/>
      <w:r w:rsidRPr="00D07C61">
        <w:t>Using dose-response data in hazard characterisation</w:t>
      </w:r>
      <w:bookmarkEnd w:id="29"/>
      <w:bookmarkEnd w:id="30"/>
      <w:bookmarkEnd w:id="31"/>
    </w:p>
    <w:p w14:paraId="2995CD87" w14:textId="59874DFB" w:rsidR="0037660F" w:rsidRPr="00367B5F" w:rsidRDefault="0037660F" w:rsidP="0037660F">
      <w:pPr>
        <w:pStyle w:val="EFSABodytext"/>
      </w:pPr>
      <w:r>
        <w:t>In the hazard characterisation, the nature of the dose-response relationships is explored in detail. The overall aim of the process is to identify a dose (the Reference Point; RP) from the toxicity studies</w:t>
      </w:r>
      <w:r w:rsidR="00D260A2">
        <w:t xml:space="preserve"> </w:t>
      </w:r>
      <w:r w:rsidR="00042C60">
        <w:t>that will</w:t>
      </w:r>
      <w:r>
        <w:t xml:space="preserve"> then </w:t>
      </w:r>
      <w:r w:rsidR="0E5A28B6">
        <w:t xml:space="preserve">be </w:t>
      </w:r>
      <w:r>
        <w:t xml:space="preserve">used to establish a level of human intake at which it is confidently expected that there would be no appreciable adverse health effects, </w:t>
      </w:r>
      <w:proofErr w:type="gramStart"/>
      <w:r>
        <w:t>taking into account</w:t>
      </w:r>
      <w:proofErr w:type="gramEnd"/>
      <w:r>
        <w:t xml:space="preserve"> uncertainty and variability such as inter- and intra-species differences, suboptimal study characteristics or missing data. </w:t>
      </w:r>
    </w:p>
    <w:p w14:paraId="72FA7288" w14:textId="7C702C6D" w:rsidR="0037660F" w:rsidRPr="00367B5F" w:rsidRDefault="0037660F" w:rsidP="0037660F">
      <w:pPr>
        <w:pStyle w:val="EFSABodytext"/>
      </w:pPr>
      <w:r>
        <w:t xml:space="preserve">Hazard characterisation in risk assessment requires the use of a range of dose levels in toxicity studies. Doses are needed that produce different effect sizes providing information on both the lower and higher part of the dose-response relationship to characterise this in full. </w:t>
      </w:r>
    </w:p>
    <w:p w14:paraId="0D08B7FB" w14:textId="5D7A2AAD" w:rsidR="0037660F" w:rsidRDefault="0037660F" w:rsidP="0037660F">
      <w:pPr>
        <w:pStyle w:val="EFSABodytext"/>
      </w:pPr>
      <w:r>
        <w:t xml:space="preserve">Experimental and biological variations affect response measurements; in consequence, the mean response at each dose level will include sampling error. Therefore, dose-response data need to be analysed by statistical methods to prevent inappropriate biological conclusions being drawn. Currently, there are two statistical approaches available for </w:t>
      </w:r>
      <w:r w:rsidR="7B7E2EC5">
        <w:t xml:space="preserve">identifying </w:t>
      </w:r>
      <w:r>
        <w:t xml:space="preserve">a RP: the NOAEL approach, and the BMD approach. This section reviews in brief these two </w:t>
      </w:r>
      <w:proofErr w:type="gramStart"/>
      <w:r>
        <w:t>approaches, and</w:t>
      </w:r>
      <w:proofErr w:type="gramEnd"/>
      <w:r>
        <w:t xml:space="preserve"> summarizes the strengths and limitations of each method. </w:t>
      </w:r>
    </w:p>
    <w:p w14:paraId="6BB9E253" w14:textId="77777777" w:rsidR="00CC165F" w:rsidRDefault="00CC165F" w:rsidP="00CC165F">
      <w:pPr>
        <w:pStyle w:val="EFSABodytext"/>
      </w:pPr>
    </w:p>
    <w:p w14:paraId="236D3935" w14:textId="77777777" w:rsidR="00CC165F" w:rsidRPr="00D07C61" w:rsidRDefault="00CC165F" w:rsidP="002E170A">
      <w:pPr>
        <w:pStyle w:val="EFSAHeading3"/>
        <w:ind w:left="1276"/>
      </w:pPr>
      <w:bookmarkStart w:id="32" w:name="_Toc232584100"/>
      <w:bookmarkStart w:id="33" w:name="_Toc94255331"/>
      <w:r w:rsidRPr="00D07C61">
        <w:t xml:space="preserve">The NOAEL </w:t>
      </w:r>
      <w:proofErr w:type="gramStart"/>
      <w:r w:rsidRPr="00D07C61">
        <w:t>approach</w:t>
      </w:r>
      <w:bookmarkEnd w:id="32"/>
      <w:bookmarkEnd w:id="33"/>
      <w:proofErr w:type="gramEnd"/>
    </w:p>
    <w:p w14:paraId="59CEF556" w14:textId="79D1049E" w:rsidR="0037660F" w:rsidRDefault="0037660F" w:rsidP="0037660F">
      <w:pPr>
        <w:pStyle w:val="EFSABodytext"/>
      </w:pPr>
      <w:r>
        <w:t xml:space="preserve">The NOAEL approach is applicable to all toxicological effects considered to </w:t>
      </w:r>
      <w:r w:rsidR="002668EA">
        <w:t xml:space="preserve">act via </w:t>
      </w:r>
      <w:r>
        <w:t xml:space="preserve">a </w:t>
      </w:r>
      <w:proofErr w:type="spellStart"/>
      <w:r>
        <w:t>threshold</w:t>
      </w:r>
      <w:r w:rsidR="002668EA">
        <w:t>ed</w:t>
      </w:r>
      <w:proofErr w:type="spellEnd"/>
      <w:r w:rsidR="002668EA">
        <w:t xml:space="preserve"> </w:t>
      </w:r>
      <w:r w:rsidR="09566535">
        <w:t>mode of action</w:t>
      </w:r>
      <w:r>
        <w:t>.</w:t>
      </w:r>
    </w:p>
    <w:p w14:paraId="73A6D24F" w14:textId="55F5694F" w:rsidR="0037660F" w:rsidRPr="00367B5F" w:rsidRDefault="0037660F" w:rsidP="0037660F">
      <w:pPr>
        <w:pStyle w:val="EFSABodytext"/>
      </w:pPr>
      <w:r>
        <w:t xml:space="preserve">The study NOAEL is the highest dose tested in a study without evidence of an adverse effect in the </w:t>
      </w:r>
      <w:proofErr w:type="gramStart"/>
      <w:r>
        <w:t>particular experiment</w:t>
      </w:r>
      <w:proofErr w:type="gramEnd"/>
      <w:r w:rsidR="4D188AAB">
        <w:t xml:space="preserve"> and the next higher dose showing a statistically significant </w:t>
      </w:r>
      <w:r w:rsidR="28C1CCDB">
        <w:t xml:space="preserve">adverse </w:t>
      </w:r>
      <w:r w:rsidR="4D188AAB">
        <w:t xml:space="preserve">effect </w:t>
      </w:r>
      <w:r w:rsidR="0ED1680B">
        <w:t xml:space="preserve">is the </w:t>
      </w:r>
      <w:r w:rsidR="22439715">
        <w:t>lowest-observed-adverse-effect-level (LOAEL)</w:t>
      </w:r>
      <w:r>
        <w:t xml:space="preserve">. </w:t>
      </w:r>
      <w:r w:rsidR="08143F74">
        <w:t>The NOAEL</w:t>
      </w:r>
      <w:r>
        <w:t xml:space="preserve"> </w:t>
      </w:r>
      <w:r w:rsidR="004108FD">
        <w:t xml:space="preserve">is </w:t>
      </w:r>
      <w:r w:rsidR="0020197A">
        <w:t>affected by</w:t>
      </w:r>
      <w:r>
        <w:t xml:space="preserve"> the </w:t>
      </w:r>
      <w:r w:rsidR="00981810">
        <w:t>dose range selection</w:t>
      </w:r>
      <w:r>
        <w:t xml:space="preserve"> and </w:t>
      </w:r>
      <w:r w:rsidR="00FA34E6">
        <w:t xml:space="preserve">by </w:t>
      </w:r>
      <w:r>
        <w:t>the (statistical) power of the study. Studies with low power (</w:t>
      </w:r>
      <w:proofErr w:type="gramStart"/>
      <w:r>
        <w:t>e.g.</w:t>
      </w:r>
      <w:proofErr w:type="gramEnd"/>
      <w:r>
        <w:t xml:space="preserve"> small group sizes; insensitive methods, large biological or methodological spread) </w:t>
      </w:r>
      <w:r w:rsidR="0053118D">
        <w:t xml:space="preserve">usually </w:t>
      </w:r>
      <w:r w:rsidRPr="00500E26">
        <w:t>tend to provide</w:t>
      </w:r>
      <w:r>
        <w:t xml:space="preserve"> higher NOAELs than studies with high power. If there is a statistically significant effect at all dose levels, the lowest dose used in the study </w:t>
      </w:r>
      <w:r w:rsidR="652D7E33">
        <w:t>(</w:t>
      </w:r>
      <w:proofErr w:type="gramStart"/>
      <w:r w:rsidR="652D7E33">
        <w:t>i.e.</w:t>
      </w:r>
      <w:proofErr w:type="gramEnd"/>
      <w:r w:rsidR="652D7E33">
        <w:t xml:space="preserve"> the LOAEL) may be </w:t>
      </w:r>
      <w:r>
        <w:t xml:space="preserve">selected as the </w:t>
      </w:r>
      <w:r w:rsidR="7A164316">
        <w:t>RP</w:t>
      </w:r>
      <w:r>
        <w:t xml:space="preserve">. Conversely, if no statistically significant effect is observed at any of the dose levels, the highest dose is selected as </w:t>
      </w:r>
      <w:r w:rsidR="00C17BD7">
        <w:t xml:space="preserve">the </w:t>
      </w:r>
      <w:r>
        <w:t>NOAEL.</w:t>
      </w:r>
    </w:p>
    <w:p w14:paraId="61DF1A62" w14:textId="2DF1A088" w:rsidR="0037660F" w:rsidRDefault="0037660F" w:rsidP="0037660F">
      <w:pPr>
        <w:pStyle w:val="EFSABodytext"/>
      </w:pPr>
      <w:r w:rsidRPr="00367B5F">
        <w:t xml:space="preserve">It should be noted that in general, identification of </w:t>
      </w:r>
      <w:r w:rsidR="6B5DA7E6">
        <w:t xml:space="preserve">a </w:t>
      </w:r>
      <w:r w:rsidRPr="00367B5F">
        <w:t xml:space="preserve">NOAEL is not always a purely </w:t>
      </w:r>
      <w:proofErr w:type="gramStart"/>
      <w:r w:rsidRPr="00367B5F">
        <w:t>statistically-based</w:t>
      </w:r>
      <w:proofErr w:type="gramEnd"/>
      <w:r w:rsidRPr="00367B5F">
        <w:t xml:space="preserve"> decision. </w:t>
      </w:r>
      <w:r>
        <w:t>E</w:t>
      </w:r>
      <w:r w:rsidRPr="00367B5F">
        <w:t xml:space="preserve">xpert judgement </w:t>
      </w:r>
      <w:r>
        <w:t xml:space="preserve">is also part of the decision-making process </w:t>
      </w:r>
      <w:r w:rsidRPr="00367B5F">
        <w:t>and different assessors may reach different decisions</w:t>
      </w:r>
      <w:r>
        <w:t>.</w:t>
      </w:r>
    </w:p>
    <w:p w14:paraId="23DE523C" w14:textId="77777777" w:rsidR="00CC165F" w:rsidRDefault="00CC165F" w:rsidP="00CC165F">
      <w:pPr>
        <w:pStyle w:val="EFSABodytext"/>
      </w:pPr>
    </w:p>
    <w:p w14:paraId="6EECBF84" w14:textId="7B2B8325" w:rsidR="00CC165F" w:rsidRPr="00D07C61" w:rsidRDefault="00CC165F" w:rsidP="002E170A">
      <w:pPr>
        <w:pStyle w:val="EFSAHeading3"/>
        <w:ind w:left="1276"/>
      </w:pPr>
      <w:bookmarkStart w:id="34" w:name="_Toc232584101"/>
      <w:bookmarkStart w:id="35" w:name="_Toc94255332"/>
      <w:r>
        <w:t xml:space="preserve">The BMD </w:t>
      </w:r>
      <w:proofErr w:type="gramStart"/>
      <w:r>
        <w:t>approach</w:t>
      </w:r>
      <w:bookmarkEnd w:id="34"/>
      <w:bookmarkEnd w:id="35"/>
      <w:proofErr w:type="gramEnd"/>
    </w:p>
    <w:p w14:paraId="576FB77E" w14:textId="7187315B" w:rsidR="00B360D8" w:rsidRDefault="00B360D8" w:rsidP="00B360D8">
      <w:pPr>
        <w:pStyle w:val="EFSABodytext"/>
      </w:pPr>
      <w:r>
        <w:t xml:space="preserve">The Benchmark Dose (BMD) is a dose level, estimated from the fitted dose-response curve, associated with a specified change in response, the Benchmark Response (BMR), </w:t>
      </w:r>
      <w:r w:rsidRPr="001D2563">
        <w:t>(see Section 2.</w:t>
      </w:r>
      <w:r w:rsidR="00151DD1" w:rsidRPr="001D2563">
        <w:t>6</w:t>
      </w:r>
      <w:r w:rsidRPr="001D2563">
        <w:t>.2)</w:t>
      </w:r>
      <w:r>
        <w:t>. The BMDL is the BMD’s lower confiden</w:t>
      </w:r>
      <w:r w:rsidRPr="00DB1390">
        <w:t>ce bound, and this value is normally used as the RP. The</w:t>
      </w:r>
      <w:r>
        <w:t xml:space="preserve"> BMD approach is applicable to all toxicological effects and makes use of all the dose-response data to estimate the shape of the overall dose-response relationship for a particular endpoint.</w:t>
      </w:r>
    </w:p>
    <w:p w14:paraId="73DF3244" w14:textId="79B4FB2C" w:rsidR="00B360D8" w:rsidRPr="007B737C" w:rsidRDefault="00B360D8" w:rsidP="00B360D8">
      <w:pPr>
        <w:pStyle w:val="EFSABodytext"/>
      </w:pPr>
      <w:r>
        <w:t>The key concepts in the BMD approach are illust</w:t>
      </w:r>
      <w:r w:rsidRPr="00C70CDF">
        <w:t xml:space="preserve">rated in </w:t>
      </w:r>
      <w:r w:rsidR="00470AE2" w:rsidRPr="00A86F31">
        <w:t>F</w:t>
      </w:r>
      <w:r w:rsidRPr="00A86F31">
        <w:t>igure</w:t>
      </w:r>
      <w:r>
        <w:t xml:space="preserve"> 1 </w:t>
      </w:r>
      <w:r w:rsidRPr="00A86F31">
        <w:t xml:space="preserve">and its caption. More details are provided in </w:t>
      </w:r>
      <w:r w:rsidRPr="00B02622">
        <w:t xml:space="preserve">Appendix </w:t>
      </w:r>
      <w:r w:rsidR="00A86F31" w:rsidRPr="00A86F31">
        <w:t>B</w:t>
      </w:r>
      <w:r>
        <w:t>.</w:t>
      </w:r>
      <w:r w:rsidRPr="00C70CDF">
        <w:t xml:space="preserve"> F</w:t>
      </w:r>
      <w:r w:rsidRPr="00DB1390">
        <w:t>igure 1 shows that a BMDL that is calculated</w:t>
      </w:r>
      <w:r w:rsidR="00C679F8" w:rsidRPr="00151DD1">
        <w:t xml:space="preserve"> </w:t>
      </w:r>
      <w:r w:rsidRPr="00151DD1">
        <w:t xml:space="preserve">for a BMR of </w:t>
      </w:r>
      <w:r w:rsidR="00F86315" w:rsidRPr="00151DD1">
        <w:t>x</w:t>
      </w:r>
      <w:r w:rsidRPr="00151DD1">
        <w:t>%, can be interpreted as follows</w:t>
      </w:r>
      <w:r w:rsidRPr="007B737C">
        <w:t xml:space="preserve">: </w:t>
      </w:r>
    </w:p>
    <w:p w14:paraId="54983E35" w14:textId="65729F3A" w:rsidR="00B360D8" w:rsidRPr="00090719" w:rsidRDefault="6769171B" w:rsidP="00B360D8">
      <w:pPr>
        <w:pStyle w:val="EFSABodytext"/>
      </w:pPr>
      <w:proofErr w:type="spellStart"/>
      <w:proofErr w:type="gramStart"/>
      <w:r>
        <w:t>BMDL</w:t>
      </w:r>
      <w:r w:rsidR="009F63CD" w:rsidRPr="00B00BA3">
        <w:rPr>
          <w:rFonts w:cs="Tahoma"/>
          <w:vertAlign w:val="subscript"/>
        </w:rPr>
        <w:t>x</w:t>
      </w:r>
      <w:proofErr w:type="spellEnd"/>
      <w:r w:rsidRPr="5979428D">
        <w:rPr>
          <w:vertAlign w:val="subscript"/>
        </w:rPr>
        <w:t xml:space="preserve"> </w:t>
      </w:r>
      <w:r>
        <w:t xml:space="preserve"> </w:t>
      </w:r>
      <w:r w:rsidR="6D3453E4">
        <w:t>=</w:t>
      </w:r>
      <w:proofErr w:type="gramEnd"/>
      <w:r w:rsidR="6D3453E4">
        <w:t xml:space="preserve">  dose </w:t>
      </w:r>
      <w:r w:rsidR="086F949F">
        <w:t>below which</w:t>
      </w:r>
      <w:r w:rsidR="6D3453E4">
        <w:t xml:space="preserve"> the change in response is likely to be smaller than </w:t>
      </w:r>
      <w:r>
        <w:t>x</w:t>
      </w:r>
      <w:r w:rsidR="6D3453E4">
        <w:t>%</w:t>
      </w:r>
    </w:p>
    <w:p w14:paraId="6F97597B" w14:textId="74CA0CD5" w:rsidR="00B360D8" w:rsidRDefault="00B360D8" w:rsidP="00B360D8">
      <w:pPr>
        <w:pStyle w:val="EFSABodytext"/>
      </w:pPr>
      <w:r w:rsidRPr="007B737C">
        <w:t>where the term “likely” is defined by the statistical confidence level, usually 95%-confidence.</w:t>
      </w:r>
      <w:r>
        <w:t xml:space="preserve"> </w:t>
      </w:r>
    </w:p>
    <w:p w14:paraId="52E56223" w14:textId="79840C7B" w:rsidR="00CC165F" w:rsidRDefault="00EA5FC2" w:rsidP="00EF2B3C">
      <w:pPr>
        <w:pStyle w:val="EFSABodytext"/>
        <w:jc w:val="center"/>
      </w:pPr>
      <w:r>
        <w:rPr>
          <w:noProof/>
        </w:rPr>
        <w:drawing>
          <wp:inline distT="0" distB="0" distL="0" distR="0" wp14:anchorId="36991B1E" wp14:editId="2BDF6BA6">
            <wp:extent cx="5759450" cy="308737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59450" cy="3087370"/>
                    </a:xfrm>
                    <a:prstGeom prst="rect">
                      <a:avLst/>
                    </a:prstGeom>
                  </pic:spPr>
                </pic:pic>
              </a:graphicData>
            </a:graphic>
          </wp:inline>
        </w:drawing>
      </w:r>
    </w:p>
    <w:p w14:paraId="4B1C2FC3" w14:textId="70A3A78E" w:rsidR="00B31F31" w:rsidRDefault="00B31F31" w:rsidP="00D867E4">
      <w:pPr>
        <w:pStyle w:val="EFSABodytext"/>
        <w:jc w:val="center"/>
        <w:rPr>
          <w:rFonts w:eastAsia="Calibri" w:cs="Arial"/>
        </w:rPr>
      </w:pPr>
    </w:p>
    <w:p w14:paraId="53BADF60" w14:textId="49896A99" w:rsidR="00CC165F" w:rsidRDefault="6D3453E4" w:rsidP="00B74137">
      <w:pPr>
        <w:pStyle w:val="EFSAFiguretitle"/>
      </w:pPr>
      <w:r>
        <w:t xml:space="preserve">Key concepts for the BMD approach. The observed mean responses </w:t>
      </w:r>
      <w:r w:rsidR="14FB71B1">
        <w:t xml:space="preserve">plus or minus the observed standard deviation </w:t>
      </w:r>
      <w:r>
        <w:t>are plotted</w:t>
      </w:r>
      <w:r w:rsidR="27E8816D">
        <w:t xml:space="preserve"> as vertical lines</w:t>
      </w:r>
      <w:r>
        <w:t xml:space="preserve">. The </w:t>
      </w:r>
      <w:r w:rsidR="1C0051F4">
        <w:t>dashed</w:t>
      </w:r>
      <w:r>
        <w:t xml:space="preserve"> curve is a fitted dose-response model</w:t>
      </w:r>
      <w:r w:rsidR="4071E0D7">
        <w:t xml:space="preserve">, either one of the 16 individual dose response models </w:t>
      </w:r>
      <w:r w:rsidR="002F0A42" w:rsidRPr="000218FD">
        <w:t>(</w:t>
      </w:r>
      <w:r w:rsidR="000218FD">
        <w:t xml:space="preserve">see Section </w:t>
      </w:r>
      <w:r w:rsidR="000218FD">
        <w:fldChar w:fldCharType="begin"/>
      </w:r>
      <w:r w:rsidR="000218FD">
        <w:instrText xml:space="preserve"> REF _Ref94101045 \r \h </w:instrText>
      </w:r>
      <w:r w:rsidR="000218FD">
        <w:fldChar w:fldCharType="separate"/>
      </w:r>
      <w:r w:rsidR="000218FD">
        <w:t>2.5.1</w:t>
      </w:r>
      <w:r w:rsidR="000218FD">
        <w:fldChar w:fldCharType="end"/>
      </w:r>
      <w:r w:rsidR="00E01AEB" w:rsidRPr="000218FD">
        <w:t>)</w:t>
      </w:r>
      <w:r w:rsidR="00E01AEB">
        <w:t xml:space="preserve"> </w:t>
      </w:r>
      <w:r w:rsidR="499B9AE8">
        <w:t>or the averaged model</w:t>
      </w:r>
      <w:r>
        <w:t xml:space="preserve">. This curve determines the point estimate of the BMD, which is generally defined as a dose that corresponds to a low but </w:t>
      </w:r>
      <w:r w:rsidR="00C72753">
        <w:t>biologically relevant</w:t>
      </w:r>
      <w:r w:rsidR="00916BBB">
        <w:rPr>
          <w:rStyle w:val="FootnoteReference"/>
        </w:rPr>
        <w:footnoteReference w:id="8"/>
      </w:r>
      <w:r>
        <w:t xml:space="preserve"> change in response, denoted the benchmark response (BMR). The </w:t>
      </w:r>
      <w:r w:rsidR="379A559A">
        <w:t xml:space="preserve">density shows the posterior distribution of the BMD and the green interval </w:t>
      </w:r>
      <w:r>
        <w:t>indicate</w:t>
      </w:r>
      <w:r w:rsidR="1A76E9D5">
        <w:t>s</w:t>
      </w:r>
      <w:r>
        <w:t xml:space="preserve"> the boundaries of the </w:t>
      </w:r>
      <w:r w:rsidR="50EC9636">
        <w:t xml:space="preserve">two-sided </w:t>
      </w:r>
      <w:r>
        <w:t xml:space="preserve">90% </w:t>
      </w:r>
      <w:r w:rsidR="44E04672">
        <w:t>credible</w:t>
      </w:r>
      <w:r>
        <w:t xml:space="preserve"> interval</w:t>
      </w:r>
      <w:r w:rsidR="22A064F3">
        <w:t xml:space="preserve"> of the BMD (defined by the 5% left and right tail probabilities of that posterior distribut</w:t>
      </w:r>
      <w:r w:rsidR="27B55438">
        <w:t>i</w:t>
      </w:r>
      <w:r w:rsidR="22A064F3">
        <w:t>on.</w:t>
      </w:r>
      <w:r>
        <w:t xml:space="preserve"> </w:t>
      </w:r>
      <w:r w:rsidR="0506AA0F">
        <w:t>T</w:t>
      </w:r>
      <w:r>
        <w:t xml:space="preserve">he BMDL is the 95% one-sided lower bound of the </w:t>
      </w:r>
      <w:r w:rsidR="37087C12">
        <w:t xml:space="preserve">90% </w:t>
      </w:r>
      <w:r>
        <w:t>c</w:t>
      </w:r>
      <w:r w:rsidR="224F6CB8">
        <w:t>redible</w:t>
      </w:r>
      <w:r>
        <w:t xml:space="preserve"> interval for </w:t>
      </w:r>
      <w:r w:rsidR="6D5D0B7D">
        <w:t>th</w:t>
      </w:r>
      <w:r>
        <w:t xml:space="preserve">e BMD. </w:t>
      </w:r>
      <w:r w:rsidR="7CB9C7FB">
        <w:t>Likewise, the BMDU is the upper</w:t>
      </w:r>
      <w:r w:rsidR="440CB084">
        <w:t xml:space="preserve"> </w:t>
      </w:r>
      <w:r w:rsidR="7CB9C7FB">
        <w:t xml:space="preserve">bound of the 95% credible interval for the BMD. </w:t>
      </w:r>
      <w:r>
        <w:t xml:space="preserve">It should be noted that the </w:t>
      </w:r>
      <w:r w:rsidR="00D15A86">
        <w:t xml:space="preserve">predicted </w:t>
      </w:r>
      <w:r w:rsidR="009D0F2E">
        <w:t>back</w:t>
      </w:r>
      <w:r w:rsidR="00D60173">
        <w:t>g</w:t>
      </w:r>
      <w:r w:rsidR="009D0F2E">
        <w:t>round response does not necessarily coincide with the observed background response. The</w:t>
      </w:r>
      <w:r>
        <w:t xml:space="preserve"> BMR is defined as a change </w:t>
      </w:r>
      <w:proofErr w:type="gramStart"/>
      <w:r>
        <w:t>with regard to</w:t>
      </w:r>
      <w:proofErr w:type="gramEnd"/>
      <w:r>
        <w:t xml:space="preserve"> the background response predicted by the fitted model. </w:t>
      </w:r>
    </w:p>
    <w:p w14:paraId="1F03B6F6" w14:textId="77777777" w:rsidR="00B360D8" w:rsidRPr="00367B5F" w:rsidRDefault="00B360D8" w:rsidP="00F00323">
      <w:pPr>
        <w:pStyle w:val="EFSABodytext"/>
      </w:pPr>
      <w:r w:rsidRPr="00367B5F">
        <w:t>The essential steps involved in identifying the BMDL for a particular study are:</w:t>
      </w:r>
    </w:p>
    <w:p w14:paraId="6C8ECC23" w14:textId="016F5063" w:rsidR="00B360D8" w:rsidRPr="00367B5F" w:rsidRDefault="00B360D8" w:rsidP="00F00323">
      <w:pPr>
        <w:pStyle w:val="EFSABodytext"/>
        <w:numPr>
          <w:ilvl w:val="0"/>
          <w:numId w:val="30"/>
        </w:numPr>
      </w:pPr>
      <w:r w:rsidRPr="00367B5F">
        <w:t xml:space="preserve">Specification of a response level, </w:t>
      </w:r>
      <w:proofErr w:type="gramStart"/>
      <w:r w:rsidRPr="00367B5F">
        <w:t>e.g.</w:t>
      </w:r>
      <w:proofErr w:type="gramEnd"/>
      <w:r w:rsidRPr="00367B5F">
        <w:t xml:space="preserve"> a 5% or 10% increase or decrease in response compared with </w:t>
      </w:r>
      <w:r>
        <w:t>the background response.</w:t>
      </w:r>
      <w:r w:rsidRPr="00367B5F">
        <w:t xml:space="preserve"> </w:t>
      </w:r>
      <w:r>
        <w:t>This</w:t>
      </w:r>
      <w:r w:rsidRPr="00367B5F">
        <w:t xml:space="preserve"> is called the </w:t>
      </w:r>
      <w:r>
        <w:t xml:space="preserve">BMR </w:t>
      </w:r>
      <w:r w:rsidRPr="00C205EA">
        <w:t xml:space="preserve">(see </w:t>
      </w:r>
      <w:r w:rsidR="00151DD1">
        <w:t>S</w:t>
      </w:r>
      <w:r w:rsidRPr="00C205EA">
        <w:t>ection 2.</w:t>
      </w:r>
      <w:r w:rsidR="00151DD1" w:rsidRPr="00C205EA">
        <w:t>6.2</w:t>
      </w:r>
      <w:r w:rsidRPr="00C205EA">
        <w:t>)</w:t>
      </w:r>
      <w:r w:rsidRPr="00CA490C">
        <w:t>.</w:t>
      </w:r>
      <w:r w:rsidRPr="00367B5F">
        <w:t xml:space="preserve"> </w:t>
      </w:r>
    </w:p>
    <w:p w14:paraId="6391BB70" w14:textId="5EFDE589" w:rsidR="004024B2" w:rsidRDefault="029E8060" w:rsidP="00F00323">
      <w:pPr>
        <w:pStyle w:val="EFSABodytext"/>
        <w:numPr>
          <w:ilvl w:val="0"/>
          <w:numId w:val="30"/>
        </w:numPr>
      </w:pPr>
      <w:r>
        <w:t>Perform Bayesian model averaging using a</w:t>
      </w:r>
      <w:r w:rsidR="6D3453E4">
        <w:t xml:space="preserve"> set of </w:t>
      </w:r>
      <w:r w:rsidRPr="009A05A3">
        <w:t>pre-defined</w:t>
      </w:r>
      <w:r w:rsidR="6D3453E4" w:rsidRPr="00AF17FE">
        <w:t xml:space="preserve"> dose-response models (</w:t>
      </w:r>
      <w:r w:rsidR="00333E5E" w:rsidRPr="00AA4595">
        <w:t>S</w:t>
      </w:r>
      <w:r w:rsidR="6D3453E4">
        <w:t>ection</w:t>
      </w:r>
      <w:r w:rsidR="6D3453E4" w:rsidRPr="00333E5E">
        <w:t xml:space="preserve"> </w:t>
      </w:r>
      <w:r w:rsidR="6D3453E4" w:rsidRPr="00163F82">
        <w:t>2.</w:t>
      </w:r>
      <w:r w:rsidR="00333E5E" w:rsidRPr="00163F82">
        <w:t>6</w:t>
      </w:r>
      <w:r w:rsidR="6D3453E4" w:rsidRPr="00163F82">
        <w:t>.</w:t>
      </w:r>
      <w:r w:rsidR="00333E5E" w:rsidRPr="00163F82">
        <w:t>5</w:t>
      </w:r>
      <w:r w:rsidR="6D3453E4" w:rsidRPr="00163F82">
        <w:t>)</w:t>
      </w:r>
      <w:r w:rsidR="6D3453E4">
        <w:t xml:space="preserve">, and calculation of the BMD </w:t>
      </w:r>
      <w:r w:rsidR="20B9A700" w:rsidRPr="009A05A3">
        <w:t>credible</w:t>
      </w:r>
      <w:r w:rsidR="6D3453E4" w:rsidRPr="00AF17FE">
        <w:t xml:space="preserve"> interval for </w:t>
      </w:r>
      <w:r w:rsidR="474370B0" w:rsidRPr="00AF17FE">
        <w:t>the average</w:t>
      </w:r>
      <w:r w:rsidR="0C9A4339" w:rsidRPr="00AF17FE">
        <w:t>d</w:t>
      </w:r>
      <w:r w:rsidR="474370B0" w:rsidRPr="00AA4595">
        <w:t xml:space="preserve"> model, </w:t>
      </w:r>
      <w:r w:rsidR="4A4FB113" w:rsidRPr="00AA4595">
        <w:t>for each of the critical endpoin</w:t>
      </w:r>
      <w:r w:rsidR="474370B0" w:rsidRPr="00C93A5D">
        <w:t>ts</w:t>
      </w:r>
      <w:r w:rsidR="6D3453E4">
        <w:t xml:space="preserve">. </w:t>
      </w:r>
    </w:p>
    <w:p w14:paraId="3328C4F9" w14:textId="5B29A9CD" w:rsidR="00B360D8" w:rsidRPr="00367B5F" w:rsidRDefault="00B360D8" w:rsidP="00F00323">
      <w:pPr>
        <w:pStyle w:val="EFSABodytext"/>
        <w:numPr>
          <w:ilvl w:val="0"/>
          <w:numId w:val="30"/>
        </w:numPr>
      </w:pPr>
      <w:r w:rsidRPr="00367B5F">
        <w:t>An overall study BMDL</w:t>
      </w:r>
      <w:r>
        <w:t>,</w:t>
      </w:r>
      <w:r w:rsidRPr="00367B5F">
        <w:t xml:space="preserve"> </w:t>
      </w:r>
      <w:proofErr w:type="gramStart"/>
      <w:r w:rsidRPr="00367B5F">
        <w:t>i.e.</w:t>
      </w:r>
      <w:proofErr w:type="gramEnd"/>
      <w:r w:rsidRPr="00367B5F">
        <w:t xml:space="preserve"> the critical BMDL of the stu</w:t>
      </w:r>
      <w:r w:rsidRPr="001077E7">
        <w:t>dy</w:t>
      </w:r>
      <w:r>
        <w:t>,</w:t>
      </w:r>
      <w:r w:rsidRPr="00367B5F">
        <w:t xml:space="preserve"> is </w:t>
      </w:r>
      <w:r>
        <w:t>selected from the obtained</w:t>
      </w:r>
      <w:r w:rsidRPr="00367B5F">
        <w:t xml:space="preserve"> </w:t>
      </w:r>
      <w:r>
        <w:t xml:space="preserve">set of BMD </w:t>
      </w:r>
      <w:r w:rsidR="00217102">
        <w:t>credible</w:t>
      </w:r>
      <w:r>
        <w:t xml:space="preserve"> intervals</w:t>
      </w:r>
      <w:r>
        <w:rPr>
          <w:rStyle w:val="CommentReference"/>
        </w:rPr>
        <w:t xml:space="preserve"> </w:t>
      </w:r>
      <w:r w:rsidRPr="00367B5F">
        <w:t xml:space="preserve">for the different </w:t>
      </w:r>
      <w:r>
        <w:t xml:space="preserve">potentially critical </w:t>
      </w:r>
      <w:r w:rsidRPr="00CA490C">
        <w:t xml:space="preserve">endpoints (see </w:t>
      </w:r>
      <w:r w:rsidR="00E657DC">
        <w:t>S</w:t>
      </w:r>
      <w:r w:rsidR="00E657DC" w:rsidRPr="00E657DC">
        <w:t xml:space="preserve">ection </w:t>
      </w:r>
      <w:r w:rsidRPr="00163F82">
        <w:t>2.</w:t>
      </w:r>
      <w:r w:rsidR="00E657DC" w:rsidRPr="00163F82">
        <w:t>6</w:t>
      </w:r>
      <w:r w:rsidRPr="00163F82">
        <w:t>.</w:t>
      </w:r>
      <w:r w:rsidR="00E657DC" w:rsidRPr="00E657DC">
        <w:t>5</w:t>
      </w:r>
      <w:r w:rsidRPr="00CA490C">
        <w:t>).</w:t>
      </w:r>
    </w:p>
    <w:p w14:paraId="207FDF05" w14:textId="06D769C4" w:rsidR="00B360D8" w:rsidRDefault="1256F3CC" w:rsidP="00795F57">
      <w:pPr>
        <w:pStyle w:val="EFSABodytext"/>
        <w:ind w:left="720"/>
      </w:pPr>
      <w:r>
        <w:t xml:space="preserve">The BMD credible interval should be calculated for all datasets considered relevant (the respective BMDL potentially leading to the RP), resulting in a set of credible intervals indicating the uncertainty ranges around the true BMD for the endpoints considered. One way to proceed is to simply select the endpoint with the lowest BMDL and use that value as the RP. However, this procedure may not be optimal in all cases, and the risk assessor might decide to use a more holistic approach, where all relevant aspects are </w:t>
      </w:r>
      <w:proofErr w:type="gramStart"/>
      <w:r>
        <w:t>taken into account</w:t>
      </w:r>
      <w:proofErr w:type="gramEnd"/>
      <w:r>
        <w:t xml:space="preserve">, such as the width of the BMD </w:t>
      </w:r>
      <w:r w:rsidRPr="00D16577">
        <w:t xml:space="preserve">credible </w:t>
      </w:r>
      <w:r>
        <w:t>intervals (rather than just the BMDLs), the biological meaning of the relevant endpoints. This process will differ from case to case, needs expert judgement and it is the risk assessor’s responsibility to make a substantiated decision on what BMDL will be used as the RP</w:t>
      </w:r>
      <w:r w:rsidR="205C2087">
        <w:t xml:space="preserve"> (see </w:t>
      </w:r>
      <w:r w:rsidR="00AA4595">
        <w:t>‘</w:t>
      </w:r>
      <w:r w:rsidR="205C2087" w:rsidRPr="00D16577">
        <w:t>Determining the RP for a given substance</w:t>
      </w:r>
      <w:r w:rsidR="00AA4595">
        <w:t>’ in</w:t>
      </w:r>
      <w:r w:rsidR="00AA4595" w:rsidRPr="00AA4595">
        <w:t xml:space="preserve"> </w:t>
      </w:r>
      <w:r w:rsidR="00AA4595">
        <w:t>Section 2.6.5</w:t>
      </w:r>
      <w:r w:rsidR="205C2087" w:rsidRPr="00D16577">
        <w:t>)</w:t>
      </w:r>
      <w:r>
        <w:t xml:space="preserve">. </w:t>
      </w:r>
    </w:p>
    <w:p w14:paraId="2F152B37" w14:textId="77777777" w:rsidR="00B360D8" w:rsidRDefault="00B360D8" w:rsidP="00B360D8">
      <w:pPr>
        <w:pStyle w:val="EFSABodytext"/>
      </w:pPr>
    </w:p>
    <w:p w14:paraId="5A279B3F" w14:textId="7E2704F4" w:rsidR="00B360D8" w:rsidRDefault="00B360D8" w:rsidP="00B360D8">
      <w:pPr>
        <w:pStyle w:val="EFSABodytext"/>
      </w:pPr>
      <w:r>
        <w:t xml:space="preserve">The advantage of the BMD approach over the NOAEL approach </w:t>
      </w:r>
      <w:r w:rsidR="00B64974">
        <w:t xml:space="preserve">relates to </w:t>
      </w:r>
      <w:r>
        <w:t xml:space="preserve">the fact that the selection of the RP </w:t>
      </w:r>
      <w:proofErr w:type="gramStart"/>
      <w:r>
        <w:t>takes into account</w:t>
      </w:r>
      <w:proofErr w:type="gramEnd"/>
      <w:r>
        <w:t xml:space="preserve"> the complete set of BMD confidence intervals for the endpoints considered and combine</w:t>
      </w:r>
      <w:r w:rsidR="00602360" w:rsidRPr="00EC2E76">
        <w:t>s</w:t>
      </w:r>
      <w:r w:rsidRPr="00362444">
        <w:t xml:space="preserve"> the information on uncertainties in the data </w:t>
      </w:r>
      <w:r w:rsidRPr="00017742">
        <w:t xml:space="preserve">(see </w:t>
      </w:r>
      <w:r w:rsidR="00F3148D" w:rsidRPr="00017742">
        <w:t xml:space="preserve">Section </w:t>
      </w:r>
      <w:r w:rsidRPr="00017742">
        <w:t>2.</w:t>
      </w:r>
      <w:r w:rsidR="00F3148D" w:rsidRPr="00017742">
        <w:t>6</w:t>
      </w:r>
      <w:r w:rsidRPr="00017742">
        <w:t>.</w:t>
      </w:r>
      <w:r w:rsidR="00F3148D" w:rsidRPr="00017742">
        <w:t>5</w:t>
      </w:r>
      <w:r w:rsidRPr="00017742">
        <w:t>),</w:t>
      </w:r>
      <w:r w:rsidRPr="00B21680">
        <w:t xml:space="preserve"> whereas in </w:t>
      </w:r>
      <w:r w:rsidRPr="00E00351">
        <w:t>t</w:t>
      </w:r>
      <w:r w:rsidRPr="00892AA8">
        <w:t xml:space="preserve">he NOAEL approach </w:t>
      </w:r>
      <w:r>
        <w:t xml:space="preserve">experimental uncertainties, resulting from low study power, are not adequately covered and may result in an RP </w:t>
      </w:r>
      <w:r w:rsidR="00C82995">
        <w:t xml:space="preserve">that is </w:t>
      </w:r>
      <w:r w:rsidRPr="00EC2E76">
        <w:t xml:space="preserve">too high </w:t>
      </w:r>
      <w:r w:rsidRPr="002A2F05">
        <w:t xml:space="preserve">(see also </w:t>
      </w:r>
      <w:r w:rsidR="007A1BF2" w:rsidRPr="002A2F05">
        <w:t xml:space="preserve">Section </w:t>
      </w:r>
      <w:r w:rsidRPr="002A2F05">
        <w:t>2.3.1).</w:t>
      </w:r>
      <w:r w:rsidRPr="00367B5F">
        <w:t xml:space="preserve"> In </w:t>
      </w:r>
      <w:r w:rsidRPr="00EC2E76">
        <w:t>comparison</w:t>
      </w:r>
      <w:r>
        <w:t xml:space="preserve"> with the NOAEL approach,</w:t>
      </w:r>
      <w:r w:rsidRPr="00367B5F">
        <w:t xml:space="preserve"> the BMD approach </w:t>
      </w:r>
      <w:r>
        <w:t xml:space="preserve">has the advantage that </w:t>
      </w:r>
      <w:r w:rsidRPr="00367B5F">
        <w:t xml:space="preserve">it provides a formal quantitative evaluation of data quality, by </w:t>
      </w:r>
      <w:proofErr w:type="gramStart"/>
      <w:r w:rsidRPr="00367B5F">
        <w:t>taking into account</w:t>
      </w:r>
      <w:proofErr w:type="gramEnd"/>
      <w:r w:rsidRPr="00367B5F">
        <w:t xml:space="preserve"> all aspects of the specific data. </w:t>
      </w:r>
      <w:r w:rsidR="00454C57">
        <w:t>Data containing little information on the dose response</w:t>
      </w:r>
      <w:r>
        <w:t xml:space="preserve"> may result in a BMDL that is far lower than the true BMD, but still</w:t>
      </w:r>
      <w:r w:rsidRPr="00367B5F">
        <w:t>, the meaning of th</w:t>
      </w:r>
      <w:r>
        <w:t>e</w:t>
      </w:r>
      <w:r w:rsidRPr="00367B5F">
        <w:t xml:space="preserve"> BMDL value remains as it was defined: it reflects a dose level where the associated effect size is unlikely to be </w:t>
      </w:r>
      <w:r>
        <w:t xml:space="preserve">larger </w:t>
      </w:r>
      <w:r w:rsidRPr="00367B5F">
        <w:t xml:space="preserve">than the BMR used. </w:t>
      </w:r>
    </w:p>
    <w:p w14:paraId="3C7B978E" w14:textId="265DE310" w:rsidR="00B360D8" w:rsidRPr="00367B5F" w:rsidRDefault="00B360D8" w:rsidP="00B360D8">
      <w:pPr>
        <w:pStyle w:val="EFSABodytext"/>
      </w:pPr>
      <w:r>
        <w:t>Nonetheless, it might happen that the data are so poor that using the associated BMDL as a potential RP appears unwarranted. This might be decided when the BMD confidence interval is wide</w:t>
      </w:r>
      <w:r w:rsidR="00B443C1">
        <w:t>,</w:t>
      </w:r>
      <w:r>
        <w:t xml:space="preserve"> </w:t>
      </w:r>
      <w:proofErr w:type="gramStart"/>
      <w:r w:rsidR="5E556D42">
        <w:t>i.e.</w:t>
      </w:r>
      <w:proofErr w:type="gramEnd"/>
      <w:r w:rsidR="5E556D42">
        <w:t xml:space="preserve"> </w:t>
      </w:r>
      <w:r w:rsidR="6532D468">
        <w:t xml:space="preserve">when </w:t>
      </w:r>
      <w:r w:rsidR="5E556D42">
        <w:t>there is large uncertainty in the BMD estimate</w:t>
      </w:r>
      <w:r w:rsidR="00B443C1" w:rsidRPr="009E5308">
        <w:t>.</w:t>
      </w:r>
      <w:r w:rsidRPr="009E5308">
        <w:t xml:space="preserve"> </w:t>
      </w:r>
      <w:r>
        <w:t xml:space="preserve">This issue is further discussed in </w:t>
      </w:r>
      <w:r w:rsidR="00FA3AAA" w:rsidRPr="006D2865">
        <w:t xml:space="preserve">Section </w:t>
      </w:r>
      <w:r w:rsidRPr="006D2865">
        <w:t>2.</w:t>
      </w:r>
      <w:r w:rsidR="00FA3AAA" w:rsidRPr="006D2865">
        <w:t>6</w:t>
      </w:r>
      <w:r w:rsidRPr="006D2865">
        <w:t>.</w:t>
      </w:r>
      <w:r w:rsidR="00FA3AAA" w:rsidRPr="00FA3AAA">
        <w:t>5</w:t>
      </w:r>
      <w:r w:rsidRPr="00362444">
        <w:t>.</w:t>
      </w:r>
    </w:p>
    <w:p w14:paraId="6C71E9FD" w14:textId="0EDF9340" w:rsidR="00B360D8" w:rsidRDefault="00B360D8" w:rsidP="00B360D8">
      <w:pPr>
        <w:pStyle w:val="EFSABodytext"/>
      </w:pPr>
      <w:r>
        <w:t>For the derivation of a BMDL for a given set of data</w:t>
      </w:r>
      <w:r w:rsidR="00B443C1">
        <w:t>,</w:t>
      </w:r>
      <w:r>
        <w:t xml:space="preserve"> </w:t>
      </w:r>
      <w:r w:rsidR="001906F0">
        <w:t>several</w:t>
      </w:r>
      <w:r>
        <w:t xml:space="preserve"> statistical </w:t>
      </w:r>
      <w:r w:rsidR="001906F0">
        <w:t>software</w:t>
      </w:r>
      <w:r>
        <w:t xml:space="preserve"> </w:t>
      </w:r>
      <w:proofErr w:type="gramStart"/>
      <w:r>
        <w:t>are</w:t>
      </w:r>
      <w:proofErr w:type="gramEnd"/>
      <w:r>
        <w:t xml:space="preserve"> available. The tools most frequently used are BMDS </w:t>
      </w:r>
      <w:r w:rsidRPr="00DF63A3">
        <w:t>(</w:t>
      </w:r>
      <w:hyperlink r:id="rId17">
        <w:r w:rsidRPr="00DF63A3">
          <w:rPr>
            <w:rStyle w:val="Hyperlink"/>
          </w:rPr>
          <w:t>www.epa.gov/bmds</w:t>
        </w:r>
      </w:hyperlink>
      <w:r w:rsidRPr="00D83B75">
        <w:t>), PROAST</w:t>
      </w:r>
      <w:r w:rsidRPr="003A47ED">
        <w:t xml:space="preserve"> </w:t>
      </w:r>
      <w:r w:rsidRPr="00DF63A3">
        <w:t>(</w:t>
      </w:r>
      <w:hyperlink r:id="rId18" w:history="1">
        <w:r w:rsidR="00390A51" w:rsidRPr="00DF63A3">
          <w:rPr>
            <w:rStyle w:val="Hyperlink"/>
          </w:rPr>
          <w:t>www.rivm.nl/proast</w:t>
        </w:r>
      </w:hyperlink>
      <w:r w:rsidRPr="00DF63A3">
        <w:t>)</w:t>
      </w:r>
      <w:r>
        <w:t xml:space="preserve"> and the EFSA webtool for Dose-Response modelling, which combines statistical techniques from BDMS and PROAST in one platfor</w:t>
      </w:r>
      <w:r w:rsidRPr="003A47ED">
        <w:t xml:space="preserve">m </w:t>
      </w:r>
      <w:r w:rsidRPr="00DF63A3">
        <w:t>(</w:t>
      </w:r>
      <w:hyperlink r:id="rId19" w:history="1">
        <w:r w:rsidR="00B52872" w:rsidRPr="009D6579">
          <w:rPr>
            <w:rStyle w:val="Hyperlink"/>
          </w:rPr>
          <w:t>https://r4eu.efsa.europa.eu/</w:t>
        </w:r>
      </w:hyperlink>
      <w:r w:rsidRPr="00DF63A3">
        <w:t>)</w:t>
      </w:r>
      <w:r w:rsidRPr="00E144E3">
        <w:t>.</w:t>
      </w:r>
      <w:r>
        <w:t xml:space="preserve"> </w:t>
      </w:r>
    </w:p>
    <w:p w14:paraId="5043CB0F" w14:textId="77777777" w:rsidR="00CC165F" w:rsidRDefault="00CC165F"/>
    <w:p w14:paraId="31170EA4" w14:textId="77777777" w:rsidR="00CC165F" w:rsidRPr="00D07C61" w:rsidRDefault="00CC165F" w:rsidP="002E170A">
      <w:pPr>
        <w:pStyle w:val="EFSAHeading3"/>
        <w:ind w:left="1276"/>
      </w:pPr>
      <w:bookmarkStart w:id="36" w:name="_Toc229469374"/>
      <w:bookmarkStart w:id="37" w:name="_Toc232584102"/>
      <w:bookmarkStart w:id="38" w:name="_Toc94255333"/>
      <w:r w:rsidRPr="00D07C61">
        <w:t>Interpretation and properties of the NOAEL and the BMD</w:t>
      </w:r>
      <w:bookmarkEnd w:id="36"/>
      <w:bookmarkEnd w:id="37"/>
      <w:r w:rsidRPr="00D07C61">
        <w:t>L</w:t>
      </w:r>
      <w:bookmarkEnd w:id="38"/>
    </w:p>
    <w:p w14:paraId="1E9051D4" w14:textId="37A21C0A" w:rsidR="00B360D8" w:rsidRPr="00312D96" w:rsidRDefault="00B360D8" w:rsidP="00B360D8">
      <w:pPr>
        <w:pStyle w:val="EFSABodytext"/>
      </w:pPr>
      <w:r>
        <w:t xml:space="preserve">The NOAEL is a dose level where no statistically significant differences in </w:t>
      </w:r>
      <w:r w:rsidR="00A7268E">
        <w:t xml:space="preserve">adverse </w:t>
      </w:r>
      <w:r>
        <w:t xml:space="preserve">response </w:t>
      </w:r>
      <w:r w:rsidR="00A7268E">
        <w:t xml:space="preserve">were </w:t>
      </w:r>
      <w:r>
        <w:t>observed, compared with the background response</w:t>
      </w:r>
      <w:r w:rsidR="00A7268E">
        <w:t xml:space="preserve"> in a study</w:t>
      </w:r>
      <w:r>
        <w:t>. This implies that the NOAEL reflect</w:t>
      </w:r>
      <w:r w:rsidR="21553C44">
        <w:t>s</w:t>
      </w:r>
      <w:r>
        <w:t xml:space="preserve"> a dose level where effects are too small to be detected in that </w:t>
      </w:r>
      <w:proofErr w:type="gramStart"/>
      <w:r>
        <w:t>particular study</w:t>
      </w:r>
      <w:proofErr w:type="gramEnd"/>
      <w:r>
        <w:t>, and therefore the size of the possible effect at the NOAEL remains unknown. A straightforward way of gaining insight into this is by calculating the upper bound of the confidence interval for the observed change in response between the control g</w:t>
      </w:r>
      <w:r w:rsidRPr="00204DC7">
        <w:t xml:space="preserve">roup and the NOAEL dose group. In </w:t>
      </w:r>
      <w:r w:rsidRPr="00DF63A3">
        <w:t>Appendix</w:t>
      </w:r>
      <w:r w:rsidRPr="00DF63A3" w:rsidDel="005E15A0">
        <w:t xml:space="preserve"> </w:t>
      </w:r>
      <w:r w:rsidR="005E15A0" w:rsidRPr="00DF63A3">
        <w:t>A</w:t>
      </w:r>
      <w:r w:rsidRPr="00DF63A3">
        <w:t xml:space="preserve"> t</w:t>
      </w:r>
      <w:r>
        <w:t>his has been done for several substances both for continuous and quantal endpoints. For quantal endpoints (undetecte</w:t>
      </w:r>
      <w:r w:rsidRPr="00790B76">
        <w:t>d) effect sizes at the NOAEL may be higher than 10%</w:t>
      </w:r>
      <w:r w:rsidR="004014A1" w:rsidRPr="00C24D54">
        <w:t xml:space="preserve">, while </w:t>
      </w:r>
      <w:r w:rsidRPr="00C24D54">
        <w:t>for continuous</w:t>
      </w:r>
      <w:r>
        <w:t xml:space="preserve"> endpoints the undetected effect size may be </w:t>
      </w:r>
      <w:r w:rsidR="00C5711A">
        <w:t>substantially</w:t>
      </w:r>
      <w:r w:rsidR="00FD4053">
        <w:t xml:space="preserve"> </w:t>
      </w:r>
      <w:r w:rsidR="00D06688">
        <w:t>higher</w:t>
      </w:r>
      <w:r w:rsidR="00FD4053">
        <w:t>, depending on the endpoint.</w:t>
      </w:r>
    </w:p>
    <w:p w14:paraId="219FF3BB" w14:textId="7AFF907A" w:rsidR="00B360D8" w:rsidRPr="005253AF" w:rsidRDefault="00B360D8" w:rsidP="4AA9CF25">
      <w:pPr>
        <w:pStyle w:val="EFSABodytext"/>
      </w:pPr>
      <w:r>
        <w:t>The NOAEL is therefore not necessarily a “no adverse effect” dose</w:t>
      </w:r>
      <w:r w:rsidR="5388E656">
        <w:t xml:space="preserve"> but a dose where effects </w:t>
      </w:r>
      <w:r w:rsidR="00160D4A">
        <w:t>were</w:t>
      </w:r>
      <w:r w:rsidR="5388E656">
        <w:t xml:space="preserve"> no</w:t>
      </w:r>
      <w:r w:rsidR="00160D4A">
        <w:t>t</w:t>
      </w:r>
      <w:r w:rsidR="5388E656">
        <w:t xml:space="preserve"> observable by s</w:t>
      </w:r>
      <w:r w:rsidR="6AAADF12">
        <w:t xml:space="preserve">tatistical means and therefore dependent </w:t>
      </w:r>
      <w:r w:rsidR="7ACDE07C">
        <w:t xml:space="preserve">strongly </w:t>
      </w:r>
      <w:r w:rsidR="6AAADF12">
        <w:t>on the experimental design</w:t>
      </w:r>
      <w:r>
        <w:t>. On average</w:t>
      </w:r>
      <w:r w:rsidR="002D5FDD">
        <w:t>,</w:t>
      </w:r>
      <w:r>
        <w:t xml:space="preserve"> over </w:t>
      </w:r>
      <w:proofErr w:type="gramStart"/>
      <w:r>
        <w:t>a number of</w:t>
      </w:r>
      <w:proofErr w:type="gramEnd"/>
      <w:r>
        <w:t xml:space="preserve"> studies, the size of the estimated effect at the NOAEL is close to 10% (quantal responses) or 5% (continuous responses) (see also </w:t>
      </w:r>
      <w:r w:rsidR="00C20D84" w:rsidRPr="00804484">
        <w:t xml:space="preserve">Section </w:t>
      </w:r>
      <w:r w:rsidRPr="00804484">
        <w:t>2.</w:t>
      </w:r>
      <w:r w:rsidR="00C20D84" w:rsidRPr="00804484">
        <w:t>6</w:t>
      </w:r>
      <w:r w:rsidRPr="00804484">
        <w:t>.</w:t>
      </w:r>
      <w:r>
        <w:t>2</w:t>
      </w:r>
      <w:r w:rsidRPr="00804484">
        <w:t>)</w:t>
      </w:r>
      <w:r w:rsidR="008C5A61">
        <w:t>.</w:t>
      </w:r>
    </w:p>
    <w:p w14:paraId="10560BE0" w14:textId="77777777" w:rsidR="00B360D8" w:rsidRPr="00312D96" w:rsidRDefault="00B360D8" w:rsidP="00B360D8">
      <w:pPr>
        <w:pStyle w:val="EFSABodytext"/>
        <w:rPr>
          <w:bCs/>
        </w:rPr>
      </w:pPr>
    </w:p>
    <w:p w14:paraId="6B14AD96" w14:textId="07E509FF" w:rsidR="00B360D8" w:rsidRPr="006D534E" w:rsidRDefault="00B360D8" w:rsidP="00B360D8">
      <w:pPr>
        <w:pStyle w:val="EFSABodytext"/>
      </w:pPr>
      <w:r>
        <w:t>Contrary to the NOAEL approach, the BMD approach uses the information in the complete dataset, rather than making pair-wise comparisons using subsets of the data (</w:t>
      </w:r>
      <w:proofErr w:type="gramStart"/>
      <w:r>
        <w:t>i.e.</w:t>
      </w:r>
      <w:proofErr w:type="gramEnd"/>
      <w:r>
        <w:t xml:space="preserve"> between control groups and dose groups). In addition, the BMD approach can interpolate between applied doses, while the NOAEL approach is restricted to preselected doses from the study design. A BMDL is always associated with a predefined effect size </w:t>
      </w:r>
      <w:r w:rsidR="001906F0">
        <w:t xml:space="preserve">(the BMR) </w:t>
      </w:r>
      <w:r>
        <w:t xml:space="preserve">for which the corresponding dose has been calculated, while a NOAEL represents a predefined </w:t>
      </w:r>
      <w:proofErr w:type="gramStart"/>
      <w:r>
        <w:t>dose</w:t>
      </w:r>
      <w:proofErr w:type="gramEnd"/>
      <w:r>
        <w:t xml:space="preserve"> and the corresponding potential effect size is mostly not calculated. </w:t>
      </w:r>
    </w:p>
    <w:p w14:paraId="135434AD" w14:textId="2852B511" w:rsidR="00B360D8" w:rsidRPr="006D534E" w:rsidRDefault="00B360D8" w:rsidP="00B360D8">
      <w:pPr>
        <w:pStyle w:val="EFSABodytext"/>
      </w:pPr>
      <w:r>
        <w:t xml:space="preserve">An inherent property of the BMD approach is the evaluation of the uncertainty in the BMD, which is reflected by the BMD </w:t>
      </w:r>
      <w:r w:rsidR="59359814">
        <w:t xml:space="preserve">credible </w:t>
      </w:r>
      <w:r>
        <w:t>interval (BMDL-BMDU) and is related to a known and predefined potential effect size (</w:t>
      </w:r>
      <w:proofErr w:type="gramStart"/>
      <w:r>
        <w:t>i.e.</w:t>
      </w:r>
      <w:proofErr w:type="gramEnd"/>
      <w:r>
        <w:t xml:space="preserve"> the benchmark response, BMR). This is a difference with the NOAEL approach where the uncertainty associated with the NOAEL cannot be evaluated from a single dat</w:t>
      </w:r>
      <w:r w:rsidR="12EAA491">
        <w:t>a</w:t>
      </w:r>
      <w:r>
        <w:t xml:space="preserve">set and the confidence interval of the effect size at the NOAEL is generally not reported in current applications. </w:t>
      </w:r>
    </w:p>
    <w:p w14:paraId="20759AF4" w14:textId="5A5F592C" w:rsidR="00B360D8" w:rsidRDefault="00B360D8" w:rsidP="00B360D8">
      <w:pPr>
        <w:pStyle w:val="EFSABodytext"/>
      </w:pPr>
      <w:r>
        <w:t>Although the current international guidelines for study design (</w:t>
      </w:r>
      <w:proofErr w:type="gramStart"/>
      <w:r>
        <w:t>e.g.</w:t>
      </w:r>
      <w:proofErr w:type="gramEnd"/>
      <w:r>
        <w:t xml:space="preserve"> OECD guidelines for the testing of chemicals) have been developed with the NOAEL approach in mind, they offer no obstacle to the application of the BMD approach. While in the NOAEL approach, the utility of the data is based to a considerable extent on a priori considerations such as study design (number of dose groups, group size, dose levels, variability), a BMD analysis is less constrained by these factors. In a BMD analysis, the data are evaluated taking the specifics of the particular dataset into account (</w:t>
      </w:r>
      <w:proofErr w:type="gramStart"/>
      <w:r>
        <w:t>e.g.</w:t>
      </w:r>
      <w:proofErr w:type="gramEnd"/>
      <w:r>
        <w:t xml:space="preserve"> the scatter in the data, dose-response information) and the resulting BMD </w:t>
      </w:r>
      <w:r w:rsidR="554105F6">
        <w:t xml:space="preserve">credible </w:t>
      </w:r>
      <w:r>
        <w:t>interval account</w:t>
      </w:r>
      <w:r w:rsidR="117ED39E">
        <w:t>s</w:t>
      </w:r>
      <w:r>
        <w:t xml:space="preserve"> for the limitations of the particular dataset, so that data limitations (e.g. sample size) is a less crucial issue than it is for the NOAEL.</w:t>
      </w:r>
      <w:r w:rsidR="00276A4F">
        <w:t xml:space="preserve"> </w:t>
      </w:r>
      <w:r w:rsidR="00AD53AD">
        <w:t>By using model averaging</w:t>
      </w:r>
      <w:r w:rsidR="000676F1">
        <w:t xml:space="preserve"> (see </w:t>
      </w:r>
      <w:r w:rsidR="00F603CF">
        <w:t>S</w:t>
      </w:r>
      <w:r w:rsidR="000676F1">
        <w:t xml:space="preserve">ection </w:t>
      </w:r>
      <w:r w:rsidR="00F603CF">
        <w:t>2.6.5</w:t>
      </w:r>
      <w:r w:rsidR="000676F1">
        <w:t>)</w:t>
      </w:r>
      <w:r w:rsidR="00AD53AD">
        <w:t xml:space="preserve">, the uncertainty related to the mathematical models fitted to the data are also </w:t>
      </w:r>
      <w:proofErr w:type="gramStart"/>
      <w:r w:rsidR="00AD53AD">
        <w:t>taken into account</w:t>
      </w:r>
      <w:proofErr w:type="gramEnd"/>
      <w:r w:rsidR="00AD53AD">
        <w:t>.</w:t>
      </w:r>
    </w:p>
    <w:p w14:paraId="5023141B" w14:textId="709B7935" w:rsidR="007C14B8" w:rsidRDefault="007C14B8" w:rsidP="00B360D8">
      <w:pPr>
        <w:pStyle w:val="EFSABodytext"/>
      </w:pPr>
    </w:p>
    <w:p w14:paraId="7345E68E" w14:textId="77777777" w:rsidR="00D94AE0" w:rsidRPr="00D07C61" w:rsidRDefault="00D94AE0" w:rsidP="00D94AE0">
      <w:pPr>
        <w:pStyle w:val="EFSAHeading2"/>
        <w:rPr>
          <w:rFonts w:cs="Times New Roman"/>
        </w:rPr>
      </w:pPr>
      <w:bookmarkStart w:id="39" w:name="_Toc229469377"/>
      <w:bookmarkStart w:id="40" w:name="_Toc232584105"/>
      <w:bookmarkStart w:id="41" w:name="_Toc94255334"/>
      <w:r w:rsidRPr="00D07C61">
        <w:t>Consequences for hazard/risk characterisation</w:t>
      </w:r>
      <w:bookmarkEnd w:id="39"/>
      <w:bookmarkEnd w:id="40"/>
      <w:bookmarkEnd w:id="41"/>
    </w:p>
    <w:p w14:paraId="1F3B1409" w14:textId="16204D9B" w:rsidR="00D94AE0" w:rsidRDefault="00B360D8" w:rsidP="00B360D8">
      <w:pPr>
        <w:pStyle w:val="EFSABodytext"/>
      </w:pPr>
      <w:r>
        <w:t>In the previous section</w:t>
      </w:r>
      <w:r w:rsidR="00FA4629">
        <w:t>,</w:t>
      </w:r>
      <w:r>
        <w:t xml:space="preserve"> the BMD approach has been introduced in the context of </w:t>
      </w:r>
      <w:r w:rsidR="3F9B71CF">
        <w:t xml:space="preserve">identifying </w:t>
      </w:r>
      <w:r>
        <w:t xml:space="preserve">a RP. This RP will be used in hazard characterisation for establishing </w:t>
      </w:r>
      <w:r w:rsidR="4C3ECCF9">
        <w:t>HBGVs</w:t>
      </w:r>
      <w:r>
        <w:t xml:space="preserve">, such as acceptable daily intakes (ADIs) for food additives and pesticide residues, tolerable daily intakes (TDIs) or tolerable weekly intakes (TWIs) for contaminants. </w:t>
      </w:r>
      <w:r w:rsidR="00D94AE0">
        <w:t xml:space="preserve"> </w:t>
      </w:r>
    </w:p>
    <w:p w14:paraId="5B41A487" w14:textId="27B13DB9" w:rsidR="00A2597F" w:rsidRDefault="7C0E5E05" w:rsidP="00B360D8">
      <w:pPr>
        <w:pStyle w:val="EFSABodytext"/>
      </w:pPr>
      <w:r>
        <w:t>In establishing a</w:t>
      </w:r>
      <w:r w:rsidR="00580AF2">
        <w:t>n</w:t>
      </w:r>
      <w:r>
        <w:t xml:space="preserve"> HBGV, uncertainty factors are applied to the </w:t>
      </w:r>
      <w:r w:rsidR="7CCC2D91">
        <w:t xml:space="preserve">RP </w:t>
      </w:r>
      <w:r>
        <w:t>(WHO</w:t>
      </w:r>
      <w:r w:rsidR="004F4416">
        <w:t>,</w:t>
      </w:r>
      <w:r>
        <w:t xml:space="preserve"> 1987</w:t>
      </w:r>
      <w:r w:rsidR="004F4416">
        <w:t>;</w:t>
      </w:r>
      <w:r w:rsidR="41B7A326">
        <w:t xml:space="preserve"> WHO, 2020 </w:t>
      </w:r>
      <w:r w:rsidR="004F4416">
        <w:t>C</w:t>
      </w:r>
      <w:r w:rsidR="41B7A326">
        <w:t>hapter 5.4.2</w:t>
      </w:r>
      <w:r>
        <w:t xml:space="preserve">). In the previous version of this Guidance (EFSA, 2017) </w:t>
      </w:r>
      <w:r w:rsidR="05118930">
        <w:t xml:space="preserve">it </w:t>
      </w:r>
      <w:r>
        <w:t xml:space="preserve">has already been reasoned that irrespective </w:t>
      </w:r>
      <w:r w:rsidR="007A00F3">
        <w:t xml:space="preserve">of </w:t>
      </w:r>
      <w:r>
        <w:t>whether an HBGV is based on a NOAEL or a BMDL</w:t>
      </w:r>
      <w:r w:rsidR="351ED66A">
        <w:t xml:space="preserve"> as the RP</w:t>
      </w:r>
      <w:r w:rsidR="47F3E261">
        <w:t>,</w:t>
      </w:r>
      <w:r>
        <w:t xml:space="preserve"> the same uncertainty factors </w:t>
      </w:r>
      <w:r w:rsidR="0F1EFA1E">
        <w:t xml:space="preserve">should </w:t>
      </w:r>
      <w:r>
        <w:t>be applied</w:t>
      </w:r>
      <w:r w:rsidR="00990EFE">
        <w:t>.</w:t>
      </w:r>
      <w:r>
        <w:t xml:space="preserve"> The values for uncertainty factors (be it the default factors or </w:t>
      </w:r>
      <w:r w:rsidR="26F8629C">
        <w:t>c</w:t>
      </w:r>
      <w:r>
        <w:t>hemical-</w:t>
      </w:r>
      <w:r w:rsidR="5609E939">
        <w:t>s</w:t>
      </w:r>
      <w:r>
        <w:t xml:space="preserve">pecific </w:t>
      </w:r>
      <w:r w:rsidR="1D371D32">
        <w:t>a</w:t>
      </w:r>
      <w:r>
        <w:t xml:space="preserve">djustment </w:t>
      </w:r>
      <w:r w:rsidR="42EFAD11">
        <w:t>f</w:t>
      </w:r>
      <w:r>
        <w:t>actors) are equally applicable to the BMDL</w:t>
      </w:r>
      <w:r w:rsidR="522B7333">
        <w:t xml:space="preserve"> and</w:t>
      </w:r>
      <w:r w:rsidR="16A060A7">
        <w:t xml:space="preserve"> </w:t>
      </w:r>
      <w:r w:rsidR="5EB3B0E7">
        <w:t>to the NOAEL</w:t>
      </w:r>
      <w:r w:rsidR="07BC292B">
        <w:t xml:space="preserve">. </w:t>
      </w:r>
    </w:p>
    <w:p w14:paraId="3F9DB5ED" w14:textId="3A5A7D2E" w:rsidR="00145AD5" w:rsidRDefault="65332C60" w:rsidP="00B360D8">
      <w:pPr>
        <w:pStyle w:val="EFSABodytext"/>
      </w:pPr>
      <w:r>
        <w:t>T</w:t>
      </w:r>
      <w:r w:rsidR="1CC69956">
        <w:t xml:space="preserve">he BMD approach provides a higher level of confidence in the conclusions in any individual case since the BMDL </w:t>
      </w:r>
      <w:proofErr w:type="gramStart"/>
      <w:r w:rsidR="1CC69956">
        <w:t>takes into account</w:t>
      </w:r>
      <w:proofErr w:type="gramEnd"/>
      <w:r w:rsidR="1CC69956">
        <w:t xml:space="preserve"> all the data from the dose-response curve and handles the statistical limitations of the data better than the NOAEL. Thus, </w:t>
      </w:r>
      <w:r w:rsidR="00580AF2">
        <w:t>an HBGV</w:t>
      </w:r>
      <w:r w:rsidR="1CC69956">
        <w:t xml:space="preserve"> based on the BMD approach provides a better basis to quantify the risk.</w:t>
      </w:r>
      <w:r w:rsidR="25494531">
        <w:t xml:space="preserve"> Over the past 1</w:t>
      </w:r>
      <w:r w:rsidR="46EB8DA4">
        <w:t>5</w:t>
      </w:r>
      <w:r w:rsidR="25494531">
        <w:t xml:space="preserve"> years dose</w:t>
      </w:r>
      <w:r w:rsidR="006B7AA4">
        <w:t>-</w:t>
      </w:r>
      <w:r w:rsidR="25494531">
        <w:t xml:space="preserve">response modelling has been applied by EFSA, </w:t>
      </w:r>
      <w:proofErr w:type="gramStart"/>
      <w:r w:rsidR="00330644">
        <w:t>e.g.</w:t>
      </w:r>
      <w:proofErr w:type="gramEnd"/>
      <w:r w:rsidR="25494531">
        <w:t xml:space="preserve"> for food contaminants </w:t>
      </w:r>
      <w:r w:rsidR="000012C0">
        <w:t>and</w:t>
      </w:r>
      <w:r w:rsidR="25494531">
        <w:t xml:space="preserve"> flavouring substances</w:t>
      </w:r>
      <w:r w:rsidR="000012C0">
        <w:t xml:space="preserve">, </w:t>
      </w:r>
      <w:r w:rsidR="25494531">
        <w:t xml:space="preserve">and the results of this approach have been </w:t>
      </w:r>
      <w:r w:rsidR="005E5DEA">
        <w:t>accepted</w:t>
      </w:r>
      <w:r w:rsidR="25494531">
        <w:t xml:space="preserve"> by risk managers </w:t>
      </w:r>
      <w:r w:rsidR="00BB6F99">
        <w:t>as</w:t>
      </w:r>
      <w:r w:rsidR="25494531">
        <w:t xml:space="preserve"> a basis for their decision making.</w:t>
      </w:r>
    </w:p>
    <w:p w14:paraId="2191D46E" w14:textId="793BDAF4" w:rsidR="001B4BBC" w:rsidRPr="00DD6A54" w:rsidRDefault="1CC69956" w:rsidP="00B360D8">
      <w:pPr>
        <w:pStyle w:val="EFSABodytext"/>
      </w:pPr>
      <w:r>
        <w:t xml:space="preserve">It is important to realize that HBGVs </w:t>
      </w:r>
      <w:r w:rsidR="00870280">
        <w:t xml:space="preserve">represent </w:t>
      </w:r>
      <w:r>
        <w:t xml:space="preserve">levels to which humans may be exposed without appreciable health risk, and this definition does not change when the </w:t>
      </w:r>
      <w:r w:rsidR="00694CE2">
        <w:t>HBGV</w:t>
      </w:r>
      <w:r>
        <w:t xml:space="preserve"> is derived from a BMDL instead of a NOAEL.</w:t>
      </w:r>
      <w:r w:rsidR="008D2007">
        <w:t xml:space="preserve"> </w:t>
      </w:r>
      <w:r w:rsidR="00145AD5">
        <w:t xml:space="preserve">For further </w:t>
      </w:r>
      <w:r w:rsidR="6D13F002">
        <w:t xml:space="preserve">details and </w:t>
      </w:r>
      <w:r w:rsidR="00145AD5">
        <w:t xml:space="preserve">guidance on how to establish HBGV, see </w:t>
      </w:r>
      <w:r w:rsidR="00544977">
        <w:t>WHO (2020</w:t>
      </w:r>
      <w:r w:rsidR="002E724F">
        <w:t xml:space="preserve">), </w:t>
      </w:r>
      <w:r w:rsidR="00481B65">
        <w:t>C</w:t>
      </w:r>
      <w:r w:rsidR="070F9085">
        <w:t>hapter</w:t>
      </w:r>
      <w:r w:rsidR="6AA789E7">
        <w:t xml:space="preserve"> 5.4</w:t>
      </w:r>
      <w:r w:rsidR="00297F9C">
        <w:t>.</w:t>
      </w:r>
    </w:p>
    <w:p w14:paraId="05635262" w14:textId="2288DA7B" w:rsidR="00D94AE0" w:rsidRDefault="00057189" w:rsidP="1F237D47">
      <w:pPr>
        <w:pStyle w:val="EFSABodytext"/>
      </w:pPr>
      <w:r>
        <w:t>There are</w:t>
      </w:r>
      <w:r w:rsidR="008D2007">
        <w:t xml:space="preserve"> situations </w:t>
      </w:r>
      <w:r>
        <w:t>where the data are considered inadequate for establishing a HBGV but allow identification of a RP</w:t>
      </w:r>
      <w:r w:rsidR="0928B1C8">
        <w:t xml:space="preserve"> and thus the MOE approach may be applied</w:t>
      </w:r>
      <w:r w:rsidR="4D401079">
        <w:t>.</w:t>
      </w:r>
      <w:r w:rsidR="1819A8F1">
        <w:t xml:space="preserve"> </w:t>
      </w:r>
      <w:r w:rsidR="564FC578">
        <w:t>The MOE is the ratio of the RP (</w:t>
      </w:r>
      <w:proofErr w:type="gramStart"/>
      <w:r w:rsidR="564FC578">
        <w:t>e.g.</w:t>
      </w:r>
      <w:proofErr w:type="gramEnd"/>
      <w:r w:rsidR="564FC578">
        <w:t xml:space="preserve"> BMDL or NOAEL) to the theoretical, predicted or estimated exposure dose or concentration. </w:t>
      </w:r>
      <w:r w:rsidR="0042040B">
        <w:t>S</w:t>
      </w:r>
      <w:r w:rsidR="4448DCF2">
        <w:t xml:space="preserve">uch </w:t>
      </w:r>
      <w:r w:rsidR="7BE2959E">
        <w:t xml:space="preserve">a </w:t>
      </w:r>
      <w:r w:rsidR="4448DCF2">
        <w:t xml:space="preserve">situation occurs </w:t>
      </w:r>
      <w:r w:rsidR="006742E5">
        <w:t xml:space="preserve">for example </w:t>
      </w:r>
      <w:r w:rsidR="4448DCF2">
        <w:t xml:space="preserve">when the risk assessor considers </w:t>
      </w:r>
      <w:r w:rsidR="2D8529B8">
        <w:t xml:space="preserve">the </w:t>
      </w:r>
      <w:r w:rsidR="21621BB2">
        <w:t xml:space="preserve">available </w:t>
      </w:r>
      <w:r w:rsidR="2D8529B8">
        <w:t>data</w:t>
      </w:r>
      <w:r w:rsidR="1FC7CF2E">
        <w:t>base</w:t>
      </w:r>
      <w:r w:rsidR="2D8529B8">
        <w:t xml:space="preserve"> a</w:t>
      </w:r>
      <w:r w:rsidR="0F36BCCA">
        <w:t>s</w:t>
      </w:r>
      <w:r w:rsidR="2D8529B8">
        <w:t xml:space="preserve"> insufficient to establish a HBGV because of data gaps.</w:t>
      </w:r>
      <w:r w:rsidR="002837B1">
        <w:t xml:space="preserve"> </w:t>
      </w:r>
      <w:r w:rsidR="5DDABB1A">
        <w:t>Another situation is when dealing with</w:t>
      </w:r>
      <w:r w:rsidR="002837B1">
        <w:t xml:space="preserve"> </w:t>
      </w:r>
      <w:r w:rsidR="0310C958">
        <w:t xml:space="preserve">substances </w:t>
      </w:r>
      <w:r w:rsidR="00805175">
        <w:t xml:space="preserve">that </w:t>
      </w:r>
      <w:r w:rsidR="0310C958">
        <w:t xml:space="preserve">are both genotoxic </w:t>
      </w:r>
      <w:r w:rsidR="00805175">
        <w:t xml:space="preserve">(via a DNA-reactive mode of action) </w:t>
      </w:r>
      <w:r w:rsidR="0310C958">
        <w:t>and carcinogeni</w:t>
      </w:r>
      <w:r w:rsidR="6586D4B3">
        <w:t>c</w:t>
      </w:r>
      <w:r w:rsidR="005A352E">
        <w:t>,</w:t>
      </w:r>
      <w:r w:rsidR="00F1488F">
        <w:t xml:space="preserve"> </w:t>
      </w:r>
      <w:r w:rsidR="4BC4C5AA">
        <w:t xml:space="preserve">for which </w:t>
      </w:r>
      <w:r w:rsidR="00E62C12">
        <w:t xml:space="preserve">it is </w:t>
      </w:r>
      <w:r w:rsidR="0384A386">
        <w:t>widely assumed</w:t>
      </w:r>
      <w:r w:rsidR="3B6883B4">
        <w:t xml:space="preserve"> t</w:t>
      </w:r>
      <w:r w:rsidR="0384A386">
        <w:t xml:space="preserve">hat any exposure is undesirable </w:t>
      </w:r>
      <w:r w:rsidR="0406B6CE">
        <w:t xml:space="preserve">(EFSA, 2005). </w:t>
      </w:r>
    </w:p>
    <w:p w14:paraId="7DF4E37C" w14:textId="77777777" w:rsidR="00D94AE0" w:rsidRDefault="00D94AE0"/>
    <w:p w14:paraId="7C6CC586" w14:textId="77777777" w:rsidR="00985D11" w:rsidRDefault="00985D11" w:rsidP="00D94AE0">
      <w:pPr>
        <w:pStyle w:val="EFSAHeading2"/>
        <w:rPr>
          <w:rFonts w:cs="Times New Roman"/>
        </w:rPr>
      </w:pPr>
      <w:bookmarkStart w:id="42" w:name="_Toc94255335"/>
      <w:r>
        <w:rPr>
          <w:rFonts w:cs="Times New Roman"/>
        </w:rPr>
        <w:t>Statistical methodology</w:t>
      </w:r>
      <w:bookmarkEnd w:id="42"/>
    </w:p>
    <w:p w14:paraId="4646BE7D" w14:textId="325153B9" w:rsidR="00985D11" w:rsidRDefault="00985D11" w:rsidP="00985D11">
      <w:pPr>
        <w:pStyle w:val="EFSABodytext"/>
      </w:pPr>
      <w:r>
        <w:t>This section provides basic information about the statistical methodology</w:t>
      </w:r>
      <w:r w:rsidR="766A6042">
        <w:t>;</w:t>
      </w:r>
      <w:r>
        <w:t xml:space="preserve"> the components of a single dose-response model</w:t>
      </w:r>
      <w:r w:rsidR="609EDC63">
        <w:t>;</w:t>
      </w:r>
      <w:r>
        <w:t xml:space="preserve"> multi-model </w:t>
      </w:r>
      <w:r w:rsidR="005A3BD8">
        <w:t xml:space="preserve">estimation </w:t>
      </w:r>
      <w:r>
        <w:t>accounting for model uncertainty and frequentist and Bayesian inferential paradigms to obtain the BMD, the BMDL and the BMDU.</w:t>
      </w:r>
      <w:r w:rsidR="006B17D4">
        <w:t xml:space="preserve"> </w:t>
      </w:r>
    </w:p>
    <w:p w14:paraId="4738E168" w14:textId="7C5196C3" w:rsidR="008536B1" w:rsidRPr="00C6567F" w:rsidRDefault="006B17D4" w:rsidP="008536B1">
      <w:pPr>
        <w:pStyle w:val="EFSABodytext"/>
      </w:pPr>
      <w:r>
        <w:t>Response data may be of various types, including continuous</w:t>
      </w:r>
      <w:r w:rsidR="009B6A14">
        <w:t xml:space="preserve">, </w:t>
      </w:r>
      <w:proofErr w:type="gramStart"/>
      <w:r>
        <w:t>quantal</w:t>
      </w:r>
      <w:proofErr w:type="gramEnd"/>
      <w:r>
        <w:t xml:space="preserve"> </w:t>
      </w:r>
      <w:r w:rsidR="54625C2C">
        <w:t>or</w:t>
      </w:r>
      <w:r>
        <w:t xml:space="preserve"> ordinal. </w:t>
      </w:r>
      <w:r w:rsidR="008536B1">
        <w:t>The distinction between data types is important for statistical reasons because the</w:t>
      </w:r>
      <w:r w:rsidR="70565591">
        <w:t xml:space="preserve"> type of data determines the statistical model employed</w:t>
      </w:r>
      <w:r w:rsidR="008536B1">
        <w:t xml:space="preserve">, </w:t>
      </w:r>
      <w:proofErr w:type="gramStart"/>
      <w:r w:rsidR="008536B1">
        <w:t>and also</w:t>
      </w:r>
      <w:proofErr w:type="gramEnd"/>
      <w:r w:rsidR="008536B1">
        <w:t xml:space="preserve"> </w:t>
      </w:r>
      <w:r w:rsidR="00F35190">
        <w:t xml:space="preserve">for </w:t>
      </w:r>
      <w:r w:rsidR="008536B1">
        <w:t xml:space="preserve">the interpretation of the BMR. See </w:t>
      </w:r>
      <w:r w:rsidR="00127EFF">
        <w:t>S</w:t>
      </w:r>
      <w:r w:rsidR="008536B1" w:rsidRPr="00250DA3">
        <w:t>ection</w:t>
      </w:r>
      <w:r w:rsidR="008536B1">
        <w:t xml:space="preserve"> </w:t>
      </w:r>
      <w:r w:rsidR="008536B1" w:rsidRPr="00E96556">
        <w:t>2.</w:t>
      </w:r>
      <w:r w:rsidR="00250DA3" w:rsidRPr="00E96556">
        <w:t>6</w:t>
      </w:r>
      <w:r w:rsidR="008536B1" w:rsidRPr="00E96556">
        <w:t>.</w:t>
      </w:r>
      <w:r w:rsidR="00250DA3" w:rsidRPr="00E96556">
        <w:t>2</w:t>
      </w:r>
      <w:r w:rsidR="008536B1">
        <w:t xml:space="preserve"> for the interpretation of the BMR in continuous and in quantal data.</w:t>
      </w:r>
    </w:p>
    <w:p w14:paraId="07661450" w14:textId="310C1A49" w:rsidR="00167E18" w:rsidRDefault="00167E18" w:rsidP="00167E18">
      <w:pPr>
        <w:pStyle w:val="EFSABodytext"/>
      </w:pPr>
      <w:r>
        <w:t xml:space="preserve">Ordinal data may be regarded as an intermediate data type: they arise when a severity category (minimal, mild, moderate, etc.) is assigned to </w:t>
      </w:r>
      <w:proofErr w:type="gramStart"/>
      <w:r>
        <w:t>each individual</w:t>
      </w:r>
      <w:proofErr w:type="gramEnd"/>
      <w:r>
        <w:t xml:space="preserve"> (as </w:t>
      </w:r>
      <w:r w:rsidR="4C237AA6">
        <w:t xml:space="preserve">often used </w:t>
      </w:r>
      <w:r>
        <w:t xml:space="preserve">in histopathological observations). Ordinal data can be reduced to quantal data but, depending on the definition of BMD applied, this transformation may result in </w:t>
      </w:r>
      <w:r w:rsidR="5ADC935A">
        <w:t xml:space="preserve">a </w:t>
      </w:r>
      <w:r>
        <w:t>loss of information, which is not recommended</w:t>
      </w:r>
      <w:r w:rsidR="004C6D1B">
        <w:t xml:space="preserve"> (WHO, 2020)</w:t>
      </w:r>
      <w:r>
        <w:t>. Models for analysing ordinal data are available in different software package</w:t>
      </w:r>
      <w:r w:rsidR="5B43BF0A">
        <w:t>s</w:t>
      </w:r>
      <w:r>
        <w:t xml:space="preserve">, </w:t>
      </w:r>
      <w:proofErr w:type="gramStart"/>
      <w:r>
        <w:t>e.g.</w:t>
      </w:r>
      <w:proofErr w:type="gramEnd"/>
      <w:r>
        <w:t xml:space="preserve"> in PROAST or </w:t>
      </w:r>
      <w:proofErr w:type="spellStart"/>
      <w:r>
        <w:t>CatReg</w:t>
      </w:r>
      <w:proofErr w:type="spellEnd"/>
      <w:r>
        <w:t xml:space="preserve"> in BMDS (US EPA, 2016). Model averaging for ordinal data is not considered in this guidance document.</w:t>
      </w:r>
    </w:p>
    <w:p w14:paraId="6E0AC3ED" w14:textId="77777777" w:rsidR="00167E18" w:rsidRDefault="00167E18" w:rsidP="00C6567F">
      <w:pPr>
        <w:pStyle w:val="EFSABodytext"/>
      </w:pPr>
    </w:p>
    <w:p w14:paraId="5DACE79F" w14:textId="77F612DC" w:rsidR="007C3D3E" w:rsidRDefault="00D13CD9" w:rsidP="00985D11">
      <w:pPr>
        <w:pStyle w:val="EFSABodytext"/>
      </w:pPr>
      <w:r>
        <w:t xml:space="preserve">Ideally, the relationship between dose and response would be described by </w:t>
      </w:r>
      <w:r w:rsidR="00D12AF6">
        <w:t xml:space="preserve">model(s) </w:t>
      </w:r>
      <w:r>
        <w:t xml:space="preserve">that describe the essential toxicokinetic and </w:t>
      </w:r>
      <w:r w:rsidR="46AFDF0E">
        <w:t>toxico</w:t>
      </w:r>
      <w:r>
        <w:t xml:space="preserve">dynamic processes related to the specific compound. </w:t>
      </w:r>
      <w:r w:rsidR="000F7DE9">
        <w:t>However, f</w:t>
      </w:r>
      <w:r>
        <w:t>or most compounds, such models are not available, and therefore the BMD approach uses fairly simple models that do not intend to</w:t>
      </w:r>
      <w:r w:rsidR="008F7791">
        <w:t xml:space="preserve"> </w:t>
      </w:r>
      <w:r>
        <w:t>describe the underlying biolog</w:t>
      </w:r>
      <w:r w:rsidR="000D0F55">
        <w:t xml:space="preserve">ical </w:t>
      </w:r>
      <w:proofErr w:type="gramStart"/>
      <w:r w:rsidR="000D0F55">
        <w:t>process</w:t>
      </w:r>
      <w:r>
        <w:t>, but</w:t>
      </w:r>
      <w:proofErr w:type="gramEnd"/>
      <w:r>
        <w:t xml:space="preserve"> should be treated as purely statistical models.</w:t>
      </w:r>
      <w:r w:rsidR="007C3D3E">
        <w:t xml:space="preserve"> </w:t>
      </w:r>
      <w:r w:rsidR="00B534FE">
        <w:t>Th</w:t>
      </w:r>
      <w:r w:rsidR="00AE275B">
        <w:t>e</w:t>
      </w:r>
      <w:r w:rsidR="00B534FE">
        <w:t>s</w:t>
      </w:r>
      <w:r w:rsidR="00AE275B">
        <w:t>e</w:t>
      </w:r>
      <w:r w:rsidR="00B534FE">
        <w:t xml:space="preserve"> models </w:t>
      </w:r>
      <w:r w:rsidR="00393E71">
        <w:t>can be considered as simplified mathematical expressions t</w:t>
      </w:r>
      <w:r w:rsidR="00FE14D0">
        <w:t>hat could be used to</w:t>
      </w:r>
      <w:r w:rsidR="00393E71">
        <w:t xml:space="preserve"> describe the potential </w:t>
      </w:r>
      <w:r w:rsidR="00791FAB">
        <w:t>relationship between the response under consideration and the dose administered/received</w:t>
      </w:r>
      <w:r w:rsidR="00FE14D0">
        <w:t>/exposed.</w:t>
      </w:r>
      <w:r w:rsidR="00DE6F15">
        <w:t xml:space="preserve"> </w:t>
      </w:r>
    </w:p>
    <w:p w14:paraId="2064F51F" w14:textId="7ADB9E30" w:rsidR="00D13CD9" w:rsidRDefault="11A00DD2" w:rsidP="00985D11">
      <w:pPr>
        <w:pStyle w:val="EFSABodytext"/>
      </w:pPr>
      <w:r>
        <w:t xml:space="preserve">The </w:t>
      </w:r>
      <w:r w:rsidR="49F3FD6F">
        <w:t xml:space="preserve">statistical </w:t>
      </w:r>
      <w:r>
        <w:t xml:space="preserve">models introduced in the next sections are considered suitable for analysing toxicological datasets in general. </w:t>
      </w:r>
      <w:r w:rsidR="1B945E6A">
        <w:t>The following notation will be used throughout this section:</w:t>
      </w:r>
    </w:p>
    <w:p w14:paraId="24925BB5" w14:textId="5CF81558" w:rsidR="5E273EC8" w:rsidRPr="004A714D" w:rsidRDefault="00212BF6">
      <w:pPr>
        <w:pStyle w:val="EFSABodytext"/>
        <w:numPr>
          <w:ilvl w:val="0"/>
          <w:numId w:val="6"/>
        </w:numPr>
        <w:rPr>
          <w:rFonts w:eastAsiaTheme="minorEastAsia" w:cs="Tahoma"/>
        </w:rPr>
      </w:pPr>
      <m:oMath>
        <m:r>
          <w:rPr>
            <w:rFonts w:ascii="Cambria Math" w:eastAsiaTheme="minorEastAsia" w:hAnsi="Cambria Math" w:cs="Tahoma"/>
          </w:rPr>
          <m:t>x</m:t>
        </m:r>
      </m:oMath>
      <w:r w:rsidRPr="004A714D">
        <w:rPr>
          <w:rFonts w:eastAsiaTheme="minorEastAsia" w:cs="Tahoma"/>
        </w:rPr>
        <w:t xml:space="preserve">  denotes the dose, on the original scale (not on a log-scale); for optimizing the visualization of the data and of the graphs of the fitted models, the x-axis </w:t>
      </w:r>
      <w:r w:rsidR="00742274" w:rsidRPr="004A714D">
        <w:rPr>
          <w:rFonts w:eastAsiaTheme="minorEastAsia" w:cs="Tahoma"/>
        </w:rPr>
        <w:t>will often</w:t>
      </w:r>
      <w:r w:rsidRPr="004A714D">
        <w:rPr>
          <w:rFonts w:eastAsiaTheme="minorEastAsia" w:cs="Tahoma"/>
        </w:rPr>
        <w:t xml:space="preserve"> be transformed </w:t>
      </w:r>
      <w:r w:rsidR="00742274" w:rsidRPr="004A714D">
        <w:rPr>
          <w:rFonts w:eastAsiaTheme="minorEastAsia" w:cs="Tahoma"/>
        </w:rPr>
        <w:t>to</w:t>
      </w:r>
      <w:r w:rsidRPr="004A714D">
        <w:rPr>
          <w:rFonts w:eastAsiaTheme="minorEastAsia" w:cs="Tahoma"/>
        </w:rPr>
        <w:t xml:space="preserve"> the log-scale </w:t>
      </w:r>
      <w:r w:rsidR="00742274" w:rsidRPr="004A714D">
        <w:rPr>
          <w:rFonts w:eastAsiaTheme="minorEastAsia" w:cs="Tahoma"/>
        </w:rPr>
        <w:t>(</w:t>
      </w:r>
      <w:r w:rsidRPr="004A714D">
        <w:rPr>
          <w:rFonts w:eastAsiaTheme="minorEastAsia" w:cs="Tahoma"/>
        </w:rPr>
        <w:t xml:space="preserve">but the model was fit </w:t>
      </w:r>
      <w:r w:rsidR="00742274" w:rsidRPr="004A714D">
        <w:rPr>
          <w:rFonts w:eastAsiaTheme="minorEastAsia" w:cs="Tahoma"/>
        </w:rPr>
        <w:t xml:space="preserve">with dose </w:t>
      </w:r>
      <m:oMath>
        <m:r>
          <w:rPr>
            <w:rFonts w:ascii="Cambria Math" w:eastAsiaTheme="minorEastAsia" w:hAnsi="Cambria Math" w:cs="Tahoma"/>
          </w:rPr>
          <m:t>x</m:t>
        </m:r>
      </m:oMath>
      <w:r w:rsidR="00742274" w:rsidRPr="004A714D">
        <w:rPr>
          <w:rFonts w:eastAsiaTheme="minorEastAsia" w:cs="Tahoma"/>
        </w:rPr>
        <w:t xml:space="preserve"> </w:t>
      </w:r>
      <w:r w:rsidRPr="004A714D">
        <w:rPr>
          <w:rFonts w:eastAsiaTheme="minorEastAsia" w:cs="Tahoma"/>
        </w:rPr>
        <w:t>on the original scale</w:t>
      </w:r>
      <w:r w:rsidR="00742274" w:rsidRPr="004A714D">
        <w:rPr>
          <w:rFonts w:eastAsiaTheme="minorEastAsia" w:cs="Tahoma"/>
        </w:rPr>
        <w:t>)</w:t>
      </w:r>
      <w:r w:rsidRPr="004A714D">
        <w:rPr>
          <w:rFonts w:eastAsiaTheme="minorEastAsia" w:cs="Tahoma"/>
        </w:rPr>
        <w:t>.</w:t>
      </w:r>
    </w:p>
    <w:p w14:paraId="4E451E0B" w14:textId="669B859A" w:rsidR="00742274" w:rsidRPr="004A714D" w:rsidRDefault="00742274" w:rsidP="006A747A">
      <w:pPr>
        <w:pStyle w:val="EFSABodytext"/>
        <w:numPr>
          <w:ilvl w:val="0"/>
          <w:numId w:val="6"/>
        </w:numPr>
        <w:rPr>
          <w:rFonts w:eastAsiaTheme="minorEastAsia" w:cs="Tahoma"/>
        </w:rPr>
      </w:pPr>
      <m:oMath>
        <m:r>
          <w:rPr>
            <w:rFonts w:ascii="Cambria Math" w:eastAsiaTheme="minorEastAsia" w:hAnsi="Cambria Math" w:cs="Tahoma"/>
          </w:rPr>
          <m:t>y</m:t>
        </m:r>
      </m:oMath>
      <w:r w:rsidRPr="004A714D">
        <w:rPr>
          <w:rFonts w:eastAsiaTheme="minorEastAsia" w:cs="Tahoma"/>
        </w:rPr>
        <w:t xml:space="preserve">  denotes the </w:t>
      </w:r>
      <w:r w:rsidR="00A9623F">
        <w:rPr>
          <w:rFonts w:eastAsiaTheme="minorEastAsia" w:cs="Tahoma"/>
        </w:rPr>
        <w:t>response</w:t>
      </w:r>
      <w:r w:rsidRPr="004A714D">
        <w:rPr>
          <w:rFonts w:eastAsiaTheme="minorEastAsia" w:cs="Tahoma"/>
        </w:rPr>
        <w:t xml:space="preserve">, regardless </w:t>
      </w:r>
      <w:r w:rsidR="0043577D">
        <w:rPr>
          <w:rFonts w:eastAsiaTheme="minorEastAsia" w:cs="Tahoma"/>
        </w:rPr>
        <w:t>of</w:t>
      </w:r>
      <w:r w:rsidRPr="004A714D">
        <w:rPr>
          <w:rFonts w:eastAsiaTheme="minorEastAsia" w:cs="Tahoma"/>
        </w:rPr>
        <w:t xml:space="preserve"> its nature (continuous or quantal); the </w:t>
      </w:r>
      <w:r w:rsidR="00A9623F">
        <w:rPr>
          <w:rFonts w:eastAsiaTheme="minorEastAsia" w:cs="Tahoma"/>
        </w:rPr>
        <w:t>response</w:t>
      </w:r>
      <w:r w:rsidRPr="004A714D">
        <w:rPr>
          <w:rFonts w:eastAsiaTheme="minorEastAsia" w:cs="Tahoma"/>
        </w:rPr>
        <w:t xml:space="preserve"> at a specified dose level  </w:t>
      </w:r>
      <m:oMath>
        <m:r>
          <w:rPr>
            <w:rFonts w:ascii="Cambria Math" w:eastAsiaTheme="minorEastAsia" w:hAnsi="Cambria Math" w:cs="Tahoma"/>
          </w:rPr>
          <m:t>x</m:t>
        </m:r>
      </m:oMath>
      <w:r w:rsidRPr="004A714D">
        <w:rPr>
          <w:rFonts w:eastAsiaTheme="minorEastAsia" w:cs="Tahoma"/>
        </w:rPr>
        <w:t xml:space="preserve"> is denoted as </w:t>
      </w:r>
      <m:oMath>
        <m:r>
          <w:rPr>
            <w:rFonts w:ascii="Cambria Math" w:eastAsiaTheme="minorEastAsia" w:hAnsi="Cambria Math" w:cs="Tahoma"/>
          </w:rPr>
          <m:t>y|x</m:t>
        </m:r>
      </m:oMath>
      <w:r w:rsidRPr="004A714D">
        <w:rPr>
          <w:rFonts w:eastAsiaTheme="minorEastAsia" w:cs="Tahoma"/>
        </w:rPr>
        <w:t>; for optimizing the visualization of the data of a c</w:t>
      </w:r>
      <w:proofErr w:type="spellStart"/>
      <w:r w:rsidRPr="004A714D">
        <w:rPr>
          <w:rFonts w:eastAsiaTheme="minorEastAsia" w:cs="Tahoma"/>
        </w:rPr>
        <w:t>ontinuous</w:t>
      </w:r>
      <w:proofErr w:type="spellEnd"/>
      <w:r w:rsidRPr="004A714D">
        <w:rPr>
          <w:rFonts w:eastAsiaTheme="minorEastAsia" w:cs="Tahoma"/>
        </w:rPr>
        <w:t xml:space="preserve"> endpoint and of the graphs of the fitted models, the y-axis might be transformed to the log-scale (but the model was fit to the endpoint </w:t>
      </w:r>
      <m:oMath>
        <m:r>
          <w:rPr>
            <w:rFonts w:ascii="Cambria Math" w:eastAsiaTheme="minorEastAsia" w:hAnsi="Cambria Math" w:cs="Tahoma"/>
          </w:rPr>
          <m:t>y</m:t>
        </m:r>
      </m:oMath>
      <w:r w:rsidRPr="004A714D">
        <w:rPr>
          <w:rFonts w:eastAsiaTheme="minorEastAsia" w:cs="Tahoma"/>
        </w:rPr>
        <w:t xml:space="preserve"> on the original scale).</w:t>
      </w:r>
    </w:p>
    <w:p w14:paraId="75B20E09" w14:textId="2C90995C" w:rsidR="008F264F" w:rsidRDefault="008F264F" w:rsidP="00985D11">
      <w:pPr>
        <w:pStyle w:val="EFSABodytext"/>
      </w:pPr>
    </w:p>
    <w:p w14:paraId="7B3FE93C" w14:textId="5A9CA365" w:rsidR="00FC7C5D" w:rsidRDefault="00985D11" w:rsidP="002E170A">
      <w:pPr>
        <w:pStyle w:val="EFSAHeading3"/>
        <w:ind w:left="1276"/>
      </w:pPr>
      <w:bookmarkStart w:id="43" w:name="_Ref94101045"/>
      <w:bookmarkStart w:id="44" w:name="_Ref94101799"/>
      <w:bookmarkStart w:id="45" w:name="_Toc94255336"/>
      <w:r w:rsidRPr="004859DC">
        <w:t xml:space="preserve">Specification of a dose-response model for a </w:t>
      </w:r>
      <w:r>
        <w:t xml:space="preserve">single </w:t>
      </w:r>
      <w:r w:rsidRPr="004859DC">
        <w:t>continuous endpoint</w:t>
      </w:r>
      <w:bookmarkEnd w:id="43"/>
      <w:bookmarkEnd w:id="44"/>
      <w:bookmarkEnd w:id="45"/>
    </w:p>
    <w:p w14:paraId="7D1CCBDE" w14:textId="7285349A" w:rsidR="006B17D4" w:rsidRDefault="006B17D4">
      <w:pPr>
        <w:pStyle w:val="EFSAHeading4"/>
      </w:pPr>
      <w:r>
        <w:t>The statistical model</w:t>
      </w:r>
    </w:p>
    <w:p w14:paraId="585CEF59" w14:textId="77777777" w:rsidR="00FC7C5D" w:rsidRPr="00FC7C5D" w:rsidRDefault="00FC7C5D" w:rsidP="00FC7C5D">
      <w:pPr>
        <w:pStyle w:val="EFSABodytext"/>
      </w:pPr>
    </w:p>
    <w:p w14:paraId="2BF2A35E" w14:textId="216B02F5" w:rsidR="00985D11" w:rsidRDefault="00985D11" w:rsidP="00985D11">
      <w:pPr>
        <w:pStyle w:val="EFSABodytext"/>
      </w:pPr>
      <w:r w:rsidRPr="00062A19">
        <w:t>T</w:t>
      </w:r>
      <w:r>
        <w:t xml:space="preserve">he statistical model is defined by the following components: </w:t>
      </w:r>
    </w:p>
    <w:p w14:paraId="1672171B" w14:textId="691BDB1D" w:rsidR="00985D11" w:rsidRDefault="00985D11" w:rsidP="00985D11">
      <w:pPr>
        <w:pStyle w:val="EFSABodytext"/>
        <w:numPr>
          <w:ilvl w:val="0"/>
          <w:numId w:val="58"/>
        </w:numPr>
      </w:pPr>
      <w:r>
        <w:t xml:space="preserve">the distribution of the </w:t>
      </w:r>
      <w:r w:rsidR="00156F49">
        <w:t>response</w:t>
      </w:r>
      <w:r>
        <w:t xml:space="preserve"> </w:t>
      </w:r>
      <w:r w:rsidRPr="44E476C0">
        <w:rPr>
          <w:b/>
          <w:bCs/>
        </w:rPr>
        <w:t xml:space="preserve">at </w:t>
      </w:r>
      <w:r w:rsidR="0030453E" w:rsidRPr="44E476C0">
        <w:rPr>
          <w:b/>
          <w:bCs/>
        </w:rPr>
        <w:t xml:space="preserve">a </w:t>
      </w:r>
      <w:r w:rsidR="00780DD6" w:rsidRPr="44E476C0">
        <w:rPr>
          <w:b/>
          <w:bCs/>
        </w:rPr>
        <w:t>specified</w:t>
      </w:r>
      <w:r w:rsidR="00A32C0B" w:rsidRPr="44E476C0">
        <w:rPr>
          <w:b/>
          <w:bCs/>
        </w:rPr>
        <w:t xml:space="preserve"> </w:t>
      </w:r>
      <w:r w:rsidRPr="44E476C0">
        <w:rPr>
          <w:b/>
          <w:bCs/>
        </w:rPr>
        <w:t>dose</w:t>
      </w:r>
      <w:r w:rsidR="00A32C0B" w:rsidRPr="44E476C0">
        <w:rPr>
          <w:b/>
          <w:bCs/>
        </w:rPr>
        <w:t xml:space="preserve"> level</w:t>
      </w:r>
      <w:r>
        <w:t xml:space="preserve"> (</w:t>
      </w:r>
      <w:r w:rsidR="009C50BC">
        <w:t>i.e.,</w:t>
      </w:r>
      <w:r>
        <w:t xml:space="preserve"> describing the </w:t>
      </w:r>
      <w:r w:rsidR="000A1A8F">
        <w:t>“within-group variation”, the varia</w:t>
      </w:r>
      <w:r w:rsidR="28F503B1">
        <w:t>bility</w:t>
      </w:r>
      <w:r w:rsidR="000A1A8F">
        <w:t xml:space="preserve"> </w:t>
      </w:r>
      <w:r w:rsidR="07F8B7AF">
        <w:t>between</w:t>
      </w:r>
      <w:r w:rsidR="000A1A8F">
        <w:t xml:space="preserve"> </w:t>
      </w:r>
      <w:r>
        <w:t xml:space="preserve">individual observations at a </w:t>
      </w:r>
      <w:r w:rsidR="005A3BD8">
        <w:t>specified</w:t>
      </w:r>
      <w:r>
        <w:t xml:space="preserve"> dose)</w:t>
      </w:r>
      <w:r w:rsidR="00156F49">
        <w:t xml:space="preserve">. Two </w:t>
      </w:r>
      <w:r w:rsidR="00BD4D96">
        <w:t xml:space="preserve">“within-group” </w:t>
      </w:r>
      <w:r w:rsidR="00156F49">
        <w:t>distributions are considered:</w:t>
      </w:r>
    </w:p>
    <w:p w14:paraId="30CDCC1E" w14:textId="3124DC79" w:rsidR="00156F49" w:rsidRDefault="00156F49" w:rsidP="00156F49">
      <w:pPr>
        <w:pStyle w:val="EFSABodytext"/>
        <w:numPr>
          <w:ilvl w:val="1"/>
          <w:numId w:val="58"/>
        </w:numPr>
      </w:pPr>
      <w:r>
        <w:t>the normal distribution (as the most important representative of the family</w:t>
      </w:r>
      <w:r w:rsidR="0036433A">
        <w:t xml:space="preserve"> of</w:t>
      </w:r>
      <w:r>
        <w:t xml:space="preserve"> </w:t>
      </w:r>
      <w:r w:rsidR="0036433A">
        <w:t xml:space="preserve">all </w:t>
      </w:r>
      <w:r>
        <w:t>symmetric distributions),</w:t>
      </w:r>
    </w:p>
    <w:p w14:paraId="1E341D38" w14:textId="0A21F690" w:rsidR="00156F49" w:rsidRDefault="00156F49" w:rsidP="00156F49">
      <w:pPr>
        <w:pStyle w:val="EFSABodytext"/>
        <w:numPr>
          <w:ilvl w:val="1"/>
          <w:numId w:val="58"/>
        </w:numPr>
      </w:pPr>
      <w:r>
        <w:t>the log-normal distribution (</w:t>
      </w:r>
      <w:r w:rsidR="0036433A">
        <w:t>as the most important representative of the family of all</w:t>
      </w:r>
      <w:r>
        <w:t xml:space="preserve"> right</w:t>
      </w:r>
      <w:r w:rsidR="009C50BC">
        <w:t>-</w:t>
      </w:r>
      <w:r>
        <w:t>skewed distributions).</w:t>
      </w:r>
    </w:p>
    <w:p w14:paraId="0C86515E" w14:textId="15888529" w:rsidR="0036433A" w:rsidRDefault="0036433A" w:rsidP="00DE30D2">
      <w:pPr>
        <w:pStyle w:val="EFSABodytext"/>
        <w:ind w:left="1080"/>
      </w:pPr>
      <w:r>
        <w:t>It is assumed that left</w:t>
      </w:r>
      <w:r w:rsidR="009C50BC">
        <w:t>-</w:t>
      </w:r>
      <w:r>
        <w:t>skewed distributions are very unlikely in the field of benchmark dose determination and risk assessment.</w:t>
      </w:r>
    </w:p>
    <w:p w14:paraId="20F1A97A" w14:textId="77777777" w:rsidR="00F87CBF" w:rsidRDefault="00985D11" w:rsidP="00985D11">
      <w:pPr>
        <w:pStyle w:val="EFSABodytext"/>
        <w:numPr>
          <w:ilvl w:val="0"/>
          <w:numId w:val="58"/>
        </w:numPr>
      </w:pPr>
      <w:r>
        <w:t>the description of the effect of dose on this distribution (</w:t>
      </w:r>
      <w:r w:rsidR="009C50BC">
        <w:t>i.e.,</w:t>
      </w:r>
      <w:r>
        <w:t xml:space="preserve"> how does the distribution of the endpoint change across different dose levels).</w:t>
      </w:r>
      <w:r w:rsidR="00156F49">
        <w:t xml:space="preserve"> </w:t>
      </w:r>
    </w:p>
    <w:p w14:paraId="31ED2500" w14:textId="587523F7" w:rsidR="00985D11" w:rsidRDefault="00156F49" w:rsidP="00F33438">
      <w:pPr>
        <w:pStyle w:val="EFSABodytext"/>
        <w:ind w:left="1080"/>
      </w:pPr>
      <w:r>
        <w:t>It is assumed that dose does not affect the type of distribution of the response</w:t>
      </w:r>
      <w:r w:rsidR="0007168A">
        <w:t>, but only the parameter determining the centre of the distribution.</w:t>
      </w:r>
      <w:r w:rsidR="00985D11">
        <w:t xml:space="preserve"> </w:t>
      </w:r>
    </w:p>
    <w:p w14:paraId="71B141B2" w14:textId="75746DD9" w:rsidR="00985D11" w:rsidRDefault="0008597D" w:rsidP="00985D11">
      <w:pPr>
        <w:pStyle w:val="EFSABodytext"/>
      </w:pPr>
      <w:r>
        <w:t>O</w:t>
      </w:r>
      <w:r w:rsidR="00985D11">
        <w:t xml:space="preserve">nly </w:t>
      </w:r>
      <w:r w:rsidR="0036433A">
        <w:t xml:space="preserve">two </w:t>
      </w:r>
      <w:r w:rsidR="00985D11">
        <w:t xml:space="preserve">parametric distributions, which are fully characterized by their functional form and </w:t>
      </w:r>
      <w:r w:rsidR="0007168A">
        <w:t>two</w:t>
      </w:r>
      <w:r w:rsidR="00985D11">
        <w:t xml:space="preserve"> parameters (</w:t>
      </w:r>
      <w:r w:rsidR="0007168A">
        <w:t>central location</w:t>
      </w:r>
      <w:r w:rsidR="00985D11">
        <w:t xml:space="preserve"> and s</w:t>
      </w:r>
      <w:r w:rsidR="0007168A">
        <w:t>pread around the centre</w:t>
      </w:r>
      <w:r w:rsidR="00985D11">
        <w:t>)</w:t>
      </w:r>
      <w:r>
        <w:t xml:space="preserve"> are considered in this document</w:t>
      </w:r>
      <w:r w:rsidR="2524C95E">
        <w:t xml:space="preserve">: the normal distribution and the log-normal distribution. </w:t>
      </w:r>
      <w:r w:rsidR="4B37B943">
        <w:t>The normal distribution is symmetric, whereas the log-normal is a right-skewed distribution. They both share theoretical and computation</w:t>
      </w:r>
      <w:r w:rsidR="7CCA6C85">
        <w:t>al advantages</w:t>
      </w:r>
      <w:r w:rsidR="1DFE0F4C">
        <w:t xml:space="preserve"> and have been proven to fit well to </w:t>
      </w:r>
      <w:r w:rsidR="1E82416E">
        <w:t>many biological endpoints</w:t>
      </w:r>
      <w:r w:rsidR="00985D11">
        <w:t xml:space="preserve">. </w:t>
      </w:r>
      <w:r w:rsidR="6968F0E7">
        <w:t xml:space="preserve">As endpoints are </w:t>
      </w:r>
      <w:r w:rsidR="7DD4B406">
        <w:t xml:space="preserve">assumed to be </w:t>
      </w:r>
      <w:r w:rsidR="6968F0E7">
        <w:t>positive-valued, a left-skewed</w:t>
      </w:r>
      <w:r w:rsidR="008AE9A4">
        <w:t xml:space="preserve"> distribution is not considered. </w:t>
      </w:r>
      <w:r w:rsidR="0589EAE5">
        <w:t>If empirical or biological evidence necessitate</w:t>
      </w:r>
      <w:r w:rsidR="0E29B522">
        <w:t>s</w:t>
      </w:r>
      <w:r w:rsidR="0589EAE5">
        <w:t xml:space="preserve">, </w:t>
      </w:r>
      <w:r w:rsidR="0036433A">
        <w:t>other distributions (</w:t>
      </w:r>
      <w:r w:rsidR="009C50BC">
        <w:t>e.g.,</w:t>
      </w:r>
      <w:r w:rsidR="0036433A">
        <w:t xml:space="preserve"> the inverse Gaussian distribution, the gamma distribution) </w:t>
      </w:r>
      <w:r w:rsidR="00511E62">
        <w:t xml:space="preserve">may be </w:t>
      </w:r>
      <w:r>
        <w:t>considered suitable as well</w:t>
      </w:r>
      <w:r w:rsidR="00D157CC">
        <w:t>, b</w:t>
      </w:r>
      <w:r w:rsidR="20B68B65">
        <w:t>ut the extension of the statistical modelling framework, as</w:t>
      </w:r>
      <w:r w:rsidR="7142F43E">
        <w:t xml:space="preserve"> described in this section, to other distributions is not straightforward, </w:t>
      </w:r>
      <w:r w:rsidR="39F7A03D">
        <w:t>nor</w:t>
      </w:r>
      <w:r w:rsidR="7142F43E">
        <w:t xml:space="preserve"> is its </w:t>
      </w:r>
      <w:r w:rsidR="6B608FFC">
        <w:t>implementation</w:t>
      </w:r>
      <w:r w:rsidR="7142F43E">
        <w:t xml:space="preserve"> </w:t>
      </w:r>
      <w:r w:rsidR="5C5AE8B1">
        <w:t xml:space="preserve">in the </w:t>
      </w:r>
      <w:r w:rsidR="00D157CC">
        <w:t xml:space="preserve">BMD </w:t>
      </w:r>
      <w:r w:rsidR="001B537F">
        <w:t xml:space="preserve">application hosted in </w:t>
      </w:r>
      <w:r w:rsidR="00827746">
        <w:t>the R4EU servers</w:t>
      </w:r>
      <w:r w:rsidR="38FC52A4">
        <w:t>.</w:t>
      </w:r>
    </w:p>
    <w:p w14:paraId="3EEBBAEE" w14:textId="2C078425" w:rsidR="00156F49" w:rsidRDefault="02D3B548" w:rsidP="00985D11">
      <w:pPr>
        <w:pStyle w:val="EFSABodytext"/>
      </w:pPr>
      <w:r>
        <w:t>Before modelling the central location of the normal and log-normal distribution as a function of dose, the relevant characteristics of both distributions</w:t>
      </w:r>
      <w:r w:rsidR="009F7F1E">
        <w:t xml:space="preserve"> are summarised below</w:t>
      </w:r>
      <w:r>
        <w:t>.</w:t>
      </w:r>
    </w:p>
    <w:p w14:paraId="1C14F668" w14:textId="110E672D" w:rsidR="16C32168" w:rsidRDefault="16C32168" w:rsidP="16C32168">
      <w:pPr>
        <w:pStyle w:val="EFSABodytext"/>
        <w:rPr>
          <w:rFonts w:eastAsia="Calibri" w:cs="Arial"/>
        </w:rPr>
      </w:pPr>
    </w:p>
    <w:p w14:paraId="5EBEF4DB" w14:textId="06C05C30" w:rsidR="00156F49" w:rsidRDefault="0007168A" w:rsidP="00156F49">
      <w:pPr>
        <w:pStyle w:val="EFSAHeading4"/>
      </w:pPr>
      <w:r>
        <w:t>Modelling t</w:t>
      </w:r>
      <w:r w:rsidR="00156F49">
        <w:t>he distribution</w:t>
      </w:r>
      <w:r w:rsidR="00BF390B">
        <w:t xml:space="preserve"> of the response</w:t>
      </w:r>
    </w:p>
    <w:p w14:paraId="38323B8E" w14:textId="25AA8EE3" w:rsidR="00985D11" w:rsidRDefault="00250B26" w:rsidP="00985D11">
      <w:pPr>
        <w:pStyle w:val="EFSABodytext"/>
        <w:rPr>
          <w:rFonts w:eastAsiaTheme="minorEastAsia"/>
        </w:rPr>
      </w:pPr>
      <w:r>
        <w:rPr>
          <w:rFonts w:eastAsiaTheme="minorEastAsia"/>
        </w:rPr>
        <w:t>It is a</w:t>
      </w:r>
      <w:r w:rsidR="00985D11">
        <w:rPr>
          <w:rFonts w:eastAsiaTheme="minorEastAsia"/>
        </w:rPr>
        <w:t>ssum</w:t>
      </w:r>
      <w:r>
        <w:rPr>
          <w:rFonts w:eastAsiaTheme="minorEastAsia"/>
        </w:rPr>
        <w:t>ed</w:t>
      </w:r>
      <w:r w:rsidR="00985D11">
        <w:rPr>
          <w:rFonts w:eastAsiaTheme="minorEastAsia"/>
        </w:rPr>
        <w:t xml:space="preserve"> that the observations of </w:t>
      </w:r>
      <m:oMath>
        <m:r>
          <w:rPr>
            <w:rFonts w:ascii="Cambria Math" w:hAnsi="Cambria Math"/>
          </w:rPr>
          <m:t>y</m:t>
        </m:r>
      </m:oMath>
      <w:r w:rsidR="00985D11">
        <w:rPr>
          <w:rFonts w:eastAsiaTheme="minorEastAsia"/>
        </w:rPr>
        <w:t xml:space="preserve">, given a </w:t>
      </w:r>
      <w:r w:rsidR="005A3BD8">
        <w:rPr>
          <w:rFonts w:eastAsiaTheme="minorEastAsia"/>
        </w:rPr>
        <w:t>specified</w:t>
      </w:r>
      <w:r w:rsidR="00985D11">
        <w:rPr>
          <w:rFonts w:eastAsiaTheme="minorEastAsia"/>
        </w:rPr>
        <w:t xml:space="preserve"> dose (denoted as </w:t>
      </w:r>
      <m:oMath>
        <m:r>
          <w:rPr>
            <w:rFonts w:ascii="Cambria Math" w:eastAsiaTheme="minorEastAsia" w:hAnsi="Cambria Math"/>
          </w:rPr>
          <m:t>|x</m:t>
        </m:r>
      </m:oMath>
      <w:r w:rsidR="00985D11">
        <w:rPr>
          <w:rFonts w:eastAsiaTheme="minorEastAsia"/>
        </w:rPr>
        <w:t xml:space="preserve">), vary according to the </w:t>
      </w:r>
      <w:r w:rsidR="00985D11" w:rsidRPr="004859DC">
        <w:rPr>
          <w:rFonts w:eastAsiaTheme="minorEastAsia"/>
          <w:b/>
          <w:bCs/>
        </w:rPr>
        <w:t>normal distribution</w:t>
      </w:r>
      <w:r w:rsidR="00985D11" w:rsidRPr="004859DC">
        <w:rPr>
          <w:rFonts w:eastAsiaTheme="minorEastAsia"/>
        </w:rPr>
        <w:t>:</w:t>
      </w:r>
    </w:p>
    <w:tbl>
      <w:tblPr>
        <w:tblStyle w:val="TableGrid"/>
        <w:tblW w:w="87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90"/>
        <w:gridCol w:w="3240"/>
      </w:tblGrid>
      <w:tr w:rsidR="00985D11" w14:paraId="45DFFF34" w14:textId="77777777" w:rsidTr="00985D11">
        <w:tc>
          <w:tcPr>
            <w:tcW w:w="5490" w:type="dxa"/>
          </w:tcPr>
          <w:p w14:paraId="7A239405" w14:textId="77777777" w:rsidR="00985D11" w:rsidRPr="00E90D83" w:rsidRDefault="00985D11" w:rsidP="00985D11">
            <w:pPr>
              <w:pStyle w:val="EFSABodytext"/>
              <w:rPr>
                <w:rFonts w:eastAsiaTheme="minorEastAsia"/>
              </w:rPr>
            </w:pPr>
            <m:oMathPara>
              <m:oMathParaPr>
                <m:jc m:val="right"/>
              </m:oMathParaPr>
              <m:oMath>
                <m:r>
                  <w:rPr>
                    <w:rFonts w:ascii="Cambria Math" w:eastAsiaTheme="minorEastAsia" w:hAnsi="Cambria Math"/>
                  </w:rPr>
                  <m:t>y|x ~</m:t>
                </m:r>
                <m:r>
                  <m:rPr>
                    <m:sty m:val="p"/>
                  </m:rPr>
                  <w:rPr>
                    <w:rFonts w:ascii="Cambria Math" w:eastAsiaTheme="minorEastAsia" w:hAnsi="Cambria Math"/>
                  </w:rPr>
                  <m:t>N</m:t>
                </m:r>
                <m:d>
                  <m:dPr>
                    <m:ctrlPr>
                      <w:rPr>
                        <w:rFonts w:ascii="Cambria Math" w:eastAsiaTheme="minorEastAsia" w:hAnsi="Cambria Math"/>
                        <w:i/>
                      </w:rPr>
                    </m:ctrlPr>
                  </m:dPr>
                  <m:e>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e>
                </m:d>
              </m:oMath>
            </m:oMathPara>
          </w:p>
        </w:tc>
        <w:tc>
          <w:tcPr>
            <w:tcW w:w="3240" w:type="dxa"/>
          </w:tcPr>
          <w:p w14:paraId="41F27110" w14:textId="4ABD236A" w:rsidR="00985D11" w:rsidRDefault="00985D11" w:rsidP="00985D11">
            <w:pPr>
              <w:pStyle w:val="Caption"/>
              <w:jc w:val="right"/>
            </w:pPr>
          </w:p>
          <w:p w14:paraId="0CE8465C" w14:textId="77777777" w:rsidR="00985D11" w:rsidRDefault="00985D11" w:rsidP="00985D11">
            <w:pPr>
              <w:pStyle w:val="EFSABodytext"/>
              <w:keepNext/>
              <w:jc w:val="right"/>
              <w:rPr>
                <w:rFonts w:eastAsiaTheme="minorEastAsia"/>
              </w:rPr>
            </w:pPr>
          </w:p>
        </w:tc>
      </w:tr>
    </w:tbl>
    <w:p w14:paraId="7F33E1D3" w14:textId="2D3BF630" w:rsidR="00985D11" w:rsidRDefault="00985D11" w:rsidP="00985D11">
      <w:pPr>
        <w:pStyle w:val="EFSABodytext"/>
        <w:rPr>
          <w:rFonts w:eastAsiaTheme="minorEastAsia"/>
        </w:rPr>
      </w:pPr>
      <w:r>
        <w:rPr>
          <w:rFonts w:eastAsiaTheme="minorEastAsia"/>
        </w:rPr>
        <w:t xml:space="preserve">where </w:t>
      </w: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w:r>
        <w:rPr>
          <w:rFonts w:eastAsiaTheme="minorEastAsia"/>
        </w:rPr>
        <w:t xml:space="preserve"> represents the mean and </w:t>
      </w:r>
      <m:oMath>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oMath>
      <w:r>
        <w:rPr>
          <w:rFonts w:eastAsiaTheme="minorEastAsia"/>
        </w:rPr>
        <w:t xml:space="preserve"> the variance of the response at dose </w:t>
      </w:r>
      <m:oMath>
        <m:r>
          <w:rPr>
            <w:rFonts w:ascii="Cambria Math" w:eastAsiaTheme="minorEastAsia" w:hAnsi="Cambria Math"/>
          </w:rPr>
          <m:t>x</m:t>
        </m:r>
      </m:oMath>
      <w:r>
        <w:rPr>
          <w:rFonts w:eastAsiaTheme="minorEastAsia"/>
        </w:rPr>
        <w:t xml:space="preserve">. The normal distribution is a symmetric distribution (implying that </w:t>
      </w: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w:r>
        <w:rPr>
          <w:rFonts w:eastAsiaTheme="minorEastAsia"/>
        </w:rPr>
        <w:t xml:space="preserve"> is the median as well). </w:t>
      </w:r>
      <w:r w:rsidR="006534AA">
        <w:rPr>
          <w:rFonts w:eastAsiaTheme="minorEastAsia"/>
        </w:rPr>
        <w:t xml:space="preserve">The true distribution of the response </w:t>
      </w:r>
      <m:oMath>
        <m:r>
          <w:rPr>
            <w:rFonts w:ascii="Cambria Math" w:hAnsi="Cambria Math"/>
          </w:rPr>
          <m:t>y</m:t>
        </m:r>
      </m:oMath>
      <w:r w:rsidR="006534AA">
        <w:rPr>
          <w:rFonts w:eastAsiaTheme="minorEastAsia"/>
        </w:rPr>
        <w:t xml:space="preserve"> is unknown, but </w:t>
      </w:r>
      <w:r w:rsidR="00E36A37">
        <w:rPr>
          <w:rFonts w:eastAsiaTheme="minorEastAsia"/>
        </w:rPr>
        <w:t>the normal distribution</w:t>
      </w:r>
      <w:r w:rsidR="006534AA">
        <w:rPr>
          <w:rFonts w:eastAsiaTheme="minorEastAsia"/>
        </w:rPr>
        <w:t xml:space="preserve"> is known to</w:t>
      </w:r>
      <w:r>
        <w:rPr>
          <w:rFonts w:eastAsiaTheme="minorEastAsia"/>
        </w:rPr>
        <w:t xml:space="preserve"> </w:t>
      </w:r>
      <w:r w:rsidR="006534AA">
        <w:rPr>
          <w:rFonts w:eastAsiaTheme="minorEastAsia"/>
        </w:rPr>
        <w:t xml:space="preserve">often </w:t>
      </w:r>
      <w:r>
        <w:rPr>
          <w:rFonts w:eastAsiaTheme="minorEastAsia"/>
        </w:rPr>
        <w:t>be a good approximation for th</w:t>
      </w:r>
      <w:r w:rsidR="006534AA">
        <w:rPr>
          <w:rFonts w:eastAsiaTheme="minorEastAsia"/>
        </w:rPr>
        <w:t>at</w:t>
      </w:r>
      <w:r>
        <w:rPr>
          <w:rFonts w:eastAsiaTheme="minorEastAsia"/>
        </w:rPr>
        <w:t xml:space="preserve"> true distribution</w:t>
      </w:r>
      <w:r w:rsidR="006534AA">
        <w:rPr>
          <w:rFonts w:eastAsiaTheme="minorEastAsia"/>
        </w:rPr>
        <w:t xml:space="preserve">, especially </w:t>
      </w:r>
      <w:r w:rsidR="003A12C6">
        <w:rPr>
          <w:rFonts w:eastAsiaTheme="minorEastAsia"/>
        </w:rPr>
        <w:t>if</w:t>
      </w:r>
      <w:r w:rsidR="006534AA">
        <w:rPr>
          <w:rFonts w:eastAsiaTheme="minorEastAsia"/>
        </w:rPr>
        <w:t xml:space="preserve"> it is a symmetric distribution,</w:t>
      </w:r>
      <w:r>
        <w:rPr>
          <w:rFonts w:eastAsiaTheme="minorEastAsia"/>
        </w:rPr>
        <w:t xml:space="preserve"> even </w:t>
      </w:r>
      <w:r w:rsidR="003A12C6">
        <w:rPr>
          <w:rFonts w:eastAsiaTheme="minorEastAsia"/>
        </w:rPr>
        <w:t>if</w:t>
      </w:r>
      <w:r>
        <w:rPr>
          <w:rFonts w:eastAsiaTheme="minorEastAsia"/>
        </w:rPr>
        <w:t xml:space="preserve"> the endpoint is restricted to be positive. </w:t>
      </w:r>
      <w:r w:rsidR="00B93EA5">
        <w:rPr>
          <w:rFonts w:eastAsiaTheme="minorEastAsia"/>
        </w:rPr>
        <w:t>T</w:t>
      </w:r>
      <w:r>
        <w:rPr>
          <w:rFonts w:eastAsiaTheme="minorEastAsia"/>
        </w:rPr>
        <w:t xml:space="preserve">he distribution only shifts up or down according to the value of the mean </w:t>
      </w: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w:r>
        <w:rPr>
          <w:rFonts w:eastAsiaTheme="minorEastAsia"/>
        </w:rPr>
        <w:t xml:space="preserve">, but the variance </w:t>
      </w:r>
      <m:oMath>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oMath>
      <w:r>
        <w:rPr>
          <w:rFonts w:eastAsiaTheme="minorEastAsia"/>
        </w:rPr>
        <w:t xml:space="preserve"> and the typical symmetric “bell shape’’ of the distribution remains invariant </w:t>
      </w:r>
      <w:r w:rsidR="00A32F78">
        <w:rPr>
          <w:rFonts w:eastAsiaTheme="minorEastAsia"/>
        </w:rPr>
        <w:t>to</w:t>
      </w:r>
      <w:r>
        <w:rPr>
          <w:rFonts w:eastAsiaTheme="minorEastAsia"/>
        </w:rPr>
        <w:t xml:space="preserve"> </w:t>
      </w:r>
      <w:r w:rsidR="00A32F78">
        <w:rPr>
          <w:rFonts w:eastAsiaTheme="minorEastAsia"/>
        </w:rPr>
        <w:t>changes in</w:t>
      </w:r>
      <w:r>
        <w:rPr>
          <w:rFonts w:eastAsiaTheme="minorEastAsia"/>
        </w:rPr>
        <w:t xml:space="preserve"> dose. </w:t>
      </w:r>
    </w:p>
    <w:p w14:paraId="45CBF5C4" w14:textId="77777777" w:rsidR="00B93EA5" w:rsidRDefault="00B93EA5" w:rsidP="00985D11">
      <w:pPr>
        <w:pStyle w:val="EFSABodytext"/>
        <w:rPr>
          <w:rFonts w:eastAsiaTheme="minorEastAsia"/>
        </w:rPr>
      </w:pPr>
    </w:p>
    <w:p w14:paraId="046B690C" w14:textId="19B47941" w:rsidR="00985D11" w:rsidRDefault="00597FC2" w:rsidP="00985D11">
      <w:pPr>
        <w:pStyle w:val="EFSABodytext"/>
        <w:rPr>
          <w:rFonts w:eastAsiaTheme="minorEastAsia"/>
        </w:rPr>
      </w:pPr>
      <w:r>
        <w:rPr>
          <w:rFonts w:eastAsiaTheme="minorEastAsia"/>
        </w:rPr>
        <w:t xml:space="preserve">In addition </w:t>
      </w:r>
      <w:r w:rsidR="00985D11">
        <w:rPr>
          <w:rFonts w:eastAsiaTheme="minorEastAsia"/>
        </w:rPr>
        <w:t xml:space="preserve">to the normal distribution, also the log-normal distribution </w:t>
      </w:r>
      <w:r w:rsidR="0077719D">
        <w:rPr>
          <w:rFonts w:eastAsiaTheme="minorEastAsia"/>
        </w:rPr>
        <w:t>can</w:t>
      </w:r>
      <w:r w:rsidR="00C63134">
        <w:rPr>
          <w:rFonts w:eastAsiaTheme="minorEastAsia"/>
        </w:rPr>
        <w:t xml:space="preserve"> be considered</w:t>
      </w:r>
      <w:r w:rsidR="00985D11">
        <w:rPr>
          <w:rFonts w:eastAsiaTheme="minorEastAsia"/>
        </w:rPr>
        <w:t xml:space="preserve">: </w:t>
      </w:r>
    </w:p>
    <w:p w14:paraId="27A99B8C" w14:textId="77777777" w:rsidR="00985D11" w:rsidRDefault="00985D11" w:rsidP="00985D11">
      <w:pPr>
        <w:pStyle w:val="EFSABodytext"/>
        <w:rPr>
          <w:rFonts w:eastAsiaTheme="minorEastAsia"/>
        </w:rPr>
      </w:pPr>
      <m:oMathPara>
        <m:oMath>
          <m:r>
            <w:rPr>
              <w:rFonts w:ascii="Cambria Math" w:eastAsiaTheme="minorEastAsia" w:hAnsi="Cambria Math"/>
            </w:rPr>
            <m:t>y|x ~</m:t>
          </m:r>
          <m:r>
            <m:rPr>
              <m:sty m:val="p"/>
            </m:rPr>
            <w:rPr>
              <w:rFonts w:ascii="Cambria Math" w:eastAsiaTheme="minorEastAsia" w:hAnsi="Cambria Math"/>
            </w:rPr>
            <m:t>LOGN</m:t>
          </m:r>
          <m:d>
            <m:dPr>
              <m:ctrlPr>
                <w:rPr>
                  <w:rFonts w:ascii="Cambria Math" w:eastAsiaTheme="minorEastAsia" w:hAnsi="Cambria Math"/>
                  <w:i/>
                </w:rPr>
              </m:ctrlPr>
            </m:dPr>
            <m:e>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e>
          </m:d>
          <m:r>
            <w:rPr>
              <w:rFonts w:ascii="Cambria Math" w:eastAsiaTheme="minorEastAsia" w:hAnsi="Cambria Math"/>
            </w:rPr>
            <m:t>,</m:t>
          </m:r>
        </m:oMath>
      </m:oMathPara>
    </w:p>
    <w:p w14:paraId="30C10774" w14:textId="037ED72F" w:rsidR="00985D11" w:rsidRDefault="00985D11" w:rsidP="00985D11">
      <w:pPr>
        <w:pStyle w:val="EFSABodytext"/>
        <w:rPr>
          <w:rFonts w:eastAsiaTheme="minorEastAsia"/>
        </w:rPr>
      </w:pPr>
      <w:r>
        <w:rPr>
          <w:rFonts w:eastAsiaTheme="minorEastAsia"/>
        </w:rPr>
        <w:t>This distribution is automatically restricted to positive values and is skewed to the right. Typically, the notation of the two parameters is identical to that of the two parameters of the normal distribution, but the interpretation is different. It holds that</w:t>
      </w:r>
    </w:p>
    <w:p w14:paraId="7847AC74" w14:textId="5E42200C" w:rsidR="00985D11" w:rsidRPr="001C0FC2" w:rsidRDefault="00985D11" w:rsidP="00985D11">
      <w:pPr>
        <w:pStyle w:val="EFSABodytext"/>
        <w:rPr>
          <w:rFonts w:eastAsiaTheme="minorEastAsia"/>
        </w:rPr>
      </w:pPr>
      <m:oMathPara>
        <m:oMath>
          <m:r>
            <w:rPr>
              <w:rFonts w:ascii="Cambria Math" w:eastAsiaTheme="minorEastAsia" w:hAnsi="Cambria Math"/>
            </w:rPr>
            <m:t>y|x ~</m:t>
          </m:r>
          <m:r>
            <m:rPr>
              <m:sty m:val="p"/>
            </m:rPr>
            <w:rPr>
              <w:rFonts w:ascii="Cambria Math" w:eastAsiaTheme="minorEastAsia" w:hAnsi="Cambria Math"/>
            </w:rPr>
            <m:t>LOGN</m:t>
          </m:r>
          <m:d>
            <m:dPr>
              <m:ctrlPr>
                <w:rPr>
                  <w:rFonts w:ascii="Cambria Math" w:eastAsiaTheme="minorEastAsia" w:hAnsi="Cambria Math"/>
                  <w:i/>
                </w:rPr>
              </m:ctrlPr>
            </m:dPr>
            <m:e>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e>
          </m:d>
          <m:r>
            <w:rPr>
              <w:rFonts w:ascii="Cambria Math" w:eastAsiaTheme="minorEastAsia" w:hAnsi="Cambria Math"/>
            </w:rPr>
            <m:t xml:space="preserve"> ↔</m:t>
          </m:r>
          <m:r>
            <m:rPr>
              <m:sty m:val="p"/>
            </m:rPr>
            <w:rPr>
              <w:rFonts w:ascii="Cambria Math" w:eastAsiaTheme="minorEastAsia" w:hAnsi="Cambria Math"/>
            </w:rPr>
            <m:t>log</m:t>
          </m:r>
          <m:r>
            <w:rPr>
              <w:rFonts w:ascii="Cambria Math" w:eastAsiaTheme="minorEastAsia" w:hAnsi="Cambria Math"/>
            </w:rPr>
            <m:t>(y|x) ~</m:t>
          </m:r>
          <m:r>
            <m:rPr>
              <m:sty m:val="p"/>
            </m:rPr>
            <w:rPr>
              <w:rFonts w:ascii="Cambria Math" w:eastAsiaTheme="minorEastAsia" w:hAnsi="Cambria Math"/>
            </w:rPr>
            <m:t>N</m:t>
          </m:r>
          <m:d>
            <m:dPr>
              <m:ctrlPr>
                <w:rPr>
                  <w:rFonts w:ascii="Cambria Math" w:eastAsiaTheme="minorEastAsia" w:hAnsi="Cambria Math"/>
                  <w:i/>
                </w:rPr>
              </m:ctrlPr>
            </m:dPr>
            <m:e>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e>
          </m:d>
          <m:r>
            <w:rPr>
              <w:rFonts w:ascii="Cambria Math" w:eastAsiaTheme="minorEastAsia" w:hAnsi="Cambria Math"/>
            </w:rPr>
            <m:t>,</m:t>
          </m:r>
        </m:oMath>
      </m:oMathPara>
    </w:p>
    <w:p w14:paraId="70AFCAA2" w14:textId="5C582FD8" w:rsidR="00985D11" w:rsidRPr="004C62B6" w:rsidRDefault="00985D11" w:rsidP="00985D11">
      <w:pPr>
        <w:pStyle w:val="EFSABodytext"/>
        <w:rPr>
          <w:rFonts w:eastAsiaTheme="minorEastAsia"/>
        </w:rPr>
      </w:pPr>
      <w:r>
        <w:rPr>
          <w:rFonts w:eastAsiaTheme="minorEastAsia"/>
        </w:rPr>
        <w:t xml:space="preserve">implying that </w:t>
      </w: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w:r>
        <w:rPr>
          <w:rFonts w:eastAsiaTheme="minorEastAsia"/>
        </w:rPr>
        <w:t xml:space="preserve"> and </w:t>
      </w:r>
      <m:oMath>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oMath>
      <w:r>
        <w:rPr>
          <w:rFonts w:eastAsiaTheme="minorEastAsia"/>
        </w:rPr>
        <w:t xml:space="preserve"> do not refer to the mean and the variance of the response </w:t>
      </w:r>
      <w:r w:rsidR="00A32F78">
        <w:rPr>
          <w:rFonts w:eastAsiaTheme="minorEastAsia"/>
        </w:rPr>
        <w:t xml:space="preserve">itself </w:t>
      </w:r>
      <w:r>
        <w:rPr>
          <w:rFonts w:eastAsiaTheme="minorEastAsia"/>
        </w:rPr>
        <w:t>but to the mean and the variance of the log-transformed response.</w:t>
      </w:r>
      <w:r w:rsidR="00A32F78">
        <w:rPr>
          <w:rFonts w:eastAsiaTheme="minorEastAsia"/>
        </w:rPr>
        <w:t xml:space="preserve"> Again, it is assumed that the </w:t>
      </w:r>
      <w:r w:rsidR="004237FC">
        <w:rPr>
          <w:rFonts w:eastAsiaTheme="minorEastAsia"/>
        </w:rPr>
        <w:t>parameter</w:t>
      </w:r>
      <w:r w:rsidR="00A32F78">
        <w:rPr>
          <w:rFonts w:eastAsiaTheme="minorEastAsia"/>
        </w:rPr>
        <w:t xml:space="preserve"> </w:t>
      </w:r>
      <m:oMath>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oMath>
      <w:r w:rsidR="00AE7EC5">
        <w:rPr>
          <w:rFonts w:eastAsiaTheme="minorEastAsia"/>
        </w:rPr>
        <w:t xml:space="preserve"> </w:t>
      </w:r>
      <w:r w:rsidR="00A32F78">
        <w:rPr>
          <w:rFonts w:eastAsiaTheme="minorEastAsia"/>
        </w:rPr>
        <w:t xml:space="preserve">does not depend on dose. </w:t>
      </w:r>
      <w:r>
        <w:rPr>
          <w:rFonts w:eastAsiaTheme="minorEastAsia"/>
        </w:rPr>
        <w:t xml:space="preserve"> The characteristics on the original scale are shown in Table 1 for both distributions.</w:t>
      </w:r>
      <w:r w:rsidR="00A32F78">
        <w:rPr>
          <w:rFonts w:eastAsiaTheme="minorEastAsia"/>
        </w:rPr>
        <w:t xml:space="preserve"> Note that, although the parameter </w:t>
      </w:r>
      <m:oMath>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oMath>
      <w:r w:rsidR="00AE7EC5">
        <w:rPr>
          <w:rFonts w:eastAsiaTheme="minorEastAsia"/>
        </w:rPr>
        <w:t xml:space="preserve"> </w:t>
      </w:r>
      <w:r w:rsidR="00A32F78">
        <w:rPr>
          <w:rFonts w:eastAsiaTheme="minorEastAsia"/>
        </w:rPr>
        <w:t>does not depend on dose,</w:t>
      </w:r>
      <w:r>
        <w:rPr>
          <w:rFonts w:eastAsiaTheme="minorEastAsia"/>
        </w:rPr>
        <w:t xml:space="preserve"> </w:t>
      </w:r>
      <w:r w:rsidR="00A32F78">
        <w:rPr>
          <w:rFonts w:eastAsiaTheme="minorEastAsia"/>
        </w:rPr>
        <w:t xml:space="preserve">the variance of </w:t>
      </w:r>
      <w:r w:rsidR="004C62B6">
        <w:rPr>
          <w:rFonts w:eastAsiaTheme="minorEastAsia"/>
        </w:rPr>
        <w:t>a</w:t>
      </w:r>
      <w:r w:rsidR="00A32F78">
        <w:rPr>
          <w:rFonts w:eastAsiaTheme="minorEastAsia"/>
        </w:rPr>
        <w:t xml:space="preserve"> log-normally distributed response </w:t>
      </w:r>
      <w:r w:rsidR="004237FC">
        <w:rPr>
          <w:rFonts w:eastAsiaTheme="minorEastAsia"/>
        </w:rPr>
        <w:t>does depend on dose</w:t>
      </w:r>
      <w:r w:rsidR="00A32F78">
        <w:rPr>
          <w:rFonts w:eastAsiaTheme="minorEastAsia"/>
        </w:rPr>
        <w:t xml:space="preserve">, </w:t>
      </w:r>
      <w:r w:rsidR="004237FC">
        <w:rPr>
          <w:rFonts w:eastAsiaTheme="minorEastAsia"/>
        </w:rPr>
        <w:t>as it</w:t>
      </w:r>
      <w:r w:rsidR="00A32F78">
        <w:rPr>
          <w:rFonts w:eastAsiaTheme="minorEastAsia"/>
        </w:rPr>
        <w:t xml:space="preserve"> </w:t>
      </w:r>
      <w:r w:rsidR="004C62B6">
        <w:rPr>
          <w:rFonts w:eastAsiaTheme="minorEastAsia"/>
        </w:rPr>
        <w:t xml:space="preserve">depends on the parameter </w:t>
      </w: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w:r w:rsidR="004C62B6">
        <w:rPr>
          <w:rFonts w:eastAsiaTheme="minorEastAsia"/>
        </w:rPr>
        <w:t xml:space="preserve"> as well. For a log-normally distributed response the coefficient of v</w:t>
      </w:r>
      <w:proofErr w:type="spellStart"/>
      <w:r w:rsidR="004C62B6">
        <w:rPr>
          <w:rFonts w:eastAsiaTheme="minorEastAsia"/>
        </w:rPr>
        <w:t>ariation</w:t>
      </w:r>
      <w:proofErr w:type="spellEnd"/>
      <w:r w:rsidR="004C62B6">
        <w:rPr>
          <w:rFonts w:eastAsiaTheme="minorEastAsia"/>
        </w:rPr>
        <w:t xml:space="preserve"> (standard deviation divided by mean) is however </w:t>
      </w:r>
      <w:r w:rsidR="00CB7D05">
        <w:rPr>
          <w:rFonts w:eastAsiaTheme="minorEastAsia"/>
        </w:rPr>
        <w:t>not depending on dose</w:t>
      </w:r>
      <w:r w:rsidR="004C62B6">
        <w:rPr>
          <w:rFonts w:eastAsiaTheme="minorEastAsia"/>
        </w:rPr>
        <w:t xml:space="preserve"> (</w:t>
      </w:r>
      <w:r w:rsidR="00CB7D05">
        <w:rPr>
          <w:rFonts w:eastAsiaTheme="minorEastAsia"/>
        </w:rPr>
        <w:t xml:space="preserve">constant, </w:t>
      </w:r>
      <w:r w:rsidR="004C62B6">
        <w:rPr>
          <w:rFonts w:eastAsiaTheme="minorEastAsia"/>
        </w:rPr>
        <w:t xml:space="preserve">with value  </w:t>
      </w:r>
      <m:oMath>
        <m:rad>
          <m:radPr>
            <m:degHide m:val="1"/>
            <m:ctrlPr>
              <w:rPr>
                <w:rFonts w:ascii="Cambria Math" w:eastAsiaTheme="minorEastAsia" w:hAnsi="Cambria Math"/>
                <w:i/>
              </w:rPr>
            </m:ctrlPr>
          </m:radPr>
          <m:deg/>
          <m:e>
            <m:sSup>
              <m:sSupPr>
                <m:ctrlPr>
                  <w:rPr>
                    <w:rFonts w:ascii="Cambria Math" w:eastAsiaTheme="minorEastAsia" w:hAnsi="Cambria Math"/>
                    <w:i/>
                  </w:rPr>
                </m:ctrlPr>
              </m:sSupPr>
              <m:e>
                <m:r>
                  <w:rPr>
                    <w:rFonts w:ascii="Cambria Math" w:eastAsiaTheme="minorEastAsia" w:hAnsi="Cambria Math"/>
                  </w:rPr>
                  <m:t>e</m:t>
                </m:r>
              </m:e>
              <m:sup>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sup>
            </m:sSup>
            <m:r>
              <w:rPr>
                <w:rFonts w:ascii="Cambria Math" w:eastAsiaTheme="minorEastAsia" w:hAnsi="Cambria Math"/>
              </w:rPr>
              <m:t>-1</m:t>
            </m:r>
          </m:e>
        </m:rad>
      </m:oMath>
      <w:r w:rsidR="004C62B6">
        <w:rPr>
          <w:rFonts w:eastAsiaTheme="minorEastAsia"/>
        </w:rPr>
        <w:t>).</w:t>
      </w:r>
    </w:p>
    <w:p w14:paraId="22FDA9A8" w14:textId="77777777" w:rsidR="00985D11" w:rsidRPr="0077719D" w:rsidRDefault="00985D11" w:rsidP="00985D11">
      <w:pPr>
        <w:pStyle w:val="EFSABodytext"/>
        <w:rPr>
          <w:rFonts w:eastAsiaTheme="minorEastAsia"/>
        </w:rPr>
      </w:pPr>
    </w:p>
    <w:p w14:paraId="78624ECC" w14:textId="4DCC94E3" w:rsidR="00985D11" w:rsidRPr="0077719D" w:rsidRDefault="00985D11" w:rsidP="00985D11">
      <w:pPr>
        <w:pStyle w:val="Caption"/>
        <w:keepNext/>
        <w:rPr>
          <w:color w:val="auto"/>
        </w:rPr>
      </w:pPr>
      <w:r w:rsidRPr="0077719D">
        <w:rPr>
          <w:rFonts w:ascii="Tahoma" w:hAnsi="Tahoma" w:cs="Tahoma"/>
          <w:color w:val="auto"/>
        </w:rPr>
        <w:t xml:space="preserve">Table </w:t>
      </w:r>
      <w:r w:rsidRPr="0077719D">
        <w:rPr>
          <w:rFonts w:ascii="Tahoma" w:hAnsi="Tahoma" w:cs="Tahoma"/>
          <w:color w:val="auto"/>
          <w:shd w:val="clear" w:color="auto" w:fill="E6E6E6"/>
        </w:rPr>
        <w:fldChar w:fldCharType="begin"/>
      </w:r>
      <w:r w:rsidRPr="0077719D">
        <w:rPr>
          <w:rFonts w:ascii="Tahoma" w:hAnsi="Tahoma" w:cs="Tahoma"/>
          <w:color w:val="auto"/>
        </w:rPr>
        <w:instrText xml:space="preserve"> SEQ Table \* ARABIC </w:instrText>
      </w:r>
      <w:r w:rsidRPr="0077719D">
        <w:rPr>
          <w:rFonts w:ascii="Tahoma" w:hAnsi="Tahoma" w:cs="Tahoma"/>
          <w:color w:val="auto"/>
          <w:shd w:val="clear" w:color="auto" w:fill="E6E6E6"/>
        </w:rPr>
        <w:fldChar w:fldCharType="separate"/>
      </w:r>
      <w:r w:rsidR="003A6EE3" w:rsidRPr="0077719D">
        <w:rPr>
          <w:rFonts w:ascii="Tahoma" w:hAnsi="Tahoma" w:cs="Tahoma"/>
          <w:noProof/>
          <w:color w:val="auto"/>
        </w:rPr>
        <w:t>1</w:t>
      </w:r>
      <w:r w:rsidRPr="0077719D">
        <w:rPr>
          <w:rFonts w:ascii="Tahoma" w:hAnsi="Tahoma" w:cs="Tahoma"/>
          <w:color w:val="auto"/>
          <w:shd w:val="clear" w:color="auto" w:fill="E6E6E6"/>
        </w:rPr>
        <w:fldChar w:fldCharType="end"/>
      </w:r>
      <w:r w:rsidRPr="0077719D">
        <w:rPr>
          <w:color w:val="auto"/>
        </w:rPr>
        <w:t xml:space="preserve">: </w:t>
      </w:r>
      <w:r w:rsidRPr="0077719D">
        <w:rPr>
          <w:rFonts w:ascii="Tahoma" w:hAnsi="Tahoma" w:cs="Tahoma"/>
          <w:b w:val="0"/>
          <w:bCs w:val="0"/>
          <w:color w:val="auto"/>
        </w:rPr>
        <w:t>Characteristics of the normal and the log-normal dose-response model</w:t>
      </w:r>
    </w:p>
    <w:tbl>
      <w:tblPr>
        <w:tblStyle w:val="TableGrid"/>
        <w:tblW w:w="0" w:type="auto"/>
        <w:jc w:val="center"/>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2520"/>
        <w:gridCol w:w="2700"/>
        <w:gridCol w:w="2430"/>
      </w:tblGrid>
      <w:tr w:rsidR="00985D11" w14:paraId="263E613D" w14:textId="77777777" w:rsidTr="00DE30D2">
        <w:trPr>
          <w:jc w:val="center"/>
        </w:trPr>
        <w:tc>
          <w:tcPr>
            <w:tcW w:w="2520" w:type="dxa"/>
            <w:tcBorders>
              <w:bottom w:val="single" w:sz="4" w:space="0" w:color="auto"/>
            </w:tcBorders>
          </w:tcPr>
          <w:p w14:paraId="6E75CDDC" w14:textId="77777777" w:rsidR="00985D11" w:rsidRDefault="00985D11" w:rsidP="00985D11">
            <w:pPr>
              <w:pStyle w:val="EFSABodytext"/>
              <w:rPr>
                <w:rFonts w:eastAsiaTheme="minorEastAsia"/>
              </w:rPr>
            </w:pPr>
          </w:p>
        </w:tc>
        <w:tc>
          <w:tcPr>
            <w:tcW w:w="2700" w:type="dxa"/>
            <w:tcBorders>
              <w:bottom w:val="single" w:sz="4" w:space="0" w:color="auto"/>
            </w:tcBorders>
          </w:tcPr>
          <w:p w14:paraId="38676489" w14:textId="77777777" w:rsidR="00985D11" w:rsidRDefault="00985D11" w:rsidP="00985D11">
            <w:pPr>
              <w:pStyle w:val="EFSABodytext"/>
              <w:rPr>
                <w:rFonts w:eastAsiaTheme="minorEastAsia"/>
              </w:rPr>
            </w:pPr>
            <m:oMathPara>
              <m:oMath>
                <m:r>
                  <w:rPr>
                    <w:rFonts w:ascii="Cambria Math" w:eastAsiaTheme="minorEastAsia" w:hAnsi="Cambria Math"/>
                  </w:rPr>
                  <m:t>y|x ~</m:t>
                </m:r>
                <m:r>
                  <m:rPr>
                    <m:sty m:val="p"/>
                  </m:rPr>
                  <w:rPr>
                    <w:rFonts w:ascii="Cambria Math" w:eastAsiaTheme="minorEastAsia" w:hAnsi="Cambria Math"/>
                  </w:rPr>
                  <m:t>N</m:t>
                </m:r>
                <m:d>
                  <m:dPr>
                    <m:ctrlPr>
                      <w:rPr>
                        <w:rFonts w:ascii="Cambria Math" w:eastAsiaTheme="minorEastAsia" w:hAnsi="Cambria Math"/>
                        <w:i/>
                      </w:rPr>
                    </m:ctrlPr>
                  </m:dPr>
                  <m:e>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e>
                </m:d>
              </m:oMath>
            </m:oMathPara>
          </w:p>
        </w:tc>
        <w:tc>
          <w:tcPr>
            <w:tcW w:w="2430" w:type="dxa"/>
            <w:tcBorders>
              <w:bottom w:val="single" w:sz="4" w:space="0" w:color="auto"/>
            </w:tcBorders>
          </w:tcPr>
          <w:p w14:paraId="7188C019" w14:textId="77777777" w:rsidR="00985D11" w:rsidRDefault="00985D11" w:rsidP="00985D11">
            <w:pPr>
              <w:pStyle w:val="EFSABodytext"/>
              <w:rPr>
                <w:rFonts w:eastAsiaTheme="minorEastAsia"/>
              </w:rPr>
            </w:pPr>
            <m:oMathPara>
              <m:oMath>
                <m:r>
                  <w:rPr>
                    <w:rFonts w:ascii="Cambria Math" w:eastAsiaTheme="minorEastAsia" w:hAnsi="Cambria Math"/>
                  </w:rPr>
                  <m:t>y|x ~</m:t>
                </m:r>
                <m:r>
                  <m:rPr>
                    <m:sty m:val="p"/>
                  </m:rPr>
                  <w:rPr>
                    <w:rFonts w:ascii="Cambria Math" w:eastAsiaTheme="minorEastAsia" w:hAnsi="Cambria Math"/>
                  </w:rPr>
                  <m:t>LOGN</m:t>
                </m:r>
                <m:d>
                  <m:dPr>
                    <m:ctrlPr>
                      <w:rPr>
                        <w:rFonts w:ascii="Cambria Math" w:eastAsiaTheme="minorEastAsia" w:hAnsi="Cambria Math"/>
                        <w:i/>
                      </w:rPr>
                    </m:ctrlPr>
                  </m:dPr>
                  <m:e>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e>
                </m:d>
              </m:oMath>
            </m:oMathPara>
          </w:p>
        </w:tc>
      </w:tr>
      <w:tr w:rsidR="00985D11" w14:paraId="08D7DDBD" w14:textId="77777777" w:rsidTr="00DE30D2">
        <w:trPr>
          <w:jc w:val="center"/>
        </w:trPr>
        <w:tc>
          <w:tcPr>
            <w:tcW w:w="2520" w:type="dxa"/>
            <w:tcBorders>
              <w:bottom w:val="nil"/>
            </w:tcBorders>
          </w:tcPr>
          <w:p w14:paraId="42253933" w14:textId="472DF225" w:rsidR="00985D11" w:rsidRDefault="00F12F9D" w:rsidP="00985D11">
            <w:pPr>
              <w:pStyle w:val="EFSABodytext"/>
              <w:rPr>
                <w:rFonts w:eastAsiaTheme="minorEastAsia"/>
              </w:rPr>
            </w:pPr>
            <w:r>
              <w:rPr>
                <w:rFonts w:eastAsiaTheme="minorEastAsia"/>
              </w:rPr>
              <w:t>m</w:t>
            </w:r>
            <w:r w:rsidR="00985D11">
              <w:rPr>
                <w:rFonts w:eastAsiaTheme="minorEastAsia"/>
              </w:rPr>
              <w:t>ean</w:t>
            </w:r>
            <w:r w:rsidR="009C05F3">
              <w:rPr>
                <w:rFonts w:eastAsiaTheme="minorEastAsia"/>
              </w:rPr>
              <w:t xml:space="preserve"> response</w:t>
            </w:r>
          </w:p>
        </w:tc>
        <w:tc>
          <w:tcPr>
            <w:tcW w:w="2700" w:type="dxa"/>
            <w:tcBorders>
              <w:bottom w:val="nil"/>
            </w:tcBorders>
          </w:tcPr>
          <w:p w14:paraId="291043C7" w14:textId="77777777" w:rsidR="00985D11" w:rsidRDefault="00985D11" w:rsidP="00985D11">
            <w:pPr>
              <w:pStyle w:val="EFSABodytext"/>
              <w:rPr>
                <w:rFonts w:eastAsiaTheme="minorEastAsia"/>
              </w:rPr>
            </w:pPr>
            <m:oMathPara>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m:oMathPara>
          </w:p>
        </w:tc>
        <w:tc>
          <w:tcPr>
            <w:tcW w:w="2430" w:type="dxa"/>
            <w:tcBorders>
              <w:bottom w:val="nil"/>
            </w:tcBorders>
          </w:tcPr>
          <w:p w14:paraId="7004F27F" w14:textId="77777777" w:rsidR="00985D11" w:rsidRDefault="009615DC" w:rsidP="00985D11">
            <w:pPr>
              <w:pStyle w:val="EFSABodytext"/>
              <w:ind w:firstLine="720"/>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r>
                      <w:rPr>
                        <w:rFonts w:ascii="Cambria Math" w:eastAsiaTheme="minorEastAsia" w:hAnsi="Cambria Math"/>
                      </w:rPr>
                      <m:t>/2</m:t>
                    </m:r>
                  </m:sup>
                </m:sSup>
              </m:oMath>
            </m:oMathPara>
          </w:p>
        </w:tc>
      </w:tr>
      <w:tr w:rsidR="00985D11" w14:paraId="3ABACE41" w14:textId="77777777" w:rsidTr="00DE30D2">
        <w:trPr>
          <w:jc w:val="center"/>
        </w:trPr>
        <w:tc>
          <w:tcPr>
            <w:tcW w:w="2520" w:type="dxa"/>
            <w:tcBorders>
              <w:top w:val="nil"/>
              <w:bottom w:val="nil"/>
            </w:tcBorders>
          </w:tcPr>
          <w:p w14:paraId="5C6248D7" w14:textId="186EC831" w:rsidR="00F12F9D" w:rsidRDefault="00F12F9D" w:rsidP="00F12F9D">
            <w:pPr>
              <w:pStyle w:val="EFSABodytext"/>
              <w:rPr>
                <w:rFonts w:eastAsiaTheme="minorEastAsia"/>
              </w:rPr>
            </w:pPr>
            <w:r>
              <w:rPr>
                <w:rFonts w:eastAsiaTheme="minorEastAsia"/>
              </w:rPr>
              <w:t>m</w:t>
            </w:r>
            <w:r w:rsidR="00985D11">
              <w:rPr>
                <w:rFonts w:eastAsiaTheme="minorEastAsia"/>
              </w:rPr>
              <w:t>edian</w:t>
            </w:r>
            <w:r>
              <w:rPr>
                <w:rFonts w:eastAsiaTheme="minorEastAsia"/>
              </w:rPr>
              <w:t xml:space="preserve"> response  </w:t>
            </w:r>
            <m:oMath>
              <m:r>
                <m:rPr>
                  <m:sty m:val="p"/>
                </m:rPr>
                <w:rPr>
                  <w:rFonts w:ascii="Cambria Math" w:eastAsiaTheme="minorEastAsia" w:hAnsi="Cambria Math"/>
                </w:rPr>
                <m:t>Med</m:t>
              </m:r>
              <m:d>
                <m:dPr>
                  <m:ctrlPr>
                    <w:rPr>
                      <w:rFonts w:ascii="Cambria Math" w:eastAsiaTheme="minorEastAsia" w:hAnsi="Cambria Math"/>
                      <w:i/>
                    </w:rPr>
                  </m:ctrlPr>
                </m:dPr>
                <m:e>
                  <m:r>
                    <w:rPr>
                      <w:rFonts w:ascii="Cambria Math" w:eastAsiaTheme="minorEastAsia" w:hAnsi="Cambria Math"/>
                    </w:rPr>
                    <m:t>x</m:t>
                  </m:r>
                </m:e>
              </m:d>
            </m:oMath>
          </w:p>
        </w:tc>
        <w:tc>
          <w:tcPr>
            <w:tcW w:w="2700" w:type="dxa"/>
            <w:tcBorders>
              <w:top w:val="nil"/>
              <w:bottom w:val="nil"/>
            </w:tcBorders>
          </w:tcPr>
          <w:p w14:paraId="41914E40" w14:textId="77777777" w:rsidR="00985D11" w:rsidRDefault="00985D11" w:rsidP="00985D11">
            <w:pPr>
              <w:pStyle w:val="EFSABodytext"/>
              <w:rPr>
                <w:rFonts w:eastAsiaTheme="minorEastAsia"/>
              </w:rPr>
            </w:pPr>
            <m:oMathPara>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m:oMathPara>
          </w:p>
        </w:tc>
        <w:tc>
          <w:tcPr>
            <w:tcW w:w="2430" w:type="dxa"/>
            <w:tcBorders>
              <w:top w:val="nil"/>
              <w:bottom w:val="nil"/>
            </w:tcBorders>
          </w:tcPr>
          <w:p w14:paraId="7E73C789" w14:textId="77777777" w:rsidR="00985D11" w:rsidRDefault="009615DC" w:rsidP="00985D11">
            <w:pPr>
              <w:pStyle w:val="EFSABodytext"/>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sup>
                </m:sSup>
              </m:oMath>
            </m:oMathPara>
          </w:p>
        </w:tc>
      </w:tr>
      <w:tr w:rsidR="00985D11" w14:paraId="4FC7BABD" w14:textId="77777777" w:rsidTr="00DE30D2">
        <w:trPr>
          <w:jc w:val="center"/>
        </w:trPr>
        <w:tc>
          <w:tcPr>
            <w:tcW w:w="2520" w:type="dxa"/>
            <w:tcBorders>
              <w:top w:val="nil"/>
            </w:tcBorders>
          </w:tcPr>
          <w:p w14:paraId="2B875447" w14:textId="6CFF8B84" w:rsidR="00985D11" w:rsidRDefault="00F12F9D" w:rsidP="00985D11">
            <w:pPr>
              <w:pStyle w:val="EFSABodytext"/>
              <w:rPr>
                <w:rFonts w:eastAsiaTheme="minorEastAsia"/>
              </w:rPr>
            </w:pPr>
            <w:r>
              <w:rPr>
                <w:rFonts w:eastAsiaTheme="minorEastAsia"/>
              </w:rPr>
              <w:t>v</w:t>
            </w:r>
            <w:r w:rsidR="00985D11">
              <w:rPr>
                <w:rFonts w:eastAsiaTheme="minorEastAsia"/>
              </w:rPr>
              <w:t>ariance</w:t>
            </w:r>
            <w:r>
              <w:rPr>
                <w:rFonts w:eastAsiaTheme="minorEastAsia"/>
              </w:rPr>
              <w:t xml:space="preserve"> response</w:t>
            </w:r>
          </w:p>
        </w:tc>
        <w:tc>
          <w:tcPr>
            <w:tcW w:w="2700" w:type="dxa"/>
            <w:tcBorders>
              <w:top w:val="nil"/>
            </w:tcBorders>
          </w:tcPr>
          <w:p w14:paraId="01B8F845" w14:textId="77777777" w:rsidR="00985D11" w:rsidRDefault="009615DC" w:rsidP="00985D11">
            <w:pPr>
              <w:pStyle w:val="EFSABodytext"/>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oMath>
            </m:oMathPara>
          </w:p>
        </w:tc>
        <w:tc>
          <w:tcPr>
            <w:tcW w:w="2430" w:type="dxa"/>
            <w:tcBorders>
              <w:top w:val="nil"/>
            </w:tcBorders>
          </w:tcPr>
          <w:p w14:paraId="301925B1" w14:textId="77777777" w:rsidR="00985D11" w:rsidRDefault="009615DC" w:rsidP="00985D11">
            <w:pPr>
              <w:pStyle w:val="EFSABodytext"/>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(e</m:t>
                    </m:r>
                  </m:e>
                  <m:sup>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sup>
                </m:sSup>
                <m:r>
                  <w:rPr>
                    <w:rFonts w:ascii="Cambria Math" w:eastAsiaTheme="minorEastAsia" w:hAnsi="Cambria Math"/>
                  </w:rPr>
                  <m:t>-1)</m:t>
                </m:r>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2μ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sup>
                </m:sSup>
              </m:oMath>
            </m:oMathPara>
          </w:p>
        </w:tc>
      </w:tr>
    </w:tbl>
    <w:p w14:paraId="3C53C16C" w14:textId="77777777" w:rsidR="00985D11" w:rsidRDefault="00985D11" w:rsidP="00985D11">
      <w:pPr>
        <w:pStyle w:val="EFSABodytext"/>
        <w:rPr>
          <w:rFonts w:eastAsiaTheme="minorEastAsia"/>
        </w:rPr>
      </w:pPr>
    </w:p>
    <w:p w14:paraId="74302120" w14:textId="344F5929" w:rsidR="00985D11" w:rsidRDefault="00985D11" w:rsidP="003129FB">
      <w:pPr>
        <w:pStyle w:val="EFSABodytext"/>
        <w:rPr>
          <w:rFonts w:eastAsiaTheme="minorEastAsia"/>
        </w:rPr>
      </w:pPr>
      <w:r>
        <w:rPr>
          <w:rFonts w:eastAsiaTheme="minorEastAsia"/>
        </w:rPr>
        <w:t>The focus is on the median</w:t>
      </w:r>
      <w:r w:rsidR="00F12F9D">
        <w:rPr>
          <w:rFonts w:eastAsiaTheme="minorEastAsia"/>
        </w:rPr>
        <w:t xml:space="preserve"> response </w:t>
      </w:r>
      <m:oMath>
        <m:r>
          <m:rPr>
            <m:sty m:val="p"/>
          </m:rPr>
          <w:rPr>
            <w:rFonts w:ascii="Cambria Math" w:eastAsiaTheme="minorEastAsia" w:hAnsi="Cambria Math"/>
          </w:rPr>
          <m:t>Med</m:t>
        </m:r>
        <m:d>
          <m:dPr>
            <m:ctrlPr>
              <w:rPr>
                <w:rFonts w:ascii="Cambria Math" w:eastAsiaTheme="minorEastAsia" w:hAnsi="Cambria Math"/>
                <w:i/>
              </w:rPr>
            </m:ctrlPr>
          </m:dPr>
          <m:e>
            <m:r>
              <w:rPr>
                <w:rFonts w:ascii="Cambria Math" w:eastAsiaTheme="minorEastAsia" w:hAnsi="Cambria Math"/>
              </w:rPr>
              <m:t>x</m:t>
            </m:r>
          </m:e>
        </m:d>
      </m:oMath>
      <w:r w:rsidR="00F12F9D">
        <w:rPr>
          <w:rFonts w:eastAsiaTheme="minorEastAsia"/>
        </w:rPr>
        <w:t xml:space="preserve"> at dose </w:t>
      </w:r>
      <m:oMath>
        <m:r>
          <w:rPr>
            <w:rFonts w:ascii="Cambria Math" w:eastAsiaTheme="minorEastAsia" w:hAnsi="Cambria Math"/>
          </w:rPr>
          <m:t>x</m:t>
        </m:r>
      </m:oMath>
      <w:r>
        <w:rPr>
          <w:rFonts w:eastAsiaTheme="minorEastAsia"/>
        </w:rPr>
        <w:t>,</w:t>
      </w:r>
      <w:r w:rsidR="00F12F9D">
        <w:rPr>
          <w:rFonts w:eastAsiaTheme="minorEastAsia"/>
        </w:rPr>
        <w:t xml:space="preserve"> </w:t>
      </w:r>
      <w:r>
        <w:rPr>
          <w:rFonts w:eastAsiaTheme="minorEastAsia"/>
        </w:rPr>
        <w:t xml:space="preserve">which is determined by </w:t>
      </w: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w:r>
        <w:rPr>
          <w:rFonts w:eastAsiaTheme="minorEastAsia"/>
        </w:rPr>
        <w:t xml:space="preserve"> for both distributions: </w:t>
      </w:r>
      <m:oMath>
        <m:r>
          <m:rPr>
            <m:sty m:val="p"/>
          </m:rPr>
          <w:rPr>
            <w:rFonts w:ascii="Cambria Math" w:eastAsiaTheme="minorEastAsia" w:hAnsi="Cambria Math"/>
          </w:rPr>
          <m:t>Med</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w:r>
        <w:rPr>
          <w:rFonts w:eastAsiaTheme="minorEastAsia"/>
        </w:rPr>
        <w:t xml:space="preserve"> is the median of the normal distribution and </w:t>
      </w:r>
      <m:oMath>
        <m:sSup>
          <m:sSupPr>
            <m:ctrlPr>
              <w:rPr>
                <w:rFonts w:ascii="Cambria Math" w:eastAsiaTheme="minorEastAsia" w:hAnsi="Cambria Math" w:cs="Times New Roman"/>
                <w:i/>
                <w:lang w:eastAsia="en-GB"/>
              </w:rPr>
            </m:ctrlPr>
          </m:sSupPr>
          <m:e>
            <m:r>
              <m:rPr>
                <m:sty m:val="p"/>
              </m:rPr>
              <w:rPr>
                <w:rFonts w:ascii="Cambria Math" w:eastAsiaTheme="minorEastAsia" w:hAnsi="Cambria Math"/>
              </w:rPr>
              <m:t>Med</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=e</m:t>
            </m:r>
          </m:e>
          <m:sup>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sup>
        </m:sSup>
      </m:oMath>
      <w:r>
        <w:rPr>
          <w:rFonts w:eastAsiaTheme="minorEastAsia"/>
        </w:rPr>
        <w:t xml:space="preserve"> is the median of the log-normal distribution.</w:t>
      </w:r>
      <w:r w:rsidR="0007168A">
        <w:rPr>
          <w:rFonts w:eastAsiaTheme="minorEastAsia"/>
        </w:rPr>
        <w:t xml:space="preserve"> </w:t>
      </w:r>
    </w:p>
    <w:p w14:paraId="67497C6C" w14:textId="5D8E3CC1" w:rsidR="0007168A" w:rsidRDefault="0007168A" w:rsidP="00985D11">
      <w:pPr>
        <w:pStyle w:val="EFSABodytext"/>
        <w:jc w:val="left"/>
        <w:rPr>
          <w:rFonts w:eastAsiaTheme="minorEastAsia"/>
        </w:rPr>
      </w:pPr>
    </w:p>
    <w:p w14:paraId="34BDAC54" w14:textId="1C1EAF5E" w:rsidR="0007168A" w:rsidRDefault="0007168A" w:rsidP="0007168A">
      <w:pPr>
        <w:pStyle w:val="EFSAHeading4"/>
      </w:pPr>
      <w:r>
        <w:t>Modelling the central location of the distribution</w:t>
      </w:r>
      <w:r w:rsidR="00980C12">
        <w:t xml:space="preserve"> as a function of dose</w:t>
      </w:r>
    </w:p>
    <w:p w14:paraId="667BFEE9" w14:textId="77777777" w:rsidR="0007168A" w:rsidRPr="0007168A" w:rsidRDefault="0007168A" w:rsidP="00DE30D2">
      <w:pPr>
        <w:pStyle w:val="EFSABodytext"/>
      </w:pPr>
    </w:p>
    <w:p w14:paraId="7573C11B" w14:textId="56D3228B" w:rsidR="00985D11" w:rsidRPr="003D6F63" w:rsidRDefault="00985D11" w:rsidP="00985D11">
      <w:pPr>
        <w:pStyle w:val="EFSABodytext"/>
        <w:rPr>
          <w:rFonts w:eastAsiaTheme="minorEastAsia"/>
        </w:rPr>
      </w:pPr>
      <w:r>
        <w:rPr>
          <w:rFonts w:eastAsiaTheme="minorEastAsia"/>
        </w:rPr>
        <w:t>Next to the s</w:t>
      </w:r>
      <w:r w:rsidRPr="000F0CBD">
        <w:rPr>
          <w:rFonts w:eastAsiaTheme="minorEastAsia"/>
        </w:rPr>
        <w:t xml:space="preserve">pecification of the distribution (normal or log-normal), </w:t>
      </w:r>
      <w:r w:rsidR="0094649F" w:rsidRPr="00933CF8">
        <w:rPr>
          <w:rFonts w:eastAsiaTheme="minorEastAsia"/>
        </w:rPr>
        <w:t xml:space="preserve">a </w:t>
      </w:r>
      <w:r w:rsidR="00BA4A54" w:rsidRPr="003D6F63">
        <w:rPr>
          <w:rFonts w:eastAsiaTheme="minorEastAsia"/>
        </w:rPr>
        <w:t>suite</w:t>
      </w:r>
      <w:r w:rsidRPr="003D6F63">
        <w:rPr>
          <w:rFonts w:eastAsiaTheme="minorEastAsia"/>
        </w:rPr>
        <w:t xml:space="preserve"> of </w:t>
      </w:r>
      <w:r w:rsidR="00BA4A54" w:rsidRPr="003D6F63">
        <w:rPr>
          <w:rFonts w:eastAsiaTheme="minorEastAsia"/>
        </w:rPr>
        <w:t>8</w:t>
      </w:r>
      <w:r w:rsidR="00793794" w:rsidRPr="003D6F63">
        <w:rPr>
          <w:rFonts w:eastAsiaTheme="minorEastAsia"/>
        </w:rPr>
        <w:t xml:space="preserve"> </w:t>
      </w:r>
      <w:r w:rsidRPr="003D6F63">
        <w:rPr>
          <w:rFonts w:eastAsiaTheme="minorEastAsia"/>
        </w:rPr>
        <w:t xml:space="preserve">candidate models for </w:t>
      </w: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w:r w:rsidR="00DF341B">
        <w:rPr>
          <w:rFonts w:eastAsiaTheme="minorEastAsia"/>
        </w:rPr>
        <w:t xml:space="preserve"> is used</w:t>
      </w:r>
      <w:r w:rsidRPr="000F0CBD">
        <w:rPr>
          <w:rFonts w:eastAsiaTheme="minorEastAsia"/>
        </w:rPr>
        <w:t xml:space="preserve">, as shown in </w:t>
      </w:r>
      <w:r w:rsidRPr="00AC7BF3">
        <w:rPr>
          <w:rFonts w:eastAsiaTheme="minorEastAsia"/>
        </w:rPr>
        <w:t xml:space="preserve">Table </w:t>
      </w:r>
      <w:r w:rsidR="00F56048" w:rsidRPr="00F56048">
        <w:rPr>
          <w:rFonts w:eastAsiaTheme="minorEastAsia"/>
        </w:rPr>
        <w:t>2</w:t>
      </w:r>
      <w:r w:rsidRPr="000F0CBD">
        <w:rPr>
          <w:rFonts w:eastAsiaTheme="minorEastAsia"/>
        </w:rPr>
        <w:t xml:space="preserve">.  All candidate models </w:t>
      </w: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w:r w:rsidR="0005557D">
        <w:rPr>
          <w:rFonts w:eastAsiaTheme="minorEastAsia"/>
        </w:rPr>
        <w:t xml:space="preserve"> </w:t>
      </w:r>
      <w:r w:rsidRPr="000F0CBD">
        <w:rPr>
          <w:rFonts w:eastAsiaTheme="minorEastAsia"/>
        </w:rPr>
        <w:t>share some basic properties</w:t>
      </w:r>
      <w:r w:rsidR="009F4588" w:rsidRPr="00933CF8">
        <w:rPr>
          <w:rFonts w:eastAsiaTheme="minorEastAsia"/>
        </w:rPr>
        <w:t xml:space="preserve"> P1-P4</w:t>
      </w:r>
      <w:r w:rsidRPr="003D6F63">
        <w:rPr>
          <w:rFonts w:eastAsiaTheme="minorEastAsia"/>
        </w:rPr>
        <w:t xml:space="preserve">: </w:t>
      </w:r>
    </w:p>
    <w:p w14:paraId="7AD4B8C4" w14:textId="5F8F0329" w:rsidR="009A3CB8" w:rsidRDefault="009F09F6" w:rsidP="009A3CB8">
      <w:pPr>
        <w:pStyle w:val="EFSABodytext"/>
        <w:numPr>
          <w:ilvl w:val="0"/>
          <w:numId w:val="57"/>
        </w:numPr>
        <w:jc w:val="left"/>
        <w:rPr>
          <w:rFonts w:eastAsiaTheme="minorEastAsia"/>
        </w:rPr>
      </w:pPr>
      <w:r w:rsidRPr="00516928">
        <w:rPr>
          <w:rFonts w:eastAsiaTheme="minorEastAsia"/>
        </w:rPr>
        <w:t xml:space="preserve">P1: </w:t>
      </w:r>
      <w:r w:rsidR="00AC58C5" w:rsidRPr="00923EAD">
        <w:rPr>
          <w:rFonts w:eastAsiaTheme="minorEastAsia"/>
        </w:rPr>
        <w:t xml:space="preserve">the </w:t>
      </w:r>
      <w:r w:rsidR="0017266A" w:rsidRPr="00923EAD">
        <w:rPr>
          <w:rFonts w:eastAsiaTheme="minorEastAsia"/>
        </w:rPr>
        <w:t xml:space="preserve">median </w:t>
      </w:r>
      <w:r w:rsidR="00AC58C5" w:rsidRPr="007D3E9D">
        <w:rPr>
          <w:rFonts w:eastAsiaTheme="minorEastAsia"/>
        </w:rPr>
        <w:t>can only take</w:t>
      </w:r>
      <w:r w:rsidR="00AC58C5">
        <w:rPr>
          <w:rFonts w:eastAsiaTheme="minorEastAsia"/>
        </w:rPr>
        <w:t xml:space="preserve"> positive values</w:t>
      </w:r>
      <w:r w:rsidR="009A3CB8">
        <w:rPr>
          <w:rFonts w:eastAsiaTheme="minorEastAsia"/>
        </w:rPr>
        <w:t xml:space="preserve"> </w:t>
      </w:r>
      <w:r w:rsidR="00EB020D">
        <w:rPr>
          <w:rFonts w:eastAsiaTheme="minorEastAsia"/>
        </w:rPr>
        <w:t>(</w:t>
      </w:r>
      <w:proofErr w:type="gramStart"/>
      <w:r w:rsidR="009A3CB8" w:rsidRPr="009A3CB8">
        <w:rPr>
          <w:rFonts w:eastAsiaTheme="minorEastAsia"/>
        </w:rPr>
        <w:t>e.g.</w:t>
      </w:r>
      <w:proofErr w:type="gramEnd"/>
      <w:r w:rsidR="009A3CB8" w:rsidRPr="009A3CB8">
        <w:rPr>
          <w:rFonts w:eastAsiaTheme="minorEastAsia"/>
        </w:rPr>
        <w:t xml:space="preserve"> </w:t>
      </w:r>
      <w:r w:rsidR="009A3CB8">
        <w:rPr>
          <w:rFonts w:eastAsiaTheme="minorEastAsia"/>
        </w:rPr>
        <w:t xml:space="preserve">a </w:t>
      </w:r>
      <w:r w:rsidR="00EB020D">
        <w:rPr>
          <w:rFonts w:eastAsiaTheme="minorEastAsia"/>
        </w:rPr>
        <w:t>median</w:t>
      </w:r>
      <w:r w:rsidR="000C431C">
        <w:rPr>
          <w:rFonts w:eastAsiaTheme="minorEastAsia"/>
        </w:rPr>
        <w:t xml:space="preserve"> </w:t>
      </w:r>
      <w:r w:rsidR="009A3CB8" w:rsidRPr="009A3CB8">
        <w:rPr>
          <w:rFonts w:eastAsiaTheme="minorEastAsia"/>
        </w:rPr>
        <w:t>organ weight cannot be ≤ 0</w:t>
      </w:r>
      <w:r w:rsidR="00EB020D">
        <w:rPr>
          <w:rFonts w:eastAsiaTheme="minorEastAsia"/>
        </w:rPr>
        <w:t>)</w:t>
      </w:r>
      <w:r w:rsidR="005E1C44">
        <w:rPr>
          <w:rFonts w:eastAsiaTheme="minorEastAsia"/>
        </w:rPr>
        <w:t>, so</w:t>
      </w:r>
    </w:p>
    <w:p w14:paraId="612F0037" w14:textId="3E304769" w:rsidR="005E1C44" w:rsidRDefault="0005557D" w:rsidP="005E1C44">
      <w:pPr>
        <w:pStyle w:val="EFSABodytext"/>
        <w:numPr>
          <w:ilvl w:val="1"/>
          <w:numId w:val="57"/>
        </w:numPr>
        <w:jc w:val="left"/>
        <w:rPr>
          <w:rFonts w:eastAsiaTheme="minorEastAsia"/>
        </w:rPr>
      </w:pP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&gt;0</m:t>
        </m:r>
      </m:oMath>
      <w:r w:rsidR="005E1C44">
        <w:rPr>
          <w:rFonts w:eastAsiaTheme="minorEastAsia"/>
        </w:rPr>
        <w:t xml:space="preserve"> </w:t>
      </w:r>
      <w:r w:rsidR="00E550F2">
        <w:rPr>
          <w:rFonts w:eastAsiaTheme="minorEastAsia"/>
        </w:rPr>
        <w:t>if</w:t>
      </w:r>
      <w:r w:rsidR="009852D5">
        <w:rPr>
          <w:rFonts w:eastAsiaTheme="minorEastAsia"/>
        </w:rPr>
        <w:t xml:space="preserve"> </w:t>
      </w:r>
      <w:r w:rsidR="00455219">
        <w:rPr>
          <w:rFonts w:eastAsiaTheme="minorEastAsia"/>
        </w:rPr>
        <w:t>a normally distributed endpoint</w:t>
      </w:r>
      <w:r w:rsidR="009852D5">
        <w:rPr>
          <w:rFonts w:eastAsiaTheme="minorEastAsia"/>
        </w:rPr>
        <w:t xml:space="preserve"> is </w:t>
      </w:r>
      <w:proofErr w:type="gramStart"/>
      <w:r w:rsidR="009852D5">
        <w:rPr>
          <w:rFonts w:eastAsiaTheme="minorEastAsia"/>
        </w:rPr>
        <w:t>considered</w:t>
      </w:r>
      <w:r w:rsidR="001F1B40">
        <w:rPr>
          <w:rFonts w:eastAsiaTheme="minorEastAsia"/>
        </w:rPr>
        <w:t>;</w:t>
      </w:r>
      <w:proofErr w:type="gramEnd"/>
    </w:p>
    <w:p w14:paraId="6D221681" w14:textId="35125CE9" w:rsidR="00455219" w:rsidRPr="009A3CB8" w:rsidRDefault="00C7248B" w:rsidP="00DE30D2">
      <w:pPr>
        <w:pStyle w:val="EFSABodytext"/>
        <w:numPr>
          <w:ilvl w:val="1"/>
          <w:numId w:val="57"/>
        </w:numPr>
        <w:jc w:val="left"/>
        <w:rPr>
          <w:rFonts w:eastAsiaTheme="minorEastAsia"/>
        </w:rPr>
      </w:pPr>
      <w:r>
        <w:rPr>
          <w:rFonts w:eastAsiaTheme="minorEastAsia"/>
        </w:rPr>
        <w:t>n</w:t>
      </w:r>
      <w:r w:rsidR="001F1B40">
        <w:rPr>
          <w:rFonts w:eastAsiaTheme="minorEastAsia"/>
        </w:rPr>
        <w:t>o constraint</w:t>
      </w:r>
      <w:r>
        <w:rPr>
          <w:rFonts w:eastAsiaTheme="minorEastAsia"/>
        </w:rPr>
        <w:t xml:space="preserve"> on values of </w:t>
      </w: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w:r w:rsidR="001F1B40">
        <w:rPr>
          <w:rFonts w:eastAsiaTheme="minorEastAsia"/>
        </w:rPr>
        <w:t xml:space="preserve"> for a log-normally distributed </w:t>
      </w:r>
      <w:proofErr w:type="gramStart"/>
      <w:r w:rsidR="001F1B40">
        <w:rPr>
          <w:rFonts w:eastAsiaTheme="minorEastAsia"/>
        </w:rPr>
        <w:t>endpoint;</w:t>
      </w:r>
      <w:proofErr w:type="gramEnd"/>
    </w:p>
    <w:p w14:paraId="74C42C01" w14:textId="62912199" w:rsidR="00354EB5" w:rsidRPr="00354EB5" w:rsidRDefault="009F09F6" w:rsidP="001B7A30">
      <w:pPr>
        <w:pStyle w:val="EFSABodytext"/>
        <w:numPr>
          <w:ilvl w:val="0"/>
          <w:numId w:val="57"/>
        </w:numPr>
        <w:jc w:val="left"/>
        <w:rPr>
          <w:rFonts w:eastAsiaTheme="minorEastAsia"/>
        </w:rPr>
      </w:pPr>
      <w:r>
        <w:rPr>
          <w:rFonts w:eastAsiaTheme="minorEastAsia"/>
        </w:rPr>
        <w:t xml:space="preserve">P2: </w:t>
      </w:r>
      <w:r w:rsidR="00985D11">
        <w:rPr>
          <w:rFonts w:eastAsiaTheme="minorEastAsia"/>
        </w:rPr>
        <w:t>they are monotone increasing or decreasing</w:t>
      </w:r>
      <w:r w:rsidR="00445A1B">
        <w:rPr>
          <w:rFonts w:eastAsiaTheme="minorEastAsia"/>
        </w:rPr>
        <w:t xml:space="preserve">, </w:t>
      </w:r>
      <w:r w:rsidR="004F73EA">
        <w:rPr>
          <w:rFonts w:eastAsiaTheme="minorEastAsia"/>
        </w:rPr>
        <w:t xml:space="preserve">for both </w:t>
      </w:r>
      <w:proofErr w:type="gramStart"/>
      <w:r w:rsidR="00445A1B">
        <w:rPr>
          <w:rFonts w:eastAsiaTheme="minorEastAsia"/>
        </w:rPr>
        <w:t>distribution</w:t>
      </w:r>
      <w:r w:rsidR="004F73EA">
        <w:rPr>
          <w:rFonts w:eastAsiaTheme="minorEastAsia"/>
        </w:rPr>
        <w:t>s</w:t>
      </w:r>
      <w:r w:rsidR="00985D11">
        <w:rPr>
          <w:rFonts w:eastAsiaTheme="minorEastAsia"/>
        </w:rPr>
        <w:t>;</w:t>
      </w:r>
      <w:proofErr w:type="gramEnd"/>
    </w:p>
    <w:p w14:paraId="5DEB36DB" w14:textId="74C2D401" w:rsidR="00E16C7F" w:rsidRDefault="009F4588" w:rsidP="00985D11">
      <w:pPr>
        <w:pStyle w:val="EFSABodytext"/>
        <w:numPr>
          <w:ilvl w:val="0"/>
          <w:numId w:val="57"/>
        </w:numPr>
        <w:jc w:val="left"/>
        <w:rPr>
          <w:rFonts w:eastAsiaTheme="minorEastAsia"/>
        </w:rPr>
      </w:pPr>
      <w:r>
        <w:rPr>
          <w:rFonts w:eastAsiaTheme="minorEastAsia"/>
        </w:rPr>
        <w:t xml:space="preserve">P3: </w:t>
      </w:r>
      <w:r w:rsidR="004F4209">
        <w:rPr>
          <w:rFonts w:eastAsiaTheme="minorEastAsia"/>
        </w:rPr>
        <w:t xml:space="preserve">they are continuous functions of dose </w:t>
      </w:r>
      <m:oMath>
        <m:r>
          <w:rPr>
            <w:rFonts w:ascii="Cambria Math" w:eastAsiaTheme="minorEastAsia" w:hAnsi="Cambria Math"/>
          </w:rPr>
          <m:t>x</m:t>
        </m:r>
      </m:oMath>
      <w:r w:rsidR="0005557D">
        <w:rPr>
          <w:rFonts w:eastAsiaTheme="minorEastAsia"/>
        </w:rPr>
        <w:t xml:space="preserve">, </w:t>
      </w:r>
      <w:r w:rsidR="001F4265">
        <w:rPr>
          <w:rFonts w:eastAsiaTheme="minorEastAsia"/>
        </w:rPr>
        <w:t>for both</w:t>
      </w:r>
      <w:r w:rsidR="0005557D">
        <w:rPr>
          <w:rFonts w:eastAsiaTheme="minorEastAsia"/>
        </w:rPr>
        <w:t xml:space="preserve"> </w:t>
      </w:r>
      <w:proofErr w:type="gramStart"/>
      <w:r w:rsidR="0005557D">
        <w:rPr>
          <w:rFonts w:eastAsiaTheme="minorEastAsia"/>
        </w:rPr>
        <w:t>distribution</w:t>
      </w:r>
      <w:r w:rsidR="001F4265">
        <w:rPr>
          <w:rFonts w:eastAsiaTheme="minorEastAsia"/>
        </w:rPr>
        <w:t>s</w:t>
      </w:r>
      <w:r w:rsidR="004F4209">
        <w:rPr>
          <w:rFonts w:eastAsiaTheme="minorEastAsia"/>
        </w:rPr>
        <w:t>;</w:t>
      </w:r>
      <w:proofErr w:type="gramEnd"/>
    </w:p>
    <w:p w14:paraId="24D924AA" w14:textId="660795A8" w:rsidR="00985D11" w:rsidRPr="00754A59" w:rsidRDefault="009F4588" w:rsidP="00985D11">
      <w:pPr>
        <w:pStyle w:val="EFSABodytext"/>
        <w:numPr>
          <w:ilvl w:val="0"/>
          <w:numId w:val="57"/>
        </w:numPr>
        <w:jc w:val="left"/>
        <w:rPr>
          <w:rFonts w:eastAsiaTheme="minorEastAsia"/>
        </w:rPr>
      </w:pPr>
      <w:r>
        <w:rPr>
          <w:rFonts w:eastAsiaTheme="minorEastAsia"/>
        </w:rPr>
        <w:t xml:space="preserve">P4: </w:t>
      </w:r>
      <w:r w:rsidR="00985D11">
        <w:rPr>
          <w:rFonts w:eastAsiaTheme="minorEastAsia"/>
        </w:rPr>
        <w:t xml:space="preserve">they reach a horizontal asymptote for very high dose levels (mathematically </w:t>
      </w:r>
      <m:oMath>
        <m:r>
          <w:rPr>
            <w:rFonts w:ascii="Cambria Math" w:eastAsiaTheme="minorEastAsia" w:hAnsi="Cambria Math"/>
          </w:rPr>
          <m:t>x →∞</m:t>
        </m:r>
      </m:oMath>
      <w:r w:rsidR="00985D11">
        <w:rPr>
          <w:rFonts w:eastAsiaTheme="minorEastAsia"/>
        </w:rPr>
        <w:t>)</w:t>
      </w:r>
      <w:r w:rsidR="00EB020D">
        <w:rPr>
          <w:rFonts w:eastAsiaTheme="minorEastAsia"/>
        </w:rPr>
        <w:t xml:space="preserve">, </w:t>
      </w:r>
      <w:r w:rsidR="00A31CB3">
        <w:rPr>
          <w:rFonts w:eastAsiaTheme="minorEastAsia"/>
        </w:rPr>
        <w:t>for both</w:t>
      </w:r>
      <w:r w:rsidR="00EB020D">
        <w:rPr>
          <w:rFonts w:eastAsiaTheme="minorEastAsia"/>
        </w:rPr>
        <w:t xml:space="preserve"> distribution</w:t>
      </w:r>
      <w:r w:rsidR="00A31CB3">
        <w:rPr>
          <w:rFonts w:eastAsiaTheme="minorEastAsia"/>
        </w:rPr>
        <w:t>s</w:t>
      </w:r>
      <w:r w:rsidR="001B7A30">
        <w:rPr>
          <w:rFonts w:eastAsiaTheme="minorEastAsia"/>
        </w:rPr>
        <w:t>, such that</w:t>
      </w:r>
      <w:r w:rsidR="00985D11" w:rsidRPr="00754A59">
        <w:rPr>
          <w:rFonts w:eastAsiaTheme="minorEastAsia"/>
        </w:rPr>
        <w:t xml:space="preserve"> </w:t>
      </w:r>
      <w:r w:rsidR="001B7A30" w:rsidRPr="00367B5F">
        <w:t>they are suitable for data that l</w:t>
      </w:r>
      <w:r w:rsidR="001B7A30">
        <w:t>evel off to a maximum response</w:t>
      </w:r>
      <w:r w:rsidR="006534AA">
        <w:t>.</w:t>
      </w:r>
    </w:p>
    <w:p w14:paraId="657D5FA1" w14:textId="77777777" w:rsidR="00B93EA5" w:rsidRDefault="00B93EA5" w:rsidP="00985D11">
      <w:pPr>
        <w:pStyle w:val="EFSABodytext"/>
        <w:jc w:val="left"/>
        <w:rPr>
          <w:rFonts w:eastAsiaTheme="minorEastAsia"/>
        </w:rPr>
      </w:pPr>
    </w:p>
    <w:p w14:paraId="6C825318" w14:textId="3F619D85" w:rsidR="00C27C13" w:rsidRDefault="006534AA" w:rsidP="16C32168">
      <w:pPr>
        <w:pStyle w:val="EFSABodytext"/>
        <w:rPr>
          <w:rFonts w:eastAsiaTheme="minorEastAsia"/>
        </w:rPr>
      </w:pPr>
      <w:r w:rsidRPr="16C32168">
        <w:rPr>
          <w:rFonts w:eastAsiaTheme="minorEastAsia"/>
        </w:rPr>
        <w:t xml:space="preserve">In the next paragraphs, </w:t>
      </w:r>
      <w:r w:rsidR="00B93EA5" w:rsidRPr="16C32168">
        <w:rPr>
          <w:rFonts w:eastAsiaTheme="minorEastAsia"/>
        </w:rPr>
        <w:t>three families of models (</w:t>
      </w:r>
      <w:r w:rsidRPr="16C32168">
        <w:rPr>
          <w:rFonts w:eastAsiaTheme="minorEastAsia"/>
        </w:rPr>
        <w:t>1a</w:t>
      </w:r>
      <w:r w:rsidR="00B93EA5" w:rsidRPr="16C32168">
        <w:rPr>
          <w:rFonts w:eastAsiaTheme="minorEastAsia"/>
        </w:rPr>
        <w:t>,</w:t>
      </w:r>
      <w:r w:rsidRPr="16C32168">
        <w:rPr>
          <w:rFonts w:eastAsiaTheme="minorEastAsia"/>
        </w:rPr>
        <w:t xml:space="preserve"> 1b and 2</w:t>
      </w:r>
      <w:r w:rsidR="00B93EA5" w:rsidRPr="16C32168">
        <w:rPr>
          <w:rFonts w:eastAsiaTheme="minorEastAsia"/>
        </w:rPr>
        <w:t>)</w:t>
      </w:r>
      <w:r w:rsidRPr="16C32168">
        <w:rPr>
          <w:rFonts w:eastAsiaTheme="minorEastAsia"/>
        </w:rPr>
        <w:t xml:space="preserve"> are introduced. </w:t>
      </w:r>
      <w:r w:rsidR="001352E2" w:rsidRPr="16C32168">
        <w:rPr>
          <w:rFonts w:eastAsiaTheme="minorEastAsia"/>
        </w:rPr>
        <w:t>All m</w:t>
      </w:r>
      <w:r w:rsidRPr="16C32168">
        <w:rPr>
          <w:rFonts w:eastAsiaTheme="minorEastAsia"/>
        </w:rPr>
        <w:t xml:space="preserve">embers of these families </w:t>
      </w:r>
      <w:r w:rsidR="001352E2" w:rsidRPr="16C32168">
        <w:rPr>
          <w:rFonts w:eastAsiaTheme="minorEastAsia"/>
        </w:rPr>
        <w:t xml:space="preserve">are flexible 4-parameter non-linear models, and all </w:t>
      </w:r>
      <w:r w:rsidR="00F0301C" w:rsidRPr="16C32168">
        <w:rPr>
          <w:rFonts w:eastAsiaTheme="minorEastAsia"/>
        </w:rPr>
        <w:t xml:space="preserve">share the basic properties P1-P4. </w:t>
      </w:r>
      <w:r w:rsidR="00C27C13" w:rsidRPr="16C32168">
        <w:rPr>
          <w:rFonts w:eastAsiaTheme="minorEastAsia"/>
        </w:rPr>
        <w:t>The above-mentioned 8 candidate models have been selected from these three families. This selection incorporates the familiar exponential and Hill model from the previous guidance</w:t>
      </w:r>
      <w:r w:rsidR="003F63A5">
        <w:rPr>
          <w:rFonts w:eastAsiaTheme="minorEastAsia"/>
        </w:rPr>
        <w:t xml:space="preserve"> (EFSA SC, 2017)</w:t>
      </w:r>
      <w:r w:rsidR="00C27C13" w:rsidRPr="16C32168">
        <w:rPr>
          <w:rFonts w:eastAsiaTheme="minorEastAsia"/>
        </w:rPr>
        <w:t>, and extends it with alternative flexible models leading to a unification of models across both type of endpoints, continuous or quantal</w:t>
      </w:r>
      <w:r w:rsidR="00973E6E" w:rsidRPr="16C32168">
        <w:rPr>
          <w:rFonts w:eastAsiaTheme="minorEastAsia"/>
        </w:rPr>
        <w:t>.</w:t>
      </w:r>
      <w:r w:rsidR="00C27C13" w:rsidRPr="16C32168">
        <w:rPr>
          <w:rFonts w:eastAsiaTheme="minorEastAsia"/>
        </w:rPr>
        <w:t xml:space="preserve">  </w:t>
      </w:r>
    </w:p>
    <w:p w14:paraId="39438B25" w14:textId="5275400F" w:rsidR="00B93EA5" w:rsidRDefault="001352E2" w:rsidP="00B93EA5">
      <w:pPr>
        <w:pStyle w:val="EFSABodytext"/>
        <w:rPr>
          <w:rFonts w:eastAsiaTheme="minorEastAsia"/>
        </w:rPr>
      </w:pPr>
      <w:r>
        <w:rPr>
          <w:rFonts w:eastAsiaTheme="minorEastAsia"/>
        </w:rPr>
        <w:t>The model structure of Family 1a</w:t>
      </w:r>
      <w:r w:rsidR="00F810C9">
        <w:rPr>
          <w:rFonts w:eastAsiaTheme="minorEastAsia"/>
        </w:rPr>
        <w:t>/</w:t>
      </w:r>
      <w:r>
        <w:rPr>
          <w:rFonts w:eastAsiaTheme="minorEastAsia"/>
        </w:rPr>
        <w:t xml:space="preserve">b and Family 2 is fundamentally different. The general structure of Family 1a and 1b with the central role of the median background response and the maximum change in median response (parameter </w:t>
      </w:r>
      <w:r w:rsidRPr="00C27C13">
        <w:rPr>
          <w:rFonts w:eastAsiaTheme="minorEastAsia"/>
          <w:i/>
          <w:iCs/>
        </w:rPr>
        <w:t>a</w:t>
      </w:r>
      <w:r>
        <w:rPr>
          <w:rFonts w:eastAsiaTheme="minorEastAsia"/>
        </w:rPr>
        <w:t xml:space="preserve"> and </w:t>
      </w:r>
      <w:r w:rsidRPr="00C27C13">
        <w:rPr>
          <w:rFonts w:eastAsiaTheme="minorEastAsia"/>
          <w:i/>
          <w:iCs/>
        </w:rPr>
        <w:t>c</w:t>
      </w:r>
      <w:r>
        <w:rPr>
          <w:rFonts w:eastAsiaTheme="minorEastAsia"/>
        </w:rPr>
        <w:t xml:space="preserve">) is identical, but the two other parameters </w:t>
      </w:r>
      <w:r w:rsidRPr="00C27C13">
        <w:rPr>
          <w:rFonts w:eastAsiaTheme="minorEastAsia"/>
          <w:i/>
          <w:iCs/>
        </w:rPr>
        <w:t>b</w:t>
      </w:r>
      <w:r>
        <w:rPr>
          <w:rFonts w:eastAsiaTheme="minorEastAsia"/>
        </w:rPr>
        <w:t xml:space="preserve"> and </w:t>
      </w:r>
      <w:r w:rsidRPr="00C27C13">
        <w:rPr>
          <w:rFonts w:eastAsiaTheme="minorEastAsia"/>
          <w:i/>
          <w:iCs/>
        </w:rPr>
        <w:t>d</w:t>
      </w:r>
      <w:r>
        <w:rPr>
          <w:rFonts w:eastAsiaTheme="minorEastAsia"/>
        </w:rPr>
        <w:t xml:space="preserve"> operate functionally differently in both subfamilies. </w:t>
      </w:r>
    </w:p>
    <w:p w14:paraId="58CD4233" w14:textId="77777777" w:rsidR="00E37B6F" w:rsidRDefault="00E37B6F" w:rsidP="00B93EA5">
      <w:pPr>
        <w:pStyle w:val="EFSABodytext"/>
        <w:rPr>
          <w:rFonts w:eastAsiaTheme="minorEastAsia"/>
        </w:rPr>
      </w:pPr>
    </w:p>
    <w:p w14:paraId="41BB3288" w14:textId="371D5C02" w:rsidR="00985D11" w:rsidRDefault="00985D11" w:rsidP="00985D11">
      <w:pPr>
        <w:pStyle w:val="EFSABodytext"/>
        <w:numPr>
          <w:ilvl w:val="0"/>
          <w:numId w:val="63"/>
        </w:numPr>
        <w:jc w:val="left"/>
        <w:rPr>
          <w:rFonts w:eastAsiaTheme="minorEastAsia"/>
        </w:rPr>
      </w:pPr>
      <w:r w:rsidRPr="00DE30D2">
        <w:rPr>
          <w:rFonts w:eastAsiaTheme="minorEastAsia"/>
          <w:b/>
          <w:bCs/>
        </w:rPr>
        <w:t>Family 1a and 1b</w:t>
      </w:r>
      <w:r>
        <w:rPr>
          <w:rFonts w:eastAsiaTheme="minorEastAsia"/>
        </w:rPr>
        <w:t xml:space="preserve">: </w:t>
      </w:r>
      <w:r w:rsidRPr="7EBCF9D8">
        <w:rPr>
          <w:rFonts w:eastAsiaTheme="minorEastAsia"/>
        </w:rPr>
        <w:t>all</w:t>
      </w:r>
      <w:r>
        <w:rPr>
          <w:rFonts w:eastAsiaTheme="minorEastAsia"/>
        </w:rPr>
        <w:t xml:space="preserve"> models for </w:t>
      </w: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w:r>
        <w:rPr>
          <w:rFonts w:eastAsiaTheme="minorEastAsia"/>
        </w:rPr>
        <w:t xml:space="preserve"> have the following structure</w:t>
      </w:r>
    </w:p>
    <w:p w14:paraId="7C5F8440" w14:textId="77777777" w:rsidR="001B2963" w:rsidRDefault="001B2963" w:rsidP="00DE30D2">
      <w:pPr>
        <w:pStyle w:val="EFSABodytext"/>
        <w:ind w:left="720"/>
        <w:jc w:val="left"/>
        <w:rPr>
          <w:rFonts w:eastAsiaTheme="minorEastAsia"/>
        </w:rPr>
      </w:pPr>
    </w:p>
    <w:p w14:paraId="458E6000" w14:textId="234A0612" w:rsidR="00985D11" w:rsidRPr="001B2963" w:rsidRDefault="00985D11" w:rsidP="00985D11">
      <w:pPr>
        <w:pStyle w:val="EFSABodytext"/>
        <w:jc w:val="center"/>
        <w:rPr>
          <w:rFonts w:eastAsiaTheme="minorEastAsia"/>
        </w:rPr>
      </w:pPr>
      <m:oMathPara>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 xml:space="preserve"> = a(1+(c-1)F(x;b,d)),  b,d&gt;0, </m:t>
          </m:r>
        </m:oMath>
      </m:oMathPara>
    </w:p>
    <w:p w14:paraId="72E25E0F" w14:textId="77777777" w:rsidR="001B2963" w:rsidRPr="00D67918" w:rsidRDefault="001B2963" w:rsidP="00985D11">
      <w:pPr>
        <w:pStyle w:val="EFSABodytext"/>
        <w:jc w:val="center"/>
        <w:rPr>
          <w:rFonts w:eastAsiaTheme="minorEastAsia"/>
        </w:rPr>
      </w:pPr>
    </w:p>
    <w:p w14:paraId="507021A8" w14:textId="084745B7" w:rsidR="0062422D" w:rsidRDefault="0062422D" w:rsidP="00A561D1">
      <w:pPr>
        <w:pStyle w:val="EFSABodytext"/>
        <w:ind w:left="720"/>
        <w:jc w:val="left"/>
        <w:rPr>
          <w:rFonts w:eastAsiaTheme="minorEastAsia"/>
        </w:rPr>
      </w:pPr>
      <w:r>
        <w:rPr>
          <w:rFonts w:eastAsiaTheme="minorEastAsia"/>
        </w:rPr>
        <w:t xml:space="preserve">for some particular but known function </w:t>
      </w:r>
      <m:oMath>
        <m:r>
          <w:rPr>
            <w:rFonts w:ascii="Cambria Math" w:eastAsiaTheme="minorEastAsia" w:hAnsi="Cambria Math"/>
          </w:rPr>
          <m:t>F</m:t>
        </m:r>
      </m:oMath>
      <w:r>
        <w:rPr>
          <w:rFonts w:eastAsiaTheme="minorEastAsia"/>
        </w:rPr>
        <w:t>, having the properties:</w:t>
      </w:r>
    </w:p>
    <w:p w14:paraId="2A85FC49" w14:textId="628E857A" w:rsidR="0062422D" w:rsidRDefault="0062422D" w:rsidP="0062422D">
      <w:pPr>
        <w:pStyle w:val="EFSABodytext"/>
        <w:numPr>
          <w:ilvl w:val="0"/>
          <w:numId w:val="68"/>
        </w:numPr>
        <w:ind w:hanging="270"/>
        <w:jc w:val="left"/>
        <w:rPr>
          <w:rFonts w:eastAsiaTheme="minorEastAsia"/>
        </w:rPr>
      </w:pPr>
      <w:r>
        <w:rPr>
          <w:rFonts w:eastAsiaTheme="minorEastAsia"/>
        </w:rPr>
        <w:t xml:space="preserve">defined for </w:t>
      </w:r>
      <m:oMath>
        <m:r>
          <w:rPr>
            <w:rFonts w:ascii="Cambria Math" w:eastAsiaTheme="minorEastAsia" w:hAnsi="Cambria Math"/>
          </w:rPr>
          <m:t>x≥0</m:t>
        </m:r>
      </m:oMath>
      <w:r>
        <w:rPr>
          <w:rFonts w:eastAsiaTheme="minorEastAsia"/>
        </w:rPr>
        <w:t>;</w:t>
      </w:r>
    </w:p>
    <w:p w14:paraId="20928B05" w14:textId="3DF4ED69" w:rsidR="0062422D" w:rsidRDefault="0062422D" w:rsidP="0062422D">
      <w:pPr>
        <w:pStyle w:val="EFSABodytext"/>
        <w:numPr>
          <w:ilvl w:val="0"/>
          <w:numId w:val="68"/>
        </w:numPr>
        <w:ind w:hanging="270"/>
        <w:jc w:val="left"/>
        <w:rPr>
          <w:rFonts w:eastAsiaTheme="minorEastAsia"/>
        </w:rPr>
      </w:pPr>
      <w:r>
        <w:rPr>
          <w:rFonts w:eastAsiaTheme="minorEastAsia"/>
        </w:rPr>
        <w:t xml:space="preserve">monotone </w:t>
      </w:r>
      <w:proofErr w:type="gramStart"/>
      <w:r>
        <w:rPr>
          <w:rFonts w:eastAsiaTheme="minorEastAsia"/>
        </w:rPr>
        <w:t>increasing;</w:t>
      </w:r>
      <w:proofErr w:type="gramEnd"/>
    </w:p>
    <w:p w14:paraId="7844A949" w14:textId="0BB0C705" w:rsidR="0062422D" w:rsidRDefault="0062422D" w:rsidP="00DE30D2">
      <w:pPr>
        <w:pStyle w:val="EFSABodytext"/>
        <w:numPr>
          <w:ilvl w:val="0"/>
          <w:numId w:val="68"/>
        </w:numPr>
        <w:ind w:hanging="270"/>
        <w:jc w:val="left"/>
        <w:rPr>
          <w:rFonts w:eastAsiaTheme="minorEastAsia"/>
        </w:rPr>
      </w:pPr>
      <m:oMath>
        <m:r>
          <w:rPr>
            <w:rFonts w:ascii="Cambria Math" w:eastAsiaTheme="minorEastAsia" w:hAnsi="Cambria Math"/>
          </w:rPr>
          <m:t>F(0;b,d)=0</m:t>
        </m:r>
      </m:oMath>
      <w:r>
        <w:rPr>
          <w:rFonts w:eastAsiaTheme="minorEastAsia"/>
        </w:rPr>
        <w:t xml:space="preserve"> and </w:t>
      </w:r>
      <m:oMath>
        <m:r>
          <w:rPr>
            <w:rFonts w:ascii="Cambria Math" w:eastAsiaTheme="minorEastAsia" w:hAnsi="Cambria Math"/>
          </w:rPr>
          <m:t>F(∞;b,d) =1</m:t>
        </m:r>
      </m:oMath>
      <w:r>
        <w:rPr>
          <w:rFonts w:eastAsiaTheme="minorEastAsia"/>
        </w:rPr>
        <w:t xml:space="preserve"> regardless the values of </w:t>
      </w:r>
      <m:oMath>
        <m:r>
          <w:rPr>
            <w:rFonts w:ascii="Cambria Math" w:eastAsiaTheme="minorEastAsia" w:hAnsi="Cambria Math"/>
          </w:rPr>
          <m:t>b</m:t>
        </m:r>
      </m:oMath>
      <w:r w:rsidRPr="003704B0">
        <w:rPr>
          <w:rFonts w:eastAsiaTheme="minorEastAsia"/>
        </w:rPr>
        <w:t xml:space="preserve"> and </w:t>
      </w:r>
      <m:oMath>
        <m:r>
          <w:rPr>
            <w:rFonts w:ascii="Cambria Math" w:eastAsiaTheme="minorEastAsia" w:hAnsi="Cambria Math"/>
          </w:rPr>
          <m:t>d</m:t>
        </m:r>
      </m:oMath>
      <w:r>
        <w:rPr>
          <w:rFonts w:eastAsiaTheme="minorEastAsia"/>
        </w:rPr>
        <w:t>.</w:t>
      </w:r>
    </w:p>
    <w:p w14:paraId="36734098" w14:textId="330060E3" w:rsidR="00042D9D" w:rsidRDefault="006461B5" w:rsidP="00A561D1">
      <w:pPr>
        <w:pStyle w:val="EFSABodytext"/>
        <w:ind w:left="720"/>
        <w:jc w:val="left"/>
        <w:rPr>
          <w:rFonts w:eastAsiaTheme="minorEastAsia"/>
        </w:rPr>
      </w:pPr>
      <w:r>
        <w:rPr>
          <w:rFonts w:eastAsiaTheme="minorEastAsia"/>
        </w:rPr>
        <w:t xml:space="preserve">For all members of Family 1a, the parameter </w:t>
      </w:r>
      <m:oMath>
        <m:r>
          <w:rPr>
            <w:rFonts w:ascii="Cambria Math" w:eastAsiaTheme="minorEastAsia" w:hAnsi="Cambria Math"/>
          </w:rPr>
          <m:t>d</m:t>
        </m:r>
      </m:oMath>
      <w:r>
        <w:rPr>
          <w:rFonts w:eastAsiaTheme="minorEastAsia"/>
        </w:rPr>
        <w:t xml:space="preserve"> acts as a power </w:t>
      </w:r>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d</m:t>
            </m:r>
          </m:sup>
        </m:sSup>
      </m:oMath>
      <w:r>
        <w:rPr>
          <w:rFonts w:eastAsiaTheme="minorEastAsia"/>
        </w:rPr>
        <w:t>, whereas it</w:t>
      </w:r>
      <w:r w:rsidR="00A561D1">
        <w:rPr>
          <w:rFonts w:eastAsiaTheme="minorEastAsia"/>
        </w:rPr>
        <w:t xml:space="preserve"> operates differently in Family 1b (see </w:t>
      </w:r>
      <w:r w:rsidR="00A561D1" w:rsidRPr="00FC173E">
        <w:rPr>
          <w:rFonts w:eastAsiaTheme="minorEastAsia"/>
        </w:rPr>
        <w:t xml:space="preserve">Table </w:t>
      </w:r>
      <w:r w:rsidR="00A202E0" w:rsidRPr="00323293">
        <w:rPr>
          <w:rFonts w:eastAsiaTheme="minorEastAsia"/>
        </w:rPr>
        <w:t>2</w:t>
      </w:r>
      <w:r w:rsidR="00A561D1" w:rsidRPr="00323293">
        <w:rPr>
          <w:rFonts w:eastAsiaTheme="minorEastAsia"/>
        </w:rPr>
        <w:t>).</w:t>
      </w:r>
      <w:r w:rsidRPr="00323293">
        <w:rPr>
          <w:rFonts w:eastAsiaTheme="minorEastAsia"/>
        </w:rPr>
        <w:t xml:space="preserve"> </w:t>
      </w:r>
      <w:r w:rsidR="007753F8" w:rsidRPr="00323293">
        <w:rPr>
          <w:rFonts w:eastAsiaTheme="minorEastAsia"/>
        </w:rPr>
        <w:t>The</w:t>
      </w:r>
      <w:r w:rsidR="007753F8">
        <w:rPr>
          <w:rFonts w:eastAsiaTheme="minorEastAsia"/>
        </w:rPr>
        <w:t xml:space="preserve"> parameters </w:t>
      </w:r>
      <m:oMath>
        <m:r>
          <w:rPr>
            <w:rFonts w:ascii="Cambria Math" w:eastAsiaTheme="minorEastAsia" w:hAnsi="Cambria Math"/>
          </w:rPr>
          <m:t>a,b, c,d</m:t>
        </m:r>
      </m:oMath>
      <w:r w:rsidR="007753F8">
        <w:rPr>
          <w:rFonts w:eastAsiaTheme="minorEastAsia"/>
        </w:rPr>
        <w:t xml:space="preserve"> have a </w:t>
      </w:r>
      <w:r w:rsidR="00042D9D">
        <w:rPr>
          <w:rFonts w:eastAsiaTheme="minorEastAsia"/>
        </w:rPr>
        <w:t>particular interpretation</w:t>
      </w:r>
      <w:r w:rsidR="0064116C">
        <w:rPr>
          <w:rFonts w:eastAsiaTheme="minorEastAsia"/>
        </w:rPr>
        <w:t>:</w:t>
      </w:r>
    </w:p>
    <w:p w14:paraId="31C2B707" w14:textId="0F8E8B15" w:rsidR="009C05F3" w:rsidRPr="009C05F3" w:rsidRDefault="00042D9D" w:rsidP="00042D9D">
      <w:pPr>
        <w:pStyle w:val="EFSABodytext"/>
        <w:numPr>
          <w:ilvl w:val="0"/>
          <w:numId w:val="67"/>
        </w:numPr>
        <w:jc w:val="left"/>
        <w:rPr>
          <w:rFonts w:eastAsiaTheme="minorEastAsia"/>
        </w:rPr>
      </w:pPr>
      <m:oMath>
        <m:r>
          <w:rPr>
            <w:rFonts w:ascii="Cambria Math" w:eastAsiaTheme="minorEastAsia" w:hAnsi="Cambria Math"/>
          </w:rPr>
          <m:t>a=μ</m:t>
        </m:r>
        <m:d>
          <m:dPr>
            <m:ctrlPr>
              <w:rPr>
                <w:rFonts w:ascii="Cambria Math" w:eastAsiaTheme="minorEastAsia" w:hAnsi="Cambria Math"/>
                <w:i/>
              </w:rPr>
            </m:ctrlPr>
          </m:dPr>
          <m:e>
            <m:r>
              <w:rPr>
                <w:rFonts w:ascii="Cambria Math" w:eastAsiaTheme="minorEastAsia" w:hAnsi="Cambria Math"/>
              </w:rPr>
              <m:t>0</m:t>
            </m:r>
          </m:e>
        </m:d>
      </m:oMath>
      <w:r>
        <w:rPr>
          <w:rFonts w:eastAsiaTheme="minorEastAsia"/>
        </w:rPr>
        <w:t xml:space="preserve"> </w:t>
      </w:r>
      <w:r w:rsidR="0040787E">
        <w:rPr>
          <w:rFonts w:eastAsiaTheme="minorEastAsia"/>
        </w:rPr>
        <w:t>is linked to</w:t>
      </w:r>
      <w:r>
        <w:rPr>
          <w:rFonts w:eastAsiaTheme="minorEastAsia"/>
        </w:rPr>
        <w:t xml:space="preserve"> the </w:t>
      </w:r>
      <w:r w:rsidRPr="00DE30D2">
        <w:rPr>
          <w:rFonts w:eastAsiaTheme="minorEastAsia"/>
          <w:b/>
          <w:bCs/>
        </w:rPr>
        <w:t xml:space="preserve">median background </w:t>
      </w:r>
      <w:proofErr w:type="gramStart"/>
      <w:r w:rsidRPr="00DE30D2">
        <w:rPr>
          <w:rFonts w:eastAsiaTheme="minorEastAsia"/>
          <w:b/>
          <w:bCs/>
        </w:rPr>
        <w:t>response</w:t>
      </w:r>
      <w:r w:rsidR="008318C8">
        <w:rPr>
          <w:rFonts w:eastAsiaTheme="minorEastAsia"/>
        </w:rPr>
        <w:t>;</w:t>
      </w:r>
      <w:proofErr w:type="gramEnd"/>
    </w:p>
    <w:p w14:paraId="1C99DB6C" w14:textId="6A7A5BB3" w:rsidR="00042D9D" w:rsidRPr="00DE30D2" w:rsidRDefault="00042D9D" w:rsidP="00042D9D">
      <w:pPr>
        <w:pStyle w:val="EFSABodytext"/>
        <w:numPr>
          <w:ilvl w:val="0"/>
          <w:numId w:val="67"/>
        </w:numPr>
        <w:jc w:val="left"/>
        <w:rPr>
          <w:rFonts w:eastAsiaTheme="minorEastAsia"/>
        </w:rPr>
      </w:pPr>
      <m:oMath>
        <m:r>
          <w:rPr>
            <w:rFonts w:ascii="Cambria Math" w:eastAsiaTheme="minorEastAsia" w:hAnsi="Cambria Math"/>
          </w:rPr>
          <m:t>c= μ</m:t>
        </m:r>
        <m:d>
          <m:dPr>
            <m:ctrlPr>
              <w:rPr>
                <w:rFonts w:ascii="Cambria Math" w:eastAsiaTheme="minorEastAsia" w:hAnsi="Cambria Math"/>
                <w:i/>
              </w:rPr>
            </m:ctrlPr>
          </m:dPr>
          <m:e>
            <m:r>
              <w:rPr>
                <w:rFonts w:ascii="Cambria Math" w:eastAsiaTheme="minorEastAsia" w:hAnsi="Cambria Math"/>
              </w:rPr>
              <m:t>∞</m:t>
            </m:r>
          </m:e>
        </m:d>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0</m:t>
            </m:r>
          </m:e>
        </m:d>
      </m:oMath>
      <w:r>
        <w:rPr>
          <w:rFonts w:eastAsiaTheme="minorEastAsia"/>
        </w:rPr>
        <w:t xml:space="preserve"> </w:t>
      </w:r>
      <w:r w:rsidR="00125458">
        <w:rPr>
          <w:rFonts w:eastAsiaTheme="minorEastAsia"/>
        </w:rPr>
        <w:t>is linked to</w:t>
      </w:r>
      <w:r w:rsidR="00F12F9D">
        <w:rPr>
          <w:rFonts w:eastAsiaTheme="minorEastAsia"/>
        </w:rPr>
        <w:t xml:space="preserve"> the</w:t>
      </w:r>
      <w:r>
        <w:rPr>
          <w:rFonts w:eastAsiaTheme="minorEastAsia"/>
        </w:rPr>
        <w:t xml:space="preserve"> </w:t>
      </w:r>
      <w:r w:rsidRPr="00DE30D2">
        <w:rPr>
          <w:rFonts w:eastAsiaTheme="minorEastAsia"/>
          <w:b/>
          <w:bCs/>
        </w:rPr>
        <w:t xml:space="preserve">maximum change in </w:t>
      </w:r>
      <w:r w:rsidR="009C05F3" w:rsidRPr="00DE30D2">
        <w:rPr>
          <w:rFonts w:eastAsiaTheme="minorEastAsia"/>
          <w:b/>
          <w:bCs/>
        </w:rPr>
        <w:t xml:space="preserve">median </w:t>
      </w:r>
      <w:r w:rsidRPr="00DE30D2">
        <w:rPr>
          <w:rFonts w:eastAsiaTheme="minorEastAsia"/>
          <w:b/>
          <w:bCs/>
        </w:rPr>
        <w:t>response</w:t>
      </w:r>
      <w:r w:rsidR="00F12F9D">
        <w:rPr>
          <w:rFonts w:eastAsiaTheme="minorEastAsia"/>
        </w:rPr>
        <w:t>, as</w:t>
      </w:r>
      <w:r>
        <w:rPr>
          <w:rFonts w:eastAsiaTheme="minorEastAsia"/>
        </w:rPr>
        <w:t xml:space="preserve"> compared to the background response</w:t>
      </w:r>
      <w:r w:rsidR="0062422D">
        <w:rPr>
          <w:rFonts w:eastAsiaTheme="minorEastAsia"/>
        </w:rPr>
        <w:t>;</w:t>
      </w:r>
      <w:r w:rsidR="009C05F3">
        <w:rPr>
          <w:rFonts w:eastAsiaTheme="minorEastAsia"/>
        </w:rPr>
        <w:t xml:space="preserve"> </w:t>
      </w:r>
      <w:r w:rsidR="00BA588B">
        <w:rPr>
          <w:rFonts w:eastAsiaTheme="minorEastAsia"/>
        </w:rPr>
        <w:t xml:space="preserve">for </w:t>
      </w:r>
      <m:oMath>
        <m:r>
          <w:rPr>
            <w:rFonts w:ascii="Cambria Math" w:eastAsiaTheme="minorEastAsia" w:hAnsi="Cambria Math"/>
          </w:rPr>
          <m:t>c&gt;1</m:t>
        </m:r>
      </m:oMath>
      <w:r w:rsidR="00BA588B">
        <w:rPr>
          <w:rFonts w:eastAsiaTheme="minorEastAsia"/>
        </w:rPr>
        <w:t xml:space="preserve"> </w:t>
      </w:r>
      <w:r w:rsidR="00AF5B8D">
        <w:rPr>
          <w:rFonts w:eastAsiaTheme="minorEastAsia"/>
        </w:rPr>
        <w:t xml:space="preserve">(resp. </w:t>
      </w:r>
      <m:oMath>
        <m:r>
          <w:rPr>
            <w:rFonts w:ascii="Cambria Math" w:eastAsiaTheme="minorEastAsia" w:hAnsi="Cambria Math"/>
          </w:rPr>
          <m:t>c&lt;1</m:t>
        </m:r>
      </m:oMath>
      <w:r w:rsidR="00AF5B8D">
        <w:rPr>
          <w:rFonts w:eastAsiaTheme="minorEastAsia"/>
        </w:rPr>
        <w:t xml:space="preserve">) </w:t>
      </w:r>
      <w:r w:rsidR="00BA588B">
        <w:rPr>
          <w:rFonts w:eastAsiaTheme="minorEastAsia"/>
        </w:rPr>
        <w:t>the</w:t>
      </w:r>
      <w:r w:rsidR="00AF5B8D">
        <w:rPr>
          <w:rFonts w:eastAsiaTheme="minorEastAsia"/>
        </w:rPr>
        <w:t xml:space="preserve"> median response is monotone increasing (resp. decreasing) as a function of dose </w:t>
      </w:r>
      <m:oMath>
        <m:r>
          <w:rPr>
            <w:rFonts w:ascii="Cambria Math" w:eastAsiaTheme="minorEastAsia" w:hAnsi="Cambria Math"/>
          </w:rPr>
          <m:t>x</m:t>
        </m:r>
      </m:oMath>
      <w:r w:rsidR="00AF5B8D">
        <w:rPr>
          <w:rFonts w:eastAsiaTheme="minorEastAsia"/>
        </w:rPr>
        <w:t>;</w:t>
      </w:r>
    </w:p>
    <w:p w14:paraId="0205BC9E" w14:textId="76A2A48E" w:rsidR="00985D11" w:rsidRDefault="00042D9D" w:rsidP="00042D9D">
      <w:pPr>
        <w:pStyle w:val="EFSABodytext"/>
        <w:numPr>
          <w:ilvl w:val="0"/>
          <w:numId w:val="67"/>
        </w:numPr>
        <w:jc w:val="left"/>
        <w:rPr>
          <w:rFonts w:eastAsiaTheme="minorEastAsia"/>
        </w:rPr>
      </w:pPr>
      <m:oMath>
        <m:r>
          <w:rPr>
            <w:rFonts w:ascii="Cambria Math" w:eastAsiaTheme="minorEastAsia" w:hAnsi="Cambria Math"/>
          </w:rPr>
          <m:t>b</m:t>
        </m:r>
      </m:oMath>
      <w:r w:rsidRPr="00DE30D2">
        <w:rPr>
          <w:rFonts w:eastAsiaTheme="minorEastAsia"/>
        </w:rPr>
        <w:t xml:space="preserve"> and </w:t>
      </w:r>
      <m:oMath>
        <m:r>
          <w:rPr>
            <w:rFonts w:ascii="Cambria Math" w:eastAsiaTheme="minorEastAsia" w:hAnsi="Cambria Math"/>
          </w:rPr>
          <m:t>d</m:t>
        </m:r>
      </m:oMath>
      <w:r w:rsidRPr="00DE30D2">
        <w:rPr>
          <w:rFonts w:eastAsiaTheme="minorEastAsia"/>
        </w:rPr>
        <w:t xml:space="preserve"> </w:t>
      </w:r>
      <w:r w:rsidR="00B437B2">
        <w:rPr>
          <w:rFonts w:eastAsiaTheme="minorEastAsia"/>
        </w:rPr>
        <w:t>characterize</w:t>
      </w:r>
      <w:r>
        <w:rPr>
          <w:rFonts w:eastAsiaTheme="minorEastAsia"/>
        </w:rPr>
        <w:t xml:space="preserve"> </w:t>
      </w:r>
      <w:r w:rsidRPr="00DE30D2">
        <w:rPr>
          <w:rFonts w:eastAsiaTheme="minorEastAsia"/>
          <w:b/>
          <w:bCs/>
        </w:rPr>
        <w:t>the shape</w:t>
      </w:r>
      <w:r w:rsidR="001B2963" w:rsidRPr="00DE30D2">
        <w:rPr>
          <w:rFonts w:eastAsiaTheme="minorEastAsia"/>
          <w:b/>
          <w:bCs/>
        </w:rPr>
        <w:t xml:space="preserve"> of change</w:t>
      </w:r>
      <w:r w:rsidR="0064116C">
        <w:rPr>
          <w:rFonts w:eastAsiaTheme="minorEastAsia"/>
          <w:b/>
          <w:bCs/>
        </w:rPr>
        <w:t xml:space="preserve"> in response</w:t>
      </w:r>
      <w:r w:rsidR="001B2963" w:rsidRPr="00DE30D2">
        <w:rPr>
          <w:rFonts w:eastAsiaTheme="minorEastAsia"/>
          <w:b/>
          <w:bCs/>
        </w:rPr>
        <w:t xml:space="preserve"> from median background</w:t>
      </w:r>
      <w:r w:rsidR="001B2963">
        <w:rPr>
          <w:rFonts w:eastAsiaTheme="minorEastAsia"/>
          <w:b/>
          <w:bCs/>
        </w:rPr>
        <w:t xml:space="preserve"> response</w:t>
      </w:r>
      <w:r w:rsidR="001B2963" w:rsidRPr="00A80FAF">
        <w:rPr>
          <w:rFonts w:eastAsiaTheme="minorEastAsia"/>
          <w:b/>
          <w:bCs/>
        </w:rPr>
        <w:t xml:space="preserve"> to maximum change in median response</w:t>
      </w:r>
      <w:r w:rsidR="001B2963">
        <w:rPr>
          <w:rFonts w:eastAsiaTheme="minorEastAsia"/>
        </w:rPr>
        <w:t>, via the identity:</w:t>
      </w:r>
    </w:p>
    <w:p w14:paraId="05EB6115" w14:textId="49AE4E50" w:rsidR="001B2963" w:rsidRPr="00502CFF" w:rsidRDefault="00505476" w:rsidP="004E337D">
      <w:pPr>
        <w:pStyle w:val="EFSABodytext"/>
        <w:ind w:left="1144"/>
        <w:jc w:val="left"/>
        <w:rPr>
          <w:rFonts w:eastAsiaTheme="minorEastAsia"/>
        </w:rPr>
      </w:pPr>
      <m:oMathPara>
        <m:oMath>
          <m:r>
            <w:rPr>
              <w:rFonts w:ascii="Cambria Math" w:eastAsiaTheme="minorEastAsia" w:hAnsi="Cambria Math"/>
            </w:rPr>
            <m:t xml:space="preserve"> F(x;b,d)=</m:t>
          </m:r>
          <m:f>
            <m:fPr>
              <m:ctrlPr>
                <w:rPr>
                  <w:rFonts w:ascii="Cambria Math" w:eastAsiaTheme="minorEastAsia" w:hAnsi="Cambria Math"/>
                  <w:i/>
                </w:rPr>
              </m:ctrlPr>
            </m:fPr>
            <m:num>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0</m:t>
                  </m:r>
                </m:e>
              </m:d>
            </m:num>
            <m:den>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m:t>
                  </m:r>
                </m:e>
              </m:d>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0</m:t>
                  </m:r>
                </m:e>
              </m:d>
            </m:den>
          </m:f>
          <m:r>
            <w:rPr>
              <w:rFonts w:ascii="Cambria Math" w:eastAsiaTheme="minorEastAsia" w:hAnsi="Cambria Math"/>
            </w:rPr>
            <m:t xml:space="preserve"> ,</m:t>
          </m:r>
        </m:oMath>
      </m:oMathPara>
    </w:p>
    <w:p w14:paraId="1F6C31E6" w14:textId="0707D01D" w:rsidR="00502CFF" w:rsidRPr="00C03CD7" w:rsidRDefault="4E23CE6E" w:rsidP="5E273EC8">
      <w:pPr>
        <w:pStyle w:val="EFSABodytext"/>
        <w:numPr>
          <w:ilvl w:val="0"/>
          <w:numId w:val="67"/>
        </w:numPr>
        <w:jc w:val="left"/>
        <w:rPr>
          <w:rFonts w:eastAsiaTheme="minorEastAsia"/>
        </w:rPr>
      </w:pPr>
      <w:r w:rsidRPr="5E273EC8">
        <w:rPr>
          <w:rFonts w:eastAsiaTheme="minorEastAsia"/>
        </w:rPr>
        <w:t xml:space="preserve">the model is reparametrized in terms of the parameter </w:t>
      </w:r>
      <m:oMath>
        <m:r>
          <w:rPr>
            <w:rFonts w:ascii="Cambria Math" w:eastAsiaTheme="minorEastAsia" w:hAnsi="Cambria Math"/>
          </w:rPr>
          <m:t>a,c</m:t>
        </m:r>
      </m:oMath>
      <w:r w:rsidRPr="5E273EC8">
        <w:rPr>
          <w:rFonts w:eastAsiaTheme="minorEastAsia"/>
        </w:rPr>
        <w:t xml:space="preserve"> </w:t>
      </w:r>
      <w:r w:rsidR="6A8B00EA" w:rsidRPr="5E273EC8">
        <w:rPr>
          <w:rFonts w:eastAsiaTheme="minorEastAsia"/>
        </w:rPr>
        <w:t xml:space="preserve">(representing the background response and the maximum change in response), the BMD (the potency, see </w:t>
      </w:r>
      <w:r w:rsidR="6A8B00EA" w:rsidRPr="00FC173E">
        <w:rPr>
          <w:rFonts w:eastAsiaTheme="minorEastAsia"/>
        </w:rPr>
        <w:t xml:space="preserve">Table </w:t>
      </w:r>
      <w:r w:rsidR="00A202E0" w:rsidRPr="00323293">
        <w:rPr>
          <w:rFonts w:eastAsiaTheme="minorEastAsia"/>
        </w:rPr>
        <w:t>2</w:t>
      </w:r>
      <w:r w:rsidR="6A8B00EA" w:rsidRPr="00323293">
        <w:rPr>
          <w:rFonts w:eastAsiaTheme="minorEastAsia"/>
        </w:rPr>
        <w:t>, and replacing</w:t>
      </w:r>
      <w:r w:rsidR="6A8B00EA" w:rsidRPr="5E273EC8">
        <w:rPr>
          <w:rFonts w:eastAsiaTheme="minorEastAsia"/>
        </w:rPr>
        <w:t xml:space="preserve"> the parameter </w:t>
      </w:r>
      <m:oMath>
        <m:r>
          <w:rPr>
            <w:rFonts w:ascii="Cambria Math" w:eastAsiaTheme="minorEastAsia" w:hAnsi="Cambria Math"/>
          </w:rPr>
          <m:t>b</m:t>
        </m:r>
      </m:oMath>
      <w:r w:rsidR="6A8B00EA" w:rsidRPr="5E273EC8">
        <w:rPr>
          <w:rFonts w:eastAsiaTheme="minorEastAsia"/>
        </w:rPr>
        <w:t xml:space="preserve">) and the parameter </w:t>
      </w:r>
      <m:oMath>
        <m:r>
          <w:rPr>
            <w:rFonts w:ascii="Cambria Math" w:eastAsiaTheme="minorEastAsia" w:hAnsi="Cambria Math"/>
          </w:rPr>
          <m:t>d</m:t>
        </m:r>
      </m:oMath>
      <w:r w:rsidR="6A8B00EA" w:rsidRPr="5E273EC8">
        <w:rPr>
          <w:rFonts w:eastAsiaTheme="minorEastAsia"/>
        </w:rPr>
        <w:t>.</w:t>
      </w:r>
    </w:p>
    <w:p w14:paraId="177E69E7" w14:textId="77777777" w:rsidR="00505476" w:rsidRPr="001B2963" w:rsidRDefault="00505476" w:rsidP="001B2963">
      <w:pPr>
        <w:pStyle w:val="EFSABodytext"/>
        <w:jc w:val="left"/>
        <w:rPr>
          <w:rFonts w:eastAsiaTheme="minorEastAsia"/>
        </w:rPr>
      </w:pPr>
    </w:p>
    <w:p w14:paraId="312199FE" w14:textId="235C8E5A" w:rsidR="00985D11" w:rsidRDefault="00985D11" w:rsidP="00985D11">
      <w:pPr>
        <w:pStyle w:val="EFSABodytext"/>
        <w:numPr>
          <w:ilvl w:val="0"/>
          <w:numId w:val="63"/>
        </w:numPr>
        <w:jc w:val="left"/>
        <w:rPr>
          <w:rFonts w:eastAsiaTheme="minorEastAsia"/>
        </w:rPr>
      </w:pPr>
      <w:r w:rsidRPr="00DE30D2">
        <w:rPr>
          <w:rFonts w:eastAsiaTheme="minorEastAsia"/>
          <w:b/>
          <w:bCs/>
        </w:rPr>
        <w:t>Family 2</w:t>
      </w:r>
      <w:r w:rsidR="007D550D">
        <w:rPr>
          <w:rFonts w:eastAsiaTheme="minorEastAsia"/>
          <w:b/>
          <w:bCs/>
        </w:rPr>
        <w:t xml:space="preserve"> increasing</w:t>
      </w:r>
      <w:r>
        <w:rPr>
          <w:rFonts w:eastAsiaTheme="minorEastAsia"/>
        </w:rPr>
        <w:t xml:space="preserve">: </w:t>
      </w:r>
      <w:r w:rsidR="007D550D">
        <w:rPr>
          <w:rFonts w:eastAsiaTheme="minorEastAsia"/>
        </w:rPr>
        <w:t xml:space="preserve">increasing </w:t>
      </w:r>
      <w:r>
        <w:rPr>
          <w:rFonts w:eastAsiaTheme="minorEastAsia"/>
        </w:rPr>
        <w:t xml:space="preserve">models for </w:t>
      </w: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w:r>
        <w:rPr>
          <w:rFonts w:eastAsiaTheme="minorEastAsia"/>
        </w:rPr>
        <w:t xml:space="preserve"> </w:t>
      </w:r>
      <w:r w:rsidR="007D550D">
        <w:rPr>
          <w:rFonts w:eastAsiaTheme="minorEastAsia"/>
        </w:rPr>
        <w:t xml:space="preserve">from this family </w:t>
      </w:r>
      <w:r>
        <w:rPr>
          <w:rFonts w:eastAsiaTheme="minorEastAsia"/>
        </w:rPr>
        <w:t>have the following structure</w:t>
      </w:r>
    </w:p>
    <w:p w14:paraId="393D4C12" w14:textId="77777777" w:rsidR="001B2963" w:rsidRDefault="001B2963" w:rsidP="00DE30D2">
      <w:pPr>
        <w:pStyle w:val="EFSABodytext"/>
        <w:ind w:left="720"/>
        <w:jc w:val="left"/>
        <w:rPr>
          <w:rFonts w:eastAsiaTheme="minorEastAsia"/>
        </w:rPr>
      </w:pPr>
    </w:p>
    <w:p w14:paraId="711D7FA3" w14:textId="665EA07B" w:rsidR="00985D11" w:rsidRPr="001B2963" w:rsidRDefault="00985D11" w:rsidP="00985D11">
      <w:pPr>
        <w:pStyle w:val="EFSABodytext"/>
        <w:jc w:val="center"/>
        <w:rPr>
          <w:rFonts w:eastAsiaTheme="minorEastAsia"/>
          <w:i/>
        </w:rPr>
      </w:pPr>
      <m:oMathPara>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 xml:space="preserve"> = cF(a+b</m:t>
          </m:r>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d</m:t>
              </m:r>
            </m:sup>
          </m:sSup>
          <m:r>
            <w:rPr>
              <w:rFonts w:ascii="Cambria Math" w:eastAsiaTheme="minorEastAsia" w:hAnsi="Cambria Math"/>
            </w:rPr>
            <m:t>),     b,d&gt;0</m:t>
          </m:r>
        </m:oMath>
      </m:oMathPara>
    </w:p>
    <w:p w14:paraId="554AE268" w14:textId="77777777" w:rsidR="001B2963" w:rsidRPr="00D67918" w:rsidRDefault="001B2963" w:rsidP="00985D11">
      <w:pPr>
        <w:pStyle w:val="EFSABodytext"/>
        <w:jc w:val="center"/>
        <w:rPr>
          <w:rFonts w:eastAsiaTheme="minorEastAsia"/>
          <w:i/>
        </w:rPr>
      </w:pPr>
    </w:p>
    <w:p w14:paraId="4F8A1173" w14:textId="77777777" w:rsidR="00653A34" w:rsidRDefault="00653A34" w:rsidP="00653A34">
      <w:pPr>
        <w:pStyle w:val="EFSABodytext"/>
        <w:ind w:left="720"/>
        <w:jc w:val="left"/>
        <w:rPr>
          <w:rFonts w:eastAsiaTheme="minorEastAsia"/>
        </w:rPr>
      </w:pPr>
      <w:r>
        <w:rPr>
          <w:rFonts w:eastAsiaTheme="minorEastAsia"/>
        </w:rPr>
        <w:t xml:space="preserve">for some particular but known function </w:t>
      </w:r>
      <m:oMath>
        <m:r>
          <w:rPr>
            <w:rFonts w:ascii="Cambria Math" w:eastAsiaTheme="minorEastAsia" w:hAnsi="Cambria Math"/>
          </w:rPr>
          <m:t>F</m:t>
        </m:r>
      </m:oMath>
      <w:r>
        <w:rPr>
          <w:rFonts w:eastAsiaTheme="minorEastAsia"/>
        </w:rPr>
        <w:t>, having the properties:</w:t>
      </w:r>
    </w:p>
    <w:p w14:paraId="7ECC495B" w14:textId="6203EE44" w:rsidR="00653A34" w:rsidRDefault="00653A34" w:rsidP="00653A34">
      <w:pPr>
        <w:pStyle w:val="EFSABodytext"/>
        <w:numPr>
          <w:ilvl w:val="0"/>
          <w:numId w:val="68"/>
        </w:numPr>
        <w:ind w:hanging="270"/>
        <w:jc w:val="left"/>
        <w:rPr>
          <w:rFonts w:eastAsiaTheme="minorEastAsia"/>
        </w:rPr>
      </w:pPr>
      <w:r>
        <w:rPr>
          <w:rFonts w:eastAsiaTheme="minorEastAsia"/>
        </w:rPr>
        <w:t xml:space="preserve">defined </w:t>
      </w:r>
      <w:r w:rsidR="00FE28E5">
        <w:rPr>
          <w:rFonts w:eastAsiaTheme="minorEastAsia"/>
        </w:rPr>
        <w:t>for</w:t>
      </w:r>
      <w:r w:rsidR="00261BC9">
        <w:rPr>
          <w:rFonts w:eastAsiaTheme="minorEastAsia"/>
        </w:rPr>
        <w:t xml:space="preserve"> any value of </w:t>
      </w:r>
      <m:oMath>
        <m:r>
          <w:rPr>
            <w:rFonts w:ascii="Cambria Math" w:eastAsiaTheme="minorEastAsia" w:hAnsi="Cambria Math"/>
          </w:rPr>
          <m:t>a+b</m:t>
        </m:r>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d</m:t>
            </m:r>
          </m:sup>
        </m:sSup>
      </m:oMath>
      <w:r w:rsidR="00261BC9">
        <w:rPr>
          <w:rFonts w:eastAsiaTheme="minorEastAsia"/>
        </w:rPr>
        <w:t>;</w:t>
      </w:r>
    </w:p>
    <w:p w14:paraId="7E272D6D" w14:textId="77777777" w:rsidR="00653A34" w:rsidRDefault="00653A34" w:rsidP="00653A34">
      <w:pPr>
        <w:pStyle w:val="EFSABodytext"/>
        <w:numPr>
          <w:ilvl w:val="0"/>
          <w:numId w:val="68"/>
        </w:numPr>
        <w:ind w:hanging="270"/>
        <w:jc w:val="left"/>
        <w:rPr>
          <w:rFonts w:eastAsiaTheme="minorEastAsia"/>
        </w:rPr>
      </w:pPr>
      <w:r>
        <w:rPr>
          <w:rFonts w:eastAsiaTheme="minorEastAsia"/>
        </w:rPr>
        <w:t xml:space="preserve">monotone </w:t>
      </w:r>
      <w:proofErr w:type="gramStart"/>
      <w:r>
        <w:rPr>
          <w:rFonts w:eastAsiaTheme="minorEastAsia"/>
        </w:rPr>
        <w:t>increasing;</w:t>
      </w:r>
      <w:proofErr w:type="gramEnd"/>
    </w:p>
    <w:p w14:paraId="4A1A6E87" w14:textId="0FB6A9FF" w:rsidR="00653A34" w:rsidRDefault="00653A34" w:rsidP="00DE30D2">
      <w:pPr>
        <w:pStyle w:val="EFSABodytext"/>
        <w:numPr>
          <w:ilvl w:val="0"/>
          <w:numId w:val="68"/>
        </w:numPr>
        <w:ind w:hanging="270"/>
        <w:jc w:val="left"/>
        <w:rPr>
          <w:rFonts w:eastAsiaTheme="minorEastAsia"/>
        </w:rPr>
      </w:pPr>
      <m:oMath>
        <m:r>
          <w:rPr>
            <w:rFonts w:ascii="Cambria Math" w:eastAsiaTheme="minorEastAsia" w:hAnsi="Cambria Math"/>
          </w:rPr>
          <m:t>F(-∞;b,d)=0</m:t>
        </m:r>
      </m:oMath>
      <w:r>
        <w:rPr>
          <w:rFonts w:eastAsiaTheme="minorEastAsia"/>
        </w:rPr>
        <w:t xml:space="preserve"> and </w:t>
      </w:r>
      <m:oMath>
        <m:r>
          <w:rPr>
            <w:rFonts w:ascii="Cambria Math" w:eastAsiaTheme="minorEastAsia" w:hAnsi="Cambria Math"/>
          </w:rPr>
          <m:t>F(∞;b,d) =1</m:t>
        </m:r>
      </m:oMath>
      <w:r>
        <w:rPr>
          <w:rFonts w:eastAsiaTheme="minorEastAsia"/>
        </w:rPr>
        <w:t xml:space="preserve"> regardless the values of </w:t>
      </w:r>
      <m:oMath>
        <m:r>
          <w:rPr>
            <w:rFonts w:ascii="Cambria Math" w:eastAsiaTheme="minorEastAsia" w:hAnsi="Cambria Math"/>
          </w:rPr>
          <m:t>b</m:t>
        </m:r>
      </m:oMath>
      <w:r w:rsidRPr="003704B0">
        <w:rPr>
          <w:rFonts w:eastAsiaTheme="minorEastAsia"/>
        </w:rPr>
        <w:t xml:space="preserve"> and </w:t>
      </w:r>
      <m:oMath>
        <m:r>
          <w:rPr>
            <w:rFonts w:ascii="Cambria Math" w:eastAsiaTheme="minorEastAsia" w:hAnsi="Cambria Math"/>
          </w:rPr>
          <m:t>d</m:t>
        </m:r>
      </m:oMath>
      <w:r>
        <w:rPr>
          <w:rFonts w:eastAsiaTheme="minorEastAsia"/>
        </w:rPr>
        <w:t>.</w:t>
      </w:r>
    </w:p>
    <w:p w14:paraId="183876D2" w14:textId="14D4FDD4" w:rsidR="008318C8" w:rsidRDefault="008318C8" w:rsidP="00653A34">
      <w:pPr>
        <w:pStyle w:val="EFSABodytext"/>
        <w:ind w:left="720"/>
        <w:jc w:val="left"/>
        <w:rPr>
          <w:rFonts w:eastAsiaTheme="minorEastAsia"/>
        </w:rPr>
      </w:pPr>
      <w:r>
        <w:rPr>
          <w:rFonts w:eastAsiaTheme="minorEastAsia"/>
        </w:rPr>
        <w:t xml:space="preserve">The parameters </w:t>
      </w:r>
      <m:oMath>
        <m:r>
          <w:rPr>
            <w:rFonts w:ascii="Cambria Math" w:eastAsiaTheme="minorEastAsia" w:hAnsi="Cambria Math"/>
          </w:rPr>
          <m:t>a,b, c,d</m:t>
        </m:r>
      </m:oMath>
      <w:r>
        <w:rPr>
          <w:rFonts w:eastAsiaTheme="minorEastAsia"/>
        </w:rPr>
        <w:t xml:space="preserve"> have a particular interpretation:</w:t>
      </w:r>
    </w:p>
    <w:p w14:paraId="44EB02CF" w14:textId="1EB45B53" w:rsidR="008318C8" w:rsidRPr="008318C8" w:rsidRDefault="0068336E" w:rsidP="008318C8">
      <w:pPr>
        <w:pStyle w:val="EFSABodytext"/>
        <w:numPr>
          <w:ilvl w:val="0"/>
          <w:numId w:val="67"/>
        </w:numPr>
        <w:jc w:val="left"/>
        <w:rPr>
          <w:rFonts w:eastAsiaTheme="minorEastAsia"/>
        </w:rPr>
      </w:pPr>
      <m:oMath>
        <m:r>
          <w:rPr>
            <w:rFonts w:ascii="Cambria Math" w:eastAsiaTheme="minorEastAsia" w:hAnsi="Cambria Math"/>
          </w:rPr>
          <m:t>c= μ</m:t>
        </m:r>
        <m:d>
          <m:dPr>
            <m:ctrlPr>
              <w:rPr>
                <w:rFonts w:ascii="Cambria Math" w:eastAsiaTheme="minorEastAsia" w:hAnsi="Cambria Math"/>
                <w:i/>
              </w:rPr>
            </m:ctrlPr>
          </m:dPr>
          <m:e>
            <m:r>
              <w:rPr>
                <w:rFonts w:ascii="Cambria Math" w:eastAsiaTheme="minorEastAsia" w:hAnsi="Cambria Math"/>
              </w:rPr>
              <m:t>∞</m:t>
            </m:r>
          </m:e>
        </m:d>
        <m:r>
          <w:rPr>
            <w:rFonts w:ascii="Cambria Math" w:eastAsiaTheme="minorEastAsia" w:hAnsi="Cambria Math"/>
          </w:rPr>
          <m:t xml:space="preserve"> </m:t>
        </m:r>
      </m:oMath>
      <w:r w:rsidR="009122E6">
        <w:rPr>
          <w:rFonts w:eastAsiaTheme="minorEastAsia"/>
        </w:rPr>
        <w:t xml:space="preserve">and </w:t>
      </w:r>
      <m:oMath>
        <m:r>
          <w:rPr>
            <w:rFonts w:ascii="Cambria Math" w:eastAsiaTheme="minorEastAsia" w:hAnsi="Cambria Math"/>
          </w:rPr>
          <m:t>a=</m:t>
        </m:r>
        <m:sSup>
          <m:sSupPr>
            <m:ctrlPr>
              <w:rPr>
                <w:rFonts w:ascii="Cambria Math" w:eastAsiaTheme="minorEastAsia" w:hAnsi="Cambria Math"/>
                <w:i/>
              </w:rPr>
            </m:ctrlPr>
          </m:sSupPr>
          <m:e>
            <m:r>
              <w:rPr>
                <w:rFonts w:ascii="Cambria Math" w:eastAsiaTheme="minorEastAsia" w:hAnsi="Cambria Math"/>
              </w:rPr>
              <m:t>F</m:t>
            </m:r>
          </m:e>
          <m:sup>
            <m:r>
              <w:rPr>
                <w:rFonts w:ascii="Cambria Math" w:eastAsiaTheme="minorEastAsia" w:hAnsi="Cambria Math"/>
              </w:rPr>
              <m:t>-1</m:t>
            </m:r>
          </m:sup>
        </m:sSup>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0</m:t>
            </m:r>
          </m:e>
        </m:d>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m:t>
            </m:r>
          </m:e>
        </m:d>
        <m:r>
          <w:rPr>
            <w:rFonts w:ascii="Cambria Math" w:eastAsiaTheme="minorEastAsia" w:hAnsi="Cambria Math"/>
          </w:rPr>
          <m:t>)</m:t>
        </m:r>
      </m:oMath>
      <w:r w:rsidR="008318C8">
        <w:rPr>
          <w:rFonts w:eastAsiaTheme="minorEastAsia"/>
        </w:rPr>
        <w:t xml:space="preserve">  and determine the </w:t>
      </w:r>
      <w:r w:rsidR="008318C8" w:rsidRPr="003704B0">
        <w:rPr>
          <w:rFonts w:eastAsiaTheme="minorEastAsia"/>
          <w:b/>
          <w:bCs/>
        </w:rPr>
        <w:t>median background response</w:t>
      </w:r>
      <w:r w:rsidR="008318C8">
        <w:rPr>
          <w:rFonts w:eastAsiaTheme="minorEastAsia"/>
        </w:rPr>
        <w:t xml:space="preserve"> and </w:t>
      </w:r>
      <w:r w:rsidR="008318C8" w:rsidRPr="008318C8">
        <w:rPr>
          <w:rFonts w:eastAsiaTheme="minorEastAsia"/>
        </w:rPr>
        <w:t xml:space="preserve">the </w:t>
      </w:r>
      <w:r w:rsidR="008318C8" w:rsidRPr="008318C8">
        <w:rPr>
          <w:rFonts w:eastAsiaTheme="minorEastAsia"/>
          <w:b/>
          <w:bCs/>
        </w:rPr>
        <w:t>maximum change in median response</w:t>
      </w:r>
      <w:r w:rsidR="008318C8" w:rsidRPr="008318C8">
        <w:rPr>
          <w:rFonts w:eastAsiaTheme="minorEastAsia"/>
        </w:rPr>
        <w:t>, as</w:t>
      </w:r>
      <w:r w:rsidR="008318C8" w:rsidRPr="0062422D">
        <w:rPr>
          <w:rFonts w:eastAsiaTheme="minorEastAsia"/>
        </w:rPr>
        <w:t xml:space="preserve"> compared to the background </w:t>
      </w:r>
      <w:proofErr w:type="gramStart"/>
      <w:r w:rsidR="008318C8" w:rsidRPr="0062422D">
        <w:rPr>
          <w:rFonts w:eastAsiaTheme="minorEastAsia"/>
        </w:rPr>
        <w:t>response</w:t>
      </w:r>
      <w:r w:rsidR="008318C8">
        <w:rPr>
          <w:rFonts w:eastAsiaTheme="minorEastAsia"/>
        </w:rPr>
        <w:t>;</w:t>
      </w:r>
      <w:proofErr w:type="gramEnd"/>
    </w:p>
    <w:p w14:paraId="06D78EB4" w14:textId="77777777" w:rsidR="008318C8" w:rsidRDefault="008318C8" w:rsidP="008318C8">
      <w:pPr>
        <w:pStyle w:val="EFSABodytext"/>
        <w:numPr>
          <w:ilvl w:val="0"/>
          <w:numId w:val="67"/>
        </w:numPr>
        <w:jc w:val="left"/>
        <w:rPr>
          <w:rFonts w:eastAsiaTheme="minorEastAsia"/>
        </w:rPr>
      </w:pPr>
      <m:oMath>
        <m:r>
          <w:rPr>
            <w:rFonts w:ascii="Cambria Math" w:eastAsiaTheme="minorEastAsia" w:hAnsi="Cambria Math"/>
          </w:rPr>
          <m:t>b</m:t>
        </m:r>
      </m:oMath>
      <w:r w:rsidRPr="003704B0">
        <w:rPr>
          <w:rFonts w:eastAsiaTheme="minorEastAsia"/>
        </w:rPr>
        <w:t xml:space="preserve"> and </w:t>
      </w:r>
      <m:oMath>
        <m:r>
          <w:rPr>
            <w:rFonts w:ascii="Cambria Math" w:eastAsiaTheme="minorEastAsia" w:hAnsi="Cambria Math"/>
          </w:rPr>
          <m:t>d</m:t>
        </m:r>
      </m:oMath>
      <w:r w:rsidRPr="003704B0">
        <w:rPr>
          <w:rFonts w:eastAsiaTheme="minorEastAsia"/>
        </w:rPr>
        <w:t xml:space="preserve"> </w:t>
      </w:r>
      <w:r>
        <w:rPr>
          <w:rFonts w:eastAsiaTheme="minorEastAsia"/>
        </w:rPr>
        <w:t xml:space="preserve">characterize </w:t>
      </w:r>
      <w:r w:rsidRPr="003704B0">
        <w:rPr>
          <w:rFonts w:eastAsiaTheme="minorEastAsia"/>
          <w:b/>
          <w:bCs/>
        </w:rPr>
        <w:t>the shape of change</w:t>
      </w:r>
      <w:r>
        <w:rPr>
          <w:rFonts w:eastAsiaTheme="minorEastAsia"/>
          <w:b/>
          <w:bCs/>
        </w:rPr>
        <w:t xml:space="preserve"> in response</w:t>
      </w:r>
      <w:r w:rsidRPr="003704B0">
        <w:rPr>
          <w:rFonts w:eastAsiaTheme="minorEastAsia"/>
          <w:b/>
          <w:bCs/>
        </w:rPr>
        <w:t xml:space="preserve"> from median background</w:t>
      </w:r>
      <w:r>
        <w:rPr>
          <w:rFonts w:eastAsiaTheme="minorEastAsia"/>
          <w:b/>
          <w:bCs/>
        </w:rPr>
        <w:t xml:space="preserve"> response</w:t>
      </w:r>
      <w:r w:rsidRPr="00A80FAF">
        <w:rPr>
          <w:rFonts w:eastAsiaTheme="minorEastAsia"/>
          <w:b/>
          <w:bCs/>
        </w:rPr>
        <w:t xml:space="preserve"> to maximum change in median response</w:t>
      </w:r>
      <w:r>
        <w:rPr>
          <w:rFonts w:eastAsiaTheme="minorEastAsia"/>
        </w:rPr>
        <w:t>, via the identity:</w:t>
      </w:r>
    </w:p>
    <w:p w14:paraId="168A3828" w14:textId="2BD4B15F" w:rsidR="008318C8" w:rsidRPr="00C03CD7" w:rsidRDefault="007D550D" w:rsidP="008318C8">
      <w:pPr>
        <w:pStyle w:val="EFSABodytext"/>
        <w:ind w:left="1504"/>
        <w:jc w:val="left"/>
        <w:rPr>
          <w:rFonts w:eastAsiaTheme="minorEastAsia"/>
        </w:rPr>
      </w:pPr>
      <m:oMathPara>
        <m:oMath>
          <m:r>
            <w:rPr>
              <w:rFonts w:ascii="Cambria Math" w:eastAsiaTheme="minorEastAsia" w:hAnsi="Cambria Math"/>
            </w:rPr>
            <m:t>b</m:t>
          </m:r>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d</m:t>
              </m:r>
            </m:sup>
          </m:sSup>
          <m:r>
            <w:rPr>
              <w:rFonts w:ascii="Cambria Math" w:eastAsiaTheme="minorEastAsia" w:hAnsi="Cambria Math"/>
            </w:rPr>
            <m:t xml:space="preserve"> =</m:t>
          </m:r>
          <m:sSup>
            <m:sSupPr>
              <m:ctrlPr>
                <w:rPr>
                  <w:rFonts w:ascii="Cambria Math" w:eastAsiaTheme="minorEastAsia" w:hAnsi="Cambria Math"/>
                  <w:i/>
                </w:rPr>
              </m:ctrlPr>
            </m:sSupPr>
            <m:e>
              <m:r>
                <w:rPr>
                  <w:rFonts w:ascii="Cambria Math" w:eastAsiaTheme="minorEastAsia" w:hAnsi="Cambria Math"/>
                </w:rPr>
                <m:t>F</m:t>
              </m:r>
            </m:e>
            <m:sup>
              <m:r>
                <w:rPr>
                  <w:rFonts w:ascii="Cambria Math" w:eastAsiaTheme="minorEastAsia" w:hAnsi="Cambria Math"/>
                </w:rPr>
                <m:t>-1</m:t>
              </m:r>
            </m:sup>
          </m:sSup>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m:t>
              </m:r>
            </m:e>
          </m:d>
          <m:r>
            <w:rPr>
              <w:rFonts w:ascii="Cambria Math" w:eastAsiaTheme="minorEastAsia" w:hAnsi="Cambria Math"/>
            </w:rPr>
            <m:t>) -</m:t>
          </m:r>
          <m:sSup>
            <m:sSupPr>
              <m:ctrlPr>
                <w:rPr>
                  <w:rFonts w:ascii="Cambria Math" w:eastAsiaTheme="minorEastAsia" w:hAnsi="Cambria Math"/>
                  <w:i/>
                </w:rPr>
              </m:ctrlPr>
            </m:sSupPr>
            <m:e>
              <m:r>
                <w:rPr>
                  <w:rFonts w:ascii="Cambria Math" w:eastAsiaTheme="minorEastAsia" w:hAnsi="Cambria Math"/>
                </w:rPr>
                <m:t xml:space="preserve"> F</m:t>
              </m:r>
            </m:e>
            <m:sup>
              <m:r>
                <w:rPr>
                  <w:rFonts w:ascii="Cambria Math" w:eastAsiaTheme="minorEastAsia" w:hAnsi="Cambria Math"/>
                </w:rPr>
                <m:t>-1</m:t>
              </m:r>
            </m:sup>
          </m:sSup>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0</m:t>
              </m:r>
            </m:e>
          </m:d>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m:t>
              </m:r>
            </m:e>
          </m:d>
          <m:r>
            <w:rPr>
              <w:rFonts w:ascii="Cambria Math" w:eastAsiaTheme="minorEastAsia" w:hAnsi="Cambria Math"/>
            </w:rPr>
            <m:t>) ,</m:t>
          </m:r>
        </m:oMath>
      </m:oMathPara>
    </w:p>
    <w:p w14:paraId="19A54588" w14:textId="7431CA12" w:rsidR="00C03CD7" w:rsidRPr="00C03CD7" w:rsidRDefault="00C03CD7" w:rsidP="00DE30D2">
      <w:pPr>
        <w:pStyle w:val="EFSABodytext"/>
        <w:numPr>
          <w:ilvl w:val="0"/>
          <w:numId w:val="67"/>
        </w:numPr>
        <w:jc w:val="left"/>
        <w:rPr>
          <w:rFonts w:eastAsiaTheme="minorEastAsia"/>
        </w:rPr>
      </w:pPr>
      <w:r>
        <w:rPr>
          <w:rFonts w:eastAsiaTheme="minorEastAsia"/>
        </w:rPr>
        <w:t xml:space="preserve">the model is reparametrized in terms of the parameter </w:t>
      </w:r>
      <m:oMath>
        <m:r>
          <w:rPr>
            <w:rFonts w:ascii="Cambria Math" w:eastAsiaTheme="minorEastAsia" w:hAnsi="Cambria Math"/>
          </w:rPr>
          <m:t>a,c</m:t>
        </m:r>
      </m:oMath>
      <w:r>
        <w:rPr>
          <w:rFonts w:eastAsiaTheme="minorEastAsia"/>
        </w:rPr>
        <w:t xml:space="preserve"> (representing the background response and the maximum change in response), the BMD (the potency, see </w:t>
      </w:r>
      <w:r w:rsidRPr="00FC173E">
        <w:rPr>
          <w:rFonts w:eastAsiaTheme="minorEastAsia"/>
        </w:rPr>
        <w:t xml:space="preserve">Table </w:t>
      </w:r>
      <w:r w:rsidR="00A202E0" w:rsidRPr="00323293">
        <w:rPr>
          <w:rFonts w:eastAsiaTheme="minorEastAsia"/>
        </w:rPr>
        <w:t>2</w:t>
      </w:r>
      <w:r w:rsidRPr="00323293">
        <w:rPr>
          <w:rFonts w:eastAsiaTheme="minorEastAsia"/>
        </w:rPr>
        <w:t>, and</w:t>
      </w:r>
      <w:r>
        <w:rPr>
          <w:rFonts w:eastAsiaTheme="minorEastAsia"/>
        </w:rPr>
        <w:t xml:space="preserve"> replacing the parameter </w:t>
      </w:r>
      <m:oMath>
        <m:r>
          <w:rPr>
            <w:rFonts w:ascii="Cambria Math" w:eastAsiaTheme="minorEastAsia" w:hAnsi="Cambria Math"/>
          </w:rPr>
          <m:t>b</m:t>
        </m:r>
      </m:oMath>
      <w:r>
        <w:rPr>
          <w:rFonts w:eastAsiaTheme="minorEastAsia"/>
        </w:rPr>
        <w:t xml:space="preserve">) and the parameter </w:t>
      </w:r>
      <m:oMath>
        <m:r>
          <w:rPr>
            <w:rFonts w:ascii="Cambria Math" w:eastAsiaTheme="minorEastAsia" w:hAnsi="Cambria Math"/>
          </w:rPr>
          <m:t>d</m:t>
        </m:r>
      </m:oMath>
      <w:r>
        <w:rPr>
          <w:rFonts w:eastAsiaTheme="minorEastAsia"/>
        </w:rPr>
        <w:t>.</w:t>
      </w:r>
    </w:p>
    <w:p w14:paraId="540BEBBB" w14:textId="77777777" w:rsidR="00C03CD7" w:rsidRPr="00B437B2" w:rsidRDefault="00C03CD7" w:rsidP="008318C8">
      <w:pPr>
        <w:pStyle w:val="EFSABodytext"/>
        <w:ind w:left="1504"/>
        <w:jc w:val="left"/>
        <w:rPr>
          <w:rFonts w:eastAsiaTheme="minorEastAsia"/>
        </w:rPr>
      </w:pPr>
    </w:p>
    <w:p w14:paraId="13B60752" w14:textId="77777777" w:rsidR="00235766" w:rsidRPr="001B2963" w:rsidRDefault="00235766" w:rsidP="00235766">
      <w:pPr>
        <w:pStyle w:val="EFSABodytext"/>
        <w:jc w:val="left"/>
        <w:rPr>
          <w:rFonts w:eastAsiaTheme="minorEastAsia"/>
        </w:rPr>
      </w:pPr>
    </w:p>
    <w:p w14:paraId="3DC41667" w14:textId="4F9A26DE" w:rsidR="00235766" w:rsidRPr="00D85345" w:rsidRDefault="00235766" w:rsidP="00D85345">
      <w:pPr>
        <w:pStyle w:val="EFSABodytext"/>
        <w:numPr>
          <w:ilvl w:val="0"/>
          <w:numId w:val="63"/>
        </w:numPr>
        <w:jc w:val="left"/>
        <w:rPr>
          <w:rFonts w:eastAsiaTheme="minorEastAsia"/>
        </w:rPr>
      </w:pPr>
      <w:r w:rsidRPr="003704B0">
        <w:rPr>
          <w:rFonts w:eastAsiaTheme="minorEastAsia"/>
          <w:b/>
          <w:bCs/>
        </w:rPr>
        <w:t>Family 2</w:t>
      </w:r>
      <w:r>
        <w:rPr>
          <w:rFonts w:eastAsiaTheme="minorEastAsia"/>
          <w:b/>
          <w:bCs/>
        </w:rPr>
        <w:t xml:space="preserve"> decreasing</w:t>
      </w:r>
      <w:r>
        <w:rPr>
          <w:rFonts w:eastAsiaTheme="minorEastAsia"/>
        </w:rPr>
        <w:t xml:space="preserve">: decreasing models for </w:t>
      </w: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w:r>
        <w:rPr>
          <w:rFonts w:eastAsiaTheme="minorEastAsia"/>
        </w:rPr>
        <w:t xml:space="preserve"> from this family have the following structure</w:t>
      </w:r>
    </w:p>
    <w:p w14:paraId="269C466F" w14:textId="24E4B763" w:rsidR="00235766" w:rsidRPr="001B2963" w:rsidRDefault="000003A7" w:rsidP="00235766">
      <w:pPr>
        <w:pStyle w:val="EFSABodytext"/>
        <w:jc w:val="center"/>
        <w:rPr>
          <w:rFonts w:eastAsiaTheme="minorEastAsia"/>
          <w:i/>
        </w:rPr>
      </w:pPr>
      <m:oMathPara>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 xml:space="preserve"> = a(</m:t>
          </m:r>
          <m:d>
            <m:dPr>
              <m:ctrlPr>
                <w:rPr>
                  <w:rFonts w:ascii="Cambria Math" w:eastAsiaTheme="minorEastAsia" w:hAnsi="Cambria Math"/>
                  <w:i/>
                </w:rPr>
              </m:ctrlPr>
            </m:dPr>
            <m:e>
              <m:r>
                <w:rPr>
                  <w:rFonts w:ascii="Cambria Math" w:eastAsiaTheme="minorEastAsia" w:hAnsi="Cambria Math"/>
                </w:rPr>
                <m:t>1+F</m:t>
              </m:r>
              <m:d>
                <m:dPr>
                  <m:ctrlPr>
                    <w:rPr>
                      <w:rFonts w:ascii="Cambria Math" w:eastAsiaTheme="minorEastAsia" w:hAnsi="Cambria Math"/>
                      <w:i/>
                    </w:rPr>
                  </m:ctrlPr>
                </m:dPr>
                <m:e>
                  <m:r>
                    <w:rPr>
                      <w:rFonts w:ascii="Cambria Math" w:eastAsiaTheme="minorEastAsia" w:hAnsi="Cambria Math"/>
                    </w:rPr>
                    <m:t>c</m:t>
                  </m:r>
                </m:e>
              </m:d>
            </m:e>
          </m:d>
          <m:r>
            <w:rPr>
              <w:rFonts w:ascii="Cambria Math" w:eastAsiaTheme="minorEastAsia" w:hAnsi="Cambria Math"/>
            </w:rPr>
            <m:t>- F</m:t>
          </m:r>
          <m:d>
            <m:dPr>
              <m:ctrlPr>
                <w:rPr>
                  <w:rFonts w:ascii="Cambria Math" w:eastAsiaTheme="minorEastAsia" w:hAnsi="Cambria Math"/>
                  <w:i/>
                </w:rPr>
              </m:ctrlPr>
            </m:dPr>
            <m:e>
              <m:r>
                <w:rPr>
                  <w:rFonts w:ascii="Cambria Math" w:eastAsiaTheme="minorEastAsia" w:hAnsi="Cambria Math"/>
                </w:rPr>
                <m:t>c+b</m:t>
              </m:r>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d</m:t>
                  </m:r>
                </m:sup>
              </m:sSup>
            </m:e>
          </m:d>
          <m:r>
            <w:rPr>
              <w:rFonts w:ascii="Cambria Math" w:eastAsiaTheme="minorEastAsia" w:hAnsi="Cambria Math"/>
            </w:rPr>
            <m:t>),     b,d&gt;0</m:t>
          </m:r>
        </m:oMath>
      </m:oMathPara>
    </w:p>
    <w:p w14:paraId="5446E212" w14:textId="77777777" w:rsidR="00235766" w:rsidRPr="00D67918" w:rsidRDefault="00235766" w:rsidP="00235766">
      <w:pPr>
        <w:pStyle w:val="EFSABodytext"/>
        <w:jc w:val="center"/>
        <w:rPr>
          <w:rFonts w:eastAsiaTheme="minorEastAsia"/>
          <w:i/>
        </w:rPr>
      </w:pPr>
    </w:p>
    <w:p w14:paraId="3E5BACE6" w14:textId="77777777" w:rsidR="00235766" w:rsidRDefault="00235766" w:rsidP="00235766">
      <w:pPr>
        <w:pStyle w:val="EFSABodytext"/>
        <w:ind w:left="720"/>
        <w:jc w:val="left"/>
        <w:rPr>
          <w:rFonts w:eastAsiaTheme="minorEastAsia"/>
        </w:rPr>
      </w:pPr>
      <w:r>
        <w:rPr>
          <w:rFonts w:eastAsiaTheme="minorEastAsia"/>
        </w:rPr>
        <w:t xml:space="preserve">for some particular but known function </w:t>
      </w:r>
      <m:oMath>
        <m:r>
          <w:rPr>
            <w:rFonts w:ascii="Cambria Math" w:eastAsiaTheme="minorEastAsia" w:hAnsi="Cambria Math"/>
          </w:rPr>
          <m:t>F</m:t>
        </m:r>
      </m:oMath>
      <w:r>
        <w:rPr>
          <w:rFonts w:eastAsiaTheme="minorEastAsia"/>
        </w:rPr>
        <w:t>, having the properties:</w:t>
      </w:r>
    </w:p>
    <w:p w14:paraId="5E04BDA8" w14:textId="53EDD657" w:rsidR="00235766" w:rsidRDefault="00235766" w:rsidP="00235766">
      <w:pPr>
        <w:pStyle w:val="EFSABodytext"/>
        <w:numPr>
          <w:ilvl w:val="0"/>
          <w:numId w:val="68"/>
        </w:numPr>
        <w:ind w:hanging="270"/>
        <w:jc w:val="left"/>
        <w:rPr>
          <w:rFonts w:eastAsiaTheme="minorEastAsia"/>
        </w:rPr>
      </w:pPr>
      <w:r>
        <w:rPr>
          <w:rFonts w:eastAsiaTheme="minorEastAsia"/>
        </w:rPr>
        <w:t>defined</w:t>
      </w:r>
      <w:r w:rsidR="00261BC9">
        <w:rPr>
          <w:rFonts w:eastAsiaTheme="minorEastAsia"/>
        </w:rPr>
        <w:t xml:space="preserve"> for all values of </w:t>
      </w:r>
      <w:r w:rsidR="00261BC9" w:rsidRPr="00331550">
        <w:rPr>
          <w:rFonts w:eastAsiaTheme="minorEastAsia"/>
          <w:i/>
          <w:iCs/>
        </w:rPr>
        <w:t>c</w:t>
      </w:r>
      <w:r w:rsidR="00261BC9">
        <w:rPr>
          <w:rFonts w:eastAsiaTheme="minorEastAsia"/>
        </w:rPr>
        <w:t xml:space="preserve"> and all values of </w:t>
      </w:r>
      <m:oMath>
        <m:r>
          <w:rPr>
            <w:rFonts w:ascii="Cambria Math" w:eastAsiaTheme="minorEastAsia" w:hAnsi="Cambria Math"/>
          </w:rPr>
          <m:t>c+b</m:t>
        </m:r>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d</m:t>
            </m:r>
          </m:sup>
        </m:sSup>
      </m:oMath>
      <w:r>
        <w:rPr>
          <w:rFonts w:eastAsiaTheme="minorEastAsia"/>
        </w:rPr>
        <w:t>;</w:t>
      </w:r>
    </w:p>
    <w:p w14:paraId="76ECC885" w14:textId="173A4598" w:rsidR="00235766" w:rsidRDefault="00235766" w:rsidP="00235766">
      <w:pPr>
        <w:pStyle w:val="EFSABodytext"/>
        <w:numPr>
          <w:ilvl w:val="0"/>
          <w:numId w:val="68"/>
        </w:numPr>
        <w:ind w:hanging="270"/>
        <w:jc w:val="left"/>
        <w:rPr>
          <w:rFonts w:eastAsiaTheme="minorEastAsia"/>
        </w:rPr>
      </w:pPr>
      <w:r>
        <w:rPr>
          <w:rFonts w:eastAsiaTheme="minorEastAsia"/>
        </w:rPr>
        <w:t xml:space="preserve">monotone </w:t>
      </w:r>
      <w:proofErr w:type="gramStart"/>
      <w:r w:rsidR="00261BC9" w:rsidRPr="00290107">
        <w:rPr>
          <w:rFonts w:eastAsiaTheme="minorEastAsia"/>
        </w:rPr>
        <w:t>in</w:t>
      </w:r>
      <w:r w:rsidR="009526C1" w:rsidRPr="00290107">
        <w:rPr>
          <w:rFonts w:eastAsiaTheme="minorEastAsia"/>
        </w:rPr>
        <w:t>creasing</w:t>
      </w:r>
      <w:r w:rsidRPr="00290107">
        <w:rPr>
          <w:rFonts w:eastAsiaTheme="minorEastAsia"/>
        </w:rPr>
        <w:t>;</w:t>
      </w:r>
      <w:proofErr w:type="gramEnd"/>
    </w:p>
    <w:p w14:paraId="74D58522" w14:textId="77777777" w:rsidR="00235766" w:rsidRDefault="00235766" w:rsidP="00235766">
      <w:pPr>
        <w:pStyle w:val="EFSABodytext"/>
        <w:numPr>
          <w:ilvl w:val="0"/>
          <w:numId w:val="68"/>
        </w:numPr>
        <w:ind w:hanging="270"/>
        <w:jc w:val="left"/>
        <w:rPr>
          <w:rFonts w:eastAsiaTheme="minorEastAsia"/>
        </w:rPr>
      </w:pPr>
      <m:oMath>
        <m:r>
          <w:rPr>
            <w:rFonts w:ascii="Cambria Math" w:eastAsiaTheme="minorEastAsia" w:hAnsi="Cambria Math"/>
          </w:rPr>
          <m:t>F(-∞;b,d)=0</m:t>
        </m:r>
      </m:oMath>
      <w:r>
        <w:rPr>
          <w:rFonts w:eastAsiaTheme="minorEastAsia"/>
        </w:rPr>
        <w:t xml:space="preserve"> and </w:t>
      </w:r>
      <m:oMath>
        <m:r>
          <w:rPr>
            <w:rFonts w:ascii="Cambria Math" w:eastAsiaTheme="minorEastAsia" w:hAnsi="Cambria Math"/>
          </w:rPr>
          <m:t>F(∞;b,d) =1</m:t>
        </m:r>
      </m:oMath>
      <w:r>
        <w:rPr>
          <w:rFonts w:eastAsiaTheme="minorEastAsia"/>
        </w:rPr>
        <w:t xml:space="preserve"> regardless the values of </w:t>
      </w:r>
      <m:oMath>
        <m:r>
          <w:rPr>
            <w:rFonts w:ascii="Cambria Math" w:eastAsiaTheme="minorEastAsia" w:hAnsi="Cambria Math"/>
          </w:rPr>
          <m:t>b</m:t>
        </m:r>
      </m:oMath>
      <w:r w:rsidRPr="003704B0">
        <w:rPr>
          <w:rFonts w:eastAsiaTheme="minorEastAsia"/>
        </w:rPr>
        <w:t xml:space="preserve"> and </w:t>
      </w:r>
      <m:oMath>
        <m:r>
          <w:rPr>
            <w:rFonts w:ascii="Cambria Math" w:eastAsiaTheme="minorEastAsia" w:hAnsi="Cambria Math"/>
          </w:rPr>
          <m:t>d</m:t>
        </m:r>
      </m:oMath>
      <w:r>
        <w:rPr>
          <w:rFonts w:eastAsiaTheme="minorEastAsia"/>
        </w:rPr>
        <w:t>.</w:t>
      </w:r>
    </w:p>
    <w:p w14:paraId="3E615C11" w14:textId="77777777" w:rsidR="00235766" w:rsidRDefault="00235766" w:rsidP="00235766">
      <w:pPr>
        <w:pStyle w:val="EFSABodytext"/>
        <w:ind w:left="720"/>
        <w:jc w:val="left"/>
        <w:rPr>
          <w:rFonts w:eastAsiaTheme="minorEastAsia"/>
        </w:rPr>
      </w:pPr>
      <w:r>
        <w:rPr>
          <w:rFonts w:eastAsiaTheme="minorEastAsia"/>
        </w:rPr>
        <w:t xml:space="preserve">The parameters </w:t>
      </w:r>
      <m:oMath>
        <m:r>
          <w:rPr>
            <w:rFonts w:ascii="Cambria Math" w:eastAsiaTheme="minorEastAsia" w:hAnsi="Cambria Math"/>
          </w:rPr>
          <m:t>a,b, c,d</m:t>
        </m:r>
      </m:oMath>
      <w:r>
        <w:rPr>
          <w:rFonts w:eastAsiaTheme="minorEastAsia"/>
        </w:rPr>
        <w:t xml:space="preserve"> have a particular interpretation:</w:t>
      </w:r>
    </w:p>
    <w:p w14:paraId="3815D59D" w14:textId="30ADD8CD" w:rsidR="00235766" w:rsidRPr="008318C8" w:rsidRDefault="0042004D" w:rsidP="00235766">
      <w:pPr>
        <w:pStyle w:val="EFSABodytext"/>
        <w:numPr>
          <w:ilvl w:val="0"/>
          <w:numId w:val="67"/>
        </w:numPr>
        <w:jc w:val="left"/>
        <w:rPr>
          <w:rFonts w:eastAsiaTheme="minorEastAsia"/>
        </w:rPr>
      </w:pPr>
      <m:oMath>
        <m:r>
          <w:rPr>
            <w:rFonts w:ascii="Cambria Math" w:eastAsiaTheme="minorEastAsia" w:hAnsi="Cambria Math"/>
          </w:rPr>
          <m:t>a= μ</m:t>
        </m:r>
        <m:d>
          <m:dPr>
            <m:ctrlPr>
              <w:rPr>
                <w:rFonts w:ascii="Cambria Math" w:eastAsiaTheme="minorEastAsia" w:hAnsi="Cambria Math"/>
                <w:i/>
              </w:rPr>
            </m:ctrlPr>
          </m:dPr>
          <m:e>
            <m:r>
              <w:rPr>
                <w:rFonts w:ascii="Cambria Math" w:eastAsiaTheme="minorEastAsia" w:hAnsi="Cambria Math"/>
              </w:rPr>
              <m:t>0</m:t>
            </m:r>
          </m:e>
        </m:d>
      </m:oMath>
      <w:r>
        <w:rPr>
          <w:rFonts w:eastAsiaTheme="minorEastAsia"/>
        </w:rPr>
        <w:t xml:space="preserve"> and </w:t>
      </w:r>
      <m:oMath>
        <m:r>
          <w:rPr>
            <w:rFonts w:ascii="Cambria Math" w:eastAsiaTheme="minorEastAsia" w:hAnsi="Cambria Math"/>
          </w:rPr>
          <m:t>c=</m:t>
        </m:r>
        <m:sSup>
          <m:sSupPr>
            <m:ctrlPr>
              <w:rPr>
                <w:rFonts w:ascii="Cambria Math" w:eastAsiaTheme="minorEastAsia" w:hAnsi="Cambria Math"/>
                <w:i/>
              </w:rPr>
            </m:ctrlPr>
          </m:sSupPr>
          <m:e>
            <m:r>
              <w:rPr>
                <w:rFonts w:ascii="Cambria Math" w:eastAsiaTheme="minorEastAsia" w:hAnsi="Cambria Math"/>
              </w:rPr>
              <m:t>F</m:t>
            </m:r>
          </m:e>
          <m:sup>
            <m:r>
              <w:rPr>
                <w:rFonts w:ascii="Cambria Math" w:eastAsiaTheme="minorEastAsia" w:hAnsi="Cambria Math"/>
              </w:rPr>
              <m:t>-1</m:t>
            </m:r>
          </m:sup>
        </m:sSup>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m:t>
            </m:r>
          </m:e>
        </m:d>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0</m:t>
            </m:r>
          </m:e>
        </m:d>
        <m:r>
          <w:rPr>
            <w:rFonts w:ascii="Cambria Math" w:eastAsiaTheme="minorEastAsia" w:hAnsi="Cambria Math"/>
          </w:rPr>
          <m:t>)</m:t>
        </m:r>
      </m:oMath>
      <w:r w:rsidR="00235766">
        <w:rPr>
          <w:rFonts w:eastAsiaTheme="minorEastAsia"/>
        </w:rPr>
        <w:t xml:space="preserve">  </w:t>
      </w:r>
      <w:r>
        <w:rPr>
          <w:rFonts w:eastAsiaTheme="minorEastAsia"/>
        </w:rPr>
        <w:t>d</w:t>
      </w:r>
      <w:r w:rsidR="00235766">
        <w:rPr>
          <w:rFonts w:eastAsiaTheme="minorEastAsia"/>
        </w:rPr>
        <w:t xml:space="preserve">etermine the </w:t>
      </w:r>
      <w:r w:rsidR="00235766" w:rsidRPr="003704B0">
        <w:rPr>
          <w:rFonts w:eastAsiaTheme="minorEastAsia"/>
          <w:b/>
          <w:bCs/>
        </w:rPr>
        <w:t>median background response</w:t>
      </w:r>
      <w:r w:rsidR="00235766">
        <w:rPr>
          <w:rFonts w:eastAsiaTheme="minorEastAsia"/>
        </w:rPr>
        <w:t xml:space="preserve"> and </w:t>
      </w:r>
      <w:r w:rsidR="00235766" w:rsidRPr="008318C8">
        <w:rPr>
          <w:rFonts w:eastAsiaTheme="minorEastAsia"/>
        </w:rPr>
        <w:t xml:space="preserve">the </w:t>
      </w:r>
      <w:r w:rsidR="00235766" w:rsidRPr="008318C8">
        <w:rPr>
          <w:rFonts w:eastAsiaTheme="minorEastAsia"/>
          <w:b/>
          <w:bCs/>
        </w:rPr>
        <w:t>maximum change in median response</w:t>
      </w:r>
      <w:r w:rsidR="00235766" w:rsidRPr="008318C8">
        <w:rPr>
          <w:rFonts w:eastAsiaTheme="minorEastAsia"/>
        </w:rPr>
        <w:t>, as</w:t>
      </w:r>
      <w:r w:rsidR="00235766" w:rsidRPr="0062422D">
        <w:rPr>
          <w:rFonts w:eastAsiaTheme="minorEastAsia"/>
        </w:rPr>
        <w:t xml:space="preserve"> compared to the background </w:t>
      </w:r>
      <w:proofErr w:type="gramStart"/>
      <w:r w:rsidR="00235766" w:rsidRPr="0062422D">
        <w:rPr>
          <w:rFonts w:eastAsiaTheme="minorEastAsia"/>
        </w:rPr>
        <w:t>response</w:t>
      </w:r>
      <w:r w:rsidR="00235766">
        <w:rPr>
          <w:rFonts w:eastAsiaTheme="minorEastAsia"/>
        </w:rPr>
        <w:t>;</w:t>
      </w:r>
      <w:proofErr w:type="gramEnd"/>
    </w:p>
    <w:p w14:paraId="38B0AEEB" w14:textId="77777777" w:rsidR="00235766" w:rsidRDefault="00235766" w:rsidP="00235766">
      <w:pPr>
        <w:pStyle w:val="EFSABodytext"/>
        <w:numPr>
          <w:ilvl w:val="0"/>
          <w:numId w:val="67"/>
        </w:numPr>
        <w:jc w:val="left"/>
        <w:rPr>
          <w:rFonts w:eastAsiaTheme="minorEastAsia"/>
        </w:rPr>
      </w:pPr>
      <m:oMath>
        <m:r>
          <w:rPr>
            <w:rFonts w:ascii="Cambria Math" w:eastAsiaTheme="minorEastAsia" w:hAnsi="Cambria Math"/>
          </w:rPr>
          <m:t>b</m:t>
        </m:r>
      </m:oMath>
      <w:r w:rsidRPr="003704B0">
        <w:rPr>
          <w:rFonts w:eastAsiaTheme="minorEastAsia"/>
        </w:rPr>
        <w:t xml:space="preserve"> and </w:t>
      </w:r>
      <m:oMath>
        <m:r>
          <w:rPr>
            <w:rFonts w:ascii="Cambria Math" w:eastAsiaTheme="minorEastAsia" w:hAnsi="Cambria Math"/>
          </w:rPr>
          <m:t>d</m:t>
        </m:r>
      </m:oMath>
      <w:r w:rsidRPr="003704B0">
        <w:rPr>
          <w:rFonts w:eastAsiaTheme="minorEastAsia"/>
        </w:rPr>
        <w:t xml:space="preserve"> </w:t>
      </w:r>
      <w:r>
        <w:rPr>
          <w:rFonts w:eastAsiaTheme="minorEastAsia"/>
        </w:rPr>
        <w:t xml:space="preserve">characterize </w:t>
      </w:r>
      <w:r w:rsidRPr="003704B0">
        <w:rPr>
          <w:rFonts w:eastAsiaTheme="minorEastAsia"/>
          <w:b/>
          <w:bCs/>
        </w:rPr>
        <w:t>the shape of change</w:t>
      </w:r>
      <w:r>
        <w:rPr>
          <w:rFonts w:eastAsiaTheme="minorEastAsia"/>
          <w:b/>
          <w:bCs/>
        </w:rPr>
        <w:t xml:space="preserve"> in response</w:t>
      </w:r>
      <w:r w:rsidRPr="003704B0">
        <w:rPr>
          <w:rFonts w:eastAsiaTheme="minorEastAsia"/>
          <w:b/>
          <w:bCs/>
        </w:rPr>
        <w:t xml:space="preserve"> from median background</w:t>
      </w:r>
      <w:r>
        <w:rPr>
          <w:rFonts w:eastAsiaTheme="minorEastAsia"/>
          <w:b/>
          <w:bCs/>
        </w:rPr>
        <w:t xml:space="preserve"> response</w:t>
      </w:r>
      <w:r w:rsidRPr="00A80FAF">
        <w:rPr>
          <w:rFonts w:eastAsiaTheme="minorEastAsia"/>
          <w:b/>
          <w:bCs/>
        </w:rPr>
        <w:t xml:space="preserve"> to maximum change in median response</w:t>
      </w:r>
      <w:r>
        <w:rPr>
          <w:rFonts w:eastAsiaTheme="minorEastAsia"/>
        </w:rPr>
        <w:t>, via the identity:</w:t>
      </w:r>
    </w:p>
    <w:p w14:paraId="6D3340C4" w14:textId="13D580FC" w:rsidR="00235766" w:rsidRPr="00C03CD7" w:rsidRDefault="00235766" w:rsidP="00235766">
      <w:pPr>
        <w:pStyle w:val="EFSABodytext"/>
        <w:ind w:left="1504"/>
        <w:jc w:val="left"/>
        <w:rPr>
          <w:rFonts w:eastAsiaTheme="minorEastAsia"/>
        </w:rPr>
      </w:pPr>
      <m:oMathPara>
        <m:oMath>
          <m:r>
            <w:rPr>
              <w:rFonts w:ascii="Cambria Math" w:eastAsiaTheme="minorEastAsia" w:hAnsi="Cambria Math"/>
            </w:rPr>
            <m:t>b</m:t>
          </m:r>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d</m:t>
              </m:r>
            </m:sup>
          </m:sSup>
          <m:r>
            <w:rPr>
              <w:rFonts w:ascii="Cambria Math" w:eastAsiaTheme="minorEastAsia" w:hAnsi="Cambria Math"/>
            </w:rPr>
            <m:t xml:space="preserve"> =</m:t>
          </m:r>
          <m:sSup>
            <m:sSupPr>
              <m:ctrlPr>
                <w:rPr>
                  <w:rFonts w:ascii="Cambria Math" w:eastAsiaTheme="minorEastAsia" w:hAnsi="Cambria Math"/>
                  <w:i/>
                </w:rPr>
              </m:ctrlPr>
            </m:sSupPr>
            <m:e>
              <m:r>
                <w:rPr>
                  <w:rFonts w:ascii="Cambria Math" w:eastAsiaTheme="minorEastAsia" w:hAnsi="Cambria Math"/>
                </w:rPr>
                <m:t>F</m:t>
              </m:r>
            </m:e>
            <m:sup>
              <m:r>
                <w:rPr>
                  <w:rFonts w:ascii="Cambria Math" w:eastAsiaTheme="minorEastAsia" w:hAnsi="Cambria Math"/>
                </w:rPr>
                <m:t>-1</m:t>
              </m:r>
            </m:sup>
          </m:sSup>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m:t>
              </m:r>
            </m:e>
          </m:d>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0</m:t>
              </m:r>
            </m:e>
          </m:d>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0</m:t>
              </m:r>
            </m:e>
          </m:d>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0</m:t>
              </m:r>
            </m:e>
          </m:d>
          <m:r>
            <w:rPr>
              <w:rFonts w:ascii="Cambria Math" w:eastAsiaTheme="minorEastAsia" w:hAnsi="Cambria Math"/>
            </w:rPr>
            <m:t>) -</m:t>
          </m:r>
          <m:sSup>
            <m:sSupPr>
              <m:ctrlPr>
                <w:rPr>
                  <w:rFonts w:ascii="Cambria Math" w:eastAsiaTheme="minorEastAsia" w:hAnsi="Cambria Math"/>
                  <w:i/>
                </w:rPr>
              </m:ctrlPr>
            </m:sSupPr>
            <m:e>
              <m:r>
                <w:rPr>
                  <w:rFonts w:ascii="Cambria Math" w:eastAsiaTheme="minorEastAsia" w:hAnsi="Cambria Math"/>
                </w:rPr>
                <m:t xml:space="preserve"> F</m:t>
              </m:r>
            </m:e>
            <m:sup>
              <m:r>
                <w:rPr>
                  <w:rFonts w:ascii="Cambria Math" w:eastAsiaTheme="minorEastAsia" w:hAnsi="Cambria Math"/>
                </w:rPr>
                <m:t>-1</m:t>
              </m:r>
            </m:sup>
          </m:sSup>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m:t>
              </m:r>
            </m:e>
          </m:d>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0</m:t>
              </m:r>
            </m:e>
          </m:d>
          <m:r>
            <w:rPr>
              <w:rFonts w:ascii="Cambria Math" w:eastAsiaTheme="minorEastAsia" w:hAnsi="Cambria Math"/>
            </w:rPr>
            <m:t>) ,</m:t>
          </m:r>
        </m:oMath>
      </m:oMathPara>
    </w:p>
    <w:p w14:paraId="0C2299E5" w14:textId="34ABE6B8" w:rsidR="00C03CD7" w:rsidRPr="00C03CD7" w:rsidRDefault="00C03CD7" w:rsidP="00C03CD7">
      <w:pPr>
        <w:pStyle w:val="EFSABodytext"/>
        <w:numPr>
          <w:ilvl w:val="0"/>
          <w:numId w:val="67"/>
        </w:numPr>
        <w:jc w:val="left"/>
        <w:rPr>
          <w:rFonts w:eastAsiaTheme="minorEastAsia"/>
        </w:rPr>
      </w:pPr>
      <w:r>
        <w:rPr>
          <w:rFonts w:eastAsiaTheme="minorEastAsia"/>
        </w:rPr>
        <w:t xml:space="preserve">the model is reparametrized in terms of the parameter </w:t>
      </w:r>
      <m:oMath>
        <m:r>
          <w:rPr>
            <w:rFonts w:ascii="Cambria Math" w:eastAsiaTheme="minorEastAsia" w:hAnsi="Cambria Math"/>
          </w:rPr>
          <m:t>a,c</m:t>
        </m:r>
      </m:oMath>
      <w:r>
        <w:rPr>
          <w:rFonts w:eastAsiaTheme="minorEastAsia"/>
        </w:rPr>
        <w:t xml:space="preserve"> (representing the background response and the maximum change in response), the BMD (the potency, see </w:t>
      </w:r>
      <w:r w:rsidRPr="00FC173E">
        <w:rPr>
          <w:rFonts w:eastAsiaTheme="minorEastAsia"/>
        </w:rPr>
        <w:t xml:space="preserve">Table </w:t>
      </w:r>
      <w:r w:rsidR="00A202E0" w:rsidRPr="00323293">
        <w:rPr>
          <w:rFonts w:eastAsiaTheme="minorEastAsia"/>
        </w:rPr>
        <w:t>2</w:t>
      </w:r>
      <w:r w:rsidRPr="00323293">
        <w:rPr>
          <w:rFonts w:eastAsiaTheme="minorEastAsia"/>
        </w:rPr>
        <w:t>, and replacing the</w:t>
      </w:r>
      <w:r>
        <w:rPr>
          <w:rFonts w:eastAsiaTheme="minorEastAsia"/>
        </w:rPr>
        <w:t xml:space="preserve"> parameter </w:t>
      </w:r>
      <m:oMath>
        <m:r>
          <w:rPr>
            <w:rFonts w:ascii="Cambria Math" w:eastAsiaTheme="minorEastAsia" w:hAnsi="Cambria Math"/>
          </w:rPr>
          <m:t>b</m:t>
        </m:r>
      </m:oMath>
      <w:r>
        <w:rPr>
          <w:rFonts w:eastAsiaTheme="minorEastAsia"/>
        </w:rPr>
        <w:t xml:space="preserve">) and the parameter </w:t>
      </w:r>
      <m:oMath>
        <m:r>
          <w:rPr>
            <w:rFonts w:ascii="Cambria Math" w:eastAsiaTheme="minorEastAsia" w:hAnsi="Cambria Math"/>
          </w:rPr>
          <m:t>d</m:t>
        </m:r>
      </m:oMath>
      <w:r>
        <w:rPr>
          <w:rFonts w:eastAsiaTheme="minorEastAsia"/>
        </w:rPr>
        <w:t>.</w:t>
      </w:r>
    </w:p>
    <w:p w14:paraId="00C1F5C1" w14:textId="77777777" w:rsidR="00C03CD7" w:rsidRPr="00B437B2" w:rsidRDefault="00C03CD7" w:rsidP="00235766">
      <w:pPr>
        <w:pStyle w:val="EFSABodytext"/>
        <w:ind w:left="1504"/>
        <w:jc w:val="left"/>
        <w:rPr>
          <w:rFonts w:eastAsiaTheme="minorEastAsia"/>
        </w:rPr>
      </w:pPr>
    </w:p>
    <w:p w14:paraId="5A060423" w14:textId="7AD1D55E" w:rsidR="009070F2" w:rsidRPr="00C81DA9" w:rsidRDefault="009070F2" w:rsidP="009070F2">
      <w:pPr>
        <w:pStyle w:val="Caption"/>
        <w:keepNext/>
        <w:rPr>
          <w:rFonts w:ascii="Tahoma" w:hAnsi="Tahoma" w:cs="Tahoma"/>
          <w:color w:val="auto"/>
        </w:rPr>
      </w:pPr>
      <w:r w:rsidRPr="16C32168">
        <w:rPr>
          <w:rFonts w:ascii="Tahoma" w:hAnsi="Tahoma" w:cs="Tahoma"/>
          <w:color w:val="auto"/>
        </w:rPr>
        <w:t xml:space="preserve">Table </w:t>
      </w:r>
      <w:r w:rsidR="00F34928">
        <w:rPr>
          <w:rFonts w:ascii="Tahoma" w:hAnsi="Tahoma" w:cs="Tahoma"/>
          <w:color w:val="auto"/>
        </w:rPr>
        <w:t>2</w:t>
      </w:r>
      <w:r w:rsidRPr="16C32168">
        <w:rPr>
          <w:rFonts w:ascii="Tahoma" w:hAnsi="Tahoma" w:cs="Tahoma"/>
          <w:color w:val="auto"/>
        </w:rPr>
        <w:t xml:space="preserve">: </w:t>
      </w:r>
      <w:r w:rsidR="002A3FD0" w:rsidRPr="16C32168">
        <w:rPr>
          <w:rFonts w:ascii="Tahoma" w:hAnsi="Tahoma" w:cs="Tahoma"/>
          <w:b w:val="0"/>
          <w:bCs w:val="0"/>
          <w:color w:val="auto"/>
        </w:rPr>
        <w:t>Candidate models for both distributional assumptions</w:t>
      </w:r>
      <w:r w:rsidRPr="16C32168">
        <w:rPr>
          <w:rFonts w:ascii="Tahoma" w:eastAsiaTheme="minorEastAsia" w:hAnsi="Tahoma" w:cs="Tahoma"/>
          <w:b w:val="0"/>
          <w:bCs w:val="0"/>
          <w:color w:val="auto"/>
        </w:rPr>
        <w:t>.</w:t>
      </w:r>
    </w:p>
    <w:tbl>
      <w:tblPr>
        <w:tblStyle w:val="TableGrid"/>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785"/>
        <w:gridCol w:w="1814"/>
        <w:gridCol w:w="3398"/>
        <w:gridCol w:w="2941"/>
      </w:tblGrid>
      <w:tr w:rsidR="006A44D7" w14:paraId="53B484BD" w14:textId="77777777" w:rsidTr="16C32168">
        <w:trPr>
          <w:trHeight w:val="504"/>
          <w:jc w:val="center"/>
        </w:trPr>
        <w:tc>
          <w:tcPr>
            <w:tcW w:w="0" w:type="auto"/>
            <w:vMerge w:val="restart"/>
            <w:vAlign w:val="center"/>
          </w:tcPr>
          <w:p w14:paraId="25B5C24B" w14:textId="2E5D90EB" w:rsidR="002F4459" w:rsidRDefault="002F4459" w:rsidP="000729FD">
            <w:pPr>
              <w:pStyle w:val="EFSABodytext"/>
              <w:jc w:val="center"/>
              <w:rPr>
                <w:rFonts w:eastAsia="Calibri" w:cs="Arial"/>
              </w:rPr>
            </w:pPr>
            <w:r>
              <w:rPr>
                <w:rFonts w:eastAsia="Calibri" w:cs="Arial"/>
              </w:rPr>
              <w:t>Family</w:t>
            </w:r>
          </w:p>
        </w:tc>
        <w:tc>
          <w:tcPr>
            <w:tcW w:w="0" w:type="auto"/>
            <w:vMerge w:val="restart"/>
            <w:vAlign w:val="center"/>
          </w:tcPr>
          <w:p w14:paraId="5BBF11C8" w14:textId="741005A7" w:rsidR="002F4459" w:rsidRDefault="002F4459" w:rsidP="000729FD">
            <w:pPr>
              <w:pStyle w:val="EFSABodytext"/>
              <w:jc w:val="center"/>
              <w:rPr>
                <w:rFonts w:eastAsia="Calibri" w:cs="Arial"/>
              </w:rPr>
            </w:pPr>
            <w:r>
              <w:rPr>
                <w:rFonts w:eastAsia="Calibri" w:cs="Arial"/>
              </w:rPr>
              <w:t>Model</w:t>
            </w:r>
          </w:p>
        </w:tc>
        <w:tc>
          <w:tcPr>
            <w:tcW w:w="0" w:type="auto"/>
            <w:tcBorders>
              <w:bottom w:val="single" w:sz="4" w:space="0" w:color="auto"/>
            </w:tcBorders>
          </w:tcPr>
          <w:p w14:paraId="4C1A032B" w14:textId="0D92E8C5" w:rsidR="002F4459" w:rsidRDefault="002F4459" w:rsidP="000729FD">
            <w:pPr>
              <w:pStyle w:val="EFSABodytext"/>
              <w:rPr>
                <w:rFonts w:eastAsiaTheme="minorEastAsia"/>
              </w:rPr>
            </w:pPr>
            <m:oMathPara>
              <m:oMath>
                <m:r>
                  <w:rPr>
                    <w:rFonts w:ascii="Cambria Math" w:eastAsiaTheme="minorEastAsia" w:hAnsi="Cambria Math"/>
                  </w:rPr>
                  <m:t>y|x ~</m:t>
                </m:r>
                <m:r>
                  <m:rPr>
                    <m:sty m:val="p"/>
                  </m:rPr>
                  <w:rPr>
                    <w:rFonts w:ascii="Cambria Math" w:eastAsiaTheme="minorEastAsia" w:hAnsi="Cambria Math"/>
                  </w:rPr>
                  <m:t>N</m:t>
                </m:r>
                <m:d>
                  <m:dPr>
                    <m:ctrlPr>
                      <w:rPr>
                        <w:rFonts w:ascii="Cambria Math" w:eastAsiaTheme="minorEastAsia" w:hAnsi="Cambria Math"/>
                        <w:i/>
                      </w:rPr>
                    </m:ctrlPr>
                  </m:dPr>
                  <m:e>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e>
                </m:d>
              </m:oMath>
            </m:oMathPara>
          </w:p>
        </w:tc>
        <w:tc>
          <w:tcPr>
            <w:tcW w:w="0" w:type="auto"/>
            <w:tcBorders>
              <w:bottom w:val="single" w:sz="4" w:space="0" w:color="auto"/>
            </w:tcBorders>
          </w:tcPr>
          <w:p w14:paraId="1CF85679" w14:textId="10C26FAA" w:rsidR="002F4459" w:rsidRDefault="002F4459" w:rsidP="000729FD">
            <w:pPr>
              <w:pStyle w:val="EFSABodytext"/>
              <w:rPr>
                <w:rFonts w:eastAsia="PMingLiU"/>
              </w:rPr>
            </w:pPr>
            <m:oMathPara>
              <m:oMath>
                <m:r>
                  <w:rPr>
                    <w:rFonts w:ascii="Cambria Math" w:eastAsiaTheme="minorEastAsia" w:hAnsi="Cambria Math"/>
                  </w:rPr>
                  <m:t>y|x ~</m:t>
                </m:r>
                <m:r>
                  <m:rPr>
                    <m:sty m:val="p"/>
                  </m:rPr>
                  <w:rPr>
                    <w:rFonts w:ascii="Cambria Math" w:eastAsiaTheme="minorEastAsia" w:hAnsi="Cambria Math"/>
                  </w:rPr>
                  <m:t>LOGN</m:t>
                </m:r>
                <m:d>
                  <m:dPr>
                    <m:ctrlPr>
                      <w:rPr>
                        <w:rFonts w:ascii="Cambria Math" w:eastAsiaTheme="minorEastAsia" w:hAnsi="Cambria Math"/>
                        <w:i/>
                      </w:rPr>
                    </m:ctrlPr>
                  </m:dPr>
                  <m:e>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e>
                </m:d>
              </m:oMath>
            </m:oMathPara>
          </w:p>
        </w:tc>
      </w:tr>
      <w:tr w:rsidR="006A44D7" w14:paraId="0299D157" w14:textId="77777777" w:rsidTr="16C32168">
        <w:trPr>
          <w:trHeight w:val="504"/>
          <w:jc w:val="center"/>
        </w:trPr>
        <w:tc>
          <w:tcPr>
            <w:tcW w:w="0" w:type="auto"/>
            <w:vMerge/>
          </w:tcPr>
          <w:p w14:paraId="755E4AAF" w14:textId="77777777" w:rsidR="002F4459" w:rsidRDefault="002F4459" w:rsidP="000729FD">
            <w:pPr>
              <w:pStyle w:val="EFSABodytext"/>
              <w:jc w:val="center"/>
              <w:rPr>
                <w:rFonts w:eastAsia="Calibri" w:cs="Arial"/>
              </w:rPr>
            </w:pPr>
          </w:p>
        </w:tc>
        <w:tc>
          <w:tcPr>
            <w:tcW w:w="0" w:type="auto"/>
            <w:vMerge/>
          </w:tcPr>
          <w:p w14:paraId="33D99519" w14:textId="3C99DA73" w:rsidR="002F4459" w:rsidRDefault="002F4459" w:rsidP="000729FD">
            <w:pPr>
              <w:pStyle w:val="EFSABodytext"/>
              <w:jc w:val="center"/>
              <w:rPr>
                <w:rFonts w:eastAsia="Calibri" w:cs="Arial"/>
              </w:rPr>
            </w:pPr>
          </w:p>
        </w:tc>
        <w:tc>
          <w:tcPr>
            <w:tcW w:w="0" w:type="auto"/>
            <w:tcBorders>
              <w:bottom w:val="single" w:sz="4" w:space="0" w:color="auto"/>
            </w:tcBorders>
          </w:tcPr>
          <w:p w14:paraId="3D39A684" w14:textId="0BA7B0DA" w:rsidR="002F4459" w:rsidRDefault="002F4459" w:rsidP="000729FD">
            <w:pPr>
              <w:pStyle w:val="EFSABodytext"/>
              <w:rPr>
                <w:rFonts w:eastAsiaTheme="minorEastAsia"/>
              </w:rPr>
            </w:pPr>
            <w:r>
              <w:rPr>
                <w:rFonts w:eastAsiaTheme="minorEastAsia"/>
              </w:rPr>
              <w:t xml:space="preserve">Dose response function </w:t>
            </w:r>
            <m:oMath>
              <m:d>
                <m:dPr>
                  <m:ctrlPr>
                    <w:rPr>
                      <w:rFonts w:ascii="Cambria Math" w:eastAsiaTheme="minorEastAsia" w:hAnsi="Cambria Math"/>
                      <w:i/>
                    </w:rPr>
                  </m:ctrlPr>
                </m:dPr>
                <m:e>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e>
              </m:d>
            </m:oMath>
          </w:p>
        </w:tc>
        <w:tc>
          <w:tcPr>
            <w:tcW w:w="0" w:type="auto"/>
            <w:tcBorders>
              <w:bottom w:val="single" w:sz="4" w:space="0" w:color="auto"/>
            </w:tcBorders>
          </w:tcPr>
          <w:p w14:paraId="67B5E5E6" w14:textId="63181A7B" w:rsidR="002F4459" w:rsidRDefault="002F4459" w:rsidP="000729FD">
            <w:pPr>
              <w:pStyle w:val="EFSABodytext"/>
              <w:rPr>
                <w:rFonts w:eastAsiaTheme="minorEastAsia"/>
              </w:rPr>
            </w:pPr>
            <w:r>
              <w:rPr>
                <w:rFonts w:eastAsiaTheme="minorEastAsia"/>
              </w:rPr>
              <w:t xml:space="preserve">Dose response function </w:t>
            </w:r>
            <m:oMath>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sup>
                  </m:sSup>
                </m:e>
              </m:d>
            </m:oMath>
          </w:p>
        </w:tc>
      </w:tr>
      <w:tr w:rsidR="006A44D7" w14:paraId="6810F380" w14:textId="77777777" w:rsidTr="16C32168">
        <w:trPr>
          <w:trHeight w:val="490"/>
          <w:jc w:val="center"/>
        </w:trPr>
        <w:tc>
          <w:tcPr>
            <w:tcW w:w="0" w:type="auto"/>
            <w:vMerge w:val="restart"/>
            <w:tcBorders>
              <w:top w:val="nil"/>
            </w:tcBorders>
          </w:tcPr>
          <w:p w14:paraId="71E640B5" w14:textId="1FBDF68A" w:rsidR="002F4459" w:rsidRDefault="002F4459" w:rsidP="000729FD">
            <w:pPr>
              <w:pStyle w:val="EFSABodytext"/>
              <w:rPr>
                <w:rFonts w:eastAsia="Calibri" w:cs="Arial"/>
              </w:rPr>
            </w:pPr>
            <w:r>
              <w:rPr>
                <w:rFonts w:eastAsia="Calibri" w:cs="Arial"/>
              </w:rPr>
              <w:t>1a</w:t>
            </w:r>
          </w:p>
        </w:tc>
        <w:tc>
          <w:tcPr>
            <w:tcW w:w="0" w:type="auto"/>
            <w:tcBorders>
              <w:top w:val="nil"/>
              <w:bottom w:val="nil"/>
            </w:tcBorders>
            <w:vAlign w:val="center"/>
          </w:tcPr>
          <w:p w14:paraId="18DD18B2" w14:textId="3B867B1E" w:rsidR="002F4459" w:rsidRDefault="297F2C5D" w:rsidP="000729FD">
            <w:pPr>
              <w:pStyle w:val="EFSABodytext"/>
              <w:rPr>
                <w:rFonts w:eastAsia="Calibri" w:cs="Arial"/>
              </w:rPr>
            </w:pPr>
            <w:r w:rsidRPr="16C32168">
              <w:rPr>
                <w:rFonts w:eastAsia="Calibri" w:cs="Arial"/>
              </w:rPr>
              <w:t>Exponential</w:t>
            </w:r>
            <w:r w:rsidR="3B1632E1" w:rsidRPr="16C32168">
              <w:rPr>
                <w:rFonts w:eastAsia="Calibri" w:cs="Arial"/>
                <w:vertAlign w:val="superscript"/>
              </w:rPr>
              <w:t>(</w:t>
            </w:r>
            <w:proofErr w:type="spellStart"/>
            <w:r w:rsidR="73FE438A" w:rsidRPr="16C32168">
              <w:rPr>
                <w:rFonts w:eastAsia="Calibri" w:cs="Arial"/>
                <w:vertAlign w:val="superscript"/>
              </w:rPr>
              <w:t>i</w:t>
            </w:r>
            <w:proofErr w:type="spellEnd"/>
            <w:r w:rsidR="3B1632E1" w:rsidRPr="16C32168">
              <w:rPr>
                <w:rFonts w:eastAsia="Calibri" w:cs="Arial"/>
                <w:vertAlign w:val="superscript"/>
              </w:rPr>
              <w:t>)</w:t>
            </w:r>
          </w:p>
        </w:tc>
        <w:tc>
          <w:tcPr>
            <w:tcW w:w="0" w:type="auto"/>
            <w:tcBorders>
              <w:top w:val="nil"/>
              <w:bottom w:val="nil"/>
            </w:tcBorders>
            <w:vAlign w:val="center"/>
          </w:tcPr>
          <w:p w14:paraId="750927CC" w14:textId="20AD43AC" w:rsidR="002F4459" w:rsidRPr="005650A2" w:rsidRDefault="00A76932" w:rsidP="000729FD">
            <w:pPr>
              <w:pStyle w:val="EFSABodytext"/>
              <w:rPr>
                <w:rFonts w:eastAsiaTheme="minorEastAsia"/>
                <w:iCs/>
                <w:sz w:val="18"/>
                <w:szCs w:val="18"/>
              </w:rPr>
            </w:pPr>
            <m:oMathPara>
              <m:oMath>
                <m:r>
                  <w:rPr>
                    <w:rFonts w:ascii="Cambria Math" w:eastAsiaTheme="minorEastAsia" w:hAnsi="Cambria Math"/>
                    <w:sz w:val="18"/>
                    <w:szCs w:val="18"/>
                  </w:rPr>
                  <m:t>a∙</m:t>
                </m:r>
                <m:d>
                  <m:dPr>
                    <m:ctrlPr>
                      <w:rPr>
                        <w:rFonts w:ascii="Cambria Math" w:eastAsiaTheme="minorEastAsia" w:hAnsi="Cambria Math"/>
                        <w:i/>
                        <w:sz w:val="18"/>
                        <w:szCs w:val="18"/>
                      </w:rPr>
                    </m:ctrlPr>
                  </m:dPr>
                  <m:e>
                    <m:r>
                      <w:rPr>
                        <w:rFonts w:ascii="Cambria Math" w:eastAsiaTheme="minorEastAsia" w:hAnsi="Cambria Math"/>
                        <w:sz w:val="18"/>
                        <w:szCs w:val="18"/>
                      </w:rPr>
                      <m:t>1+</m:t>
                    </m:r>
                    <m:d>
                      <m:dPr>
                        <m:ctrlPr>
                          <w:rPr>
                            <w:rFonts w:ascii="Cambria Math" w:eastAsiaTheme="minorEastAsia" w:hAnsi="Cambria Math"/>
                            <w:i/>
                            <w:sz w:val="18"/>
                            <w:szCs w:val="18"/>
                          </w:rPr>
                        </m:ctrlPr>
                      </m:dPr>
                      <m:e>
                        <m:r>
                          <w:rPr>
                            <w:rFonts w:ascii="Cambria Math" w:eastAsiaTheme="minorEastAsia" w:hAnsi="Cambria Math"/>
                            <w:sz w:val="18"/>
                            <w:szCs w:val="18"/>
                          </w:rPr>
                          <m:t>c-1</m:t>
                        </m:r>
                      </m:e>
                    </m:d>
                    <m:r>
                      <w:rPr>
                        <w:rFonts w:ascii="Cambria Math" w:eastAsiaTheme="minorEastAsia" w:hAnsi="Cambria Math"/>
                        <w:sz w:val="18"/>
                        <w:szCs w:val="18"/>
                      </w:rPr>
                      <m:t>∙</m:t>
                    </m:r>
                    <m:d>
                      <m:dPr>
                        <m:ctrlPr>
                          <w:rPr>
                            <w:rFonts w:ascii="Cambria Math" w:eastAsiaTheme="minorEastAsia" w:hAnsi="Cambria Math"/>
                            <w:i/>
                            <w:sz w:val="18"/>
                            <w:szCs w:val="18"/>
                          </w:rPr>
                        </m:ctrlPr>
                      </m:dPr>
                      <m:e>
                        <m:r>
                          <w:rPr>
                            <w:rFonts w:ascii="Cambria Math" w:eastAsiaTheme="minorEastAsia" w:hAnsi="Cambria Math"/>
                            <w:sz w:val="18"/>
                            <w:szCs w:val="18"/>
                          </w:rPr>
                          <m:t>1-</m:t>
                        </m:r>
                        <m:sSup>
                          <m:sSupPr>
                            <m:ctrlPr>
                              <w:rPr>
                                <w:rFonts w:ascii="Cambria Math" w:eastAsiaTheme="minorEastAsia" w:hAnsi="Cambria Math"/>
                                <w:i/>
                                <w:sz w:val="18"/>
                                <w:szCs w:val="18"/>
                              </w:rPr>
                            </m:ctrlPr>
                          </m:sSupPr>
                          <m:e>
                            <m:r>
                              <w:rPr>
                                <w:rFonts w:ascii="Cambria Math" w:eastAsiaTheme="minorEastAsia" w:hAnsi="Cambria Math"/>
                                <w:sz w:val="18"/>
                                <w:szCs w:val="18"/>
                              </w:rPr>
                              <m:t>e</m:t>
                            </m:r>
                          </m:e>
                          <m:sup>
                            <m:r>
                              <w:rPr>
                                <w:rFonts w:ascii="Cambria Math" w:eastAsiaTheme="minorEastAsia" w:hAnsi="Cambria Math"/>
                                <w:sz w:val="18"/>
                                <w:szCs w:val="18"/>
                              </w:rPr>
                              <m:t>-b∙</m:t>
                            </m:r>
                            <m:sSup>
                              <m:sSupPr>
                                <m:ctrlPr>
                                  <w:rPr>
                                    <w:rFonts w:ascii="Cambria Math" w:eastAsiaTheme="minorEastAsia" w:hAnsi="Cambria Math"/>
                                    <w:i/>
                                    <w:sz w:val="18"/>
                                    <w:szCs w:val="18"/>
                                  </w:rPr>
                                </m:ctrlPr>
                              </m:sSupPr>
                              <m:e>
                                <m:r>
                                  <w:rPr>
                                    <w:rFonts w:ascii="Cambria Math" w:eastAsiaTheme="minorEastAsia" w:hAnsi="Cambria Math"/>
                                    <w:sz w:val="18"/>
                                    <w:szCs w:val="18"/>
                                  </w:rPr>
                                  <m:t>x</m:t>
                                </m:r>
                              </m:e>
                              <m:sup>
                                <m:r>
                                  <w:rPr>
                                    <w:rFonts w:ascii="Cambria Math" w:eastAsiaTheme="minorEastAsia" w:hAnsi="Cambria Math"/>
                                    <w:sz w:val="18"/>
                                    <w:szCs w:val="18"/>
                                  </w:rPr>
                                  <m:t>d</m:t>
                                </m:r>
                              </m:sup>
                            </m:sSup>
                          </m:sup>
                        </m:sSup>
                      </m:e>
                    </m:d>
                  </m:e>
                </m:d>
              </m:oMath>
            </m:oMathPara>
          </w:p>
        </w:tc>
        <w:tc>
          <w:tcPr>
            <w:tcW w:w="0" w:type="auto"/>
            <w:tcBorders>
              <w:top w:val="nil"/>
              <w:bottom w:val="nil"/>
            </w:tcBorders>
            <w:vAlign w:val="center"/>
          </w:tcPr>
          <w:p w14:paraId="7B48B3B8" w14:textId="1F8CDF1E" w:rsidR="002F4459" w:rsidRPr="00EE108F" w:rsidRDefault="009615DC" w:rsidP="000729FD">
            <w:pPr>
              <w:pStyle w:val="EFSABodytext"/>
              <w:rPr>
                <w:rFonts w:eastAsiaTheme="minorEastAsia"/>
                <w:iCs/>
              </w:rPr>
            </w:pPr>
            <m:oMathPara>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a∙</m:t>
                    </m:r>
                    <m:d>
                      <m:dPr>
                        <m:ctrlPr>
                          <w:rPr>
                            <w:rFonts w:ascii="Cambria Math" w:eastAsiaTheme="minorEastAsia" w:hAnsi="Cambria Math"/>
                            <w:i/>
                          </w:rPr>
                        </m:ctrlPr>
                      </m:dPr>
                      <m:e>
                        <m:r>
                          <w:rPr>
                            <w:rFonts w:ascii="Cambria Math" w:eastAsiaTheme="minorEastAsia" w:hAnsi="Cambria Math"/>
                          </w:rPr>
                          <m:t>1+</m:t>
                        </m:r>
                        <m:d>
                          <m:dPr>
                            <m:ctrlPr>
                              <w:rPr>
                                <w:rFonts w:ascii="Cambria Math" w:eastAsiaTheme="minorEastAsia" w:hAnsi="Cambria Math"/>
                                <w:i/>
                              </w:rPr>
                            </m:ctrlPr>
                          </m:dPr>
                          <m:e>
                            <m:r>
                              <w:rPr>
                                <w:rFonts w:ascii="Cambria Math" w:eastAsiaTheme="minorEastAsia" w:hAnsi="Cambria Math"/>
                              </w:rPr>
                              <m:t>c-1</m:t>
                            </m:r>
                          </m:e>
                        </m:d>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1-</m:t>
                            </m:r>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-b∙</m:t>
                                </m:r>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d</m:t>
                                    </m:r>
                                  </m:sup>
                                </m:sSup>
                              </m:sup>
                            </m:sSup>
                          </m:e>
                        </m:d>
                      </m:e>
                    </m:d>
                  </m:sup>
                </m:sSup>
              </m:oMath>
            </m:oMathPara>
          </w:p>
        </w:tc>
      </w:tr>
      <w:tr w:rsidR="006A44D7" w14:paraId="2EE68D43" w14:textId="77777777" w:rsidTr="16C32168">
        <w:trPr>
          <w:trHeight w:val="490"/>
          <w:jc w:val="center"/>
        </w:trPr>
        <w:tc>
          <w:tcPr>
            <w:tcW w:w="0" w:type="auto"/>
            <w:vMerge/>
          </w:tcPr>
          <w:p w14:paraId="34A6ACA8" w14:textId="77777777" w:rsidR="002F4459" w:rsidRPr="008318C8" w:rsidRDefault="002F4459" w:rsidP="000729FD">
            <w:pPr>
              <w:pStyle w:val="EFSABodytext"/>
              <w:rPr>
                <w:rFonts w:ascii="Calibri" w:eastAsia="Calibri" w:hAnsi="Calibri" w:cs="Arial"/>
                <w:iCs/>
              </w:rPr>
            </w:pPr>
          </w:p>
        </w:tc>
        <w:tc>
          <w:tcPr>
            <w:tcW w:w="0" w:type="auto"/>
            <w:tcBorders>
              <w:top w:val="nil"/>
              <w:bottom w:val="nil"/>
            </w:tcBorders>
            <w:vAlign w:val="center"/>
          </w:tcPr>
          <w:p w14:paraId="01332EA2" w14:textId="75159A0D" w:rsidR="002F4459" w:rsidRPr="008318C8" w:rsidRDefault="002F4459" w:rsidP="000729FD">
            <w:pPr>
              <w:pStyle w:val="EFSABodytext"/>
              <w:rPr>
                <w:rFonts w:ascii="Calibri" w:eastAsia="Calibri" w:hAnsi="Calibri" w:cs="Arial"/>
                <w:iCs/>
              </w:rPr>
            </w:pPr>
            <w:r>
              <w:rPr>
                <w:rFonts w:ascii="Calibri" w:eastAsia="Calibri" w:hAnsi="Calibri" w:cs="Arial"/>
                <w:iCs/>
              </w:rPr>
              <w:t>Inverse Exponential</w:t>
            </w:r>
          </w:p>
        </w:tc>
        <w:tc>
          <w:tcPr>
            <w:tcW w:w="0" w:type="auto"/>
            <w:tcBorders>
              <w:top w:val="nil"/>
              <w:bottom w:val="nil"/>
            </w:tcBorders>
            <w:vAlign w:val="center"/>
          </w:tcPr>
          <w:p w14:paraId="23909DF9" w14:textId="218BB929" w:rsidR="002F4459" w:rsidRPr="005650A2" w:rsidRDefault="00A76932" w:rsidP="000729FD">
            <w:pPr>
              <w:pStyle w:val="EFSABodytext"/>
              <w:rPr>
                <w:rFonts w:eastAsia="Calibri" w:cs="Arial"/>
                <w:iCs/>
                <w:sz w:val="18"/>
                <w:szCs w:val="18"/>
              </w:rPr>
            </w:pPr>
            <m:oMathPara>
              <m:oMath>
                <m:r>
                  <w:rPr>
                    <w:rFonts w:ascii="Cambria Math" w:eastAsiaTheme="minorEastAsia" w:hAnsi="Cambria Math"/>
                    <w:sz w:val="18"/>
                    <w:szCs w:val="18"/>
                  </w:rPr>
                  <m:t>a∙</m:t>
                </m:r>
                <m:d>
                  <m:dPr>
                    <m:ctrlPr>
                      <w:rPr>
                        <w:rFonts w:ascii="Cambria Math" w:eastAsiaTheme="minorEastAsia" w:hAnsi="Cambria Math"/>
                        <w:i/>
                        <w:sz w:val="18"/>
                        <w:szCs w:val="18"/>
                      </w:rPr>
                    </m:ctrlPr>
                  </m:dPr>
                  <m:e>
                    <m:r>
                      <w:rPr>
                        <w:rFonts w:ascii="Cambria Math" w:eastAsiaTheme="minorEastAsia" w:hAnsi="Cambria Math"/>
                        <w:sz w:val="18"/>
                        <w:szCs w:val="18"/>
                      </w:rPr>
                      <m:t>1+</m:t>
                    </m:r>
                    <m:d>
                      <m:dPr>
                        <m:ctrlPr>
                          <w:rPr>
                            <w:rFonts w:ascii="Cambria Math" w:eastAsiaTheme="minorEastAsia" w:hAnsi="Cambria Math"/>
                            <w:i/>
                            <w:sz w:val="18"/>
                            <w:szCs w:val="18"/>
                          </w:rPr>
                        </m:ctrlPr>
                      </m:dPr>
                      <m:e>
                        <m:r>
                          <w:rPr>
                            <w:rFonts w:ascii="Cambria Math" w:eastAsiaTheme="minorEastAsia" w:hAnsi="Cambria Math"/>
                            <w:sz w:val="18"/>
                            <w:szCs w:val="18"/>
                          </w:rPr>
                          <m:t>c-1</m:t>
                        </m:r>
                      </m:e>
                    </m:d>
                    <m:r>
                      <w:rPr>
                        <w:rFonts w:ascii="Cambria Math" w:eastAsiaTheme="minorEastAsia" w:hAnsi="Cambria Math"/>
                        <w:sz w:val="18"/>
                        <w:szCs w:val="18"/>
                      </w:rPr>
                      <m:t>∙</m:t>
                    </m:r>
                    <m:sSup>
                      <m:sSupPr>
                        <m:ctrlPr>
                          <w:rPr>
                            <w:rFonts w:ascii="Cambria Math" w:eastAsiaTheme="minorEastAsia" w:hAnsi="Cambria Math"/>
                            <w:i/>
                            <w:sz w:val="18"/>
                            <w:szCs w:val="18"/>
                          </w:rPr>
                        </m:ctrlPr>
                      </m:sSupPr>
                      <m:e>
                        <m:r>
                          <w:rPr>
                            <w:rFonts w:ascii="Cambria Math" w:eastAsiaTheme="minorEastAsia" w:hAnsi="Cambria Math"/>
                            <w:sz w:val="18"/>
                            <w:szCs w:val="18"/>
                          </w:rPr>
                          <m:t>e</m:t>
                        </m:r>
                      </m:e>
                      <m:sup>
                        <m:r>
                          <w:rPr>
                            <w:rFonts w:ascii="Cambria Math" w:eastAsiaTheme="minorEastAsia" w:hAnsi="Cambria Math"/>
                            <w:sz w:val="18"/>
                            <w:szCs w:val="18"/>
                          </w:rPr>
                          <m:t>-b∙</m:t>
                        </m:r>
                        <m:sSup>
                          <m:sSupPr>
                            <m:ctrlPr>
                              <w:rPr>
                                <w:rFonts w:ascii="Cambria Math" w:eastAsiaTheme="minorEastAsia" w:hAnsi="Cambria Math"/>
                                <w:i/>
                                <w:sz w:val="18"/>
                                <w:szCs w:val="18"/>
                              </w:rPr>
                            </m:ctrlPr>
                          </m:sSupPr>
                          <m:e>
                            <m:r>
                              <w:rPr>
                                <w:rFonts w:ascii="Cambria Math" w:eastAsiaTheme="minorEastAsia" w:hAnsi="Cambria Math"/>
                                <w:sz w:val="18"/>
                                <w:szCs w:val="18"/>
                              </w:rPr>
                              <m:t>x</m:t>
                            </m:r>
                          </m:e>
                          <m:sup>
                            <m:r>
                              <w:rPr>
                                <w:rFonts w:ascii="Cambria Math" w:eastAsiaTheme="minorEastAsia" w:hAnsi="Cambria Math"/>
                                <w:sz w:val="18"/>
                                <w:szCs w:val="18"/>
                              </w:rPr>
                              <m:t>-d</m:t>
                            </m:r>
                          </m:sup>
                        </m:sSup>
                      </m:sup>
                    </m:sSup>
                  </m:e>
                </m:d>
              </m:oMath>
            </m:oMathPara>
          </w:p>
        </w:tc>
        <w:tc>
          <w:tcPr>
            <w:tcW w:w="0" w:type="auto"/>
            <w:tcBorders>
              <w:top w:val="nil"/>
              <w:bottom w:val="nil"/>
            </w:tcBorders>
            <w:vAlign w:val="center"/>
          </w:tcPr>
          <w:p w14:paraId="7E0917DF" w14:textId="4B601ADE" w:rsidR="002F4459" w:rsidRPr="00EE108F" w:rsidRDefault="009615DC" w:rsidP="000729FD">
            <w:pPr>
              <w:pStyle w:val="EFSABodytext"/>
              <w:rPr>
                <w:rFonts w:eastAsia="PMingLiU"/>
                <w:iCs/>
              </w:rPr>
            </w:pPr>
            <m:oMathPara>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a∙</m:t>
                    </m:r>
                    <m:d>
                      <m:dPr>
                        <m:ctrlPr>
                          <w:rPr>
                            <w:rFonts w:ascii="Cambria Math" w:eastAsiaTheme="minorEastAsia" w:hAnsi="Cambria Math"/>
                            <w:i/>
                          </w:rPr>
                        </m:ctrlPr>
                      </m:dPr>
                      <m:e>
                        <m:r>
                          <w:rPr>
                            <w:rFonts w:ascii="Cambria Math" w:eastAsiaTheme="minorEastAsia" w:hAnsi="Cambria Math"/>
                          </w:rPr>
                          <m:t>1+</m:t>
                        </m:r>
                        <m:d>
                          <m:dPr>
                            <m:ctrlPr>
                              <w:rPr>
                                <w:rFonts w:ascii="Cambria Math" w:eastAsiaTheme="minorEastAsia" w:hAnsi="Cambria Math"/>
                                <w:i/>
                              </w:rPr>
                            </m:ctrlPr>
                          </m:dPr>
                          <m:e>
                            <m:r>
                              <w:rPr>
                                <w:rFonts w:ascii="Cambria Math" w:eastAsiaTheme="minorEastAsia" w:hAnsi="Cambria Math"/>
                              </w:rPr>
                              <m:t>c-1</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-b∙</m:t>
                            </m:r>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-d</m:t>
                                </m:r>
                              </m:sup>
                            </m:sSup>
                          </m:sup>
                        </m:sSup>
                      </m:e>
                    </m:d>
                  </m:sup>
                </m:sSup>
              </m:oMath>
            </m:oMathPara>
          </w:p>
        </w:tc>
      </w:tr>
      <w:tr w:rsidR="006A44D7" w14:paraId="3C64F348" w14:textId="77777777" w:rsidTr="16C32168">
        <w:trPr>
          <w:trHeight w:val="490"/>
          <w:jc w:val="center"/>
        </w:trPr>
        <w:tc>
          <w:tcPr>
            <w:tcW w:w="0" w:type="auto"/>
            <w:vMerge/>
          </w:tcPr>
          <w:p w14:paraId="57FFF364" w14:textId="77777777" w:rsidR="002F4459" w:rsidRPr="008318C8" w:rsidRDefault="002F4459" w:rsidP="000729FD">
            <w:pPr>
              <w:pStyle w:val="EFSABodytext"/>
              <w:rPr>
                <w:rFonts w:ascii="Calibri" w:eastAsia="Calibri" w:hAnsi="Calibri" w:cs="Arial"/>
                <w:iCs/>
              </w:rPr>
            </w:pPr>
          </w:p>
        </w:tc>
        <w:tc>
          <w:tcPr>
            <w:tcW w:w="0" w:type="auto"/>
            <w:tcBorders>
              <w:top w:val="nil"/>
              <w:bottom w:val="nil"/>
            </w:tcBorders>
            <w:vAlign w:val="center"/>
          </w:tcPr>
          <w:p w14:paraId="791E9BC0" w14:textId="4DAC7DD0" w:rsidR="002F4459" w:rsidRPr="008318C8" w:rsidRDefault="297F2C5D" w:rsidP="16C32168">
            <w:pPr>
              <w:pStyle w:val="EFSABodytext"/>
              <w:rPr>
                <w:rFonts w:ascii="Calibri" w:eastAsia="Calibri" w:hAnsi="Calibri" w:cs="Arial"/>
              </w:rPr>
            </w:pPr>
            <w:r w:rsidRPr="16C32168">
              <w:rPr>
                <w:rFonts w:ascii="Calibri" w:eastAsia="Calibri" w:hAnsi="Calibri" w:cs="Arial"/>
              </w:rPr>
              <w:t>Hill</w:t>
            </w:r>
            <w:r w:rsidR="4D3BA265" w:rsidRPr="16C32168">
              <w:rPr>
                <w:rFonts w:ascii="Calibri" w:eastAsia="Calibri" w:hAnsi="Calibri" w:cs="Arial"/>
                <w:vertAlign w:val="superscript"/>
              </w:rPr>
              <w:t>(ii)</w:t>
            </w:r>
          </w:p>
        </w:tc>
        <w:tc>
          <w:tcPr>
            <w:tcW w:w="0" w:type="auto"/>
            <w:tcBorders>
              <w:top w:val="nil"/>
              <w:bottom w:val="nil"/>
            </w:tcBorders>
            <w:vAlign w:val="center"/>
          </w:tcPr>
          <w:p w14:paraId="264A1AF3" w14:textId="308FCC88" w:rsidR="002F4459" w:rsidRPr="005650A2" w:rsidRDefault="007A3BFB" w:rsidP="000729FD">
            <w:pPr>
              <w:pStyle w:val="EFSABodytext"/>
              <w:rPr>
                <w:rFonts w:eastAsia="Calibri" w:cs="Arial"/>
                <w:iCs/>
                <w:sz w:val="18"/>
                <w:szCs w:val="18"/>
              </w:rPr>
            </w:pPr>
            <m:oMathPara>
              <m:oMath>
                <m:r>
                  <w:rPr>
                    <w:rFonts w:ascii="Cambria Math" w:eastAsiaTheme="minorEastAsia" w:hAnsi="Cambria Math"/>
                    <w:sz w:val="18"/>
                    <w:szCs w:val="18"/>
                  </w:rPr>
                  <m:t>a∙</m:t>
                </m:r>
                <m:d>
                  <m:dPr>
                    <m:ctrlPr>
                      <w:rPr>
                        <w:rFonts w:ascii="Cambria Math" w:eastAsiaTheme="minorEastAsia" w:hAnsi="Cambria Math"/>
                        <w:i/>
                        <w:sz w:val="18"/>
                        <w:szCs w:val="18"/>
                      </w:rPr>
                    </m:ctrlPr>
                  </m:dPr>
                  <m:e>
                    <m:r>
                      <w:rPr>
                        <w:rFonts w:ascii="Cambria Math" w:eastAsiaTheme="minorEastAsia" w:hAnsi="Cambria Math"/>
                        <w:sz w:val="18"/>
                        <w:szCs w:val="18"/>
                      </w:rPr>
                      <m:t>1+</m:t>
                    </m:r>
                    <m:d>
                      <m:dPr>
                        <m:ctrlPr>
                          <w:rPr>
                            <w:rFonts w:ascii="Cambria Math" w:eastAsiaTheme="minorEastAsia" w:hAnsi="Cambria Math"/>
                            <w:i/>
                            <w:sz w:val="18"/>
                            <w:szCs w:val="18"/>
                          </w:rPr>
                        </m:ctrlPr>
                      </m:dPr>
                      <m:e>
                        <m:r>
                          <w:rPr>
                            <w:rFonts w:ascii="Cambria Math" w:eastAsiaTheme="minorEastAsia" w:hAnsi="Cambria Math"/>
                            <w:sz w:val="18"/>
                            <w:szCs w:val="18"/>
                          </w:rPr>
                          <m:t>c-1</m:t>
                        </m:r>
                      </m:e>
                    </m:d>
                    <m:r>
                      <w:rPr>
                        <w:rFonts w:ascii="Cambria Math" w:eastAsiaTheme="minorEastAsia" w:hAnsi="Cambria Math"/>
                        <w:sz w:val="18"/>
                        <w:szCs w:val="18"/>
                      </w:rPr>
                      <m:t>∙</m:t>
                    </m:r>
                    <m:d>
                      <m:dPr>
                        <m:ctrlPr>
                          <w:rPr>
                            <w:rFonts w:ascii="Cambria Math" w:eastAsiaTheme="minorEastAsia" w:hAnsi="Cambria Math"/>
                            <w:i/>
                            <w:sz w:val="18"/>
                            <w:szCs w:val="18"/>
                          </w:rPr>
                        </m:ctrlPr>
                      </m:dPr>
                      <m:e>
                        <m:r>
                          <w:rPr>
                            <w:rFonts w:ascii="Cambria Math" w:eastAsiaTheme="minorEastAsia" w:hAnsi="Cambria Math"/>
                            <w:sz w:val="18"/>
                            <w:szCs w:val="18"/>
                          </w:rPr>
                          <m:t>1-</m:t>
                        </m:r>
                        <m:f>
                          <m:fPr>
                            <m:ctrlPr>
                              <w:rPr>
                                <w:rFonts w:ascii="Cambria Math" w:eastAsiaTheme="minorEastAsia" w:hAnsi="Cambria Math"/>
                                <w:i/>
                                <w:sz w:val="18"/>
                                <w:szCs w:val="18"/>
                              </w:rPr>
                            </m:ctrlPr>
                          </m:fPr>
                          <m:num>
                            <m:r>
                              <w:rPr>
                                <w:rFonts w:ascii="Cambria Math" w:eastAsiaTheme="minorEastAsia" w:hAnsi="Cambria Math"/>
                                <w:sz w:val="18"/>
                                <w:szCs w:val="18"/>
                              </w:rPr>
                              <m:t>b</m:t>
                            </m:r>
                          </m:num>
                          <m:den>
                            <m:r>
                              <w:rPr>
                                <w:rFonts w:ascii="Cambria Math" w:eastAsiaTheme="minorEastAsia" w:hAnsi="Cambria Math"/>
                                <w:sz w:val="18"/>
                                <w:szCs w:val="18"/>
                              </w:rPr>
                              <m:t>b+</m:t>
                            </m:r>
                            <m:sSup>
                              <m:sSupPr>
                                <m:ctrlPr>
                                  <w:rPr>
                                    <w:rFonts w:ascii="Cambria Math" w:eastAsiaTheme="minorEastAsia" w:hAnsi="Cambria Math"/>
                                    <w:i/>
                                    <w:sz w:val="18"/>
                                    <w:szCs w:val="18"/>
                                  </w:rPr>
                                </m:ctrlPr>
                              </m:sSupPr>
                              <m:e>
                                <m:r>
                                  <w:rPr>
                                    <w:rFonts w:ascii="Cambria Math" w:eastAsiaTheme="minorEastAsia" w:hAnsi="Cambria Math"/>
                                    <w:sz w:val="18"/>
                                    <w:szCs w:val="18"/>
                                  </w:rPr>
                                  <m:t>x</m:t>
                                </m:r>
                              </m:e>
                              <m:sup>
                                <m:r>
                                  <w:rPr>
                                    <w:rFonts w:ascii="Cambria Math" w:eastAsiaTheme="minorEastAsia" w:hAnsi="Cambria Math"/>
                                    <w:sz w:val="18"/>
                                    <w:szCs w:val="18"/>
                                  </w:rPr>
                                  <m:t>d</m:t>
                                </m:r>
                              </m:sup>
                            </m:sSup>
                          </m:den>
                        </m:f>
                      </m:e>
                    </m:d>
                  </m:e>
                </m:d>
              </m:oMath>
            </m:oMathPara>
          </w:p>
        </w:tc>
        <w:tc>
          <w:tcPr>
            <w:tcW w:w="0" w:type="auto"/>
            <w:tcBorders>
              <w:top w:val="nil"/>
              <w:bottom w:val="nil"/>
            </w:tcBorders>
            <w:vAlign w:val="center"/>
          </w:tcPr>
          <w:p w14:paraId="03F89C0C" w14:textId="4E5B4989" w:rsidR="002F4459" w:rsidRPr="00EE108F" w:rsidRDefault="009615DC" w:rsidP="000729FD">
            <w:pPr>
              <w:pStyle w:val="EFSABodytext"/>
              <w:rPr>
                <w:rFonts w:eastAsia="PMingLiU"/>
                <w:iCs/>
              </w:rPr>
            </w:pPr>
            <m:oMathPara>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a∙</m:t>
                    </m:r>
                    <m:d>
                      <m:dPr>
                        <m:ctrlPr>
                          <w:rPr>
                            <w:rFonts w:ascii="Cambria Math" w:eastAsiaTheme="minorEastAsia" w:hAnsi="Cambria Math"/>
                            <w:i/>
                          </w:rPr>
                        </m:ctrlPr>
                      </m:dPr>
                      <m:e>
                        <m:r>
                          <w:rPr>
                            <w:rFonts w:ascii="Cambria Math" w:eastAsiaTheme="minorEastAsia" w:hAnsi="Cambria Math"/>
                          </w:rPr>
                          <m:t>1+</m:t>
                        </m:r>
                        <m:d>
                          <m:dPr>
                            <m:ctrlPr>
                              <w:rPr>
                                <w:rFonts w:ascii="Cambria Math" w:eastAsiaTheme="minorEastAsia" w:hAnsi="Cambria Math"/>
                                <w:i/>
                              </w:rPr>
                            </m:ctrlPr>
                          </m:dPr>
                          <m:e>
                            <m:r>
                              <w:rPr>
                                <w:rFonts w:ascii="Cambria Math" w:eastAsiaTheme="minorEastAsia" w:hAnsi="Cambria Math"/>
                              </w:rPr>
                              <m:t>c-1</m:t>
                            </m:r>
                          </m:e>
                        </m:d>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1-</m:t>
                            </m:r>
                            <m:f>
                              <m:fPr>
                                <m:ctrlPr>
                                  <w:rPr>
                                    <w:rFonts w:ascii="Cambria Math" w:eastAsiaTheme="minorEastAsia" w:hAnsi="Cambria Math"/>
                                    <w:i/>
                                  </w:rPr>
                                </m:ctrlPr>
                              </m:fPr>
                              <m:num>
                                <m:r>
                                  <w:rPr>
                                    <w:rFonts w:ascii="Cambria Math" w:eastAsiaTheme="minorEastAsia" w:hAnsi="Cambria Math"/>
                                  </w:rPr>
                                  <m:t>b</m:t>
                                </m:r>
                              </m:num>
                              <m:den>
                                <m:r>
                                  <w:rPr>
                                    <w:rFonts w:ascii="Cambria Math" w:eastAsiaTheme="minorEastAsia" w:hAnsi="Cambria Math"/>
                                  </w:rPr>
                                  <m:t>b+</m:t>
                                </m:r>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d</m:t>
                                    </m:r>
                                  </m:sup>
                                </m:sSup>
                              </m:den>
                            </m:f>
                          </m:e>
                        </m:d>
                      </m:e>
                    </m:d>
                  </m:sup>
                </m:sSup>
              </m:oMath>
            </m:oMathPara>
          </w:p>
        </w:tc>
      </w:tr>
      <w:tr w:rsidR="006A44D7" w14:paraId="137BB16F" w14:textId="77777777" w:rsidTr="16C32168">
        <w:trPr>
          <w:trHeight w:val="490"/>
          <w:jc w:val="center"/>
        </w:trPr>
        <w:tc>
          <w:tcPr>
            <w:tcW w:w="0" w:type="auto"/>
            <w:vMerge/>
          </w:tcPr>
          <w:p w14:paraId="37E3D229" w14:textId="77777777" w:rsidR="002F4459" w:rsidRPr="008318C8" w:rsidRDefault="002F4459" w:rsidP="000729FD">
            <w:pPr>
              <w:pStyle w:val="EFSABodytext"/>
              <w:rPr>
                <w:rFonts w:ascii="Calibri" w:eastAsia="Calibri" w:hAnsi="Calibri" w:cs="Arial"/>
                <w:iCs/>
              </w:rPr>
            </w:pPr>
          </w:p>
        </w:tc>
        <w:tc>
          <w:tcPr>
            <w:tcW w:w="0" w:type="auto"/>
            <w:tcBorders>
              <w:top w:val="nil"/>
              <w:bottom w:val="single" w:sz="4" w:space="0" w:color="auto"/>
            </w:tcBorders>
            <w:vAlign w:val="center"/>
          </w:tcPr>
          <w:p w14:paraId="416E1402" w14:textId="2F6F11D6" w:rsidR="002F4459" w:rsidRPr="008318C8" w:rsidRDefault="002F4459" w:rsidP="000729FD">
            <w:pPr>
              <w:pStyle w:val="EFSABodytext"/>
              <w:rPr>
                <w:rFonts w:ascii="Calibri" w:eastAsia="Calibri" w:hAnsi="Calibri" w:cs="Arial"/>
                <w:iCs/>
              </w:rPr>
            </w:pPr>
            <w:r>
              <w:rPr>
                <w:rFonts w:ascii="Calibri" w:eastAsia="Calibri" w:hAnsi="Calibri" w:cs="Arial"/>
                <w:iCs/>
              </w:rPr>
              <w:t>Log-Norm</w:t>
            </w:r>
            <w:r w:rsidR="004938AF">
              <w:rPr>
                <w:rFonts w:ascii="Calibri" w:eastAsia="Calibri" w:hAnsi="Calibri" w:cs="Arial"/>
                <w:iCs/>
              </w:rPr>
              <w:t>al</w:t>
            </w:r>
          </w:p>
        </w:tc>
        <w:tc>
          <w:tcPr>
            <w:tcW w:w="0" w:type="auto"/>
            <w:tcBorders>
              <w:top w:val="nil"/>
              <w:bottom w:val="single" w:sz="4" w:space="0" w:color="auto"/>
            </w:tcBorders>
            <w:vAlign w:val="center"/>
          </w:tcPr>
          <w:p w14:paraId="370261F3" w14:textId="0943F737" w:rsidR="002F4459" w:rsidRPr="005650A2" w:rsidRDefault="005650A2" w:rsidP="000729FD">
            <w:pPr>
              <w:pStyle w:val="EFSABodytext"/>
              <w:rPr>
                <w:rFonts w:eastAsia="Calibri" w:cs="Arial"/>
                <w:iCs/>
                <w:sz w:val="18"/>
                <w:szCs w:val="18"/>
              </w:rPr>
            </w:pPr>
            <m:oMathPara>
              <m:oMath>
                <m:r>
                  <w:rPr>
                    <w:rFonts w:ascii="Cambria Math" w:eastAsiaTheme="minorEastAsia" w:hAnsi="Cambria Math"/>
                    <w:sz w:val="18"/>
                    <w:szCs w:val="18"/>
                  </w:rPr>
                  <m:t>a∙</m:t>
                </m:r>
                <m:d>
                  <m:dPr>
                    <m:ctrlPr>
                      <w:rPr>
                        <w:rFonts w:ascii="Cambria Math" w:eastAsiaTheme="minorEastAsia" w:hAnsi="Cambria Math"/>
                        <w:i/>
                        <w:sz w:val="18"/>
                        <w:szCs w:val="18"/>
                      </w:rPr>
                    </m:ctrlPr>
                  </m:dPr>
                  <m:e>
                    <m:r>
                      <w:rPr>
                        <w:rFonts w:ascii="Cambria Math" w:eastAsiaTheme="minorEastAsia" w:hAnsi="Cambria Math"/>
                        <w:sz w:val="18"/>
                        <w:szCs w:val="18"/>
                      </w:rPr>
                      <m:t>1+</m:t>
                    </m:r>
                    <m:d>
                      <m:dPr>
                        <m:ctrlPr>
                          <w:rPr>
                            <w:rFonts w:ascii="Cambria Math" w:eastAsiaTheme="minorEastAsia" w:hAnsi="Cambria Math"/>
                            <w:i/>
                            <w:sz w:val="18"/>
                            <w:szCs w:val="18"/>
                          </w:rPr>
                        </m:ctrlPr>
                      </m:dPr>
                      <m:e>
                        <m:r>
                          <w:rPr>
                            <w:rFonts w:ascii="Cambria Math" w:eastAsiaTheme="minorEastAsia" w:hAnsi="Cambria Math"/>
                            <w:sz w:val="18"/>
                            <w:szCs w:val="18"/>
                          </w:rPr>
                          <m:t>c-1</m:t>
                        </m:r>
                      </m:e>
                    </m:d>
                    <m:r>
                      <w:rPr>
                        <w:rFonts w:ascii="Cambria Math" w:eastAsiaTheme="minorEastAsia" w:hAnsi="Cambria Math"/>
                        <w:sz w:val="18"/>
                        <w:szCs w:val="18"/>
                      </w:rPr>
                      <m:t>∙</m:t>
                    </m:r>
                    <m:r>
                      <m:rPr>
                        <m:sty m:val="p"/>
                      </m:rPr>
                      <w:rPr>
                        <w:rFonts w:ascii="Cambria Math" w:eastAsiaTheme="minorEastAsia" w:hAnsi="Cambria Math"/>
                        <w:sz w:val="18"/>
                        <w:szCs w:val="18"/>
                      </w:rPr>
                      <m:t>Φ</m:t>
                    </m:r>
                    <m:d>
                      <m:dPr>
                        <m:ctrlPr>
                          <w:rPr>
                            <w:rFonts w:ascii="Cambria Math" w:eastAsiaTheme="minorEastAsia" w:hAnsi="Cambria Math"/>
                            <w:i/>
                            <w:sz w:val="18"/>
                            <w:szCs w:val="18"/>
                          </w:rPr>
                        </m:ctrlPr>
                      </m:dPr>
                      <m:e>
                        <m:r>
                          <w:rPr>
                            <w:rFonts w:ascii="Cambria Math" w:eastAsiaTheme="minorEastAsia" w:hAnsi="Cambria Math"/>
                            <w:sz w:val="18"/>
                            <w:szCs w:val="18"/>
                          </w:rPr>
                          <m:t>log</m:t>
                        </m:r>
                        <m:d>
                          <m:dPr>
                            <m:ctrlPr>
                              <w:rPr>
                                <w:rFonts w:ascii="Cambria Math" w:eastAsiaTheme="minorEastAsia" w:hAnsi="Cambria Math"/>
                                <w:i/>
                                <w:sz w:val="18"/>
                                <w:szCs w:val="18"/>
                              </w:rPr>
                            </m:ctrlPr>
                          </m:dPr>
                          <m:e>
                            <m:r>
                              <w:rPr>
                                <w:rFonts w:ascii="Cambria Math" w:eastAsiaTheme="minorEastAsia" w:hAnsi="Cambria Math"/>
                                <w:sz w:val="18"/>
                                <w:szCs w:val="18"/>
                              </w:rPr>
                              <m:t>b</m:t>
                            </m:r>
                          </m:e>
                        </m:d>
                        <m:r>
                          <w:rPr>
                            <w:rFonts w:ascii="Cambria Math" w:eastAsiaTheme="minorEastAsia" w:hAnsi="Cambria Math"/>
                            <w:sz w:val="18"/>
                            <w:szCs w:val="18"/>
                          </w:rPr>
                          <m:t>+d∙log</m:t>
                        </m:r>
                        <m:d>
                          <m:dPr>
                            <m:ctrlPr>
                              <w:rPr>
                                <w:rFonts w:ascii="Cambria Math" w:eastAsiaTheme="minorEastAsia" w:hAnsi="Cambria Math"/>
                                <w:i/>
                                <w:sz w:val="18"/>
                                <w:szCs w:val="18"/>
                              </w:rPr>
                            </m:ctrlPr>
                          </m:dPr>
                          <m:e>
                            <m:r>
                              <w:rPr>
                                <w:rFonts w:ascii="Cambria Math" w:eastAsiaTheme="minorEastAsia" w:hAnsi="Cambria Math"/>
                                <w:sz w:val="18"/>
                                <w:szCs w:val="18"/>
                              </w:rPr>
                              <m:t>x</m:t>
                            </m:r>
                          </m:e>
                        </m:d>
                      </m:e>
                    </m:d>
                  </m:e>
                </m:d>
              </m:oMath>
            </m:oMathPara>
          </w:p>
        </w:tc>
        <w:tc>
          <w:tcPr>
            <w:tcW w:w="0" w:type="auto"/>
            <w:tcBorders>
              <w:top w:val="nil"/>
              <w:bottom w:val="single" w:sz="4" w:space="0" w:color="auto"/>
            </w:tcBorders>
            <w:vAlign w:val="center"/>
          </w:tcPr>
          <w:p w14:paraId="71747D38" w14:textId="3288E04E" w:rsidR="002F4459" w:rsidRPr="00EE108F" w:rsidRDefault="009615DC" w:rsidP="000729FD">
            <w:pPr>
              <w:pStyle w:val="EFSABodytext"/>
              <w:rPr>
                <w:rFonts w:eastAsia="PMingLiU"/>
                <w:iCs/>
              </w:rPr>
            </w:pPr>
            <m:oMathPara>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a∙</m:t>
                    </m:r>
                    <m:d>
                      <m:dPr>
                        <m:ctrlPr>
                          <w:rPr>
                            <w:rFonts w:ascii="Cambria Math" w:eastAsiaTheme="minorEastAsia" w:hAnsi="Cambria Math"/>
                            <w:i/>
                          </w:rPr>
                        </m:ctrlPr>
                      </m:dPr>
                      <m:e>
                        <m:r>
                          <w:rPr>
                            <w:rFonts w:ascii="Cambria Math" w:eastAsiaTheme="minorEastAsia" w:hAnsi="Cambria Math"/>
                          </w:rPr>
                          <m:t>1+</m:t>
                        </m:r>
                        <m:d>
                          <m:dPr>
                            <m:ctrlPr>
                              <w:rPr>
                                <w:rFonts w:ascii="Cambria Math" w:eastAsiaTheme="minorEastAsia" w:hAnsi="Cambria Math"/>
                                <w:i/>
                              </w:rPr>
                            </m:ctrlPr>
                          </m:dPr>
                          <m:e>
                            <m:r>
                              <w:rPr>
                                <w:rFonts w:ascii="Cambria Math" w:eastAsiaTheme="minorEastAsia" w:hAnsi="Cambria Math"/>
                              </w:rPr>
                              <m:t>c-1</m:t>
                            </m:r>
                          </m:e>
                        </m:d>
                        <m:r>
                          <w:rPr>
                            <w:rFonts w:ascii="Cambria Math" w:eastAsiaTheme="minorEastAsia" w:hAnsi="Cambria Math"/>
                          </w:rPr>
                          <m:t>∙</m:t>
                        </m:r>
                        <m:r>
                          <m:rPr>
                            <m:sty m:val="p"/>
                          </m:rPr>
                          <w:rPr>
                            <w:rFonts w:ascii="Cambria Math" w:eastAsiaTheme="minorEastAsia" w:hAnsi="Cambria Math"/>
                          </w:rPr>
                          <m:t>Φ</m:t>
                        </m:r>
                        <m:d>
                          <m:dPr>
                            <m:ctrlPr>
                              <w:rPr>
                                <w:rFonts w:ascii="Cambria Math" w:eastAsiaTheme="minorEastAsia" w:hAnsi="Cambria Math"/>
                                <w:i/>
                              </w:rPr>
                            </m:ctrlPr>
                          </m:dPr>
                          <m:e>
                            <m:r>
                              <w:rPr>
                                <w:rFonts w:ascii="Cambria Math" w:eastAsiaTheme="minorEastAsia" w:hAnsi="Cambria Math"/>
                              </w:rPr>
                              <m:t>log</m:t>
                            </m:r>
                            <m:d>
                              <m:dPr>
                                <m:ctrlPr>
                                  <w:rPr>
                                    <w:rFonts w:ascii="Cambria Math" w:eastAsiaTheme="minorEastAsia" w:hAnsi="Cambria Math"/>
                                    <w:i/>
                                  </w:rPr>
                                </m:ctrlPr>
                              </m:dPr>
                              <m:e>
                                <m:r>
                                  <w:rPr>
                                    <w:rFonts w:ascii="Cambria Math" w:eastAsiaTheme="minorEastAsia" w:hAnsi="Cambria Math"/>
                                  </w:rPr>
                                  <m:t>b</m:t>
                                </m:r>
                              </m:e>
                            </m:d>
                            <m:r>
                              <w:rPr>
                                <w:rFonts w:ascii="Cambria Math" w:eastAsiaTheme="minorEastAsia" w:hAnsi="Cambria Math"/>
                              </w:rPr>
                              <m:t>+d∙log</m:t>
                            </m:r>
                            <m:d>
                              <m:dPr>
                                <m:ctrlPr>
                                  <w:rPr>
                                    <w:rFonts w:ascii="Cambria Math" w:eastAsiaTheme="minorEastAsia" w:hAnsi="Cambria Math"/>
                                    <w:i/>
                                  </w:rPr>
                                </m:ctrlPr>
                              </m:dPr>
                              <m:e>
                                <m:r>
                                  <w:rPr>
                                    <w:rFonts w:ascii="Cambria Math" w:eastAsiaTheme="minorEastAsia" w:hAnsi="Cambria Math"/>
                                  </w:rPr>
                                  <m:t>x</m:t>
                                </m:r>
                              </m:e>
                            </m:d>
                          </m:e>
                        </m:d>
                      </m:e>
                    </m:d>
                  </m:sup>
                </m:sSup>
              </m:oMath>
            </m:oMathPara>
          </w:p>
        </w:tc>
      </w:tr>
      <w:tr w:rsidR="006A44D7" w14:paraId="23664B29" w14:textId="77777777" w:rsidTr="16C32168">
        <w:trPr>
          <w:trHeight w:val="490"/>
          <w:jc w:val="center"/>
        </w:trPr>
        <w:tc>
          <w:tcPr>
            <w:tcW w:w="0" w:type="auto"/>
            <w:vMerge w:val="restart"/>
            <w:tcBorders>
              <w:top w:val="single" w:sz="4" w:space="0" w:color="auto"/>
            </w:tcBorders>
          </w:tcPr>
          <w:p w14:paraId="4696033C" w14:textId="651D224C" w:rsidR="002F4459" w:rsidRPr="008318C8" w:rsidRDefault="002F4459" w:rsidP="000729FD">
            <w:pPr>
              <w:pStyle w:val="EFSABodytext"/>
              <w:rPr>
                <w:rFonts w:ascii="Calibri" w:eastAsia="Calibri" w:hAnsi="Calibri" w:cs="Arial"/>
                <w:iCs/>
              </w:rPr>
            </w:pPr>
            <w:r>
              <w:rPr>
                <w:rFonts w:ascii="Calibri" w:eastAsia="Calibri" w:hAnsi="Calibri" w:cs="Arial"/>
                <w:iCs/>
              </w:rPr>
              <w:t>1b</w:t>
            </w:r>
          </w:p>
        </w:tc>
        <w:tc>
          <w:tcPr>
            <w:tcW w:w="0" w:type="auto"/>
            <w:tcBorders>
              <w:top w:val="single" w:sz="4" w:space="0" w:color="auto"/>
              <w:bottom w:val="nil"/>
            </w:tcBorders>
            <w:vAlign w:val="center"/>
          </w:tcPr>
          <w:p w14:paraId="3A0C8AF2" w14:textId="0AB694A7" w:rsidR="002F4459" w:rsidRPr="008318C8" w:rsidRDefault="004938AF" w:rsidP="000729FD">
            <w:pPr>
              <w:pStyle w:val="EFSABodytext"/>
              <w:rPr>
                <w:rFonts w:ascii="Calibri" w:eastAsia="Calibri" w:hAnsi="Calibri" w:cs="Arial"/>
                <w:iCs/>
              </w:rPr>
            </w:pPr>
            <w:r>
              <w:rPr>
                <w:rFonts w:ascii="Calibri" w:eastAsia="Calibri" w:hAnsi="Calibri" w:cs="Arial"/>
                <w:iCs/>
              </w:rPr>
              <w:t>Gamma</w:t>
            </w:r>
          </w:p>
        </w:tc>
        <w:tc>
          <w:tcPr>
            <w:tcW w:w="0" w:type="auto"/>
            <w:tcBorders>
              <w:top w:val="single" w:sz="4" w:space="0" w:color="auto"/>
              <w:bottom w:val="nil"/>
            </w:tcBorders>
            <w:vAlign w:val="center"/>
          </w:tcPr>
          <w:p w14:paraId="0E3B4946" w14:textId="11E55AC6" w:rsidR="002F4459" w:rsidRPr="00A00788" w:rsidRDefault="008A3A78" w:rsidP="000729FD">
            <w:pPr>
              <w:pStyle w:val="EFSABodytext"/>
              <w:rPr>
                <w:rFonts w:eastAsia="Calibri" w:cs="Arial"/>
                <w:iCs/>
                <w:sz w:val="18"/>
                <w:szCs w:val="18"/>
              </w:rPr>
            </w:pPr>
            <m:oMathPara>
              <m:oMath>
                <m:r>
                  <w:rPr>
                    <w:rFonts w:ascii="Cambria Math" w:eastAsiaTheme="minorEastAsia" w:hAnsi="Cambria Math"/>
                    <w:sz w:val="18"/>
                    <w:szCs w:val="18"/>
                  </w:rPr>
                  <m:t>a∙</m:t>
                </m:r>
                <m:d>
                  <m:dPr>
                    <m:ctrlPr>
                      <w:rPr>
                        <w:rFonts w:ascii="Cambria Math" w:eastAsiaTheme="minorEastAsia" w:hAnsi="Cambria Math"/>
                        <w:i/>
                        <w:sz w:val="18"/>
                        <w:szCs w:val="18"/>
                      </w:rPr>
                    </m:ctrlPr>
                  </m:dPr>
                  <m:e>
                    <m:r>
                      <w:rPr>
                        <w:rFonts w:ascii="Cambria Math" w:eastAsiaTheme="minorEastAsia" w:hAnsi="Cambria Math"/>
                        <w:sz w:val="18"/>
                        <w:szCs w:val="18"/>
                      </w:rPr>
                      <m:t>1+</m:t>
                    </m:r>
                    <m:d>
                      <m:dPr>
                        <m:ctrlPr>
                          <w:rPr>
                            <w:rFonts w:ascii="Cambria Math" w:eastAsiaTheme="minorEastAsia" w:hAnsi="Cambria Math"/>
                            <w:i/>
                            <w:sz w:val="18"/>
                            <w:szCs w:val="18"/>
                          </w:rPr>
                        </m:ctrlPr>
                      </m:dPr>
                      <m:e>
                        <m:r>
                          <w:rPr>
                            <w:rFonts w:ascii="Cambria Math" w:eastAsiaTheme="minorEastAsia" w:hAnsi="Cambria Math"/>
                            <w:sz w:val="18"/>
                            <w:szCs w:val="18"/>
                          </w:rPr>
                          <m:t>c-1</m:t>
                        </m:r>
                      </m:e>
                    </m:d>
                    <m:r>
                      <w:rPr>
                        <w:rFonts w:ascii="Cambria Math" w:eastAsiaTheme="minorEastAsia" w:hAnsi="Cambria Math"/>
                        <w:sz w:val="18"/>
                        <w:szCs w:val="18"/>
                      </w:rPr>
                      <m:t>∙</m:t>
                    </m:r>
                    <m:f>
                      <m:fPr>
                        <m:ctrlPr>
                          <w:rPr>
                            <w:rFonts w:ascii="Cambria Math" w:eastAsiaTheme="minorEastAsia" w:hAnsi="Cambria Math"/>
                            <w:i/>
                            <w:sz w:val="18"/>
                            <w:szCs w:val="18"/>
                          </w:rPr>
                        </m:ctrlPr>
                      </m:fPr>
                      <m:num>
                        <m:r>
                          <w:rPr>
                            <w:rFonts w:ascii="Cambria Math" w:eastAsiaTheme="minorEastAsia" w:hAnsi="Cambria Math"/>
                            <w:sz w:val="18"/>
                            <w:szCs w:val="18"/>
                          </w:rPr>
                          <m:t>γ</m:t>
                        </m:r>
                        <m:d>
                          <m:dPr>
                            <m:ctrlPr>
                              <w:rPr>
                                <w:rFonts w:ascii="Cambria Math" w:eastAsiaTheme="minorEastAsia" w:hAnsi="Cambria Math"/>
                                <w:i/>
                                <w:sz w:val="18"/>
                                <w:szCs w:val="18"/>
                              </w:rPr>
                            </m:ctrlPr>
                          </m:dPr>
                          <m:e>
                            <m:r>
                              <w:rPr>
                                <w:rFonts w:ascii="Cambria Math" w:eastAsiaTheme="minorEastAsia" w:hAnsi="Cambria Math"/>
                                <w:sz w:val="18"/>
                                <w:szCs w:val="18"/>
                              </w:rPr>
                              <m:t>d, b∙x</m:t>
                            </m:r>
                          </m:e>
                        </m:d>
                      </m:num>
                      <m:den>
                        <m:r>
                          <m:rPr>
                            <m:sty m:val="p"/>
                          </m:rPr>
                          <w:rPr>
                            <w:rFonts w:ascii="Cambria Math" w:eastAsiaTheme="minorEastAsia" w:hAnsi="Cambria Math"/>
                            <w:sz w:val="18"/>
                            <w:szCs w:val="18"/>
                          </w:rPr>
                          <m:t>Γ</m:t>
                        </m:r>
                        <m:d>
                          <m:dPr>
                            <m:ctrlPr>
                              <w:rPr>
                                <w:rFonts w:ascii="Cambria Math" w:eastAsiaTheme="minorEastAsia" w:hAnsi="Cambria Math"/>
                                <w:i/>
                                <w:sz w:val="18"/>
                                <w:szCs w:val="18"/>
                              </w:rPr>
                            </m:ctrlPr>
                          </m:dPr>
                          <m:e>
                            <m:r>
                              <w:rPr>
                                <w:rFonts w:ascii="Cambria Math" w:eastAsiaTheme="minorEastAsia" w:hAnsi="Cambria Math"/>
                                <w:sz w:val="18"/>
                                <w:szCs w:val="18"/>
                              </w:rPr>
                              <m:t>d</m:t>
                            </m:r>
                          </m:e>
                        </m:d>
                      </m:den>
                    </m:f>
                  </m:e>
                </m:d>
              </m:oMath>
            </m:oMathPara>
          </w:p>
        </w:tc>
        <w:tc>
          <w:tcPr>
            <w:tcW w:w="0" w:type="auto"/>
            <w:tcBorders>
              <w:top w:val="single" w:sz="4" w:space="0" w:color="auto"/>
              <w:bottom w:val="nil"/>
            </w:tcBorders>
            <w:vAlign w:val="center"/>
          </w:tcPr>
          <w:p w14:paraId="1376B05D" w14:textId="0EFDBE11" w:rsidR="002F4459" w:rsidRPr="00EE108F" w:rsidRDefault="009615DC" w:rsidP="000729FD">
            <w:pPr>
              <w:pStyle w:val="EFSABodytext"/>
              <w:rPr>
                <w:rFonts w:eastAsia="PMingLiU"/>
                <w:iCs/>
              </w:rPr>
            </w:pPr>
            <m:oMathPara>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a∙</m:t>
                    </m:r>
                    <m:d>
                      <m:dPr>
                        <m:ctrlPr>
                          <w:rPr>
                            <w:rFonts w:ascii="Cambria Math" w:eastAsiaTheme="minorEastAsia" w:hAnsi="Cambria Math"/>
                            <w:i/>
                          </w:rPr>
                        </m:ctrlPr>
                      </m:dPr>
                      <m:e>
                        <m:r>
                          <w:rPr>
                            <w:rFonts w:ascii="Cambria Math" w:eastAsiaTheme="minorEastAsia" w:hAnsi="Cambria Math"/>
                          </w:rPr>
                          <m:t>1+</m:t>
                        </m:r>
                        <m:d>
                          <m:dPr>
                            <m:ctrlPr>
                              <w:rPr>
                                <w:rFonts w:ascii="Cambria Math" w:eastAsiaTheme="minorEastAsia" w:hAnsi="Cambria Math"/>
                                <w:i/>
                              </w:rPr>
                            </m:ctrlPr>
                          </m:dPr>
                          <m:e>
                            <m:r>
                              <w:rPr>
                                <w:rFonts w:ascii="Cambria Math" w:eastAsiaTheme="minorEastAsia" w:hAnsi="Cambria Math"/>
                              </w:rPr>
                              <m:t>c-1</m:t>
                            </m:r>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γ</m:t>
                            </m:r>
                            <m:d>
                              <m:dPr>
                                <m:ctrlPr>
                                  <w:rPr>
                                    <w:rFonts w:ascii="Cambria Math" w:eastAsiaTheme="minorEastAsia" w:hAnsi="Cambria Math"/>
                                    <w:i/>
                                  </w:rPr>
                                </m:ctrlPr>
                              </m:dPr>
                              <m:e>
                                <m:r>
                                  <w:rPr>
                                    <w:rFonts w:ascii="Cambria Math" w:eastAsiaTheme="minorEastAsia" w:hAnsi="Cambria Math"/>
                                  </w:rPr>
                                  <m:t>d, b∙x</m:t>
                                </m:r>
                              </m:e>
                            </m:d>
                          </m:num>
                          <m:den>
                            <m:r>
                              <m:rPr>
                                <m:sty m:val="p"/>
                              </m:rPr>
                              <w:rPr>
                                <w:rFonts w:ascii="Cambria Math" w:eastAsiaTheme="minorEastAsia" w:hAnsi="Cambria Math"/>
                              </w:rPr>
                              <m:t>Γ</m:t>
                            </m:r>
                            <m:d>
                              <m:dPr>
                                <m:ctrlPr>
                                  <w:rPr>
                                    <w:rFonts w:ascii="Cambria Math" w:eastAsiaTheme="minorEastAsia" w:hAnsi="Cambria Math"/>
                                    <w:i/>
                                  </w:rPr>
                                </m:ctrlPr>
                              </m:dPr>
                              <m:e>
                                <m:r>
                                  <w:rPr>
                                    <w:rFonts w:ascii="Cambria Math" w:eastAsiaTheme="minorEastAsia" w:hAnsi="Cambria Math"/>
                                  </w:rPr>
                                  <m:t>d</m:t>
                                </m:r>
                              </m:e>
                            </m:d>
                          </m:den>
                        </m:f>
                      </m:e>
                    </m:d>
                  </m:sup>
                </m:sSup>
              </m:oMath>
            </m:oMathPara>
          </w:p>
        </w:tc>
      </w:tr>
      <w:tr w:rsidR="006A44D7" w14:paraId="6A131F5C" w14:textId="77777777" w:rsidTr="16C32168">
        <w:trPr>
          <w:trHeight w:val="490"/>
          <w:jc w:val="center"/>
        </w:trPr>
        <w:tc>
          <w:tcPr>
            <w:tcW w:w="0" w:type="auto"/>
            <w:vMerge/>
          </w:tcPr>
          <w:p w14:paraId="1A7B537F" w14:textId="77777777" w:rsidR="002F4459" w:rsidRPr="008318C8" w:rsidRDefault="002F4459" w:rsidP="000729FD">
            <w:pPr>
              <w:pStyle w:val="EFSABodytext"/>
              <w:rPr>
                <w:rFonts w:ascii="Calibri" w:eastAsia="Calibri" w:hAnsi="Calibri" w:cs="Arial"/>
                <w:iCs/>
              </w:rPr>
            </w:pPr>
          </w:p>
        </w:tc>
        <w:tc>
          <w:tcPr>
            <w:tcW w:w="0" w:type="auto"/>
            <w:tcBorders>
              <w:top w:val="nil"/>
              <w:bottom w:val="single" w:sz="4" w:space="0" w:color="auto"/>
            </w:tcBorders>
            <w:vAlign w:val="center"/>
          </w:tcPr>
          <w:p w14:paraId="78658154" w14:textId="2861E1C2" w:rsidR="002F4459" w:rsidRPr="008318C8" w:rsidRDefault="004938AF" w:rsidP="000729FD">
            <w:pPr>
              <w:pStyle w:val="EFSABodytext"/>
              <w:rPr>
                <w:rFonts w:ascii="Calibri" w:eastAsia="Calibri" w:hAnsi="Calibri" w:cs="Arial"/>
                <w:iCs/>
              </w:rPr>
            </w:pPr>
            <w:r>
              <w:rPr>
                <w:rFonts w:ascii="Calibri" w:eastAsia="Calibri" w:hAnsi="Calibri" w:cs="Arial"/>
                <w:iCs/>
              </w:rPr>
              <w:t>LMS-two stage</w:t>
            </w:r>
          </w:p>
        </w:tc>
        <w:tc>
          <w:tcPr>
            <w:tcW w:w="0" w:type="auto"/>
            <w:tcBorders>
              <w:top w:val="nil"/>
              <w:bottom w:val="single" w:sz="4" w:space="0" w:color="auto"/>
            </w:tcBorders>
            <w:vAlign w:val="center"/>
          </w:tcPr>
          <w:p w14:paraId="691F62EF" w14:textId="6DB6342B" w:rsidR="002F4459" w:rsidRPr="00A00788" w:rsidRDefault="008A3A78" w:rsidP="000729FD">
            <w:pPr>
              <w:pStyle w:val="EFSABodytext"/>
              <w:rPr>
                <w:rFonts w:eastAsia="Calibri" w:cs="Arial"/>
                <w:iCs/>
                <w:sz w:val="18"/>
                <w:szCs w:val="18"/>
              </w:rPr>
            </w:pPr>
            <m:oMathPara>
              <m:oMath>
                <m:r>
                  <w:rPr>
                    <w:rFonts w:ascii="Cambria Math" w:eastAsiaTheme="minorEastAsia" w:hAnsi="Cambria Math"/>
                    <w:sz w:val="18"/>
                    <w:szCs w:val="18"/>
                  </w:rPr>
                  <m:t>a∙</m:t>
                </m:r>
                <m:d>
                  <m:dPr>
                    <m:ctrlPr>
                      <w:rPr>
                        <w:rFonts w:ascii="Cambria Math" w:eastAsiaTheme="minorEastAsia" w:hAnsi="Cambria Math"/>
                        <w:i/>
                        <w:sz w:val="18"/>
                        <w:szCs w:val="18"/>
                      </w:rPr>
                    </m:ctrlPr>
                  </m:dPr>
                  <m:e>
                    <m:r>
                      <w:rPr>
                        <w:rFonts w:ascii="Cambria Math" w:eastAsiaTheme="minorEastAsia" w:hAnsi="Cambria Math"/>
                        <w:sz w:val="18"/>
                        <w:szCs w:val="18"/>
                      </w:rPr>
                      <m:t>1+</m:t>
                    </m:r>
                    <m:d>
                      <m:dPr>
                        <m:ctrlPr>
                          <w:rPr>
                            <w:rFonts w:ascii="Cambria Math" w:eastAsiaTheme="minorEastAsia" w:hAnsi="Cambria Math"/>
                            <w:i/>
                            <w:sz w:val="18"/>
                            <w:szCs w:val="18"/>
                          </w:rPr>
                        </m:ctrlPr>
                      </m:dPr>
                      <m:e>
                        <m:r>
                          <w:rPr>
                            <w:rFonts w:ascii="Cambria Math" w:eastAsiaTheme="minorEastAsia" w:hAnsi="Cambria Math"/>
                            <w:sz w:val="18"/>
                            <w:szCs w:val="18"/>
                          </w:rPr>
                          <m:t>c-1</m:t>
                        </m:r>
                      </m:e>
                    </m:d>
                    <m:r>
                      <w:rPr>
                        <w:rFonts w:ascii="Cambria Math" w:eastAsiaTheme="minorEastAsia" w:hAnsi="Cambria Math"/>
                        <w:sz w:val="18"/>
                        <w:szCs w:val="18"/>
                      </w:rPr>
                      <m:t>∙</m:t>
                    </m:r>
                    <m:d>
                      <m:dPr>
                        <m:ctrlPr>
                          <w:rPr>
                            <w:rFonts w:ascii="Cambria Math" w:eastAsiaTheme="minorEastAsia" w:hAnsi="Cambria Math"/>
                            <w:i/>
                            <w:sz w:val="18"/>
                            <w:szCs w:val="18"/>
                          </w:rPr>
                        </m:ctrlPr>
                      </m:dPr>
                      <m:e>
                        <m:r>
                          <w:rPr>
                            <w:rFonts w:ascii="Cambria Math" w:eastAsiaTheme="minorEastAsia" w:hAnsi="Cambria Math"/>
                            <w:sz w:val="18"/>
                            <w:szCs w:val="18"/>
                          </w:rPr>
                          <m:t>1-</m:t>
                        </m:r>
                        <m:sSup>
                          <m:sSupPr>
                            <m:ctrlPr>
                              <w:rPr>
                                <w:rFonts w:ascii="Cambria Math" w:eastAsiaTheme="minorEastAsia" w:hAnsi="Cambria Math"/>
                                <w:i/>
                                <w:sz w:val="18"/>
                                <w:szCs w:val="18"/>
                              </w:rPr>
                            </m:ctrlPr>
                          </m:sSupPr>
                          <m:e>
                            <m:r>
                              <w:rPr>
                                <w:rFonts w:ascii="Cambria Math" w:eastAsiaTheme="minorEastAsia" w:hAnsi="Cambria Math"/>
                                <w:sz w:val="18"/>
                                <w:szCs w:val="18"/>
                              </w:rPr>
                              <m:t>e</m:t>
                            </m:r>
                          </m:e>
                          <m:sup>
                            <m:r>
                              <w:rPr>
                                <w:rFonts w:ascii="Cambria Math" w:eastAsiaTheme="minorEastAsia" w:hAnsi="Cambria Math"/>
                                <w:sz w:val="18"/>
                                <w:szCs w:val="18"/>
                              </w:rPr>
                              <m:t>-b∙</m:t>
                            </m:r>
                            <m:sSup>
                              <m:sSupPr>
                                <m:ctrlPr>
                                  <w:rPr>
                                    <w:rFonts w:ascii="Cambria Math" w:eastAsiaTheme="minorEastAsia" w:hAnsi="Cambria Math"/>
                                    <w:i/>
                                    <w:sz w:val="18"/>
                                    <w:szCs w:val="18"/>
                                  </w:rPr>
                                </m:ctrlPr>
                              </m:sSupPr>
                              <m:e>
                                <m:r>
                                  <w:rPr>
                                    <w:rFonts w:ascii="Cambria Math" w:eastAsiaTheme="minorEastAsia" w:hAnsi="Cambria Math"/>
                                    <w:sz w:val="18"/>
                                    <w:szCs w:val="18"/>
                                  </w:rPr>
                                  <m:t>x-d∙x</m:t>
                                </m:r>
                              </m:e>
                              <m:sup>
                                <m:r>
                                  <w:rPr>
                                    <w:rFonts w:ascii="Cambria Math" w:eastAsiaTheme="minorEastAsia" w:hAnsi="Cambria Math"/>
                                    <w:sz w:val="18"/>
                                    <w:szCs w:val="18"/>
                                  </w:rPr>
                                  <m:t>2</m:t>
                                </m:r>
                              </m:sup>
                            </m:sSup>
                          </m:sup>
                        </m:sSup>
                      </m:e>
                    </m:d>
                  </m:e>
                </m:d>
              </m:oMath>
            </m:oMathPara>
          </w:p>
        </w:tc>
        <w:tc>
          <w:tcPr>
            <w:tcW w:w="0" w:type="auto"/>
            <w:tcBorders>
              <w:top w:val="nil"/>
              <w:bottom w:val="single" w:sz="4" w:space="0" w:color="auto"/>
            </w:tcBorders>
            <w:vAlign w:val="center"/>
          </w:tcPr>
          <w:p w14:paraId="7423488F" w14:textId="59BF6D7C" w:rsidR="002F4459" w:rsidRPr="00EE108F" w:rsidRDefault="009615DC" w:rsidP="000729FD">
            <w:pPr>
              <w:pStyle w:val="EFSABodytext"/>
              <w:rPr>
                <w:rFonts w:eastAsia="PMingLiU"/>
                <w:iCs/>
              </w:rPr>
            </w:pPr>
            <m:oMathPara>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a∙</m:t>
                    </m:r>
                    <m:d>
                      <m:dPr>
                        <m:ctrlPr>
                          <w:rPr>
                            <w:rFonts w:ascii="Cambria Math" w:eastAsiaTheme="minorEastAsia" w:hAnsi="Cambria Math"/>
                            <w:i/>
                          </w:rPr>
                        </m:ctrlPr>
                      </m:dPr>
                      <m:e>
                        <m:r>
                          <w:rPr>
                            <w:rFonts w:ascii="Cambria Math" w:eastAsiaTheme="minorEastAsia" w:hAnsi="Cambria Math"/>
                          </w:rPr>
                          <m:t>1+</m:t>
                        </m:r>
                        <m:d>
                          <m:dPr>
                            <m:ctrlPr>
                              <w:rPr>
                                <w:rFonts w:ascii="Cambria Math" w:eastAsiaTheme="minorEastAsia" w:hAnsi="Cambria Math"/>
                                <w:i/>
                              </w:rPr>
                            </m:ctrlPr>
                          </m:dPr>
                          <m:e>
                            <m:r>
                              <w:rPr>
                                <w:rFonts w:ascii="Cambria Math" w:eastAsiaTheme="minorEastAsia" w:hAnsi="Cambria Math"/>
                              </w:rPr>
                              <m:t>c-1</m:t>
                            </m:r>
                          </m:e>
                        </m:d>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1-</m:t>
                            </m:r>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-b∙</m:t>
                                </m:r>
                                <m:sSup>
                                  <m:sSupPr>
                                    <m:ctrlPr>
                                      <w:rPr>
                                        <w:rFonts w:ascii="Cambria Math" w:eastAsiaTheme="minorEastAsia" w:hAnsi="Cambria Math"/>
                                        <w:i/>
                                      </w:rPr>
                                    </m:ctrlPr>
                                  </m:sSupPr>
                                  <m:e>
                                    <m:r>
                                      <w:rPr>
                                        <w:rFonts w:ascii="Cambria Math" w:eastAsiaTheme="minorEastAsia" w:hAnsi="Cambria Math"/>
                                      </w:rPr>
                                      <m:t>x-d∙x</m:t>
                                    </m:r>
                                  </m:e>
                                  <m:sup>
                                    <m:r>
                                      <w:rPr>
                                        <w:rFonts w:ascii="Cambria Math" w:eastAsiaTheme="minorEastAsia" w:hAnsi="Cambria Math"/>
                                      </w:rPr>
                                      <m:t>2</m:t>
                                    </m:r>
                                  </m:sup>
                                </m:sSup>
                              </m:sup>
                            </m:sSup>
                          </m:e>
                        </m:d>
                      </m:e>
                    </m:d>
                  </m:sup>
                </m:sSup>
              </m:oMath>
            </m:oMathPara>
          </w:p>
        </w:tc>
      </w:tr>
      <w:tr w:rsidR="006A44D7" w14:paraId="46CF4A16" w14:textId="77777777" w:rsidTr="16C32168">
        <w:trPr>
          <w:trHeight w:val="490"/>
          <w:jc w:val="center"/>
        </w:trPr>
        <w:tc>
          <w:tcPr>
            <w:tcW w:w="0" w:type="auto"/>
            <w:vMerge w:val="restart"/>
            <w:tcBorders>
              <w:top w:val="single" w:sz="4" w:space="0" w:color="auto"/>
            </w:tcBorders>
          </w:tcPr>
          <w:p w14:paraId="1581B53E" w14:textId="182E8C17" w:rsidR="002F4459" w:rsidRPr="008318C8" w:rsidRDefault="002F4459" w:rsidP="000729FD">
            <w:pPr>
              <w:pStyle w:val="EFSABodytext"/>
              <w:rPr>
                <w:rFonts w:ascii="Calibri" w:eastAsia="Calibri" w:hAnsi="Calibri" w:cs="Arial"/>
                <w:iCs/>
              </w:rPr>
            </w:pPr>
            <w:r>
              <w:rPr>
                <w:rFonts w:ascii="Calibri" w:eastAsia="Calibri" w:hAnsi="Calibri" w:cs="Arial"/>
                <w:iCs/>
              </w:rPr>
              <w:t>2</w:t>
            </w:r>
          </w:p>
        </w:tc>
        <w:tc>
          <w:tcPr>
            <w:tcW w:w="0" w:type="auto"/>
            <w:tcBorders>
              <w:top w:val="single" w:sz="4" w:space="0" w:color="auto"/>
              <w:bottom w:val="nil"/>
            </w:tcBorders>
            <w:vAlign w:val="center"/>
          </w:tcPr>
          <w:p w14:paraId="5BAFB4F3" w14:textId="0878C917" w:rsidR="002F4459" w:rsidRPr="008318C8" w:rsidRDefault="004938AF" w:rsidP="000729FD">
            <w:pPr>
              <w:pStyle w:val="EFSABodytext"/>
              <w:rPr>
                <w:rFonts w:ascii="Calibri" w:eastAsia="Calibri" w:hAnsi="Calibri" w:cs="Arial"/>
                <w:iCs/>
              </w:rPr>
            </w:pPr>
            <w:proofErr w:type="spellStart"/>
            <w:r>
              <w:rPr>
                <w:rFonts w:ascii="Calibri" w:eastAsia="Calibri" w:hAnsi="Calibri" w:cs="Arial"/>
                <w:iCs/>
              </w:rPr>
              <w:t>Probit</w:t>
            </w:r>
            <w:proofErr w:type="spellEnd"/>
            <w:r>
              <w:rPr>
                <w:rFonts w:ascii="Calibri" w:eastAsia="Calibri" w:hAnsi="Calibri" w:cs="Arial"/>
                <w:iCs/>
              </w:rPr>
              <w:t xml:space="preserve"> </w:t>
            </w:r>
            <w:r w:rsidR="006A0082">
              <w:rPr>
                <w:rFonts w:ascii="Calibri" w:eastAsia="Calibri" w:hAnsi="Calibri" w:cs="Arial"/>
                <w:iCs/>
              </w:rPr>
              <w:t>increasing</w:t>
            </w:r>
          </w:p>
        </w:tc>
        <w:tc>
          <w:tcPr>
            <w:tcW w:w="0" w:type="auto"/>
            <w:tcBorders>
              <w:top w:val="single" w:sz="4" w:space="0" w:color="auto"/>
              <w:bottom w:val="nil"/>
            </w:tcBorders>
            <w:vAlign w:val="center"/>
          </w:tcPr>
          <w:p w14:paraId="7EBDA770" w14:textId="2B3A9558" w:rsidR="002F4459" w:rsidRPr="00A00788" w:rsidRDefault="00134865" w:rsidP="000729FD">
            <w:pPr>
              <w:pStyle w:val="EFSABodytext"/>
              <w:rPr>
                <w:rFonts w:eastAsia="Calibri" w:cs="Arial"/>
                <w:iCs/>
                <w:sz w:val="18"/>
                <w:szCs w:val="18"/>
              </w:rPr>
            </w:pPr>
            <m:oMathPara>
              <m:oMath>
                <m:r>
                  <w:rPr>
                    <w:rFonts w:ascii="Cambria Math" w:eastAsiaTheme="minorEastAsia" w:hAnsi="Cambria Math"/>
                    <w:sz w:val="18"/>
                    <w:szCs w:val="18"/>
                  </w:rPr>
                  <m:t>a∙</m:t>
                </m:r>
                <m:r>
                  <m:rPr>
                    <m:sty m:val="p"/>
                  </m:rPr>
                  <w:rPr>
                    <w:rFonts w:ascii="Cambria Math" w:eastAsiaTheme="minorEastAsia" w:hAnsi="Cambria Math"/>
                    <w:sz w:val="18"/>
                    <w:szCs w:val="18"/>
                  </w:rPr>
                  <m:t>Φ</m:t>
                </m:r>
                <m:d>
                  <m:dPr>
                    <m:ctrlPr>
                      <w:rPr>
                        <w:rFonts w:ascii="Cambria Math" w:eastAsiaTheme="minorEastAsia" w:hAnsi="Cambria Math"/>
                        <w:i/>
                        <w:sz w:val="18"/>
                        <w:szCs w:val="18"/>
                      </w:rPr>
                    </m:ctrlPr>
                  </m:dPr>
                  <m:e>
                    <m:r>
                      <w:rPr>
                        <w:rFonts w:ascii="Cambria Math" w:eastAsiaTheme="minorEastAsia" w:hAnsi="Cambria Math"/>
                        <w:sz w:val="18"/>
                        <w:szCs w:val="18"/>
                      </w:rPr>
                      <m:t>c+b∙</m:t>
                    </m:r>
                    <m:sSup>
                      <m:sSupPr>
                        <m:ctrlPr>
                          <w:rPr>
                            <w:rFonts w:ascii="Cambria Math" w:eastAsiaTheme="minorEastAsia" w:hAnsi="Cambria Math"/>
                            <w:i/>
                            <w:sz w:val="18"/>
                            <w:szCs w:val="18"/>
                          </w:rPr>
                        </m:ctrlPr>
                      </m:sSupPr>
                      <m:e>
                        <m:r>
                          <w:rPr>
                            <w:rFonts w:ascii="Cambria Math" w:eastAsiaTheme="minorEastAsia" w:hAnsi="Cambria Math"/>
                            <w:sz w:val="18"/>
                            <w:szCs w:val="18"/>
                          </w:rPr>
                          <m:t>x</m:t>
                        </m:r>
                      </m:e>
                      <m:sup>
                        <m:r>
                          <w:rPr>
                            <w:rFonts w:ascii="Cambria Math" w:eastAsiaTheme="minorEastAsia" w:hAnsi="Cambria Math"/>
                            <w:sz w:val="18"/>
                            <w:szCs w:val="18"/>
                          </w:rPr>
                          <m:t>d</m:t>
                        </m:r>
                      </m:sup>
                    </m:sSup>
                  </m:e>
                </m:d>
              </m:oMath>
            </m:oMathPara>
          </w:p>
        </w:tc>
        <w:tc>
          <w:tcPr>
            <w:tcW w:w="0" w:type="auto"/>
            <w:tcBorders>
              <w:top w:val="single" w:sz="4" w:space="0" w:color="auto"/>
              <w:bottom w:val="nil"/>
            </w:tcBorders>
            <w:vAlign w:val="center"/>
          </w:tcPr>
          <w:p w14:paraId="4CCD79BC" w14:textId="3DB4695B" w:rsidR="002F4459" w:rsidRPr="00EE108F" w:rsidRDefault="009615DC" w:rsidP="000729FD">
            <w:pPr>
              <w:pStyle w:val="EFSABodytext"/>
              <w:rPr>
                <w:rFonts w:eastAsia="PMingLiU"/>
                <w:iCs/>
              </w:rPr>
            </w:pPr>
            <m:oMathPara>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a∙</m:t>
                    </m:r>
                    <m:r>
                      <m:rPr>
                        <m:sty m:val="p"/>
                      </m:rPr>
                      <w:rPr>
                        <w:rFonts w:ascii="Cambria Math" w:eastAsiaTheme="minorEastAsia" w:hAnsi="Cambria Math"/>
                      </w:rPr>
                      <m:t>Φ</m:t>
                    </m:r>
                    <m:d>
                      <m:dPr>
                        <m:ctrlPr>
                          <w:rPr>
                            <w:rFonts w:ascii="Cambria Math" w:eastAsiaTheme="minorEastAsia" w:hAnsi="Cambria Math"/>
                            <w:i/>
                          </w:rPr>
                        </m:ctrlPr>
                      </m:dPr>
                      <m:e>
                        <m:r>
                          <w:rPr>
                            <w:rFonts w:ascii="Cambria Math" w:eastAsiaTheme="minorEastAsia" w:hAnsi="Cambria Math"/>
                          </w:rPr>
                          <m:t>c+b∙</m:t>
                        </m:r>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d</m:t>
                            </m:r>
                          </m:sup>
                        </m:sSup>
                      </m:e>
                    </m:d>
                  </m:sup>
                </m:sSup>
              </m:oMath>
            </m:oMathPara>
          </w:p>
        </w:tc>
      </w:tr>
      <w:tr w:rsidR="006A44D7" w14:paraId="3485770B" w14:textId="77777777" w:rsidTr="16C32168">
        <w:trPr>
          <w:trHeight w:val="490"/>
          <w:jc w:val="center"/>
        </w:trPr>
        <w:tc>
          <w:tcPr>
            <w:tcW w:w="0" w:type="auto"/>
            <w:vMerge/>
          </w:tcPr>
          <w:p w14:paraId="302DA4D0" w14:textId="77777777" w:rsidR="002F4459" w:rsidRPr="008318C8" w:rsidRDefault="002F4459" w:rsidP="000729FD">
            <w:pPr>
              <w:pStyle w:val="EFSABodytext"/>
              <w:rPr>
                <w:rFonts w:ascii="Calibri" w:eastAsia="Calibri" w:hAnsi="Calibri" w:cs="Arial"/>
                <w:iCs/>
              </w:rPr>
            </w:pPr>
          </w:p>
        </w:tc>
        <w:tc>
          <w:tcPr>
            <w:tcW w:w="0" w:type="auto"/>
            <w:tcBorders>
              <w:top w:val="nil"/>
              <w:bottom w:val="nil"/>
            </w:tcBorders>
            <w:vAlign w:val="center"/>
          </w:tcPr>
          <w:p w14:paraId="3BCFEB3D" w14:textId="3591461F" w:rsidR="002F4459" w:rsidRPr="008318C8" w:rsidRDefault="006A0082" w:rsidP="000729FD">
            <w:pPr>
              <w:pStyle w:val="EFSABodytext"/>
              <w:rPr>
                <w:rFonts w:ascii="Calibri" w:eastAsia="Calibri" w:hAnsi="Calibri" w:cs="Arial"/>
                <w:iCs/>
              </w:rPr>
            </w:pPr>
            <w:proofErr w:type="spellStart"/>
            <w:r>
              <w:rPr>
                <w:rFonts w:ascii="Calibri" w:eastAsia="Calibri" w:hAnsi="Calibri" w:cs="Arial"/>
                <w:iCs/>
              </w:rPr>
              <w:t>Probit</w:t>
            </w:r>
            <w:proofErr w:type="spellEnd"/>
            <w:r>
              <w:rPr>
                <w:rFonts w:ascii="Calibri" w:eastAsia="Calibri" w:hAnsi="Calibri" w:cs="Arial"/>
                <w:iCs/>
              </w:rPr>
              <w:t xml:space="preserve"> decreasing</w:t>
            </w:r>
          </w:p>
        </w:tc>
        <w:tc>
          <w:tcPr>
            <w:tcW w:w="0" w:type="auto"/>
            <w:tcBorders>
              <w:top w:val="nil"/>
              <w:bottom w:val="nil"/>
            </w:tcBorders>
            <w:vAlign w:val="center"/>
          </w:tcPr>
          <w:p w14:paraId="32806252" w14:textId="5D24FE30" w:rsidR="002F4459" w:rsidRPr="00A00788" w:rsidRDefault="00134865" w:rsidP="000729FD">
            <w:pPr>
              <w:pStyle w:val="EFSABodytext"/>
              <w:rPr>
                <w:rFonts w:eastAsia="Calibri" w:cs="Arial"/>
                <w:iCs/>
                <w:sz w:val="18"/>
                <w:szCs w:val="18"/>
              </w:rPr>
            </w:pPr>
            <m:oMathPara>
              <m:oMath>
                <m:r>
                  <w:rPr>
                    <w:rFonts w:ascii="Cambria Math" w:eastAsiaTheme="minorEastAsia" w:hAnsi="Cambria Math"/>
                    <w:sz w:val="18"/>
                    <w:szCs w:val="18"/>
                  </w:rPr>
                  <m:t>a∙</m:t>
                </m:r>
                <m:d>
                  <m:dPr>
                    <m:ctrlPr>
                      <w:rPr>
                        <w:rFonts w:ascii="Cambria Math" w:eastAsiaTheme="minorEastAsia" w:hAnsi="Cambria Math"/>
                        <w:sz w:val="18"/>
                        <w:szCs w:val="18"/>
                      </w:rPr>
                    </m:ctrlPr>
                  </m:dPr>
                  <m:e>
                    <m:r>
                      <m:rPr>
                        <m:sty m:val="p"/>
                      </m:rPr>
                      <w:rPr>
                        <w:rFonts w:ascii="Cambria Math" w:eastAsiaTheme="minorEastAsia" w:hAnsi="Cambria Math"/>
                        <w:sz w:val="18"/>
                        <w:szCs w:val="18"/>
                      </w:rPr>
                      <m:t>1+Φ(c)</m:t>
                    </m:r>
                  </m:e>
                </m:d>
                <m:r>
                  <w:rPr>
                    <w:rFonts w:ascii="Cambria Math" w:eastAsiaTheme="minorEastAsia" w:hAnsi="Cambria Math"/>
                    <w:sz w:val="18"/>
                    <w:szCs w:val="18"/>
                  </w:rPr>
                  <m:t>-a∙</m:t>
                </m:r>
                <m:r>
                  <m:rPr>
                    <m:sty m:val="p"/>
                  </m:rPr>
                  <w:rPr>
                    <w:rFonts w:ascii="Cambria Math" w:eastAsiaTheme="minorEastAsia" w:hAnsi="Cambria Math"/>
                    <w:sz w:val="18"/>
                    <w:szCs w:val="18"/>
                  </w:rPr>
                  <m:t>Φ</m:t>
                </m:r>
                <m:d>
                  <m:dPr>
                    <m:ctrlPr>
                      <w:rPr>
                        <w:rFonts w:ascii="Cambria Math" w:eastAsiaTheme="minorEastAsia" w:hAnsi="Cambria Math"/>
                        <w:i/>
                        <w:sz w:val="18"/>
                        <w:szCs w:val="18"/>
                      </w:rPr>
                    </m:ctrlPr>
                  </m:dPr>
                  <m:e>
                    <m:r>
                      <w:rPr>
                        <w:rFonts w:ascii="Cambria Math" w:eastAsiaTheme="minorEastAsia" w:hAnsi="Cambria Math"/>
                        <w:sz w:val="18"/>
                        <w:szCs w:val="18"/>
                      </w:rPr>
                      <m:t>c+b∙</m:t>
                    </m:r>
                    <m:sSup>
                      <m:sSupPr>
                        <m:ctrlPr>
                          <w:rPr>
                            <w:rFonts w:ascii="Cambria Math" w:eastAsiaTheme="minorEastAsia" w:hAnsi="Cambria Math"/>
                            <w:i/>
                            <w:sz w:val="18"/>
                            <w:szCs w:val="18"/>
                          </w:rPr>
                        </m:ctrlPr>
                      </m:sSupPr>
                      <m:e>
                        <m:r>
                          <w:rPr>
                            <w:rFonts w:ascii="Cambria Math" w:eastAsiaTheme="minorEastAsia" w:hAnsi="Cambria Math"/>
                            <w:sz w:val="18"/>
                            <w:szCs w:val="18"/>
                          </w:rPr>
                          <m:t>x</m:t>
                        </m:r>
                      </m:e>
                      <m:sup>
                        <m:r>
                          <w:rPr>
                            <w:rFonts w:ascii="Cambria Math" w:eastAsiaTheme="minorEastAsia" w:hAnsi="Cambria Math"/>
                            <w:sz w:val="18"/>
                            <w:szCs w:val="18"/>
                          </w:rPr>
                          <m:t>d</m:t>
                        </m:r>
                      </m:sup>
                    </m:sSup>
                  </m:e>
                </m:d>
              </m:oMath>
            </m:oMathPara>
          </w:p>
        </w:tc>
        <w:tc>
          <w:tcPr>
            <w:tcW w:w="0" w:type="auto"/>
            <w:tcBorders>
              <w:top w:val="nil"/>
              <w:bottom w:val="nil"/>
            </w:tcBorders>
            <w:vAlign w:val="center"/>
          </w:tcPr>
          <w:p w14:paraId="0248B17E" w14:textId="331BDD9C" w:rsidR="002F4459" w:rsidRPr="00EE108F" w:rsidRDefault="009615DC" w:rsidP="000729FD">
            <w:pPr>
              <w:pStyle w:val="EFSABodytext"/>
              <w:rPr>
                <w:rFonts w:eastAsia="PMingLiU"/>
                <w:iCs/>
              </w:rPr>
            </w:pPr>
            <m:oMathPara>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a∙</m:t>
                    </m:r>
                    <m:d>
                      <m:dPr>
                        <m:ctrlPr>
                          <w:rPr>
                            <w:rFonts w:ascii="Cambria Math" w:eastAsiaTheme="minorEastAsia" w:hAnsi="Cambria Math"/>
                          </w:rPr>
                        </m:ctrlPr>
                      </m:dPr>
                      <m:e>
                        <m:r>
                          <m:rPr>
                            <m:sty m:val="p"/>
                          </m:rPr>
                          <w:rPr>
                            <w:rFonts w:ascii="Cambria Math" w:eastAsiaTheme="minorEastAsia" w:hAnsi="Cambria Math"/>
                          </w:rPr>
                          <m:t>1+Φ(c)</m:t>
                        </m:r>
                      </m:e>
                    </m:d>
                    <m:r>
                      <w:rPr>
                        <w:rFonts w:ascii="Cambria Math" w:eastAsiaTheme="minorEastAsia" w:hAnsi="Cambria Math"/>
                      </w:rPr>
                      <m:t>-a∙</m:t>
                    </m:r>
                    <m:r>
                      <m:rPr>
                        <m:sty m:val="p"/>
                      </m:rPr>
                      <w:rPr>
                        <w:rFonts w:ascii="Cambria Math" w:eastAsiaTheme="minorEastAsia" w:hAnsi="Cambria Math"/>
                      </w:rPr>
                      <m:t>Φ</m:t>
                    </m:r>
                    <m:d>
                      <m:dPr>
                        <m:ctrlPr>
                          <w:rPr>
                            <w:rFonts w:ascii="Cambria Math" w:eastAsiaTheme="minorEastAsia" w:hAnsi="Cambria Math"/>
                            <w:i/>
                          </w:rPr>
                        </m:ctrlPr>
                      </m:dPr>
                      <m:e>
                        <m:r>
                          <w:rPr>
                            <w:rFonts w:ascii="Cambria Math" w:eastAsiaTheme="minorEastAsia" w:hAnsi="Cambria Math"/>
                          </w:rPr>
                          <m:t>c+b∙</m:t>
                        </m:r>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d</m:t>
                            </m:r>
                          </m:sup>
                        </m:sSup>
                      </m:e>
                    </m:d>
                  </m:sup>
                </m:sSup>
              </m:oMath>
            </m:oMathPara>
          </w:p>
        </w:tc>
      </w:tr>
      <w:tr w:rsidR="006A44D7" w14:paraId="15D5F958" w14:textId="77777777" w:rsidTr="16C32168">
        <w:trPr>
          <w:trHeight w:val="490"/>
          <w:jc w:val="center"/>
        </w:trPr>
        <w:tc>
          <w:tcPr>
            <w:tcW w:w="0" w:type="auto"/>
            <w:vMerge/>
          </w:tcPr>
          <w:p w14:paraId="73D6CE26" w14:textId="77777777" w:rsidR="002F4459" w:rsidRPr="008318C8" w:rsidRDefault="002F4459" w:rsidP="000729FD">
            <w:pPr>
              <w:pStyle w:val="EFSABodytext"/>
              <w:rPr>
                <w:rFonts w:ascii="Calibri" w:eastAsia="Calibri" w:hAnsi="Calibri" w:cs="Arial"/>
                <w:iCs/>
              </w:rPr>
            </w:pPr>
          </w:p>
        </w:tc>
        <w:tc>
          <w:tcPr>
            <w:tcW w:w="0" w:type="auto"/>
            <w:tcBorders>
              <w:top w:val="nil"/>
              <w:bottom w:val="nil"/>
            </w:tcBorders>
            <w:vAlign w:val="center"/>
          </w:tcPr>
          <w:p w14:paraId="66FB2C72" w14:textId="6DECAF1B" w:rsidR="002F4459" w:rsidRPr="008318C8" w:rsidRDefault="006A0082" w:rsidP="000729FD">
            <w:pPr>
              <w:pStyle w:val="EFSABodytext"/>
              <w:rPr>
                <w:rFonts w:ascii="Calibri" w:eastAsia="Calibri" w:hAnsi="Calibri" w:cs="Arial"/>
                <w:iCs/>
              </w:rPr>
            </w:pPr>
            <w:r>
              <w:rPr>
                <w:rFonts w:ascii="Calibri" w:eastAsia="Calibri" w:hAnsi="Calibri" w:cs="Arial"/>
                <w:iCs/>
              </w:rPr>
              <w:t xml:space="preserve">Logistic increasing </w:t>
            </w:r>
          </w:p>
        </w:tc>
        <w:tc>
          <w:tcPr>
            <w:tcW w:w="0" w:type="auto"/>
            <w:tcBorders>
              <w:top w:val="nil"/>
              <w:bottom w:val="nil"/>
            </w:tcBorders>
            <w:vAlign w:val="center"/>
          </w:tcPr>
          <w:p w14:paraId="4CE4FF55" w14:textId="707AA7E4" w:rsidR="002F4459" w:rsidRPr="00A00788" w:rsidRDefault="00E536A8" w:rsidP="000729FD">
            <w:pPr>
              <w:pStyle w:val="EFSABodytext"/>
              <w:rPr>
                <w:rFonts w:eastAsia="Calibri" w:cs="Arial"/>
                <w:iCs/>
                <w:sz w:val="18"/>
                <w:szCs w:val="18"/>
              </w:rPr>
            </w:pPr>
            <m:oMathPara>
              <m:oMath>
                <m:r>
                  <w:rPr>
                    <w:rFonts w:ascii="Cambria Math" w:eastAsiaTheme="minorEastAsia" w:hAnsi="Cambria Math"/>
                    <w:sz w:val="18"/>
                    <w:szCs w:val="18"/>
                  </w:rPr>
                  <m:t>a∙</m:t>
                </m:r>
                <m:f>
                  <m:fPr>
                    <m:ctrlPr>
                      <w:rPr>
                        <w:rFonts w:ascii="Cambria Math" w:eastAsiaTheme="minorEastAsia" w:hAnsi="Cambria Math"/>
                        <w:i/>
                        <w:sz w:val="18"/>
                        <w:szCs w:val="18"/>
                      </w:rPr>
                    </m:ctrlPr>
                  </m:fPr>
                  <m:num>
                    <m:sSup>
                      <m:sSupPr>
                        <m:ctrlPr>
                          <w:rPr>
                            <w:rFonts w:ascii="Cambria Math" w:eastAsiaTheme="minorEastAsia" w:hAnsi="Cambria Math"/>
                            <w:i/>
                            <w:sz w:val="18"/>
                            <w:szCs w:val="18"/>
                          </w:rPr>
                        </m:ctrlPr>
                      </m:sSupPr>
                      <m:e>
                        <m:r>
                          <w:rPr>
                            <w:rFonts w:ascii="Cambria Math" w:eastAsiaTheme="minorEastAsia" w:hAnsi="Cambria Math"/>
                            <w:sz w:val="18"/>
                            <w:szCs w:val="18"/>
                          </w:rPr>
                          <m:t>e</m:t>
                        </m:r>
                      </m:e>
                      <m:sup>
                        <m:r>
                          <w:rPr>
                            <w:rFonts w:ascii="Cambria Math" w:eastAsiaTheme="minorEastAsia" w:hAnsi="Cambria Math"/>
                            <w:sz w:val="18"/>
                            <w:szCs w:val="18"/>
                          </w:rPr>
                          <m:t>c+b∙</m:t>
                        </m:r>
                        <m:sSup>
                          <m:sSupPr>
                            <m:ctrlPr>
                              <w:rPr>
                                <w:rFonts w:ascii="Cambria Math" w:eastAsiaTheme="minorEastAsia" w:hAnsi="Cambria Math"/>
                                <w:i/>
                                <w:sz w:val="18"/>
                                <w:szCs w:val="18"/>
                              </w:rPr>
                            </m:ctrlPr>
                          </m:sSupPr>
                          <m:e>
                            <m:r>
                              <w:rPr>
                                <w:rFonts w:ascii="Cambria Math" w:eastAsiaTheme="minorEastAsia" w:hAnsi="Cambria Math"/>
                                <w:sz w:val="18"/>
                                <w:szCs w:val="18"/>
                              </w:rPr>
                              <m:t>x</m:t>
                            </m:r>
                          </m:e>
                          <m:sup>
                            <m:r>
                              <w:rPr>
                                <w:rFonts w:ascii="Cambria Math" w:eastAsiaTheme="minorEastAsia" w:hAnsi="Cambria Math"/>
                                <w:sz w:val="18"/>
                                <w:szCs w:val="18"/>
                              </w:rPr>
                              <m:t>d</m:t>
                            </m:r>
                          </m:sup>
                        </m:sSup>
                      </m:sup>
                    </m:sSup>
                  </m:num>
                  <m:den>
                    <m:r>
                      <w:rPr>
                        <w:rFonts w:ascii="Cambria Math" w:eastAsiaTheme="minorEastAsia" w:hAnsi="Cambria Math"/>
                        <w:sz w:val="18"/>
                        <w:szCs w:val="18"/>
                      </w:rPr>
                      <m:t>1+</m:t>
                    </m:r>
                    <m:sSup>
                      <m:sSupPr>
                        <m:ctrlPr>
                          <w:rPr>
                            <w:rFonts w:ascii="Cambria Math" w:eastAsiaTheme="minorEastAsia" w:hAnsi="Cambria Math"/>
                            <w:i/>
                            <w:sz w:val="18"/>
                            <w:szCs w:val="18"/>
                          </w:rPr>
                        </m:ctrlPr>
                      </m:sSupPr>
                      <m:e>
                        <m:r>
                          <w:rPr>
                            <w:rFonts w:ascii="Cambria Math" w:eastAsiaTheme="minorEastAsia" w:hAnsi="Cambria Math"/>
                            <w:sz w:val="18"/>
                            <w:szCs w:val="18"/>
                          </w:rPr>
                          <m:t>e</m:t>
                        </m:r>
                      </m:e>
                      <m:sup>
                        <m:r>
                          <w:rPr>
                            <w:rFonts w:ascii="Cambria Math" w:eastAsiaTheme="minorEastAsia" w:hAnsi="Cambria Math"/>
                            <w:sz w:val="18"/>
                            <w:szCs w:val="18"/>
                          </w:rPr>
                          <m:t>c+b∙</m:t>
                        </m:r>
                        <m:sSup>
                          <m:sSupPr>
                            <m:ctrlPr>
                              <w:rPr>
                                <w:rFonts w:ascii="Cambria Math" w:eastAsiaTheme="minorEastAsia" w:hAnsi="Cambria Math"/>
                                <w:i/>
                                <w:sz w:val="18"/>
                                <w:szCs w:val="18"/>
                              </w:rPr>
                            </m:ctrlPr>
                          </m:sSupPr>
                          <m:e>
                            <m:r>
                              <w:rPr>
                                <w:rFonts w:ascii="Cambria Math" w:eastAsiaTheme="minorEastAsia" w:hAnsi="Cambria Math"/>
                                <w:sz w:val="18"/>
                                <w:szCs w:val="18"/>
                              </w:rPr>
                              <m:t>x</m:t>
                            </m:r>
                          </m:e>
                          <m:sup>
                            <m:r>
                              <w:rPr>
                                <w:rFonts w:ascii="Cambria Math" w:eastAsiaTheme="minorEastAsia" w:hAnsi="Cambria Math"/>
                                <w:sz w:val="18"/>
                                <w:szCs w:val="18"/>
                              </w:rPr>
                              <m:t>d</m:t>
                            </m:r>
                          </m:sup>
                        </m:sSup>
                      </m:sup>
                    </m:sSup>
                  </m:den>
                </m:f>
              </m:oMath>
            </m:oMathPara>
          </w:p>
        </w:tc>
        <w:tc>
          <w:tcPr>
            <w:tcW w:w="0" w:type="auto"/>
            <w:tcBorders>
              <w:top w:val="nil"/>
              <w:bottom w:val="nil"/>
            </w:tcBorders>
            <w:vAlign w:val="center"/>
          </w:tcPr>
          <w:p w14:paraId="08244BA1" w14:textId="1628E46D" w:rsidR="002F4459" w:rsidRPr="00EE108F" w:rsidRDefault="009615DC" w:rsidP="000729FD">
            <w:pPr>
              <w:pStyle w:val="EFSABodytext"/>
              <w:rPr>
                <w:rFonts w:eastAsia="PMingLiU"/>
                <w:iCs/>
              </w:rPr>
            </w:pPr>
            <m:oMathPara>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a∙</m:t>
                    </m:r>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c+b∙</m:t>
                            </m:r>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d</m:t>
                                </m:r>
                              </m:sup>
                            </m:sSup>
                          </m:sup>
                        </m:sSup>
                      </m:num>
                      <m:den>
                        <m:r>
                          <w:rPr>
                            <w:rFonts w:ascii="Cambria Math" w:eastAsiaTheme="minorEastAsia" w:hAnsi="Cambria Math"/>
                          </w:rPr>
                          <m:t>1+</m:t>
                        </m:r>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c+b∙</m:t>
                            </m:r>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d</m:t>
                                </m:r>
                              </m:sup>
                            </m:sSup>
                          </m:sup>
                        </m:sSup>
                      </m:den>
                    </m:f>
                  </m:sup>
                </m:sSup>
              </m:oMath>
            </m:oMathPara>
          </w:p>
        </w:tc>
      </w:tr>
      <w:tr w:rsidR="006A44D7" w14:paraId="2640A366" w14:textId="77777777" w:rsidTr="16C32168">
        <w:trPr>
          <w:trHeight w:val="490"/>
          <w:jc w:val="center"/>
        </w:trPr>
        <w:tc>
          <w:tcPr>
            <w:tcW w:w="0" w:type="auto"/>
            <w:vMerge/>
          </w:tcPr>
          <w:p w14:paraId="0114CCC1" w14:textId="77777777" w:rsidR="002F4459" w:rsidRPr="008318C8" w:rsidRDefault="002F4459" w:rsidP="000729FD">
            <w:pPr>
              <w:pStyle w:val="EFSABodytext"/>
              <w:rPr>
                <w:rFonts w:ascii="Calibri" w:eastAsia="Calibri" w:hAnsi="Calibri" w:cs="Arial"/>
                <w:iCs/>
              </w:rPr>
            </w:pPr>
          </w:p>
        </w:tc>
        <w:tc>
          <w:tcPr>
            <w:tcW w:w="0" w:type="auto"/>
            <w:tcBorders>
              <w:top w:val="nil"/>
              <w:bottom w:val="single" w:sz="4" w:space="0" w:color="auto"/>
            </w:tcBorders>
            <w:vAlign w:val="center"/>
          </w:tcPr>
          <w:p w14:paraId="79DE1D4C" w14:textId="483037DA" w:rsidR="002F4459" w:rsidRPr="008318C8" w:rsidRDefault="006A0082" w:rsidP="000729FD">
            <w:pPr>
              <w:pStyle w:val="EFSABodytext"/>
              <w:rPr>
                <w:rFonts w:ascii="Calibri" w:eastAsia="Calibri" w:hAnsi="Calibri" w:cs="Arial"/>
                <w:iCs/>
              </w:rPr>
            </w:pPr>
            <w:r>
              <w:rPr>
                <w:rFonts w:ascii="Calibri" w:eastAsia="Calibri" w:hAnsi="Calibri" w:cs="Arial"/>
                <w:iCs/>
              </w:rPr>
              <w:t>Logistic decreasing</w:t>
            </w:r>
          </w:p>
        </w:tc>
        <w:tc>
          <w:tcPr>
            <w:tcW w:w="0" w:type="auto"/>
            <w:tcBorders>
              <w:top w:val="nil"/>
              <w:bottom w:val="single" w:sz="4" w:space="0" w:color="auto"/>
            </w:tcBorders>
            <w:vAlign w:val="center"/>
          </w:tcPr>
          <w:p w14:paraId="5916D7C1" w14:textId="6F108E3E" w:rsidR="002F4459" w:rsidRPr="00A00788" w:rsidRDefault="00E536A8" w:rsidP="000729FD">
            <w:pPr>
              <w:pStyle w:val="EFSABodytext"/>
              <w:rPr>
                <w:rFonts w:eastAsia="Calibri" w:cs="Arial"/>
                <w:iCs/>
                <w:sz w:val="18"/>
                <w:szCs w:val="18"/>
              </w:rPr>
            </w:pPr>
            <m:oMathPara>
              <m:oMath>
                <m:r>
                  <w:rPr>
                    <w:rFonts w:ascii="Cambria Math" w:eastAsiaTheme="minorEastAsia" w:hAnsi="Cambria Math"/>
                    <w:sz w:val="18"/>
                    <w:szCs w:val="18"/>
                  </w:rPr>
                  <m:t>a∙</m:t>
                </m:r>
                <m:d>
                  <m:dPr>
                    <m:ctrlPr>
                      <w:rPr>
                        <w:rFonts w:ascii="Cambria Math" w:eastAsiaTheme="minorEastAsia" w:hAnsi="Cambria Math"/>
                        <w:i/>
                        <w:sz w:val="18"/>
                        <w:szCs w:val="18"/>
                      </w:rPr>
                    </m:ctrlPr>
                  </m:dPr>
                  <m:e>
                    <m:r>
                      <w:rPr>
                        <w:rFonts w:ascii="Cambria Math" w:eastAsiaTheme="minorEastAsia" w:hAnsi="Cambria Math"/>
                        <w:sz w:val="18"/>
                        <w:szCs w:val="18"/>
                      </w:rPr>
                      <m:t>1+</m:t>
                    </m:r>
                    <m:f>
                      <m:fPr>
                        <m:ctrlPr>
                          <w:rPr>
                            <w:rFonts w:ascii="Cambria Math" w:eastAsiaTheme="minorEastAsia" w:hAnsi="Cambria Math"/>
                            <w:i/>
                            <w:sz w:val="18"/>
                            <w:szCs w:val="18"/>
                          </w:rPr>
                        </m:ctrlPr>
                      </m:fPr>
                      <m:num>
                        <m:sSup>
                          <m:sSupPr>
                            <m:ctrlPr>
                              <w:rPr>
                                <w:rFonts w:ascii="Cambria Math" w:eastAsiaTheme="minorEastAsia" w:hAnsi="Cambria Math"/>
                                <w:i/>
                                <w:sz w:val="18"/>
                                <w:szCs w:val="18"/>
                              </w:rPr>
                            </m:ctrlPr>
                          </m:sSupPr>
                          <m:e>
                            <m:r>
                              <w:rPr>
                                <w:rFonts w:ascii="Cambria Math" w:eastAsiaTheme="minorEastAsia" w:hAnsi="Cambria Math"/>
                                <w:sz w:val="18"/>
                                <w:szCs w:val="18"/>
                              </w:rPr>
                              <m:t>e</m:t>
                            </m:r>
                          </m:e>
                          <m:sup>
                            <m:r>
                              <w:rPr>
                                <w:rFonts w:ascii="Cambria Math" w:eastAsiaTheme="minorEastAsia" w:hAnsi="Cambria Math"/>
                                <w:sz w:val="18"/>
                                <w:szCs w:val="18"/>
                              </w:rPr>
                              <m:t>c</m:t>
                            </m:r>
                          </m:sup>
                        </m:sSup>
                      </m:num>
                      <m:den>
                        <m:r>
                          <w:rPr>
                            <w:rFonts w:ascii="Cambria Math" w:eastAsiaTheme="minorEastAsia" w:hAnsi="Cambria Math"/>
                            <w:sz w:val="18"/>
                            <w:szCs w:val="18"/>
                          </w:rPr>
                          <m:t>1+</m:t>
                        </m:r>
                        <m:sSup>
                          <m:sSupPr>
                            <m:ctrlPr>
                              <w:rPr>
                                <w:rFonts w:ascii="Cambria Math" w:eastAsiaTheme="minorEastAsia" w:hAnsi="Cambria Math"/>
                                <w:i/>
                                <w:sz w:val="18"/>
                                <w:szCs w:val="18"/>
                              </w:rPr>
                            </m:ctrlPr>
                          </m:sSupPr>
                          <m:e>
                            <m:r>
                              <w:rPr>
                                <w:rFonts w:ascii="Cambria Math" w:eastAsiaTheme="minorEastAsia" w:hAnsi="Cambria Math"/>
                                <w:sz w:val="18"/>
                                <w:szCs w:val="18"/>
                              </w:rPr>
                              <m:t>e</m:t>
                            </m:r>
                          </m:e>
                          <m:sup>
                            <m:r>
                              <w:rPr>
                                <w:rFonts w:ascii="Cambria Math" w:eastAsiaTheme="minorEastAsia" w:hAnsi="Cambria Math"/>
                                <w:sz w:val="18"/>
                                <w:szCs w:val="18"/>
                              </w:rPr>
                              <m:t>c</m:t>
                            </m:r>
                          </m:sup>
                        </m:sSup>
                      </m:den>
                    </m:f>
                  </m:e>
                </m:d>
                <m:r>
                  <w:rPr>
                    <w:rFonts w:ascii="Cambria Math" w:eastAsiaTheme="minorEastAsia" w:hAnsi="Cambria Math"/>
                    <w:sz w:val="18"/>
                    <w:szCs w:val="18"/>
                  </w:rPr>
                  <m:t>-a∙</m:t>
                </m:r>
                <m:f>
                  <m:fPr>
                    <m:ctrlPr>
                      <w:rPr>
                        <w:rFonts w:ascii="Cambria Math" w:eastAsiaTheme="minorEastAsia" w:hAnsi="Cambria Math"/>
                        <w:i/>
                        <w:sz w:val="18"/>
                        <w:szCs w:val="18"/>
                      </w:rPr>
                    </m:ctrlPr>
                  </m:fPr>
                  <m:num>
                    <m:sSup>
                      <m:sSupPr>
                        <m:ctrlPr>
                          <w:rPr>
                            <w:rFonts w:ascii="Cambria Math" w:eastAsiaTheme="minorEastAsia" w:hAnsi="Cambria Math"/>
                            <w:i/>
                            <w:sz w:val="18"/>
                            <w:szCs w:val="18"/>
                          </w:rPr>
                        </m:ctrlPr>
                      </m:sSupPr>
                      <m:e>
                        <m:r>
                          <w:rPr>
                            <w:rFonts w:ascii="Cambria Math" w:eastAsiaTheme="minorEastAsia" w:hAnsi="Cambria Math"/>
                            <w:sz w:val="18"/>
                            <w:szCs w:val="18"/>
                          </w:rPr>
                          <m:t>e</m:t>
                        </m:r>
                      </m:e>
                      <m:sup>
                        <m:r>
                          <w:rPr>
                            <w:rFonts w:ascii="Cambria Math" w:eastAsiaTheme="minorEastAsia" w:hAnsi="Cambria Math"/>
                            <w:sz w:val="18"/>
                            <w:szCs w:val="18"/>
                          </w:rPr>
                          <m:t>c+b∙</m:t>
                        </m:r>
                        <m:sSup>
                          <m:sSupPr>
                            <m:ctrlPr>
                              <w:rPr>
                                <w:rFonts w:ascii="Cambria Math" w:eastAsiaTheme="minorEastAsia" w:hAnsi="Cambria Math"/>
                                <w:i/>
                                <w:sz w:val="18"/>
                                <w:szCs w:val="18"/>
                              </w:rPr>
                            </m:ctrlPr>
                          </m:sSupPr>
                          <m:e>
                            <m:r>
                              <w:rPr>
                                <w:rFonts w:ascii="Cambria Math" w:eastAsiaTheme="minorEastAsia" w:hAnsi="Cambria Math"/>
                                <w:sz w:val="18"/>
                                <w:szCs w:val="18"/>
                              </w:rPr>
                              <m:t>x</m:t>
                            </m:r>
                          </m:e>
                          <m:sup>
                            <m:r>
                              <w:rPr>
                                <w:rFonts w:ascii="Cambria Math" w:eastAsiaTheme="minorEastAsia" w:hAnsi="Cambria Math"/>
                                <w:sz w:val="18"/>
                                <w:szCs w:val="18"/>
                              </w:rPr>
                              <m:t>d</m:t>
                            </m:r>
                          </m:sup>
                        </m:sSup>
                      </m:sup>
                    </m:sSup>
                  </m:num>
                  <m:den>
                    <m:r>
                      <w:rPr>
                        <w:rFonts w:ascii="Cambria Math" w:eastAsiaTheme="minorEastAsia" w:hAnsi="Cambria Math"/>
                        <w:sz w:val="18"/>
                        <w:szCs w:val="18"/>
                      </w:rPr>
                      <m:t>1+</m:t>
                    </m:r>
                    <m:sSup>
                      <m:sSupPr>
                        <m:ctrlPr>
                          <w:rPr>
                            <w:rFonts w:ascii="Cambria Math" w:eastAsiaTheme="minorEastAsia" w:hAnsi="Cambria Math"/>
                            <w:i/>
                            <w:sz w:val="18"/>
                            <w:szCs w:val="18"/>
                          </w:rPr>
                        </m:ctrlPr>
                      </m:sSupPr>
                      <m:e>
                        <m:r>
                          <w:rPr>
                            <w:rFonts w:ascii="Cambria Math" w:eastAsiaTheme="minorEastAsia" w:hAnsi="Cambria Math"/>
                            <w:sz w:val="18"/>
                            <w:szCs w:val="18"/>
                          </w:rPr>
                          <m:t>e</m:t>
                        </m:r>
                      </m:e>
                      <m:sup>
                        <m:r>
                          <w:rPr>
                            <w:rFonts w:ascii="Cambria Math" w:eastAsiaTheme="minorEastAsia" w:hAnsi="Cambria Math"/>
                            <w:sz w:val="18"/>
                            <w:szCs w:val="18"/>
                          </w:rPr>
                          <m:t>c+b∙</m:t>
                        </m:r>
                        <m:sSup>
                          <m:sSupPr>
                            <m:ctrlPr>
                              <w:rPr>
                                <w:rFonts w:ascii="Cambria Math" w:eastAsiaTheme="minorEastAsia" w:hAnsi="Cambria Math"/>
                                <w:i/>
                                <w:sz w:val="18"/>
                                <w:szCs w:val="18"/>
                              </w:rPr>
                            </m:ctrlPr>
                          </m:sSupPr>
                          <m:e>
                            <m:r>
                              <w:rPr>
                                <w:rFonts w:ascii="Cambria Math" w:eastAsiaTheme="minorEastAsia" w:hAnsi="Cambria Math"/>
                                <w:sz w:val="18"/>
                                <w:szCs w:val="18"/>
                              </w:rPr>
                              <m:t>x</m:t>
                            </m:r>
                          </m:e>
                          <m:sup>
                            <m:r>
                              <w:rPr>
                                <w:rFonts w:ascii="Cambria Math" w:eastAsiaTheme="minorEastAsia" w:hAnsi="Cambria Math"/>
                                <w:sz w:val="18"/>
                                <w:szCs w:val="18"/>
                              </w:rPr>
                              <m:t>d</m:t>
                            </m:r>
                          </m:sup>
                        </m:sSup>
                      </m:sup>
                    </m:sSup>
                  </m:den>
                </m:f>
              </m:oMath>
            </m:oMathPara>
          </w:p>
        </w:tc>
        <w:tc>
          <w:tcPr>
            <w:tcW w:w="0" w:type="auto"/>
            <w:tcBorders>
              <w:top w:val="nil"/>
              <w:bottom w:val="single" w:sz="4" w:space="0" w:color="auto"/>
            </w:tcBorders>
            <w:vAlign w:val="center"/>
          </w:tcPr>
          <w:p w14:paraId="5C5FFDB9" w14:textId="4FC2EAB8" w:rsidR="002F4459" w:rsidRPr="00EE108F" w:rsidRDefault="009615DC" w:rsidP="000729FD">
            <w:pPr>
              <w:pStyle w:val="EFSABodytext"/>
              <w:rPr>
                <w:rFonts w:eastAsia="PMingLiU"/>
                <w:iCs/>
              </w:rPr>
            </w:pPr>
            <m:oMathPara>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a∙</m:t>
                    </m:r>
                    <m:d>
                      <m:dPr>
                        <m:ctrlPr>
                          <w:rPr>
                            <w:rFonts w:ascii="Cambria Math" w:eastAsiaTheme="minorEastAsia" w:hAnsi="Cambria Math"/>
                            <w:i/>
                          </w:rPr>
                        </m:ctrlPr>
                      </m:dPr>
                      <m:e>
                        <m:r>
                          <w:rPr>
                            <w:rFonts w:ascii="Cambria Math" w:eastAsiaTheme="minorEastAsia" w:hAnsi="Cambria Math"/>
                          </w:rPr>
                          <m:t>1+</m:t>
                        </m:r>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c</m:t>
                                </m:r>
                              </m:sup>
                            </m:sSup>
                          </m:num>
                          <m:den>
                            <m:r>
                              <w:rPr>
                                <w:rFonts w:ascii="Cambria Math" w:eastAsiaTheme="minorEastAsia" w:hAnsi="Cambria Math"/>
                              </w:rPr>
                              <m:t>1+</m:t>
                            </m:r>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c</m:t>
                                </m:r>
                              </m:sup>
                            </m:sSup>
                          </m:den>
                        </m:f>
                      </m:e>
                    </m:d>
                    <m:r>
                      <w:rPr>
                        <w:rFonts w:ascii="Cambria Math" w:eastAsiaTheme="minorEastAsia" w:hAnsi="Cambria Math"/>
                      </w:rPr>
                      <m:t>-a∙</m:t>
                    </m:r>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c+b∙</m:t>
                            </m:r>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d</m:t>
                                </m:r>
                              </m:sup>
                            </m:sSup>
                          </m:sup>
                        </m:sSup>
                      </m:num>
                      <m:den>
                        <m:r>
                          <w:rPr>
                            <w:rFonts w:ascii="Cambria Math" w:eastAsiaTheme="minorEastAsia" w:hAnsi="Cambria Math"/>
                          </w:rPr>
                          <m:t>1+</m:t>
                        </m:r>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c+b∙</m:t>
                            </m:r>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d</m:t>
                                </m:r>
                              </m:sup>
                            </m:sSup>
                          </m:sup>
                        </m:sSup>
                      </m:den>
                    </m:f>
                  </m:sup>
                </m:sSup>
              </m:oMath>
            </m:oMathPara>
          </w:p>
        </w:tc>
      </w:tr>
    </w:tbl>
    <w:p w14:paraId="75A28540" w14:textId="4E878D08" w:rsidR="008318C8" w:rsidRDefault="591AC096" w:rsidP="00C60DA7">
      <w:pPr>
        <w:spacing w:line="240" w:lineRule="auto"/>
      </w:pPr>
      <w:r w:rsidRPr="16C32168">
        <w:rPr>
          <w:rFonts w:eastAsiaTheme="minorEastAsia"/>
        </w:rPr>
        <w:t>(</w:t>
      </w:r>
      <w:proofErr w:type="spellStart"/>
      <w:r w:rsidRPr="16C32168">
        <w:rPr>
          <w:rFonts w:eastAsiaTheme="minorEastAsia"/>
        </w:rPr>
        <w:t>i</w:t>
      </w:r>
      <w:proofErr w:type="spellEnd"/>
      <w:r w:rsidRPr="16C32168">
        <w:rPr>
          <w:rFonts w:eastAsiaTheme="minorEastAsia"/>
        </w:rPr>
        <w:t>)</w:t>
      </w:r>
      <w:r w:rsidR="4926A50B" w:rsidRPr="16C32168">
        <w:rPr>
          <w:rFonts w:eastAsiaTheme="minorEastAsia"/>
        </w:rPr>
        <w:t xml:space="preserve">: </w:t>
      </w:r>
      <w:r w:rsidR="4926A50B">
        <w:t xml:space="preserve">This model is identical to the 4-parameter Exponential model in Table 3 of </w:t>
      </w:r>
      <w:r w:rsidR="1ADFB7DA">
        <w:t>the 20</w:t>
      </w:r>
      <w:r w:rsidR="63728A09">
        <w:t>17</w:t>
      </w:r>
      <w:r w:rsidR="1ADFB7DA">
        <w:t xml:space="preserve"> SC guidance.</w:t>
      </w:r>
    </w:p>
    <w:p w14:paraId="2C04A392" w14:textId="7B77F3AF" w:rsidR="008318C8" w:rsidRDefault="2391D49C" w:rsidP="00C60DA7">
      <w:pPr>
        <w:spacing w:line="240" w:lineRule="auto"/>
      </w:pPr>
      <w:r>
        <w:t xml:space="preserve">(ii): </w:t>
      </w:r>
      <w:r w:rsidR="64032C82">
        <w:t>After a reparameterization, t</w:t>
      </w:r>
      <w:r>
        <w:t>his model is</w:t>
      </w:r>
      <w:r w:rsidR="338FB69E">
        <w:t xml:space="preserve"> </w:t>
      </w:r>
      <w:r w:rsidR="7B25253E">
        <w:t>identical to the 4-parameter Hill model in Table 3 of the 2</w:t>
      </w:r>
      <w:r w:rsidR="0E48011A">
        <w:t>017</w:t>
      </w:r>
      <w:r w:rsidR="7B25253E">
        <w:t xml:space="preserve"> SC guidance.</w:t>
      </w:r>
    </w:p>
    <w:p w14:paraId="513C3844" w14:textId="6EAF05B4" w:rsidR="008318C8" w:rsidRDefault="008318C8" w:rsidP="16C32168">
      <w:pPr>
        <w:pStyle w:val="EFSABodytext"/>
        <w:rPr>
          <w:rFonts w:eastAsia="Calibri" w:cs="Arial"/>
        </w:rPr>
      </w:pPr>
    </w:p>
    <w:p w14:paraId="5D88AEED" w14:textId="64766529" w:rsidR="00654EE5" w:rsidRPr="00CC25C9" w:rsidRDefault="00654EE5" w:rsidP="16C32168">
      <w:pPr>
        <w:pStyle w:val="EFSABodytext"/>
        <w:rPr>
          <w:rFonts w:eastAsiaTheme="minorEastAsia"/>
        </w:rPr>
      </w:pPr>
      <w:r w:rsidRPr="16C32168">
        <w:rPr>
          <w:rFonts w:eastAsiaTheme="minorEastAsia"/>
        </w:rPr>
        <w:t xml:space="preserve">With two candidate distributions and 8 candidate models for </w:t>
      </w: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w:r w:rsidRPr="16C32168">
        <w:rPr>
          <w:rFonts w:eastAsiaTheme="minorEastAsia"/>
        </w:rPr>
        <w:t>, a total of 16 candidate models can be fitted to the same</w:t>
      </w:r>
      <w:r w:rsidR="00730A3C">
        <w:rPr>
          <w:rFonts w:eastAsiaTheme="minorEastAsia"/>
        </w:rPr>
        <w:t xml:space="preserve"> </w:t>
      </w:r>
      <w:r w:rsidRPr="16C32168">
        <w:rPr>
          <w:rFonts w:eastAsiaTheme="minorEastAsia"/>
        </w:rPr>
        <w:t xml:space="preserve">data. All 16 candidate models have 5 parameters (4 parameters for </w:t>
      </w: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w:r w:rsidRPr="16C32168">
        <w:rPr>
          <w:rFonts w:eastAsiaTheme="minorEastAsia"/>
        </w:rPr>
        <w:t xml:space="preserve"> and the variance parameter </w:t>
      </w:r>
      <m:oMath>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oMath>
      <w:r w:rsidRPr="16C32168">
        <w:rPr>
          <w:rFonts w:eastAsiaTheme="minorEastAsia"/>
        </w:rPr>
        <w:t xml:space="preserve">) and all models are non-nested (none of the models </w:t>
      </w:r>
      <w:proofErr w:type="gramStart"/>
      <w:r w:rsidRPr="16C32168">
        <w:rPr>
          <w:rFonts w:eastAsiaTheme="minorEastAsia"/>
        </w:rPr>
        <w:t>can be seen as</w:t>
      </w:r>
      <w:proofErr w:type="gramEnd"/>
      <w:r w:rsidRPr="16C32168">
        <w:rPr>
          <w:rFonts w:eastAsiaTheme="minorEastAsia"/>
        </w:rPr>
        <w:t xml:space="preserve"> a simplification of another model).</w:t>
      </w:r>
      <w:r w:rsidR="4D9162BF" w:rsidRPr="16C32168">
        <w:rPr>
          <w:rFonts w:eastAsiaTheme="minorEastAsia"/>
        </w:rPr>
        <w:t xml:space="preserve"> </w:t>
      </w:r>
      <w:r w:rsidR="157C93AD" w:rsidRPr="16C32168">
        <w:rPr>
          <w:rFonts w:eastAsiaTheme="minorEastAsia"/>
        </w:rPr>
        <w:t xml:space="preserve">Graphs of </w:t>
      </w:r>
      <w:r w:rsidR="6D2236D4" w:rsidRPr="000F0CBD">
        <w:rPr>
          <w:rFonts w:eastAsiaTheme="minorEastAsia"/>
        </w:rPr>
        <w:t>all</w:t>
      </w:r>
      <w:r w:rsidR="157C93AD" w:rsidRPr="00933CF8">
        <w:rPr>
          <w:rFonts w:eastAsiaTheme="minorEastAsia"/>
        </w:rPr>
        <w:t xml:space="preserve"> different model</w:t>
      </w:r>
      <w:r w:rsidR="79A42568" w:rsidRPr="003D6F63">
        <w:rPr>
          <w:rFonts w:eastAsiaTheme="minorEastAsia"/>
        </w:rPr>
        <w:t>s</w:t>
      </w:r>
      <w:r w:rsidR="157C93AD" w:rsidRPr="003D6F63">
        <w:rPr>
          <w:rFonts w:eastAsiaTheme="minorEastAsia"/>
        </w:rPr>
        <w:t>, illustrating their similarities and</w:t>
      </w:r>
      <w:r w:rsidR="4B971819" w:rsidRPr="003D6F63">
        <w:rPr>
          <w:rFonts w:eastAsiaTheme="minorEastAsia"/>
        </w:rPr>
        <w:t xml:space="preserve"> differences</w:t>
      </w:r>
      <w:r w:rsidR="157C93AD" w:rsidRPr="003D6F63">
        <w:rPr>
          <w:rFonts w:eastAsiaTheme="minorEastAsia"/>
        </w:rPr>
        <w:t>, are shown in</w:t>
      </w:r>
      <w:r w:rsidR="157C93AD" w:rsidRPr="00F56048" w:rsidDel="00B83D26">
        <w:rPr>
          <w:rFonts w:eastAsiaTheme="minorEastAsia"/>
        </w:rPr>
        <w:t xml:space="preserve"> </w:t>
      </w:r>
      <w:r w:rsidR="003935D5">
        <w:rPr>
          <w:rFonts w:eastAsiaTheme="minorEastAsia"/>
        </w:rPr>
        <w:t>Appendix B</w:t>
      </w:r>
      <w:r w:rsidR="2311377B" w:rsidRPr="00F56048">
        <w:rPr>
          <w:rFonts w:eastAsiaTheme="minorEastAsia"/>
        </w:rPr>
        <w:t>.</w:t>
      </w:r>
    </w:p>
    <w:p w14:paraId="50C02FDC" w14:textId="77777777" w:rsidR="00654EE5" w:rsidRDefault="00654EE5" w:rsidP="00575787">
      <w:pPr>
        <w:pStyle w:val="EFSABodytext"/>
        <w:rPr>
          <w:rFonts w:eastAsiaTheme="minorEastAsia"/>
          <w:iCs/>
        </w:rPr>
      </w:pPr>
    </w:p>
    <w:p w14:paraId="7F65A151" w14:textId="6A9CCA8B" w:rsidR="00DF02D5" w:rsidRDefault="00261BC9" w:rsidP="00ED5292">
      <w:pPr>
        <w:pStyle w:val="EFSABodytext"/>
        <w:rPr>
          <w:rFonts w:eastAsiaTheme="minorEastAsia"/>
        </w:rPr>
      </w:pPr>
      <w:r>
        <w:rPr>
          <w:rFonts w:eastAsiaTheme="minorEastAsia"/>
        </w:rPr>
        <w:t>T</w:t>
      </w:r>
      <w:r w:rsidR="004D7C64">
        <w:rPr>
          <w:rFonts w:eastAsiaTheme="minorEastAsia"/>
        </w:rPr>
        <w:t>he EPA BMDS guidance</w:t>
      </w:r>
      <w:r w:rsidR="002C43E4">
        <w:rPr>
          <w:rFonts w:eastAsiaTheme="minorEastAsia"/>
        </w:rPr>
        <w:t xml:space="preserve"> </w:t>
      </w:r>
      <w:proofErr w:type="gramStart"/>
      <w:r w:rsidR="002C43E4">
        <w:rPr>
          <w:rFonts w:eastAsiaTheme="minorEastAsia"/>
        </w:rPr>
        <w:t>include</w:t>
      </w:r>
      <w:r>
        <w:rPr>
          <w:rFonts w:eastAsiaTheme="minorEastAsia"/>
        </w:rPr>
        <w:t>s</w:t>
      </w:r>
      <w:r w:rsidR="002C43E4">
        <w:rPr>
          <w:rFonts w:eastAsiaTheme="minorEastAsia"/>
        </w:rPr>
        <w:t xml:space="preserve"> </w:t>
      </w:r>
      <w:r w:rsidR="006A44D7">
        <w:rPr>
          <w:rFonts w:eastAsiaTheme="minorEastAsia"/>
        </w:rPr>
        <w:t>also</w:t>
      </w:r>
      <w:proofErr w:type="gramEnd"/>
      <w:r w:rsidR="006A44D7">
        <w:rPr>
          <w:rFonts w:eastAsiaTheme="minorEastAsia"/>
        </w:rPr>
        <w:t xml:space="preserve"> </w:t>
      </w:r>
      <w:r w:rsidR="0087057C">
        <w:rPr>
          <w:rFonts w:eastAsiaTheme="minorEastAsia"/>
        </w:rPr>
        <w:t xml:space="preserve">the </w:t>
      </w:r>
      <w:r w:rsidR="0087057C" w:rsidRPr="00AB7471">
        <w:rPr>
          <w:rFonts w:eastAsiaTheme="minorEastAsia"/>
        </w:rPr>
        <w:t xml:space="preserve">family of the NULL and the FULL model, as well as </w:t>
      </w:r>
      <w:r w:rsidR="002C43E4" w:rsidRPr="00AB7471">
        <w:rPr>
          <w:rFonts w:eastAsiaTheme="minorEastAsia"/>
        </w:rPr>
        <w:t>the linear, quadrati</w:t>
      </w:r>
      <w:r w:rsidR="00F500E8" w:rsidRPr="00AB7471">
        <w:rPr>
          <w:rFonts w:eastAsiaTheme="minorEastAsia"/>
        </w:rPr>
        <w:t>c</w:t>
      </w:r>
      <w:r w:rsidR="002C43E4" w:rsidRPr="00AB7471">
        <w:rPr>
          <w:rFonts w:eastAsiaTheme="minorEastAsia"/>
        </w:rPr>
        <w:t xml:space="preserve"> and </w:t>
      </w:r>
      <w:r w:rsidR="00F500E8" w:rsidRPr="00AB7471">
        <w:rPr>
          <w:rFonts w:eastAsiaTheme="minorEastAsia"/>
        </w:rPr>
        <w:t>power models</w:t>
      </w:r>
      <w:r w:rsidRPr="00AB7471">
        <w:rPr>
          <w:rFonts w:eastAsiaTheme="minorEastAsia"/>
        </w:rPr>
        <w:t xml:space="preserve">. </w:t>
      </w:r>
    </w:p>
    <w:p w14:paraId="676563CA" w14:textId="74578FCC" w:rsidR="0087057C" w:rsidRDefault="0087057C" w:rsidP="00ED5292">
      <w:pPr>
        <w:pStyle w:val="EFSABodytext"/>
        <w:numPr>
          <w:ilvl w:val="0"/>
          <w:numId w:val="63"/>
        </w:numPr>
        <w:rPr>
          <w:rFonts w:eastAsiaTheme="minorEastAsia"/>
        </w:rPr>
      </w:pPr>
      <w:r>
        <w:rPr>
          <w:rFonts w:eastAsiaTheme="minorEastAsia"/>
        </w:rPr>
        <w:t>The null model</w:t>
      </w:r>
      <w:r w:rsidR="00310773">
        <w:rPr>
          <w:rFonts w:eastAsiaTheme="minorEastAsia"/>
        </w:rPr>
        <w:t xml:space="preserve"> </w:t>
      </w:r>
    </w:p>
    <w:p w14:paraId="6FD329B1" w14:textId="77777777" w:rsidR="003200A0" w:rsidRPr="00CA1333" w:rsidRDefault="003200A0" w:rsidP="00ED5292">
      <w:pPr>
        <w:pStyle w:val="EFSABodytext"/>
        <w:rPr>
          <w:rFonts w:eastAsiaTheme="minorEastAsia"/>
        </w:rPr>
      </w:pPr>
      <m:oMathPara>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 xml:space="preserve"> = μ.</m:t>
          </m:r>
        </m:oMath>
      </m:oMathPara>
    </w:p>
    <w:p w14:paraId="32DAED20" w14:textId="1CCCB760" w:rsidR="0087057C" w:rsidRPr="00CA1333" w:rsidRDefault="0087057C" w:rsidP="00ED5292">
      <w:pPr>
        <w:pStyle w:val="EFSABodytext"/>
        <w:numPr>
          <w:ilvl w:val="0"/>
          <w:numId w:val="63"/>
        </w:numPr>
        <w:rPr>
          <w:rFonts w:eastAsiaTheme="minorEastAsia"/>
        </w:rPr>
      </w:pPr>
      <w:r w:rsidRPr="00CA1333">
        <w:rPr>
          <w:rFonts w:eastAsiaTheme="minorEastAsia"/>
        </w:rPr>
        <w:t xml:space="preserve">The </w:t>
      </w:r>
      <w:r w:rsidR="2DB87F55" w:rsidRPr="65E9AD0D">
        <w:rPr>
          <w:rFonts w:eastAsiaTheme="minorEastAsia"/>
        </w:rPr>
        <w:t>f</w:t>
      </w:r>
      <w:r w:rsidRPr="00CA1333">
        <w:rPr>
          <w:rFonts w:eastAsiaTheme="minorEastAsia"/>
        </w:rPr>
        <w:t>ull model</w:t>
      </w:r>
      <w:r w:rsidR="00310773" w:rsidRPr="00CA1333">
        <w:rPr>
          <w:rFonts w:eastAsiaTheme="minorEastAsia"/>
        </w:rPr>
        <w:t xml:space="preserve"> </w:t>
      </w:r>
    </w:p>
    <w:p w14:paraId="7578104B" w14:textId="77777777" w:rsidR="00CA1333" w:rsidRPr="0032238D" w:rsidRDefault="00CA1333" w:rsidP="00ED5292">
      <w:pPr>
        <w:pStyle w:val="EFSABodytext"/>
        <w:rPr>
          <w:rFonts w:eastAsiaTheme="minorEastAsia"/>
        </w:rPr>
      </w:pPr>
      <m:oMathPara>
        <m:oMath>
          <m:r>
            <w:rPr>
              <w:rFonts w:ascii="Cambria Math" w:eastAsiaTheme="minorEastAsia" w:hAnsi="Cambria Math"/>
            </w:rPr>
            <m:t>μ</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i</m:t>
                  </m:r>
                </m:sub>
              </m:sSub>
            </m:e>
          </m:d>
          <m:r>
            <w:rPr>
              <w:rFonts w:ascii="Cambria Math" w:eastAsiaTheme="minorEastAsia" w:hAnsi="Cambria Math"/>
            </w:rPr>
            <m:t xml:space="preserve"> = </m:t>
          </m:r>
          <m:sSub>
            <m:sSubPr>
              <m:ctrlPr>
                <w:rPr>
                  <w:rFonts w:ascii="Cambria Math" w:eastAsiaTheme="minorEastAsia" w:hAnsi="Cambria Math"/>
                  <w:i/>
                </w:rPr>
              </m:ctrlPr>
            </m:sSubPr>
            <m:e>
              <m:r>
                <w:rPr>
                  <w:rFonts w:ascii="Cambria Math" w:eastAsiaTheme="minorEastAsia" w:hAnsi="Cambria Math"/>
                </w:rPr>
                <m:t>μ</m:t>
              </m:r>
            </m:e>
            <m:sub>
              <m:r>
                <w:rPr>
                  <w:rFonts w:ascii="Cambria Math" w:eastAsiaTheme="minorEastAsia" w:hAnsi="Cambria Math"/>
                </w:rPr>
                <m:t>i</m:t>
              </m:r>
            </m:sub>
          </m:sSub>
          <m:r>
            <m:rPr>
              <m:sty m:val="p"/>
            </m:rPr>
            <w:rPr>
              <w:rFonts w:ascii="Cambria Math" w:eastAsiaTheme="minorEastAsia" w:hAnsi="Cambria Math"/>
            </w:rPr>
            <m:t>,</m:t>
          </m:r>
          <m:r>
            <w:rPr>
              <w:rFonts w:ascii="Cambria Math" w:eastAsiaTheme="minorEastAsia" w:hAnsi="Cambria Math"/>
            </w:rPr>
            <m:t xml:space="preserve"> i = 1, …, N.</m:t>
          </m:r>
        </m:oMath>
      </m:oMathPara>
    </w:p>
    <w:p w14:paraId="573ADCC3" w14:textId="1783B59C" w:rsidR="00712B5C" w:rsidRDefault="00712B5C" w:rsidP="00ED5292">
      <w:pPr>
        <w:pStyle w:val="EFSABodytext"/>
        <w:numPr>
          <w:ilvl w:val="0"/>
          <w:numId w:val="63"/>
        </w:numPr>
        <w:rPr>
          <w:rFonts w:eastAsiaTheme="minorEastAsia"/>
        </w:rPr>
      </w:pPr>
      <w:r>
        <w:rPr>
          <w:rFonts w:eastAsiaTheme="minorEastAsia"/>
        </w:rPr>
        <w:t xml:space="preserve">The linear model </w:t>
      </w:r>
    </w:p>
    <w:p w14:paraId="1204A755" w14:textId="19798EFA" w:rsidR="00712B5C" w:rsidRDefault="00712B5C" w:rsidP="00ED5292">
      <w:pPr>
        <w:pStyle w:val="EFSABodytext"/>
        <w:ind w:left="360"/>
        <w:rPr>
          <w:rFonts w:eastAsiaTheme="minorEastAsia"/>
        </w:rPr>
      </w:pPr>
      <m:oMathPara>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 xml:space="preserve"> = a+bx,</m:t>
          </m:r>
        </m:oMath>
      </m:oMathPara>
    </w:p>
    <w:p w14:paraId="3B02AD41" w14:textId="77777777" w:rsidR="00712B5C" w:rsidRDefault="00712B5C" w:rsidP="00DE30D2">
      <w:pPr>
        <w:pStyle w:val="EFSABodytext"/>
        <w:rPr>
          <w:rFonts w:eastAsiaTheme="minorEastAsia"/>
        </w:rPr>
      </w:pPr>
    </w:p>
    <w:p w14:paraId="16B1C5E5" w14:textId="3E604EB0" w:rsidR="00712B5C" w:rsidRDefault="00712B5C" w:rsidP="00ED5292">
      <w:pPr>
        <w:pStyle w:val="EFSABodytext"/>
        <w:numPr>
          <w:ilvl w:val="0"/>
          <w:numId w:val="63"/>
        </w:numPr>
        <w:rPr>
          <w:rFonts w:eastAsiaTheme="minorEastAsia"/>
        </w:rPr>
      </w:pPr>
      <w:r>
        <w:rPr>
          <w:rFonts w:eastAsiaTheme="minorEastAsia"/>
        </w:rPr>
        <w:t>The quadratic model</w:t>
      </w:r>
    </w:p>
    <w:p w14:paraId="361AB233" w14:textId="1B3F673F" w:rsidR="00712B5C" w:rsidRPr="00712B5C" w:rsidRDefault="00712B5C" w:rsidP="00ED5292">
      <w:pPr>
        <w:pStyle w:val="EFSABodytext"/>
        <w:ind w:left="360"/>
        <w:rPr>
          <w:rFonts w:eastAsiaTheme="minorEastAsia"/>
        </w:rPr>
      </w:pPr>
      <m:oMathPara>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 xml:space="preserve"> = a+bx+c</m:t>
          </m:r>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2</m:t>
              </m:r>
            </m:sup>
          </m:sSup>
          <m:r>
            <w:rPr>
              <w:rFonts w:ascii="Cambria Math" w:eastAsiaTheme="minorEastAsia" w:hAnsi="Cambria Math"/>
            </w:rPr>
            <m:t>,</m:t>
          </m:r>
        </m:oMath>
      </m:oMathPara>
    </w:p>
    <w:p w14:paraId="6A68986D" w14:textId="77777777" w:rsidR="004D7C64" w:rsidRPr="00712B5C" w:rsidRDefault="004D7C64" w:rsidP="00DE30D2">
      <w:pPr>
        <w:pStyle w:val="EFSABodytext"/>
        <w:ind w:left="720"/>
        <w:rPr>
          <w:rFonts w:eastAsiaTheme="minorEastAsia"/>
        </w:rPr>
      </w:pPr>
    </w:p>
    <w:p w14:paraId="5025C42A" w14:textId="58E29EED" w:rsidR="00712B5C" w:rsidRDefault="00712B5C" w:rsidP="00ED5292">
      <w:pPr>
        <w:pStyle w:val="EFSABodytext"/>
        <w:numPr>
          <w:ilvl w:val="0"/>
          <w:numId w:val="63"/>
        </w:numPr>
        <w:rPr>
          <w:rFonts w:eastAsiaTheme="minorEastAsia"/>
        </w:rPr>
      </w:pPr>
      <w:r>
        <w:rPr>
          <w:rFonts w:eastAsiaTheme="minorEastAsia"/>
        </w:rPr>
        <w:t xml:space="preserve">The power </w:t>
      </w:r>
      <w:proofErr w:type="gramStart"/>
      <w:r>
        <w:rPr>
          <w:rFonts w:eastAsiaTheme="minorEastAsia"/>
        </w:rPr>
        <w:t>model</w:t>
      </w:r>
      <w:proofErr w:type="gramEnd"/>
    </w:p>
    <w:p w14:paraId="4C37C2CD" w14:textId="51C24B4F" w:rsidR="00863CB2" w:rsidRPr="004B3126" w:rsidRDefault="00863CB2" w:rsidP="00ED5292">
      <w:pPr>
        <w:pStyle w:val="EFSABodytext"/>
        <w:ind w:left="720"/>
        <w:rPr>
          <w:rFonts w:eastAsiaTheme="minorEastAsia"/>
        </w:rPr>
      </w:pPr>
      <m:oMathPara>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 xml:space="preserve"> = a+b</m:t>
          </m:r>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c</m:t>
              </m:r>
            </m:sup>
          </m:sSup>
          <m:r>
            <w:rPr>
              <w:rFonts w:ascii="Cambria Math" w:eastAsiaTheme="minorEastAsia" w:hAnsi="Cambria Math"/>
            </w:rPr>
            <m:t>.</m:t>
          </m:r>
        </m:oMath>
      </m:oMathPara>
    </w:p>
    <w:p w14:paraId="7C81B1A8" w14:textId="77777777" w:rsidR="00C72EA5" w:rsidRDefault="00C72EA5" w:rsidP="009F4588">
      <w:pPr>
        <w:pStyle w:val="EFSABodytext"/>
        <w:rPr>
          <w:rFonts w:eastAsiaTheme="minorEastAsia"/>
        </w:rPr>
      </w:pPr>
    </w:p>
    <w:p w14:paraId="57D55B5D" w14:textId="6536089C" w:rsidR="005A57F7" w:rsidRDefault="005A57F7" w:rsidP="005A57F7">
      <w:pPr>
        <w:pStyle w:val="EFSABodytext"/>
        <w:rPr>
          <w:rFonts w:eastAsiaTheme="minorEastAsia"/>
        </w:rPr>
      </w:pPr>
      <w:r>
        <w:rPr>
          <w:rFonts w:eastAsiaTheme="minorEastAsia"/>
        </w:rPr>
        <w:t>The null and the full models used previously in EFSA, 2017 to assess the presence of dose response and the goodness of fit of the models are not needed anymore for the recommended Bayesian modelling</w:t>
      </w:r>
    </w:p>
    <w:p w14:paraId="18F6FB9C" w14:textId="5C6A447C" w:rsidR="00A32F78" w:rsidRDefault="00C72EA5" w:rsidP="00817AEA">
      <w:pPr>
        <w:pStyle w:val="EFSABodytext"/>
        <w:rPr>
          <w:rFonts w:eastAsiaTheme="minorEastAsia"/>
        </w:rPr>
      </w:pPr>
      <w:r>
        <w:t>T</w:t>
      </w:r>
      <w:r>
        <w:rPr>
          <w:rFonts w:eastAsiaTheme="minorEastAsia"/>
        </w:rPr>
        <w:t>he family of polynomial and power models are included in the US EPA BMDS software</w:t>
      </w:r>
      <w:r w:rsidRPr="00C72EA5">
        <w:t xml:space="preserve"> </w:t>
      </w:r>
      <w:r>
        <w:t>for continuous data</w:t>
      </w:r>
      <w:r>
        <w:rPr>
          <w:rFonts w:eastAsiaTheme="minorEastAsia"/>
        </w:rPr>
        <w:t>. These families of models</w:t>
      </w:r>
      <w:r w:rsidR="00986809">
        <w:rPr>
          <w:rFonts w:eastAsiaTheme="minorEastAsia"/>
        </w:rPr>
        <w:t>,</w:t>
      </w:r>
      <w:r>
        <w:rPr>
          <w:rFonts w:eastAsiaTheme="minorEastAsia"/>
        </w:rPr>
        <w:t xml:space="preserve"> typically applied to epidemiological data, </w:t>
      </w:r>
      <w:r w:rsidR="00986809">
        <w:rPr>
          <w:rFonts w:eastAsiaTheme="minorEastAsia"/>
        </w:rPr>
        <w:t>have</w:t>
      </w:r>
      <w:r w:rsidRPr="00E24C37">
        <w:rPr>
          <w:rFonts w:eastAsiaTheme="minorEastAsia"/>
        </w:rPr>
        <w:t xml:space="preserve"> quite different </w:t>
      </w:r>
      <w:r w:rsidRPr="00C2667C">
        <w:rPr>
          <w:rFonts w:eastAsiaTheme="minorEastAsia"/>
        </w:rPr>
        <w:t>characteristics and additional statistical complexities: they have less parameters and are rather limited in their flexibility; moreover, they do not comply with all 4 properties P1-P4</w:t>
      </w:r>
      <w:r w:rsidR="00C2667C" w:rsidRPr="00C2667C">
        <w:rPr>
          <w:rFonts w:eastAsiaTheme="minorEastAsia"/>
        </w:rPr>
        <w:t>.</w:t>
      </w:r>
    </w:p>
    <w:p w14:paraId="73D22355" w14:textId="77777777" w:rsidR="005A57F7" w:rsidRDefault="005A57F7" w:rsidP="00817AEA">
      <w:pPr>
        <w:pStyle w:val="EFSABodytext"/>
        <w:rPr>
          <w:rFonts w:eastAsiaTheme="minorEastAsia"/>
        </w:rPr>
      </w:pPr>
    </w:p>
    <w:p w14:paraId="24C484D1" w14:textId="16982DA6" w:rsidR="00156F49" w:rsidRDefault="00FC7C5D" w:rsidP="00DE30D2">
      <w:pPr>
        <w:pStyle w:val="EFSAHeading4"/>
      </w:pPr>
      <w:r>
        <w:t>Further considerations regarding the statistical model</w:t>
      </w:r>
    </w:p>
    <w:p w14:paraId="03F0B980" w14:textId="77777777" w:rsidR="00156F49" w:rsidRDefault="00156F49" w:rsidP="00DE30D2">
      <w:pPr>
        <w:pStyle w:val="EFSABodytext"/>
        <w:jc w:val="left"/>
        <w:rPr>
          <w:rFonts w:eastAsiaTheme="minorEastAsia"/>
        </w:rPr>
      </w:pPr>
    </w:p>
    <w:p w14:paraId="5556C6E4" w14:textId="3FA93564" w:rsidR="00610995" w:rsidRDefault="00C72EA5" w:rsidP="00985D11">
      <w:pPr>
        <w:pStyle w:val="EFSABodytext"/>
        <w:jc w:val="left"/>
        <w:rPr>
          <w:rFonts w:eastAsiaTheme="minorEastAsia"/>
        </w:rPr>
      </w:pPr>
      <w:r w:rsidRPr="00AD7BB1">
        <w:rPr>
          <w:rFonts w:eastAsiaTheme="minorEastAsia"/>
        </w:rPr>
        <w:t>I</w:t>
      </w:r>
      <w:r w:rsidR="00CC1D69">
        <w:rPr>
          <w:rFonts w:eastAsiaTheme="minorEastAsia"/>
        </w:rPr>
        <w:t>ndividual responses</w:t>
      </w:r>
      <w:r w:rsidR="001C5A4A">
        <w:rPr>
          <w:rFonts w:eastAsiaTheme="minorEastAsia"/>
        </w:rPr>
        <w:t xml:space="preserve"> </w:t>
      </w:r>
      <m:oMath>
        <m:r>
          <w:rPr>
            <w:rFonts w:ascii="Cambria Math" w:eastAsiaTheme="minorEastAsia" w:hAnsi="Cambria Math"/>
          </w:rPr>
          <m:t>y</m:t>
        </m:r>
      </m:oMath>
      <w:r w:rsidR="004D7684">
        <w:rPr>
          <w:rFonts w:eastAsiaTheme="minorEastAsia"/>
        </w:rPr>
        <w:t xml:space="preserve"> (</w:t>
      </w:r>
      <w:r w:rsidR="0005255E">
        <w:rPr>
          <w:rFonts w:eastAsiaTheme="minorEastAsia"/>
        </w:rPr>
        <w:t>e.g.,</w:t>
      </w:r>
      <w:r w:rsidR="004D7684">
        <w:rPr>
          <w:rFonts w:eastAsiaTheme="minorEastAsia"/>
        </w:rPr>
        <w:t xml:space="preserve"> individual organ weights</w:t>
      </w:r>
      <w:r w:rsidR="004562F4">
        <w:rPr>
          <w:rFonts w:eastAsiaTheme="minorEastAsia"/>
        </w:rPr>
        <w:t xml:space="preserve">) are </w:t>
      </w:r>
      <w:r w:rsidR="00C7248B">
        <w:rPr>
          <w:rFonts w:eastAsiaTheme="minorEastAsia"/>
        </w:rPr>
        <w:t xml:space="preserve">guaranteed to be </w:t>
      </w:r>
      <w:r w:rsidR="004562F4">
        <w:rPr>
          <w:rFonts w:eastAsiaTheme="minorEastAsia"/>
        </w:rPr>
        <w:t xml:space="preserve">positive </w:t>
      </w:r>
      <w:r w:rsidR="003C0D0B">
        <w:rPr>
          <w:rFonts w:eastAsiaTheme="minorEastAsia"/>
        </w:rPr>
        <w:t xml:space="preserve">for the log-normal distribution. </w:t>
      </w:r>
      <w:r w:rsidR="00E244C6">
        <w:rPr>
          <w:rFonts w:eastAsiaTheme="minorEastAsia"/>
        </w:rPr>
        <w:t xml:space="preserve">Although </w:t>
      </w: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&gt;0</m:t>
        </m:r>
      </m:oMath>
      <w:r w:rsidR="00DC0307">
        <w:rPr>
          <w:rFonts w:eastAsiaTheme="minorEastAsia"/>
        </w:rPr>
        <w:t>, there is a</w:t>
      </w:r>
      <w:r w:rsidR="00715F34">
        <w:rPr>
          <w:rFonts w:eastAsiaTheme="minorEastAsia"/>
        </w:rPr>
        <w:t xml:space="preserve"> (typically very small)</w:t>
      </w:r>
      <w:r w:rsidR="00DC0307">
        <w:rPr>
          <w:rFonts w:eastAsiaTheme="minorEastAsia"/>
        </w:rPr>
        <w:t xml:space="preserve"> theoretical probability that</w:t>
      </w:r>
      <w:r w:rsidR="00D32FCE">
        <w:rPr>
          <w:rFonts w:eastAsiaTheme="minorEastAsia"/>
        </w:rPr>
        <w:t xml:space="preserve"> an</w:t>
      </w:r>
      <w:r w:rsidR="00DC0307">
        <w:rPr>
          <w:rFonts w:eastAsiaTheme="minorEastAsia"/>
        </w:rPr>
        <w:t xml:space="preserve"> individual </w:t>
      </w:r>
      <w:r w:rsidR="008C76AF">
        <w:rPr>
          <w:rFonts w:eastAsiaTheme="minorEastAsia"/>
        </w:rPr>
        <w:t xml:space="preserve">normally distributed </w:t>
      </w:r>
      <w:r w:rsidR="00DC0307">
        <w:rPr>
          <w:rFonts w:eastAsiaTheme="minorEastAsia"/>
        </w:rPr>
        <w:t>response</w:t>
      </w:r>
      <w:r w:rsidR="0094506F">
        <w:rPr>
          <w:rFonts w:eastAsiaTheme="minorEastAsia"/>
        </w:rPr>
        <w:t xml:space="preserve"> value</w:t>
      </w:r>
      <w:r w:rsidR="00DC0307">
        <w:rPr>
          <w:rFonts w:eastAsiaTheme="minorEastAsia"/>
        </w:rPr>
        <w:t xml:space="preserve"> </w:t>
      </w:r>
      <m:oMath>
        <m:r>
          <w:rPr>
            <w:rFonts w:ascii="Cambria Math" w:eastAsiaTheme="minorEastAsia" w:hAnsi="Cambria Math"/>
          </w:rPr>
          <m:t>y</m:t>
        </m:r>
      </m:oMath>
      <w:r w:rsidR="00D32FCE">
        <w:rPr>
          <w:rFonts w:eastAsiaTheme="minorEastAsia"/>
        </w:rPr>
        <w:t xml:space="preserve"> </w:t>
      </w:r>
      <w:r w:rsidR="008C76AF">
        <w:rPr>
          <w:rFonts w:eastAsiaTheme="minorEastAsia"/>
        </w:rPr>
        <w:t>becomes</w:t>
      </w:r>
      <w:r w:rsidR="00D32FCE">
        <w:rPr>
          <w:rFonts w:eastAsiaTheme="minorEastAsia"/>
        </w:rPr>
        <w:t xml:space="preserve"> negative.</w:t>
      </w:r>
      <w:r w:rsidR="00E05740">
        <w:rPr>
          <w:rFonts w:eastAsiaTheme="minorEastAsia"/>
        </w:rPr>
        <w:t xml:space="preserve"> In a similar vein,</w:t>
      </w:r>
      <w:r w:rsidR="0038374E">
        <w:rPr>
          <w:rFonts w:eastAsiaTheme="minorEastAsia"/>
        </w:rPr>
        <w:t xml:space="preserve"> </w:t>
      </w:r>
      <w:r w:rsidR="00C14D1C">
        <w:rPr>
          <w:rFonts w:eastAsiaTheme="minorEastAsia"/>
        </w:rPr>
        <w:t xml:space="preserve">the log-normal distribution </w:t>
      </w:r>
      <w:r w:rsidR="0038374E">
        <w:rPr>
          <w:rFonts w:eastAsiaTheme="minorEastAsia"/>
        </w:rPr>
        <w:t>being a one-sided heavy-tailed distribution</w:t>
      </w:r>
      <w:r w:rsidR="00361833">
        <w:rPr>
          <w:rFonts w:eastAsiaTheme="minorEastAsia"/>
        </w:rPr>
        <w:t>,</w:t>
      </w:r>
      <w:r w:rsidR="0038374E">
        <w:rPr>
          <w:rFonts w:eastAsiaTheme="minorEastAsia"/>
        </w:rPr>
        <w:t xml:space="preserve"> there</w:t>
      </w:r>
      <w:r w:rsidR="00D32FCE">
        <w:rPr>
          <w:rFonts w:eastAsiaTheme="minorEastAsia"/>
        </w:rPr>
        <w:t xml:space="preserve"> is </w:t>
      </w:r>
      <w:r w:rsidR="0038374E">
        <w:rPr>
          <w:rFonts w:eastAsiaTheme="minorEastAsia"/>
        </w:rPr>
        <w:t xml:space="preserve">a (typically very small) theoretical probability that </w:t>
      </w:r>
      <w:r w:rsidR="00EE2309">
        <w:rPr>
          <w:rFonts w:eastAsiaTheme="minorEastAsia"/>
        </w:rPr>
        <w:t>an individual</w:t>
      </w:r>
      <w:r w:rsidR="0038374E">
        <w:rPr>
          <w:rFonts w:eastAsiaTheme="minorEastAsia"/>
        </w:rPr>
        <w:t xml:space="preserve"> log-</w:t>
      </w:r>
      <w:r w:rsidR="00DB012B">
        <w:rPr>
          <w:rFonts w:eastAsiaTheme="minorEastAsia"/>
        </w:rPr>
        <w:t>normal</w:t>
      </w:r>
      <w:r w:rsidR="00EE2309">
        <w:rPr>
          <w:rFonts w:eastAsiaTheme="minorEastAsia"/>
        </w:rPr>
        <w:t xml:space="preserve">ly distributed response variable </w:t>
      </w:r>
      <m:oMath>
        <m:r>
          <w:rPr>
            <w:rFonts w:ascii="Cambria Math" w:eastAsiaTheme="minorEastAsia" w:hAnsi="Cambria Math"/>
          </w:rPr>
          <m:t>y</m:t>
        </m:r>
      </m:oMath>
      <w:r w:rsidR="00EE2309">
        <w:rPr>
          <w:rFonts w:eastAsiaTheme="minorEastAsia"/>
        </w:rPr>
        <w:t xml:space="preserve"> becomes</w:t>
      </w:r>
      <w:r w:rsidR="00DB012B">
        <w:rPr>
          <w:rFonts w:eastAsiaTheme="minorEastAsia"/>
        </w:rPr>
        <w:t xml:space="preserve"> </w:t>
      </w:r>
      <w:r w:rsidR="0038374E">
        <w:rPr>
          <w:rFonts w:eastAsiaTheme="minorEastAsia"/>
        </w:rPr>
        <w:t xml:space="preserve">extremely large, </w:t>
      </w:r>
      <w:r w:rsidR="00125C08">
        <w:rPr>
          <w:rFonts w:eastAsiaTheme="minorEastAsia"/>
        </w:rPr>
        <w:t xml:space="preserve">both </w:t>
      </w:r>
      <w:r w:rsidR="0038374E">
        <w:rPr>
          <w:rFonts w:eastAsiaTheme="minorEastAsia"/>
        </w:rPr>
        <w:t>completely unrealistic for the endpoint at hand.</w:t>
      </w:r>
      <w:r w:rsidR="00420A61">
        <w:rPr>
          <w:rFonts w:eastAsiaTheme="minorEastAsia"/>
        </w:rPr>
        <w:t xml:space="preserve"> </w:t>
      </w:r>
      <w:r w:rsidR="00D32FCE">
        <w:rPr>
          <w:rFonts w:eastAsiaTheme="minorEastAsia"/>
        </w:rPr>
        <w:t xml:space="preserve"> </w:t>
      </w:r>
      <w:r w:rsidR="0009248D">
        <w:rPr>
          <w:rFonts w:eastAsiaTheme="minorEastAsia"/>
        </w:rPr>
        <w:t>Th</w:t>
      </w:r>
      <w:r w:rsidR="00420A61">
        <w:rPr>
          <w:rFonts w:eastAsiaTheme="minorEastAsia"/>
        </w:rPr>
        <w:t>ese</w:t>
      </w:r>
      <w:r w:rsidR="0009248D">
        <w:rPr>
          <w:rFonts w:eastAsiaTheme="minorEastAsia"/>
        </w:rPr>
        <w:t xml:space="preserve"> theoretical </w:t>
      </w:r>
      <w:r w:rsidR="000E269F">
        <w:rPr>
          <w:rFonts w:eastAsiaTheme="minorEastAsia"/>
        </w:rPr>
        <w:t>disadvantage</w:t>
      </w:r>
      <w:r w:rsidR="00420A61">
        <w:rPr>
          <w:rFonts w:eastAsiaTheme="minorEastAsia"/>
        </w:rPr>
        <w:t>s</w:t>
      </w:r>
      <w:r w:rsidR="000E269F">
        <w:rPr>
          <w:rFonts w:eastAsiaTheme="minorEastAsia"/>
        </w:rPr>
        <w:t xml:space="preserve"> of </w:t>
      </w:r>
      <w:r w:rsidR="00420A61">
        <w:rPr>
          <w:rFonts w:eastAsiaTheme="minorEastAsia"/>
        </w:rPr>
        <w:t>both</w:t>
      </w:r>
      <w:r w:rsidR="000E269F">
        <w:rPr>
          <w:rFonts w:eastAsiaTheme="minorEastAsia"/>
        </w:rPr>
        <w:t xml:space="preserve"> distribution</w:t>
      </w:r>
      <w:r w:rsidR="00420A61">
        <w:rPr>
          <w:rFonts w:eastAsiaTheme="minorEastAsia"/>
        </w:rPr>
        <w:t>s</w:t>
      </w:r>
      <w:r w:rsidR="000E269F">
        <w:rPr>
          <w:rFonts w:eastAsiaTheme="minorEastAsia"/>
        </w:rPr>
        <w:t xml:space="preserve"> </w:t>
      </w:r>
      <w:r w:rsidR="00420A61">
        <w:rPr>
          <w:rFonts w:eastAsiaTheme="minorEastAsia"/>
        </w:rPr>
        <w:t>are</w:t>
      </w:r>
      <w:r w:rsidR="00E05E5A">
        <w:rPr>
          <w:rFonts w:eastAsiaTheme="minorEastAsia"/>
        </w:rPr>
        <w:t xml:space="preserve">, in most </w:t>
      </w:r>
      <w:r w:rsidR="00517AC5">
        <w:rPr>
          <w:rFonts w:eastAsiaTheme="minorEastAsia"/>
        </w:rPr>
        <w:t xml:space="preserve">practical </w:t>
      </w:r>
      <w:r w:rsidR="00E05E5A">
        <w:rPr>
          <w:rFonts w:eastAsiaTheme="minorEastAsia"/>
        </w:rPr>
        <w:t>cases,</w:t>
      </w:r>
      <w:r w:rsidR="000E269F">
        <w:rPr>
          <w:rFonts w:eastAsiaTheme="minorEastAsia"/>
        </w:rPr>
        <w:t xml:space="preserve"> not a</w:t>
      </w:r>
      <w:r w:rsidR="00510E08">
        <w:rPr>
          <w:rFonts w:eastAsiaTheme="minorEastAsia"/>
        </w:rPr>
        <w:t>n</w:t>
      </w:r>
      <w:r w:rsidR="00715F34">
        <w:rPr>
          <w:rFonts w:eastAsiaTheme="minorEastAsia"/>
        </w:rPr>
        <w:t xml:space="preserve"> issue</w:t>
      </w:r>
      <w:r w:rsidR="00517AC5">
        <w:rPr>
          <w:rFonts w:eastAsiaTheme="minorEastAsia"/>
        </w:rPr>
        <w:t>, as:</w:t>
      </w:r>
    </w:p>
    <w:p w14:paraId="0C5DB612" w14:textId="51BE9D26" w:rsidR="000E269F" w:rsidRDefault="00517AC5" w:rsidP="000E269F">
      <w:pPr>
        <w:pStyle w:val="EFSABodytext"/>
        <w:numPr>
          <w:ilvl w:val="0"/>
          <w:numId w:val="63"/>
        </w:numPr>
        <w:jc w:val="left"/>
        <w:rPr>
          <w:rFonts w:eastAsiaTheme="minorEastAsia"/>
        </w:rPr>
      </w:pPr>
      <w:r>
        <w:rPr>
          <w:rFonts w:eastAsiaTheme="minorEastAsia"/>
        </w:rPr>
        <w:t>both distributions</w:t>
      </w:r>
      <w:r w:rsidR="006132B1">
        <w:rPr>
          <w:rFonts w:eastAsiaTheme="minorEastAsia"/>
        </w:rPr>
        <w:t xml:space="preserve"> ha</w:t>
      </w:r>
      <w:r>
        <w:rPr>
          <w:rFonts w:eastAsiaTheme="minorEastAsia"/>
        </w:rPr>
        <w:t>ve</w:t>
      </w:r>
      <w:r w:rsidR="006132B1">
        <w:rPr>
          <w:rFonts w:eastAsiaTheme="minorEastAsia"/>
        </w:rPr>
        <w:t xml:space="preserve"> been proven to approximate the unknown data generating distribution of </w:t>
      </w:r>
      <w:r w:rsidR="00596645">
        <w:rPr>
          <w:rFonts w:eastAsiaTheme="minorEastAsia"/>
        </w:rPr>
        <w:t>positive random variables very wel</w:t>
      </w:r>
      <w:r w:rsidR="0067248A">
        <w:rPr>
          <w:rFonts w:eastAsiaTheme="minorEastAsia"/>
        </w:rPr>
        <w:t>l in</w:t>
      </w:r>
      <w:r w:rsidR="00C70A2C">
        <w:rPr>
          <w:rFonts w:eastAsiaTheme="minorEastAsia"/>
        </w:rPr>
        <w:t xml:space="preserve"> </w:t>
      </w:r>
      <w:r w:rsidR="00510E08">
        <w:rPr>
          <w:rFonts w:eastAsiaTheme="minorEastAsia"/>
        </w:rPr>
        <w:t xml:space="preserve">a variety of </w:t>
      </w:r>
      <w:r w:rsidR="00C70A2C">
        <w:rPr>
          <w:rFonts w:eastAsiaTheme="minorEastAsia"/>
        </w:rPr>
        <w:t>practical instances</w:t>
      </w:r>
      <w:r>
        <w:rPr>
          <w:rFonts w:eastAsiaTheme="minorEastAsia"/>
        </w:rPr>
        <w:t xml:space="preserve">, despite their theoretical </w:t>
      </w:r>
      <w:proofErr w:type="gramStart"/>
      <w:r>
        <w:rPr>
          <w:rFonts w:eastAsiaTheme="minorEastAsia"/>
        </w:rPr>
        <w:t>disadvantages</w:t>
      </w:r>
      <w:r w:rsidR="00C70A2C">
        <w:rPr>
          <w:rFonts w:eastAsiaTheme="minorEastAsia"/>
        </w:rPr>
        <w:t>;</w:t>
      </w:r>
      <w:proofErr w:type="gramEnd"/>
    </w:p>
    <w:p w14:paraId="451F4A5F" w14:textId="027B6A21" w:rsidR="00437552" w:rsidRPr="00437552" w:rsidRDefault="00C70A2C" w:rsidP="00985D11">
      <w:pPr>
        <w:pStyle w:val="EFSABodytext"/>
        <w:numPr>
          <w:ilvl w:val="0"/>
          <w:numId w:val="63"/>
        </w:numPr>
        <w:jc w:val="left"/>
        <w:rPr>
          <w:rFonts w:eastAsiaTheme="minorEastAsia"/>
        </w:rPr>
      </w:pPr>
      <w:r>
        <w:rPr>
          <w:rFonts w:eastAsiaTheme="minorEastAsia"/>
        </w:rPr>
        <w:t xml:space="preserve">the model is not developed </w:t>
      </w:r>
      <w:r w:rsidR="0094506F">
        <w:rPr>
          <w:rFonts w:eastAsiaTheme="minorEastAsia"/>
        </w:rPr>
        <w:t>for prediction of</w:t>
      </w:r>
      <w:r>
        <w:rPr>
          <w:rFonts w:eastAsiaTheme="minorEastAsia"/>
        </w:rPr>
        <w:t xml:space="preserve"> individual response values, but </w:t>
      </w:r>
      <w:r w:rsidR="0094506F">
        <w:rPr>
          <w:rFonts w:eastAsiaTheme="minorEastAsia"/>
        </w:rPr>
        <w:t>for the estimation of</w:t>
      </w:r>
      <w:r>
        <w:rPr>
          <w:rFonts w:eastAsiaTheme="minorEastAsia"/>
        </w:rPr>
        <w:t xml:space="preserve"> the BMD.</w:t>
      </w:r>
    </w:p>
    <w:p w14:paraId="2263024E" w14:textId="45322AD1" w:rsidR="003A4F3F" w:rsidRDefault="00773DE6" w:rsidP="00985D11">
      <w:pPr>
        <w:pStyle w:val="EFSABodytext"/>
        <w:jc w:val="left"/>
        <w:rPr>
          <w:rFonts w:eastAsiaTheme="minorEastAsia"/>
        </w:rPr>
      </w:pPr>
      <w:r>
        <w:rPr>
          <w:rFonts w:eastAsiaTheme="minorEastAsia"/>
        </w:rPr>
        <w:t>By default,</w:t>
      </w:r>
      <w:r w:rsidR="003F547A">
        <w:rPr>
          <w:rFonts w:eastAsiaTheme="minorEastAsia"/>
        </w:rPr>
        <w:t xml:space="preserve"> both distributions</w:t>
      </w:r>
      <w:r w:rsidR="00D064FC">
        <w:rPr>
          <w:rFonts w:eastAsiaTheme="minorEastAsia"/>
        </w:rPr>
        <w:t xml:space="preserve"> </w:t>
      </w:r>
      <w:r>
        <w:rPr>
          <w:rFonts w:eastAsiaTheme="minorEastAsia"/>
        </w:rPr>
        <w:t xml:space="preserve">will be included </w:t>
      </w:r>
      <w:r w:rsidR="00D064FC">
        <w:rPr>
          <w:rFonts w:eastAsiaTheme="minorEastAsia"/>
        </w:rPr>
        <w:t>in the analysis of the data</w:t>
      </w:r>
      <w:r w:rsidR="003F547A">
        <w:rPr>
          <w:rFonts w:eastAsiaTheme="minorEastAsia"/>
        </w:rPr>
        <w:t xml:space="preserve">. </w:t>
      </w:r>
      <w:r w:rsidR="003A4F3F">
        <w:rPr>
          <w:rFonts w:eastAsiaTheme="minorEastAsia"/>
        </w:rPr>
        <w:t xml:space="preserve">Nevertheless, </w:t>
      </w:r>
      <w:r w:rsidR="00A32F78">
        <w:rPr>
          <w:rFonts w:eastAsiaTheme="minorEastAsia"/>
        </w:rPr>
        <w:t>one of the two</w:t>
      </w:r>
      <w:r w:rsidR="004B0BC9">
        <w:rPr>
          <w:rFonts w:eastAsiaTheme="minorEastAsia"/>
        </w:rPr>
        <w:t xml:space="preserve"> distribution</w:t>
      </w:r>
      <w:r w:rsidR="00A32F78">
        <w:rPr>
          <w:rFonts w:eastAsiaTheme="minorEastAsia"/>
        </w:rPr>
        <w:t>s</w:t>
      </w:r>
      <w:r w:rsidR="004B0BC9">
        <w:rPr>
          <w:rFonts w:eastAsiaTheme="minorEastAsia"/>
        </w:rPr>
        <w:t xml:space="preserve"> </w:t>
      </w:r>
      <w:r w:rsidR="00F52948">
        <w:rPr>
          <w:rFonts w:eastAsiaTheme="minorEastAsia"/>
        </w:rPr>
        <w:t>might</w:t>
      </w:r>
      <w:r w:rsidR="004B0BC9">
        <w:rPr>
          <w:rFonts w:eastAsiaTheme="minorEastAsia"/>
        </w:rPr>
        <w:t xml:space="preserve"> be discarded </w:t>
      </w:r>
      <w:r w:rsidR="004F5775">
        <w:rPr>
          <w:rFonts w:eastAsiaTheme="minorEastAsia"/>
        </w:rPr>
        <w:t xml:space="preserve">from </w:t>
      </w:r>
      <w:r w:rsidR="00DD61B7">
        <w:rPr>
          <w:rFonts w:eastAsiaTheme="minorEastAsia"/>
        </w:rPr>
        <w:t>further</w:t>
      </w:r>
      <w:r w:rsidR="004B0BC9">
        <w:rPr>
          <w:rFonts w:eastAsiaTheme="minorEastAsia"/>
        </w:rPr>
        <w:t xml:space="preserve"> analysis</w:t>
      </w:r>
      <w:r w:rsidR="00697354">
        <w:rPr>
          <w:rFonts w:eastAsiaTheme="minorEastAsia"/>
        </w:rPr>
        <w:t xml:space="preserve"> during the process of evaluation</w:t>
      </w:r>
      <w:r w:rsidR="00DD61B7">
        <w:rPr>
          <w:rFonts w:eastAsiaTheme="minorEastAsia"/>
        </w:rPr>
        <w:t>,</w:t>
      </w:r>
      <w:r w:rsidR="004B0BC9">
        <w:rPr>
          <w:rFonts w:eastAsiaTheme="minorEastAsia"/>
        </w:rPr>
        <w:t xml:space="preserve"> </w:t>
      </w:r>
      <w:r w:rsidR="00F52948">
        <w:rPr>
          <w:rFonts w:eastAsiaTheme="minorEastAsia"/>
        </w:rPr>
        <w:t>based on</w:t>
      </w:r>
      <w:r w:rsidR="003A4F3F">
        <w:rPr>
          <w:rFonts w:eastAsiaTheme="minorEastAsia"/>
        </w:rPr>
        <w:t xml:space="preserve"> biological or statistical </w:t>
      </w:r>
      <w:r w:rsidR="003964B7">
        <w:rPr>
          <w:rFonts w:eastAsiaTheme="minorEastAsia"/>
        </w:rPr>
        <w:t xml:space="preserve">arguments </w:t>
      </w:r>
      <w:r w:rsidR="004B0BC9">
        <w:rPr>
          <w:rFonts w:eastAsiaTheme="minorEastAsia"/>
        </w:rPr>
        <w:t>for the data at hand</w:t>
      </w:r>
      <w:r w:rsidR="004F5775">
        <w:rPr>
          <w:rFonts w:eastAsiaTheme="minorEastAsia"/>
        </w:rPr>
        <w:t xml:space="preserve">. </w:t>
      </w:r>
      <w:r w:rsidR="00912AFB">
        <w:rPr>
          <w:rFonts w:eastAsiaTheme="minorEastAsia"/>
        </w:rPr>
        <w:t xml:space="preserve">For statistical </w:t>
      </w:r>
      <w:r w:rsidR="003964B7">
        <w:rPr>
          <w:rFonts w:eastAsiaTheme="minorEastAsia"/>
        </w:rPr>
        <w:t xml:space="preserve">techniques to reject </w:t>
      </w:r>
      <w:r w:rsidR="005A5E51">
        <w:rPr>
          <w:rFonts w:eastAsiaTheme="minorEastAsia"/>
        </w:rPr>
        <w:t xml:space="preserve">(or not reject) the normal or log-normal distribution, see further </w:t>
      </w:r>
      <w:r w:rsidR="00A135E2">
        <w:rPr>
          <w:rFonts w:eastAsiaTheme="minorEastAsia"/>
        </w:rPr>
        <w:t>under heading “</w:t>
      </w:r>
      <w:r w:rsidR="00A135E2" w:rsidRPr="00FF12EA">
        <w:rPr>
          <w:rFonts w:eastAsiaTheme="minorEastAsia"/>
        </w:rPr>
        <w:t>The data”</w:t>
      </w:r>
      <w:r w:rsidR="00FF12EA">
        <w:rPr>
          <w:rFonts w:eastAsiaTheme="minorEastAsia"/>
        </w:rPr>
        <w:t xml:space="preserve"> below</w:t>
      </w:r>
      <w:r w:rsidR="00A135E2" w:rsidRPr="00FF12EA">
        <w:rPr>
          <w:rFonts w:eastAsiaTheme="minorEastAsia"/>
        </w:rPr>
        <w:t>.</w:t>
      </w:r>
    </w:p>
    <w:p w14:paraId="20E74A73" w14:textId="15A2FE0D" w:rsidR="00A32F78" w:rsidRPr="00DE30D2" w:rsidRDefault="00A32F78" w:rsidP="00DE30D2">
      <w:pPr>
        <w:pStyle w:val="EFSABodytext"/>
      </w:pPr>
      <w:r w:rsidRPr="001423A2">
        <w:rPr>
          <w:rFonts w:eastAsiaTheme="minorEastAsia"/>
        </w:rPr>
        <w:t>F</w:t>
      </w:r>
      <w:r>
        <w:rPr>
          <w:rFonts w:eastAsiaTheme="minorEastAsia"/>
        </w:rPr>
        <w:t xml:space="preserve">or both distributions (normal </w:t>
      </w:r>
      <w:r w:rsidR="00C9145F">
        <w:rPr>
          <w:rFonts w:eastAsiaTheme="minorEastAsia"/>
        </w:rPr>
        <w:t>and</w:t>
      </w:r>
      <w:r>
        <w:rPr>
          <w:rFonts w:eastAsiaTheme="minorEastAsia"/>
        </w:rPr>
        <w:t xml:space="preserve"> log-normal) it is assumed that the </w:t>
      </w:r>
      <w:r w:rsidR="004237FC">
        <w:rPr>
          <w:rFonts w:eastAsiaTheme="minorEastAsia"/>
        </w:rPr>
        <w:t>parameter</w:t>
      </w:r>
      <w:r>
        <w:rPr>
          <w:rFonts w:eastAsiaTheme="minorEastAsia"/>
        </w:rPr>
        <w:t xml:space="preserve"> </w:t>
      </w:r>
      <m:oMath>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oMath>
      <w:r>
        <w:rPr>
          <w:rFonts w:eastAsiaTheme="minorEastAsia"/>
        </w:rPr>
        <w:t xml:space="preserve"> </w:t>
      </w:r>
      <w:r w:rsidR="007D5A61">
        <w:rPr>
          <w:rFonts w:eastAsiaTheme="minorEastAsia"/>
        </w:rPr>
        <w:t xml:space="preserve">is constant and does not depend on dose. </w:t>
      </w:r>
      <w:r>
        <w:t>When</w:t>
      </w:r>
      <w:r w:rsidRPr="00436767">
        <w:t xml:space="preserve"> there is evidence that </w:t>
      </w:r>
      <m:oMath>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oMath>
      <w:r w:rsidRPr="00436767">
        <w:t xml:space="preserve"> does change with dose, </w:t>
      </w:r>
      <w:r>
        <w:t>a</w:t>
      </w:r>
      <w:r w:rsidR="00EA19D6">
        <w:t>n adjusted analysis or a</w:t>
      </w:r>
      <w:r>
        <w:t>n extended</w:t>
      </w:r>
      <w:r w:rsidRPr="00436767">
        <w:t xml:space="preserve"> model</w:t>
      </w:r>
      <w:r>
        <w:t xml:space="preserve"> c</w:t>
      </w:r>
      <w:r w:rsidR="00EA19D6">
        <w:t>ould</w:t>
      </w:r>
      <w:r>
        <w:t xml:space="preserve"> be </w:t>
      </w:r>
      <w:r w:rsidR="00EA19D6">
        <w:t>applied</w:t>
      </w:r>
      <w:r w:rsidRPr="00436767">
        <w:t xml:space="preserve">. Ignoring </w:t>
      </w:r>
      <w:r>
        <w:t xml:space="preserve">that </w:t>
      </w:r>
      <w:r w:rsidRPr="00436767">
        <w:t>dependency</w:t>
      </w:r>
      <w:r>
        <w:t xml:space="preserve"> (while </w:t>
      </w:r>
      <w:proofErr w:type="gramStart"/>
      <w:r>
        <w:t>in reality it</w:t>
      </w:r>
      <w:proofErr w:type="gramEnd"/>
      <w:r>
        <w:t xml:space="preserve"> exists) </w:t>
      </w:r>
      <w:r w:rsidR="00205BF0">
        <w:t>might affect the standard errors of the parameter estimates as well as the confidence bounds for the BMD (BMDL and BMDU)</w:t>
      </w:r>
      <w:r w:rsidR="00F17B50">
        <w:t>, although</w:t>
      </w:r>
      <w:r w:rsidR="00205BF0">
        <w:t xml:space="preserve"> </w:t>
      </w:r>
      <w:r w:rsidRPr="00436767">
        <w:t xml:space="preserve">the </w:t>
      </w:r>
      <w:r>
        <w:t xml:space="preserve">fitted </w:t>
      </w:r>
      <w:r w:rsidRPr="00436767">
        <w:t xml:space="preserve">dose-response model for the mean </w:t>
      </w:r>
      <w:r>
        <w:t>and the BMD estimate are</w:t>
      </w:r>
      <w:r w:rsidRPr="00436767">
        <w:t xml:space="preserve"> </w:t>
      </w:r>
      <w:r>
        <w:t>in general expected to be still appropriate</w:t>
      </w:r>
      <w:r w:rsidR="00F17B50">
        <w:t>.</w:t>
      </w:r>
      <w:r w:rsidR="00EA19D6">
        <w:t xml:space="preserve"> </w:t>
      </w:r>
      <w:r w:rsidR="006476E9">
        <w:rPr>
          <w:rFonts w:eastAsiaTheme="minorEastAsia"/>
        </w:rPr>
        <w:t xml:space="preserve">For statistical techniques to reject (or not reject) the parameter </w:t>
      </w:r>
      <m:oMath>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oMath>
      <w:r w:rsidR="006476E9">
        <w:rPr>
          <w:rFonts w:eastAsiaTheme="minorEastAsia"/>
        </w:rPr>
        <w:t xml:space="preserve"> to be independent of dose, see further under heading “The data”</w:t>
      </w:r>
      <w:r w:rsidR="006476E9" w:rsidRPr="001423A2">
        <w:rPr>
          <w:rFonts w:eastAsiaTheme="minorEastAsia"/>
        </w:rPr>
        <w:t>.</w:t>
      </w:r>
    </w:p>
    <w:p w14:paraId="5B8A9AE7" w14:textId="77777777" w:rsidR="0048142C" w:rsidRPr="0048142C" w:rsidRDefault="0048142C" w:rsidP="00286948">
      <w:pPr>
        <w:pStyle w:val="EFSABodytext"/>
      </w:pPr>
    </w:p>
    <w:p w14:paraId="5792F629" w14:textId="7B530519" w:rsidR="006B17D4" w:rsidRDefault="006B17D4" w:rsidP="006B17D4">
      <w:pPr>
        <w:pStyle w:val="EFSAHeading4"/>
      </w:pPr>
      <w:r>
        <w:t>The data</w:t>
      </w:r>
    </w:p>
    <w:p w14:paraId="1DD4078F" w14:textId="01C9906E" w:rsidR="006B17D4" w:rsidRDefault="006B17D4">
      <w:pPr>
        <w:pStyle w:val="EFSABodytext"/>
      </w:pPr>
      <w:r>
        <w:t>For continuous data, the individual observations should ideally serve as the input for a BMD analysis. When no individual but only summary data are available, the BMD analysis may be based on the combination of the mean, the standard deviation (or standard error of the mean), and the sample size for each treatment group. Using summary data may lead to slightly different results compared with using individual data</w:t>
      </w:r>
      <w:r w:rsidR="002E1C5B">
        <w:t>, depending on the type of summary data and the selected distribution. The use of individual data is equivalent to the use of arithmetic summary data (arithmetic mean, arithmetic standard deviation, and sample size per treatment group) when applying the normal distribution, and the use of individual data is equivalent to the use of geometric summary data (geometric mean, geometric standard deviation, and sample size per treatment group) when using the log-normal distribution. This is related to the statistical concept of “sufficiency” of summary statistics (</w:t>
      </w:r>
      <w:r w:rsidR="002D0065">
        <w:t>Fisher, 1922</w:t>
      </w:r>
      <w:r w:rsidR="00444528">
        <w:t>;</w:t>
      </w:r>
      <w:r w:rsidR="002D0065">
        <w:t xml:space="preserve"> Stigler, 1974</w:t>
      </w:r>
      <w:r w:rsidR="00444528">
        <w:t xml:space="preserve"> and </w:t>
      </w:r>
      <w:r w:rsidR="004A2E59">
        <w:t>Lehmann and Casella, 1998</w:t>
      </w:r>
      <w:r w:rsidR="002E1C5B">
        <w:t xml:space="preserve">). </w:t>
      </w:r>
      <w:r w:rsidR="00D5236A">
        <w:t>It should be emphasize</w:t>
      </w:r>
      <w:r w:rsidR="00C82DA1">
        <w:t>d</w:t>
      </w:r>
      <w:r w:rsidR="00D5236A">
        <w:t xml:space="preserve"> that when using</w:t>
      </w:r>
      <w:r w:rsidR="002E1C5B">
        <w:t xml:space="preserve"> arithmetic (geometric) summary data to be converted to geometric (arithmetic) summary data when using the log-normal (normal) distribution, </w:t>
      </w:r>
      <w:r w:rsidR="00037001">
        <w:t>it</w:t>
      </w:r>
      <w:r w:rsidR="002E1C5B">
        <w:t xml:space="preserve"> holds only approximately</w:t>
      </w:r>
      <w:r w:rsidR="00037001">
        <w:t xml:space="preserve">, meaning that </w:t>
      </w:r>
      <w:r w:rsidR="0020178A">
        <w:t xml:space="preserve">results </w:t>
      </w:r>
      <w:r w:rsidR="00B72CAF">
        <w:t xml:space="preserve">might slightly differ from those that would be obtained if individual observations </w:t>
      </w:r>
      <w:r w:rsidR="0DE1156A">
        <w:t>were used</w:t>
      </w:r>
      <w:r w:rsidR="002E1C5B">
        <w:t xml:space="preserve">. </w:t>
      </w:r>
    </w:p>
    <w:p w14:paraId="6BE44F9F" w14:textId="04E1FE3B" w:rsidR="00A135E2" w:rsidRDefault="6EC66009">
      <w:pPr>
        <w:pStyle w:val="EFSABodytext"/>
      </w:pPr>
      <w:r w:rsidRPr="00EB26F1">
        <w:t>W</w:t>
      </w:r>
      <w:r>
        <w:t xml:space="preserve">hen </w:t>
      </w:r>
      <w:r w:rsidR="1A18E341">
        <w:t>individual data are available, well-established formal statistical tests can be performed to test the particular distribution</w:t>
      </w:r>
      <w:r w:rsidR="783AAA2E">
        <w:t>al</w:t>
      </w:r>
      <w:r w:rsidR="22891C2B">
        <w:t xml:space="preserve"> assumption</w:t>
      </w:r>
      <w:r w:rsidR="6C08D26C">
        <w:t>,</w:t>
      </w:r>
      <w:r w:rsidR="4F857949">
        <w:t xml:space="preserve"> </w:t>
      </w:r>
      <w:proofErr w:type="gramStart"/>
      <w:r w:rsidR="4F857949">
        <w:t>e.g.</w:t>
      </w:r>
      <w:proofErr w:type="gramEnd"/>
      <w:r w:rsidR="4F857949">
        <w:t xml:space="preserve"> the Shapiro-Wilk test for testing normality and log-</w:t>
      </w:r>
      <w:proofErr w:type="spellStart"/>
      <w:r w:rsidR="4F857949">
        <w:t>normalitiy</w:t>
      </w:r>
      <w:proofErr w:type="spellEnd"/>
      <w:r w:rsidR="4F857949">
        <w:t xml:space="preserve"> </w:t>
      </w:r>
      <w:r w:rsidR="0F6435E8">
        <w:t>(</w:t>
      </w:r>
      <w:r w:rsidR="00D4092C">
        <w:t>Shapiro and Wilks, 1965</w:t>
      </w:r>
      <w:r w:rsidR="7C24DEBE">
        <w:t>)</w:t>
      </w:r>
      <w:r w:rsidR="1A18E341">
        <w:t>.</w:t>
      </w:r>
      <w:r w:rsidR="38085413">
        <w:t xml:space="preserve"> When only summary data</w:t>
      </w:r>
      <w:r w:rsidR="4151E2BB">
        <w:t xml:space="preserve"> </w:t>
      </w:r>
      <w:r w:rsidR="38085413">
        <w:t xml:space="preserve">are available, one is very limited in checking the validity of the </w:t>
      </w:r>
      <w:r w:rsidR="2B03F5B1">
        <w:t xml:space="preserve">distributional part of the </w:t>
      </w:r>
      <w:r w:rsidR="70EDEF0B">
        <w:t>statistical model</w:t>
      </w:r>
      <w:r w:rsidR="61A24900">
        <w:t>:</w:t>
      </w:r>
      <w:r w:rsidR="70EDEF0B">
        <w:t xml:space="preserve"> the </w:t>
      </w:r>
      <w:r w:rsidR="38085413">
        <w:t xml:space="preserve">normal </w:t>
      </w:r>
      <w:r w:rsidR="166F7E7C">
        <w:t>or</w:t>
      </w:r>
      <w:r w:rsidR="19764ED6">
        <w:t xml:space="preserve"> log-normal distribution</w:t>
      </w:r>
      <w:r w:rsidR="70EDEF0B">
        <w:t xml:space="preserve"> with parameter</w:t>
      </w:r>
      <w:r w:rsidR="70EDEF0B" w:rsidRPr="5979428D">
        <w:rPr>
          <w:rFonts w:eastAsiaTheme="minorEastAsia"/>
        </w:rPr>
        <w:t xml:space="preserve"> </w:t>
      </w:r>
      <m:oMath>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oMath>
      <w:r w:rsidR="70EDEF0B" w:rsidRPr="5979428D">
        <w:rPr>
          <w:rFonts w:eastAsiaTheme="minorEastAsia"/>
        </w:rPr>
        <w:t xml:space="preserve"> not depending on dose</w:t>
      </w:r>
      <w:r w:rsidR="19764ED6">
        <w:t xml:space="preserve">. </w:t>
      </w:r>
      <w:r w:rsidR="1719083F">
        <w:t xml:space="preserve">With summary data, </w:t>
      </w:r>
      <w:r w:rsidR="00A646EC">
        <w:t>it is recommended to</w:t>
      </w:r>
      <w:r w:rsidR="19764ED6">
        <w:t xml:space="preserve"> check the </w:t>
      </w:r>
      <w:r w:rsidR="70EDEF0B">
        <w:t xml:space="preserve">specific </w:t>
      </w:r>
      <w:r w:rsidR="19764ED6">
        <w:t>nature of the relation between the observed dose specific arithmetic averages and standard deviations:</w:t>
      </w:r>
    </w:p>
    <w:p w14:paraId="2F05A337" w14:textId="64251CB6" w:rsidR="4859ADB3" w:rsidRDefault="3776A6B2" w:rsidP="5979428D">
      <w:pPr>
        <w:pStyle w:val="EFSABodytext"/>
        <w:rPr>
          <w:rFonts w:eastAsiaTheme="minorEastAsia"/>
        </w:rPr>
      </w:pPr>
      <w:r>
        <w:t xml:space="preserve">the </w:t>
      </w:r>
      <w:r w:rsidR="4D2072B0">
        <w:t xml:space="preserve">(homoscedastic) </w:t>
      </w:r>
      <w:r>
        <w:t xml:space="preserve">normal distribution </w:t>
      </w:r>
      <m:oMath>
        <m:r>
          <w:rPr>
            <w:rFonts w:ascii="Cambria Math" w:eastAsiaTheme="minorEastAsia" w:hAnsi="Cambria Math"/>
          </w:rPr>
          <m:t>y|x ~</m:t>
        </m:r>
        <m:r>
          <m:rPr>
            <m:sty m:val="p"/>
          </m:rPr>
          <w:rPr>
            <w:rFonts w:ascii="Cambria Math" w:eastAsiaTheme="minorEastAsia" w:hAnsi="Cambria Math"/>
          </w:rPr>
          <m:t>N</m:t>
        </m:r>
        <m:d>
          <m:dPr>
            <m:ctrlPr>
              <w:rPr>
                <w:rFonts w:ascii="Cambria Math" w:eastAsiaTheme="minorEastAsia" w:hAnsi="Cambria Math"/>
                <w:i/>
              </w:rPr>
            </m:ctrlPr>
          </m:dPr>
          <m:e>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e>
        </m:d>
      </m:oMath>
      <w:r w:rsidRPr="5979428D">
        <w:rPr>
          <w:rFonts w:eastAsiaTheme="minorEastAsia"/>
        </w:rPr>
        <w:t xml:space="preserve"> </w:t>
      </w:r>
      <w:r w:rsidR="0476452D" w:rsidRPr="5979428D">
        <w:rPr>
          <w:rFonts w:eastAsiaTheme="minorEastAsia"/>
        </w:rPr>
        <w:t xml:space="preserve">implies a constant </w:t>
      </w:r>
      <w:r w:rsidR="310D270A" w:rsidRPr="5979428D">
        <w:rPr>
          <w:rFonts w:eastAsiaTheme="minorEastAsia"/>
        </w:rPr>
        <w:t>standard deviation</w:t>
      </w:r>
      <w:r w:rsidR="625884A5" w:rsidRPr="5979428D">
        <w:rPr>
          <w:rFonts w:eastAsiaTheme="minorEastAsia"/>
        </w:rPr>
        <w:t xml:space="preserve">, </w:t>
      </w:r>
      <w:proofErr w:type="gramStart"/>
      <w:r w:rsidR="616ACE1B" w:rsidRPr="5979428D">
        <w:rPr>
          <w:rFonts w:eastAsiaTheme="minorEastAsia"/>
        </w:rPr>
        <w:t>i.e.</w:t>
      </w:r>
      <w:proofErr w:type="gramEnd"/>
      <w:r w:rsidR="625884A5" w:rsidRPr="5979428D">
        <w:rPr>
          <w:rFonts w:eastAsiaTheme="minorEastAsia"/>
        </w:rPr>
        <w:t xml:space="preserve"> </w:t>
      </w:r>
      <w:r w:rsidR="1EE8FFE2" w:rsidRPr="5979428D">
        <w:rPr>
          <w:rFonts w:eastAsiaTheme="minorEastAsia"/>
        </w:rPr>
        <w:t xml:space="preserve">the </w:t>
      </w:r>
      <w:r w:rsidR="625884A5" w:rsidRPr="5979428D">
        <w:rPr>
          <w:rFonts w:eastAsiaTheme="minorEastAsia"/>
        </w:rPr>
        <w:t>standard deviation does not depend on the</w:t>
      </w:r>
      <w:r w:rsidR="6A9FCB0D" w:rsidRPr="5979428D">
        <w:rPr>
          <w:rFonts w:eastAsiaTheme="minorEastAsia"/>
        </w:rPr>
        <w:t xml:space="preserve"> dose </w:t>
      </w:r>
      <w:r w:rsidR="6A9FCB0D" w:rsidRPr="002619D8">
        <w:rPr>
          <w:rFonts w:eastAsiaTheme="minorEastAsia"/>
          <w:i/>
          <w:iCs/>
        </w:rPr>
        <w:t>x</w:t>
      </w:r>
      <w:r w:rsidR="0B775A82" w:rsidRPr="5979428D">
        <w:rPr>
          <w:rFonts w:eastAsiaTheme="minorEastAsia"/>
          <w:i/>
          <w:iCs/>
        </w:rPr>
        <w:t xml:space="preserve"> </w:t>
      </w:r>
      <w:r w:rsidR="0B775A82" w:rsidRPr="002619D8">
        <w:rPr>
          <w:rFonts w:eastAsiaTheme="minorEastAsia"/>
        </w:rPr>
        <w:t>(</w:t>
      </w:r>
      <w:r w:rsidR="0B775A82" w:rsidRPr="5979428D">
        <w:rPr>
          <w:rFonts w:eastAsiaTheme="minorEastAsia"/>
        </w:rPr>
        <w:t>homoscedasticity on the original scale of the response</w:t>
      </w:r>
      <w:r w:rsidR="0B775A82" w:rsidRPr="002619D8">
        <w:rPr>
          <w:rFonts w:eastAsiaTheme="minorEastAsia"/>
        </w:rPr>
        <w:t>)</w:t>
      </w:r>
      <w:r w:rsidR="0476452D" w:rsidRPr="5979428D">
        <w:rPr>
          <w:rFonts w:eastAsiaTheme="minorEastAsia"/>
        </w:rPr>
        <w:t xml:space="preserve">. </w:t>
      </w:r>
      <w:r w:rsidR="2A7783C4">
        <w:t xml:space="preserve">the log-normal distribution </w:t>
      </w:r>
      <m:oMath>
        <m:r>
          <w:rPr>
            <w:rFonts w:ascii="Cambria Math" w:eastAsiaTheme="minorEastAsia" w:hAnsi="Cambria Math"/>
          </w:rPr>
          <m:t>y|x ~</m:t>
        </m:r>
        <m:r>
          <m:rPr>
            <m:sty m:val="p"/>
          </m:rPr>
          <w:rPr>
            <w:rFonts w:ascii="Cambria Math" w:eastAsiaTheme="minorEastAsia" w:hAnsi="Cambria Math"/>
          </w:rPr>
          <m:t>LOGN</m:t>
        </m:r>
        <m:d>
          <m:dPr>
            <m:ctrlPr>
              <w:rPr>
                <w:rFonts w:ascii="Cambria Math" w:eastAsiaTheme="minorEastAsia" w:hAnsi="Cambria Math"/>
                <w:i/>
              </w:rPr>
            </m:ctrlPr>
          </m:dPr>
          <m:e>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e>
        </m:d>
      </m:oMath>
      <w:r w:rsidR="2A7783C4" w:rsidRPr="5979428D">
        <w:rPr>
          <w:rFonts w:eastAsiaTheme="minorEastAsia"/>
        </w:rPr>
        <w:t xml:space="preserve"> implies a constant </w:t>
      </w:r>
      <w:r w:rsidR="2F263ECB" w:rsidRPr="5979428D">
        <w:rPr>
          <w:rFonts w:eastAsiaTheme="minorEastAsia"/>
        </w:rPr>
        <w:t>coefficient of variation</w:t>
      </w:r>
      <w:r w:rsidR="1A41AB6A" w:rsidRPr="5979428D">
        <w:rPr>
          <w:rFonts w:eastAsiaTheme="minorEastAsia"/>
        </w:rPr>
        <w:t>,</w:t>
      </w:r>
      <w:r w:rsidR="1653DC2F" w:rsidRPr="5979428D">
        <w:rPr>
          <w:rFonts w:eastAsiaTheme="minorEastAsia"/>
        </w:rPr>
        <w:t xml:space="preserve"> </w:t>
      </w:r>
      <w:proofErr w:type="gramStart"/>
      <w:r w:rsidR="7D673A10" w:rsidRPr="5979428D">
        <w:rPr>
          <w:rFonts w:eastAsiaTheme="minorEastAsia"/>
        </w:rPr>
        <w:t>i</w:t>
      </w:r>
      <w:r w:rsidR="518BC78F" w:rsidRPr="5979428D">
        <w:rPr>
          <w:rFonts w:eastAsiaTheme="minorEastAsia"/>
        </w:rPr>
        <w:t>.e.</w:t>
      </w:r>
      <w:proofErr w:type="gramEnd"/>
      <w:r w:rsidR="19A827AC" w:rsidRPr="5979428D">
        <w:rPr>
          <w:rFonts w:eastAsiaTheme="minorEastAsia"/>
        </w:rPr>
        <w:t xml:space="preserve"> </w:t>
      </w:r>
      <w:r w:rsidR="1653DC2F" w:rsidRPr="5979428D">
        <w:rPr>
          <w:rFonts w:eastAsiaTheme="minorEastAsia"/>
        </w:rPr>
        <w:t xml:space="preserve">the </w:t>
      </w:r>
      <w:r w:rsidR="32AA5057" w:rsidRPr="5979428D">
        <w:rPr>
          <w:rFonts w:eastAsiaTheme="minorEastAsia"/>
        </w:rPr>
        <w:t>ratio of the (</w:t>
      </w:r>
      <w:r w:rsidR="1653DC2F" w:rsidRPr="5979428D">
        <w:rPr>
          <w:rFonts w:eastAsiaTheme="minorEastAsia"/>
        </w:rPr>
        <w:t>standard deviation</w:t>
      </w:r>
      <w:r w:rsidR="1C91248F" w:rsidRPr="5979428D">
        <w:rPr>
          <w:rFonts w:eastAsiaTheme="minorEastAsia"/>
        </w:rPr>
        <w:t>)/</w:t>
      </w:r>
      <w:r w:rsidR="1653DC2F" w:rsidRPr="5979428D">
        <w:rPr>
          <w:rFonts w:eastAsiaTheme="minorEastAsia"/>
        </w:rPr>
        <w:t>mean</w:t>
      </w:r>
      <w:r w:rsidR="128DB514" w:rsidRPr="5979428D">
        <w:rPr>
          <w:rFonts w:eastAsiaTheme="minorEastAsia"/>
        </w:rPr>
        <w:t xml:space="preserve"> does not depend on the dose </w:t>
      </w:r>
      <w:r w:rsidR="128DB514" w:rsidRPr="0037014F">
        <w:rPr>
          <w:rFonts w:eastAsiaTheme="minorEastAsia"/>
          <w:i/>
          <w:iCs/>
        </w:rPr>
        <w:t>x</w:t>
      </w:r>
      <w:r w:rsidR="2D129237" w:rsidRPr="5979428D">
        <w:rPr>
          <w:rFonts w:eastAsiaTheme="minorEastAsia"/>
          <w:i/>
          <w:iCs/>
        </w:rPr>
        <w:t xml:space="preserve">; </w:t>
      </w:r>
      <w:r w:rsidR="2D129237" w:rsidRPr="0037014F">
        <w:rPr>
          <w:rFonts w:eastAsiaTheme="minorEastAsia"/>
        </w:rPr>
        <w:t>or equivalently</w:t>
      </w:r>
      <w:r w:rsidR="2D129237" w:rsidRPr="5979428D">
        <w:rPr>
          <w:rFonts w:eastAsiaTheme="minorEastAsia"/>
        </w:rPr>
        <w:t xml:space="preserve">, </w:t>
      </w:r>
      <w:r w:rsidR="217A1CA1" w:rsidRPr="5979428D">
        <w:rPr>
          <w:rFonts w:eastAsiaTheme="minorEastAsia"/>
        </w:rPr>
        <w:t xml:space="preserve">the variance of the log-transformed </w:t>
      </w:r>
      <w:r w:rsidR="07A572A6" w:rsidRPr="5979428D">
        <w:rPr>
          <w:rFonts w:eastAsiaTheme="minorEastAsia"/>
        </w:rPr>
        <w:t xml:space="preserve">response is constant (homoscedasticity on the </w:t>
      </w:r>
      <w:r w:rsidR="099F5F0A" w:rsidRPr="5979428D">
        <w:rPr>
          <w:rFonts w:eastAsiaTheme="minorEastAsia"/>
        </w:rPr>
        <w:t>transformed log-scale of the response</w:t>
      </w:r>
      <w:r w:rsidR="07A572A6" w:rsidRPr="5979428D">
        <w:rPr>
          <w:rFonts w:eastAsiaTheme="minorEastAsia"/>
        </w:rPr>
        <w:t>)</w:t>
      </w:r>
      <w:r w:rsidR="00D4092C">
        <w:rPr>
          <w:rFonts w:eastAsiaTheme="minorEastAsia"/>
        </w:rPr>
        <w:t xml:space="preserve">. </w:t>
      </w:r>
      <w:r w:rsidR="4859ADB3" w:rsidRPr="5979428D">
        <w:rPr>
          <w:rFonts w:eastAsiaTheme="minorEastAsia"/>
        </w:rPr>
        <w:t>The homoscedasticity assumption on the original and on the log-response scale can be formally test with the summary sta</w:t>
      </w:r>
      <w:r w:rsidR="2DD040F4" w:rsidRPr="5979428D">
        <w:rPr>
          <w:rFonts w:eastAsiaTheme="minorEastAsia"/>
        </w:rPr>
        <w:t>tis</w:t>
      </w:r>
      <w:r w:rsidR="4859ADB3" w:rsidRPr="5979428D">
        <w:rPr>
          <w:rFonts w:eastAsiaTheme="minorEastAsia"/>
        </w:rPr>
        <w:t>tics using the Bartlett test (</w:t>
      </w:r>
      <w:r w:rsidR="0033285A">
        <w:rPr>
          <w:rFonts w:eastAsiaTheme="minorEastAsia"/>
        </w:rPr>
        <w:t>Bartlett, 1937</w:t>
      </w:r>
      <w:r w:rsidR="4859ADB3" w:rsidRPr="5979428D">
        <w:rPr>
          <w:rFonts w:eastAsiaTheme="minorEastAsia"/>
        </w:rPr>
        <w:t>).</w:t>
      </w:r>
      <w:r w:rsidR="00FB3702">
        <w:rPr>
          <w:rFonts w:eastAsiaTheme="minorEastAsia"/>
        </w:rPr>
        <w:t xml:space="preserve"> Considering that most of the time the information available are summary statistics, </w:t>
      </w:r>
      <w:r w:rsidR="008641D5">
        <w:rPr>
          <w:rFonts w:eastAsiaTheme="minorEastAsia"/>
        </w:rPr>
        <w:t xml:space="preserve">the Bartlett test is the only option that can be used to assess homogeneity of variances </w:t>
      </w:r>
      <w:r w:rsidR="00524298">
        <w:rPr>
          <w:rFonts w:eastAsiaTheme="minorEastAsia"/>
        </w:rPr>
        <w:t xml:space="preserve">when </w:t>
      </w:r>
      <w:r w:rsidR="00F438BF">
        <w:rPr>
          <w:rFonts w:eastAsiaTheme="minorEastAsia"/>
        </w:rPr>
        <w:t xml:space="preserve">response is assumed to be Normally distributed, </w:t>
      </w:r>
      <w:r w:rsidR="00844B55">
        <w:rPr>
          <w:rFonts w:eastAsiaTheme="minorEastAsia"/>
        </w:rPr>
        <w:t xml:space="preserve">and similarly this can be done when the response is assumed to be </w:t>
      </w:r>
      <w:proofErr w:type="gramStart"/>
      <w:r w:rsidR="004B5FAE">
        <w:rPr>
          <w:rFonts w:eastAsiaTheme="minorEastAsia"/>
        </w:rPr>
        <w:t>log-normal</w:t>
      </w:r>
      <w:proofErr w:type="gramEnd"/>
      <w:r w:rsidR="002F3A6F">
        <w:rPr>
          <w:rFonts w:eastAsiaTheme="minorEastAsia"/>
        </w:rPr>
        <w:t xml:space="preserve">. </w:t>
      </w:r>
      <w:r w:rsidR="00276F07">
        <w:rPr>
          <w:rFonts w:eastAsiaTheme="minorEastAsia"/>
        </w:rPr>
        <w:t>The BMD analysis should report the results of these tests for both distributional assumptions</w:t>
      </w:r>
      <w:r w:rsidR="00524298">
        <w:rPr>
          <w:rFonts w:eastAsiaTheme="minorEastAsia"/>
        </w:rPr>
        <w:t xml:space="preserve"> (see </w:t>
      </w:r>
      <w:r w:rsidR="007957CF">
        <w:rPr>
          <w:rFonts w:eastAsiaTheme="minorEastAsia"/>
        </w:rPr>
        <w:fldChar w:fldCharType="begin"/>
      </w:r>
      <w:r w:rsidR="007957CF">
        <w:rPr>
          <w:rFonts w:eastAsiaTheme="minorEastAsia"/>
        </w:rPr>
        <w:instrText xml:space="preserve"> REF _Ref94100866 \r \h </w:instrText>
      </w:r>
      <w:r w:rsidR="007957CF">
        <w:rPr>
          <w:rFonts w:eastAsiaTheme="minorEastAsia"/>
        </w:rPr>
      </w:r>
      <w:r w:rsidR="007957CF">
        <w:rPr>
          <w:rFonts w:eastAsiaTheme="minorEastAsia"/>
        </w:rPr>
        <w:fldChar w:fldCharType="separate"/>
      </w:r>
      <w:r w:rsidR="007957CF">
        <w:rPr>
          <w:rFonts w:eastAsiaTheme="minorEastAsia"/>
        </w:rPr>
        <w:t>Appendix C</w:t>
      </w:r>
      <w:r w:rsidR="007957CF">
        <w:rPr>
          <w:rFonts w:eastAsiaTheme="minorEastAsia"/>
        </w:rPr>
        <w:fldChar w:fldCharType="end"/>
      </w:r>
      <w:r w:rsidR="007957CF">
        <w:rPr>
          <w:rFonts w:eastAsiaTheme="minorEastAsia"/>
        </w:rPr>
        <w:t xml:space="preserve"> </w:t>
      </w:r>
      <w:r w:rsidR="001A6D67">
        <w:rPr>
          <w:rFonts w:eastAsiaTheme="minorEastAsia"/>
        </w:rPr>
        <w:t>where the Bartlett test is reported for the continuous examples</w:t>
      </w:r>
      <w:r w:rsidR="007957CF">
        <w:rPr>
          <w:rFonts w:eastAsiaTheme="minorEastAsia"/>
        </w:rPr>
        <w:t>)</w:t>
      </w:r>
      <w:r w:rsidR="009A50C4">
        <w:rPr>
          <w:rFonts w:eastAsiaTheme="minorEastAsia"/>
        </w:rPr>
        <w:t>.</w:t>
      </w:r>
      <w:r w:rsidR="001233DF">
        <w:rPr>
          <w:rFonts w:eastAsiaTheme="minorEastAsia"/>
        </w:rPr>
        <w:t xml:space="preserve"> </w:t>
      </w:r>
      <w:r w:rsidR="009A50C4">
        <w:rPr>
          <w:rFonts w:eastAsiaTheme="minorEastAsia"/>
        </w:rPr>
        <w:t>I</w:t>
      </w:r>
      <w:r w:rsidR="001233DF">
        <w:rPr>
          <w:rFonts w:eastAsiaTheme="minorEastAsia"/>
        </w:rPr>
        <w:t>n case of violations</w:t>
      </w:r>
      <w:r w:rsidR="009A50C4">
        <w:rPr>
          <w:rFonts w:eastAsiaTheme="minorEastAsia"/>
        </w:rPr>
        <w:t xml:space="preserve">, it </w:t>
      </w:r>
      <w:r w:rsidR="00D847FF">
        <w:rPr>
          <w:rFonts w:eastAsiaTheme="minorEastAsia"/>
        </w:rPr>
        <w:t xml:space="preserve">is advised to perform the analysis, and additionally consider the analysis using for all dose groups the smallest and largest </w:t>
      </w:r>
      <w:r w:rsidR="00CD1779">
        <w:rPr>
          <w:rFonts w:eastAsiaTheme="minorEastAsia"/>
        </w:rPr>
        <w:t xml:space="preserve">standard deviations </w:t>
      </w:r>
      <w:r w:rsidR="00B83D26">
        <w:rPr>
          <w:rFonts w:eastAsiaTheme="minorEastAsia"/>
        </w:rPr>
        <w:t>to</w:t>
      </w:r>
      <w:r w:rsidR="00CD1779">
        <w:rPr>
          <w:rFonts w:eastAsiaTheme="minorEastAsia"/>
        </w:rPr>
        <w:t xml:space="preserve"> study the impact on the estimation of the BMD.</w:t>
      </w:r>
    </w:p>
    <w:p w14:paraId="242E1987" w14:textId="2A537A24" w:rsidR="383F4C36" w:rsidRDefault="5840BE26" w:rsidP="00247616">
      <w:pPr>
        <w:pStyle w:val="EFSABodytext"/>
        <w:rPr>
          <w:rFonts w:eastAsiaTheme="minorEastAsia"/>
        </w:rPr>
      </w:pPr>
      <w:r w:rsidRPr="5E273EC8">
        <w:rPr>
          <w:rFonts w:eastAsiaTheme="minorEastAsia"/>
        </w:rPr>
        <w:t xml:space="preserve">Instead of examining these characteristics by formal Bayesian hypothesis testing, </w:t>
      </w:r>
      <w:r w:rsidR="08FA0417" w:rsidRPr="5E273EC8">
        <w:rPr>
          <w:rFonts w:eastAsiaTheme="minorEastAsia"/>
        </w:rPr>
        <w:t>the posterior probabilities</w:t>
      </w:r>
      <w:r w:rsidR="21D56071" w:rsidRPr="5E273EC8">
        <w:rPr>
          <w:rFonts w:eastAsiaTheme="minorEastAsia"/>
        </w:rPr>
        <w:t xml:space="preserve"> (see section on model averaging below)</w:t>
      </w:r>
      <w:r w:rsidR="08FA0417" w:rsidRPr="5E273EC8">
        <w:rPr>
          <w:rFonts w:eastAsiaTheme="minorEastAsia"/>
        </w:rPr>
        <w:t xml:space="preserve"> </w:t>
      </w:r>
      <w:r w:rsidR="1567C4ED" w:rsidRPr="5E273EC8">
        <w:rPr>
          <w:rFonts w:eastAsiaTheme="minorEastAsia"/>
        </w:rPr>
        <w:t>for the normal and the</w:t>
      </w:r>
      <w:r w:rsidR="21D56071" w:rsidRPr="5E273EC8">
        <w:rPr>
          <w:rFonts w:eastAsiaTheme="minorEastAsia"/>
        </w:rPr>
        <w:t xml:space="preserve"> corresponding</w:t>
      </w:r>
      <w:r w:rsidR="1567C4ED" w:rsidRPr="5E273EC8">
        <w:rPr>
          <w:rFonts w:eastAsiaTheme="minorEastAsia"/>
        </w:rPr>
        <w:t xml:space="preserve"> log-normal </w:t>
      </w:r>
      <w:r w:rsidR="480D4B7D" w:rsidRPr="5E273EC8">
        <w:rPr>
          <w:rFonts w:eastAsiaTheme="minorEastAsia"/>
        </w:rPr>
        <w:t>candidate</w:t>
      </w:r>
      <w:r w:rsidR="1567C4ED" w:rsidRPr="5E273EC8">
        <w:rPr>
          <w:rFonts w:eastAsiaTheme="minorEastAsia"/>
        </w:rPr>
        <w:t xml:space="preserve"> model wit</w:t>
      </w:r>
      <w:r w:rsidR="6B149997" w:rsidRPr="5E273EC8">
        <w:rPr>
          <w:rFonts w:eastAsiaTheme="minorEastAsia"/>
        </w:rPr>
        <w:t xml:space="preserve">h the same </w:t>
      </w:r>
      <w:r w:rsidR="0E79E284" w:rsidRPr="5E273EC8">
        <w:rPr>
          <w:rFonts w:eastAsiaTheme="minorEastAsia"/>
        </w:rPr>
        <w:t>choice</w:t>
      </w:r>
      <w:r w:rsidR="21D56071" w:rsidRPr="5E273EC8">
        <w:rPr>
          <w:rFonts w:eastAsiaTheme="minorEastAsia"/>
        </w:rPr>
        <w:t xml:space="preserve"> for </w:t>
      </w: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w:r w:rsidR="21D56071" w:rsidRPr="5E273EC8">
        <w:rPr>
          <w:rFonts w:eastAsiaTheme="minorEastAsia"/>
        </w:rPr>
        <w:t xml:space="preserve"> will reflect which distribution fits best to the (summary) data. </w:t>
      </w:r>
      <w:r w:rsidR="05C2E0C3" w:rsidRPr="5E273EC8">
        <w:rPr>
          <w:rFonts w:eastAsiaTheme="minorEastAsia"/>
        </w:rPr>
        <w:t xml:space="preserve">If the summary </w:t>
      </w:r>
      <w:r w:rsidR="534BDDD1" w:rsidRPr="5E273EC8">
        <w:rPr>
          <w:rFonts w:eastAsiaTheme="minorEastAsia"/>
        </w:rPr>
        <w:t xml:space="preserve">data support the constant standard deviation, the normal candidate model will get the higher posterior probability, and the log-normal model the lower posterior probability, and hence the </w:t>
      </w:r>
      <w:r w:rsidR="43D38ADA" w:rsidRPr="5E273EC8">
        <w:rPr>
          <w:rFonts w:eastAsiaTheme="minorEastAsia"/>
        </w:rPr>
        <w:t xml:space="preserve">normal model will dominantly determine the BMD. If the summary data support the constant coefficient of variation, it is the other way around. </w:t>
      </w:r>
      <w:r w:rsidR="008E041D">
        <w:rPr>
          <w:rFonts w:eastAsiaTheme="minorEastAsia"/>
        </w:rPr>
        <w:t>M</w:t>
      </w:r>
      <w:r w:rsidR="481A9532" w:rsidRPr="5E273EC8">
        <w:rPr>
          <w:rFonts w:eastAsiaTheme="minorEastAsia"/>
        </w:rPr>
        <w:t>odel averaging (see further) deals with this issue automatically.</w:t>
      </w:r>
      <w:r w:rsidR="14D7A943" w:rsidRPr="5E273EC8">
        <w:rPr>
          <w:rFonts w:eastAsiaTheme="minorEastAsia"/>
        </w:rPr>
        <w:t xml:space="preserve"> </w:t>
      </w:r>
    </w:p>
    <w:p w14:paraId="5C221C44" w14:textId="054AFB00" w:rsidR="383F4C36" w:rsidRDefault="3B8AC6CE" w:rsidP="00D306FA">
      <w:pPr>
        <w:pStyle w:val="EFSABodytext"/>
        <w:rPr>
          <w:rFonts w:eastAsiaTheme="minorEastAsia" w:cs="Arial"/>
        </w:rPr>
      </w:pPr>
      <w:r w:rsidRPr="5E273EC8">
        <w:rPr>
          <w:rFonts w:eastAsiaTheme="minorEastAsia" w:cs="Arial"/>
        </w:rPr>
        <w:t xml:space="preserve">In case neither the standard deviation nor the coefficient of variation </w:t>
      </w:r>
      <w:r w:rsidR="4336577F" w:rsidRPr="5E273EC8">
        <w:rPr>
          <w:rFonts w:eastAsiaTheme="minorEastAsia" w:cs="Arial"/>
        </w:rPr>
        <w:t xml:space="preserve">is constant (as a function of the dose </w:t>
      </w:r>
      <w:r w:rsidR="4336577F" w:rsidRPr="00585564">
        <w:rPr>
          <w:rFonts w:eastAsiaTheme="minorEastAsia" w:cs="Arial"/>
          <w:i/>
          <w:iCs/>
        </w:rPr>
        <w:t>x</w:t>
      </w:r>
      <w:r w:rsidR="4336577F" w:rsidRPr="5E273EC8">
        <w:rPr>
          <w:rFonts w:eastAsiaTheme="minorEastAsia" w:cs="Arial"/>
        </w:rPr>
        <w:t xml:space="preserve">), </w:t>
      </w:r>
      <w:r w:rsidR="2C61330B" w:rsidRPr="5E273EC8">
        <w:rPr>
          <w:rFonts w:eastAsiaTheme="minorEastAsia" w:cs="Arial"/>
        </w:rPr>
        <w:t>both distributions,</w:t>
      </w:r>
      <w:r w:rsidR="4336577F" w:rsidRPr="5E273EC8">
        <w:rPr>
          <w:rFonts w:eastAsiaTheme="minorEastAsia" w:cs="Arial"/>
        </w:rPr>
        <w:t xml:space="preserve"> the normal nor the log-normal distribution</w:t>
      </w:r>
      <w:r w:rsidR="3F49BFCE" w:rsidRPr="5E273EC8">
        <w:rPr>
          <w:rFonts w:eastAsiaTheme="minorEastAsia" w:cs="Arial"/>
        </w:rPr>
        <w:t>,</w:t>
      </w:r>
      <w:r w:rsidR="4336577F" w:rsidRPr="5E273EC8">
        <w:rPr>
          <w:rFonts w:eastAsiaTheme="minorEastAsia" w:cs="Arial"/>
        </w:rPr>
        <w:t xml:space="preserve"> </w:t>
      </w:r>
      <w:r w:rsidR="0467E88A" w:rsidRPr="5E273EC8">
        <w:rPr>
          <w:rFonts w:eastAsiaTheme="minorEastAsia" w:cs="Arial"/>
        </w:rPr>
        <w:t>are not fully optimal</w:t>
      </w:r>
      <w:r w:rsidR="4336577F" w:rsidRPr="5E273EC8">
        <w:rPr>
          <w:rFonts w:eastAsiaTheme="minorEastAsia" w:cs="Arial"/>
        </w:rPr>
        <w:t>.</w:t>
      </w:r>
      <w:r w:rsidR="57D9BCC0" w:rsidRPr="5E273EC8">
        <w:rPr>
          <w:rFonts w:eastAsiaTheme="minorEastAsia" w:cs="Arial"/>
        </w:rPr>
        <w:t xml:space="preserve"> </w:t>
      </w:r>
      <w:r w:rsidR="00585564">
        <w:rPr>
          <w:rFonts w:eastAsiaTheme="minorEastAsia" w:cs="Arial"/>
        </w:rPr>
        <w:t>I</w:t>
      </w:r>
      <w:r w:rsidR="3D601C7B" w:rsidRPr="5E273EC8">
        <w:rPr>
          <w:rFonts w:eastAsiaTheme="minorEastAsia" w:cs="Arial"/>
        </w:rPr>
        <w:t xml:space="preserve">ndividual data are needed to investigate this properly. </w:t>
      </w:r>
      <w:r w:rsidR="7FC7F96B" w:rsidRPr="5E273EC8">
        <w:rPr>
          <w:rFonts w:eastAsiaTheme="minorEastAsia" w:cs="Arial"/>
        </w:rPr>
        <w:t xml:space="preserve">It is </w:t>
      </w:r>
      <w:r w:rsidR="1EE2AC30" w:rsidRPr="5E273EC8">
        <w:rPr>
          <w:rFonts w:eastAsiaTheme="minorEastAsia" w:cs="Arial"/>
        </w:rPr>
        <w:t xml:space="preserve">assumed </w:t>
      </w:r>
      <w:r w:rsidR="38B1F060" w:rsidRPr="5E273EC8">
        <w:rPr>
          <w:rFonts w:eastAsiaTheme="minorEastAsia" w:cs="Arial"/>
        </w:rPr>
        <w:t>(</w:t>
      </w:r>
      <w:r w:rsidR="1EE2AC30" w:rsidRPr="5E273EC8">
        <w:rPr>
          <w:rFonts w:eastAsiaTheme="minorEastAsia" w:cs="Arial"/>
        </w:rPr>
        <w:t xml:space="preserve">and </w:t>
      </w:r>
      <w:r w:rsidR="7FC7F96B" w:rsidRPr="5E273EC8">
        <w:rPr>
          <w:rFonts w:eastAsiaTheme="minorEastAsia" w:cs="Arial"/>
        </w:rPr>
        <w:t>expected</w:t>
      </w:r>
      <w:r w:rsidR="048708E4" w:rsidRPr="5E273EC8">
        <w:rPr>
          <w:rFonts w:eastAsiaTheme="minorEastAsia" w:cs="Arial"/>
        </w:rPr>
        <w:t>)</w:t>
      </w:r>
      <w:r w:rsidR="7FC7F96B" w:rsidRPr="5E273EC8">
        <w:rPr>
          <w:rFonts w:eastAsiaTheme="minorEastAsia" w:cs="Arial"/>
        </w:rPr>
        <w:t xml:space="preserve"> however that either the normal or the log-normal distribution is </w:t>
      </w:r>
      <w:r w:rsidR="55C37570" w:rsidRPr="5E273EC8">
        <w:rPr>
          <w:rFonts w:eastAsiaTheme="minorEastAsia" w:cs="Arial"/>
        </w:rPr>
        <w:t>a sufficiently</w:t>
      </w:r>
      <w:r w:rsidR="7FC7F96B" w:rsidRPr="5E273EC8">
        <w:rPr>
          <w:rFonts w:eastAsiaTheme="minorEastAsia" w:cs="Arial"/>
        </w:rPr>
        <w:t xml:space="preserve"> </w:t>
      </w:r>
      <w:r w:rsidR="519A8B69" w:rsidRPr="5E273EC8">
        <w:rPr>
          <w:rFonts w:eastAsiaTheme="minorEastAsia" w:cs="Arial"/>
        </w:rPr>
        <w:t xml:space="preserve">appropriate distribution. </w:t>
      </w:r>
    </w:p>
    <w:p w14:paraId="59CC100D" w14:textId="28C1CCDF" w:rsidR="008F4E91" w:rsidRPr="008C7838" w:rsidRDefault="11A00DD2" w:rsidP="00D306FA">
      <w:pPr>
        <w:pStyle w:val="EFSABodytext"/>
        <w:rPr>
          <w:highlight w:val="yellow"/>
        </w:rPr>
      </w:pPr>
      <w:r>
        <w:t xml:space="preserve">Occasionally, dose-response data may be </w:t>
      </w:r>
      <w:r w:rsidR="1C3AE75F">
        <w:t xml:space="preserve">reported </w:t>
      </w:r>
      <w:r>
        <w:t xml:space="preserve">such that they include negative values, </w:t>
      </w:r>
      <w:r w:rsidR="200C29AC">
        <w:t>which may necessitate data scaling or normalisation</w:t>
      </w:r>
      <w:r w:rsidR="5B3A210C">
        <w:t xml:space="preserve">, </w:t>
      </w:r>
      <w:r>
        <w:t>for instance body weight gains decreasing from positive to negative values at high doses. In those cases, the recommended models that are strictly positive are no longer valid and models with an additive background parameter would be needed.</w:t>
      </w:r>
    </w:p>
    <w:p w14:paraId="52C7138A" w14:textId="77777777" w:rsidR="00FC7C5D" w:rsidRDefault="00FC7C5D" w:rsidP="00985D11">
      <w:pPr>
        <w:pStyle w:val="EFSABodytext"/>
        <w:jc w:val="left"/>
        <w:rPr>
          <w:rFonts w:eastAsiaTheme="minorEastAsia"/>
        </w:rPr>
      </w:pPr>
    </w:p>
    <w:p w14:paraId="393A90BA" w14:textId="511D0000" w:rsidR="00985D11" w:rsidRDefault="00985D11" w:rsidP="002E170A">
      <w:pPr>
        <w:pStyle w:val="EFSAHeading3"/>
        <w:ind w:left="1276"/>
      </w:pPr>
      <w:bookmarkStart w:id="46" w:name="_Ref94101049"/>
      <w:bookmarkStart w:id="47" w:name="_Ref94101601"/>
      <w:bookmarkStart w:id="48" w:name="_Ref94101804"/>
      <w:bookmarkStart w:id="49" w:name="_Toc94255337"/>
      <w:r>
        <w:t>Specification of a dose-response model for a single quantal endpoint</w:t>
      </w:r>
      <w:bookmarkEnd w:id="46"/>
      <w:bookmarkEnd w:id="47"/>
      <w:bookmarkEnd w:id="48"/>
      <w:bookmarkEnd w:id="49"/>
    </w:p>
    <w:p w14:paraId="3626F1AF" w14:textId="25C00E1F" w:rsidR="00D71478" w:rsidRPr="00D71478" w:rsidRDefault="00D71478" w:rsidP="00DE30D2">
      <w:pPr>
        <w:pStyle w:val="EFSAHeading4"/>
      </w:pPr>
      <w:r>
        <w:t>The statistical model</w:t>
      </w:r>
    </w:p>
    <w:p w14:paraId="00FE3068" w14:textId="5A845F5D" w:rsidR="00EC6463" w:rsidRDefault="00FC7C5D" w:rsidP="00EC6463">
      <w:pPr>
        <w:pStyle w:val="EFSABodytext"/>
      </w:pPr>
      <w:r>
        <w:t xml:space="preserve">A quantal endpoint refers to a binary measurement: yes/no (typically coded as 1/0) according to the occurrence of a particular adverse event. </w:t>
      </w:r>
      <w:r w:rsidR="00EC6463">
        <w:t xml:space="preserve">As for a continuous endpoint, the statistical model for a quantal endpoint is defined by two components: </w:t>
      </w:r>
    </w:p>
    <w:p w14:paraId="3293B882" w14:textId="7E735851" w:rsidR="00EC6463" w:rsidRDefault="00EC6463" w:rsidP="00EC6463">
      <w:pPr>
        <w:pStyle w:val="EFSABodytext"/>
        <w:numPr>
          <w:ilvl w:val="0"/>
          <w:numId w:val="59"/>
        </w:numPr>
      </w:pPr>
      <w:r>
        <w:t xml:space="preserve">the specification of the distribution of the endpoint at a </w:t>
      </w:r>
      <w:r w:rsidR="005A3BD8">
        <w:t>specified</w:t>
      </w:r>
      <w:r>
        <w:t xml:space="preserve"> dose </w:t>
      </w:r>
      <m:oMath>
        <m:r>
          <w:rPr>
            <w:rFonts w:ascii="Cambria Math" w:eastAsiaTheme="minorEastAsia" w:hAnsi="Cambria Math"/>
          </w:rPr>
          <m:t>x</m:t>
        </m:r>
      </m:oMath>
      <w:r w:rsidR="00FC7C5D">
        <w:t>.  Only one distr</w:t>
      </w:r>
      <w:proofErr w:type="spellStart"/>
      <w:r w:rsidR="00FC7C5D">
        <w:t>ibution</w:t>
      </w:r>
      <w:proofErr w:type="spellEnd"/>
      <w:r w:rsidR="00FC7C5D">
        <w:t xml:space="preserve"> is possible</w:t>
      </w:r>
      <w:r w:rsidR="002632B5">
        <w:t xml:space="preserve"> (B</w:t>
      </w:r>
      <w:r w:rsidR="0072562E">
        <w:t>ernoulli</w:t>
      </w:r>
      <w:r w:rsidR="002632B5">
        <w:t xml:space="preserve"> distribution)</w:t>
      </w:r>
      <w:r w:rsidR="00FC7C5D">
        <w:t>.</w:t>
      </w:r>
    </w:p>
    <w:p w14:paraId="681A2BF1" w14:textId="6F5265A9" w:rsidR="00EC6463" w:rsidRDefault="00EC6463" w:rsidP="00EC6463">
      <w:pPr>
        <w:pStyle w:val="EFSABodytext"/>
        <w:numPr>
          <w:ilvl w:val="0"/>
          <w:numId w:val="59"/>
        </w:numPr>
      </w:pPr>
      <w:r>
        <w:t>the description of the effect of dose on this distribution.</w:t>
      </w:r>
      <w:r w:rsidR="00FC7C5D">
        <w:t xml:space="preserve"> Dose is affecting the probability on the adverse event.</w:t>
      </w:r>
    </w:p>
    <w:p w14:paraId="4712EB0C" w14:textId="612A75C2" w:rsidR="00FC7C5D" w:rsidRDefault="00FC7C5D" w:rsidP="00FC7C5D">
      <w:pPr>
        <w:pStyle w:val="EFSABodytext"/>
      </w:pPr>
    </w:p>
    <w:p w14:paraId="4FF0B278" w14:textId="6842E476" w:rsidR="00FC7C5D" w:rsidRDefault="00FC7C5D" w:rsidP="008A10FE">
      <w:pPr>
        <w:pStyle w:val="EFSAHeading4"/>
      </w:pPr>
      <w:r>
        <w:t>Modelling the distribution</w:t>
      </w:r>
    </w:p>
    <w:p w14:paraId="4F14A44A" w14:textId="7B83FFF1" w:rsidR="00EC6463" w:rsidRDefault="00EC6463" w:rsidP="00EC6463">
      <w:pPr>
        <w:pStyle w:val="EFSABodytext"/>
      </w:pPr>
      <w:r>
        <w:t xml:space="preserve">The main difference </w:t>
      </w:r>
      <w:r w:rsidR="00FC7C5D">
        <w:t>with a continuous outcome</w:t>
      </w:r>
      <w:r>
        <w:t xml:space="preserve"> is that there is only </w:t>
      </w:r>
      <w:r w:rsidR="00321299">
        <w:t xml:space="preserve">one </w:t>
      </w:r>
      <w:r>
        <w:t>possible distribution for a quantal endpoint, the Bernoulli distribution</w:t>
      </w:r>
      <w:r w:rsidR="00EE2BFF">
        <w:t>;</w:t>
      </w:r>
      <w:r w:rsidR="00AC6A24">
        <w:t xml:space="preserve"> it has</w:t>
      </w:r>
      <w:r>
        <w:t xml:space="preserve"> </w:t>
      </w:r>
      <w:r w:rsidR="00FC7C5D">
        <w:t xml:space="preserve">a </w:t>
      </w:r>
      <w:r>
        <w:t>single parameter, being the probability on the (adverse) event of interest.  So, the first model component is uniquely defined as</w:t>
      </w:r>
    </w:p>
    <w:p w14:paraId="65EF840C" w14:textId="308C690A" w:rsidR="00EC6463" w:rsidRPr="00741AF6" w:rsidRDefault="00EC6463" w:rsidP="00EC6463">
      <w:pPr>
        <w:pStyle w:val="EFSABodytext"/>
        <w:jc w:val="center"/>
        <w:rPr>
          <w:rFonts w:eastAsiaTheme="minorEastAsia"/>
        </w:rPr>
      </w:pPr>
      <m:oMathPara>
        <m:oMath>
          <m:r>
            <w:rPr>
              <w:rFonts w:ascii="Cambria Math" w:eastAsiaTheme="minorEastAsia" w:hAnsi="Cambria Math"/>
            </w:rPr>
            <m:t>y|x ~</m:t>
          </m:r>
          <m:r>
            <m:rPr>
              <m:sty m:val="p"/>
            </m:rPr>
            <w:rPr>
              <w:rFonts w:ascii="Cambria Math" w:eastAsiaTheme="minorEastAsia" w:hAnsi="Cambria Math"/>
            </w:rPr>
            <m:t>Bernoulli</m:t>
          </m:r>
          <m:d>
            <m:dPr>
              <m:ctrlPr>
                <w:rPr>
                  <w:rFonts w:ascii="Cambria Math" w:eastAsiaTheme="minorEastAsia" w:hAnsi="Cambria Math"/>
                  <w:i/>
                </w:rPr>
              </m:ctrlPr>
            </m:dPr>
            <m:e>
              <m:r>
                <w:rPr>
                  <w:rFonts w:ascii="Cambria Math" w:eastAsiaTheme="minorEastAsia" w:hAnsi="Cambria Math"/>
                </w:rPr>
                <m:t>π</m:t>
              </m:r>
              <m:d>
                <m:dPr>
                  <m:ctrlPr>
                    <w:rPr>
                      <w:rFonts w:ascii="Cambria Math" w:eastAsiaTheme="minorEastAsia" w:hAnsi="Cambria Math"/>
                      <w:i/>
                    </w:rPr>
                  </m:ctrlPr>
                </m:dPr>
                <m:e>
                  <m:r>
                    <w:rPr>
                      <w:rFonts w:ascii="Cambria Math" w:eastAsiaTheme="minorEastAsia" w:hAnsi="Cambria Math"/>
                    </w:rPr>
                    <m:t>x</m:t>
                  </m:r>
                </m:e>
              </m:d>
            </m:e>
          </m:d>
          <m:r>
            <w:rPr>
              <w:rFonts w:ascii="Cambria Math" w:eastAsiaTheme="minorEastAsia" w:hAnsi="Cambria Math"/>
            </w:rPr>
            <m:t>,</m:t>
          </m:r>
        </m:oMath>
      </m:oMathPara>
    </w:p>
    <w:p w14:paraId="30A9A00B" w14:textId="556B219C" w:rsidR="00EC6463" w:rsidRDefault="00EC6463" w:rsidP="00EC6463">
      <w:pPr>
        <w:pStyle w:val="EFSABodytext"/>
        <w:rPr>
          <w:rFonts w:eastAsiaTheme="minorEastAsia"/>
        </w:rPr>
      </w:pPr>
      <w:r>
        <w:rPr>
          <w:rFonts w:eastAsiaTheme="minorEastAsia"/>
        </w:rPr>
        <w:t xml:space="preserve">with </w:t>
      </w:r>
      <m:oMath>
        <m:r>
          <w:rPr>
            <w:rFonts w:ascii="Cambria Math" w:eastAsiaTheme="minorEastAsia" w:hAnsi="Cambria Math"/>
          </w:rPr>
          <m:t>π</m:t>
        </m:r>
        <m:d>
          <m:dPr>
            <m:ctrlPr>
              <w:rPr>
                <w:rFonts w:ascii="Cambria Math" w:eastAsiaTheme="minorEastAsia" w:hAnsi="Cambria Math"/>
                <w:i/>
              </w:rPr>
            </m:ctrlPr>
          </m:dPr>
          <m:e>
            <m:r>
              <w:rPr>
                <w:rFonts w:ascii="Cambria Math" w:eastAsiaTheme="minorEastAsia" w:hAnsi="Cambria Math"/>
              </w:rPr>
              <m:t>x</m:t>
            </m:r>
          </m:e>
        </m:d>
      </m:oMath>
      <w:r w:rsidR="00FC7C5D">
        <w:rPr>
          <w:rFonts w:eastAsiaTheme="minorEastAsia"/>
        </w:rPr>
        <w:t xml:space="preserve"> </w:t>
      </w:r>
      <w:r w:rsidR="003B52B9">
        <w:rPr>
          <w:rFonts w:eastAsiaTheme="minorEastAsia"/>
        </w:rPr>
        <w:t xml:space="preserve">being </w:t>
      </w:r>
      <w:r w:rsidR="00FC7C5D">
        <w:rPr>
          <w:rFonts w:eastAsiaTheme="minorEastAsia"/>
        </w:rPr>
        <w:t xml:space="preserve">the probability on the adverse event at dose </w:t>
      </w:r>
      <m:oMath>
        <m:r>
          <w:rPr>
            <w:rFonts w:ascii="Cambria Math" w:eastAsiaTheme="minorEastAsia" w:hAnsi="Cambria Math"/>
          </w:rPr>
          <m:t>x</m:t>
        </m:r>
      </m:oMath>
      <w:r>
        <w:rPr>
          <w:rFonts w:eastAsiaTheme="minorEastAsia"/>
        </w:rPr>
        <w:t xml:space="preserve">. Note that </w:t>
      </w:r>
      <m:oMath>
        <m:r>
          <w:rPr>
            <w:rFonts w:ascii="Cambria Math" w:eastAsiaTheme="minorEastAsia" w:hAnsi="Cambria Math"/>
          </w:rPr>
          <m:t>π</m:t>
        </m:r>
        <m:d>
          <m:dPr>
            <m:ctrlPr>
              <w:rPr>
                <w:rFonts w:ascii="Cambria Math" w:eastAsiaTheme="minorEastAsia" w:hAnsi="Cambria Math"/>
                <w:i/>
              </w:rPr>
            </m:ctrlPr>
          </m:dPr>
          <m:e>
            <m:r>
              <w:rPr>
                <w:rFonts w:ascii="Cambria Math" w:eastAsiaTheme="minorEastAsia" w:hAnsi="Cambria Math"/>
              </w:rPr>
              <m:t>x</m:t>
            </m:r>
          </m:e>
        </m:d>
      </m:oMath>
      <w:r>
        <w:rPr>
          <w:rFonts w:eastAsiaTheme="minorEastAsia"/>
        </w:rPr>
        <w:t xml:space="preserve"> is</w:t>
      </w:r>
      <w:r w:rsidR="00FC7C5D">
        <w:rPr>
          <w:rFonts w:eastAsiaTheme="minorEastAsia"/>
        </w:rPr>
        <w:t xml:space="preserve"> also</w:t>
      </w:r>
      <w:r>
        <w:rPr>
          <w:rFonts w:eastAsiaTheme="minorEastAsia"/>
        </w:rPr>
        <w:t xml:space="preserve"> the mean </w:t>
      </w:r>
      <w:r w:rsidR="00FC7C5D">
        <w:rPr>
          <w:rFonts w:eastAsiaTheme="minorEastAsia"/>
        </w:rPr>
        <w:t xml:space="preserve">of the </w:t>
      </w:r>
      <w:r>
        <w:rPr>
          <w:rFonts w:eastAsiaTheme="minorEastAsia"/>
        </w:rPr>
        <w:t xml:space="preserve">response.  </w:t>
      </w:r>
    </w:p>
    <w:p w14:paraId="641791AA" w14:textId="27641898" w:rsidR="00FC7C5D" w:rsidRDefault="00FC7C5D" w:rsidP="00EC6463">
      <w:pPr>
        <w:pStyle w:val="EFSABodytext"/>
        <w:rPr>
          <w:rFonts w:eastAsiaTheme="minorEastAsia"/>
        </w:rPr>
      </w:pPr>
    </w:p>
    <w:p w14:paraId="46103B89" w14:textId="5D236AEA" w:rsidR="00FC7C5D" w:rsidRDefault="00FC7C5D" w:rsidP="00DE30D2">
      <w:pPr>
        <w:pStyle w:val="EFSAHeading4"/>
      </w:pPr>
      <w:r>
        <w:t xml:space="preserve">Modelling the probability </w:t>
      </w:r>
      <w:r w:rsidR="00E83D5B">
        <w:t xml:space="preserve">of </w:t>
      </w:r>
      <w:r w:rsidR="006677C8">
        <w:t xml:space="preserve">an </w:t>
      </w:r>
      <w:r>
        <w:t>event</w:t>
      </w:r>
    </w:p>
    <w:p w14:paraId="28DDE1FD" w14:textId="77777777" w:rsidR="00FC7C5D" w:rsidRDefault="00FC7C5D" w:rsidP="00EC6463">
      <w:pPr>
        <w:pStyle w:val="EFSABodytext"/>
        <w:rPr>
          <w:rFonts w:eastAsiaTheme="minorEastAsia"/>
        </w:rPr>
      </w:pPr>
    </w:p>
    <w:p w14:paraId="766D9E1C" w14:textId="7ED11C60" w:rsidR="00EC6463" w:rsidRDefault="00EC6463" w:rsidP="00EC6463">
      <w:pPr>
        <w:pStyle w:val="EFSABodytext"/>
        <w:rPr>
          <w:rFonts w:eastAsiaTheme="minorEastAsia"/>
        </w:rPr>
      </w:pPr>
      <w:r>
        <w:rPr>
          <w:rFonts w:eastAsiaTheme="minorEastAsia"/>
        </w:rPr>
        <w:t xml:space="preserve">The dose acts on the probability </w:t>
      </w:r>
      <m:oMath>
        <m:r>
          <w:rPr>
            <w:rFonts w:ascii="Cambria Math" w:eastAsiaTheme="minorEastAsia" w:hAnsi="Cambria Math"/>
          </w:rPr>
          <m:t>π</m:t>
        </m:r>
        <m:d>
          <m:dPr>
            <m:ctrlPr>
              <w:rPr>
                <w:rFonts w:ascii="Cambria Math" w:eastAsiaTheme="minorEastAsia" w:hAnsi="Cambria Math"/>
                <w:i/>
              </w:rPr>
            </m:ctrlPr>
          </m:dPr>
          <m:e>
            <m:r>
              <w:rPr>
                <w:rFonts w:ascii="Cambria Math" w:eastAsiaTheme="minorEastAsia" w:hAnsi="Cambria Math"/>
              </w:rPr>
              <m:t>x</m:t>
            </m:r>
          </m:e>
        </m:d>
      </m:oMath>
      <w:r w:rsidR="00FC7C5D">
        <w:rPr>
          <w:rFonts w:eastAsiaTheme="minorEastAsia"/>
        </w:rPr>
        <w:t xml:space="preserve"> of an event</w:t>
      </w:r>
      <w:r w:rsidR="00B2145A">
        <w:rPr>
          <w:rFonts w:eastAsiaTheme="minorEastAsia"/>
        </w:rPr>
        <w:t xml:space="preserve">, typically </w:t>
      </w:r>
      <w:r w:rsidR="00C96C78">
        <w:rPr>
          <w:rFonts w:eastAsiaTheme="minorEastAsia"/>
        </w:rPr>
        <w:t>considered as adverse</w:t>
      </w:r>
      <w:r>
        <w:rPr>
          <w:rFonts w:eastAsiaTheme="minorEastAsia"/>
        </w:rPr>
        <w:t xml:space="preserve">. The same suite of candidate models as for the parameter </w:t>
      </w: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w:r>
        <w:rPr>
          <w:rFonts w:eastAsiaTheme="minorEastAsia"/>
        </w:rPr>
        <w:t xml:space="preserve"> for a continuous endpoint is considered, with the restrictions that</w:t>
      </w:r>
      <w:r w:rsidR="00FD32FE">
        <w:rPr>
          <w:rFonts w:eastAsiaTheme="minorEastAsia"/>
        </w:rPr>
        <w:t>:</w:t>
      </w:r>
    </w:p>
    <w:p w14:paraId="66578963" w14:textId="4B6AF0DA" w:rsidR="00EC6463" w:rsidRDefault="00EC6463" w:rsidP="00EC6463">
      <w:pPr>
        <w:pStyle w:val="EFSABodytext"/>
        <w:numPr>
          <w:ilvl w:val="0"/>
          <w:numId w:val="60"/>
        </w:numPr>
      </w:pPr>
      <w:r>
        <w:t xml:space="preserve">they are </w:t>
      </w:r>
      <w:r w:rsidR="00C37E3A">
        <w:t>only</w:t>
      </w:r>
      <w:r w:rsidR="00FC7C5D">
        <w:t xml:space="preserve"> </w:t>
      </w:r>
      <w:r>
        <w:t>monotone increasing (as we expect the probability on the adverse event to increase with dose</w:t>
      </w:r>
      <w:r w:rsidR="00C37E3A">
        <w:t>)</w:t>
      </w:r>
      <w:r w:rsidR="00133AA6">
        <w:t xml:space="preserve">; contrary to continuous data, </w:t>
      </w:r>
      <w:r w:rsidR="00C37E3A">
        <w:t xml:space="preserve">monotone </w:t>
      </w:r>
      <w:r>
        <w:t xml:space="preserve">decreasing </w:t>
      </w:r>
      <w:r w:rsidR="002B753C">
        <w:t>data should be converted into increasing data</w:t>
      </w:r>
      <w:r w:rsidR="00C96C78">
        <w:t xml:space="preserve">, </w:t>
      </w:r>
      <w:proofErr w:type="gramStart"/>
      <w:r w:rsidR="00C96C78">
        <w:t>e.g.</w:t>
      </w:r>
      <w:proofErr w:type="gramEnd"/>
      <w:r w:rsidR="00C96C78">
        <w:t xml:space="preserve"> </w:t>
      </w:r>
      <w:r w:rsidR="005C41E6">
        <w:t>decreased survival could be transformed into increased mortality.</w:t>
      </w:r>
      <w:r w:rsidR="00C0579C">
        <w:t xml:space="preserve"> </w:t>
      </w:r>
    </w:p>
    <w:p w14:paraId="473E867D" w14:textId="5B68A5F8" w:rsidR="00EC6463" w:rsidRDefault="00EC6463" w:rsidP="00EC6463">
      <w:pPr>
        <w:pStyle w:val="EFSABodytext"/>
        <w:numPr>
          <w:ilvl w:val="0"/>
          <w:numId w:val="60"/>
        </w:numPr>
      </w:pPr>
      <w:r>
        <w:t xml:space="preserve">the parameter representing the horizontal asymptote </w:t>
      </w:r>
      <w:r w:rsidR="005815E7">
        <w:t xml:space="preserve">(c) </w:t>
      </w:r>
      <w:r w:rsidR="008817A8">
        <w:t xml:space="preserve">is set </w:t>
      </w:r>
      <w:r>
        <w:t>such that this asymptote equals the value of 1</w:t>
      </w:r>
      <w:r w:rsidR="00905CDF">
        <w:t xml:space="preserve"> at infinite dose. </w:t>
      </w:r>
    </w:p>
    <w:p w14:paraId="65F5AE13" w14:textId="67815AD9" w:rsidR="00156F49" w:rsidRDefault="00156F49" w:rsidP="00156F49">
      <w:pPr>
        <w:pStyle w:val="EFSABodytext"/>
        <w:jc w:val="left"/>
        <w:rPr>
          <w:rFonts w:eastAsiaTheme="minorEastAsia"/>
        </w:rPr>
      </w:pPr>
      <w:r>
        <w:rPr>
          <w:rFonts w:eastAsiaTheme="minorEastAsia"/>
        </w:rPr>
        <w:t>The three subfamilies of models</w:t>
      </w:r>
      <w:r w:rsidR="000C6CB6">
        <w:rPr>
          <w:rFonts w:eastAsiaTheme="minorEastAsia"/>
        </w:rPr>
        <w:t xml:space="preserve"> for </w:t>
      </w:r>
      <m:oMath>
        <m:r>
          <w:rPr>
            <w:rFonts w:ascii="Cambria Math" w:eastAsiaTheme="minorEastAsia" w:hAnsi="Cambria Math"/>
          </w:rPr>
          <m:t>π</m:t>
        </m:r>
        <m:d>
          <m:dPr>
            <m:ctrlPr>
              <w:rPr>
                <w:rFonts w:ascii="Cambria Math" w:eastAsiaTheme="minorEastAsia" w:hAnsi="Cambria Math"/>
                <w:i/>
              </w:rPr>
            </m:ctrlPr>
          </m:dPr>
          <m:e>
            <m:r>
              <w:rPr>
                <w:rFonts w:ascii="Cambria Math" w:eastAsiaTheme="minorEastAsia" w:hAnsi="Cambria Math"/>
              </w:rPr>
              <m:t>x</m:t>
            </m:r>
          </m:e>
        </m:d>
      </m:oMath>
      <w:r>
        <w:rPr>
          <w:rFonts w:eastAsiaTheme="minorEastAsia"/>
        </w:rPr>
        <w:t xml:space="preserve"> </w:t>
      </w:r>
      <w:r w:rsidR="000C6CB6">
        <w:rPr>
          <w:rFonts w:eastAsiaTheme="minorEastAsia"/>
        </w:rPr>
        <w:t>are:</w:t>
      </w:r>
      <w:r>
        <w:rPr>
          <w:rFonts w:eastAsiaTheme="minorEastAsia"/>
        </w:rPr>
        <w:t xml:space="preserve"> </w:t>
      </w:r>
    </w:p>
    <w:p w14:paraId="0C9ECBCE" w14:textId="2B06E7F0" w:rsidR="000C6CB6" w:rsidRDefault="000C6CB6" w:rsidP="000C6CB6">
      <w:pPr>
        <w:pStyle w:val="EFSABodytext"/>
        <w:numPr>
          <w:ilvl w:val="0"/>
          <w:numId w:val="63"/>
        </w:numPr>
        <w:jc w:val="left"/>
        <w:rPr>
          <w:rFonts w:eastAsiaTheme="minorEastAsia"/>
        </w:rPr>
      </w:pPr>
      <w:r w:rsidRPr="001D7B25">
        <w:rPr>
          <w:rFonts w:eastAsiaTheme="minorEastAsia"/>
          <w:b/>
          <w:bCs/>
        </w:rPr>
        <w:t>Family 1a and 1b</w:t>
      </w:r>
      <w:r>
        <w:rPr>
          <w:rFonts w:eastAsiaTheme="minorEastAsia"/>
        </w:rPr>
        <w:t xml:space="preserve">: all models for </w:t>
      </w: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w:r>
        <w:rPr>
          <w:rFonts w:eastAsiaTheme="minorEastAsia"/>
        </w:rPr>
        <w:t xml:space="preserve"> with </w:t>
      </w:r>
      <m:oMath>
        <m:r>
          <w:rPr>
            <w:rFonts w:ascii="Cambria Math" w:eastAsiaTheme="minorEastAsia" w:hAnsi="Cambria Math"/>
          </w:rPr>
          <m:t>c=1/a</m:t>
        </m:r>
      </m:oMath>
      <w:r>
        <w:rPr>
          <w:rFonts w:eastAsiaTheme="minorEastAsia"/>
        </w:rPr>
        <w:t>, or</w:t>
      </w:r>
    </w:p>
    <w:p w14:paraId="42FD5DE6" w14:textId="77777777" w:rsidR="000C6CB6" w:rsidRDefault="000C6CB6" w:rsidP="000C6CB6">
      <w:pPr>
        <w:pStyle w:val="EFSABodytext"/>
        <w:ind w:left="720"/>
        <w:jc w:val="left"/>
        <w:rPr>
          <w:rFonts w:eastAsiaTheme="minorEastAsia"/>
        </w:rPr>
      </w:pPr>
    </w:p>
    <w:p w14:paraId="0D082603" w14:textId="2AEC79AF" w:rsidR="000C6CB6" w:rsidRPr="001B2963" w:rsidRDefault="000C6CB6" w:rsidP="000C6CB6">
      <w:pPr>
        <w:pStyle w:val="EFSABodytext"/>
        <w:jc w:val="center"/>
        <w:rPr>
          <w:rFonts w:eastAsiaTheme="minorEastAsia"/>
        </w:rPr>
      </w:pPr>
      <m:oMathPara>
        <m:oMath>
          <m:r>
            <w:rPr>
              <w:rFonts w:ascii="Cambria Math" w:eastAsiaTheme="minorEastAsia" w:hAnsi="Cambria Math"/>
            </w:rPr>
            <m:t>π</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 xml:space="preserve"> = a+(1-a)F(x;b,d),  b,d&gt;0, </m:t>
          </m:r>
        </m:oMath>
      </m:oMathPara>
    </w:p>
    <w:p w14:paraId="0CA6F252" w14:textId="77777777" w:rsidR="000C6CB6" w:rsidRPr="00D67918" w:rsidRDefault="000C6CB6" w:rsidP="000C6CB6">
      <w:pPr>
        <w:pStyle w:val="EFSABodytext"/>
        <w:jc w:val="center"/>
        <w:rPr>
          <w:rFonts w:eastAsiaTheme="minorEastAsia"/>
        </w:rPr>
      </w:pPr>
    </w:p>
    <w:p w14:paraId="4CD1F2E1" w14:textId="3558C223" w:rsidR="000C6CB6" w:rsidRDefault="000C6CB6" w:rsidP="00DE30D2">
      <w:pPr>
        <w:pStyle w:val="EFSABodytext"/>
        <w:ind w:left="720"/>
        <w:jc w:val="left"/>
        <w:rPr>
          <w:rFonts w:eastAsiaTheme="minorEastAsia"/>
        </w:rPr>
      </w:pPr>
      <w:r w:rsidRPr="267526ED">
        <w:rPr>
          <w:rFonts w:eastAsiaTheme="minorEastAsia"/>
        </w:rPr>
        <w:t xml:space="preserve">for the same functions </w:t>
      </w:r>
      <m:oMath>
        <m:r>
          <w:rPr>
            <w:rFonts w:ascii="Cambria Math" w:eastAsiaTheme="minorEastAsia" w:hAnsi="Cambria Math"/>
          </w:rPr>
          <m:t>F</m:t>
        </m:r>
      </m:oMath>
      <w:r w:rsidRPr="267526ED">
        <w:rPr>
          <w:rFonts w:eastAsiaTheme="minorEastAsia"/>
        </w:rPr>
        <w:t xml:space="preserve"> as for Family 1a and 1b for continuous endpoints. </w:t>
      </w:r>
    </w:p>
    <w:p w14:paraId="2D5F6DF1" w14:textId="49FB61E8" w:rsidR="000C6CB6" w:rsidRDefault="000C6CB6" w:rsidP="000C6CB6">
      <w:pPr>
        <w:pStyle w:val="EFSABodytext"/>
        <w:ind w:left="720"/>
        <w:jc w:val="left"/>
        <w:rPr>
          <w:rFonts w:eastAsiaTheme="minorEastAsia"/>
        </w:rPr>
      </w:pPr>
      <w:r>
        <w:rPr>
          <w:rFonts w:eastAsiaTheme="minorEastAsia"/>
        </w:rPr>
        <w:t xml:space="preserve">The parameters </w:t>
      </w:r>
      <m:oMath>
        <m:r>
          <w:rPr>
            <w:rFonts w:ascii="Cambria Math" w:eastAsiaTheme="minorEastAsia" w:hAnsi="Cambria Math"/>
          </w:rPr>
          <m:t>a,b,d</m:t>
        </m:r>
      </m:oMath>
      <w:r>
        <w:rPr>
          <w:rFonts w:eastAsiaTheme="minorEastAsia"/>
        </w:rPr>
        <w:t xml:space="preserve"> have a particular interpretation:</w:t>
      </w:r>
    </w:p>
    <w:p w14:paraId="41099170" w14:textId="78E40040" w:rsidR="000C6CB6" w:rsidRPr="009C05F3" w:rsidRDefault="000C6CB6" w:rsidP="000C6CB6">
      <w:pPr>
        <w:pStyle w:val="EFSABodytext"/>
        <w:numPr>
          <w:ilvl w:val="0"/>
          <w:numId w:val="67"/>
        </w:numPr>
        <w:jc w:val="left"/>
        <w:rPr>
          <w:rFonts w:eastAsiaTheme="minorEastAsia"/>
        </w:rPr>
      </w:pPr>
      <m:oMath>
        <m:r>
          <w:rPr>
            <w:rFonts w:ascii="Cambria Math" w:eastAsiaTheme="minorEastAsia" w:hAnsi="Cambria Math"/>
          </w:rPr>
          <m:t>a=π</m:t>
        </m:r>
        <m:d>
          <m:dPr>
            <m:ctrlPr>
              <w:rPr>
                <w:rFonts w:ascii="Cambria Math" w:eastAsiaTheme="minorEastAsia" w:hAnsi="Cambria Math"/>
                <w:i/>
              </w:rPr>
            </m:ctrlPr>
          </m:dPr>
          <m:e>
            <m:r>
              <w:rPr>
                <w:rFonts w:ascii="Cambria Math" w:eastAsiaTheme="minorEastAsia" w:hAnsi="Cambria Math"/>
              </w:rPr>
              <m:t>0</m:t>
            </m:r>
          </m:e>
        </m:d>
      </m:oMath>
      <w:r>
        <w:rPr>
          <w:rFonts w:eastAsiaTheme="minorEastAsia"/>
        </w:rPr>
        <w:t xml:space="preserve"> determines the</w:t>
      </w:r>
      <w:r w:rsidRPr="001D7B25">
        <w:rPr>
          <w:rFonts w:eastAsiaTheme="minorEastAsia"/>
          <w:b/>
          <w:bCs/>
        </w:rPr>
        <w:t xml:space="preserve"> background </w:t>
      </w:r>
      <w:r w:rsidR="00976A14">
        <w:rPr>
          <w:rFonts w:eastAsiaTheme="minorEastAsia"/>
          <w:b/>
          <w:bCs/>
        </w:rPr>
        <w:t xml:space="preserve">probability on the adverse </w:t>
      </w:r>
      <w:proofErr w:type="gramStart"/>
      <w:r w:rsidR="00976A14">
        <w:rPr>
          <w:rFonts w:eastAsiaTheme="minorEastAsia"/>
          <w:b/>
          <w:bCs/>
        </w:rPr>
        <w:t>event</w:t>
      </w:r>
      <w:r>
        <w:rPr>
          <w:rFonts w:eastAsiaTheme="minorEastAsia"/>
        </w:rPr>
        <w:t>;</w:t>
      </w:r>
      <w:proofErr w:type="gramEnd"/>
    </w:p>
    <w:p w14:paraId="2C6689DC" w14:textId="60C30D5C" w:rsidR="000C6CB6" w:rsidRDefault="000C6CB6" w:rsidP="000C6CB6">
      <w:pPr>
        <w:pStyle w:val="EFSABodytext"/>
        <w:numPr>
          <w:ilvl w:val="0"/>
          <w:numId w:val="67"/>
        </w:numPr>
        <w:jc w:val="left"/>
        <w:rPr>
          <w:rFonts w:eastAsiaTheme="minorEastAsia"/>
        </w:rPr>
      </w:pPr>
      <m:oMath>
        <m:r>
          <w:rPr>
            <w:rFonts w:ascii="Cambria Math" w:eastAsiaTheme="minorEastAsia" w:hAnsi="Cambria Math"/>
          </w:rPr>
          <m:t>b</m:t>
        </m:r>
      </m:oMath>
      <w:r w:rsidRPr="001D7B25">
        <w:rPr>
          <w:rFonts w:eastAsiaTheme="minorEastAsia"/>
        </w:rPr>
        <w:t xml:space="preserve"> and </w:t>
      </w:r>
      <m:oMath>
        <m:r>
          <w:rPr>
            <w:rFonts w:ascii="Cambria Math" w:eastAsiaTheme="minorEastAsia" w:hAnsi="Cambria Math"/>
          </w:rPr>
          <m:t>d</m:t>
        </m:r>
      </m:oMath>
      <w:r w:rsidRPr="001D7B25">
        <w:rPr>
          <w:rFonts w:eastAsiaTheme="minorEastAsia"/>
        </w:rPr>
        <w:t xml:space="preserve"> </w:t>
      </w:r>
      <w:r>
        <w:rPr>
          <w:rFonts w:eastAsiaTheme="minorEastAsia"/>
        </w:rPr>
        <w:t xml:space="preserve">characterize </w:t>
      </w:r>
      <w:r w:rsidRPr="001D7B25">
        <w:rPr>
          <w:rFonts w:eastAsiaTheme="minorEastAsia"/>
          <w:b/>
          <w:bCs/>
        </w:rPr>
        <w:t>the shape of change</w:t>
      </w:r>
      <w:r>
        <w:rPr>
          <w:rFonts w:eastAsiaTheme="minorEastAsia"/>
          <w:b/>
          <w:bCs/>
        </w:rPr>
        <w:t xml:space="preserve"> in </w:t>
      </w:r>
      <w:r w:rsidR="00976A14">
        <w:rPr>
          <w:rFonts w:eastAsiaTheme="minorEastAsia"/>
          <w:b/>
          <w:bCs/>
        </w:rPr>
        <w:t>the probability on the adverse event</w:t>
      </w:r>
      <w:r>
        <w:rPr>
          <w:rFonts w:eastAsiaTheme="minorEastAsia"/>
        </w:rPr>
        <w:t>, via the identity:</w:t>
      </w:r>
    </w:p>
    <w:p w14:paraId="74C39064" w14:textId="3ED61DB9" w:rsidR="000C6CB6" w:rsidRPr="00502CFF" w:rsidRDefault="000C6CB6" w:rsidP="000C6CB6">
      <w:pPr>
        <w:pStyle w:val="EFSABodytext"/>
        <w:ind w:left="1504"/>
        <w:jc w:val="left"/>
        <w:rPr>
          <w:rFonts w:eastAsiaTheme="minorEastAsia"/>
        </w:rPr>
      </w:pPr>
      <m:oMathPara>
        <m:oMath>
          <m:r>
            <w:rPr>
              <w:rFonts w:ascii="Cambria Math" w:eastAsiaTheme="minorEastAsia" w:hAnsi="Cambria Math"/>
            </w:rPr>
            <m:t xml:space="preserve"> F(x;b,d)=</m:t>
          </m:r>
          <m:f>
            <m:fPr>
              <m:ctrlPr>
                <w:rPr>
                  <w:rFonts w:ascii="Cambria Math" w:eastAsiaTheme="minorEastAsia" w:hAnsi="Cambria Math"/>
                  <w:i/>
                </w:rPr>
              </m:ctrlPr>
            </m:fPr>
            <m:num>
              <m:r>
                <w:rPr>
                  <w:rFonts w:ascii="Cambria Math" w:eastAsiaTheme="minorEastAsia" w:hAnsi="Cambria Math"/>
                </w:rPr>
                <m:t>π</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-π</m:t>
              </m:r>
              <m:d>
                <m:dPr>
                  <m:ctrlPr>
                    <w:rPr>
                      <w:rFonts w:ascii="Cambria Math" w:eastAsiaTheme="minorEastAsia" w:hAnsi="Cambria Math"/>
                      <w:i/>
                    </w:rPr>
                  </m:ctrlPr>
                </m:dPr>
                <m:e>
                  <m:r>
                    <w:rPr>
                      <w:rFonts w:ascii="Cambria Math" w:eastAsiaTheme="minorEastAsia" w:hAnsi="Cambria Math"/>
                    </w:rPr>
                    <m:t>0</m:t>
                  </m:r>
                </m:e>
              </m:d>
            </m:num>
            <m:den>
              <m:r>
                <w:rPr>
                  <w:rFonts w:ascii="Cambria Math" w:eastAsiaTheme="minorEastAsia" w:hAnsi="Cambria Math"/>
                </w:rPr>
                <m:t>1-π</m:t>
              </m:r>
              <m:d>
                <m:dPr>
                  <m:ctrlPr>
                    <w:rPr>
                      <w:rFonts w:ascii="Cambria Math" w:eastAsiaTheme="minorEastAsia" w:hAnsi="Cambria Math"/>
                      <w:i/>
                    </w:rPr>
                  </m:ctrlPr>
                </m:dPr>
                <m:e>
                  <m:r>
                    <w:rPr>
                      <w:rFonts w:ascii="Cambria Math" w:eastAsiaTheme="minorEastAsia" w:hAnsi="Cambria Math"/>
                    </w:rPr>
                    <m:t>0</m:t>
                  </m:r>
                </m:e>
              </m:d>
            </m:den>
          </m:f>
          <m:r>
            <w:rPr>
              <w:rFonts w:ascii="Cambria Math" w:eastAsiaTheme="minorEastAsia" w:hAnsi="Cambria Math"/>
            </w:rPr>
            <m:t xml:space="preserve"> ,</m:t>
          </m:r>
        </m:oMath>
      </m:oMathPara>
    </w:p>
    <w:p w14:paraId="0D873382" w14:textId="3AD1FDF9" w:rsidR="000C6CB6" w:rsidRPr="00C03CD7" w:rsidRDefault="000C6CB6" w:rsidP="000C6CB6">
      <w:pPr>
        <w:pStyle w:val="EFSABodytext"/>
        <w:numPr>
          <w:ilvl w:val="0"/>
          <w:numId w:val="67"/>
        </w:numPr>
        <w:jc w:val="left"/>
        <w:rPr>
          <w:rFonts w:eastAsiaTheme="minorEastAsia"/>
        </w:rPr>
      </w:pPr>
      <w:r>
        <w:rPr>
          <w:rFonts w:eastAsiaTheme="minorEastAsia"/>
        </w:rPr>
        <w:t xml:space="preserve">the model is reparametrized in terms of the parameter </w:t>
      </w:r>
      <m:oMath>
        <m:r>
          <w:rPr>
            <w:rFonts w:ascii="Cambria Math" w:eastAsiaTheme="minorEastAsia" w:hAnsi="Cambria Math"/>
          </w:rPr>
          <m:t>a</m:t>
        </m:r>
      </m:oMath>
      <w:r>
        <w:rPr>
          <w:rFonts w:eastAsiaTheme="minorEastAsia"/>
        </w:rPr>
        <w:t xml:space="preserve"> (representing the background</w:t>
      </w:r>
      <w:r w:rsidR="00976A14">
        <w:rPr>
          <w:rFonts w:eastAsiaTheme="minorEastAsia"/>
        </w:rPr>
        <w:t xml:space="preserve"> incidence</w:t>
      </w:r>
      <w:r>
        <w:rPr>
          <w:rFonts w:eastAsiaTheme="minorEastAsia"/>
        </w:rPr>
        <w:t xml:space="preserve">), the BMD (the potency, see </w:t>
      </w:r>
      <w:r w:rsidRPr="00B3664D">
        <w:rPr>
          <w:rFonts w:eastAsiaTheme="minorEastAsia"/>
        </w:rPr>
        <w:t xml:space="preserve">Table </w:t>
      </w:r>
      <w:r w:rsidR="00322371" w:rsidRPr="00323293">
        <w:rPr>
          <w:rFonts w:eastAsiaTheme="minorEastAsia"/>
        </w:rPr>
        <w:t>3</w:t>
      </w:r>
      <w:r w:rsidRPr="00323293">
        <w:rPr>
          <w:rFonts w:eastAsiaTheme="minorEastAsia"/>
        </w:rPr>
        <w:t>, and</w:t>
      </w:r>
      <w:r>
        <w:rPr>
          <w:rFonts w:eastAsiaTheme="minorEastAsia"/>
        </w:rPr>
        <w:t xml:space="preserve"> replacing the parameter </w:t>
      </w:r>
      <m:oMath>
        <m:r>
          <w:rPr>
            <w:rFonts w:ascii="Cambria Math" w:eastAsiaTheme="minorEastAsia" w:hAnsi="Cambria Math"/>
          </w:rPr>
          <m:t>b</m:t>
        </m:r>
      </m:oMath>
      <w:r>
        <w:rPr>
          <w:rFonts w:eastAsiaTheme="minorEastAsia"/>
        </w:rPr>
        <w:t xml:space="preserve">) and the parameter </w:t>
      </w:r>
      <m:oMath>
        <m:r>
          <w:rPr>
            <w:rFonts w:ascii="Cambria Math" w:eastAsiaTheme="minorEastAsia" w:hAnsi="Cambria Math"/>
          </w:rPr>
          <m:t>d</m:t>
        </m:r>
      </m:oMath>
      <w:r>
        <w:rPr>
          <w:rFonts w:eastAsiaTheme="minorEastAsia"/>
        </w:rPr>
        <w:t>.</w:t>
      </w:r>
    </w:p>
    <w:p w14:paraId="2B38D825" w14:textId="10EE415E" w:rsidR="00156F49" w:rsidRDefault="00156F49" w:rsidP="00EC6463">
      <w:pPr>
        <w:pStyle w:val="EFSABodytext"/>
        <w:jc w:val="left"/>
        <w:rPr>
          <w:rFonts w:eastAsiaTheme="minorEastAsia"/>
        </w:rPr>
      </w:pPr>
    </w:p>
    <w:p w14:paraId="333F5531" w14:textId="1B087DCE" w:rsidR="00976A14" w:rsidRDefault="00976A14" w:rsidP="006B2509">
      <w:pPr>
        <w:pStyle w:val="EFSABodytext"/>
        <w:numPr>
          <w:ilvl w:val="0"/>
          <w:numId w:val="63"/>
        </w:numPr>
        <w:jc w:val="left"/>
        <w:rPr>
          <w:rFonts w:eastAsiaTheme="minorEastAsia"/>
        </w:rPr>
      </w:pPr>
      <w:r w:rsidRPr="00976A14">
        <w:rPr>
          <w:rFonts w:eastAsiaTheme="minorEastAsia"/>
          <w:b/>
          <w:bCs/>
        </w:rPr>
        <w:t>Family 2</w:t>
      </w:r>
      <w:r w:rsidRPr="00976A14">
        <w:rPr>
          <w:rFonts w:eastAsiaTheme="minorEastAsia"/>
        </w:rPr>
        <w:t xml:space="preserve">: all increasing models for </w:t>
      </w: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w:r w:rsidRPr="00976A14">
        <w:rPr>
          <w:rFonts w:eastAsiaTheme="minorEastAsia"/>
        </w:rPr>
        <w:t xml:space="preserve"> with </w:t>
      </w:r>
      <m:oMath>
        <m:r>
          <w:rPr>
            <w:rFonts w:ascii="Cambria Math" w:eastAsiaTheme="minorEastAsia" w:hAnsi="Cambria Math"/>
          </w:rPr>
          <m:t>c=1</m:t>
        </m:r>
      </m:oMath>
      <w:r>
        <w:rPr>
          <w:rFonts w:eastAsiaTheme="minorEastAsia"/>
        </w:rPr>
        <w:t>, or</w:t>
      </w:r>
    </w:p>
    <w:p w14:paraId="6493C914" w14:textId="77777777" w:rsidR="00976A14" w:rsidRPr="00976A14" w:rsidRDefault="00976A14" w:rsidP="00DE30D2">
      <w:pPr>
        <w:pStyle w:val="EFSABodytext"/>
        <w:ind w:left="360"/>
        <w:jc w:val="left"/>
        <w:rPr>
          <w:rFonts w:eastAsiaTheme="minorEastAsia"/>
        </w:rPr>
      </w:pPr>
    </w:p>
    <w:p w14:paraId="1FB3FF29" w14:textId="2FCF177C" w:rsidR="00976A14" w:rsidRPr="001B2963" w:rsidRDefault="00976A14" w:rsidP="00976A14">
      <w:pPr>
        <w:pStyle w:val="EFSABodytext"/>
        <w:jc w:val="center"/>
        <w:rPr>
          <w:rFonts w:eastAsiaTheme="minorEastAsia"/>
          <w:i/>
        </w:rPr>
      </w:pPr>
      <m:oMathPara>
        <m:oMath>
          <m:r>
            <w:rPr>
              <w:rFonts w:ascii="Cambria Math" w:eastAsiaTheme="minorEastAsia" w:hAnsi="Cambria Math"/>
            </w:rPr>
            <m:t>π</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 xml:space="preserve"> = F(a+b</m:t>
          </m:r>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d</m:t>
              </m:r>
            </m:sup>
          </m:sSup>
          <m:r>
            <w:rPr>
              <w:rFonts w:ascii="Cambria Math" w:eastAsiaTheme="minorEastAsia" w:hAnsi="Cambria Math"/>
            </w:rPr>
            <m:t>),     b,d&gt;0</m:t>
          </m:r>
        </m:oMath>
      </m:oMathPara>
    </w:p>
    <w:p w14:paraId="575090E0" w14:textId="77777777" w:rsidR="00976A14" w:rsidRPr="00D67918" w:rsidRDefault="00976A14" w:rsidP="00976A14">
      <w:pPr>
        <w:pStyle w:val="EFSABodytext"/>
        <w:jc w:val="center"/>
        <w:rPr>
          <w:rFonts w:eastAsiaTheme="minorEastAsia"/>
          <w:i/>
        </w:rPr>
      </w:pPr>
    </w:p>
    <w:p w14:paraId="3C5DB329" w14:textId="2A93C730" w:rsidR="00976A14" w:rsidRDefault="00976A14" w:rsidP="00DE30D2">
      <w:pPr>
        <w:pStyle w:val="EFSABodytext"/>
        <w:ind w:left="720"/>
        <w:jc w:val="left"/>
        <w:rPr>
          <w:rFonts w:eastAsiaTheme="minorEastAsia"/>
        </w:rPr>
      </w:pPr>
      <w:r w:rsidRPr="267526ED">
        <w:rPr>
          <w:rFonts w:eastAsiaTheme="minorEastAsia"/>
        </w:rPr>
        <w:t>for the s</w:t>
      </w:r>
      <w:r w:rsidR="006B2509" w:rsidRPr="267526ED">
        <w:rPr>
          <w:rFonts w:eastAsiaTheme="minorEastAsia"/>
        </w:rPr>
        <w:t>a</w:t>
      </w:r>
      <w:r w:rsidRPr="267526ED">
        <w:rPr>
          <w:rFonts w:eastAsiaTheme="minorEastAsia"/>
        </w:rPr>
        <w:t>me function</w:t>
      </w:r>
      <w:r w:rsidR="006B2509" w:rsidRPr="267526ED">
        <w:rPr>
          <w:rFonts w:eastAsiaTheme="minorEastAsia"/>
        </w:rPr>
        <w:t>s</w:t>
      </w:r>
      <w:r w:rsidRPr="267526ED">
        <w:rPr>
          <w:rFonts w:eastAsiaTheme="minorEastAsia"/>
        </w:rPr>
        <w:t xml:space="preserve"> </w:t>
      </w:r>
      <m:oMath>
        <m:r>
          <w:rPr>
            <w:rFonts w:ascii="Cambria Math" w:eastAsiaTheme="minorEastAsia" w:hAnsi="Cambria Math"/>
          </w:rPr>
          <m:t>F</m:t>
        </m:r>
      </m:oMath>
      <w:r w:rsidRPr="267526ED">
        <w:rPr>
          <w:rFonts w:eastAsiaTheme="minorEastAsia"/>
        </w:rPr>
        <w:t xml:space="preserve"> as for Family 2 for continuous endpoints. d </w:t>
      </w:r>
      <m:oMath>
        <m:r>
          <w:rPr>
            <w:rFonts w:ascii="Cambria Math" w:eastAsiaTheme="minorEastAsia" w:hAnsi="Cambria Math"/>
          </w:rPr>
          <m:t>d</m:t>
        </m:r>
      </m:oMath>
      <w:r w:rsidRPr="267526ED">
        <w:rPr>
          <w:rFonts w:eastAsiaTheme="minorEastAsia"/>
        </w:rPr>
        <w:t>.</w:t>
      </w:r>
    </w:p>
    <w:p w14:paraId="71AEF21A" w14:textId="2BBBEDB1" w:rsidR="00976A14" w:rsidRDefault="00976A14" w:rsidP="00976A14">
      <w:pPr>
        <w:pStyle w:val="EFSABodytext"/>
        <w:ind w:left="720"/>
        <w:jc w:val="left"/>
        <w:rPr>
          <w:rFonts w:eastAsiaTheme="minorEastAsia"/>
        </w:rPr>
      </w:pPr>
      <w:r>
        <w:rPr>
          <w:rFonts w:eastAsiaTheme="minorEastAsia"/>
        </w:rPr>
        <w:t xml:space="preserve">The parameters </w:t>
      </w:r>
      <m:oMath>
        <m:r>
          <w:rPr>
            <w:rFonts w:ascii="Cambria Math" w:eastAsiaTheme="minorEastAsia" w:hAnsi="Cambria Math"/>
          </w:rPr>
          <m:t>b, c,d</m:t>
        </m:r>
      </m:oMath>
      <w:r>
        <w:rPr>
          <w:rFonts w:eastAsiaTheme="minorEastAsia"/>
        </w:rPr>
        <w:t xml:space="preserve"> have a particular interpretation:</w:t>
      </w:r>
    </w:p>
    <w:p w14:paraId="5F8AB0DA" w14:textId="36C4CD1C" w:rsidR="00976A14" w:rsidRPr="008318C8" w:rsidRDefault="0068336E" w:rsidP="00976A14">
      <w:pPr>
        <w:pStyle w:val="EFSABodytext"/>
        <w:numPr>
          <w:ilvl w:val="0"/>
          <w:numId w:val="67"/>
        </w:numPr>
        <w:jc w:val="left"/>
        <w:rPr>
          <w:rFonts w:eastAsiaTheme="minorEastAsia"/>
        </w:rPr>
      </w:pPr>
      <m:oMath>
        <m:r>
          <w:rPr>
            <w:rFonts w:ascii="Cambria Math" w:eastAsiaTheme="minorEastAsia" w:hAnsi="Cambria Math"/>
          </w:rPr>
          <m:t>a=</m:t>
        </m:r>
        <m:sSup>
          <m:sSupPr>
            <m:ctrlPr>
              <w:rPr>
                <w:rFonts w:ascii="Cambria Math" w:eastAsiaTheme="minorEastAsia" w:hAnsi="Cambria Math"/>
                <w:i/>
              </w:rPr>
            </m:ctrlPr>
          </m:sSupPr>
          <m:e>
            <m:r>
              <w:rPr>
                <w:rFonts w:ascii="Cambria Math" w:eastAsiaTheme="minorEastAsia" w:hAnsi="Cambria Math"/>
              </w:rPr>
              <m:t>F</m:t>
            </m:r>
          </m:e>
          <m:sup>
            <m:r>
              <w:rPr>
                <w:rFonts w:ascii="Cambria Math" w:eastAsiaTheme="minorEastAsia" w:hAnsi="Cambria Math"/>
              </w:rPr>
              <m:t>-1</m:t>
            </m:r>
          </m:sup>
        </m:sSup>
        <m:r>
          <w:rPr>
            <w:rFonts w:ascii="Cambria Math" w:eastAsiaTheme="minorEastAsia" w:hAnsi="Cambria Math"/>
          </w:rPr>
          <m:t>(π</m:t>
        </m:r>
        <m:d>
          <m:dPr>
            <m:ctrlPr>
              <w:rPr>
                <w:rFonts w:ascii="Cambria Math" w:eastAsiaTheme="minorEastAsia" w:hAnsi="Cambria Math"/>
                <w:i/>
              </w:rPr>
            </m:ctrlPr>
          </m:dPr>
          <m:e>
            <m:r>
              <w:rPr>
                <w:rFonts w:ascii="Cambria Math" w:eastAsiaTheme="minorEastAsia" w:hAnsi="Cambria Math"/>
              </w:rPr>
              <m:t>0</m:t>
            </m:r>
          </m:e>
        </m:d>
        <m:r>
          <w:rPr>
            <w:rFonts w:ascii="Cambria Math" w:eastAsiaTheme="minorEastAsia" w:hAnsi="Cambria Math"/>
          </w:rPr>
          <m:t>)</m:t>
        </m:r>
      </m:oMath>
      <w:r w:rsidR="00976A14">
        <w:rPr>
          <w:rFonts w:eastAsiaTheme="minorEastAsia"/>
        </w:rPr>
        <w:t xml:space="preserve"> determines the </w:t>
      </w:r>
      <w:r w:rsidR="00976A14" w:rsidRPr="003704B0">
        <w:rPr>
          <w:rFonts w:eastAsiaTheme="minorEastAsia"/>
          <w:b/>
          <w:bCs/>
        </w:rPr>
        <w:t xml:space="preserve">background </w:t>
      </w:r>
      <w:r w:rsidR="00976A14">
        <w:rPr>
          <w:rFonts w:eastAsiaTheme="minorEastAsia"/>
          <w:b/>
          <w:bCs/>
        </w:rPr>
        <w:t xml:space="preserve">probability on the adverse </w:t>
      </w:r>
      <w:proofErr w:type="gramStart"/>
      <w:r w:rsidR="00976A14">
        <w:rPr>
          <w:rFonts w:eastAsiaTheme="minorEastAsia"/>
          <w:b/>
          <w:bCs/>
        </w:rPr>
        <w:t>event</w:t>
      </w:r>
      <w:r w:rsidR="00976A14">
        <w:rPr>
          <w:rFonts w:eastAsiaTheme="minorEastAsia"/>
        </w:rPr>
        <w:t>;</w:t>
      </w:r>
      <w:proofErr w:type="gramEnd"/>
    </w:p>
    <w:p w14:paraId="66AF7A21" w14:textId="7EB3EBDA" w:rsidR="00976A14" w:rsidRDefault="00976A14" w:rsidP="00976A14">
      <w:pPr>
        <w:pStyle w:val="EFSABodytext"/>
        <w:numPr>
          <w:ilvl w:val="0"/>
          <w:numId w:val="67"/>
        </w:numPr>
        <w:jc w:val="left"/>
        <w:rPr>
          <w:rFonts w:eastAsiaTheme="minorEastAsia"/>
        </w:rPr>
      </w:pPr>
      <m:oMath>
        <m:r>
          <w:rPr>
            <w:rFonts w:ascii="Cambria Math" w:eastAsiaTheme="minorEastAsia" w:hAnsi="Cambria Math"/>
          </w:rPr>
          <m:t>b</m:t>
        </m:r>
      </m:oMath>
      <w:r w:rsidRPr="003704B0">
        <w:rPr>
          <w:rFonts w:eastAsiaTheme="minorEastAsia"/>
        </w:rPr>
        <w:t xml:space="preserve"> and </w:t>
      </w:r>
      <m:oMath>
        <m:r>
          <w:rPr>
            <w:rFonts w:ascii="Cambria Math" w:eastAsiaTheme="minorEastAsia" w:hAnsi="Cambria Math"/>
          </w:rPr>
          <m:t>d</m:t>
        </m:r>
      </m:oMath>
      <w:r w:rsidRPr="003704B0">
        <w:rPr>
          <w:rFonts w:eastAsiaTheme="minorEastAsia"/>
        </w:rPr>
        <w:t xml:space="preserve"> </w:t>
      </w:r>
      <w:r>
        <w:rPr>
          <w:rFonts w:eastAsiaTheme="minorEastAsia"/>
        </w:rPr>
        <w:t xml:space="preserve">characterize </w:t>
      </w:r>
      <w:r w:rsidRPr="003704B0">
        <w:rPr>
          <w:rFonts w:eastAsiaTheme="minorEastAsia"/>
          <w:b/>
          <w:bCs/>
        </w:rPr>
        <w:t>the shape of change</w:t>
      </w:r>
      <w:r>
        <w:rPr>
          <w:rFonts w:eastAsiaTheme="minorEastAsia"/>
          <w:b/>
          <w:bCs/>
        </w:rPr>
        <w:t xml:space="preserve"> in the probability on the adverse event</w:t>
      </w:r>
      <w:r>
        <w:rPr>
          <w:rFonts w:eastAsiaTheme="minorEastAsia"/>
        </w:rPr>
        <w:t>, via the identity:</w:t>
      </w:r>
    </w:p>
    <w:p w14:paraId="74ED2325" w14:textId="1F267356" w:rsidR="00976A14" w:rsidRPr="00C03CD7" w:rsidRDefault="00976A14" w:rsidP="00976A14">
      <w:pPr>
        <w:pStyle w:val="EFSABodytext"/>
        <w:ind w:left="1504"/>
        <w:jc w:val="left"/>
        <w:rPr>
          <w:rFonts w:eastAsiaTheme="minorEastAsia"/>
        </w:rPr>
      </w:pPr>
      <m:oMathPara>
        <m:oMath>
          <m:r>
            <w:rPr>
              <w:rFonts w:ascii="Cambria Math" w:eastAsiaTheme="minorEastAsia" w:hAnsi="Cambria Math"/>
            </w:rPr>
            <m:t>b</m:t>
          </m:r>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d</m:t>
              </m:r>
            </m:sup>
          </m:sSup>
          <m:r>
            <w:rPr>
              <w:rFonts w:ascii="Cambria Math" w:eastAsiaTheme="minorEastAsia" w:hAnsi="Cambria Math"/>
            </w:rPr>
            <m:t xml:space="preserve"> =</m:t>
          </m:r>
          <m:sSup>
            <m:sSupPr>
              <m:ctrlPr>
                <w:rPr>
                  <w:rFonts w:ascii="Cambria Math" w:eastAsiaTheme="minorEastAsia" w:hAnsi="Cambria Math"/>
                  <w:i/>
                </w:rPr>
              </m:ctrlPr>
            </m:sSupPr>
            <m:e>
              <m:r>
                <w:rPr>
                  <w:rFonts w:ascii="Cambria Math" w:eastAsiaTheme="minorEastAsia" w:hAnsi="Cambria Math"/>
                </w:rPr>
                <m:t>F</m:t>
              </m:r>
            </m:e>
            <m:sup>
              <m:r>
                <w:rPr>
                  <w:rFonts w:ascii="Cambria Math" w:eastAsiaTheme="minorEastAsia" w:hAnsi="Cambria Math"/>
                </w:rPr>
                <m:t>-1</m:t>
              </m:r>
            </m:sup>
          </m:sSup>
          <m:r>
            <w:rPr>
              <w:rFonts w:ascii="Cambria Math" w:eastAsiaTheme="minorEastAsia" w:hAnsi="Cambria Math"/>
            </w:rPr>
            <m:t>(π</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 -</m:t>
          </m:r>
          <m:sSup>
            <m:sSupPr>
              <m:ctrlPr>
                <w:rPr>
                  <w:rFonts w:ascii="Cambria Math" w:eastAsiaTheme="minorEastAsia" w:hAnsi="Cambria Math"/>
                  <w:i/>
                </w:rPr>
              </m:ctrlPr>
            </m:sSupPr>
            <m:e>
              <m:r>
                <w:rPr>
                  <w:rFonts w:ascii="Cambria Math" w:eastAsiaTheme="minorEastAsia" w:hAnsi="Cambria Math"/>
                </w:rPr>
                <m:t xml:space="preserve"> F</m:t>
              </m:r>
            </m:e>
            <m:sup>
              <m:r>
                <w:rPr>
                  <w:rFonts w:ascii="Cambria Math" w:eastAsiaTheme="minorEastAsia" w:hAnsi="Cambria Math"/>
                </w:rPr>
                <m:t>-1</m:t>
              </m:r>
            </m:sup>
          </m:sSup>
          <m:r>
            <w:rPr>
              <w:rFonts w:ascii="Cambria Math" w:eastAsiaTheme="minorEastAsia" w:hAnsi="Cambria Math"/>
            </w:rPr>
            <m:t>(π</m:t>
          </m:r>
          <m:d>
            <m:dPr>
              <m:ctrlPr>
                <w:rPr>
                  <w:rFonts w:ascii="Cambria Math" w:eastAsiaTheme="minorEastAsia" w:hAnsi="Cambria Math"/>
                  <w:i/>
                </w:rPr>
              </m:ctrlPr>
            </m:dPr>
            <m:e>
              <m:r>
                <w:rPr>
                  <w:rFonts w:ascii="Cambria Math" w:eastAsiaTheme="minorEastAsia" w:hAnsi="Cambria Math"/>
                </w:rPr>
                <m:t>0</m:t>
              </m:r>
            </m:e>
          </m:d>
          <m:r>
            <w:rPr>
              <w:rFonts w:ascii="Cambria Math" w:eastAsiaTheme="minorEastAsia" w:hAnsi="Cambria Math"/>
            </w:rPr>
            <m:t>) ,</m:t>
          </m:r>
        </m:oMath>
      </m:oMathPara>
    </w:p>
    <w:p w14:paraId="1F4E7ADB" w14:textId="5CDF71FD" w:rsidR="00976A14" w:rsidRDefault="00976A14" w:rsidP="00EC6463">
      <w:pPr>
        <w:pStyle w:val="EFSABodytext"/>
        <w:numPr>
          <w:ilvl w:val="0"/>
          <w:numId w:val="67"/>
        </w:numPr>
        <w:jc w:val="left"/>
        <w:rPr>
          <w:rFonts w:eastAsiaTheme="minorEastAsia"/>
        </w:rPr>
      </w:pPr>
      <w:r>
        <w:rPr>
          <w:rFonts w:eastAsiaTheme="minorEastAsia"/>
        </w:rPr>
        <w:t xml:space="preserve">the model is reparametrized in terms of the parameter </w:t>
      </w:r>
      <m:oMath>
        <m:r>
          <w:rPr>
            <w:rFonts w:ascii="Cambria Math" w:eastAsiaTheme="minorEastAsia" w:hAnsi="Cambria Math"/>
          </w:rPr>
          <m:t>c</m:t>
        </m:r>
      </m:oMath>
      <w:r>
        <w:rPr>
          <w:rFonts w:eastAsiaTheme="minorEastAsia"/>
        </w:rPr>
        <w:t xml:space="preserve"> (representing the background in</w:t>
      </w:r>
      <w:proofErr w:type="spellStart"/>
      <w:r>
        <w:rPr>
          <w:rFonts w:eastAsiaTheme="minorEastAsia"/>
        </w:rPr>
        <w:t>cidence</w:t>
      </w:r>
      <w:proofErr w:type="spellEnd"/>
      <w:r>
        <w:rPr>
          <w:rFonts w:eastAsiaTheme="minorEastAsia"/>
        </w:rPr>
        <w:t xml:space="preserve">), the BMD (the potency, see </w:t>
      </w:r>
      <w:r w:rsidRPr="00B3664D">
        <w:rPr>
          <w:rFonts w:eastAsiaTheme="minorEastAsia"/>
        </w:rPr>
        <w:t xml:space="preserve">Table </w:t>
      </w:r>
      <w:r w:rsidR="00322371" w:rsidRPr="00323293">
        <w:rPr>
          <w:rFonts w:eastAsiaTheme="minorEastAsia"/>
        </w:rPr>
        <w:t>3</w:t>
      </w:r>
      <w:r w:rsidRPr="00323293">
        <w:rPr>
          <w:rFonts w:eastAsiaTheme="minorEastAsia"/>
        </w:rPr>
        <w:t>,</w:t>
      </w:r>
      <w:r>
        <w:rPr>
          <w:rFonts w:eastAsiaTheme="minorEastAsia"/>
        </w:rPr>
        <w:t xml:space="preserve"> and replacing the parameter </w:t>
      </w:r>
      <m:oMath>
        <m:r>
          <w:rPr>
            <w:rFonts w:ascii="Cambria Math" w:eastAsiaTheme="minorEastAsia" w:hAnsi="Cambria Math"/>
          </w:rPr>
          <m:t>b</m:t>
        </m:r>
      </m:oMath>
      <w:r>
        <w:rPr>
          <w:rFonts w:eastAsiaTheme="minorEastAsia"/>
        </w:rPr>
        <w:t xml:space="preserve">) and the parameter </w:t>
      </w:r>
      <m:oMath>
        <m:r>
          <w:rPr>
            <w:rFonts w:ascii="Cambria Math" w:eastAsiaTheme="minorEastAsia" w:hAnsi="Cambria Math"/>
          </w:rPr>
          <m:t>d</m:t>
        </m:r>
      </m:oMath>
      <w:r>
        <w:rPr>
          <w:rFonts w:eastAsiaTheme="minorEastAsia"/>
        </w:rPr>
        <w:t>.</w:t>
      </w:r>
    </w:p>
    <w:p w14:paraId="016418E5" w14:textId="77777777" w:rsidR="000E6D56" w:rsidRDefault="000E6D56" w:rsidP="000E6D56">
      <w:pPr>
        <w:pStyle w:val="EFSABodytext"/>
        <w:jc w:val="left"/>
        <w:rPr>
          <w:rFonts w:eastAsiaTheme="minorEastAsia"/>
        </w:rPr>
      </w:pPr>
    </w:p>
    <w:p w14:paraId="0F7C655D" w14:textId="69170B5A" w:rsidR="0009600D" w:rsidRPr="00C81DA9" w:rsidRDefault="0009600D" w:rsidP="0009600D">
      <w:pPr>
        <w:pStyle w:val="Caption"/>
        <w:keepNext/>
        <w:rPr>
          <w:rFonts w:ascii="Tahoma" w:hAnsi="Tahoma" w:cs="Tahoma"/>
          <w:color w:val="auto"/>
        </w:rPr>
      </w:pPr>
      <w:r w:rsidRPr="00C81DA9">
        <w:rPr>
          <w:rFonts w:ascii="Tahoma" w:hAnsi="Tahoma" w:cs="Tahoma"/>
          <w:color w:val="auto"/>
        </w:rPr>
        <w:t xml:space="preserve">Table </w:t>
      </w:r>
      <w:r w:rsidR="00F34928">
        <w:rPr>
          <w:rFonts w:ascii="Tahoma" w:hAnsi="Tahoma" w:cs="Tahoma"/>
          <w:color w:val="auto"/>
        </w:rPr>
        <w:t>3</w:t>
      </w:r>
      <w:r w:rsidRPr="00C81DA9">
        <w:rPr>
          <w:rFonts w:ascii="Tahoma" w:hAnsi="Tahoma" w:cs="Tahoma"/>
          <w:color w:val="auto"/>
        </w:rPr>
        <w:t xml:space="preserve">: </w:t>
      </w:r>
      <w:r w:rsidRPr="00C81DA9">
        <w:rPr>
          <w:rFonts w:ascii="Tahoma" w:hAnsi="Tahoma" w:cs="Tahoma"/>
          <w:b w:val="0"/>
          <w:bCs w:val="0"/>
          <w:color w:val="auto"/>
        </w:rPr>
        <w:t xml:space="preserve">Candidate models </w:t>
      </w:r>
      <w:r>
        <w:rPr>
          <w:rFonts w:ascii="Tahoma" w:hAnsi="Tahoma" w:cs="Tahoma"/>
          <w:b w:val="0"/>
          <w:bCs w:val="0"/>
          <w:color w:val="auto"/>
        </w:rPr>
        <w:t>for quantal endpoints</w:t>
      </w:r>
      <w:r w:rsidRPr="00C81DA9">
        <w:rPr>
          <w:rFonts w:ascii="Tahoma" w:eastAsiaTheme="minorEastAsia" w:hAnsi="Tahoma" w:cs="Tahoma"/>
          <w:b w:val="0"/>
          <w:bCs w:val="0"/>
          <w:color w:val="auto"/>
        </w:rPr>
        <w:t>.</w:t>
      </w:r>
    </w:p>
    <w:p w14:paraId="531F027E" w14:textId="77777777" w:rsidR="0009600D" w:rsidRDefault="0009600D" w:rsidP="000E6D56">
      <w:pPr>
        <w:pStyle w:val="EFSABodytext"/>
        <w:jc w:val="left"/>
        <w:rPr>
          <w:rFonts w:eastAsiaTheme="minorEastAsia"/>
        </w:rPr>
      </w:pPr>
    </w:p>
    <w:tbl>
      <w:tblPr>
        <w:tblStyle w:val="TableGrid"/>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785"/>
        <w:gridCol w:w="1959"/>
        <w:gridCol w:w="3324"/>
      </w:tblGrid>
      <w:tr w:rsidR="000E6D56" w:rsidRPr="00D133AD" w14:paraId="3B23A3E4" w14:textId="77777777" w:rsidTr="00073971">
        <w:trPr>
          <w:trHeight w:val="504"/>
          <w:jc w:val="center"/>
        </w:trPr>
        <w:tc>
          <w:tcPr>
            <w:tcW w:w="0" w:type="auto"/>
            <w:vMerge w:val="restart"/>
            <w:vAlign w:val="center"/>
          </w:tcPr>
          <w:p w14:paraId="62EF52D1" w14:textId="77777777" w:rsidR="000E6D56" w:rsidRPr="00D133AD" w:rsidRDefault="000E6D56" w:rsidP="00073971">
            <w:pPr>
              <w:pStyle w:val="EFSABodytext"/>
              <w:spacing w:before="100" w:beforeAutospacing="1" w:after="100" w:afterAutospacing="1"/>
              <w:jc w:val="center"/>
              <w:rPr>
                <w:rFonts w:eastAsia="Calibri" w:cs="Tahoma"/>
              </w:rPr>
            </w:pPr>
            <w:r w:rsidRPr="00D133AD">
              <w:rPr>
                <w:rFonts w:eastAsia="Calibri" w:cs="Tahoma"/>
              </w:rPr>
              <w:t>Family</w:t>
            </w:r>
          </w:p>
        </w:tc>
        <w:tc>
          <w:tcPr>
            <w:tcW w:w="0" w:type="auto"/>
            <w:vMerge w:val="restart"/>
            <w:vAlign w:val="center"/>
          </w:tcPr>
          <w:p w14:paraId="12491277" w14:textId="77777777" w:rsidR="000E6D56" w:rsidRPr="00D133AD" w:rsidRDefault="000E6D56" w:rsidP="00073971">
            <w:pPr>
              <w:pStyle w:val="EFSABodytext"/>
              <w:spacing w:before="100" w:beforeAutospacing="1" w:after="100" w:afterAutospacing="1"/>
              <w:jc w:val="center"/>
              <w:rPr>
                <w:rFonts w:eastAsia="Calibri" w:cs="Tahoma"/>
              </w:rPr>
            </w:pPr>
            <w:r w:rsidRPr="00D133AD">
              <w:rPr>
                <w:rFonts w:eastAsia="Calibri" w:cs="Tahoma"/>
              </w:rPr>
              <w:t>Model</w:t>
            </w:r>
          </w:p>
        </w:tc>
        <w:tc>
          <w:tcPr>
            <w:tcW w:w="0" w:type="auto"/>
            <w:tcBorders>
              <w:bottom w:val="single" w:sz="4" w:space="0" w:color="auto"/>
            </w:tcBorders>
          </w:tcPr>
          <w:p w14:paraId="18562059" w14:textId="77777777" w:rsidR="000E6D56" w:rsidRPr="00D133AD" w:rsidRDefault="000E6D56" w:rsidP="00073971">
            <w:pPr>
              <w:pStyle w:val="EFSABodytext"/>
              <w:spacing w:before="100" w:beforeAutospacing="1" w:after="100" w:afterAutospacing="1"/>
              <w:rPr>
                <w:rFonts w:eastAsiaTheme="minorEastAsia" w:cs="Tahoma"/>
              </w:rPr>
            </w:pPr>
            <m:oMathPara>
              <m:oMath>
                <m:r>
                  <w:rPr>
                    <w:rFonts w:ascii="Cambria Math" w:eastAsiaTheme="minorEastAsia" w:hAnsi="Cambria Math" w:cs="Tahoma"/>
                  </w:rPr>
                  <m:t>y|x ~Bernoulli</m:t>
                </m:r>
                <m:d>
                  <m:dPr>
                    <m:ctrlPr>
                      <w:rPr>
                        <w:rFonts w:ascii="Cambria Math" w:eastAsiaTheme="minorEastAsia" w:hAnsi="Cambria Math" w:cs="Tahoma"/>
                        <w:i/>
                      </w:rPr>
                    </m:ctrlPr>
                  </m:dPr>
                  <m:e>
                    <m:r>
                      <w:rPr>
                        <w:rFonts w:ascii="Cambria Math" w:eastAsiaTheme="minorEastAsia" w:hAnsi="Cambria Math" w:cs="Tahoma"/>
                      </w:rPr>
                      <m:t>π</m:t>
                    </m:r>
                    <m:d>
                      <m:dPr>
                        <m:ctrlPr>
                          <w:rPr>
                            <w:rFonts w:ascii="Cambria Math" w:eastAsiaTheme="minorEastAsia" w:hAnsi="Cambria Math" w:cs="Tahoma"/>
                            <w:i/>
                          </w:rPr>
                        </m:ctrlPr>
                      </m:dPr>
                      <m:e>
                        <m:r>
                          <w:rPr>
                            <w:rFonts w:ascii="Cambria Math" w:eastAsiaTheme="minorEastAsia" w:hAnsi="Cambria Math" w:cs="Tahoma"/>
                          </w:rPr>
                          <m:t>x</m:t>
                        </m:r>
                      </m:e>
                    </m:d>
                  </m:e>
                </m:d>
              </m:oMath>
            </m:oMathPara>
          </w:p>
        </w:tc>
      </w:tr>
      <w:tr w:rsidR="000E6D56" w:rsidRPr="00D133AD" w14:paraId="3F81C38B" w14:textId="77777777" w:rsidTr="00073971">
        <w:trPr>
          <w:trHeight w:val="504"/>
          <w:jc w:val="center"/>
        </w:trPr>
        <w:tc>
          <w:tcPr>
            <w:tcW w:w="0" w:type="auto"/>
            <w:vMerge/>
            <w:tcBorders>
              <w:bottom w:val="single" w:sz="4" w:space="0" w:color="auto"/>
            </w:tcBorders>
          </w:tcPr>
          <w:p w14:paraId="61532616" w14:textId="77777777" w:rsidR="000E6D56" w:rsidRPr="00D133AD" w:rsidRDefault="000E6D56" w:rsidP="00073971">
            <w:pPr>
              <w:pStyle w:val="EFSABodytext"/>
              <w:spacing w:before="100" w:beforeAutospacing="1" w:after="100" w:afterAutospacing="1"/>
              <w:jc w:val="center"/>
              <w:rPr>
                <w:rFonts w:eastAsia="Calibri" w:cs="Tahoma"/>
              </w:rPr>
            </w:pPr>
          </w:p>
        </w:tc>
        <w:tc>
          <w:tcPr>
            <w:tcW w:w="0" w:type="auto"/>
            <w:vMerge/>
            <w:tcBorders>
              <w:bottom w:val="single" w:sz="4" w:space="0" w:color="auto"/>
            </w:tcBorders>
          </w:tcPr>
          <w:p w14:paraId="4DE9060A" w14:textId="77777777" w:rsidR="000E6D56" w:rsidRPr="00D133AD" w:rsidRDefault="000E6D56" w:rsidP="00073971">
            <w:pPr>
              <w:pStyle w:val="EFSABodytext"/>
              <w:spacing w:before="100" w:beforeAutospacing="1" w:after="100" w:afterAutospacing="1"/>
              <w:jc w:val="center"/>
              <w:rPr>
                <w:rFonts w:eastAsia="Calibri" w:cs="Tahoma"/>
              </w:rPr>
            </w:pPr>
          </w:p>
        </w:tc>
        <w:tc>
          <w:tcPr>
            <w:tcW w:w="0" w:type="auto"/>
            <w:tcBorders>
              <w:bottom w:val="single" w:sz="4" w:space="0" w:color="auto"/>
            </w:tcBorders>
          </w:tcPr>
          <w:p w14:paraId="7F99849F" w14:textId="77777777" w:rsidR="000E6D56" w:rsidRPr="00D133AD" w:rsidRDefault="000E6D56" w:rsidP="00073971">
            <w:pPr>
              <w:pStyle w:val="EFSABodytext"/>
              <w:spacing w:before="100" w:beforeAutospacing="1" w:after="100" w:afterAutospacing="1"/>
              <w:rPr>
                <w:rFonts w:eastAsiaTheme="minorEastAsia" w:cs="Tahoma"/>
              </w:rPr>
            </w:pPr>
            <w:r w:rsidRPr="00D133AD">
              <w:rPr>
                <w:rFonts w:eastAsiaTheme="minorEastAsia" w:cs="Tahoma"/>
              </w:rPr>
              <w:t xml:space="preserve">Dose response function </w:t>
            </w:r>
            <m:oMath>
              <m:d>
                <m:dPr>
                  <m:ctrlPr>
                    <w:rPr>
                      <w:rFonts w:ascii="Cambria Math" w:eastAsiaTheme="minorEastAsia" w:hAnsi="Cambria Math" w:cs="Tahoma"/>
                      <w:i/>
                    </w:rPr>
                  </m:ctrlPr>
                </m:dPr>
                <m:e>
                  <m:r>
                    <w:rPr>
                      <w:rFonts w:ascii="Cambria Math" w:eastAsiaTheme="minorEastAsia" w:hAnsi="Cambria Math" w:cs="Tahoma"/>
                    </w:rPr>
                    <m:t>μ</m:t>
                  </m:r>
                  <m:d>
                    <m:dPr>
                      <m:ctrlPr>
                        <w:rPr>
                          <w:rFonts w:ascii="Cambria Math" w:eastAsiaTheme="minorEastAsia" w:hAnsi="Cambria Math" w:cs="Tahoma"/>
                          <w:i/>
                        </w:rPr>
                      </m:ctrlPr>
                    </m:dPr>
                    <m:e>
                      <m:r>
                        <w:rPr>
                          <w:rFonts w:ascii="Cambria Math" w:eastAsiaTheme="minorEastAsia" w:hAnsi="Cambria Math" w:cs="Tahoma"/>
                        </w:rPr>
                        <m:t>x</m:t>
                      </m:r>
                    </m:e>
                  </m:d>
                </m:e>
              </m:d>
            </m:oMath>
          </w:p>
        </w:tc>
      </w:tr>
      <w:tr w:rsidR="000E6D56" w:rsidRPr="00D133AD" w14:paraId="4C110D52" w14:textId="77777777" w:rsidTr="00073971">
        <w:trPr>
          <w:trHeight w:val="490"/>
          <w:jc w:val="center"/>
        </w:trPr>
        <w:tc>
          <w:tcPr>
            <w:tcW w:w="0" w:type="auto"/>
            <w:vMerge w:val="restart"/>
            <w:tcBorders>
              <w:top w:val="nil"/>
            </w:tcBorders>
          </w:tcPr>
          <w:p w14:paraId="70378808" w14:textId="77777777" w:rsidR="000E6D56" w:rsidRPr="00D133AD" w:rsidRDefault="000E6D56" w:rsidP="00073971">
            <w:pPr>
              <w:pStyle w:val="EFSABodytext"/>
              <w:spacing w:before="100" w:beforeAutospacing="1" w:after="100" w:afterAutospacing="1"/>
              <w:rPr>
                <w:rFonts w:eastAsia="Calibri" w:cs="Tahoma"/>
              </w:rPr>
            </w:pPr>
            <w:r w:rsidRPr="00D133AD">
              <w:rPr>
                <w:rFonts w:eastAsia="Calibri" w:cs="Tahoma"/>
              </w:rPr>
              <w:t>1a</w:t>
            </w:r>
          </w:p>
        </w:tc>
        <w:tc>
          <w:tcPr>
            <w:tcW w:w="0" w:type="auto"/>
            <w:tcBorders>
              <w:top w:val="nil"/>
              <w:bottom w:val="nil"/>
            </w:tcBorders>
            <w:vAlign w:val="center"/>
          </w:tcPr>
          <w:p w14:paraId="1D6A8143" w14:textId="77777777" w:rsidR="000E6D56" w:rsidRPr="00D133AD" w:rsidRDefault="000E6D56" w:rsidP="00073971">
            <w:pPr>
              <w:pStyle w:val="EFSABodytext"/>
              <w:spacing w:before="100" w:beforeAutospacing="1" w:after="100" w:afterAutospacing="1"/>
              <w:rPr>
                <w:rFonts w:eastAsia="Calibri" w:cs="Tahoma"/>
              </w:rPr>
            </w:pPr>
            <w:r w:rsidRPr="00D133AD">
              <w:rPr>
                <w:rFonts w:eastAsia="Calibri" w:cs="Tahoma"/>
              </w:rPr>
              <w:t>Exponential</w:t>
            </w:r>
          </w:p>
        </w:tc>
        <w:tc>
          <w:tcPr>
            <w:tcW w:w="0" w:type="auto"/>
            <w:tcBorders>
              <w:top w:val="nil"/>
              <w:bottom w:val="nil"/>
            </w:tcBorders>
            <w:vAlign w:val="center"/>
          </w:tcPr>
          <w:p w14:paraId="19ED9F9D" w14:textId="77777777" w:rsidR="000E6D56" w:rsidRPr="00D133AD" w:rsidRDefault="000E6D56" w:rsidP="00073971">
            <w:pPr>
              <w:pStyle w:val="EFSABodytext"/>
              <w:spacing w:before="100" w:beforeAutospacing="1" w:after="100" w:afterAutospacing="1"/>
              <w:rPr>
                <w:rFonts w:eastAsiaTheme="minorEastAsia" w:cs="Tahoma"/>
                <w:iCs/>
              </w:rPr>
            </w:pPr>
            <m:oMathPara>
              <m:oMath>
                <m:r>
                  <w:rPr>
                    <w:rFonts w:ascii="Cambria Math" w:eastAsiaTheme="minorEastAsia" w:hAnsi="Cambria Math" w:cs="Tahoma"/>
                  </w:rPr>
                  <m:t>a+</m:t>
                </m:r>
                <m:d>
                  <m:dPr>
                    <m:ctrlPr>
                      <w:rPr>
                        <w:rFonts w:ascii="Cambria Math" w:eastAsiaTheme="minorEastAsia" w:hAnsi="Cambria Math" w:cs="Tahoma"/>
                        <w:i/>
                      </w:rPr>
                    </m:ctrlPr>
                  </m:dPr>
                  <m:e>
                    <m:r>
                      <w:rPr>
                        <w:rFonts w:ascii="Cambria Math" w:eastAsiaTheme="minorEastAsia" w:hAnsi="Cambria Math" w:cs="Tahoma"/>
                      </w:rPr>
                      <m:t>1-a</m:t>
                    </m:r>
                  </m:e>
                </m:d>
                <m:r>
                  <w:rPr>
                    <w:rFonts w:ascii="Cambria Math" w:eastAsiaTheme="minorEastAsia" w:hAnsi="Cambria Math" w:cs="Tahoma"/>
                  </w:rPr>
                  <m:t>∙</m:t>
                </m:r>
                <m:d>
                  <m:dPr>
                    <m:ctrlPr>
                      <w:rPr>
                        <w:rFonts w:ascii="Cambria Math" w:eastAsiaTheme="minorEastAsia" w:hAnsi="Cambria Math" w:cs="Tahoma"/>
                        <w:i/>
                      </w:rPr>
                    </m:ctrlPr>
                  </m:dPr>
                  <m:e>
                    <m:r>
                      <w:rPr>
                        <w:rFonts w:ascii="Cambria Math" w:eastAsiaTheme="minorEastAsia" w:hAnsi="Cambria Math" w:cs="Tahoma"/>
                      </w:rPr>
                      <m:t>1-</m:t>
                    </m:r>
                    <m:sSup>
                      <m:sSupPr>
                        <m:ctrlPr>
                          <w:rPr>
                            <w:rFonts w:ascii="Cambria Math" w:eastAsiaTheme="minorEastAsia" w:hAnsi="Cambria Math" w:cs="Tahoma"/>
                            <w:i/>
                          </w:rPr>
                        </m:ctrlPr>
                      </m:sSupPr>
                      <m:e>
                        <m:r>
                          <w:rPr>
                            <w:rFonts w:ascii="Cambria Math" w:eastAsiaTheme="minorEastAsia" w:hAnsi="Cambria Math" w:cs="Tahoma"/>
                          </w:rPr>
                          <m:t>e</m:t>
                        </m:r>
                      </m:e>
                      <m:sup>
                        <m:r>
                          <w:rPr>
                            <w:rFonts w:ascii="Cambria Math" w:eastAsiaTheme="minorEastAsia" w:hAnsi="Cambria Math" w:cs="Tahoma"/>
                          </w:rPr>
                          <m:t>-b∙</m:t>
                        </m:r>
                        <m:sSup>
                          <m:sSupPr>
                            <m:ctrlPr>
                              <w:rPr>
                                <w:rFonts w:ascii="Cambria Math" w:eastAsiaTheme="minorEastAsia" w:hAnsi="Cambria Math" w:cs="Tahoma"/>
                                <w:i/>
                              </w:rPr>
                            </m:ctrlPr>
                          </m:sSupPr>
                          <m:e>
                            <m:r>
                              <w:rPr>
                                <w:rFonts w:ascii="Cambria Math" w:eastAsiaTheme="minorEastAsia" w:hAnsi="Cambria Math" w:cs="Tahoma"/>
                              </w:rPr>
                              <m:t>x</m:t>
                            </m:r>
                          </m:e>
                          <m:sup>
                            <m:r>
                              <w:rPr>
                                <w:rFonts w:ascii="Cambria Math" w:eastAsiaTheme="minorEastAsia" w:hAnsi="Cambria Math" w:cs="Tahoma"/>
                              </w:rPr>
                              <m:t>d</m:t>
                            </m:r>
                          </m:sup>
                        </m:sSup>
                      </m:sup>
                    </m:sSup>
                  </m:e>
                </m:d>
              </m:oMath>
            </m:oMathPara>
          </w:p>
        </w:tc>
      </w:tr>
      <w:tr w:rsidR="000E6D56" w:rsidRPr="00D133AD" w14:paraId="40A47E81" w14:textId="77777777" w:rsidTr="00073971">
        <w:trPr>
          <w:trHeight w:val="490"/>
          <w:jc w:val="center"/>
        </w:trPr>
        <w:tc>
          <w:tcPr>
            <w:tcW w:w="0" w:type="auto"/>
            <w:vMerge/>
          </w:tcPr>
          <w:p w14:paraId="4538E0F9" w14:textId="77777777" w:rsidR="000E6D56" w:rsidRPr="00D133AD" w:rsidRDefault="000E6D56" w:rsidP="00073971">
            <w:pPr>
              <w:pStyle w:val="EFSABodytext"/>
              <w:spacing w:before="100" w:beforeAutospacing="1" w:after="100" w:afterAutospacing="1"/>
              <w:rPr>
                <w:rFonts w:eastAsia="Calibri" w:cs="Tahoma"/>
                <w:iCs/>
              </w:rPr>
            </w:pPr>
          </w:p>
        </w:tc>
        <w:tc>
          <w:tcPr>
            <w:tcW w:w="0" w:type="auto"/>
            <w:tcBorders>
              <w:top w:val="nil"/>
              <w:bottom w:val="nil"/>
            </w:tcBorders>
            <w:vAlign w:val="center"/>
          </w:tcPr>
          <w:p w14:paraId="321B96A9" w14:textId="77777777" w:rsidR="000E6D56" w:rsidRPr="00D133AD" w:rsidRDefault="000E6D56" w:rsidP="00073971">
            <w:pPr>
              <w:pStyle w:val="EFSABodytext"/>
              <w:spacing w:before="100" w:beforeAutospacing="1" w:after="100" w:afterAutospacing="1"/>
              <w:rPr>
                <w:rFonts w:eastAsia="Calibri" w:cs="Tahoma"/>
                <w:iCs/>
              </w:rPr>
            </w:pPr>
            <w:r w:rsidRPr="00D133AD">
              <w:rPr>
                <w:rFonts w:eastAsia="Calibri" w:cs="Tahoma"/>
                <w:iCs/>
              </w:rPr>
              <w:t>Inverse Exponential</w:t>
            </w:r>
          </w:p>
        </w:tc>
        <w:tc>
          <w:tcPr>
            <w:tcW w:w="0" w:type="auto"/>
            <w:tcBorders>
              <w:top w:val="nil"/>
              <w:bottom w:val="nil"/>
            </w:tcBorders>
            <w:vAlign w:val="center"/>
          </w:tcPr>
          <w:p w14:paraId="676FA1F1" w14:textId="77777777" w:rsidR="000E6D56" w:rsidRPr="00D133AD" w:rsidRDefault="000E6D56" w:rsidP="00073971">
            <w:pPr>
              <w:pStyle w:val="EFSABodytext"/>
              <w:spacing w:before="100" w:beforeAutospacing="1" w:after="100" w:afterAutospacing="1"/>
              <w:rPr>
                <w:rFonts w:eastAsia="Calibri" w:cs="Tahoma"/>
                <w:iCs/>
              </w:rPr>
            </w:pPr>
            <m:oMathPara>
              <m:oMath>
                <m:r>
                  <w:rPr>
                    <w:rFonts w:ascii="Cambria Math" w:eastAsiaTheme="minorEastAsia" w:hAnsi="Cambria Math" w:cs="Tahoma"/>
                  </w:rPr>
                  <m:t>a+</m:t>
                </m:r>
                <m:d>
                  <m:dPr>
                    <m:ctrlPr>
                      <w:rPr>
                        <w:rFonts w:ascii="Cambria Math" w:eastAsiaTheme="minorEastAsia" w:hAnsi="Cambria Math" w:cs="Tahoma"/>
                        <w:i/>
                      </w:rPr>
                    </m:ctrlPr>
                  </m:dPr>
                  <m:e>
                    <m:r>
                      <w:rPr>
                        <w:rFonts w:ascii="Cambria Math" w:eastAsiaTheme="minorEastAsia" w:hAnsi="Cambria Math" w:cs="Tahoma"/>
                      </w:rPr>
                      <m:t>1-a</m:t>
                    </m:r>
                  </m:e>
                </m:d>
                <m:r>
                  <w:rPr>
                    <w:rFonts w:ascii="Cambria Math" w:eastAsiaTheme="minorEastAsia" w:hAnsi="Cambria Math" w:cs="Tahoma"/>
                  </w:rPr>
                  <m:t>∙</m:t>
                </m:r>
                <m:sSup>
                  <m:sSupPr>
                    <m:ctrlPr>
                      <w:rPr>
                        <w:rFonts w:ascii="Cambria Math" w:eastAsiaTheme="minorEastAsia" w:hAnsi="Cambria Math" w:cs="Tahoma"/>
                        <w:i/>
                      </w:rPr>
                    </m:ctrlPr>
                  </m:sSupPr>
                  <m:e>
                    <m:r>
                      <w:rPr>
                        <w:rFonts w:ascii="Cambria Math" w:eastAsiaTheme="minorEastAsia" w:hAnsi="Cambria Math" w:cs="Tahoma"/>
                      </w:rPr>
                      <m:t>e</m:t>
                    </m:r>
                  </m:e>
                  <m:sup>
                    <m:r>
                      <w:rPr>
                        <w:rFonts w:ascii="Cambria Math" w:eastAsiaTheme="minorEastAsia" w:hAnsi="Cambria Math" w:cs="Tahoma"/>
                      </w:rPr>
                      <m:t>-b∙</m:t>
                    </m:r>
                    <m:sSup>
                      <m:sSupPr>
                        <m:ctrlPr>
                          <w:rPr>
                            <w:rFonts w:ascii="Cambria Math" w:eastAsiaTheme="minorEastAsia" w:hAnsi="Cambria Math" w:cs="Tahoma"/>
                            <w:i/>
                          </w:rPr>
                        </m:ctrlPr>
                      </m:sSupPr>
                      <m:e>
                        <m:r>
                          <w:rPr>
                            <w:rFonts w:ascii="Cambria Math" w:eastAsiaTheme="minorEastAsia" w:hAnsi="Cambria Math" w:cs="Tahoma"/>
                          </w:rPr>
                          <m:t>x</m:t>
                        </m:r>
                      </m:e>
                      <m:sup>
                        <m:r>
                          <w:rPr>
                            <w:rFonts w:ascii="Cambria Math" w:eastAsiaTheme="minorEastAsia" w:hAnsi="Cambria Math" w:cs="Tahoma"/>
                          </w:rPr>
                          <m:t>-d</m:t>
                        </m:r>
                      </m:sup>
                    </m:sSup>
                  </m:sup>
                </m:sSup>
              </m:oMath>
            </m:oMathPara>
          </w:p>
        </w:tc>
      </w:tr>
      <w:tr w:rsidR="000E6D56" w:rsidRPr="00D133AD" w14:paraId="2EBD2EC5" w14:textId="77777777" w:rsidTr="00073971">
        <w:trPr>
          <w:trHeight w:val="490"/>
          <w:jc w:val="center"/>
        </w:trPr>
        <w:tc>
          <w:tcPr>
            <w:tcW w:w="0" w:type="auto"/>
            <w:vMerge/>
          </w:tcPr>
          <w:p w14:paraId="0196008C" w14:textId="77777777" w:rsidR="000E6D56" w:rsidRPr="00D133AD" w:rsidRDefault="000E6D56" w:rsidP="00073971">
            <w:pPr>
              <w:pStyle w:val="EFSABodytext"/>
              <w:spacing w:before="100" w:beforeAutospacing="1" w:after="100" w:afterAutospacing="1"/>
              <w:rPr>
                <w:rFonts w:eastAsia="Calibri" w:cs="Tahoma"/>
                <w:iCs/>
              </w:rPr>
            </w:pPr>
          </w:p>
        </w:tc>
        <w:tc>
          <w:tcPr>
            <w:tcW w:w="0" w:type="auto"/>
            <w:tcBorders>
              <w:top w:val="nil"/>
              <w:bottom w:val="nil"/>
            </w:tcBorders>
            <w:vAlign w:val="center"/>
          </w:tcPr>
          <w:p w14:paraId="729F9AA0" w14:textId="77777777" w:rsidR="000E6D56" w:rsidRPr="00D133AD" w:rsidRDefault="000E6D56" w:rsidP="00073971">
            <w:pPr>
              <w:pStyle w:val="EFSABodytext"/>
              <w:spacing w:before="100" w:beforeAutospacing="1" w:after="100" w:afterAutospacing="1"/>
              <w:rPr>
                <w:rFonts w:eastAsia="Calibri" w:cs="Tahoma"/>
                <w:iCs/>
              </w:rPr>
            </w:pPr>
            <w:r w:rsidRPr="00D133AD">
              <w:rPr>
                <w:rFonts w:eastAsia="Calibri" w:cs="Tahoma"/>
                <w:iCs/>
              </w:rPr>
              <w:t>Hill</w:t>
            </w:r>
          </w:p>
        </w:tc>
        <w:tc>
          <w:tcPr>
            <w:tcW w:w="0" w:type="auto"/>
            <w:tcBorders>
              <w:top w:val="nil"/>
              <w:bottom w:val="nil"/>
            </w:tcBorders>
            <w:vAlign w:val="center"/>
          </w:tcPr>
          <w:p w14:paraId="6FFBECED" w14:textId="77777777" w:rsidR="000E6D56" w:rsidRPr="00D133AD" w:rsidRDefault="000E6D56" w:rsidP="00073971">
            <w:pPr>
              <w:pStyle w:val="EFSABodytext"/>
              <w:spacing w:before="100" w:beforeAutospacing="1" w:after="100" w:afterAutospacing="1"/>
              <w:rPr>
                <w:rFonts w:eastAsia="Calibri" w:cs="Tahoma"/>
                <w:iCs/>
              </w:rPr>
            </w:pPr>
            <m:oMathPara>
              <m:oMath>
                <m:r>
                  <w:rPr>
                    <w:rFonts w:ascii="Cambria Math" w:eastAsiaTheme="minorEastAsia" w:hAnsi="Cambria Math" w:cs="Tahoma"/>
                  </w:rPr>
                  <m:t>a+</m:t>
                </m:r>
                <m:d>
                  <m:dPr>
                    <m:ctrlPr>
                      <w:rPr>
                        <w:rFonts w:ascii="Cambria Math" w:eastAsiaTheme="minorEastAsia" w:hAnsi="Cambria Math" w:cs="Tahoma"/>
                        <w:i/>
                      </w:rPr>
                    </m:ctrlPr>
                  </m:dPr>
                  <m:e>
                    <m:r>
                      <w:rPr>
                        <w:rFonts w:ascii="Cambria Math" w:eastAsiaTheme="minorEastAsia" w:hAnsi="Cambria Math" w:cs="Tahoma"/>
                      </w:rPr>
                      <m:t>1-a</m:t>
                    </m:r>
                  </m:e>
                </m:d>
                <m:r>
                  <w:rPr>
                    <w:rFonts w:ascii="Cambria Math" w:eastAsiaTheme="minorEastAsia" w:hAnsi="Cambria Math" w:cs="Tahoma"/>
                  </w:rPr>
                  <m:t>∙</m:t>
                </m:r>
                <m:d>
                  <m:dPr>
                    <m:ctrlPr>
                      <w:rPr>
                        <w:rFonts w:ascii="Cambria Math" w:eastAsiaTheme="minorEastAsia" w:hAnsi="Cambria Math" w:cs="Tahoma"/>
                        <w:i/>
                      </w:rPr>
                    </m:ctrlPr>
                  </m:dPr>
                  <m:e>
                    <m:r>
                      <w:rPr>
                        <w:rFonts w:ascii="Cambria Math" w:eastAsiaTheme="minorEastAsia" w:hAnsi="Cambria Math" w:cs="Tahoma"/>
                      </w:rPr>
                      <m:t>1-</m:t>
                    </m:r>
                    <m:f>
                      <m:fPr>
                        <m:ctrlPr>
                          <w:rPr>
                            <w:rFonts w:ascii="Cambria Math" w:eastAsiaTheme="minorEastAsia" w:hAnsi="Cambria Math" w:cs="Tahoma"/>
                            <w:i/>
                          </w:rPr>
                        </m:ctrlPr>
                      </m:fPr>
                      <m:num>
                        <m:r>
                          <w:rPr>
                            <w:rFonts w:ascii="Cambria Math" w:eastAsiaTheme="minorEastAsia" w:hAnsi="Cambria Math" w:cs="Tahoma"/>
                          </w:rPr>
                          <m:t>b</m:t>
                        </m:r>
                      </m:num>
                      <m:den>
                        <m:r>
                          <w:rPr>
                            <w:rFonts w:ascii="Cambria Math" w:eastAsiaTheme="minorEastAsia" w:hAnsi="Cambria Math" w:cs="Tahoma"/>
                          </w:rPr>
                          <m:t>b+</m:t>
                        </m:r>
                        <m:sSup>
                          <m:sSupPr>
                            <m:ctrlPr>
                              <w:rPr>
                                <w:rFonts w:ascii="Cambria Math" w:eastAsiaTheme="minorEastAsia" w:hAnsi="Cambria Math" w:cs="Tahoma"/>
                                <w:i/>
                              </w:rPr>
                            </m:ctrlPr>
                          </m:sSupPr>
                          <m:e>
                            <m:r>
                              <w:rPr>
                                <w:rFonts w:ascii="Cambria Math" w:eastAsiaTheme="minorEastAsia" w:hAnsi="Cambria Math" w:cs="Tahoma"/>
                              </w:rPr>
                              <m:t>x</m:t>
                            </m:r>
                          </m:e>
                          <m:sup>
                            <m:r>
                              <w:rPr>
                                <w:rFonts w:ascii="Cambria Math" w:eastAsiaTheme="minorEastAsia" w:hAnsi="Cambria Math" w:cs="Tahoma"/>
                              </w:rPr>
                              <m:t>d</m:t>
                            </m:r>
                          </m:sup>
                        </m:sSup>
                      </m:den>
                    </m:f>
                  </m:e>
                </m:d>
              </m:oMath>
            </m:oMathPara>
          </w:p>
        </w:tc>
      </w:tr>
      <w:tr w:rsidR="000E6D56" w:rsidRPr="00D133AD" w14:paraId="4A1C3C7E" w14:textId="77777777" w:rsidTr="00073971">
        <w:trPr>
          <w:trHeight w:val="490"/>
          <w:jc w:val="center"/>
        </w:trPr>
        <w:tc>
          <w:tcPr>
            <w:tcW w:w="0" w:type="auto"/>
            <w:vMerge/>
            <w:tcBorders>
              <w:bottom w:val="single" w:sz="4" w:space="0" w:color="auto"/>
            </w:tcBorders>
          </w:tcPr>
          <w:p w14:paraId="2AB7F9FC" w14:textId="77777777" w:rsidR="000E6D56" w:rsidRPr="00D133AD" w:rsidRDefault="000E6D56" w:rsidP="00073971">
            <w:pPr>
              <w:pStyle w:val="EFSABodytext"/>
              <w:spacing w:before="100" w:beforeAutospacing="1" w:after="100" w:afterAutospacing="1"/>
              <w:rPr>
                <w:rFonts w:eastAsia="Calibri" w:cs="Tahoma"/>
                <w:iCs/>
              </w:rPr>
            </w:pPr>
          </w:p>
        </w:tc>
        <w:tc>
          <w:tcPr>
            <w:tcW w:w="0" w:type="auto"/>
            <w:tcBorders>
              <w:top w:val="nil"/>
              <w:bottom w:val="single" w:sz="4" w:space="0" w:color="auto"/>
            </w:tcBorders>
            <w:vAlign w:val="center"/>
          </w:tcPr>
          <w:p w14:paraId="6EFDF7C9" w14:textId="77777777" w:rsidR="000E6D56" w:rsidRPr="00D133AD" w:rsidRDefault="000E6D56" w:rsidP="00073971">
            <w:pPr>
              <w:pStyle w:val="EFSABodytext"/>
              <w:spacing w:before="100" w:beforeAutospacing="1" w:after="100" w:afterAutospacing="1"/>
              <w:rPr>
                <w:rFonts w:eastAsia="Calibri" w:cs="Tahoma"/>
                <w:iCs/>
              </w:rPr>
            </w:pPr>
            <w:r w:rsidRPr="00D133AD">
              <w:rPr>
                <w:rFonts w:eastAsia="Calibri" w:cs="Tahoma"/>
                <w:iCs/>
              </w:rPr>
              <w:t>Log-Normal</w:t>
            </w:r>
          </w:p>
        </w:tc>
        <w:tc>
          <w:tcPr>
            <w:tcW w:w="0" w:type="auto"/>
            <w:tcBorders>
              <w:top w:val="nil"/>
              <w:bottom w:val="single" w:sz="4" w:space="0" w:color="auto"/>
            </w:tcBorders>
            <w:vAlign w:val="center"/>
          </w:tcPr>
          <w:p w14:paraId="2017BF8D" w14:textId="77777777" w:rsidR="000E6D56" w:rsidRPr="00D133AD" w:rsidRDefault="000E6D56" w:rsidP="00073971">
            <w:pPr>
              <w:pStyle w:val="EFSABodytext"/>
              <w:spacing w:before="100" w:beforeAutospacing="1" w:after="100" w:afterAutospacing="1"/>
              <w:rPr>
                <w:rFonts w:eastAsia="Calibri" w:cs="Tahoma"/>
                <w:iCs/>
              </w:rPr>
            </w:pPr>
            <m:oMathPara>
              <m:oMath>
                <m:r>
                  <w:rPr>
                    <w:rFonts w:ascii="Cambria Math" w:eastAsiaTheme="minorEastAsia" w:hAnsi="Cambria Math" w:cs="Tahoma"/>
                  </w:rPr>
                  <m:t>a+</m:t>
                </m:r>
                <m:d>
                  <m:dPr>
                    <m:ctrlPr>
                      <w:rPr>
                        <w:rFonts w:ascii="Cambria Math" w:eastAsiaTheme="minorEastAsia" w:hAnsi="Cambria Math" w:cs="Tahoma"/>
                        <w:i/>
                      </w:rPr>
                    </m:ctrlPr>
                  </m:dPr>
                  <m:e>
                    <m:r>
                      <w:rPr>
                        <w:rFonts w:ascii="Cambria Math" w:eastAsiaTheme="minorEastAsia" w:hAnsi="Cambria Math" w:cs="Tahoma"/>
                      </w:rPr>
                      <m:t>1-a</m:t>
                    </m:r>
                  </m:e>
                </m:d>
                <m:r>
                  <w:rPr>
                    <w:rFonts w:ascii="Cambria Math" w:eastAsiaTheme="minorEastAsia" w:hAnsi="Cambria Math" w:cs="Tahoma"/>
                  </w:rPr>
                  <m:t>∙</m:t>
                </m:r>
                <m:r>
                  <m:rPr>
                    <m:sty m:val="p"/>
                  </m:rPr>
                  <w:rPr>
                    <w:rFonts w:ascii="Cambria Math" w:eastAsiaTheme="minorEastAsia" w:hAnsi="Cambria Math" w:cs="Tahoma"/>
                  </w:rPr>
                  <m:t>Φ</m:t>
                </m:r>
                <m:d>
                  <m:dPr>
                    <m:ctrlPr>
                      <w:rPr>
                        <w:rFonts w:ascii="Cambria Math" w:eastAsiaTheme="minorEastAsia" w:hAnsi="Cambria Math" w:cs="Tahoma"/>
                        <w:i/>
                      </w:rPr>
                    </m:ctrlPr>
                  </m:dPr>
                  <m:e>
                    <m:r>
                      <w:rPr>
                        <w:rFonts w:ascii="Cambria Math" w:eastAsiaTheme="minorEastAsia" w:hAnsi="Cambria Math" w:cs="Tahoma"/>
                      </w:rPr>
                      <m:t>log</m:t>
                    </m:r>
                    <m:d>
                      <m:dPr>
                        <m:ctrlPr>
                          <w:rPr>
                            <w:rFonts w:ascii="Cambria Math" w:eastAsiaTheme="minorEastAsia" w:hAnsi="Cambria Math" w:cs="Tahoma"/>
                            <w:i/>
                          </w:rPr>
                        </m:ctrlPr>
                      </m:dPr>
                      <m:e>
                        <m:r>
                          <w:rPr>
                            <w:rFonts w:ascii="Cambria Math" w:eastAsiaTheme="minorEastAsia" w:hAnsi="Cambria Math" w:cs="Tahoma"/>
                          </w:rPr>
                          <m:t>b</m:t>
                        </m:r>
                      </m:e>
                    </m:d>
                    <m:r>
                      <w:rPr>
                        <w:rFonts w:ascii="Cambria Math" w:eastAsiaTheme="minorEastAsia" w:hAnsi="Cambria Math" w:cs="Tahoma"/>
                      </w:rPr>
                      <m:t>+d∙log</m:t>
                    </m:r>
                    <m:d>
                      <m:dPr>
                        <m:ctrlPr>
                          <w:rPr>
                            <w:rFonts w:ascii="Cambria Math" w:eastAsiaTheme="minorEastAsia" w:hAnsi="Cambria Math" w:cs="Tahoma"/>
                            <w:i/>
                          </w:rPr>
                        </m:ctrlPr>
                      </m:dPr>
                      <m:e>
                        <m:r>
                          <w:rPr>
                            <w:rFonts w:ascii="Cambria Math" w:eastAsiaTheme="minorEastAsia" w:hAnsi="Cambria Math" w:cs="Tahoma"/>
                          </w:rPr>
                          <m:t>x</m:t>
                        </m:r>
                      </m:e>
                    </m:d>
                  </m:e>
                </m:d>
              </m:oMath>
            </m:oMathPara>
          </w:p>
        </w:tc>
      </w:tr>
      <w:tr w:rsidR="000E6D56" w:rsidRPr="00D133AD" w14:paraId="3BDCA473" w14:textId="77777777" w:rsidTr="00073971">
        <w:trPr>
          <w:trHeight w:val="490"/>
          <w:jc w:val="center"/>
        </w:trPr>
        <w:tc>
          <w:tcPr>
            <w:tcW w:w="0" w:type="auto"/>
            <w:vMerge w:val="restart"/>
            <w:tcBorders>
              <w:top w:val="single" w:sz="4" w:space="0" w:color="auto"/>
            </w:tcBorders>
          </w:tcPr>
          <w:p w14:paraId="3849976C" w14:textId="77777777" w:rsidR="000E6D56" w:rsidRPr="00D133AD" w:rsidRDefault="000E6D56" w:rsidP="00073971">
            <w:pPr>
              <w:pStyle w:val="EFSABodytext"/>
              <w:spacing w:before="100" w:beforeAutospacing="1" w:after="100" w:afterAutospacing="1"/>
              <w:rPr>
                <w:rFonts w:eastAsia="Calibri" w:cs="Tahoma"/>
                <w:iCs/>
              </w:rPr>
            </w:pPr>
            <w:r w:rsidRPr="00D133AD">
              <w:rPr>
                <w:rFonts w:eastAsia="Calibri" w:cs="Tahoma"/>
                <w:iCs/>
              </w:rPr>
              <w:t>1b</w:t>
            </w:r>
          </w:p>
        </w:tc>
        <w:tc>
          <w:tcPr>
            <w:tcW w:w="0" w:type="auto"/>
            <w:tcBorders>
              <w:top w:val="single" w:sz="4" w:space="0" w:color="auto"/>
              <w:bottom w:val="nil"/>
            </w:tcBorders>
            <w:vAlign w:val="center"/>
          </w:tcPr>
          <w:p w14:paraId="7A42E86A" w14:textId="77777777" w:rsidR="000E6D56" w:rsidRPr="00D133AD" w:rsidRDefault="000E6D56" w:rsidP="00073971">
            <w:pPr>
              <w:pStyle w:val="EFSABodytext"/>
              <w:spacing w:before="100" w:beforeAutospacing="1" w:after="100" w:afterAutospacing="1"/>
              <w:rPr>
                <w:rFonts w:eastAsia="Calibri" w:cs="Tahoma"/>
                <w:iCs/>
              </w:rPr>
            </w:pPr>
            <w:r w:rsidRPr="00D133AD">
              <w:rPr>
                <w:rFonts w:eastAsia="Calibri" w:cs="Tahoma"/>
                <w:iCs/>
              </w:rPr>
              <w:t>Gamma</w:t>
            </w:r>
          </w:p>
        </w:tc>
        <w:tc>
          <w:tcPr>
            <w:tcW w:w="0" w:type="auto"/>
            <w:tcBorders>
              <w:top w:val="single" w:sz="4" w:space="0" w:color="auto"/>
              <w:bottom w:val="nil"/>
            </w:tcBorders>
            <w:vAlign w:val="center"/>
          </w:tcPr>
          <w:p w14:paraId="73DB3712" w14:textId="77777777" w:rsidR="000E6D56" w:rsidRPr="00D133AD" w:rsidRDefault="000E6D56" w:rsidP="00073971">
            <w:pPr>
              <w:pStyle w:val="EFSABodytext"/>
              <w:spacing w:before="100" w:beforeAutospacing="1" w:after="100" w:afterAutospacing="1"/>
              <w:rPr>
                <w:rFonts w:eastAsia="Calibri" w:cs="Tahoma"/>
                <w:iCs/>
              </w:rPr>
            </w:pPr>
            <m:oMathPara>
              <m:oMath>
                <m:r>
                  <w:rPr>
                    <w:rFonts w:ascii="Cambria Math" w:eastAsiaTheme="minorEastAsia" w:hAnsi="Cambria Math" w:cs="Tahoma"/>
                  </w:rPr>
                  <m:t>a+</m:t>
                </m:r>
                <m:d>
                  <m:dPr>
                    <m:ctrlPr>
                      <w:rPr>
                        <w:rFonts w:ascii="Cambria Math" w:eastAsiaTheme="minorEastAsia" w:hAnsi="Cambria Math" w:cs="Tahoma"/>
                        <w:i/>
                      </w:rPr>
                    </m:ctrlPr>
                  </m:dPr>
                  <m:e>
                    <m:r>
                      <w:rPr>
                        <w:rFonts w:ascii="Cambria Math" w:eastAsiaTheme="minorEastAsia" w:hAnsi="Cambria Math" w:cs="Tahoma"/>
                      </w:rPr>
                      <m:t>1-a</m:t>
                    </m:r>
                  </m:e>
                </m:d>
                <m:r>
                  <w:rPr>
                    <w:rFonts w:ascii="Cambria Math" w:eastAsiaTheme="minorEastAsia" w:hAnsi="Cambria Math" w:cs="Tahoma"/>
                  </w:rPr>
                  <m:t>∙</m:t>
                </m:r>
                <m:f>
                  <m:fPr>
                    <m:ctrlPr>
                      <w:rPr>
                        <w:rFonts w:ascii="Cambria Math" w:eastAsiaTheme="minorEastAsia" w:hAnsi="Cambria Math" w:cs="Tahoma"/>
                        <w:i/>
                      </w:rPr>
                    </m:ctrlPr>
                  </m:fPr>
                  <m:num>
                    <m:r>
                      <w:rPr>
                        <w:rFonts w:ascii="Cambria Math" w:eastAsiaTheme="minorEastAsia" w:hAnsi="Cambria Math" w:cs="Tahoma"/>
                      </w:rPr>
                      <m:t>γ</m:t>
                    </m:r>
                    <m:d>
                      <m:dPr>
                        <m:ctrlPr>
                          <w:rPr>
                            <w:rFonts w:ascii="Cambria Math" w:eastAsiaTheme="minorEastAsia" w:hAnsi="Cambria Math" w:cs="Tahoma"/>
                            <w:i/>
                          </w:rPr>
                        </m:ctrlPr>
                      </m:dPr>
                      <m:e>
                        <m:r>
                          <w:rPr>
                            <w:rFonts w:ascii="Cambria Math" w:eastAsiaTheme="minorEastAsia" w:hAnsi="Cambria Math" w:cs="Tahoma"/>
                          </w:rPr>
                          <m:t>d, b∙x</m:t>
                        </m:r>
                      </m:e>
                    </m:d>
                  </m:num>
                  <m:den>
                    <m:r>
                      <m:rPr>
                        <m:sty m:val="p"/>
                      </m:rPr>
                      <w:rPr>
                        <w:rFonts w:ascii="Cambria Math" w:eastAsiaTheme="minorEastAsia" w:hAnsi="Cambria Math" w:cs="Tahoma"/>
                      </w:rPr>
                      <m:t>Γ</m:t>
                    </m:r>
                    <m:d>
                      <m:dPr>
                        <m:ctrlPr>
                          <w:rPr>
                            <w:rFonts w:ascii="Cambria Math" w:eastAsiaTheme="minorEastAsia" w:hAnsi="Cambria Math" w:cs="Tahoma"/>
                            <w:i/>
                          </w:rPr>
                        </m:ctrlPr>
                      </m:dPr>
                      <m:e>
                        <m:r>
                          <w:rPr>
                            <w:rFonts w:ascii="Cambria Math" w:eastAsiaTheme="minorEastAsia" w:hAnsi="Cambria Math" w:cs="Tahoma"/>
                          </w:rPr>
                          <m:t>d</m:t>
                        </m:r>
                      </m:e>
                    </m:d>
                  </m:den>
                </m:f>
              </m:oMath>
            </m:oMathPara>
          </w:p>
        </w:tc>
      </w:tr>
      <w:tr w:rsidR="000E6D56" w:rsidRPr="00D133AD" w14:paraId="7D899742" w14:textId="77777777" w:rsidTr="00073971">
        <w:trPr>
          <w:trHeight w:val="490"/>
          <w:jc w:val="center"/>
        </w:trPr>
        <w:tc>
          <w:tcPr>
            <w:tcW w:w="0" w:type="auto"/>
            <w:vMerge/>
            <w:tcBorders>
              <w:bottom w:val="single" w:sz="4" w:space="0" w:color="auto"/>
            </w:tcBorders>
          </w:tcPr>
          <w:p w14:paraId="1A9DB3CF" w14:textId="77777777" w:rsidR="000E6D56" w:rsidRPr="00D133AD" w:rsidRDefault="000E6D56" w:rsidP="00073971">
            <w:pPr>
              <w:pStyle w:val="EFSABodytext"/>
              <w:spacing w:before="100" w:beforeAutospacing="1" w:after="100" w:afterAutospacing="1"/>
              <w:rPr>
                <w:rFonts w:eastAsia="Calibri" w:cs="Tahoma"/>
                <w:iCs/>
              </w:rPr>
            </w:pPr>
          </w:p>
        </w:tc>
        <w:tc>
          <w:tcPr>
            <w:tcW w:w="0" w:type="auto"/>
            <w:tcBorders>
              <w:top w:val="nil"/>
              <w:bottom w:val="single" w:sz="4" w:space="0" w:color="auto"/>
            </w:tcBorders>
            <w:vAlign w:val="center"/>
          </w:tcPr>
          <w:p w14:paraId="2F07D27C" w14:textId="77777777" w:rsidR="000E6D56" w:rsidRPr="00D133AD" w:rsidRDefault="000E6D56" w:rsidP="00073971">
            <w:pPr>
              <w:pStyle w:val="EFSABodytext"/>
              <w:spacing w:before="100" w:beforeAutospacing="1" w:after="100" w:afterAutospacing="1"/>
              <w:rPr>
                <w:rFonts w:eastAsia="Calibri" w:cs="Tahoma"/>
                <w:iCs/>
              </w:rPr>
            </w:pPr>
            <w:r w:rsidRPr="00D133AD">
              <w:rPr>
                <w:rFonts w:eastAsia="Calibri" w:cs="Tahoma"/>
                <w:iCs/>
              </w:rPr>
              <w:t>LMS-two stage</w:t>
            </w:r>
          </w:p>
        </w:tc>
        <w:tc>
          <w:tcPr>
            <w:tcW w:w="0" w:type="auto"/>
            <w:tcBorders>
              <w:top w:val="nil"/>
              <w:bottom w:val="single" w:sz="4" w:space="0" w:color="auto"/>
            </w:tcBorders>
            <w:vAlign w:val="center"/>
          </w:tcPr>
          <w:p w14:paraId="5A22A10F" w14:textId="77777777" w:rsidR="000E6D56" w:rsidRPr="00D133AD" w:rsidRDefault="000E6D56" w:rsidP="00073971">
            <w:pPr>
              <w:pStyle w:val="EFSABodytext"/>
              <w:spacing w:before="100" w:beforeAutospacing="1" w:after="100" w:afterAutospacing="1"/>
              <w:rPr>
                <w:rFonts w:eastAsia="Calibri" w:cs="Tahoma"/>
                <w:iCs/>
              </w:rPr>
            </w:pPr>
            <m:oMathPara>
              <m:oMath>
                <m:r>
                  <w:rPr>
                    <w:rFonts w:ascii="Cambria Math" w:eastAsiaTheme="minorEastAsia" w:hAnsi="Cambria Math" w:cs="Tahoma"/>
                  </w:rPr>
                  <m:t>a+</m:t>
                </m:r>
                <m:d>
                  <m:dPr>
                    <m:ctrlPr>
                      <w:rPr>
                        <w:rFonts w:ascii="Cambria Math" w:eastAsiaTheme="minorEastAsia" w:hAnsi="Cambria Math" w:cs="Tahoma"/>
                        <w:i/>
                      </w:rPr>
                    </m:ctrlPr>
                  </m:dPr>
                  <m:e>
                    <m:r>
                      <w:rPr>
                        <w:rFonts w:ascii="Cambria Math" w:eastAsiaTheme="minorEastAsia" w:hAnsi="Cambria Math" w:cs="Tahoma"/>
                      </w:rPr>
                      <m:t>1-a</m:t>
                    </m:r>
                  </m:e>
                </m:d>
                <m:r>
                  <w:rPr>
                    <w:rFonts w:ascii="Cambria Math" w:eastAsiaTheme="minorEastAsia" w:hAnsi="Cambria Math" w:cs="Tahoma"/>
                  </w:rPr>
                  <m:t>∙</m:t>
                </m:r>
                <m:d>
                  <m:dPr>
                    <m:ctrlPr>
                      <w:rPr>
                        <w:rFonts w:ascii="Cambria Math" w:eastAsiaTheme="minorEastAsia" w:hAnsi="Cambria Math" w:cs="Tahoma"/>
                        <w:i/>
                      </w:rPr>
                    </m:ctrlPr>
                  </m:dPr>
                  <m:e>
                    <m:r>
                      <w:rPr>
                        <w:rFonts w:ascii="Cambria Math" w:eastAsiaTheme="minorEastAsia" w:hAnsi="Cambria Math" w:cs="Tahoma"/>
                      </w:rPr>
                      <m:t>1-</m:t>
                    </m:r>
                    <m:sSup>
                      <m:sSupPr>
                        <m:ctrlPr>
                          <w:rPr>
                            <w:rFonts w:ascii="Cambria Math" w:eastAsiaTheme="minorEastAsia" w:hAnsi="Cambria Math" w:cs="Tahoma"/>
                            <w:i/>
                          </w:rPr>
                        </m:ctrlPr>
                      </m:sSupPr>
                      <m:e>
                        <m:r>
                          <w:rPr>
                            <w:rFonts w:ascii="Cambria Math" w:eastAsiaTheme="minorEastAsia" w:hAnsi="Cambria Math" w:cs="Tahoma"/>
                          </w:rPr>
                          <m:t>e</m:t>
                        </m:r>
                      </m:e>
                      <m:sup>
                        <m:r>
                          <w:rPr>
                            <w:rFonts w:ascii="Cambria Math" w:eastAsiaTheme="minorEastAsia" w:hAnsi="Cambria Math" w:cs="Tahoma"/>
                          </w:rPr>
                          <m:t>-b∙</m:t>
                        </m:r>
                        <m:sSup>
                          <m:sSupPr>
                            <m:ctrlPr>
                              <w:rPr>
                                <w:rFonts w:ascii="Cambria Math" w:eastAsiaTheme="minorEastAsia" w:hAnsi="Cambria Math" w:cs="Tahoma"/>
                                <w:i/>
                              </w:rPr>
                            </m:ctrlPr>
                          </m:sSupPr>
                          <m:e>
                            <m:r>
                              <w:rPr>
                                <w:rFonts w:ascii="Cambria Math" w:eastAsiaTheme="minorEastAsia" w:hAnsi="Cambria Math" w:cs="Tahoma"/>
                              </w:rPr>
                              <m:t>x-d∙x</m:t>
                            </m:r>
                          </m:e>
                          <m:sup>
                            <m:r>
                              <w:rPr>
                                <w:rFonts w:ascii="Cambria Math" w:eastAsiaTheme="minorEastAsia" w:hAnsi="Cambria Math" w:cs="Tahoma"/>
                              </w:rPr>
                              <m:t>2</m:t>
                            </m:r>
                          </m:sup>
                        </m:sSup>
                      </m:sup>
                    </m:sSup>
                  </m:e>
                </m:d>
              </m:oMath>
            </m:oMathPara>
          </w:p>
        </w:tc>
      </w:tr>
      <w:tr w:rsidR="000E6D56" w:rsidRPr="00D133AD" w14:paraId="1BD120CD" w14:textId="77777777" w:rsidTr="00073971">
        <w:trPr>
          <w:trHeight w:val="490"/>
          <w:jc w:val="center"/>
        </w:trPr>
        <w:tc>
          <w:tcPr>
            <w:tcW w:w="0" w:type="auto"/>
            <w:vMerge w:val="restart"/>
            <w:tcBorders>
              <w:top w:val="single" w:sz="4" w:space="0" w:color="auto"/>
            </w:tcBorders>
          </w:tcPr>
          <w:p w14:paraId="227CC4E0" w14:textId="77777777" w:rsidR="000E6D56" w:rsidRPr="00D133AD" w:rsidRDefault="000E6D56" w:rsidP="00073971">
            <w:pPr>
              <w:pStyle w:val="EFSABodytext"/>
              <w:spacing w:before="100" w:beforeAutospacing="1" w:after="100" w:afterAutospacing="1"/>
              <w:rPr>
                <w:rFonts w:eastAsia="Calibri" w:cs="Tahoma"/>
                <w:iCs/>
              </w:rPr>
            </w:pPr>
            <w:r w:rsidRPr="00D133AD">
              <w:rPr>
                <w:rFonts w:eastAsia="Calibri" w:cs="Tahoma"/>
                <w:iCs/>
              </w:rPr>
              <w:t>2</w:t>
            </w:r>
          </w:p>
        </w:tc>
        <w:tc>
          <w:tcPr>
            <w:tcW w:w="0" w:type="auto"/>
            <w:tcBorders>
              <w:top w:val="single" w:sz="4" w:space="0" w:color="auto"/>
              <w:bottom w:val="nil"/>
            </w:tcBorders>
            <w:vAlign w:val="center"/>
          </w:tcPr>
          <w:p w14:paraId="27998FA1" w14:textId="77777777" w:rsidR="000E6D56" w:rsidRPr="00D133AD" w:rsidRDefault="000E6D56" w:rsidP="00073971">
            <w:pPr>
              <w:pStyle w:val="EFSABodytext"/>
              <w:spacing w:before="100" w:beforeAutospacing="1" w:after="100" w:afterAutospacing="1"/>
              <w:rPr>
                <w:rFonts w:eastAsia="Calibri" w:cs="Tahoma"/>
                <w:iCs/>
              </w:rPr>
            </w:pPr>
            <w:proofErr w:type="spellStart"/>
            <w:r w:rsidRPr="00D133AD">
              <w:rPr>
                <w:rFonts w:eastAsia="Calibri" w:cs="Tahoma"/>
                <w:iCs/>
              </w:rPr>
              <w:t>Probit</w:t>
            </w:r>
            <w:proofErr w:type="spellEnd"/>
            <w:r w:rsidRPr="00D133AD">
              <w:rPr>
                <w:rFonts w:eastAsia="Calibri" w:cs="Tahoma"/>
                <w:iCs/>
              </w:rPr>
              <w:t xml:space="preserve"> increasing</w:t>
            </w:r>
          </w:p>
        </w:tc>
        <w:tc>
          <w:tcPr>
            <w:tcW w:w="0" w:type="auto"/>
            <w:tcBorders>
              <w:top w:val="single" w:sz="4" w:space="0" w:color="auto"/>
              <w:bottom w:val="nil"/>
            </w:tcBorders>
            <w:vAlign w:val="center"/>
          </w:tcPr>
          <w:p w14:paraId="4927ED8D" w14:textId="77777777" w:rsidR="000E6D56" w:rsidRPr="00D133AD" w:rsidRDefault="000E6D56" w:rsidP="00073971">
            <w:pPr>
              <w:pStyle w:val="EFSABodytext"/>
              <w:spacing w:before="100" w:beforeAutospacing="1" w:after="100" w:afterAutospacing="1"/>
              <w:rPr>
                <w:rFonts w:eastAsia="Calibri" w:cs="Tahoma"/>
                <w:iCs/>
              </w:rPr>
            </w:pPr>
            <m:oMathPara>
              <m:oMath>
                <m:r>
                  <m:rPr>
                    <m:sty m:val="p"/>
                  </m:rPr>
                  <w:rPr>
                    <w:rFonts w:ascii="Cambria Math" w:eastAsiaTheme="minorEastAsia" w:hAnsi="Cambria Math" w:cs="Tahoma"/>
                  </w:rPr>
                  <m:t>Φ</m:t>
                </m:r>
                <m:d>
                  <m:dPr>
                    <m:ctrlPr>
                      <w:rPr>
                        <w:rFonts w:ascii="Cambria Math" w:eastAsiaTheme="minorEastAsia" w:hAnsi="Cambria Math" w:cs="Tahoma"/>
                        <w:i/>
                      </w:rPr>
                    </m:ctrlPr>
                  </m:dPr>
                  <m:e>
                    <m:r>
                      <w:rPr>
                        <w:rFonts w:ascii="Cambria Math" w:eastAsiaTheme="minorEastAsia" w:hAnsi="Cambria Math" w:cs="Tahoma"/>
                      </w:rPr>
                      <m:t>a+b∙</m:t>
                    </m:r>
                    <m:sSup>
                      <m:sSupPr>
                        <m:ctrlPr>
                          <w:rPr>
                            <w:rFonts w:ascii="Cambria Math" w:eastAsiaTheme="minorEastAsia" w:hAnsi="Cambria Math" w:cs="Tahoma"/>
                            <w:i/>
                          </w:rPr>
                        </m:ctrlPr>
                      </m:sSupPr>
                      <m:e>
                        <m:r>
                          <w:rPr>
                            <w:rFonts w:ascii="Cambria Math" w:eastAsiaTheme="minorEastAsia" w:hAnsi="Cambria Math" w:cs="Tahoma"/>
                          </w:rPr>
                          <m:t>x</m:t>
                        </m:r>
                      </m:e>
                      <m:sup>
                        <m:r>
                          <w:rPr>
                            <w:rFonts w:ascii="Cambria Math" w:eastAsiaTheme="minorEastAsia" w:hAnsi="Cambria Math" w:cs="Tahoma"/>
                          </w:rPr>
                          <m:t>d</m:t>
                        </m:r>
                      </m:sup>
                    </m:sSup>
                  </m:e>
                </m:d>
              </m:oMath>
            </m:oMathPara>
          </w:p>
        </w:tc>
      </w:tr>
      <w:tr w:rsidR="000E6D56" w:rsidRPr="00D133AD" w14:paraId="65E7247D" w14:textId="77777777" w:rsidTr="00073971">
        <w:trPr>
          <w:trHeight w:val="490"/>
          <w:jc w:val="center"/>
        </w:trPr>
        <w:tc>
          <w:tcPr>
            <w:tcW w:w="0" w:type="auto"/>
            <w:vMerge/>
          </w:tcPr>
          <w:p w14:paraId="40E42580" w14:textId="77777777" w:rsidR="000E6D56" w:rsidRPr="00D133AD" w:rsidRDefault="000E6D56" w:rsidP="00073971">
            <w:pPr>
              <w:pStyle w:val="EFSABodytext"/>
              <w:spacing w:before="100" w:beforeAutospacing="1" w:after="100" w:afterAutospacing="1"/>
              <w:rPr>
                <w:rFonts w:eastAsia="Calibri" w:cs="Tahoma"/>
                <w:iCs/>
              </w:rPr>
            </w:pPr>
          </w:p>
        </w:tc>
        <w:tc>
          <w:tcPr>
            <w:tcW w:w="0" w:type="auto"/>
            <w:tcBorders>
              <w:top w:val="nil"/>
              <w:bottom w:val="nil"/>
            </w:tcBorders>
            <w:vAlign w:val="center"/>
          </w:tcPr>
          <w:p w14:paraId="0B7F6EDA" w14:textId="77777777" w:rsidR="000E6D56" w:rsidRPr="00D133AD" w:rsidRDefault="000E6D56" w:rsidP="00073971">
            <w:pPr>
              <w:pStyle w:val="EFSABodytext"/>
              <w:spacing w:before="100" w:beforeAutospacing="1" w:after="100" w:afterAutospacing="1"/>
              <w:rPr>
                <w:rFonts w:eastAsia="Calibri" w:cs="Tahoma"/>
                <w:iCs/>
              </w:rPr>
            </w:pPr>
            <w:proofErr w:type="spellStart"/>
            <w:r w:rsidRPr="00D133AD">
              <w:rPr>
                <w:rFonts w:eastAsia="Calibri" w:cs="Tahoma"/>
                <w:iCs/>
              </w:rPr>
              <w:t>Probit</w:t>
            </w:r>
            <w:proofErr w:type="spellEnd"/>
            <w:r w:rsidRPr="00D133AD">
              <w:rPr>
                <w:rFonts w:eastAsia="Calibri" w:cs="Tahoma"/>
                <w:iCs/>
              </w:rPr>
              <w:t xml:space="preserve"> decreasing</w:t>
            </w:r>
          </w:p>
        </w:tc>
        <w:tc>
          <w:tcPr>
            <w:tcW w:w="0" w:type="auto"/>
            <w:tcBorders>
              <w:top w:val="nil"/>
              <w:bottom w:val="nil"/>
            </w:tcBorders>
            <w:vAlign w:val="center"/>
          </w:tcPr>
          <w:p w14:paraId="32CC6262" w14:textId="77777777" w:rsidR="000E6D56" w:rsidRPr="00D133AD" w:rsidRDefault="009615DC" w:rsidP="00073971">
            <w:pPr>
              <w:pStyle w:val="EFSABodytext"/>
              <w:spacing w:before="100" w:beforeAutospacing="1" w:after="100" w:afterAutospacing="1"/>
              <w:rPr>
                <w:rFonts w:eastAsia="Calibri" w:cs="Tahoma"/>
                <w:iCs/>
              </w:rPr>
            </w:pPr>
            <m:oMathPara>
              <m:oMath>
                <m:d>
                  <m:dPr>
                    <m:ctrlPr>
                      <w:rPr>
                        <w:rFonts w:ascii="Cambria Math" w:eastAsiaTheme="minorEastAsia" w:hAnsi="Cambria Math" w:cs="Tahoma"/>
                      </w:rPr>
                    </m:ctrlPr>
                  </m:dPr>
                  <m:e>
                    <m:r>
                      <m:rPr>
                        <m:sty m:val="p"/>
                      </m:rPr>
                      <w:rPr>
                        <w:rFonts w:ascii="Cambria Math" w:eastAsiaTheme="minorEastAsia" w:hAnsi="Cambria Math" w:cs="Tahoma"/>
                      </w:rPr>
                      <m:t>1+Φ(a)</m:t>
                    </m:r>
                  </m:e>
                </m:d>
                <m:r>
                  <w:rPr>
                    <w:rFonts w:ascii="Cambria Math" w:eastAsiaTheme="minorEastAsia" w:hAnsi="Cambria Math" w:cs="Tahoma"/>
                  </w:rPr>
                  <m:t>-</m:t>
                </m:r>
                <m:r>
                  <m:rPr>
                    <m:sty m:val="p"/>
                  </m:rPr>
                  <w:rPr>
                    <w:rFonts w:ascii="Cambria Math" w:eastAsiaTheme="minorEastAsia" w:hAnsi="Cambria Math" w:cs="Tahoma"/>
                  </w:rPr>
                  <m:t>Φ</m:t>
                </m:r>
                <m:d>
                  <m:dPr>
                    <m:ctrlPr>
                      <w:rPr>
                        <w:rFonts w:ascii="Cambria Math" w:eastAsiaTheme="minorEastAsia" w:hAnsi="Cambria Math" w:cs="Tahoma"/>
                        <w:i/>
                      </w:rPr>
                    </m:ctrlPr>
                  </m:dPr>
                  <m:e>
                    <m:r>
                      <w:rPr>
                        <w:rFonts w:ascii="Cambria Math" w:eastAsiaTheme="minorEastAsia" w:hAnsi="Cambria Math" w:cs="Tahoma"/>
                      </w:rPr>
                      <m:t>a+b∙</m:t>
                    </m:r>
                    <m:sSup>
                      <m:sSupPr>
                        <m:ctrlPr>
                          <w:rPr>
                            <w:rFonts w:ascii="Cambria Math" w:eastAsiaTheme="minorEastAsia" w:hAnsi="Cambria Math" w:cs="Tahoma"/>
                            <w:i/>
                          </w:rPr>
                        </m:ctrlPr>
                      </m:sSupPr>
                      <m:e>
                        <m:r>
                          <w:rPr>
                            <w:rFonts w:ascii="Cambria Math" w:eastAsiaTheme="minorEastAsia" w:hAnsi="Cambria Math" w:cs="Tahoma"/>
                          </w:rPr>
                          <m:t>x</m:t>
                        </m:r>
                      </m:e>
                      <m:sup>
                        <m:r>
                          <w:rPr>
                            <w:rFonts w:ascii="Cambria Math" w:eastAsiaTheme="minorEastAsia" w:hAnsi="Cambria Math" w:cs="Tahoma"/>
                          </w:rPr>
                          <m:t>d</m:t>
                        </m:r>
                      </m:sup>
                    </m:sSup>
                  </m:e>
                </m:d>
              </m:oMath>
            </m:oMathPara>
          </w:p>
        </w:tc>
      </w:tr>
      <w:tr w:rsidR="000E6D56" w:rsidRPr="00D133AD" w14:paraId="6CB95BFC" w14:textId="77777777" w:rsidTr="00073971">
        <w:trPr>
          <w:trHeight w:val="490"/>
          <w:jc w:val="center"/>
        </w:trPr>
        <w:tc>
          <w:tcPr>
            <w:tcW w:w="0" w:type="auto"/>
            <w:vMerge/>
          </w:tcPr>
          <w:p w14:paraId="6F6FB5E9" w14:textId="77777777" w:rsidR="000E6D56" w:rsidRPr="00D133AD" w:rsidRDefault="000E6D56" w:rsidP="00073971">
            <w:pPr>
              <w:pStyle w:val="EFSABodytext"/>
              <w:spacing w:before="100" w:beforeAutospacing="1" w:after="100" w:afterAutospacing="1"/>
              <w:rPr>
                <w:rFonts w:eastAsia="Calibri" w:cs="Tahoma"/>
                <w:iCs/>
              </w:rPr>
            </w:pPr>
          </w:p>
        </w:tc>
        <w:tc>
          <w:tcPr>
            <w:tcW w:w="0" w:type="auto"/>
            <w:tcBorders>
              <w:top w:val="nil"/>
              <w:bottom w:val="nil"/>
            </w:tcBorders>
            <w:vAlign w:val="center"/>
          </w:tcPr>
          <w:p w14:paraId="2BA29811" w14:textId="77777777" w:rsidR="000E6D56" w:rsidRPr="00D133AD" w:rsidRDefault="000E6D56" w:rsidP="00073971">
            <w:pPr>
              <w:pStyle w:val="EFSABodytext"/>
              <w:spacing w:before="100" w:beforeAutospacing="1" w:after="100" w:afterAutospacing="1"/>
              <w:rPr>
                <w:rFonts w:eastAsia="Calibri" w:cs="Tahoma"/>
                <w:iCs/>
              </w:rPr>
            </w:pPr>
            <w:r w:rsidRPr="00D133AD">
              <w:rPr>
                <w:rFonts w:eastAsia="Calibri" w:cs="Tahoma"/>
                <w:iCs/>
              </w:rPr>
              <w:t xml:space="preserve">Logistic increasing </w:t>
            </w:r>
          </w:p>
        </w:tc>
        <w:tc>
          <w:tcPr>
            <w:tcW w:w="0" w:type="auto"/>
            <w:tcBorders>
              <w:top w:val="nil"/>
              <w:bottom w:val="nil"/>
            </w:tcBorders>
            <w:vAlign w:val="center"/>
          </w:tcPr>
          <w:p w14:paraId="17B097B9" w14:textId="77777777" w:rsidR="000E6D56" w:rsidRPr="00D133AD" w:rsidRDefault="009615DC" w:rsidP="00073971">
            <w:pPr>
              <w:pStyle w:val="EFSABodytext"/>
              <w:spacing w:before="100" w:beforeAutospacing="1" w:after="100" w:afterAutospacing="1"/>
              <w:rPr>
                <w:rFonts w:eastAsia="Calibri" w:cs="Tahoma"/>
                <w:iCs/>
              </w:rPr>
            </w:pPr>
            <m:oMathPara>
              <m:oMath>
                <m:f>
                  <m:fPr>
                    <m:ctrlPr>
                      <w:rPr>
                        <w:rFonts w:ascii="Cambria Math" w:eastAsiaTheme="minorEastAsia" w:hAnsi="Cambria Math" w:cs="Tahoma"/>
                        <w:i/>
                      </w:rPr>
                    </m:ctrlPr>
                  </m:fPr>
                  <m:num>
                    <m:sSup>
                      <m:sSupPr>
                        <m:ctrlPr>
                          <w:rPr>
                            <w:rFonts w:ascii="Cambria Math" w:eastAsiaTheme="minorEastAsia" w:hAnsi="Cambria Math" w:cs="Tahoma"/>
                            <w:i/>
                          </w:rPr>
                        </m:ctrlPr>
                      </m:sSupPr>
                      <m:e>
                        <m:r>
                          <w:rPr>
                            <w:rFonts w:ascii="Cambria Math" w:eastAsiaTheme="minorEastAsia" w:hAnsi="Cambria Math" w:cs="Tahoma"/>
                          </w:rPr>
                          <m:t>e</m:t>
                        </m:r>
                      </m:e>
                      <m:sup>
                        <m:r>
                          <w:rPr>
                            <w:rFonts w:ascii="Cambria Math" w:eastAsiaTheme="minorEastAsia" w:hAnsi="Cambria Math" w:cs="Tahoma"/>
                          </w:rPr>
                          <m:t>a+b∙</m:t>
                        </m:r>
                        <m:sSup>
                          <m:sSupPr>
                            <m:ctrlPr>
                              <w:rPr>
                                <w:rFonts w:ascii="Cambria Math" w:eastAsiaTheme="minorEastAsia" w:hAnsi="Cambria Math" w:cs="Tahoma"/>
                                <w:i/>
                              </w:rPr>
                            </m:ctrlPr>
                          </m:sSupPr>
                          <m:e>
                            <m:r>
                              <w:rPr>
                                <w:rFonts w:ascii="Cambria Math" w:eastAsiaTheme="minorEastAsia" w:hAnsi="Cambria Math" w:cs="Tahoma"/>
                              </w:rPr>
                              <m:t>x</m:t>
                            </m:r>
                          </m:e>
                          <m:sup>
                            <m:r>
                              <w:rPr>
                                <w:rFonts w:ascii="Cambria Math" w:eastAsiaTheme="minorEastAsia" w:hAnsi="Cambria Math" w:cs="Tahoma"/>
                              </w:rPr>
                              <m:t>d</m:t>
                            </m:r>
                          </m:sup>
                        </m:sSup>
                      </m:sup>
                    </m:sSup>
                  </m:num>
                  <m:den>
                    <m:r>
                      <w:rPr>
                        <w:rFonts w:ascii="Cambria Math" w:eastAsiaTheme="minorEastAsia" w:hAnsi="Cambria Math" w:cs="Tahoma"/>
                      </w:rPr>
                      <m:t>1+</m:t>
                    </m:r>
                    <m:sSup>
                      <m:sSupPr>
                        <m:ctrlPr>
                          <w:rPr>
                            <w:rFonts w:ascii="Cambria Math" w:eastAsiaTheme="minorEastAsia" w:hAnsi="Cambria Math" w:cs="Tahoma"/>
                            <w:i/>
                          </w:rPr>
                        </m:ctrlPr>
                      </m:sSupPr>
                      <m:e>
                        <m:r>
                          <w:rPr>
                            <w:rFonts w:ascii="Cambria Math" w:eastAsiaTheme="minorEastAsia" w:hAnsi="Cambria Math" w:cs="Tahoma"/>
                          </w:rPr>
                          <m:t>e</m:t>
                        </m:r>
                      </m:e>
                      <m:sup>
                        <m:r>
                          <w:rPr>
                            <w:rFonts w:ascii="Cambria Math" w:eastAsiaTheme="minorEastAsia" w:hAnsi="Cambria Math" w:cs="Tahoma"/>
                          </w:rPr>
                          <m:t>a+b∙</m:t>
                        </m:r>
                        <m:sSup>
                          <m:sSupPr>
                            <m:ctrlPr>
                              <w:rPr>
                                <w:rFonts w:ascii="Cambria Math" w:eastAsiaTheme="minorEastAsia" w:hAnsi="Cambria Math" w:cs="Tahoma"/>
                                <w:i/>
                              </w:rPr>
                            </m:ctrlPr>
                          </m:sSupPr>
                          <m:e>
                            <m:r>
                              <w:rPr>
                                <w:rFonts w:ascii="Cambria Math" w:eastAsiaTheme="minorEastAsia" w:hAnsi="Cambria Math" w:cs="Tahoma"/>
                              </w:rPr>
                              <m:t>x</m:t>
                            </m:r>
                          </m:e>
                          <m:sup>
                            <m:r>
                              <w:rPr>
                                <w:rFonts w:ascii="Cambria Math" w:eastAsiaTheme="minorEastAsia" w:hAnsi="Cambria Math" w:cs="Tahoma"/>
                              </w:rPr>
                              <m:t>d</m:t>
                            </m:r>
                          </m:sup>
                        </m:sSup>
                      </m:sup>
                    </m:sSup>
                  </m:den>
                </m:f>
              </m:oMath>
            </m:oMathPara>
          </w:p>
        </w:tc>
      </w:tr>
      <w:tr w:rsidR="000E6D56" w:rsidRPr="00D133AD" w14:paraId="1759A476" w14:textId="77777777" w:rsidTr="00073971">
        <w:trPr>
          <w:trHeight w:val="490"/>
          <w:jc w:val="center"/>
        </w:trPr>
        <w:tc>
          <w:tcPr>
            <w:tcW w:w="0" w:type="auto"/>
            <w:vMerge/>
            <w:tcBorders>
              <w:bottom w:val="single" w:sz="4" w:space="0" w:color="auto"/>
            </w:tcBorders>
          </w:tcPr>
          <w:p w14:paraId="1E0AD333" w14:textId="77777777" w:rsidR="000E6D56" w:rsidRPr="00D133AD" w:rsidRDefault="000E6D56" w:rsidP="00073971">
            <w:pPr>
              <w:pStyle w:val="EFSABodytext"/>
              <w:spacing w:before="100" w:beforeAutospacing="1" w:after="100" w:afterAutospacing="1"/>
              <w:rPr>
                <w:rFonts w:eastAsia="Calibri" w:cs="Tahoma"/>
                <w:iCs/>
              </w:rPr>
            </w:pPr>
          </w:p>
        </w:tc>
        <w:tc>
          <w:tcPr>
            <w:tcW w:w="0" w:type="auto"/>
            <w:tcBorders>
              <w:top w:val="nil"/>
              <w:bottom w:val="single" w:sz="4" w:space="0" w:color="auto"/>
            </w:tcBorders>
            <w:vAlign w:val="center"/>
          </w:tcPr>
          <w:p w14:paraId="205520B9" w14:textId="77777777" w:rsidR="000E6D56" w:rsidRPr="00D133AD" w:rsidRDefault="000E6D56" w:rsidP="00073971">
            <w:pPr>
              <w:pStyle w:val="EFSABodytext"/>
              <w:spacing w:before="100" w:beforeAutospacing="1" w:after="100" w:afterAutospacing="1"/>
              <w:rPr>
                <w:rFonts w:eastAsia="Calibri" w:cs="Tahoma"/>
                <w:iCs/>
              </w:rPr>
            </w:pPr>
            <w:r w:rsidRPr="00D133AD">
              <w:rPr>
                <w:rFonts w:eastAsia="Calibri" w:cs="Tahoma"/>
                <w:iCs/>
              </w:rPr>
              <w:t>Logistic decreasing</w:t>
            </w:r>
          </w:p>
        </w:tc>
        <w:tc>
          <w:tcPr>
            <w:tcW w:w="0" w:type="auto"/>
            <w:tcBorders>
              <w:top w:val="nil"/>
              <w:bottom w:val="single" w:sz="4" w:space="0" w:color="auto"/>
            </w:tcBorders>
            <w:vAlign w:val="center"/>
          </w:tcPr>
          <w:p w14:paraId="7CD520D6" w14:textId="77777777" w:rsidR="000E6D56" w:rsidRPr="00D133AD" w:rsidRDefault="009615DC" w:rsidP="00073971">
            <w:pPr>
              <w:pStyle w:val="EFSABodytext"/>
              <w:spacing w:before="100" w:beforeAutospacing="1" w:after="100" w:afterAutospacing="1"/>
              <w:rPr>
                <w:rFonts w:eastAsia="Calibri" w:cs="Tahoma"/>
                <w:iCs/>
              </w:rPr>
            </w:pPr>
            <m:oMathPara>
              <m:oMath>
                <m:d>
                  <m:dPr>
                    <m:ctrlPr>
                      <w:rPr>
                        <w:rFonts w:ascii="Cambria Math" w:eastAsiaTheme="minorEastAsia" w:hAnsi="Cambria Math" w:cs="Tahoma"/>
                        <w:i/>
                      </w:rPr>
                    </m:ctrlPr>
                  </m:dPr>
                  <m:e>
                    <m:r>
                      <w:rPr>
                        <w:rFonts w:ascii="Cambria Math" w:eastAsiaTheme="minorEastAsia" w:hAnsi="Cambria Math" w:cs="Tahoma"/>
                      </w:rPr>
                      <m:t>1+</m:t>
                    </m:r>
                    <m:f>
                      <m:fPr>
                        <m:ctrlPr>
                          <w:rPr>
                            <w:rFonts w:ascii="Cambria Math" w:eastAsiaTheme="minorEastAsia" w:hAnsi="Cambria Math" w:cs="Tahoma"/>
                            <w:i/>
                          </w:rPr>
                        </m:ctrlPr>
                      </m:fPr>
                      <m:num>
                        <m:sSup>
                          <m:sSupPr>
                            <m:ctrlPr>
                              <w:rPr>
                                <w:rFonts w:ascii="Cambria Math" w:eastAsiaTheme="minorEastAsia" w:hAnsi="Cambria Math" w:cs="Tahoma"/>
                                <w:i/>
                              </w:rPr>
                            </m:ctrlPr>
                          </m:sSupPr>
                          <m:e>
                            <m:r>
                              <w:rPr>
                                <w:rFonts w:ascii="Cambria Math" w:eastAsiaTheme="minorEastAsia" w:hAnsi="Cambria Math" w:cs="Tahoma"/>
                              </w:rPr>
                              <m:t>e</m:t>
                            </m:r>
                          </m:e>
                          <m:sup>
                            <m:r>
                              <w:rPr>
                                <w:rFonts w:ascii="Cambria Math" w:eastAsiaTheme="minorEastAsia" w:hAnsi="Cambria Math" w:cs="Tahoma"/>
                              </w:rPr>
                              <m:t>a</m:t>
                            </m:r>
                          </m:sup>
                        </m:sSup>
                      </m:num>
                      <m:den>
                        <m:r>
                          <w:rPr>
                            <w:rFonts w:ascii="Cambria Math" w:eastAsiaTheme="minorEastAsia" w:hAnsi="Cambria Math" w:cs="Tahoma"/>
                          </w:rPr>
                          <m:t>1+</m:t>
                        </m:r>
                        <m:sSup>
                          <m:sSupPr>
                            <m:ctrlPr>
                              <w:rPr>
                                <w:rFonts w:ascii="Cambria Math" w:eastAsiaTheme="minorEastAsia" w:hAnsi="Cambria Math" w:cs="Tahoma"/>
                                <w:i/>
                              </w:rPr>
                            </m:ctrlPr>
                          </m:sSupPr>
                          <m:e>
                            <m:r>
                              <w:rPr>
                                <w:rFonts w:ascii="Cambria Math" w:eastAsiaTheme="minorEastAsia" w:hAnsi="Cambria Math" w:cs="Tahoma"/>
                              </w:rPr>
                              <m:t>e</m:t>
                            </m:r>
                          </m:e>
                          <m:sup>
                            <m:r>
                              <w:rPr>
                                <w:rFonts w:ascii="Cambria Math" w:eastAsiaTheme="minorEastAsia" w:hAnsi="Cambria Math" w:cs="Tahoma"/>
                              </w:rPr>
                              <m:t>a</m:t>
                            </m:r>
                          </m:sup>
                        </m:sSup>
                      </m:den>
                    </m:f>
                  </m:e>
                </m:d>
                <m:r>
                  <w:rPr>
                    <w:rFonts w:ascii="Cambria Math" w:eastAsiaTheme="minorEastAsia" w:hAnsi="Cambria Math" w:cs="Tahoma"/>
                  </w:rPr>
                  <m:t>-</m:t>
                </m:r>
                <m:f>
                  <m:fPr>
                    <m:ctrlPr>
                      <w:rPr>
                        <w:rFonts w:ascii="Cambria Math" w:eastAsiaTheme="minorEastAsia" w:hAnsi="Cambria Math" w:cs="Tahoma"/>
                        <w:i/>
                      </w:rPr>
                    </m:ctrlPr>
                  </m:fPr>
                  <m:num>
                    <m:sSup>
                      <m:sSupPr>
                        <m:ctrlPr>
                          <w:rPr>
                            <w:rFonts w:ascii="Cambria Math" w:eastAsiaTheme="minorEastAsia" w:hAnsi="Cambria Math" w:cs="Tahoma"/>
                            <w:i/>
                          </w:rPr>
                        </m:ctrlPr>
                      </m:sSupPr>
                      <m:e>
                        <m:r>
                          <w:rPr>
                            <w:rFonts w:ascii="Cambria Math" w:eastAsiaTheme="minorEastAsia" w:hAnsi="Cambria Math" w:cs="Tahoma"/>
                          </w:rPr>
                          <m:t>e</m:t>
                        </m:r>
                      </m:e>
                      <m:sup>
                        <m:r>
                          <w:rPr>
                            <w:rFonts w:ascii="Cambria Math" w:eastAsiaTheme="minorEastAsia" w:hAnsi="Cambria Math" w:cs="Tahoma"/>
                          </w:rPr>
                          <m:t>a+b∙</m:t>
                        </m:r>
                        <m:sSup>
                          <m:sSupPr>
                            <m:ctrlPr>
                              <w:rPr>
                                <w:rFonts w:ascii="Cambria Math" w:eastAsiaTheme="minorEastAsia" w:hAnsi="Cambria Math" w:cs="Tahoma"/>
                                <w:i/>
                              </w:rPr>
                            </m:ctrlPr>
                          </m:sSupPr>
                          <m:e>
                            <m:r>
                              <w:rPr>
                                <w:rFonts w:ascii="Cambria Math" w:eastAsiaTheme="minorEastAsia" w:hAnsi="Cambria Math" w:cs="Tahoma"/>
                              </w:rPr>
                              <m:t>x</m:t>
                            </m:r>
                          </m:e>
                          <m:sup>
                            <m:r>
                              <w:rPr>
                                <w:rFonts w:ascii="Cambria Math" w:eastAsiaTheme="minorEastAsia" w:hAnsi="Cambria Math" w:cs="Tahoma"/>
                              </w:rPr>
                              <m:t>d</m:t>
                            </m:r>
                          </m:sup>
                        </m:sSup>
                      </m:sup>
                    </m:sSup>
                  </m:num>
                  <m:den>
                    <m:r>
                      <w:rPr>
                        <w:rFonts w:ascii="Cambria Math" w:eastAsiaTheme="minorEastAsia" w:hAnsi="Cambria Math" w:cs="Tahoma"/>
                      </w:rPr>
                      <m:t>1+</m:t>
                    </m:r>
                    <m:sSup>
                      <m:sSupPr>
                        <m:ctrlPr>
                          <w:rPr>
                            <w:rFonts w:ascii="Cambria Math" w:eastAsiaTheme="minorEastAsia" w:hAnsi="Cambria Math" w:cs="Tahoma"/>
                            <w:i/>
                          </w:rPr>
                        </m:ctrlPr>
                      </m:sSupPr>
                      <m:e>
                        <m:r>
                          <w:rPr>
                            <w:rFonts w:ascii="Cambria Math" w:eastAsiaTheme="minorEastAsia" w:hAnsi="Cambria Math" w:cs="Tahoma"/>
                          </w:rPr>
                          <m:t>e</m:t>
                        </m:r>
                      </m:e>
                      <m:sup>
                        <m:r>
                          <w:rPr>
                            <w:rFonts w:ascii="Cambria Math" w:eastAsiaTheme="minorEastAsia" w:hAnsi="Cambria Math" w:cs="Tahoma"/>
                          </w:rPr>
                          <m:t>a+b∙</m:t>
                        </m:r>
                        <m:sSup>
                          <m:sSupPr>
                            <m:ctrlPr>
                              <w:rPr>
                                <w:rFonts w:ascii="Cambria Math" w:eastAsiaTheme="minorEastAsia" w:hAnsi="Cambria Math" w:cs="Tahoma"/>
                                <w:i/>
                              </w:rPr>
                            </m:ctrlPr>
                          </m:sSupPr>
                          <m:e>
                            <m:r>
                              <w:rPr>
                                <w:rFonts w:ascii="Cambria Math" w:eastAsiaTheme="minorEastAsia" w:hAnsi="Cambria Math" w:cs="Tahoma"/>
                              </w:rPr>
                              <m:t>x</m:t>
                            </m:r>
                          </m:e>
                          <m:sup>
                            <m:r>
                              <w:rPr>
                                <w:rFonts w:ascii="Cambria Math" w:eastAsiaTheme="minorEastAsia" w:hAnsi="Cambria Math" w:cs="Tahoma"/>
                              </w:rPr>
                              <m:t>d</m:t>
                            </m:r>
                          </m:sup>
                        </m:sSup>
                      </m:sup>
                    </m:sSup>
                  </m:den>
                </m:f>
              </m:oMath>
            </m:oMathPara>
          </w:p>
        </w:tc>
      </w:tr>
    </w:tbl>
    <w:p w14:paraId="74BBAB38" w14:textId="77777777" w:rsidR="000E6D56" w:rsidRDefault="000E6D56" w:rsidP="000E6D56">
      <w:pPr>
        <w:pStyle w:val="EFSABodytext"/>
        <w:jc w:val="left"/>
        <w:rPr>
          <w:rFonts w:eastAsiaTheme="minorEastAsia"/>
        </w:rPr>
      </w:pPr>
    </w:p>
    <w:p w14:paraId="28BFBC7C" w14:textId="5F978063" w:rsidR="00DD1E91" w:rsidRPr="00B436B5" w:rsidRDefault="00DD1E91" w:rsidP="00DD1E91">
      <w:pPr>
        <w:pStyle w:val="EFSABodytext"/>
        <w:rPr>
          <w:rFonts w:eastAsiaTheme="minorEastAsia"/>
        </w:rPr>
      </w:pPr>
      <w:r>
        <w:rPr>
          <w:rFonts w:eastAsiaTheme="minorEastAsia"/>
        </w:rPr>
        <w:t xml:space="preserve">With only one distribution and again 8 candidate models for </w:t>
      </w:r>
      <m:oMath>
        <m:r>
          <w:rPr>
            <w:rFonts w:ascii="Cambria Math" w:eastAsiaTheme="minorEastAsia" w:hAnsi="Cambria Math"/>
          </w:rPr>
          <m:t>π</m:t>
        </m:r>
        <m:d>
          <m:dPr>
            <m:ctrlPr>
              <w:rPr>
                <w:rFonts w:ascii="Cambria Math" w:eastAsiaTheme="minorEastAsia" w:hAnsi="Cambria Math"/>
                <w:i/>
              </w:rPr>
            </m:ctrlPr>
          </m:dPr>
          <m:e>
            <m:r>
              <w:rPr>
                <w:rFonts w:ascii="Cambria Math" w:eastAsiaTheme="minorEastAsia" w:hAnsi="Cambria Math"/>
              </w:rPr>
              <m:t>x</m:t>
            </m:r>
          </m:e>
        </m:d>
      </m:oMath>
      <w:r>
        <w:rPr>
          <w:rFonts w:eastAsiaTheme="minorEastAsia"/>
        </w:rPr>
        <w:t xml:space="preserve">, a total of 8 candidate models can be fitted to the data. All models (Logistic, probit, log-logistic, log-probit, Weibull, gamma, LMS (two-stage) model), except the latent variable models, are covered. These latter LVM models </w:t>
      </w:r>
      <w:proofErr w:type="gramStart"/>
      <w:r>
        <w:rPr>
          <w:rFonts w:eastAsiaTheme="minorEastAsia"/>
        </w:rPr>
        <w:t>are considered to be</w:t>
      </w:r>
      <w:proofErr w:type="gramEnd"/>
      <w:r>
        <w:rPr>
          <w:rFonts w:eastAsiaTheme="minorEastAsia"/>
        </w:rPr>
        <w:t xml:space="preserve"> no longer necessary, given the suite of 8 flexible candidate models. All 8 models have 3 parameters (for the probability</w:t>
      </w:r>
      <m:oMath>
        <m:r>
          <w:rPr>
            <w:rFonts w:ascii="Cambria Math" w:eastAsiaTheme="minorEastAsia" w:hAnsi="Cambria Math"/>
          </w:rPr>
          <m:t xml:space="preserve"> π</m:t>
        </m:r>
        <m:d>
          <m:dPr>
            <m:ctrlPr>
              <w:rPr>
                <w:rFonts w:ascii="Cambria Math" w:eastAsiaTheme="minorEastAsia" w:hAnsi="Cambria Math"/>
                <w:i/>
              </w:rPr>
            </m:ctrlPr>
          </m:dPr>
          <m:e>
            <m:r>
              <w:rPr>
                <w:rFonts w:ascii="Cambria Math" w:eastAsiaTheme="minorEastAsia" w:hAnsi="Cambria Math"/>
              </w:rPr>
              <m:t>x</m:t>
            </m:r>
          </m:e>
        </m:d>
      </m:oMath>
      <w:r>
        <w:rPr>
          <w:rFonts w:eastAsiaTheme="minorEastAsia"/>
        </w:rPr>
        <w:t xml:space="preserve">) and all models are non-nested (none of the models </w:t>
      </w:r>
      <w:proofErr w:type="gramStart"/>
      <w:r>
        <w:rPr>
          <w:rFonts w:eastAsiaTheme="minorEastAsia"/>
        </w:rPr>
        <w:t>can be seen as</w:t>
      </w:r>
      <w:proofErr w:type="gramEnd"/>
      <w:r>
        <w:rPr>
          <w:rFonts w:eastAsiaTheme="minorEastAsia"/>
        </w:rPr>
        <w:t xml:space="preserve"> a special case/simplification of another model). </w:t>
      </w:r>
      <w:r w:rsidR="00B436B5">
        <w:rPr>
          <w:rFonts w:eastAsiaTheme="minorEastAsia"/>
        </w:rPr>
        <w:t xml:space="preserve">Also note that there are two parameters less to be estimated for quantal data models: no parameter </w:t>
      </w:r>
      <w:r w:rsidR="00B436B5" w:rsidRPr="00537957">
        <w:rPr>
          <w:rFonts w:eastAsiaTheme="minorEastAsia"/>
          <w:i/>
          <w:iCs/>
        </w:rPr>
        <w:t>c</w:t>
      </w:r>
      <w:r w:rsidR="00B436B5">
        <w:rPr>
          <w:rFonts w:eastAsiaTheme="minorEastAsia"/>
          <w:i/>
          <w:iCs/>
        </w:rPr>
        <w:t xml:space="preserve"> </w:t>
      </w:r>
      <w:r w:rsidR="00B436B5">
        <w:rPr>
          <w:rFonts w:eastAsiaTheme="minorEastAsia"/>
        </w:rPr>
        <w:t xml:space="preserve">and no variance parameter </w:t>
      </w:r>
      <m:oMath>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oMath>
      <w:r w:rsidR="00B436B5">
        <w:rPr>
          <w:rFonts w:eastAsiaTheme="minorEastAsia"/>
        </w:rPr>
        <w:t>.</w:t>
      </w:r>
    </w:p>
    <w:p w14:paraId="2FED97CE" w14:textId="54872CA7" w:rsidR="00976A14" w:rsidRDefault="00057E09" w:rsidP="00DE30D2">
      <w:pPr>
        <w:pStyle w:val="EFSABodytext"/>
        <w:tabs>
          <w:tab w:val="left" w:pos="8116"/>
        </w:tabs>
        <w:jc w:val="left"/>
        <w:rPr>
          <w:rFonts w:eastAsiaTheme="minorEastAsia"/>
        </w:rPr>
      </w:pPr>
      <w:r>
        <w:rPr>
          <w:rFonts w:eastAsiaTheme="minorEastAsia"/>
        </w:rPr>
        <w:tab/>
      </w:r>
    </w:p>
    <w:p w14:paraId="18B7AF8F" w14:textId="273A8EC5" w:rsidR="007C3E69" w:rsidRDefault="007C3E69" w:rsidP="007C3E69">
      <w:pPr>
        <w:pStyle w:val="EFSABodytext"/>
        <w:rPr>
          <w:rFonts w:eastAsiaTheme="minorEastAsia"/>
        </w:rPr>
      </w:pPr>
      <w:r>
        <w:rPr>
          <w:rFonts w:eastAsiaTheme="minorEastAsia"/>
        </w:rPr>
        <w:t xml:space="preserve">The EPA BMDS guidance </w:t>
      </w:r>
      <w:proofErr w:type="gramStart"/>
      <w:r>
        <w:rPr>
          <w:rFonts w:eastAsiaTheme="minorEastAsia"/>
        </w:rPr>
        <w:t>includes also</w:t>
      </w:r>
      <w:proofErr w:type="gramEnd"/>
      <w:r>
        <w:rPr>
          <w:rFonts w:eastAsiaTheme="minorEastAsia"/>
        </w:rPr>
        <w:t xml:space="preserve"> the </w:t>
      </w:r>
      <w:r w:rsidRPr="00AB7471">
        <w:rPr>
          <w:rFonts w:eastAsiaTheme="minorEastAsia"/>
        </w:rPr>
        <w:t xml:space="preserve">family of the NULL and the FULL model, as well as the </w:t>
      </w:r>
      <w:r w:rsidR="00E51C99">
        <w:rPr>
          <w:rFonts w:eastAsiaTheme="minorEastAsia"/>
        </w:rPr>
        <w:t>family of polynomial and p</w:t>
      </w:r>
      <w:r w:rsidRPr="00AB7471">
        <w:rPr>
          <w:rFonts w:eastAsiaTheme="minorEastAsia"/>
        </w:rPr>
        <w:t xml:space="preserve">ower models. </w:t>
      </w:r>
    </w:p>
    <w:p w14:paraId="59D6CC07" w14:textId="77777777" w:rsidR="007C3E69" w:rsidRDefault="007C3E69" w:rsidP="007C3E69">
      <w:pPr>
        <w:pStyle w:val="EFSABodytext"/>
        <w:numPr>
          <w:ilvl w:val="0"/>
          <w:numId w:val="63"/>
        </w:numPr>
        <w:rPr>
          <w:rFonts w:eastAsiaTheme="minorEastAsia"/>
        </w:rPr>
      </w:pPr>
      <w:r>
        <w:rPr>
          <w:rFonts w:eastAsiaTheme="minorEastAsia"/>
        </w:rPr>
        <w:t xml:space="preserve">The null model </w:t>
      </w:r>
    </w:p>
    <w:p w14:paraId="45A75BCB" w14:textId="32469EA1" w:rsidR="00751BD0" w:rsidRDefault="00751BD0" w:rsidP="00751BD0">
      <w:pPr>
        <w:pStyle w:val="EFSABodytext"/>
        <w:ind w:left="360"/>
        <w:rPr>
          <w:rFonts w:eastAsiaTheme="minorEastAsia"/>
        </w:rPr>
      </w:pPr>
      <m:oMathPara>
        <m:oMath>
          <m:r>
            <w:rPr>
              <w:rFonts w:ascii="Cambria Math" w:eastAsiaTheme="minorEastAsia" w:hAnsi="Cambria Math"/>
            </w:rPr>
            <m:t>π</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 xml:space="preserve"> = π</m:t>
          </m:r>
        </m:oMath>
      </m:oMathPara>
    </w:p>
    <w:p w14:paraId="5193FB04" w14:textId="769D2284" w:rsidR="007C3E69" w:rsidRPr="00CA1333" w:rsidRDefault="007C3E69" w:rsidP="007C3E69">
      <w:pPr>
        <w:pStyle w:val="EFSABodytext"/>
        <w:numPr>
          <w:ilvl w:val="0"/>
          <w:numId w:val="63"/>
        </w:numPr>
        <w:rPr>
          <w:rFonts w:eastAsiaTheme="minorEastAsia"/>
        </w:rPr>
      </w:pPr>
      <w:r w:rsidRPr="00CA1333">
        <w:rPr>
          <w:rFonts w:eastAsiaTheme="minorEastAsia"/>
        </w:rPr>
        <w:t xml:space="preserve">The </w:t>
      </w:r>
      <w:r w:rsidR="442C8DBF" w:rsidRPr="65E9AD0D">
        <w:rPr>
          <w:rFonts w:eastAsiaTheme="minorEastAsia"/>
        </w:rPr>
        <w:t>f</w:t>
      </w:r>
      <w:r w:rsidRPr="00CA1333">
        <w:rPr>
          <w:rFonts w:eastAsiaTheme="minorEastAsia"/>
        </w:rPr>
        <w:t xml:space="preserve">ull model </w:t>
      </w:r>
    </w:p>
    <w:p w14:paraId="61E7F6BE" w14:textId="77777777" w:rsidR="0074057A" w:rsidRPr="0032238D" w:rsidRDefault="0074057A" w:rsidP="0074057A">
      <w:pPr>
        <w:pStyle w:val="EFSABodytext"/>
        <w:ind w:left="360"/>
        <w:rPr>
          <w:rFonts w:eastAsiaTheme="minorEastAsia"/>
        </w:rPr>
      </w:pPr>
      <m:oMathPara>
        <m:oMath>
          <m:r>
            <w:rPr>
              <w:rFonts w:ascii="Cambria Math" w:eastAsiaTheme="minorEastAsia" w:hAnsi="Cambria Math"/>
            </w:rPr>
            <m:t>μ</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i</m:t>
                  </m:r>
                </m:sub>
              </m:sSub>
            </m:e>
          </m:d>
          <m:r>
            <w:rPr>
              <w:rFonts w:ascii="Cambria Math" w:eastAsiaTheme="minorEastAsia" w:hAnsi="Cambria Math"/>
            </w:rPr>
            <m:t xml:space="preserve"> = </m:t>
          </m:r>
          <m:sSub>
            <m:sSubPr>
              <m:ctrlPr>
                <w:rPr>
                  <w:rFonts w:ascii="Cambria Math" w:eastAsiaTheme="minorEastAsia" w:hAnsi="Cambria Math"/>
                  <w:i/>
                </w:rPr>
              </m:ctrlPr>
            </m:sSubPr>
            <m:e>
              <m:r>
                <w:rPr>
                  <w:rFonts w:ascii="Cambria Math" w:eastAsiaTheme="minorEastAsia" w:hAnsi="Cambria Math"/>
                </w:rPr>
                <m:t>π</m:t>
              </m:r>
            </m:e>
            <m:sub>
              <m:r>
                <w:rPr>
                  <w:rFonts w:ascii="Cambria Math" w:eastAsiaTheme="minorEastAsia" w:hAnsi="Cambria Math"/>
                </w:rPr>
                <m:t>i</m:t>
              </m:r>
            </m:sub>
          </m:sSub>
          <m:r>
            <w:rPr>
              <w:rFonts w:ascii="Cambria Math" w:eastAsiaTheme="minorEastAsia" w:hAnsi="Cambria Math"/>
            </w:rPr>
            <m:t>, i = 1, …, N.</m:t>
          </m:r>
        </m:oMath>
      </m:oMathPara>
    </w:p>
    <w:p w14:paraId="7F3E77EB" w14:textId="77777777" w:rsidR="007C3E69" w:rsidRDefault="007C3E69" w:rsidP="007C3E69">
      <w:pPr>
        <w:pStyle w:val="EFSABodytext"/>
        <w:numPr>
          <w:ilvl w:val="0"/>
          <w:numId w:val="63"/>
        </w:numPr>
        <w:rPr>
          <w:rFonts w:eastAsiaTheme="minorEastAsia"/>
        </w:rPr>
      </w:pPr>
      <w:r>
        <w:rPr>
          <w:rFonts w:eastAsiaTheme="minorEastAsia"/>
        </w:rPr>
        <w:t xml:space="preserve">The linear model </w:t>
      </w:r>
    </w:p>
    <w:p w14:paraId="1A8B5D72" w14:textId="77777777" w:rsidR="007C3E69" w:rsidRDefault="007C3E69" w:rsidP="007C3E69">
      <w:pPr>
        <w:pStyle w:val="EFSABodytext"/>
        <w:ind w:left="360"/>
        <w:rPr>
          <w:rFonts w:eastAsiaTheme="minorEastAsia"/>
        </w:rPr>
      </w:pPr>
      <m:oMathPara>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 xml:space="preserve"> = a+bx,</m:t>
          </m:r>
        </m:oMath>
      </m:oMathPara>
    </w:p>
    <w:p w14:paraId="02074400" w14:textId="77777777" w:rsidR="007C3E69" w:rsidRDefault="007C3E69" w:rsidP="007C3E69">
      <w:pPr>
        <w:pStyle w:val="EFSABodytext"/>
        <w:numPr>
          <w:ilvl w:val="0"/>
          <w:numId w:val="63"/>
        </w:numPr>
        <w:rPr>
          <w:rFonts w:eastAsiaTheme="minorEastAsia"/>
        </w:rPr>
      </w:pPr>
      <w:r>
        <w:rPr>
          <w:rFonts w:eastAsiaTheme="minorEastAsia"/>
        </w:rPr>
        <w:t>The quadratic model</w:t>
      </w:r>
    </w:p>
    <w:p w14:paraId="6BC8612E" w14:textId="77777777" w:rsidR="007C3E69" w:rsidRPr="00712B5C" w:rsidRDefault="007C3E69" w:rsidP="007C3E69">
      <w:pPr>
        <w:pStyle w:val="EFSABodytext"/>
        <w:ind w:left="360"/>
        <w:rPr>
          <w:rFonts w:eastAsiaTheme="minorEastAsia"/>
        </w:rPr>
      </w:pPr>
      <m:oMathPara>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 xml:space="preserve"> = a+bx+c</m:t>
          </m:r>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2</m:t>
              </m:r>
            </m:sup>
          </m:sSup>
          <m:r>
            <w:rPr>
              <w:rFonts w:ascii="Cambria Math" w:eastAsiaTheme="minorEastAsia" w:hAnsi="Cambria Math"/>
            </w:rPr>
            <m:t>,</m:t>
          </m:r>
        </m:oMath>
      </m:oMathPara>
    </w:p>
    <w:p w14:paraId="517E35ED" w14:textId="77777777" w:rsidR="007C3E69" w:rsidRDefault="007C3E69" w:rsidP="007C3E69">
      <w:pPr>
        <w:pStyle w:val="EFSABodytext"/>
        <w:numPr>
          <w:ilvl w:val="0"/>
          <w:numId w:val="63"/>
        </w:numPr>
        <w:rPr>
          <w:rFonts w:eastAsiaTheme="minorEastAsia"/>
        </w:rPr>
      </w:pPr>
      <w:r>
        <w:rPr>
          <w:rFonts w:eastAsiaTheme="minorEastAsia"/>
        </w:rPr>
        <w:t xml:space="preserve">The power </w:t>
      </w:r>
      <w:proofErr w:type="gramStart"/>
      <w:r>
        <w:rPr>
          <w:rFonts w:eastAsiaTheme="minorEastAsia"/>
        </w:rPr>
        <w:t>model</w:t>
      </w:r>
      <w:proofErr w:type="gramEnd"/>
    </w:p>
    <w:p w14:paraId="71E7981E" w14:textId="77777777" w:rsidR="007C3E69" w:rsidRPr="004B3126" w:rsidRDefault="007C3E69" w:rsidP="007C3E69">
      <w:pPr>
        <w:pStyle w:val="EFSABodytext"/>
        <w:ind w:left="720"/>
        <w:rPr>
          <w:rFonts w:eastAsiaTheme="minorEastAsia"/>
        </w:rPr>
      </w:pPr>
      <m:oMathPara>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 xml:space="preserve"> = a+b</m:t>
          </m:r>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c</m:t>
              </m:r>
            </m:sup>
          </m:sSup>
          <m:r>
            <w:rPr>
              <w:rFonts w:ascii="Cambria Math" w:eastAsiaTheme="minorEastAsia" w:hAnsi="Cambria Math"/>
            </w:rPr>
            <m:t>.</m:t>
          </m:r>
        </m:oMath>
      </m:oMathPara>
    </w:p>
    <w:p w14:paraId="5CC3A617" w14:textId="77777777" w:rsidR="007C3E69" w:rsidRDefault="007C3E69" w:rsidP="007C3E69">
      <w:pPr>
        <w:pStyle w:val="EFSABodytext"/>
        <w:rPr>
          <w:rFonts w:eastAsiaTheme="minorEastAsia"/>
        </w:rPr>
      </w:pPr>
    </w:p>
    <w:p w14:paraId="58C7AF79" w14:textId="5C46750A" w:rsidR="007C3E69" w:rsidRDefault="516EB24E" w:rsidP="5E273EC8">
      <w:pPr>
        <w:pStyle w:val="EFSABodytext"/>
        <w:rPr>
          <w:rFonts w:eastAsiaTheme="minorEastAsia"/>
        </w:rPr>
      </w:pPr>
      <w:r w:rsidRPr="5E273EC8">
        <w:rPr>
          <w:rFonts w:eastAsiaTheme="minorEastAsia"/>
        </w:rPr>
        <w:t>The null and the full models used previously in EFSA, 2017 to assess the presence of dose response and the goodness of fit of the models are not needed anymore for the recommended Bayesian modelling</w:t>
      </w:r>
      <w:r w:rsidR="08944843" w:rsidRPr="5E273EC8">
        <w:rPr>
          <w:rFonts w:eastAsiaTheme="minorEastAsia"/>
        </w:rPr>
        <w:t>.</w:t>
      </w:r>
    </w:p>
    <w:p w14:paraId="28C29630" w14:textId="6C1A7E53" w:rsidR="000F3355" w:rsidRDefault="00E2788D" w:rsidP="007C3E69">
      <w:pPr>
        <w:pStyle w:val="EFSABodytext"/>
        <w:rPr>
          <w:rFonts w:eastAsiaTheme="minorEastAsia"/>
        </w:rPr>
      </w:pPr>
      <w:r w:rsidRPr="3B627AC3">
        <w:rPr>
          <w:rFonts w:eastAsiaTheme="minorEastAsia"/>
        </w:rPr>
        <w:t xml:space="preserve">The </w:t>
      </w:r>
      <w:r w:rsidR="000F3355" w:rsidRPr="3B627AC3">
        <w:rPr>
          <w:rFonts w:eastAsiaTheme="minorEastAsia"/>
        </w:rPr>
        <w:t xml:space="preserve">family </w:t>
      </w:r>
      <w:r w:rsidRPr="3B627AC3">
        <w:rPr>
          <w:rFonts w:eastAsiaTheme="minorEastAsia"/>
        </w:rPr>
        <w:t xml:space="preserve">of polynomial and power models </w:t>
      </w:r>
      <w:r w:rsidR="000F3355" w:rsidRPr="3B627AC3">
        <w:rPr>
          <w:rFonts w:eastAsiaTheme="minorEastAsia"/>
        </w:rPr>
        <w:t xml:space="preserve">is not considered for quantal data as it does not respect the natural bounds of a probability </w:t>
      </w:r>
      <m:oMath>
        <m:r>
          <w:rPr>
            <w:rFonts w:ascii="Cambria Math" w:eastAsiaTheme="minorEastAsia" w:hAnsi="Cambria Math"/>
          </w:rPr>
          <m:t>0 ≤π</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≤1</m:t>
        </m:r>
      </m:oMath>
      <w:r w:rsidR="000F3355" w:rsidRPr="3B627AC3">
        <w:rPr>
          <w:rFonts w:eastAsiaTheme="minorEastAsia"/>
        </w:rPr>
        <w:t>.</w:t>
      </w:r>
    </w:p>
    <w:p w14:paraId="76062953" w14:textId="77777777" w:rsidR="00C54C4C" w:rsidRDefault="00C54C4C" w:rsidP="00DE30D2">
      <w:pPr>
        <w:pStyle w:val="EFSABodytext"/>
        <w:ind w:left="720"/>
        <w:jc w:val="left"/>
        <w:rPr>
          <w:rFonts w:eastAsiaTheme="minorEastAsia"/>
        </w:rPr>
      </w:pPr>
    </w:p>
    <w:p w14:paraId="5B165442" w14:textId="0AFBBCBE" w:rsidR="00FB38EE" w:rsidRDefault="00FB38EE" w:rsidP="00FB38EE">
      <w:pPr>
        <w:pStyle w:val="EFSAHeading4"/>
      </w:pPr>
      <w:r>
        <w:t>The data</w:t>
      </w:r>
    </w:p>
    <w:p w14:paraId="2319D40F" w14:textId="0AF9A185" w:rsidR="00985D11" w:rsidRPr="00DE30D2" w:rsidRDefault="00FB38EE" w:rsidP="00EC6463">
      <w:pPr>
        <w:pStyle w:val="EFSABodytext"/>
      </w:pPr>
      <w:r>
        <w:t xml:space="preserve">For quantal data the number of affected individuals and the sample size are needed for each dose group. </w:t>
      </w:r>
      <w:r w:rsidR="00EC6463" w:rsidRPr="44E476C0">
        <w:rPr>
          <w:rFonts w:eastAsiaTheme="minorEastAsia"/>
        </w:rPr>
        <w:t xml:space="preserve">Again, some models will fit better to the data than others and some models might fit equally well. </w:t>
      </w:r>
      <w:r w:rsidR="00C25F96" w:rsidRPr="44E476C0">
        <w:rPr>
          <w:rFonts w:eastAsiaTheme="minorEastAsia"/>
        </w:rPr>
        <w:t>The reader is referred</w:t>
      </w:r>
      <w:r w:rsidR="00EC6463" w:rsidRPr="44E476C0">
        <w:rPr>
          <w:rFonts w:eastAsiaTheme="minorEastAsia"/>
        </w:rPr>
        <w:t xml:space="preserve"> to Section </w:t>
      </w:r>
      <w:r w:rsidR="00B10126">
        <w:rPr>
          <w:rFonts w:eastAsiaTheme="minorEastAsia"/>
        </w:rPr>
        <w:t>2.5.</w:t>
      </w:r>
      <w:r w:rsidR="00FD5A08">
        <w:rPr>
          <w:rFonts w:eastAsiaTheme="minorEastAsia"/>
        </w:rPr>
        <w:t>3</w:t>
      </w:r>
      <w:r w:rsidR="00B10126" w:rsidRPr="44E476C0">
        <w:rPr>
          <w:rFonts w:eastAsiaTheme="minorEastAsia"/>
        </w:rPr>
        <w:t xml:space="preserve"> </w:t>
      </w:r>
      <w:r w:rsidR="00EC6463" w:rsidRPr="44E476C0">
        <w:rPr>
          <w:rFonts w:eastAsiaTheme="minorEastAsia"/>
        </w:rPr>
        <w:t>on multi-model inference, whe</w:t>
      </w:r>
      <w:r w:rsidR="00C25F96" w:rsidRPr="44E476C0">
        <w:rPr>
          <w:rFonts w:eastAsiaTheme="minorEastAsia"/>
        </w:rPr>
        <w:t>re</w:t>
      </w:r>
      <w:r w:rsidR="00EC6463" w:rsidRPr="44E476C0">
        <w:rPr>
          <w:rFonts w:eastAsiaTheme="minorEastAsia"/>
        </w:rPr>
        <w:t xml:space="preserve"> the technique of model averaging, which effectively account</w:t>
      </w:r>
      <w:r w:rsidR="0A1CBDD7" w:rsidRPr="44E476C0">
        <w:rPr>
          <w:rFonts w:eastAsiaTheme="minorEastAsia"/>
        </w:rPr>
        <w:t>s</w:t>
      </w:r>
      <w:r w:rsidR="00EC6463" w:rsidRPr="44E476C0">
        <w:rPr>
          <w:rFonts w:eastAsiaTheme="minorEastAsia"/>
        </w:rPr>
        <w:t xml:space="preserve"> for model uncertainty for quantal data</w:t>
      </w:r>
      <w:r w:rsidR="222ED9AE" w:rsidRPr="44E476C0">
        <w:rPr>
          <w:rFonts w:eastAsiaTheme="minorEastAsia"/>
        </w:rPr>
        <w:t>,</w:t>
      </w:r>
      <w:r w:rsidR="00C25F96" w:rsidRPr="44E476C0">
        <w:rPr>
          <w:rFonts w:eastAsiaTheme="minorEastAsia"/>
        </w:rPr>
        <w:t xml:space="preserve"> is described</w:t>
      </w:r>
      <w:r w:rsidR="00EC6463" w:rsidRPr="44E476C0">
        <w:rPr>
          <w:rFonts w:eastAsiaTheme="minorEastAsia"/>
        </w:rPr>
        <w:t>.</w:t>
      </w:r>
    </w:p>
    <w:p w14:paraId="5FF50447" w14:textId="77777777" w:rsidR="00D72A96" w:rsidRDefault="00D72A96" w:rsidP="00DE30D2">
      <w:pPr>
        <w:pStyle w:val="EFSABodytext"/>
      </w:pPr>
    </w:p>
    <w:p w14:paraId="2B44E066" w14:textId="7523F7CD" w:rsidR="00EC6463" w:rsidRDefault="00EC6463" w:rsidP="002E170A">
      <w:pPr>
        <w:pStyle w:val="EFSAHeading3"/>
        <w:ind w:left="1276"/>
      </w:pPr>
      <w:bookmarkStart w:id="50" w:name="_Ref94101161"/>
      <w:bookmarkStart w:id="51" w:name="_Toc94255338"/>
      <w:r>
        <w:t>Frequentist or Bayesian inferential paradigm</w:t>
      </w:r>
      <w:bookmarkEnd w:id="50"/>
      <w:bookmarkEnd w:id="51"/>
    </w:p>
    <w:p w14:paraId="64E12923" w14:textId="77777777" w:rsidR="005617FB" w:rsidRPr="00AA5701" w:rsidRDefault="005617FB" w:rsidP="00DE30D2">
      <w:pPr>
        <w:pStyle w:val="EFSAHeading4"/>
      </w:pPr>
      <w:r w:rsidRPr="00892462">
        <w:t>Introduction</w:t>
      </w:r>
    </w:p>
    <w:p w14:paraId="43ECFE84" w14:textId="0A76A70C" w:rsidR="005617FB" w:rsidRDefault="30EA26C2" w:rsidP="005617FB">
      <w:pPr>
        <w:pStyle w:val="EFSABodytext"/>
      </w:pPr>
      <w:r>
        <w:t xml:space="preserve">The </w:t>
      </w:r>
      <w:proofErr w:type="gramStart"/>
      <w:r>
        <w:t xml:space="preserve">most </w:t>
      </w:r>
      <w:r w:rsidR="07C73829">
        <w:t>commonly employed</w:t>
      </w:r>
      <w:proofErr w:type="gramEnd"/>
      <w:r>
        <w:t xml:space="preserve"> statistical philosophies are the frequentist and Bayesian approaches. In the frequentist approach, probability is used to represent a long-run frequency. Uncertainty about the unknown parameters is measured by confidence and significance levels (p-values), </w:t>
      </w:r>
      <w:proofErr w:type="gramStart"/>
      <w:r>
        <w:t>interpreted</w:t>
      </w:r>
      <w:proofErr w:type="gramEnd"/>
      <w:r>
        <w:t xml:space="preserve"> and calibrated under hypothetical repetition. In the Bayesian approach, probability distributions are attached to the unknown parameters, and the notion of probability is extended so that it reflects uncertainty of knowledge (Cox, 2006). The central idea of the Bayesian approach is to combine the data (through the </w:t>
      </w:r>
      <w:r w:rsidRPr="5979428D">
        <w:rPr>
          <w:i/>
          <w:iCs/>
        </w:rPr>
        <w:t>likelihood</w:t>
      </w:r>
      <w:r>
        <w:t>, expressing the plausibility of the observed data as a function of the parameters of a stochastic model, Fisher</w:t>
      </w:r>
      <w:r w:rsidR="00FD5A08">
        <w:t>,</w:t>
      </w:r>
      <w:r>
        <w:t xml:space="preserve"> 1922) with prior knowledge (</w:t>
      </w:r>
      <w:r w:rsidRPr="5979428D">
        <w:rPr>
          <w:i/>
          <w:iCs/>
        </w:rPr>
        <w:t>prior probability</w:t>
      </w:r>
      <w:r>
        <w:t xml:space="preserve">) to obtain the </w:t>
      </w:r>
      <w:r w:rsidRPr="5979428D">
        <w:rPr>
          <w:i/>
          <w:iCs/>
        </w:rPr>
        <w:t xml:space="preserve">posterior probability </w:t>
      </w:r>
      <w:r>
        <w:t xml:space="preserve">as a revised, updated probability. </w:t>
      </w:r>
      <w:r w:rsidR="1C6FCCA1">
        <w:t xml:space="preserve">In </w:t>
      </w:r>
      <w:r w:rsidR="00322E52">
        <w:t>EFSA’s</w:t>
      </w:r>
      <w:r w:rsidR="1C6FCCA1">
        <w:t xml:space="preserve"> setting, a </w:t>
      </w:r>
      <w:r w:rsidR="4F41978A">
        <w:t xml:space="preserve">discrete </w:t>
      </w:r>
      <w:r w:rsidR="1C6FCCA1">
        <w:t>p</w:t>
      </w:r>
      <w:r w:rsidR="7D9D9F71">
        <w:t xml:space="preserve">rior distribution </w:t>
      </w:r>
      <w:r w:rsidR="2B86D199">
        <w:t>is chosen</w:t>
      </w:r>
      <w:r w:rsidR="7D9D9F71">
        <w:t xml:space="preserve"> on the level of the </w:t>
      </w:r>
      <w:r w:rsidR="0206DBFE">
        <w:t xml:space="preserve">suite of </w:t>
      </w:r>
      <w:r w:rsidR="7D9D9F71">
        <w:t xml:space="preserve">candidate models (default is </w:t>
      </w:r>
      <w:r w:rsidR="27468215">
        <w:t>the uniform distribution expressing that all candidate models are equally likely</w:t>
      </w:r>
      <w:r w:rsidR="7D9D9F71">
        <w:t>)</w:t>
      </w:r>
      <w:r w:rsidR="42C29D80">
        <w:t>. For each individual model</w:t>
      </w:r>
      <w:r w:rsidR="00294E5F">
        <w:t>,</w:t>
      </w:r>
      <w:r w:rsidR="6BA706AD">
        <w:t xml:space="preserve"> continuous prior distributions are formulated on the background</w:t>
      </w:r>
      <w:r w:rsidR="78A8149D">
        <w:t xml:space="preserve"> response, the maximum </w:t>
      </w:r>
      <w:r w:rsidR="70C43EF4">
        <w:t>(</w:t>
      </w:r>
      <w:r w:rsidR="78A8149D">
        <w:t>or minimum</w:t>
      </w:r>
      <w:r w:rsidR="22B4A0FE">
        <w:t>)</w:t>
      </w:r>
      <w:r w:rsidR="78A8149D">
        <w:t xml:space="preserve"> response at very high dose</w:t>
      </w:r>
      <w:r w:rsidR="1204D67D" w:rsidRPr="00CF7E51">
        <w:t>, and on the BMD. These latter prior distributions are translated to distributions on the parameters a, b, c (</w:t>
      </w:r>
      <w:r w:rsidR="5B67899A" w:rsidRPr="007D1B1E">
        <w:t xml:space="preserve">see </w:t>
      </w:r>
      <w:r w:rsidR="5B67899A" w:rsidRPr="00463B9D">
        <w:t xml:space="preserve">Table </w:t>
      </w:r>
      <w:r w:rsidR="00780252" w:rsidRPr="00780252">
        <w:t xml:space="preserve">2 </w:t>
      </w:r>
      <w:r w:rsidR="5B67899A" w:rsidRPr="00780252">
        <w:t xml:space="preserve">and </w:t>
      </w:r>
      <w:r w:rsidR="00780252" w:rsidRPr="00780252">
        <w:t>3</w:t>
      </w:r>
      <w:r w:rsidR="1204D67D" w:rsidRPr="00CF7E51">
        <w:t>)</w:t>
      </w:r>
      <w:r w:rsidR="3C9A34C7" w:rsidRPr="007D1B1E">
        <w:t>,</w:t>
      </w:r>
      <w:r w:rsidR="3C9A34C7">
        <w:t xml:space="preserve"> and finally a prior distribution is defined on the parameter d</w:t>
      </w:r>
      <w:r w:rsidR="606EE9AC">
        <w:t xml:space="preserve"> and the variance parameter</w:t>
      </w:r>
      <w:r w:rsidR="3C9A34C7">
        <w:t>.</w:t>
      </w:r>
      <w:r w:rsidR="6BA706AD">
        <w:t xml:space="preserve"> </w:t>
      </w:r>
      <w:r w:rsidR="001F49A8">
        <w:t>It is reminded</w:t>
      </w:r>
      <w:r w:rsidR="67DD2AFE">
        <w:t xml:space="preserve"> that for quantal data, no priors are needed for the parameter c and the variance parameter, as these parameters are not existing for </w:t>
      </w:r>
      <w:r w:rsidR="4B63CD41">
        <w:t>models for quantal data</w:t>
      </w:r>
      <w:r w:rsidR="67DD2AFE">
        <w:t xml:space="preserve">. </w:t>
      </w:r>
      <w:r w:rsidR="27D45121">
        <w:t xml:space="preserve">For more details see </w:t>
      </w:r>
      <w:r w:rsidR="27D45121" w:rsidRPr="00AD6464">
        <w:t xml:space="preserve">Section </w:t>
      </w:r>
      <w:r w:rsidR="00497F57" w:rsidRPr="00AD6464">
        <w:fldChar w:fldCharType="begin"/>
      </w:r>
      <w:r w:rsidR="00497F57" w:rsidRPr="0043295B">
        <w:instrText xml:space="preserve"> REF _Ref94101601 \r \h </w:instrText>
      </w:r>
      <w:r w:rsidR="00497F57">
        <w:instrText xml:space="preserve"> \* MERGEFORMAT </w:instrText>
      </w:r>
      <w:r w:rsidR="00497F57" w:rsidRPr="00AD6464">
        <w:fldChar w:fldCharType="separate"/>
      </w:r>
      <w:r w:rsidR="00497F57" w:rsidRPr="0043295B">
        <w:t>2.5.2</w:t>
      </w:r>
      <w:r w:rsidR="00497F57" w:rsidRPr="00AD6464">
        <w:fldChar w:fldCharType="end"/>
      </w:r>
      <w:r w:rsidR="27D45121">
        <w:t>.</w:t>
      </w:r>
    </w:p>
    <w:p w14:paraId="2CF401FA" w14:textId="136B1D83" w:rsidR="005617FB" w:rsidRDefault="5B3C78D3" w:rsidP="005617FB">
      <w:pPr>
        <w:pStyle w:val="EFSABodytext"/>
      </w:pPr>
      <w:r>
        <w:t>Th</w:t>
      </w:r>
      <w:r w:rsidR="71BF9392">
        <w:t>e</w:t>
      </w:r>
      <w:r>
        <w:t xml:space="preserve"> </w:t>
      </w:r>
      <w:r w:rsidR="2385B6D0">
        <w:t xml:space="preserve">data-based </w:t>
      </w:r>
      <w:r>
        <w:t xml:space="preserve">“updating” </w:t>
      </w:r>
      <w:r w:rsidR="3CC51515">
        <w:t xml:space="preserve">of prior to posterior distributions </w:t>
      </w:r>
      <w:r>
        <w:t xml:space="preserve">is accomplished by </w:t>
      </w:r>
      <w:r w:rsidRPr="5E273EC8">
        <w:rPr>
          <w:i/>
          <w:iCs/>
        </w:rPr>
        <w:t>Bayes theorem</w:t>
      </w:r>
      <w:r>
        <w:t xml:space="preserve">. The </w:t>
      </w:r>
      <w:r w:rsidR="1EAF4758">
        <w:t xml:space="preserve">explicit </w:t>
      </w:r>
      <w:r>
        <w:t xml:space="preserve">analytical calculation of the posterior probability and posterior summary measures (direct calculation of integrals involved) is often not feasible and numerical techniques are required: </w:t>
      </w:r>
    </w:p>
    <w:p w14:paraId="27FC9AA1" w14:textId="77777777" w:rsidR="005617FB" w:rsidRDefault="005617FB" w:rsidP="005617FB">
      <w:pPr>
        <w:pStyle w:val="EFSABodytext"/>
        <w:numPr>
          <w:ilvl w:val="0"/>
          <w:numId w:val="61"/>
        </w:numPr>
      </w:pPr>
      <w:r>
        <w:t xml:space="preserve">numerical integration and approximation such as the </w:t>
      </w:r>
      <w:r w:rsidRPr="00892462">
        <w:rPr>
          <w:i/>
          <w:iCs/>
        </w:rPr>
        <w:t>Laplace approximation</w:t>
      </w:r>
      <w:r>
        <w:t xml:space="preserve">, </w:t>
      </w:r>
    </w:p>
    <w:p w14:paraId="20C4DEEB" w14:textId="77777777" w:rsidR="005617FB" w:rsidRDefault="005617FB" w:rsidP="005617FB">
      <w:pPr>
        <w:pStyle w:val="EFSABodytext"/>
        <w:numPr>
          <w:ilvl w:val="0"/>
          <w:numId w:val="61"/>
        </w:numPr>
      </w:pPr>
      <w:r>
        <w:t xml:space="preserve">sampling from the posterior using </w:t>
      </w:r>
      <w:r w:rsidRPr="00892462">
        <w:rPr>
          <w:i/>
          <w:iCs/>
        </w:rPr>
        <w:t>Markov chain Monte Carlo</w:t>
      </w:r>
      <w:r>
        <w:t xml:space="preserve"> (MCMC) methods.</w:t>
      </w:r>
    </w:p>
    <w:p w14:paraId="420AB86A" w14:textId="75D6A236" w:rsidR="005617FB" w:rsidRDefault="06AAB3E9" w:rsidP="005617FB">
      <w:pPr>
        <w:pStyle w:val="EFSABodytext"/>
      </w:pPr>
      <w:r>
        <w:t xml:space="preserve">Both paradigms, </w:t>
      </w:r>
      <w:proofErr w:type="gramStart"/>
      <w:r>
        <w:t>frequentist</w:t>
      </w:r>
      <w:proofErr w:type="gramEnd"/>
      <w:r>
        <w:t xml:space="preserve"> and Bayesian, have a great deal to contribute to statistical practice. There are useful connections between both paradigms when no other external information, other than the data</w:t>
      </w:r>
      <w:r w:rsidR="0A594096">
        <w:t>,</w:t>
      </w:r>
      <w:r>
        <w:t xml:space="preserve"> is introduced in the analysis (</w:t>
      </w:r>
      <w:proofErr w:type="spellStart"/>
      <w:r>
        <w:t>Bayarri</w:t>
      </w:r>
      <w:proofErr w:type="spellEnd"/>
      <w:r>
        <w:t xml:space="preserve"> and Berger</w:t>
      </w:r>
      <w:r w:rsidR="004D0188">
        <w:t>,</w:t>
      </w:r>
      <w:r>
        <w:t xml:space="preserve"> 2004). An uninformative, or diffuse, or objective o</w:t>
      </w:r>
      <w:r w:rsidR="772B917B">
        <w:t>r</w:t>
      </w:r>
      <w:r>
        <w:t xml:space="preserve"> flat prior expresses only general, vague, objective information and follows the principle to assign equal probabilities to all possibilities (indifference, ignorance). Using such objective prior typically leads to results </w:t>
      </w:r>
      <w:proofErr w:type="gramStart"/>
      <w:r>
        <w:t>similar to</w:t>
      </w:r>
      <w:proofErr w:type="gramEnd"/>
      <w:r>
        <w:t xml:space="preserve"> those of a frequentist analysis. The full strength of the Bayesian approach is utilized when applying </w:t>
      </w:r>
      <w:r w:rsidRPr="5E273EC8">
        <w:rPr>
          <w:i/>
          <w:iCs/>
        </w:rPr>
        <w:t>informative priors</w:t>
      </w:r>
      <w:r>
        <w:t xml:space="preserve">, encapsulating all relevant information apart from that in the data under analysis, merging such external information seamlessly with the data by including such information quantitatively by a probability distribution. </w:t>
      </w:r>
    </w:p>
    <w:p w14:paraId="43722780" w14:textId="0E88E2A2" w:rsidR="005617FB" w:rsidRDefault="005617FB" w:rsidP="005617FB">
      <w:pPr>
        <w:pStyle w:val="EFSABodytext"/>
      </w:pPr>
    </w:p>
    <w:p w14:paraId="4CFD0FFA" w14:textId="0CA8E27B" w:rsidR="005617FB" w:rsidRPr="00FC17C2" w:rsidRDefault="65F9AAEC" w:rsidP="75DDFF97">
      <w:pPr>
        <w:pStyle w:val="EFSABodytext"/>
        <w:rPr>
          <w:b/>
          <w:bCs/>
        </w:rPr>
      </w:pPr>
      <w:r w:rsidRPr="00FC17C2">
        <w:rPr>
          <w:b/>
          <w:bCs/>
        </w:rPr>
        <w:t xml:space="preserve">Bayesian </w:t>
      </w:r>
      <w:r w:rsidRPr="75DDFF97">
        <w:rPr>
          <w:b/>
          <w:bCs/>
        </w:rPr>
        <w:t xml:space="preserve">versus frequentist </w:t>
      </w:r>
      <w:r w:rsidRPr="00FC17C2">
        <w:rPr>
          <w:b/>
          <w:bCs/>
        </w:rPr>
        <w:t>BMD estimation</w:t>
      </w:r>
    </w:p>
    <w:p w14:paraId="252826A5" w14:textId="00948498" w:rsidR="005617FB" w:rsidRDefault="5687FD36" w:rsidP="005617FB">
      <w:pPr>
        <w:pStyle w:val="EFSABodytext"/>
      </w:pPr>
      <w:r>
        <w:t>In the frequentist approach, the true BMD is a single</w:t>
      </w:r>
      <w:r w:rsidR="42A14B3E">
        <w:t xml:space="preserve"> specific and</w:t>
      </w:r>
      <w:r>
        <w:t xml:space="preserve"> unknown value, and interpretation of the estimation of that unkno</w:t>
      </w:r>
      <w:r w:rsidR="6C8BF96D">
        <w:t xml:space="preserve">wn true BMD is in terms of </w:t>
      </w:r>
      <w:r w:rsidR="3651CA5C">
        <w:t xml:space="preserve">an abundant number of </w:t>
      </w:r>
      <w:r w:rsidR="4D8D2775">
        <w:t>“</w:t>
      </w:r>
      <w:r w:rsidR="6C8BF96D">
        <w:t>repeated samples</w:t>
      </w:r>
      <w:r w:rsidR="0C390FE1">
        <w:t>”</w:t>
      </w:r>
      <w:r w:rsidR="6C8BF96D">
        <w:t xml:space="preserve">. These </w:t>
      </w:r>
      <w:r w:rsidR="1C57E6A5">
        <w:t xml:space="preserve">repeated </w:t>
      </w:r>
      <w:r w:rsidR="6C8BF96D">
        <w:t xml:space="preserve">samples are </w:t>
      </w:r>
      <w:r w:rsidR="2E8D1925">
        <w:t xml:space="preserve">not </w:t>
      </w:r>
      <w:r w:rsidR="6C8BF96D">
        <w:t xml:space="preserve">observed but are assumed to be </w:t>
      </w:r>
      <w:r w:rsidR="1035E850">
        <w:t>“similar</w:t>
      </w:r>
      <w:r w:rsidR="7AF8E6D1">
        <w:t>’</w:t>
      </w:r>
      <w:r w:rsidR="1035E850">
        <w:t>’ to the observed one (</w:t>
      </w:r>
      <w:proofErr w:type="gramStart"/>
      <w:r w:rsidR="1035E850">
        <w:t>similar</w:t>
      </w:r>
      <w:r w:rsidR="5254B80E">
        <w:t xml:space="preserve"> to</w:t>
      </w:r>
      <w:proofErr w:type="gramEnd"/>
      <w:r w:rsidR="5254B80E">
        <w:t xml:space="preserve"> be interpreted as:</w:t>
      </w:r>
      <w:r w:rsidR="1035E850">
        <w:t xml:space="preserve"> </w:t>
      </w:r>
      <w:r w:rsidR="574F9DD9">
        <w:t xml:space="preserve">taken </w:t>
      </w:r>
      <w:r w:rsidR="6C8BF96D">
        <w:t>from the same population</w:t>
      </w:r>
      <w:r w:rsidR="44CC20C7">
        <w:t xml:space="preserve"> with the same</w:t>
      </w:r>
      <w:r w:rsidR="109E85C9">
        <w:t xml:space="preserve"> random</w:t>
      </w:r>
      <w:r w:rsidR="3AFD2E5D">
        <w:t>/probabilistic</w:t>
      </w:r>
      <w:r w:rsidR="572D36F9">
        <w:t xml:space="preserve"> </w:t>
      </w:r>
      <w:r w:rsidR="44CC20C7">
        <w:t xml:space="preserve">sampling plan). </w:t>
      </w:r>
      <w:r w:rsidR="3E826E0F">
        <w:t xml:space="preserve">The 95% confidence interval </w:t>
      </w:r>
      <w:proofErr w:type="gramStart"/>
      <w:r w:rsidR="3E826E0F">
        <w:t>has to</w:t>
      </w:r>
      <w:proofErr w:type="gramEnd"/>
      <w:r w:rsidR="3E826E0F">
        <w:t xml:space="preserve"> be interpreted in terms of repeated samples</w:t>
      </w:r>
      <w:r w:rsidR="6BFA0D4E">
        <w:t xml:space="preserve">: if for each of these </w:t>
      </w:r>
      <w:r w:rsidR="08A81776">
        <w:t xml:space="preserve">unobserved </w:t>
      </w:r>
      <w:r w:rsidR="6BFA0D4E">
        <w:t>r</w:t>
      </w:r>
      <w:r w:rsidR="00EEA4C2">
        <w:t>epeated</w:t>
      </w:r>
      <w:r w:rsidR="6BFA0D4E">
        <w:t xml:space="preserve"> samples a 95% CI </w:t>
      </w:r>
      <w:r w:rsidR="091872CA">
        <w:t>would be</w:t>
      </w:r>
      <w:r w:rsidR="6BFA0D4E">
        <w:t xml:space="preserve"> computed, it is expected that 95% of these C</w:t>
      </w:r>
      <w:r w:rsidR="339496A6">
        <w:t xml:space="preserve">Is contain the true unknown BMD. </w:t>
      </w:r>
      <w:r w:rsidR="03AB73E2">
        <w:t xml:space="preserve">So, one is “confident” that the CI based on the </w:t>
      </w:r>
      <w:r w:rsidR="7ECBDB25">
        <w:t xml:space="preserve">single </w:t>
      </w:r>
      <w:r w:rsidR="03AB73E2">
        <w:t xml:space="preserve">observed sample contains the true BMD, but one does not know, </w:t>
      </w:r>
      <w:r w:rsidR="6B15F545">
        <w:t>and</w:t>
      </w:r>
      <w:r w:rsidR="03AB73E2">
        <w:t xml:space="preserve"> t</w:t>
      </w:r>
      <w:r w:rsidR="29A8E0BB">
        <w:t>here is no probability attached to th</w:t>
      </w:r>
      <w:r w:rsidR="79429184">
        <w:t>e</w:t>
      </w:r>
      <w:r w:rsidR="29A8E0BB">
        <w:t xml:space="preserve"> event that the CI of the observed sample contains the true BMD. </w:t>
      </w:r>
      <w:r w:rsidR="705AB1D2">
        <w:t xml:space="preserve">The </w:t>
      </w:r>
      <w:r w:rsidR="03240F9B">
        <w:t xml:space="preserve">5% </w:t>
      </w:r>
      <w:r w:rsidR="705AB1D2">
        <w:t xml:space="preserve">BMDL and </w:t>
      </w:r>
      <w:r w:rsidR="03240F9B">
        <w:t xml:space="preserve">95% </w:t>
      </w:r>
      <w:r w:rsidR="705AB1D2">
        <w:t>BMDU are defined as the lower and re</w:t>
      </w:r>
      <w:r w:rsidR="03240F9B">
        <w:t>spectively upper bound of a 90% CI for the BMD.</w:t>
      </w:r>
    </w:p>
    <w:p w14:paraId="63093C17" w14:textId="296E2B40" w:rsidR="00580B9C" w:rsidRDefault="4D61A564" w:rsidP="005617FB">
      <w:pPr>
        <w:pStyle w:val="EFSABodytext"/>
      </w:pPr>
      <w:r>
        <w:t>In the Bayesian approach, the BMD is not a single specific</w:t>
      </w:r>
      <w:r w:rsidR="310136F3">
        <w:t xml:space="preserve"> value</w:t>
      </w:r>
      <w:r w:rsidR="02AEBDE2">
        <w:t xml:space="preserve"> but a random variable with a particular distribution</w:t>
      </w:r>
      <w:r w:rsidR="48051113">
        <w:t xml:space="preserve"> (the prior and posterior distribution)</w:t>
      </w:r>
      <w:r w:rsidR="02AEBDE2">
        <w:t xml:space="preserve">. </w:t>
      </w:r>
      <w:r w:rsidR="5A6D79F2">
        <w:t>That distribution expresses the knowledge about th</w:t>
      </w:r>
      <w:r w:rsidR="49A4F004">
        <w:t>e BMD</w:t>
      </w:r>
      <w:r w:rsidR="5A6D79F2">
        <w:t xml:space="preserve">. More probability </w:t>
      </w:r>
      <w:r w:rsidR="624EE494">
        <w:t xml:space="preserve">(area under the density) </w:t>
      </w:r>
      <w:r w:rsidR="5A6D79F2">
        <w:t>i</w:t>
      </w:r>
      <w:r w:rsidR="13F50FA6">
        <w:t>n</w:t>
      </w:r>
      <w:r w:rsidR="5A6D79F2">
        <w:t xml:space="preserve"> certain region</w:t>
      </w:r>
      <w:r w:rsidR="03B32A5A">
        <w:t>(</w:t>
      </w:r>
      <w:r w:rsidR="5A6D79F2">
        <w:t>s</w:t>
      </w:r>
      <w:r w:rsidR="350980B7">
        <w:t>)</w:t>
      </w:r>
      <w:r w:rsidR="5A6D79F2">
        <w:t xml:space="preserve"> </w:t>
      </w:r>
      <w:r w:rsidR="3E2ABC11">
        <w:t xml:space="preserve">expresses that the values in these region(s) are more likely. </w:t>
      </w:r>
      <w:r w:rsidR="2FCD1A1F">
        <w:t>The mode</w:t>
      </w:r>
      <w:r w:rsidR="1E3E7813">
        <w:t xml:space="preserve"> </w:t>
      </w:r>
      <w:r w:rsidR="2FCD1A1F">
        <w:t>of th</w:t>
      </w:r>
      <w:r w:rsidR="720A1CBA">
        <w:t>e</w:t>
      </w:r>
      <w:r w:rsidR="2FCD1A1F">
        <w:t xml:space="preserve"> distribution </w:t>
      </w:r>
      <w:r w:rsidR="7D048935">
        <w:t>is</w:t>
      </w:r>
      <w:r w:rsidR="2FCD1A1F">
        <w:t xml:space="preserve"> the most likely value for the BMD. </w:t>
      </w:r>
      <w:r w:rsidR="5AC1A77C">
        <w:t>The</w:t>
      </w:r>
      <w:r w:rsidR="2FCD1A1F">
        <w:t xml:space="preserve"> spread (</w:t>
      </w:r>
      <w:r w:rsidR="3F1108FC">
        <w:t xml:space="preserve">the </w:t>
      </w:r>
      <w:r w:rsidR="2FCD1A1F">
        <w:t>standard deviation)</w:t>
      </w:r>
      <w:r w:rsidR="765C219A">
        <w:t xml:space="preserve"> of the BMD distribution</w:t>
      </w:r>
      <w:r w:rsidR="2FCD1A1F">
        <w:t xml:space="preserve"> expresses t</w:t>
      </w:r>
      <w:r w:rsidR="218CCFFD">
        <w:t>he uncertainty about the knowledge of BMD.</w:t>
      </w:r>
      <w:r w:rsidR="35C45706">
        <w:t xml:space="preserve"> A larger standard deviation expresses more uncertainty. </w:t>
      </w:r>
      <w:r w:rsidR="02AEBDE2">
        <w:t xml:space="preserve">The distribution </w:t>
      </w:r>
      <w:r w:rsidR="261EE336">
        <w:t>of the BMD</w:t>
      </w:r>
      <w:r w:rsidR="243248DE">
        <w:t>,</w:t>
      </w:r>
      <w:r w:rsidR="261EE336">
        <w:t xml:space="preserve"> prior to having used the data or even having set up the experiment</w:t>
      </w:r>
      <w:r w:rsidR="5B71C592">
        <w:t>,</w:t>
      </w:r>
      <w:r w:rsidR="261EE336">
        <w:t xml:space="preserve"> is </w:t>
      </w:r>
      <w:r w:rsidR="3EAF6DE8">
        <w:t>called</w:t>
      </w:r>
      <w:r w:rsidR="261EE336">
        <w:t xml:space="preserve"> the </w:t>
      </w:r>
      <w:r w:rsidR="261EE336" w:rsidRPr="5E273EC8">
        <w:rPr>
          <w:i/>
          <w:iCs/>
        </w:rPr>
        <w:t>prior di</w:t>
      </w:r>
      <w:r w:rsidR="1063FD63" w:rsidRPr="5E273EC8">
        <w:rPr>
          <w:i/>
          <w:iCs/>
        </w:rPr>
        <w:t>stribution</w:t>
      </w:r>
      <w:r w:rsidR="1063FD63">
        <w:t xml:space="preserve">. In case there is </w:t>
      </w:r>
      <w:r w:rsidR="037584BC">
        <w:t>no “prior knowledge”, one uses a vague, flat prior. Supp</w:t>
      </w:r>
      <w:r w:rsidR="0BD705D9">
        <w:t>ose your experiment has a range of dose values (0,100), the prior distribution of the BMD could then be taken as the uniform prior, taking the cons</w:t>
      </w:r>
      <w:r w:rsidR="64CE0293">
        <w:t>tant value</w:t>
      </w:r>
      <w:r w:rsidR="037584BC">
        <w:t xml:space="preserve"> </w:t>
      </w:r>
      <w:r w:rsidR="08BD08FE">
        <w:t xml:space="preserve">1/100 on the interval (0,100): no mode, maximal spread. In case there is prior </w:t>
      </w:r>
      <w:r w:rsidR="30618E0B">
        <w:t>knowledge,</w:t>
      </w:r>
      <w:r w:rsidR="08BD08FE">
        <w:t xml:space="preserve"> </w:t>
      </w:r>
      <w:r w:rsidR="4A6FCE58">
        <w:t xml:space="preserve">from </w:t>
      </w:r>
      <w:r w:rsidR="29605CC4">
        <w:t xml:space="preserve">the </w:t>
      </w:r>
      <w:r w:rsidR="4A6FCE58">
        <w:t xml:space="preserve">literature </w:t>
      </w:r>
      <w:r w:rsidR="5B7EA220">
        <w:t xml:space="preserve">or from experts, </w:t>
      </w:r>
      <w:r w:rsidR="08BD08FE">
        <w:t xml:space="preserve">that </w:t>
      </w:r>
      <w:r w:rsidR="76A3F20A">
        <w:t xml:space="preserve">the BMD is expected to be </w:t>
      </w:r>
      <w:r w:rsidR="451ECB1D">
        <w:t>a</w:t>
      </w:r>
      <w:r w:rsidR="14A07427">
        <w:t xml:space="preserve">round </w:t>
      </w:r>
      <w:r w:rsidR="0C14C3B0">
        <w:t xml:space="preserve">the most likely value </w:t>
      </w:r>
      <w:r w:rsidR="451ECB1D">
        <w:t>5.25</w:t>
      </w:r>
      <w:r w:rsidR="77B858AD">
        <w:t xml:space="preserve"> (the mode)</w:t>
      </w:r>
      <w:r w:rsidR="451ECB1D">
        <w:t>,</w:t>
      </w:r>
      <w:r w:rsidR="31FE0953">
        <w:t xml:space="preserve"> and to be</w:t>
      </w:r>
      <w:r w:rsidR="451ECB1D">
        <w:t xml:space="preserve"> </w:t>
      </w:r>
      <w:r w:rsidR="0374F973">
        <w:t xml:space="preserve">within a minimum </w:t>
      </w:r>
      <w:r w:rsidR="7D0E630E">
        <w:t xml:space="preserve">4.5 </w:t>
      </w:r>
      <w:r w:rsidR="0374F973">
        <w:t>and maximum value</w:t>
      </w:r>
      <w:r w:rsidR="3A0869D4">
        <w:t xml:space="preserve"> 5.8</w:t>
      </w:r>
      <w:r w:rsidR="0374F973">
        <w:t xml:space="preserve">, </w:t>
      </w:r>
      <w:r w:rsidR="451ECB1D">
        <w:t xml:space="preserve">one could use </w:t>
      </w:r>
      <w:r w:rsidR="7A78B452">
        <w:t>a</w:t>
      </w:r>
      <w:r w:rsidR="00672DEA">
        <w:t xml:space="preserve"> </w:t>
      </w:r>
      <w:r w:rsidR="17555A12">
        <w:t>particular</w:t>
      </w:r>
      <w:r w:rsidR="7A78B452">
        <w:t xml:space="preserve"> unimodal prior distribution</w:t>
      </w:r>
      <w:r w:rsidR="4C89ABE0">
        <w:t xml:space="preserve"> </w:t>
      </w:r>
      <w:r w:rsidR="451ECB1D">
        <w:t xml:space="preserve">with </w:t>
      </w:r>
      <w:r w:rsidR="07D7BA82">
        <w:t>m</w:t>
      </w:r>
      <w:r w:rsidR="451BA2ED">
        <w:t>ode 5.25</w:t>
      </w:r>
      <w:r w:rsidR="0699E4B5">
        <w:t>, minimum 4.5</w:t>
      </w:r>
      <w:r w:rsidR="650446D0">
        <w:t xml:space="preserve"> and </w:t>
      </w:r>
      <w:r w:rsidR="4709481A">
        <w:t>maximum 5.8</w:t>
      </w:r>
      <w:r w:rsidR="041F81B5">
        <w:t xml:space="preserve"> (see </w:t>
      </w:r>
      <w:r w:rsidR="002A2DC6" w:rsidRPr="00FC5642">
        <w:t>Section</w:t>
      </w:r>
      <w:r w:rsidR="041F81B5" w:rsidDel="00B90F8B">
        <w:t xml:space="preserve"> </w:t>
      </w:r>
      <w:r w:rsidR="00B90F8B" w:rsidRPr="00FC5642">
        <w:fldChar w:fldCharType="begin"/>
      </w:r>
      <w:r w:rsidR="00B90F8B" w:rsidRPr="00FC5642">
        <w:instrText xml:space="preserve"> REF _Ref94101769 \r \h </w:instrText>
      </w:r>
      <w:r w:rsidR="00B90F8B">
        <w:instrText xml:space="preserve"> \* MERGEFORMAT </w:instrText>
      </w:r>
      <w:r w:rsidR="00B90F8B" w:rsidRPr="00FC5642">
        <w:fldChar w:fldCharType="separate"/>
      </w:r>
      <w:r w:rsidR="00B90F8B" w:rsidRPr="00FC5642">
        <w:t>2.6.4</w:t>
      </w:r>
      <w:r w:rsidR="00B90F8B" w:rsidRPr="00FC5642">
        <w:fldChar w:fldCharType="end"/>
      </w:r>
      <w:r w:rsidR="041F81B5">
        <w:t>)</w:t>
      </w:r>
      <w:r w:rsidR="451BA2ED">
        <w:t>.</w:t>
      </w:r>
      <w:r w:rsidR="02BE69BA">
        <w:t xml:space="preserve"> With the data and a model</w:t>
      </w:r>
      <w:r w:rsidR="003F57FF">
        <w:t>,</w:t>
      </w:r>
      <w:r w:rsidR="02BE69BA">
        <w:t xml:space="preserve"> and based on Bayes’ theorem, the prior distri</w:t>
      </w:r>
      <w:r w:rsidR="42A7B453">
        <w:t>bution for the BMD is revised, updated</w:t>
      </w:r>
      <w:r w:rsidR="02BE69BA">
        <w:t xml:space="preserve"> </w:t>
      </w:r>
      <w:r w:rsidR="74196900">
        <w:t>to the so-called posterior distribution (post factum using the data and the model)</w:t>
      </w:r>
      <w:r w:rsidR="593D0ED7">
        <w:t xml:space="preserve">, based on the equation (with </w:t>
      </w:r>
      <m:oMath>
        <m:r>
          <w:rPr>
            <w:rFonts w:ascii="Cambria Math" w:hAnsi="Cambria Math"/>
          </w:rPr>
          <m:t>∝</m:t>
        </m:r>
      </m:oMath>
      <w:r w:rsidR="593D0ED7" w:rsidRPr="5E273EC8">
        <w:rPr>
          <w:rFonts w:eastAsiaTheme="minorEastAsia"/>
        </w:rPr>
        <w:t xml:space="preserve"> denoting “is proportional to”</w:t>
      </w:r>
      <w:r w:rsidR="593D0ED7">
        <w:t>)</w:t>
      </w:r>
    </w:p>
    <w:p w14:paraId="307CA3C4" w14:textId="1D3CCB23" w:rsidR="0011550E" w:rsidRDefault="0035365D" w:rsidP="00580B9C">
      <w:pPr>
        <w:pStyle w:val="EFSABodytext"/>
        <w:jc w:val="center"/>
      </w:pPr>
      <w:r>
        <w:rPr>
          <w:noProof/>
        </w:rPr>
        <mc:AlternateContent>
          <mc:Choice Requires="wps">
            <w:drawing>
              <wp:anchor distT="0" distB="0" distL="114300" distR="114300" simplePos="0" relativeHeight="251658241" behindDoc="0" locked="0" layoutInCell="1" allowOverlap="1" wp14:anchorId="1737AF80" wp14:editId="159AC4A8">
                <wp:simplePos x="0" y="0"/>
                <wp:positionH relativeFrom="column">
                  <wp:posOffset>926234</wp:posOffset>
                </wp:positionH>
                <wp:positionV relativeFrom="paragraph">
                  <wp:posOffset>174208</wp:posOffset>
                </wp:positionV>
                <wp:extent cx="3808990" cy="290670"/>
                <wp:effectExtent l="0" t="0" r="13970" b="14605"/>
                <wp:wrapNone/>
                <wp:docPr id="67" name="Text Box 67"/>
                <wp:cNvGraphicFramePr/>
                <a:graphic xmlns:a="http://schemas.openxmlformats.org/drawingml/2006/main">
                  <a:graphicData uri="http://schemas.microsoft.com/office/word/2010/wordprocessingShape">
                    <wps:wsp>
                      <wps:cNvSpPr txBox="1"/>
                      <wps:spPr>
                        <a:xfrm>
                          <a:off x="0" y="0"/>
                          <a:ext cx="3808990" cy="290670"/>
                        </a:xfrm>
                        <a:prstGeom prst="rect">
                          <a:avLst/>
                        </a:prstGeom>
                        <a:solidFill>
                          <a:schemeClr val="lt1"/>
                        </a:solidFill>
                        <a:ln w="6350">
                          <a:solidFill>
                            <a:prstClr val="black"/>
                          </a:solidFill>
                        </a:ln>
                      </wps:spPr>
                      <wps:txbx>
                        <w:txbxContent>
                          <w:p w14:paraId="1A843CFC" w14:textId="77777777" w:rsidR="00E07A63" w:rsidRDefault="00E07A63" w:rsidP="0035365D">
                            <w:r>
                              <w:t xml:space="preserve">posterior distribution     </w:t>
                            </w:r>
                            <m:oMath>
                              <m:r>
                                <w:rPr>
                                  <w:rFonts w:ascii="Cambria Math" w:hAnsi="Cambria Math"/>
                                </w:rPr>
                                <m:t>∝</m:t>
                              </m:r>
                            </m:oMath>
                            <w:r>
                              <w:t xml:space="preserve">     likelihood </w:t>
                            </w:r>
                            <m:oMath>
                              <m:r>
                                <w:rPr>
                                  <w:rFonts w:ascii="Cambria Math" w:hAnsi="Cambria Math"/>
                                </w:rPr>
                                <m:t>×</m:t>
                              </m:r>
                            </m:oMath>
                            <w:r>
                              <w:t xml:space="preserve"> prior distribution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37AF80" id="_x0000_t202" coordsize="21600,21600" o:spt="202" path="m,l,21600r21600,l21600,xe">
                <v:stroke joinstyle="miter"/>
                <v:path gradientshapeok="t" o:connecttype="rect"/>
              </v:shapetype>
              <v:shape id="Text Box 67" o:spid="_x0000_s1026" type="#_x0000_t202" style="position:absolute;left:0;text-align:left;margin-left:72.95pt;margin-top:13.7pt;width:299.9pt;height:22.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" fillcolor="white [3201]" strokeweight=".5pt">
                <v:textbox>
                  <w:txbxContent>
                    <w:p w14:paraId="1A843CFC" w14:textId="77777777" w:rsidR="00E07A63" w:rsidRDefault="00E07A63" w:rsidP="0035365D">
                      <w:r>
                        <w:t xml:space="preserve">posterior distribution     </w:t>
                      </w:r>
                      <m:oMath>
                        <m:r>
                          <w:rPr>
                            <w:rFonts w:ascii="Cambria Math" w:hAnsi="Cambria Math"/>
                          </w:rPr>
                          <m:t>∝</m:t>
                        </m:r>
                      </m:oMath>
                      <w:r>
                        <w:t xml:space="preserve">     likelihood </w:t>
                      </w:r>
                      <m:oMath>
                        <m:r>
                          <w:rPr>
                            <w:rFonts w:ascii="Cambria Math" w:hAnsi="Cambria Math"/>
                          </w:rPr>
                          <m:t>×</m:t>
                        </m:r>
                      </m:oMath>
                      <w:r>
                        <w:t xml:space="preserve"> prior distribution                   </w:t>
                      </w:r>
                    </w:p>
                  </w:txbxContent>
                </v:textbox>
              </v:shape>
            </w:pict>
          </mc:Fallback>
        </mc:AlternateContent>
      </w:r>
    </w:p>
    <w:p w14:paraId="044492D3" w14:textId="08C39FC0" w:rsidR="00580B9C" w:rsidRDefault="0035365D" w:rsidP="00580B9C">
      <w:pPr>
        <w:pStyle w:val="EFSABodytext"/>
        <w:jc w:val="center"/>
      </w:pPr>
      <w:r>
        <w:t xml:space="preserve">                                                                                                                          </w:t>
      </w:r>
      <w:r w:rsidR="0011550E">
        <w:t xml:space="preserve"> (*)</w:t>
      </w:r>
      <w:r>
        <w:t xml:space="preserve">                            </w:t>
      </w:r>
    </w:p>
    <w:p w14:paraId="5F2B9237" w14:textId="4A068E91" w:rsidR="0011550E" w:rsidRDefault="0011550E" w:rsidP="00097AD8">
      <w:pPr>
        <w:pStyle w:val="EFSABodytext"/>
        <w:jc w:val="center"/>
      </w:pPr>
    </w:p>
    <w:p w14:paraId="29579F77" w14:textId="2C252C0A" w:rsidR="0035365D" w:rsidRDefault="4D3FA3F3" w:rsidP="005617FB">
      <w:pPr>
        <w:pStyle w:val="EFSABodytext"/>
      </w:pPr>
      <w:r>
        <w:t>w</w:t>
      </w:r>
      <w:r w:rsidR="35AA12AE">
        <w:t>ith</w:t>
      </w:r>
      <w:r w:rsidR="4DC2693F">
        <w:t xml:space="preserve"> the</w:t>
      </w:r>
      <w:r w:rsidR="35AA12AE">
        <w:t xml:space="preserve"> </w:t>
      </w:r>
      <w:r w:rsidR="35AA12AE" w:rsidRPr="5E273EC8">
        <w:rPr>
          <w:i/>
          <w:iCs/>
        </w:rPr>
        <w:t>likelihood</w:t>
      </w:r>
      <w:r w:rsidR="35AA12AE">
        <w:t xml:space="preserve"> expressing the plausibility of the observed data as a function of the model parameters. The frequentist maximum likelihood (ML) estimate </w:t>
      </w:r>
      <w:r w:rsidR="6C82DD03">
        <w:t>is</w:t>
      </w:r>
      <w:r w:rsidR="35AA12AE">
        <w:t xml:space="preserve"> th</w:t>
      </w:r>
      <w:r w:rsidR="0E6B6EEA">
        <w:t>at</w:t>
      </w:r>
      <w:r w:rsidR="35AA12AE">
        <w:t xml:space="preserve"> value of the model parameter that maximize</w:t>
      </w:r>
      <w:r w:rsidR="2513DD56">
        <w:t>s</w:t>
      </w:r>
      <w:r w:rsidR="35AA12AE">
        <w:t xml:space="preserve"> the likelihood. The identity (*) connects frequentist ML estimation and Bayesian estimation. When using a flat uninformative prior,</w:t>
      </w:r>
      <w:r w:rsidR="0FD262D6">
        <w:t xml:space="preserve"> the prior has “no effect”, and</w:t>
      </w:r>
      <w:r w:rsidR="35AA12AE">
        <w:t xml:space="preserve"> maximizing the posterior distribution, leading to the posterior mode as a Bayesian estimate, coincides essentially with maximizing the likelihood, and in that case the Bayesian </w:t>
      </w:r>
      <w:proofErr w:type="gramStart"/>
      <w:r w:rsidR="35AA12AE">
        <w:t>estimate</w:t>
      </w:r>
      <w:proofErr w:type="gramEnd"/>
      <w:r w:rsidR="35AA12AE">
        <w:t xml:space="preserve"> and the ML estimate are essentially the same</w:t>
      </w:r>
      <w:r w:rsidR="732ED2F6">
        <w:t>. So</w:t>
      </w:r>
      <w:r w:rsidR="35AA12AE">
        <w:t xml:space="preserve"> </w:t>
      </w:r>
      <w:r w:rsidR="3633E618">
        <w:t xml:space="preserve">(with </w:t>
      </w:r>
      <m:oMath>
        <m:r>
          <w:rPr>
            <w:rFonts w:ascii="Cambria Math" w:hAnsi="Cambria Math"/>
          </w:rPr>
          <m:t>≡</m:t>
        </m:r>
      </m:oMath>
      <w:r w:rsidR="3633E618" w:rsidRPr="5E273EC8">
        <w:rPr>
          <w:rFonts w:eastAsiaTheme="minorEastAsia"/>
        </w:rPr>
        <w:t xml:space="preserve"> denoting equivalent, being essentially identica</w:t>
      </w:r>
      <w:r w:rsidR="620B673B" w:rsidRPr="5E273EC8">
        <w:rPr>
          <w:rFonts w:eastAsiaTheme="minorEastAsia"/>
        </w:rPr>
        <w:t xml:space="preserve">l up to </w:t>
      </w:r>
      <w:proofErr w:type="gramStart"/>
      <w:r w:rsidR="620B673B" w:rsidRPr="5E273EC8">
        <w:rPr>
          <w:rFonts w:eastAsiaTheme="minorEastAsia"/>
        </w:rPr>
        <w:t>e.g.</w:t>
      </w:r>
      <w:proofErr w:type="gramEnd"/>
      <w:r w:rsidR="620B673B" w:rsidRPr="5E273EC8">
        <w:rPr>
          <w:rFonts w:eastAsiaTheme="minorEastAsia"/>
        </w:rPr>
        <w:t xml:space="preserve"> minor differences due to numerical approximations</w:t>
      </w:r>
      <w:r w:rsidR="3633E618">
        <w:t>), this implies:</w:t>
      </w:r>
    </w:p>
    <w:p w14:paraId="3D313A43" w14:textId="5F0C2B41" w:rsidR="0035365D" w:rsidRDefault="0035365D" w:rsidP="005617FB">
      <w:pPr>
        <w:pStyle w:val="EFSABodytext"/>
      </w:pPr>
      <w:r>
        <w:rPr>
          <w:noProof/>
        </w:rPr>
        <mc:AlternateContent>
          <mc:Choice Requires="wps">
            <w:drawing>
              <wp:anchor distT="0" distB="0" distL="114300" distR="114300" simplePos="0" relativeHeight="251658240" behindDoc="0" locked="0" layoutInCell="1" allowOverlap="1" wp14:anchorId="11091D27" wp14:editId="4B95604F">
                <wp:simplePos x="0" y="0"/>
                <wp:positionH relativeFrom="column">
                  <wp:posOffset>867380</wp:posOffset>
                </wp:positionH>
                <wp:positionV relativeFrom="paragraph">
                  <wp:posOffset>143787</wp:posOffset>
                </wp:positionV>
                <wp:extent cx="4420609" cy="290670"/>
                <wp:effectExtent l="0" t="0" r="12065" b="14605"/>
                <wp:wrapNone/>
                <wp:docPr id="66" name="Text Box 66"/>
                <wp:cNvGraphicFramePr/>
                <a:graphic xmlns:a="http://schemas.openxmlformats.org/drawingml/2006/main">
                  <a:graphicData uri="http://schemas.microsoft.com/office/word/2010/wordprocessingShape">
                    <wps:wsp>
                      <wps:cNvSpPr txBox="1"/>
                      <wps:spPr>
                        <a:xfrm>
                          <a:off x="0" y="0"/>
                          <a:ext cx="4420609" cy="290670"/>
                        </a:xfrm>
                        <a:prstGeom prst="rect">
                          <a:avLst/>
                        </a:prstGeom>
                        <a:solidFill>
                          <a:schemeClr val="lt1"/>
                        </a:solidFill>
                        <a:ln w="6350">
                          <a:solidFill>
                            <a:prstClr val="black"/>
                          </a:solidFill>
                        </a:ln>
                      </wps:spPr>
                      <wps:txbx>
                        <w:txbxContent>
                          <w:p w14:paraId="6E097BA3" w14:textId="6DF9769D" w:rsidR="00E07A63" w:rsidRDefault="00E07A63" w:rsidP="00573E0A">
                            <w:r>
                              <w:t xml:space="preserve">frequentist BMD(L/U)   </w:t>
                            </w:r>
                            <m:oMath>
                              <m:r>
                                <w:rPr>
                                  <w:rFonts w:ascii="Cambria Math" w:hAnsi="Cambria Math"/>
                                </w:rPr>
                                <m:t>≡</m:t>
                              </m:r>
                            </m:oMath>
                            <w:r>
                              <w:t xml:space="preserve">   Bayesian BMD(L/U) with uninformative prior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091D27" id="Text Box 66" o:spid="_x0000_s1027" type="#_x0000_t202" style="position:absolute;left:0;text-align:left;margin-left:68.3pt;margin-top:11.3pt;width:348.1pt;height:22.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" fillcolor="white [3201]" strokeweight=".5pt">
                <v:textbox>
                  <w:txbxContent>
                    <w:p w14:paraId="6E097BA3" w14:textId="6DF9769D" w:rsidR="00E07A63" w:rsidRDefault="00E07A63" w:rsidP="00573E0A">
                      <w:r>
                        <w:t xml:space="preserve">frequentist BMD(L/U)   </w:t>
                      </w:r>
                      <m:oMath>
                        <m:r>
                          <w:rPr>
                            <w:rFonts w:ascii="Cambria Math" w:hAnsi="Cambria Math"/>
                          </w:rPr>
                          <m:t>≡</m:t>
                        </m:r>
                      </m:oMath>
                      <w:r>
                        <w:t xml:space="preserve">   Bayesian BMD(L/U) with uninformative prior</w:t>
                      </w:r>
                    </w:p>
                  </w:txbxContent>
                </v:textbox>
              </v:shape>
            </w:pict>
          </mc:Fallback>
        </mc:AlternateContent>
      </w:r>
    </w:p>
    <w:p w14:paraId="34629E11" w14:textId="1395D06B" w:rsidR="0035365D" w:rsidRDefault="0035365D" w:rsidP="005617FB">
      <w:pPr>
        <w:pStyle w:val="EFSABodytext"/>
      </w:pPr>
    </w:p>
    <w:p w14:paraId="75696585" w14:textId="77777777" w:rsidR="00573E0A" w:rsidRDefault="00573E0A" w:rsidP="005617FB">
      <w:pPr>
        <w:pStyle w:val="EFSABodytext"/>
      </w:pPr>
    </w:p>
    <w:p w14:paraId="0EB99582" w14:textId="57638B95" w:rsidR="00580B9C" w:rsidRPr="0035365D" w:rsidRDefault="35AA12AE" w:rsidP="005617FB">
      <w:pPr>
        <w:pStyle w:val="EFSABodytext"/>
      </w:pPr>
      <w:r>
        <w:t>In this sense, Bayesian estimation can be viewed as an extension of ML estimation, as it combine</w:t>
      </w:r>
      <w:r w:rsidR="6580DE13">
        <w:t>s</w:t>
      </w:r>
      <w:r>
        <w:t xml:space="preserve"> data </w:t>
      </w:r>
      <w:r w:rsidR="732ED2F6">
        <w:t xml:space="preserve">information (through the likelihood) with other historical or expert knowledge (through the prior distribution). When a series of independent experiments are performed over time, equation (*) can be applied sequentially: the posterior of a parameter (such as the BMD) in experiment </w:t>
      </w:r>
      <w:r w:rsidR="732ED2F6" w:rsidRPr="5E273EC8">
        <w:rPr>
          <w:i/>
          <w:iCs/>
        </w:rPr>
        <w:t xml:space="preserve">j </w:t>
      </w:r>
      <w:r w:rsidR="732ED2F6">
        <w:t xml:space="preserve">can be used as a prior for the parameter when analysing the data of experiment </w:t>
      </w:r>
      <w:r w:rsidR="732ED2F6" w:rsidRPr="5E273EC8">
        <w:rPr>
          <w:i/>
          <w:iCs/>
        </w:rPr>
        <w:t>j+1</w:t>
      </w:r>
      <w:r w:rsidR="732ED2F6">
        <w:t xml:space="preserve">. </w:t>
      </w:r>
      <w:r w:rsidR="341B570C">
        <w:t>T</w:t>
      </w:r>
      <w:r w:rsidR="732ED2F6">
        <w:t>he Bayesian approach can mimic a learning process and reflect the accumulation of knowledge over time</w:t>
      </w:r>
      <w:r w:rsidR="341B570C">
        <w:t>, and is therefore proposed as the recommended</w:t>
      </w:r>
      <w:r w:rsidR="06DBFC9A">
        <w:t xml:space="preserve"> approach for BMD modelling in EFSA</w:t>
      </w:r>
    </w:p>
    <w:p w14:paraId="5A11EDC4" w14:textId="57332566" w:rsidR="005617FB" w:rsidRDefault="7A2F2117" w:rsidP="005617FB">
      <w:pPr>
        <w:pStyle w:val="EFSABodytext"/>
      </w:pPr>
      <w:r>
        <w:t xml:space="preserve">Despite the close connection between ML and Bayesian estimation, terminology and interpretation </w:t>
      </w:r>
      <w:proofErr w:type="gramStart"/>
      <w:r>
        <w:t>is</w:t>
      </w:r>
      <w:proofErr w:type="gramEnd"/>
      <w:r>
        <w:t xml:space="preserve"> different.</w:t>
      </w:r>
      <w:r w:rsidR="60702C32">
        <w:t xml:space="preserve"> </w:t>
      </w:r>
      <w:r w:rsidR="6E90B4E1">
        <w:t xml:space="preserve">The 95% </w:t>
      </w:r>
      <w:r w:rsidR="6E90B4E1" w:rsidRPr="75DDFF97">
        <w:rPr>
          <w:i/>
          <w:iCs/>
        </w:rPr>
        <w:t>credible interval (</w:t>
      </w:r>
      <w:r w:rsidR="6E90B4E1" w:rsidRPr="75DDFF97">
        <w:t>or</w:t>
      </w:r>
      <w:r w:rsidR="6E90B4E1" w:rsidRPr="75DDFF97">
        <w:rPr>
          <w:i/>
          <w:iCs/>
        </w:rPr>
        <w:t xml:space="preserve"> credibility, </w:t>
      </w:r>
      <w:proofErr w:type="spellStart"/>
      <w:r w:rsidR="6E90B4E1" w:rsidRPr="75DDFF97">
        <w:t>CrI</w:t>
      </w:r>
      <w:proofErr w:type="spellEnd"/>
      <w:r w:rsidR="6E90B4E1" w:rsidRPr="75DDFF97">
        <w:rPr>
          <w:i/>
          <w:iCs/>
        </w:rPr>
        <w:t>)</w:t>
      </w:r>
      <w:r w:rsidR="6E90B4E1">
        <w:t xml:space="preserve"> for the BMD is determined as an interval that covers 95% of likely values of the BMD (probability area 0.95 under the posterior distribution). The interpretation of the </w:t>
      </w:r>
      <w:proofErr w:type="spellStart"/>
      <w:r w:rsidR="6E90B4E1">
        <w:t>CrI</w:t>
      </w:r>
      <w:proofErr w:type="spellEnd"/>
      <w:r w:rsidR="6E90B4E1">
        <w:t xml:space="preserve"> is more natural than that of the frequentist CI: the probability that the BMD is within the limits of the </w:t>
      </w:r>
      <w:proofErr w:type="spellStart"/>
      <w:r w:rsidR="6E90B4E1">
        <w:t>CrI</w:t>
      </w:r>
      <w:proofErr w:type="spellEnd"/>
      <w:r w:rsidR="6E90B4E1">
        <w:t xml:space="preserve"> is 0.95. Turning to the BMDL and the BMDU: the 95% BMDL is the lower bound of a 90% CI or </w:t>
      </w:r>
      <w:proofErr w:type="spellStart"/>
      <w:r w:rsidR="6E90B4E1">
        <w:t>CrI</w:t>
      </w:r>
      <w:proofErr w:type="spellEnd"/>
      <w:r w:rsidR="6E90B4E1">
        <w:t xml:space="preserve"> (with 5% at the left side and 5% at the right side). For the frequentist CI the interpretation is again that: 5% of similarly constructed CIs for all theoretical repeated samples would have a lower limit above the true unknown specific BMD. For the Bayesian </w:t>
      </w:r>
      <w:proofErr w:type="spellStart"/>
      <w:r w:rsidR="6E90B4E1">
        <w:t>CrI</w:t>
      </w:r>
      <w:proofErr w:type="spellEnd"/>
      <w:r w:rsidR="6E90B4E1">
        <w:t xml:space="preserve"> the interpretation is: the probability that the BMD is below the BMDL is 0.05. </w:t>
      </w:r>
      <w:r w:rsidR="732CE016">
        <w:t>A similar interpretation holds for t</w:t>
      </w:r>
      <w:r w:rsidR="6E90B4E1">
        <w:t>he BMDU.</w:t>
      </w:r>
    </w:p>
    <w:p w14:paraId="6D91909A" w14:textId="7B93C847" w:rsidR="005617FB" w:rsidRDefault="7BB14E5F" w:rsidP="005617FB">
      <w:pPr>
        <w:pStyle w:val="EFSABodytext"/>
      </w:pPr>
      <w:r>
        <w:t xml:space="preserve">In case an </w:t>
      </w:r>
      <w:r w:rsidR="1DD608B5">
        <w:t xml:space="preserve">(highly) </w:t>
      </w:r>
      <w:r>
        <w:t>informative</w:t>
      </w:r>
      <w:r w:rsidR="53D3F34B">
        <w:t xml:space="preserve"> </w:t>
      </w:r>
      <w:r w:rsidR="4465FA5E">
        <w:t xml:space="preserve">prior has been used, and this prior is in line with the data, the obtained Bayesian </w:t>
      </w:r>
      <w:proofErr w:type="spellStart"/>
      <w:r w:rsidR="35366AE7">
        <w:t>CrI</w:t>
      </w:r>
      <w:proofErr w:type="spellEnd"/>
      <w:r w:rsidR="35366AE7">
        <w:t xml:space="preserve"> </w:t>
      </w:r>
      <w:r w:rsidR="4465FA5E">
        <w:t xml:space="preserve">will be </w:t>
      </w:r>
      <w:r w:rsidR="0DD1DFEC">
        <w:t xml:space="preserve">(much) </w:t>
      </w:r>
      <w:r w:rsidR="635D9B94">
        <w:t>narrower</w:t>
      </w:r>
      <w:r w:rsidR="1DAB5F8C">
        <w:t>.</w:t>
      </w:r>
      <w:r w:rsidR="4465FA5E">
        <w:t xml:space="preserve"> </w:t>
      </w:r>
      <w:r w:rsidR="7D5368B7">
        <w:t>H</w:t>
      </w:r>
      <w:r w:rsidR="6D5E4B1F">
        <w:t>owever</w:t>
      </w:r>
      <w:r w:rsidR="48CBB605">
        <w:t>, if</w:t>
      </w:r>
      <w:r w:rsidR="6D5E4B1F">
        <w:t xml:space="preserve"> the informative prior and the data are in </w:t>
      </w:r>
      <w:r w:rsidR="7458FEB7">
        <w:t>conflict</w:t>
      </w:r>
      <w:r w:rsidR="4DF8BF67">
        <w:t xml:space="preserve"> (</w:t>
      </w:r>
      <w:proofErr w:type="gramStart"/>
      <w:r w:rsidR="4DF8BF67">
        <w:t>e.g.</w:t>
      </w:r>
      <w:proofErr w:type="gramEnd"/>
      <w:r w:rsidR="4DF8BF67">
        <w:t xml:space="preserve"> the </w:t>
      </w:r>
      <w:proofErr w:type="spellStart"/>
      <w:r w:rsidR="4DF8BF67">
        <w:t>center</w:t>
      </w:r>
      <w:proofErr w:type="spellEnd"/>
      <w:r w:rsidR="4DF8BF67">
        <w:t xml:space="preserve"> of the prior is </w:t>
      </w:r>
      <w:r w:rsidR="36B5BCE4">
        <w:t>quite</w:t>
      </w:r>
      <w:r w:rsidR="4DF8BF67">
        <w:t xml:space="preserve"> different from that given by the data</w:t>
      </w:r>
      <w:r w:rsidR="3FA17E52">
        <w:t xml:space="preserve"> through the model applied</w:t>
      </w:r>
      <w:r w:rsidR="4DF8BF67">
        <w:t>)</w:t>
      </w:r>
      <w:r w:rsidR="125087A6">
        <w:t>, the resulting posterior BMD distribution might have a larger spread</w:t>
      </w:r>
      <w:r w:rsidR="00D0C13D">
        <w:t xml:space="preserve">, and the </w:t>
      </w:r>
      <w:r w:rsidR="003F658E">
        <w:t xml:space="preserve">Bayesian </w:t>
      </w:r>
      <w:proofErr w:type="spellStart"/>
      <w:r w:rsidR="00D0C13D">
        <w:t>CrI</w:t>
      </w:r>
      <w:proofErr w:type="spellEnd"/>
      <w:r w:rsidR="00D0C13D">
        <w:t xml:space="preserve"> may be wider than the frequentist CI</w:t>
      </w:r>
      <w:r w:rsidR="47588E25">
        <w:t>.</w:t>
      </w:r>
      <w:r w:rsidR="125087A6">
        <w:t xml:space="preserve"> </w:t>
      </w:r>
      <w:r w:rsidR="3A2DE2BA">
        <w:t xml:space="preserve">A relevant question is then: why is the prior distribution not in line with the data? </w:t>
      </w:r>
      <w:r w:rsidR="4B6D7734">
        <w:t>Many reasons may apply: the data come from an experiment with different characteristics than those (h</w:t>
      </w:r>
      <w:r w:rsidR="60563C17">
        <w:t>istorical experiments</w:t>
      </w:r>
      <w:r w:rsidR="4B6D7734">
        <w:t>) behind</w:t>
      </w:r>
      <w:r w:rsidR="22A451B2">
        <w:t xml:space="preserve"> the prior distribution, such as </w:t>
      </w:r>
      <w:r w:rsidR="2B441BEF">
        <w:t xml:space="preserve">different </w:t>
      </w:r>
      <w:r w:rsidR="22A451B2">
        <w:t>experimental units (animals)</w:t>
      </w:r>
      <w:r w:rsidR="3E4BFCBE">
        <w:t xml:space="preserve">, different methods used to obtain the measured endpoints, </w:t>
      </w:r>
      <w:r w:rsidR="24E2970F">
        <w:t xml:space="preserve">or even (slightly) differently defined endpoints, </w:t>
      </w:r>
      <w:r w:rsidR="3E4BFCBE">
        <w:t xml:space="preserve">etc. This type of </w:t>
      </w:r>
      <w:r w:rsidR="296A6839">
        <w:t>considerations</w:t>
      </w:r>
      <w:r w:rsidR="3E4BFCBE">
        <w:t xml:space="preserve"> is highly relevant </w:t>
      </w:r>
      <w:proofErr w:type="gramStart"/>
      <w:r w:rsidR="3E4BFCBE">
        <w:t>in order to</w:t>
      </w:r>
      <w:proofErr w:type="gramEnd"/>
      <w:r w:rsidR="3E4BFCBE">
        <w:t xml:space="preserve"> decide about usi</w:t>
      </w:r>
      <w:r w:rsidR="3869987C">
        <w:t>ng this informative prior, or rather the uninformative prior.  Does one prefer to take the additional uncertainty caused by heterogeneous experimental conditions into accou</w:t>
      </w:r>
      <w:r w:rsidR="6AC58307">
        <w:t xml:space="preserve">nt, or does one consider the historical ones as inappropriate </w:t>
      </w:r>
      <w:r w:rsidR="1505D578">
        <w:t xml:space="preserve">or outdated </w:t>
      </w:r>
      <w:r w:rsidR="6AC58307">
        <w:t>in current times.</w:t>
      </w:r>
      <w:r w:rsidR="7D8A6C52">
        <w:t xml:space="preserve"> In conclusion, the Bayesian approach allows to combine data with prior information, which is very appealing as science is based</w:t>
      </w:r>
      <w:r w:rsidR="39875501">
        <w:t xml:space="preserve"> on the accumulation of knowledge over time</w:t>
      </w:r>
      <w:r w:rsidR="00F322D4">
        <w:t>, b</w:t>
      </w:r>
      <w:r w:rsidR="39875501">
        <w:t>ut i</w:t>
      </w:r>
      <w:r w:rsidR="00342DAB">
        <w:t>t</w:t>
      </w:r>
      <w:r w:rsidR="39875501">
        <w:t xml:space="preserve"> poses </w:t>
      </w:r>
      <w:r w:rsidR="00F322D4">
        <w:t xml:space="preserve">several </w:t>
      </w:r>
      <w:r w:rsidR="39875501">
        <w:t xml:space="preserve">challenges as well: </w:t>
      </w:r>
    </w:p>
    <w:p w14:paraId="3B6F7AEC" w14:textId="4AB3B298" w:rsidR="005617FB" w:rsidRDefault="4295E7E8" w:rsidP="00660C85">
      <w:pPr>
        <w:pStyle w:val="EFSABodytext"/>
        <w:numPr>
          <w:ilvl w:val="0"/>
          <w:numId w:val="79"/>
        </w:numPr>
      </w:pPr>
      <w:r>
        <w:t xml:space="preserve">Different prior distributions can be used to represent the same historical prior information. A </w:t>
      </w:r>
      <w:r w:rsidR="00660C85">
        <w:t>sensitivity</w:t>
      </w:r>
      <w:r>
        <w:t xml:space="preserve"> analysis </w:t>
      </w:r>
      <w:r w:rsidR="00660C85">
        <w:t xml:space="preserve">across different sensible choices for the prior distribution </w:t>
      </w:r>
      <w:r w:rsidR="68A8D7CD">
        <w:t xml:space="preserve">would </w:t>
      </w:r>
      <w:r w:rsidR="00660C85">
        <w:t xml:space="preserve">then be </w:t>
      </w:r>
      <w:r w:rsidR="00947FCE">
        <w:t>require</w:t>
      </w:r>
      <w:r w:rsidR="00660C85">
        <w:t>d</w:t>
      </w:r>
      <w:r w:rsidR="6F0F6E31">
        <w:t xml:space="preserve">. </w:t>
      </w:r>
      <w:r w:rsidR="00E04595">
        <w:t xml:space="preserve">Such analysis may be time and </w:t>
      </w:r>
      <w:r w:rsidR="00D6040F">
        <w:t xml:space="preserve">(computational) </w:t>
      </w:r>
      <w:r w:rsidR="00E04595">
        <w:t>resource</w:t>
      </w:r>
      <w:r w:rsidR="00D6040F">
        <w:t xml:space="preserve"> demanding.</w:t>
      </w:r>
      <w:r w:rsidR="6F0F6E31">
        <w:t xml:space="preserve"> </w:t>
      </w:r>
    </w:p>
    <w:p w14:paraId="27E2A0CF" w14:textId="366C6B22" w:rsidR="005617FB" w:rsidRDefault="12E92A3E" w:rsidP="00660C85">
      <w:pPr>
        <w:pStyle w:val="EFSABodytext"/>
        <w:numPr>
          <w:ilvl w:val="0"/>
          <w:numId w:val="79"/>
        </w:numPr>
      </w:pPr>
      <w:r>
        <w:t xml:space="preserve">The choice </w:t>
      </w:r>
      <w:r w:rsidR="000622DB">
        <w:t>whether to</w:t>
      </w:r>
      <w:r>
        <w:t xml:space="preserve"> us</w:t>
      </w:r>
      <w:r w:rsidR="000622DB">
        <w:t>e</w:t>
      </w:r>
      <w:r>
        <w:t xml:space="preserve"> an informative prior (when available) or not should be taken prior to the analysis, and not based on a comparison of </w:t>
      </w:r>
      <w:r w:rsidR="200FB638">
        <w:t xml:space="preserve">the </w:t>
      </w:r>
      <w:r>
        <w:t>prior and posterior dist</w:t>
      </w:r>
      <w:r w:rsidR="440EEE85">
        <w:t>ribution</w:t>
      </w:r>
      <w:r w:rsidR="74D0B20A">
        <w:t xml:space="preserve"> (</w:t>
      </w:r>
      <w:r w:rsidR="009C4642">
        <w:t xml:space="preserve">which would be assimilated to </w:t>
      </w:r>
      <w:r w:rsidR="74D0B20A">
        <w:t>data snooping)</w:t>
      </w:r>
      <w:r w:rsidR="440EEE85">
        <w:t>.</w:t>
      </w:r>
      <w:r w:rsidR="7B2E43CB">
        <w:t xml:space="preserve">  One </w:t>
      </w:r>
      <w:r w:rsidR="003B4402">
        <w:t>should t</w:t>
      </w:r>
      <w:r w:rsidR="00562829">
        <w:t>herefore</w:t>
      </w:r>
      <w:r w:rsidR="7B2E43CB">
        <w:t xml:space="preserve"> know an</w:t>
      </w:r>
      <w:r w:rsidR="2F1616D9">
        <w:t xml:space="preserve">d reflect on </w:t>
      </w:r>
      <w:r w:rsidR="7B2E43CB">
        <w:t xml:space="preserve">the relevant conditions behind the prior knowledge and the details of the experiment behind the data to be </w:t>
      </w:r>
      <w:proofErr w:type="gramStart"/>
      <w:r w:rsidR="7B2E43CB">
        <w:t>used</w:t>
      </w:r>
      <w:r w:rsidR="01BEDD5F">
        <w:t>, and</w:t>
      </w:r>
      <w:proofErr w:type="gramEnd"/>
      <w:r w:rsidR="01BEDD5F">
        <w:t xml:space="preserve"> decide on whether </w:t>
      </w:r>
      <w:r w:rsidR="6A11CBA1">
        <w:t>heterogeneity in such conditions is relevant</w:t>
      </w:r>
      <w:r w:rsidR="72B195DE">
        <w:t xml:space="preserve"> or important</w:t>
      </w:r>
      <w:r w:rsidR="6A11CBA1">
        <w:t xml:space="preserve"> to include or not.</w:t>
      </w:r>
      <w:r w:rsidR="01BEDD5F">
        <w:t xml:space="preserve"> </w:t>
      </w:r>
      <w:r w:rsidR="68783FDA">
        <w:t>“</w:t>
      </w:r>
      <w:r w:rsidR="56972B51">
        <w:t xml:space="preserve">Is the accumulation of knowledge by the Bayesian engine </w:t>
      </w:r>
      <w:r w:rsidR="7F7EC2A6">
        <w:t>“</w:t>
      </w:r>
      <w:r w:rsidR="56972B51">
        <w:t>informative prior + data = posterior</w:t>
      </w:r>
      <w:r w:rsidR="2C8EE54A">
        <w:t>”</w:t>
      </w:r>
      <w:r w:rsidR="56972B51">
        <w:t xml:space="preserve"> scientifically justified</w:t>
      </w:r>
      <w:r w:rsidR="009312C3">
        <w:t>?</w:t>
      </w:r>
      <w:r w:rsidR="15595903">
        <w:t>” is a central question</w:t>
      </w:r>
      <w:r w:rsidR="009312C3">
        <w:t>.</w:t>
      </w:r>
      <w:r w:rsidR="39875501">
        <w:t xml:space="preserve"> </w:t>
      </w:r>
    </w:p>
    <w:p w14:paraId="3BA89B56" w14:textId="45357E9B" w:rsidR="005617FB" w:rsidRDefault="005617FB" w:rsidP="005617FB">
      <w:pPr>
        <w:pStyle w:val="EFSABodytext"/>
      </w:pPr>
      <w:r>
        <w:t>For further reading and more information</w:t>
      </w:r>
      <w:r w:rsidR="62BD6637">
        <w:t xml:space="preserve"> on the Bayesian paradigm and Bayesian modelling</w:t>
      </w:r>
      <w:r>
        <w:t xml:space="preserve">, see </w:t>
      </w:r>
      <w:proofErr w:type="gramStart"/>
      <w:r>
        <w:t>e.g.</w:t>
      </w:r>
      <w:proofErr w:type="gramEnd"/>
      <w:r>
        <w:t xml:space="preserve"> </w:t>
      </w:r>
      <w:proofErr w:type="spellStart"/>
      <w:r>
        <w:t>Lesaffre</w:t>
      </w:r>
      <w:proofErr w:type="spellEnd"/>
      <w:r>
        <w:t xml:space="preserve"> and Lawson (2012</w:t>
      </w:r>
      <w:r w:rsidR="3073EB4E">
        <w:t>)</w:t>
      </w:r>
      <w:r w:rsidR="003F1206">
        <w:t xml:space="preserve">, </w:t>
      </w:r>
      <w:proofErr w:type="spellStart"/>
      <w:r w:rsidR="18773244">
        <w:t>Kruschke</w:t>
      </w:r>
      <w:proofErr w:type="spellEnd"/>
      <w:r w:rsidR="18773244">
        <w:t xml:space="preserve"> (2014), </w:t>
      </w:r>
      <w:proofErr w:type="spellStart"/>
      <w:r w:rsidR="18773244">
        <w:t>Bolstad</w:t>
      </w:r>
      <w:proofErr w:type="spellEnd"/>
      <w:r w:rsidR="18773244">
        <w:t xml:space="preserve"> and Curran (2016)</w:t>
      </w:r>
      <w:r w:rsidR="3073EB4E">
        <w:t>.</w:t>
      </w:r>
      <w:r>
        <w:t xml:space="preserve"> </w:t>
      </w:r>
    </w:p>
    <w:p w14:paraId="4E5C1466" w14:textId="77777777" w:rsidR="005617FB" w:rsidRDefault="005617FB" w:rsidP="005617FB">
      <w:pPr>
        <w:pStyle w:val="EFSABodytext"/>
      </w:pPr>
    </w:p>
    <w:p w14:paraId="693BD162" w14:textId="5411BFE2" w:rsidR="00EC6463" w:rsidRPr="00EC6463" w:rsidRDefault="005617FB" w:rsidP="00DE30D2">
      <w:pPr>
        <w:pStyle w:val="EFSAHeading4"/>
      </w:pPr>
      <w:r>
        <w:t>Model averaging</w:t>
      </w:r>
    </w:p>
    <w:p w14:paraId="0BD5D1A5" w14:textId="410583BB" w:rsidR="32EC31CA" w:rsidRDefault="1E159969" w:rsidP="519A14C9">
      <w:pPr>
        <w:pStyle w:val="EFSABodytext"/>
      </w:pPr>
      <w:r>
        <w:t xml:space="preserve">Different dose-response models for a particular response are to be considered as different mathematical approximations of the true unknown dose-response model. Some models might approximate the true model very well and others less, but the suite of models should contain </w:t>
      </w:r>
      <w:proofErr w:type="gramStart"/>
      <w:r w:rsidR="51F44CC6">
        <w:t xml:space="preserve">a </w:t>
      </w:r>
      <w:r>
        <w:t>sufficient number of</w:t>
      </w:r>
      <w:proofErr w:type="gramEnd"/>
      <w:r>
        <w:t xml:space="preserve"> models (preferabl</w:t>
      </w:r>
      <w:r w:rsidR="406EF661">
        <w:t>y</w:t>
      </w:r>
      <w:r>
        <w:t xml:space="preserve"> as diverse as possible), which should be flexible</w:t>
      </w:r>
      <w:r w:rsidR="698EA026">
        <w:t xml:space="preserve"> enough</w:t>
      </w:r>
      <w:r>
        <w:t xml:space="preserve">, to ensure that at least one model approximates the true model sufficiently well. It is not required to add more and more (similar or nested) models to the suite of candidate models, as such additional models do not improve the analysis, and will slow down the already computationally intensive analysis. The suite of 16 models for a continuous endpoint and the suite of 8 models for a quantal endpoint (Section </w:t>
      </w:r>
      <w:r w:rsidR="00A90A9C" w:rsidRPr="00745064">
        <w:fldChar w:fldCharType="begin"/>
      </w:r>
      <w:r w:rsidR="00A90A9C" w:rsidRPr="00A90A9C">
        <w:instrText xml:space="preserve"> REF _Ref94101799 \r \h </w:instrText>
      </w:r>
      <w:r w:rsidR="00A90A9C">
        <w:instrText xml:space="preserve"> \* MERGEFORMAT</w:instrText>
      </w:r>
      <w:r w:rsidR="00A90A9C" w:rsidRPr="00A90A9C">
        <w:instrText xml:space="preserve"> </w:instrText>
      </w:r>
      <w:r w:rsidR="00A90A9C" w:rsidRPr="00745064">
        <w:fldChar w:fldCharType="separate"/>
      </w:r>
      <w:r w:rsidR="00A90A9C" w:rsidRPr="00A90A9C">
        <w:t>2.5.1</w:t>
      </w:r>
      <w:r w:rsidR="00A90A9C" w:rsidRPr="00745064">
        <w:fldChar w:fldCharType="end"/>
      </w:r>
      <w:r w:rsidRPr="00A90A9C">
        <w:t xml:space="preserve"> and </w:t>
      </w:r>
      <w:r w:rsidR="00A90A9C" w:rsidRPr="00745064">
        <w:fldChar w:fldCharType="begin"/>
      </w:r>
      <w:r w:rsidR="00A90A9C" w:rsidRPr="00565E65">
        <w:instrText xml:space="preserve"> REF _Ref94101804 \r \h </w:instrText>
      </w:r>
      <w:r w:rsidR="00A90A9C">
        <w:instrText xml:space="preserve"> \* MERGEFORMAT</w:instrText>
      </w:r>
      <w:r w:rsidR="00A90A9C" w:rsidRPr="00A90A9C">
        <w:instrText xml:space="preserve"> </w:instrText>
      </w:r>
      <w:r w:rsidR="00A90A9C" w:rsidRPr="00745064">
        <w:fldChar w:fldCharType="separate"/>
      </w:r>
      <w:r w:rsidR="00A90A9C" w:rsidRPr="00565E65">
        <w:t>2.5.2</w:t>
      </w:r>
      <w:r w:rsidR="00A90A9C" w:rsidRPr="00745064">
        <w:fldChar w:fldCharType="end"/>
      </w:r>
      <w:r>
        <w:t xml:space="preserve">) are considered to </w:t>
      </w:r>
      <w:r w:rsidR="439BEA55">
        <w:t>be rich enough to include at least one well-fitting model.</w:t>
      </w:r>
    </w:p>
    <w:p w14:paraId="51ECC4F6" w14:textId="16A57DA4" w:rsidR="32EC31CA" w:rsidRDefault="1EC115BE" w:rsidP="519A14C9">
      <w:pPr>
        <w:pStyle w:val="EFSABodytext"/>
      </w:pPr>
      <w:r>
        <w:t>It is generally accepted that a multi-model approach, reflecting data driven model selection and accounting for model uncertainty, outperforms the single-best-model approach (</w:t>
      </w:r>
      <w:r w:rsidR="00483FD9">
        <w:t>Burnham and Anderson</w:t>
      </w:r>
      <w:r w:rsidR="00690AE3">
        <w:t>, 2002</w:t>
      </w:r>
      <w:r w:rsidR="006C2AFF">
        <w:t>;</w:t>
      </w:r>
      <w:r w:rsidR="002E3C0F">
        <w:t xml:space="preserve"> 2004</w:t>
      </w:r>
      <w:r w:rsidR="00080F52">
        <w:t>;</w:t>
      </w:r>
      <w:r w:rsidR="00690AE3">
        <w:t xml:space="preserve"> </w:t>
      </w:r>
      <w:proofErr w:type="spellStart"/>
      <w:r w:rsidR="00690AE3">
        <w:t>Stoica</w:t>
      </w:r>
      <w:proofErr w:type="spellEnd"/>
      <w:r w:rsidR="00080F52">
        <w:t xml:space="preserve"> et al.</w:t>
      </w:r>
      <w:r w:rsidR="002E3C0F">
        <w:t>,</w:t>
      </w:r>
      <w:r w:rsidR="00690AE3">
        <w:t xml:space="preserve"> 2004</w:t>
      </w:r>
      <w:r>
        <w:t xml:space="preserve">). The rationale behind multi-model inference is to “combine” all model-specific analyses by averaging across models while assigning higher weights to those models that fit the data better.  Equally well-fitting models contribute equally to the multi-model analysis. This rationale is common to both inferential paradigms, </w:t>
      </w:r>
      <w:proofErr w:type="gramStart"/>
      <w:r>
        <w:t>frequentist</w:t>
      </w:r>
      <w:proofErr w:type="gramEnd"/>
      <w:r>
        <w:t xml:space="preserve"> or Bayesian, but the implementation is different.</w:t>
      </w:r>
    </w:p>
    <w:p w14:paraId="15EA66E6" w14:textId="5446D9B4" w:rsidR="519A14C9" w:rsidRDefault="48C98330" w:rsidP="519A14C9">
      <w:pPr>
        <w:pStyle w:val="EFSABodytext"/>
      </w:pPr>
      <w:r>
        <w:t xml:space="preserve">The frequentist approach follows the frequentist thinking about </w:t>
      </w:r>
      <w:r w:rsidR="75430979">
        <w:t xml:space="preserve">a particular parameter of interest (such as </w:t>
      </w:r>
      <w:r>
        <w:t>the BMD</w:t>
      </w:r>
      <w:r w:rsidR="3C0386C6">
        <w:t>)</w:t>
      </w:r>
      <w:r>
        <w:t xml:space="preserve"> as a deterministic </w:t>
      </w:r>
      <w:r w:rsidR="6293786F">
        <w:t>specific value</w:t>
      </w:r>
      <w:r w:rsidR="7A5C4DBF">
        <w:t xml:space="preserve">. Each model provides a point estimate for that parameter and the model averaged estimate is a weighted average of the model specific estimates, </w:t>
      </w:r>
      <w:r w:rsidR="0F0CFEB9">
        <w:t xml:space="preserve">assigning higher </w:t>
      </w:r>
      <w:r w:rsidR="7A5C4DBF">
        <w:t>weights</w:t>
      </w:r>
      <w:r w:rsidR="5FDD42D2">
        <w:t xml:space="preserve"> to better fitting models. A </w:t>
      </w:r>
      <w:r w:rsidR="00A93CFD">
        <w:t>common</w:t>
      </w:r>
      <w:r w:rsidR="5FDD42D2">
        <w:t xml:space="preserve"> choice of such weights is based on Akaike’s</w:t>
      </w:r>
      <w:r w:rsidR="0D57FD02">
        <w:t xml:space="preserve"> Information Criterion (AIC)</w:t>
      </w:r>
      <w:r w:rsidR="568A7E94">
        <w:t>, a statistical measure that rewards goodness of fit</w:t>
      </w:r>
      <w:r w:rsidR="14C09B1C">
        <w:t xml:space="preserve"> of the model to the data</w:t>
      </w:r>
      <w:r w:rsidR="568A7E94">
        <w:t xml:space="preserve"> while penalizing for complexity. </w:t>
      </w:r>
      <w:r w:rsidR="40B5EF43">
        <w:t>Confidence intervals can then be constructed based on estimates of the standard error of th</w:t>
      </w:r>
      <w:r w:rsidR="796A650F">
        <w:t>at</w:t>
      </w:r>
      <w:r w:rsidR="40B5EF43">
        <w:t xml:space="preserve"> model averaged estimate, but in general</w:t>
      </w:r>
      <w:r w:rsidR="07A03013">
        <w:t>,</w:t>
      </w:r>
      <w:r w:rsidR="40B5EF43">
        <w:t xml:space="preserve"> one prefers the construction of </w:t>
      </w:r>
      <w:r w:rsidR="1BFBEBC0">
        <w:t>simulation-based</w:t>
      </w:r>
      <w:r w:rsidR="40B5EF43">
        <w:t xml:space="preserve"> interval</w:t>
      </w:r>
      <w:r w:rsidR="7481D65E">
        <w:t xml:space="preserve">s (bootstrap), at the cost of computing time. </w:t>
      </w:r>
      <w:r w:rsidR="657FFBE2">
        <w:t xml:space="preserve"> This bootstrap simulation method reflects the </w:t>
      </w:r>
      <w:r w:rsidR="24CCC216">
        <w:t xml:space="preserve">frequentist </w:t>
      </w:r>
      <w:r w:rsidR="657FFBE2">
        <w:t xml:space="preserve">repeated sampling of other unobserved samples in order to construct the sampling distribution of </w:t>
      </w:r>
      <w:r w:rsidR="0EDF8EB8">
        <w:t xml:space="preserve">the BMD point </w:t>
      </w:r>
      <w:proofErr w:type="gramStart"/>
      <w:r w:rsidR="0EDF8EB8">
        <w:t>estimate, and</w:t>
      </w:r>
      <w:proofErr w:type="gramEnd"/>
      <w:r w:rsidR="0EDF8EB8">
        <w:t xml:space="preserve"> left and right quantiles </w:t>
      </w:r>
      <w:r w:rsidR="673F0627">
        <w:t xml:space="preserve">of this simulated distribution </w:t>
      </w:r>
      <w:r w:rsidR="0EDF8EB8">
        <w:t>can then be taken to obtain a confidence interval.</w:t>
      </w:r>
      <w:r w:rsidR="568A7E94">
        <w:t xml:space="preserve"> </w:t>
      </w:r>
      <w:r w:rsidR="230309A6">
        <w:t>There are two approaches to construct a model averaged point estimate and confidence interval. A “direct method” averages the model specific</w:t>
      </w:r>
      <w:r w:rsidR="54C743C3">
        <w:t xml:space="preserve"> BMD estimates</w:t>
      </w:r>
      <w:r w:rsidR="5BF71170">
        <w:t xml:space="preserve"> (without the need to construct an averaged dose response model)</w:t>
      </w:r>
      <w:r w:rsidR="54C743C3">
        <w:t xml:space="preserve">. The “indirect method” first averages the dose response models </w:t>
      </w:r>
      <w:r w:rsidR="3B498409">
        <w:t xml:space="preserve">to obtain an averaged dose response model </w:t>
      </w:r>
      <w:r w:rsidR="54C743C3">
        <w:t xml:space="preserve">and applies that single averaged model to get </w:t>
      </w:r>
      <w:r w:rsidR="7CA49ED7">
        <w:t xml:space="preserve">the model averaged BMD estimate. </w:t>
      </w:r>
      <w:r w:rsidR="26E4F148">
        <w:t xml:space="preserve">Both approaches of model </w:t>
      </w:r>
      <w:proofErr w:type="gramStart"/>
      <w:r w:rsidR="26E4F148">
        <w:t>averaging</w:t>
      </w:r>
      <w:proofErr w:type="gramEnd"/>
      <w:r w:rsidR="26E4F148">
        <w:t xml:space="preserve"> and both approaches of building confidence interval</w:t>
      </w:r>
      <w:r w:rsidR="0CE32D63">
        <w:t>s</w:t>
      </w:r>
      <w:r w:rsidR="26E4F148">
        <w:t xml:space="preserve"> are presented and illustrated in </w:t>
      </w:r>
      <w:proofErr w:type="spellStart"/>
      <w:r w:rsidR="26E4F148">
        <w:t>Aerts</w:t>
      </w:r>
      <w:proofErr w:type="spellEnd"/>
      <w:r w:rsidR="26E4F148">
        <w:t xml:space="preserve"> et al</w:t>
      </w:r>
      <w:r w:rsidR="001951E0">
        <w:t>.</w:t>
      </w:r>
      <w:r w:rsidR="26E4F148">
        <w:t xml:space="preserve"> (2020).</w:t>
      </w:r>
      <w:r w:rsidR="00C73608">
        <w:t xml:space="preserve"> The indirect method has been implemented in current frequentist model averaged BMD software (PROAST and EFSA platform).</w:t>
      </w:r>
    </w:p>
    <w:p w14:paraId="1E0A1A09" w14:textId="5C6A2200" w:rsidR="6E986960" w:rsidRDefault="6E986960">
      <w:pPr>
        <w:pStyle w:val="EFSABodytext"/>
      </w:pPr>
      <w:r>
        <w:t>Similarly,</w:t>
      </w:r>
      <w:r w:rsidR="26E4F148">
        <w:t xml:space="preserve"> the Bayesian approach follows the Bayesian philosophy </w:t>
      </w:r>
      <w:r w:rsidR="4ABEAD54">
        <w:t>that the BMD has a</w:t>
      </w:r>
      <w:r w:rsidR="04C79548">
        <w:t xml:space="preserve"> (uncertainty)</w:t>
      </w:r>
      <w:r w:rsidR="4ABEAD54">
        <w:t xml:space="preserve"> distribution. </w:t>
      </w:r>
      <w:r w:rsidR="544EA082">
        <w:t xml:space="preserve">The data </w:t>
      </w:r>
      <w:r w:rsidR="7B269724">
        <w:t>and</w:t>
      </w:r>
      <w:r w:rsidR="544EA082">
        <w:t xml:space="preserve"> the model </w:t>
      </w:r>
      <w:r w:rsidR="7E48AFB5">
        <w:t xml:space="preserve">allow to </w:t>
      </w:r>
      <w:r w:rsidR="544EA082">
        <w:t>update the prior BMD distribution resulting in model</w:t>
      </w:r>
      <w:r w:rsidR="1C602EBD">
        <w:t>-</w:t>
      </w:r>
      <w:r w:rsidR="544EA082">
        <w:t>specific posterior BMD distribution</w:t>
      </w:r>
      <w:r w:rsidR="0AD7C99C">
        <w:t>s</w:t>
      </w:r>
      <w:r w:rsidR="544EA082">
        <w:t>. Using weights these model</w:t>
      </w:r>
      <w:r w:rsidR="06AA8B0E">
        <w:t>-</w:t>
      </w:r>
      <w:r w:rsidR="544EA082">
        <w:t>specific distri</w:t>
      </w:r>
      <w:r w:rsidR="6B70993E">
        <w:t>bution</w:t>
      </w:r>
      <w:r w:rsidR="1B934FF1">
        <w:t>s</w:t>
      </w:r>
      <w:r w:rsidR="6B70993E">
        <w:t xml:space="preserve"> are mixed into a</w:t>
      </w:r>
      <w:r w:rsidR="7B8DD959">
        <w:t xml:space="preserve"> single</w:t>
      </w:r>
      <w:r w:rsidR="3B087590">
        <w:t xml:space="preserve"> “averaged” posterior BMD distribution. </w:t>
      </w:r>
      <w:r w:rsidR="00C73608">
        <w:t>The Bayesian approach does not need to distinguish the direct</w:t>
      </w:r>
      <w:r w:rsidR="3B087590">
        <w:t xml:space="preserve"> and </w:t>
      </w:r>
      <w:r w:rsidR="00C73608">
        <w:t xml:space="preserve">indirect method. </w:t>
      </w:r>
      <w:r w:rsidR="3B087590">
        <w:t>The left and right quantiles of th</w:t>
      </w:r>
      <w:r w:rsidR="00C73608">
        <w:t xml:space="preserve">e averaged posterior BMD </w:t>
      </w:r>
      <w:r w:rsidR="3B087590">
        <w:t>distribution prov</w:t>
      </w:r>
      <w:r w:rsidR="68BA63A1">
        <w:t>i</w:t>
      </w:r>
      <w:r w:rsidR="3B087590">
        <w:t>de the posterior credible interval</w:t>
      </w:r>
      <w:r w:rsidR="15B0EBAF">
        <w:t>.</w:t>
      </w:r>
      <w:r w:rsidR="7D5C0416">
        <w:t xml:space="preserve"> </w:t>
      </w:r>
      <w:r w:rsidR="658E55CB">
        <w:t xml:space="preserve"> Not only</w:t>
      </w:r>
      <w:r w:rsidR="07F4F126">
        <w:t xml:space="preserve"> </w:t>
      </w:r>
      <w:r w:rsidR="75F27259">
        <w:t>model</w:t>
      </w:r>
      <w:r w:rsidR="658E55CB">
        <w:t xml:space="preserve"> parameters get a distribution, but </w:t>
      </w:r>
      <w:r w:rsidR="2A2B08B7">
        <w:t>also the (candidate) models get a prior probability, expressi</w:t>
      </w:r>
      <w:r w:rsidR="609EEC55">
        <w:t>ng</w:t>
      </w:r>
      <w:r w:rsidR="2A2B08B7">
        <w:t xml:space="preserve"> </w:t>
      </w:r>
      <w:r w:rsidR="21044415">
        <w:t>the</w:t>
      </w:r>
      <w:r w:rsidR="2A2B08B7">
        <w:t xml:space="preserve"> pr</w:t>
      </w:r>
      <w:r w:rsidR="2A99D161">
        <w:t>ior knowledge about the “correctness” of the individual models</w:t>
      </w:r>
      <w:r w:rsidR="78DADE7C">
        <w:t>. Most often, all models are equally likely, prior to the data. The weights used to construct the a</w:t>
      </w:r>
      <w:r w:rsidR="12FAD6E1">
        <w:t>veraged posterior distribution are then, given the data, the posterior probabilities for the individual models.</w:t>
      </w:r>
      <w:r w:rsidR="7C109F24">
        <w:t xml:space="preserve"> The difficulty of </w:t>
      </w:r>
      <w:r w:rsidR="6402DBFA">
        <w:t>obtaining</w:t>
      </w:r>
      <w:r w:rsidR="7C109F24">
        <w:t xml:space="preserve"> these posterior probabilities </w:t>
      </w:r>
      <w:r w:rsidR="65CD4729">
        <w:t xml:space="preserve">is </w:t>
      </w:r>
      <w:r w:rsidR="36ACB4C8">
        <w:t xml:space="preserve">the determination of certain </w:t>
      </w:r>
      <w:r w:rsidR="65CD4729">
        <w:t>integrals</w:t>
      </w:r>
      <w:r w:rsidR="484A82E3">
        <w:t xml:space="preserve"> (so-called marginal likelihood)</w:t>
      </w:r>
      <w:r w:rsidR="65CD4729">
        <w:t xml:space="preserve">, which </w:t>
      </w:r>
      <w:r w:rsidR="6FDCFEF0">
        <w:t>are not analytically tractable and must be approximated using numerical methods (</w:t>
      </w:r>
      <w:r w:rsidR="52CA77DE">
        <w:t>Markov chain Monte Carlo (MCMC) methods</w:t>
      </w:r>
      <w:r w:rsidR="09289BEE">
        <w:t xml:space="preserve">, Bridge sampling, </w:t>
      </w:r>
      <w:r w:rsidR="52CA77DE">
        <w:t>Laplace approximation</w:t>
      </w:r>
      <w:r w:rsidR="5C9AF5C0">
        <w:t>)</w:t>
      </w:r>
      <w:r w:rsidR="52CA77DE">
        <w:t>.</w:t>
      </w:r>
      <w:r w:rsidR="756CEE39">
        <w:t xml:space="preserve">  For more details, see </w:t>
      </w:r>
      <w:proofErr w:type="gramStart"/>
      <w:r w:rsidR="5213F97F">
        <w:t>e.g.</w:t>
      </w:r>
      <w:proofErr w:type="gramEnd"/>
      <w:r w:rsidR="5213F97F">
        <w:t xml:space="preserve"> </w:t>
      </w:r>
      <w:proofErr w:type="spellStart"/>
      <w:r w:rsidR="756CEE39">
        <w:t>Hoeting</w:t>
      </w:r>
      <w:proofErr w:type="spellEnd"/>
      <w:r w:rsidR="756CEE39">
        <w:t xml:space="preserve"> et al (1999), </w:t>
      </w:r>
      <w:r w:rsidR="479CF07D">
        <w:t xml:space="preserve">Morales et al (2006). </w:t>
      </w:r>
      <w:r w:rsidR="00CC735C">
        <w:t xml:space="preserve">In most cases the Laplace approximation provides </w:t>
      </w:r>
      <w:r w:rsidR="00937A78">
        <w:t>reliable results</w:t>
      </w:r>
      <w:r w:rsidR="004252DD">
        <w:t>,</w:t>
      </w:r>
      <w:r w:rsidR="00937A78">
        <w:t xml:space="preserve"> </w:t>
      </w:r>
      <w:proofErr w:type="gramStart"/>
      <w:r w:rsidR="00937A78">
        <w:t>similar to</w:t>
      </w:r>
      <w:proofErr w:type="gramEnd"/>
      <w:r w:rsidR="00937A78">
        <w:t xml:space="preserve"> the most </w:t>
      </w:r>
      <w:r w:rsidR="000D7479">
        <w:t>accurate method of Bridge sa</w:t>
      </w:r>
      <w:r w:rsidR="00C67390">
        <w:t>mpling (being more computationally demanding)</w:t>
      </w:r>
      <w:r w:rsidR="005B03D6">
        <w:t xml:space="preserve">. </w:t>
      </w:r>
      <w:r w:rsidR="00625E3A">
        <w:t>Considering this</w:t>
      </w:r>
      <w:r w:rsidR="003C6A8B">
        <w:t>,</w:t>
      </w:r>
      <w:r w:rsidR="00625E3A">
        <w:t xml:space="preserve"> the Lap</w:t>
      </w:r>
      <w:r w:rsidR="00F52DAE">
        <w:t xml:space="preserve">lace approximation method would be the </w:t>
      </w:r>
      <w:r w:rsidR="008F419C">
        <w:t xml:space="preserve">default approach given the </w:t>
      </w:r>
      <w:r w:rsidR="00DE52BF">
        <w:t>differences in computational speed</w:t>
      </w:r>
      <w:r w:rsidR="007B4AEA">
        <w:t xml:space="preserve">, but Bridge sampling </w:t>
      </w:r>
      <w:r w:rsidR="004D4D0D">
        <w:t xml:space="preserve">can be requested in case of </w:t>
      </w:r>
      <w:r w:rsidR="00FE0829">
        <w:t>clear indications of estimation failures.</w:t>
      </w:r>
    </w:p>
    <w:p w14:paraId="2A1E6036" w14:textId="028D80FA" w:rsidR="73074563" w:rsidRDefault="73074563" w:rsidP="6C560489">
      <w:pPr>
        <w:pStyle w:val="EFSABodytext"/>
      </w:pPr>
      <w:r>
        <w:t>In the setting of regression models (as in our case), application of model averaging has focused on averaging across different regression models (dose response models in our case) for one sp</w:t>
      </w:r>
      <w:r w:rsidR="6329745F">
        <w:t>ecific distribution</w:t>
      </w:r>
      <w:r w:rsidR="396A8909">
        <w:t xml:space="preserve"> (normal or log-normal in our case)</w:t>
      </w:r>
      <w:r w:rsidR="6329745F">
        <w:t xml:space="preserve">. </w:t>
      </w:r>
      <w:r w:rsidR="0B1C38EC">
        <w:t xml:space="preserve"> </w:t>
      </w:r>
      <w:r w:rsidR="00EF3F9C">
        <w:t>More</w:t>
      </w:r>
      <w:r w:rsidR="0B1C38EC">
        <w:t xml:space="preserve"> recently model averaging has been extended to incorporate averaging across distributions as well</w:t>
      </w:r>
      <w:r w:rsidR="6D5FC9B7">
        <w:t xml:space="preserve"> (</w:t>
      </w:r>
      <w:r w:rsidR="0E486791">
        <w:t>Wheeler et al</w:t>
      </w:r>
      <w:r w:rsidR="0053719C">
        <w:t>.</w:t>
      </w:r>
      <w:r w:rsidR="0593E6F0">
        <w:t xml:space="preserve">, </w:t>
      </w:r>
      <w:r w:rsidR="0E486791">
        <w:t>202</w:t>
      </w:r>
      <w:r w:rsidR="45F1F255">
        <w:t>2</w:t>
      </w:r>
      <w:r w:rsidR="0E486791">
        <w:t>)</w:t>
      </w:r>
      <w:r w:rsidR="5C3A3845">
        <w:t>.</w:t>
      </w:r>
      <w:r w:rsidR="7FA62209">
        <w:t xml:space="preserve"> </w:t>
      </w:r>
    </w:p>
    <w:p w14:paraId="567BE938" w14:textId="06020CAE" w:rsidR="06777885" w:rsidRDefault="06777885" w:rsidP="4ADEFB14">
      <w:pPr>
        <w:pStyle w:val="EFSABodytext"/>
      </w:pPr>
      <w:r>
        <w:t xml:space="preserve">Model averaging performs well if at least one of the candidate models fits well. </w:t>
      </w:r>
      <w:r w:rsidR="2A80DE93">
        <w:t xml:space="preserve">To check this, the best fitting candidate model is contrasted to the </w:t>
      </w:r>
      <w:r w:rsidR="61982CF2">
        <w:t>“</w:t>
      </w:r>
      <w:r w:rsidR="2A80DE93">
        <w:t>full model</w:t>
      </w:r>
      <w:r w:rsidR="0556087F">
        <w:t>”</w:t>
      </w:r>
      <w:r w:rsidR="452C666C">
        <w:t>,</w:t>
      </w:r>
      <w:r w:rsidR="67EF6491">
        <w:t xml:space="preserve"> </w:t>
      </w:r>
      <w:r w:rsidR="452C666C">
        <w:t>perfectly fitting the observed means (the full model i</w:t>
      </w:r>
      <w:r w:rsidR="0556087F">
        <w:t xml:space="preserve">s defined in </w:t>
      </w:r>
      <w:r w:rsidR="7C87CC79">
        <w:t>s</w:t>
      </w:r>
      <w:r w:rsidR="0556087F">
        <w:t xml:space="preserve">ection </w:t>
      </w:r>
      <w:r w:rsidR="005B7E47">
        <w:fldChar w:fldCharType="begin"/>
      </w:r>
      <w:r w:rsidR="005B7E47">
        <w:instrText xml:space="preserve"> REF _Ref94101045 \r \h </w:instrText>
      </w:r>
      <w:r w:rsidR="005B7E47">
        <w:fldChar w:fldCharType="separate"/>
      </w:r>
      <w:r w:rsidR="005B7E47">
        <w:t>2.5.1</w:t>
      </w:r>
      <w:r w:rsidR="005B7E47">
        <w:fldChar w:fldCharType="end"/>
      </w:r>
      <w:r w:rsidR="0556087F">
        <w:t xml:space="preserve"> for continuous and in </w:t>
      </w:r>
      <w:r w:rsidR="20EF5D56">
        <w:t xml:space="preserve">section </w:t>
      </w:r>
      <w:r w:rsidR="005B7E47">
        <w:fldChar w:fldCharType="begin"/>
      </w:r>
      <w:r w:rsidR="005B7E47">
        <w:instrText xml:space="preserve"> REF _Ref94101049 \r \h </w:instrText>
      </w:r>
      <w:r w:rsidR="005B7E47">
        <w:fldChar w:fldCharType="separate"/>
      </w:r>
      <w:r w:rsidR="005B7E47">
        <w:t>2.5.2</w:t>
      </w:r>
      <w:r w:rsidR="005B7E47">
        <w:fldChar w:fldCharType="end"/>
      </w:r>
      <w:r w:rsidR="005B7E47">
        <w:t xml:space="preserve"> </w:t>
      </w:r>
      <w:r w:rsidR="25C85088">
        <w:t>for</w:t>
      </w:r>
      <w:r w:rsidR="2A80DE93">
        <w:t xml:space="preserve"> </w:t>
      </w:r>
      <w:r w:rsidR="4B6E969D">
        <w:t>quantal endpoints)</w:t>
      </w:r>
      <w:r w:rsidR="395249B6">
        <w:t xml:space="preserve">. </w:t>
      </w:r>
      <w:r w:rsidR="2E734506">
        <w:t>Testing whether the best fitting model fits sufficiently well, as compared to the full model, i</w:t>
      </w:r>
      <w:r w:rsidR="413947BE">
        <w:t>s based on the</w:t>
      </w:r>
      <w:r w:rsidR="4B6E969D">
        <w:t xml:space="preserve"> Bayes factor</w:t>
      </w:r>
      <w:r w:rsidR="1487869F">
        <w:t xml:space="preserve"> (</w:t>
      </w:r>
      <w:r w:rsidR="53FC224D">
        <w:t>used f</w:t>
      </w:r>
      <w:r w:rsidR="1487869F">
        <w:t>o</w:t>
      </w:r>
      <w:r w:rsidR="53FC224D">
        <w:t>r</w:t>
      </w:r>
      <w:r w:rsidR="1487869F">
        <w:t xml:space="preserve"> hypothesis testing in the Bayesian paradigm, </w:t>
      </w:r>
      <w:r w:rsidR="39769BF7">
        <w:t>see</w:t>
      </w:r>
      <w:r w:rsidR="72F9A05B">
        <w:t xml:space="preserve"> </w:t>
      </w:r>
      <w:r w:rsidR="13B988C1">
        <w:t>e.g</w:t>
      </w:r>
      <w:r w:rsidR="3ABDEACF">
        <w:t>.,</w:t>
      </w:r>
      <w:r w:rsidR="13B988C1">
        <w:t xml:space="preserve"> section 3.8.2 in </w:t>
      </w:r>
      <w:proofErr w:type="spellStart"/>
      <w:r w:rsidR="13B988C1">
        <w:t>Lesaffre</w:t>
      </w:r>
      <w:proofErr w:type="spellEnd"/>
      <w:r w:rsidR="13B988C1">
        <w:t xml:space="preserve"> and Lawson, 2012</w:t>
      </w:r>
      <w:r w:rsidR="39769BF7">
        <w:t>)</w:t>
      </w:r>
      <w:r w:rsidR="7E2CABC2">
        <w:t xml:space="preserve">. In case none of the candidate models fits well, it is recommended to examine the </w:t>
      </w:r>
      <w:r w:rsidR="6EA86261">
        <w:t xml:space="preserve">possible cause by checking the plot of the fit of the best fitting model </w:t>
      </w:r>
      <w:r w:rsidR="1EEDFF86">
        <w:t xml:space="preserve">together with the observed data </w:t>
      </w:r>
      <w:r w:rsidR="6EA86261">
        <w:t xml:space="preserve">(does it not fit well </w:t>
      </w:r>
      <w:r w:rsidR="73E018F3">
        <w:t xml:space="preserve">to the data </w:t>
      </w:r>
      <w:r w:rsidR="6EA86261">
        <w:t xml:space="preserve">in a particular </w:t>
      </w:r>
      <w:r w:rsidR="6F39D823">
        <w:t>dose range, are the data showing a non-monotone pattern</w:t>
      </w:r>
      <w:r w:rsidR="79DF8635">
        <w:t xml:space="preserve"> whereas the models are monotone by definition</w:t>
      </w:r>
      <w:r w:rsidR="6F39D823">
        <w:t>).</w:t>
      </w:r>
    </w:p>
    <w:p w14:paraId="68F8913F" w14:textId="09B339B1" w:rsidR="00985D11" w:rsidRDefault="0005255E" w:rsidP="002E170A">
      <w:pPr>
        <w:pStyle w:val="EFSAHeading3"/>
        <w:ind w:left="1276"/>
      </w:pPr>
      <w:bookmarkStart w:id="52" w:name="_Ref94102755"/>
      <w:bookmarkStart w:id="53" w:name="_Toc94255339"/>
      <w:r>
        <w:t>Extensions</w:t>
      </w:r>
      <w:bookmarkEnd w:id="52"/>
      <w:bookmarkEnd w:id="53"/>
    </w:p>
    <w:p w14:paraId="3BB8FE10" w14:textId="2E8274CD" w:rsidR="0005255E" w:rsidRDefault="0005255E" w:rsidP="0005255E">
      <w:pPr>
        <w:pStyle w:val="EFSAHeading4"/>
      </w:pPr>
      <w:r>
        <w:t>Covariates</w:t>
      </w:r>
    </w:p>
    <w:p w14:paraId="66802F5F" w14:textId="3CA1544D" w:rsidR="004327A1" w:rsidRDefault="2BC5977E" w:rsidP="001D30D6">
      <w:pPr>
        <w:pStyle w:val="EFSABodytext"/>
      </w:pPr>
      <w:r>
        <w:t>Besides fitting dose-response models to single datasets, it is possible to fit a given model to a combination of datasets which differ in a specific aspect, such as sex, species, or exposure duration, but are similar otherwise. In particular, the response parameter (endpoint) needs to be the same. By fitting the dose-response model to the combined dataset, with the specific aspect included in the analysis as a so-called covariate, it can be examined in what sense the dose-responses in the subgroups differ from each other, based on statistical principles (</w:t>
      </w:r>
      <w:proofErr w:type="gramStart"/>
      <w:r w:rsidR="73C18DF1">
        <w:t>e.g.</w:t>
      </w:r>
      <w:proofErr w:type="gramEnd"/>
      <w:r w:rsidR="73C18DF1">
        <w:t xml:space="preserve"> goodness-of-fit measures</w:t>
      </w:r>
      <w:r>
        <w:t>).</w:t>
      </w:r>
      <w:r w:rsidR="0A1AE91D">
        <w:t xml:space="preserve"> </w:t>
      </w:r>
      <w:r w:rsidR="6FC3CE51">
        <w:t>In principle, t</w:t>
      </w:r>
      <w:r w:rsidR="0A1AE91D">
        <w:t>h</w:t>
      </w:r>
      <w:r w:rsidR="75DED231">
        <w:t>e covariate can play its role on each component of the statistical model.</w:t>
      </w:r>
      <w:r w:rsidR="6FC3CE51">
        <w:t xml:space="preserve"> It is however general practice </w:t>
      </w:r>
      <w:r w:rsidR="5F7433BB">
        <w:t xml:space="preserve">in statistical modelling </w:t>
      </w:r>
      <w:r w:rsidR="6FC3CE51">
        <w:t>that the covariate does not affect the distribution</w:t>
      </w:r>
      <w:r w:rsidR="5F7433BB">
        <w:t xml:space="preserve"> of the response at a </w:t>
      </w:r>
      <w:r w:rsidR="5ACA3F16">
        <w:t>specified</w:t>
      </w:r>
      <w:r w:rsidR="5F7433BB">
        <w:t xml:space="preserve"> dose</w:t>
      </w:r>
      <w:r w:rsidR="252B913F">
        <w:t xml:space="preserve"> but may affect</w:t>
      </w:r>
      <w:r w:rsidR="709BA73E">
        <w:t xml:space="preserve"> a subset</w:t>
      </w:r>
      <w:r w:rsidR="252B913F">
        <w:t xml:space="preserve"> of the parameters</w:t>
      </w:r>
      <w:r w:rsidR="3B68193F">
        <w:t xml:space="preserve"> </w:t>
      </w:r>
      <m:oMath>
        <m:r>
          <w:rPr>
            <w:rFonts w:ascii="Cambria Math" w:hAnsi="Cambria Math"/>
          </w:rPr>
          <m:t>a, b, c, d</m:t>
        </m:r>
      </m:oMath>
      <w:r w:rsidR="252B913F">
        <w:t xml:space="preserve"> </w:t>
      </w:r>
      <w:r w:rsidR="4454904C">
        <w:t>or, after parameterization of the</w:t>
      </w:r>
      <w:r w:rsidR="57AF6319">
        <w:t xml:space="preserve"> background and maximum response,</w:t>
      </w:r>
      <w:r w:rsidR="132819A6">
        <w:t xml:space="preserve"> the </w:t>
      </w:r>
      <w:proofErr w:type="gramStart"/>
      <w:r w:rsidR="132819A6">
        <w:t>BMD</w:t>
      </w:r>
      <w:proofErr w:type="gramEnd"/>
      <w:r w:rsidR="132819A6">
        <w:t xml:space="preserve"> and the parameter </w:t>
      </w:r>
      <w:r w:rsidR="132819A6" w:rsidRPr="003A762E">
        <w:rPr>
          <w:i/>
          <w:iCs/>
        </w:rPr>
        <w:t>d</w:t>
      </w:r>
      <w:r w:rsidR="4454904C">
        <w:t xml:space="preserve"> </w:t>
      </w:r>
      <w:r w:rsidR="252B913F">
        <w:t xml:space="preserve">of the </w:t>
      </w:r>
      <w:r w:rsidR="3B68193F">
        <w:t xml:space="preserve">model </w:t>
      </w:r>
      <w:r w:rsidR="29B5E6B9">
        <w:t xml:space="preserve">for </w:t>
      </w:r>
      <m:oMath>
        <m:r>
          <w:rPr>
            <w:rFonts w:ascii="Cambria Math" w:hAnsi="Cambria Math"/>
          </w:rPr>
          <m:t>μ(x)</m:t>
        </m:r>
      </m:oMath>
      <w:r w:rsidR="29B5E6B9" w:rsidRPr="5E273EC8">
        <w:rPr>
          <w:rFonts w:eastAsiaTheme="minorEastAsia"/>
        </w:rPr>
        <w:t xml:space="preserve"> or </w:t>
      </w:r>
      <m:oMath>
        <m:r>
          <w:rPr>
            <w:rFonts w:ascii="Cambria Math" w:eastAsiaTheme="minorEastAsia" w:hAnsi="Cambria Math"/>
          </w:rPr>
          <m:t>π</m:t>
        </m:r>
        <m:r>
          <w:rPr>
            <w:rFonts w:ascii="Cambria Math" w:hAnsi="Cambria Math"/>
          </w:rPr>
          <m:t>(x)</m:t>
        </m:r>
      </m:oMath>
      <w:r w:rsidR="4454904C" w:rsidRPr="5E273EC8">
        <w:rPr>
          <w:rFonts w:eastAsiaTheme="minorEastAsia"/>
        </w:rPr>
        <w:t>.</w:t>
      </w:r>
      <w:r w:rsidR="681922EE" w:rsidRPr="5E273EC8">
        <w:rPr>
          <w:rFonts w:eastAsiaTheme="minorEastAsia"/>
        </w:rPr>
        <w:t xml:space="preserve"> Fitting different models with or without a covariate effect </w:t>
      </w:r>
      <w:r w:rsidR="6842DBE2" w:rsidRPr="5E273EC8">
        <w:rPr>
          <w:rFonts w:eastAsiaTheme="minorEastAsia"/>
        </w:rPr>
        <w:t xml:space="preserve">and comparing these models </w:t>
      </w:r>
      <w:r w:rsidR="00C10175">
        <w:rPr>
          <w:rFonts w:eastAsiaTheme="minorEastAsia"/>
        </w:rPr>
        <w:t>within the Bayesian framework</w:t>
      </w:r>
      <w:r w:rsidR="4F055895" w:rsidRPr="5E273EC8">
        <w:rPr>
          <w:rFonts w:eastAsiaTheme="minorEastAsia"/>
        </w:rPr>
        <w:t>, may lead to</w:t>
      </w:r>
      <w:r w:rsidR="49543F6B" w:rsidRPr="5E273EC8">
        <w:rPr>
          <w:rFonts w:eastAsiaTheme="minorEastAsia"/>
        </w:rPr>
        <w:t xml:space="preserve"> </w:t>
      </w:r>
    </w:p>
    <w:p w14:paraId="4B33A9AD" w14:textId="6A3C28A6" w:rsidR="00604749" w:rsidRDefault="00E539B1" w:rsidP="00604749">
      <w:pPr>
        <w:pStyle w:val="EFSABodytext"/>
        <w:numPr>
          <w:ilvl w:val="0"/>
          <w:numId w:val="70"/>
        </w:numPr>
      </w:pPr>
      <w:r>
        <w:t xml:space="preserve">the use of a common BMD and resulting in a unique BMD(L/U) across </w:t>
      </w:r>
      <w:proofErr w:type="gramStart"/>
      <w:r>
        <w:t>subgroups;</w:t>
      </w:r>
      <w:proofErr w:type="gramEnd"/>
    </w:p>
    <w:p w14:paraId="72789738" w14:textId="7F2AFBDC" w:rsidR="00B22C90" w:rsidRDefault="009701A1" w:rsidP="00DE30D2">
      <w:pPr>
        <w:pStyle w:val="EFSABodytext"/>
        <w:numPr>
          <w:ilvl w:val="0"/>
          <w:numId w:val="70"/>
        </w:numPr>
      </w:pPr>
      <w:r>
        <w:t>the use of subgroup-specific (covariate-specific) BMD parameters</w:t>
      </w:r>
      <w:r w:rsidR="00AC3EAA">
        <w:t xml:space="preserve"> and resulting in subgroup specific BMD(L/</w:t>
      </w:r>
      <w:proofErr w:type="gramStart"/>
      <w:r w:rsidR="00AC3EAA">
        <w:t>U)s</w:t>
      </w:r>
      <w:r w:rsidR="0064578B">
        <w:t>.</w:t>
      </w:r>
      <w:proofErr w:type="gramEnd"/>
    </w:p>
    <w:p w14:paraId="6E7A2600" w14:textId="7FBC2611" w:rsidR="001D30D6" w:rsidRDefault="001D30D6" w:rsidP="001D30D6">
      <w:pPr>
        <w:pStyle w:val="EFSABodytext"/>
      </w:pPr>
      <w:r>
        <w:t xml:space="preserve">Combining datasets </w:t>
      </w:r>
      <w:r w:rsidR="00527B78">
        <w:t xml:space="preserve">with similar design characteristics </w:t>
      </w:r>
      <w:r>
        <w:t xml:space="preserve">in a dose-response analysis with covariate(s) </w:t>
      </w:r>
      <w:r w:rsidR="009F2B28">
        <w:t>i</w:t>
      </w:r>
      <w:r>
        <w:t xml:space="preserve">s </w:t>
      </w:r>
      <w:r w:rsidR="009F2B28">
        <w:t>more</w:t>
      </w:r>
      <w:r>
        <w:t xml:space="preserve"> powerful </w:t>
      </w:r>
      <w:r w:rsidR="002F3081">
        <w:t>(</w:t>
      </w:r>
      <w:proofErr w:type="gramStart"/>
      <w:r w:rsidR="00CF20D3">
        <w:t>i.e.</w:t>
      </w:r>
      <w:proofErr w:type="gramEnd"/>
      <w:r w:rsidR="00CF20D3">
        <w:t xml:space="preserve"> </w:t>
      </w:r>
      <w:r w:rsidR="005A7644">
        <w:t>narrower</w:t>
      </w:r>
      <w:r w:rsidR="00CF20D3">
        <w:t xml:space="preserve"> credible intervals</w:t>
      </w:r>
      <w:r w:rsidR="002F3081">
        <w:t>)</w:t>
      </w:r>
      <w:r w:rsidR="00534EB8">
        <w:t xml:space="preserve">, </w:t>
      </w:r>
      <w:r w:rsidR="008A59E8">
        <w:t>as compared to analysing each single dataset separately</w:t>
      </w:r>
      <w:r w:rsidR="009B0B92">
        <w:t>. Covariate analysis</w:t>
      </w:r>
      <w:r w:rsidR="00534EB8">
        <w:t xml:space="preserve"> is particularly relevant when the </w:t>
      </w:r>
      <w:r w:rsidR="00CD30A4">
        <w:t>subgroups</w:t>
      </w:r>
      <w:r w:rsidR="00534EB8">
        <w:t xml:space="preserve"> datasets provide relatively poor dose-response information (Slob and Setzer, 2014). I</w:t>
      </w:r>
      <w:r w:rsidR="00E60829">
        <w:t xml:space="preserve">t </w:t>
      </w:r>
      <w:r w:rsidR="00534EB8">
        <w:t xml:space="preserve">also </w:t>
      </w:r>
      <w:r w:rsidR="00E60829">
        <w:t>allows</w:t>
      </w:r>
      <w:r>
        <w:t xml:space="preserve"> for examining and quantifying potential differences between the subgroups. For instance, the problem formulation might indicate that the assessment should specifically focus on sex differences, in which case it would be important to have a precise estimate of the difference in BMDs between male and female animals. </w:t>
      </w:r>
    </w:p>
    <w:p w14:paraId="2038FA7B" w14:textId="17774078" w:rsidR="006461B5" w:rsidRDefault="006461B5" w:rsidP="00DE30D2">
      <w:pPr>
        <w:pStyle w:val="EFSABodytext"/>
      </w:pPr>
      <w:r>
        <w:t xml:space="preserve">All models in </w:t>
      </w:r>
      <w:r w:rsidRPr="00465068">
        <w:t>Table</w:t>
      </w:r>
      <w:r w:rsidR="0033009E" w:rsidRPr="00465068">
        <w:t>s</w:t>
      </w:r>
      <w:r w:rsidRPr="00465068">
        <w:t xml:space="preserve"> </w:t>
      </w:r>
      <w:r w:rsidR="00E8720B" w:rsidRPr="00465068">
        <w:t xml:space="preserve">2 </w:t>
      </w:r>
      <w:r w:rsidR="0033009E" w:rsidRPr="00465068">
        <w:t>and</w:t>
      </w:r>
      <w:r w:rsidR="0033009E" w:rsidRPr="00E8720B">
        <w:t xml:space="preserve"> </w:t>
      </w:r>
      <w:r w:rsidR="00E8720B" w:rsidRPr="00E8720B">
        <w:t xml:space="preserve">3 </w:t>
      </w:r>
      <w:r w:rsidRPr="00E8720B">
        <w:t>allow for</w:t>
      </w:r>
      <w:r w:rsidRPr="00367B5F">
        <w:t xml:space="preserve"> incorporating covariates </w:t>
      </w:r>
      <w:r w:rsidRPr="001F0B46">
        <w:t>in a toxicologically meaningful way.</w:t>
      </w:r>
      <w:r w:rsidRPr="00367B5F">
        <w:t xml:space="preserve"> </w:t>
      </w:r>
    </w:p>
    <w:p w14:paraId="5DC797BD" w14:textId="788E5050" w:rsidR="006461B5" w:rsidRPr="006461B5" w:rsidRDefault="006461B5" w:rsidP="00DE30D2">
      <w:pPr>
        <w:pStyle w:val="EFSABodytext"/>
      </w:pPr>
    </w:p>
    <w:p w14:paraId="02C131AC" w14:textId="4F4EDA51" w:rsidR="0005255E" w:rsidRPr="0005255E" w:rsidRDefault="0005255E" w:rsidP="00DE30D2">
      <w:pPr>
        <w:pStyle w:val="EFSAHeading4"/>
      </w:pPr>
      <w:r>
        <w:t xml:space="preserve">Hierarchical/Nested </w:t>
      </w:r>
      <w:r w:rsidR="006461B5">
        <w:t>response data</w:t>
      </w:r>
    </w:p>
    <w:p w14:paraId="377F6646" w14:textId="65B97E28" w:rsidR="006238F8" w:rsidRPr="00972579" w:rsidRDefault="54833474" w:rsidP="006238F8">
      <w:pPr>
        <w:pStyle w:val="EFSABodytext"/>
      </w:pPr>
      <w:r>
        <w:t>When</w:t>
      </w:r>
      <w:r w:rsidR="236102E6">
        <w:t xml:space="preserve"> data are </w:t>
      </w:r>
      <w:r w:rsidR="006238F8">
        <w:t>nested</w:t>
      </w:r>
      <w:r w:rsidR="00A80D19">
        <w:t xml:space="preserve"> (</w:t>
      </w:r>
      <w:r w:rsidR="0237C074">
        <w:t>multi-</w:t>
      </w:r>
      <w:r w:rsidR="00A80D19">
        <w:t>levelled</w:t>
      </w:r>
      <w:r w:rsidR="00B23DBF">
        <w:t xml:space="preserve"> - </w:t>
      </w:r>
      <w:r w:rsidR="236102E6">
        <w:t>repeated measure designs</w:t>
      </w:r>
      <w:r w:rsidR="717CD264">
        <w:t xml:space="preserve"> in which the same subject is measured repeatedly over time</w:t>
      </w:r>
      <w:r w:rsidR="00A80D19">
        <w:t xml:space="preserve">, </w:t>
      </w:r>
      <w:r w:rsidR="008969FC">
        <w:t xml:space="preserve">or </w:t>
      </w:r>
      <w:r w:rsidR="004C47C4">
        <w:t xml:space="preserve">in the cases in which </w:t>
      </w:r>
      <w:r w:rsidR="00EB5C5E">
        <w:t>observations</w:t>
      </w:r>
      <w:r w:rsidR="004E6FC5">
        <w:t xml:space="preserve"> are correlated, </w:t>
      </w:r>
      <w:proofErr w:type="gramStart"/>
      <w:r w:rsidR="004E6FC5">
        <w:t>e.g.</w:t>
      </w:r>
      <w:proofErr w:type="gramEnd"/>
      <w:r w:rsidR="004E6FC5">
        <w:t xml:space="preserve"> </w:t>
      </w:r>
      <w:r w:rsidR="009913E0">
        <w:t xml:space="preserve">existence of </w:t>
      </w:r>
      <w:r w:rsidR="004E6FC5">
        <w:t>litter effect</w:t>
      </w:r>
      <w:r w:rsidR="00EB5C5E">
        <w:t>s</w:t>
      </w:r>
      <w:r w:rsidR="236102E6">
        <w:t>)</w:t>
      </w:r>
      <w:r>
        <w:t xml:space="preserve">, </w:t>
      </w:r>
      <w:r w:rsidR="236102E6">
        <w:t xml:space="preserve">this hierarchical structure </w:t>
      </w:r>
      <w:r>
        <w:t>need</w:t>
      </w:r>
      <w:r w:rsidR="236102E6">
        <w:t>s</w:t>
      </w:r>
      <w:r>
        <w:t xml:space="preserve"> to be taken into account.</w:t>
      </w:r>
      <w:r w:rsidR="236102E6">
        <w:t xml:space="preserve"> </w:t>
      </w:r>
      <w:r>
        <w:t>Ignoring</w:t>
      </w:r>
      <w:r w:rsidR="236102E6">
        <w:t xml:space="preserve"> multivariate nature of such data</w:t>
      </w:r>
      <w:r>
        <w:t xml:space="preserve"> will result in </w:t>
      </w:r>
      <w:r w:rsidR="70796807">
        <w:t>underestimation of standard errors as well as too narrow</w:t>
      </w:r>
      <w:r w:rsidR="236102E6">
        <w:t xml:space="preserve"> confidence intervals</w:t>
      </w:r>
      <w:r>
        <w:t xml:space="preserve">. There are several statistical methods to account for </w:t>
      </w:r>
      <w:r w:rsidR="236102E6">
        <w:t>hierarchical data</w:t>
      </w:r>
      <w:r w:rsidR="4B5B3A83">
        <w:t xml:space="preserve">: </w:t>
      </w:r>
      <w:proofErr w:type="spellStart"/>
      <w:r w:rsidR="4B5B3A83">
        <w:t>Teunis</w:t>
      </w:r>
      <w:proofErr w:type="spellEnd"/>
      <w:r w:rsidR="4B5B3A83">
        <w:t>, Evers and Slob (1999) proposed the use of Beta-Binomial models to deal with such situations.</w:t>
      </w:r>
    </w:p>
    <w:p w14:paraId="652BA304" w14:textId="1AAF2E02" w:rsidR="00985D11" w:rsidRPr="00985D11" w:rsidRDefault="00985D11" w:rsidP="00972579">
      <w:pPr>
        <w:pStyle w:val="EFSABodytext"/>
      </w:pPr>
      <w:bookmarkStart w:id="54" w:name="_Toc229469384"/>
      <w:bookmarkStart w:id="55" w:name="_Toc232584111"/>
    </w:p>
    <w:p w14:paraId="679C7824" w14:textId="7CA260E9" w:rsidR="00D94AE0" w:rsidRPr="00483642" w:rsidRDefault="00D94AE0" w:rsidP="00D94AE0">
      <w:pPr>
        <w:pStyle w:val="EFSAHeading2"/>
        <w:rPr>
          <w:rFonts w:cs="Times New Roman"/>
        </w:rPr>
      </w:pPr>
      <w:bookmarkStart w:id="56" w:name="_Toc94255340"/>
      <w:r>
        <w:t xml:space="preserve">Guidance </w:t>
      </w:r>
      <w:bookmarkStart w:id="57" w:name="_Toc139442733"/>
      <w:r>
        <w:t>to apply the BMD approach</w:t>
      </w:r>
      <w:bookmarkEnd w:id="54"/>
      <w:bookmarkEnd w:id="55"/>
      <w:bookmarkEnd w:id="56"/>
      <w:bookmarkEnd w:id="57"/>
      <w:r>
        <w:t xml:space="preserve"> </w:t>
      </w:r>
    </w:p>
    <w:p w14:paraId="41345434" w14:textId="03881340" w:rsidR="00D94AE0" w:rsidRDefault="00D94AE0" w:rsidP="00D94AE0">
      <w:pPr>
        <w:pStyle w:val="EFSABodytext"/>
      </w:pPr>
      <w:r w:rsidRPr="00367B5F">
        <w:t xml:space="preserve">This section provides an overview of how to </w:t>
      </w:r>
      <w:r w:rsidR="00B57BFD">
        <w:t xml:space="preserve">estimate the </w:t>
      </w:r>
      <w:r w:rsidRPr="00367B5F">
        <w:t xml:space="preserve">BMD </w:t>
      </w:r>
      <w:r w:rsidR="00B57BFD">
        <w:t xml:space="preserve">and calculate its credible </w:t>
      </w:r>
      <w:r>
        <w:t>interval</w:t>
      </w:r>
      <w:r w:rsidRPr="00367B5F">
        <w:t xml:space="preserve"> from dose-response data</w:t>
      </w:r>
      <w:r w:rsidR="00D63E51">
        <w:t>,</w:t>
      </w:r>
      <w:r w:rsidRPr="00367B5F">
        <w:t xml:space="preserve"> and recommendations </w:t>
      </w:r>
      <w:r>
        <w:t>are</w:t>
      </w:r>
      <w:r w:rsidRPr="00367B5F">
        <w:t xml:space="preserve"> given on </w:t>
      </w:r>
      <w:proofErr w:type="gramStart"/>
      <w:r w:rsidRPr="00367B5F">
        <w:t>particular choices</w:t>
      </w:r>
      <w:proofErr w:type="gramEnd"/>
      <w:r w:rsidRPr="00367B5F">
        <w:t xml:space="preserve"> to be made. </w:t>
      </w:r>
      <w:r>
        <w:t xml:space="preserve">The guidance refers not only to </w:t>
      </w:r>
      <w:r w:rsidRPr="006F7AC9">
        <w:rPr>
          <w:i/>
        </w:rPr>
        <w:t>in vivo</w:t>
      </w:r>
      <w:r>
        <w:t xml:space="preserve"> data but could be applied also to other types of data (</w:t>
      </w:r>
      <w:proofErr w:type="gramStart"/>
      <w:r>
        <w:t>e.g.</w:t>
      </w:r>
      <w:proofErr w:type="gramEnd"/>
      <w:r>
        <w:t xml:space="preserve"> </w:t>
      </w:r>
      <w:r w:rsidRPr="006F7AC9">
        <w:rPr>
          <w:i/>
        </w:rPr>
        <w:t>in vitro</w:t>
      </w:r>
      <w:r>
        <w:t xml:space="preserve"> data). Although</w:t>
      </w:r>
      <w:r w:rsidRPr="00367B5F">
        <w:t xml:space="preserve"> currently available software allows for the application of the BMD approach without detailed knowledge of computational technicalities</w:t>
      </w:r>
      <w:r>
        <w:t xml:space="preserve">, </w:t>
      </w:r>
      <w:r w:rsidRPr="00367B5F">
        <w:t>a conceptual understanding of the method</w:t>
      </w:r>
      <w:r>
        <w:t>, as</w:t>
      </w:r>
      <w:r w:rsidRPr="00367B5F">
        <w:t xml:space="preserve"> </w:t>
      </w:r>
      <w:r>
        <w:t xml:space="preserve">described in this </w:t>
      </w:r>
      <w:r w:rsidR="00446CAD">
        <w:t>Guidance</w:t>
      </w:r>
      <w:r>
        <w:t xml:space="preserve">, </w:t>
      </w:r>
      <w:r w:rsidRPr="00367B5F">
        <w:t>is a prerequisite</w:t>
      </w:r>
      <w:r>
        <w:t xml:space="preserve"> for correct interpretation of the results.</w:t>
      </w:r>
    </w:p>
    <w:p w14:paraId="3725B955" w14:textId="74FC91E7" w:rsidR="00D94AE0" w:rsidRPr="00367B5F" w:rsidRDefault="00F9597C" w:rsidP="00D94AE0">
      <w:pPr>
        <w:pStyle w:val="EFSABodytext"/>
      </w:pPr>
      <w:r>
        <w:t xml:space="preserve">As </w:t>
      </w:r>
      <w:r w:rsidR="004D79A8">
        <w:t>shown in</w:t>
      </w:r>
      <w:r>
        <w:t xml:space="preserve"> </w:t>
      </w:r>
      <w:r w:rsidRPr="00465068">
        <w:t xml:space="preserve">Figure </w:t>
      </w:r>
      <w:r w:rsidR="00D11A99">
        <w:t>2</w:t>
      </w:r>
      <w:r>
        <w:t>, t</w:t>
      </w:r>
      <w:r w:rsidR="00D94AE0" w:rsidRPr="00367B5F">
        <w:t>he application of the BMD approach may be summarized as a process involving the following steps</w:t>
      </w:r>
    </w:p>
    <w:p w14:paraId="1F848618" w14:textId="4944A1E4" w:rsidR="00D94AE0" w:rsidRPr="004C7066" w:rsidRDefault="00D94AE0" w:rsidP="00D94AE0">
      <w:pPr>
        <w:pStyle w:val="EFSABodytext"/>
        <w:numPr>
          <w:ilvl w:val="0"/>
          <w:numId w:val="32"/>
        </w:numPr>
      </w:pPr>
      <w:r w:rsidRPr="00367B5F">
        <w:t>Specification of type of dose-response data</w:t>
      </w:r>
      <w:r>
        <w:t xml:space="preserve"> </w:t>
      </w:r>
      <w:r w:rsidRPr="004C7066">
        <w:t>(</w:t>
      </w:r>
      <w:r w:rsidR="009748C0" w:rsidRPr="004C7066">
        <w:t>Section</w:t>
      </w:r>
      <w:r w:rsidRPr="004C7066">
        <w:t xml:space="preserve"> </w:t>
      </w:r>
      <w:r w:rsidR="004C7066" w:rsidRPr="004C7066">
        <w:t>2.</w:t>
      </w:r>
      <w:r w:rsidR="004C2F94">
        <w:t>6</w:t>
      </w:r>
      <w:r w:rsidRPr="004C7066">
        <w:t>.1)</w:t>
      </w:r>
    </w:p>
    <w:p w14:paraId="0E315C82" w14:textId="411C0106" w:rsidR="00D94AE0" w:rsidRDefault="00872D27" w:rsidP="00D94AE0">
      <w:pPr>
        <w:pStyle w:val="EFSABodytext"/>
        <w:numPr>
          <w:ilvl w:val="0"/>
          <w:numId w:val="32"/>
        </w:numPr>
      </w:pPr>
      <w:r>
        <w:t>Selection</w:t>
      </w:r>
      <w:r w:rsidR="00D94AE0" w:rsidRPr="00367B5F">
        <w:t xml:space="preserve"> of the BMR</w:t>
      </w:r>
      <w:r w:rsidR="00D94AE0">
        <w:t xml:space="preserve"> (</w:t>
      </w:r>
      <w:r w:rsidR="009748C0" w:rsidRPr="004C7066">
        <w:t>Section</w:t>
      </w:r>
      <w:r w:rsidR="00D94AE0" w:rsidRPr="004C7066">
        <w:t xml:space="preserve"> </w:t>
      </w:r>
      <w:r w:rsidR="004C7066" w:rsidRPr="004C7066">
        <w:t>2.</w:t>
      </w:r>
      <w:r w:rsidR="00033FC0">
        <w:t>6</w:t>
      </w:r>
      <w:r w:rsidR="00D94AE0" w:rsidRPr="004C7066">
        <w:t>.2)</w:t>
      </w:r>
    </w:p>
    <w:p w14:paraId="0724612D" w14:textId="6BAE7135" w:rsidR="00365622" w:rsidRDefault="001D2D5A" w:rsidP="00D94AE0">
      <w:pPr>
        <w:pStyle w:val="EFSABodytext"/>
        <w:numPr>
          <w:ilvl w:val="0"/>
          <w:numId w:val="32"/>
        </w:numPr>
      </w:pPr>
      <w:r>
        <w:t xml:space="preserve">Consideration of suitability </w:t>
      </w:r>
      <w:r w:rsidR="008A5A67">
        <w:t xml:space="preserve">of data </w:t>
      </w:r>
      <w:r>
        <w:t>for dose-response modelling</w:t>
      </w:r>
      <w:r w:rsidR="6D73ED80">
        <w:t xml:space="preserve"> </w:t>
      </w:r>
      <w:r w:rsidR="48BE933B">
        <w:t>(</w:t>
      </w:r>
      <w:r w:rsidR="008B549B">
        <w:t>Section</w:t>
      </w:r>
      <w:r w:rsidR="48BE933B">
        <w:t xml:space="preserve"> 2.6.3)</w:t>
      </w:r>
    </w:p>
    <w:p w14:paraId="098D2F9E" w14:textId="678EE019" w:rsidR="007C27F3" w:rsidRPr="004C7066" w:rsidRDefault="0058518D" w:rsidP="00D94AE0">
      <w:pPr>
        <w:pStyle w:val="EFSABodytext"/>
        <w:numPr>
          <w:ilvl w:val="0"/>
          <w:numId w:val="32"/>
        </w:numPr>
      </w:pPr>
      <w:r>
        <w:t xml:space="preserve">Consideration of prior information for the </w:t>
      </w:r>
      <w:r w:rsidR="61C4B8CD">
        <w:t>paramet</w:t>
      </w:r>
      <w:r w:rsidR="00F30155">
        <w:t>e</w:t>
      </w:r>
      <w:r w:rsidR="61C4B8CD">
        <w:t>r</w:t>
      </w:r>
      <w:r>
        <w:t>(s) considered</w:t>
      </w:r>
      <w:r w:rsidR="333420B7">
        <w:t xml:space="preserve"> (</w:t>
      </w:r>
      <w:r w:rsidR="008B549B">
        <w:t>Section</w:t>
      </w:r>
      <w:r w:rsidR="333420B7">
        <w:t xml:space="preserve"> 2.6.4)</w:t>
      </w:r>
    </w:p>
    <w:p w14:paraId="10F60463" w14:textId="6FCE2044" w:rsidR="00D94AE0" w:rsidRPr="004C7066" w:rsidRDefault="00165ACC" w:rsidP="00D94AE0">
      <w:pPr>
        <w:pStyle w:val="EFSABodytext"/>
        <w:numPr>
          <w:ilvl w:val="0"/>
          <w:numId w:val="32"/>
        </w:numPr>
      </w:pPr>
      <w:r>
        <w:t xml:space="preserve">Perform </w:t>
      </w:r>
      <w:r w:rsidR="00902DC4">
        <w:t xml:space="preserve">Bayesian model averaging </w:t>
      </w:r>
      <w:r w:rsidR="006B2841">
        <w:t>to</w:t>
      </w:r>
      <w:r w:rsidR="00346C53">
        <w:t xml:space="preserve"> estimate</w:t>
      </w:r>
      <w:r w:rsidR="000D19D5">
        <w:t xml:space="preserve"> the</w:t>
      </w:r>
      <w:r w:rsidR="00346C53">
        <w:t xml:space="preserve"> BMD and </w:t>
      </w:r>
      <w:r w:rsidR="000D19D5">
        <w:t xml:space="preserve">calculate </w:t>
      </w:r>
      <w:r w:rsidR="00346C53">
        <w:t>its credible interval</w:t>
      </w:r>
      <w:r w:rsidR="604F54A1">
        <w:t xml:space="preserve"> (</w:t>
      </w:r>
      <w:r w:rsidR="008B549B">
        <w:t>Section</w:t>
      </w:r>
      <w:r w:rsidR="604F54A1">
        <w:t xml:space="preserve"> 2.6.5)</w:t>
      </w:r>
    </w:p>
    <w:p w14:paraId="2987F997" w14:textId="1D542A9B" w:rsidR="00D94AE0" w:rsidRDefault="00F51C9F" w:rsidP="00D94AE0">
      <w:pPr>
        <w:pStyle w:val="EFSABodytext"/>
        <w:numPr>
          <w:ilvl w:val="0"/>
          <w:numId w:val="32"/>
        </w:numPr>
      </w:pPr>
      <w:r>
        <w:t xml:space="preserve">Decide on the </w:t>
      </w:r>
      <w:r w:rsidR="00554BBD">
        <w:t xml:space="preserve">overall BMDL (all endpoints considered) to be used as Reference Point to establish the </w:t>
      </w:r>
      <w:r w:rsidR="00AE29FE">
        <w:t>HBGV</w:t>
      </w:r>
      <w:r w:rsidR="31A733EE">
        <w:t xml:space="preserve"> or calculate </w:t>
      </w:r>
      <w:proofErr w:type="gramStart"/>
      <w:r w:rsidR="31A733EE">
        <w:t>a</w:t>
      </w:r>
      <w:proofErr w:type="gramEnd"/>
      <w:r w:rsidR="31A733EE">
        <w:t xml:space="preserve"> MOE</w:t>
      </w:r>
    </w:p>
    <w:p w14:paraId="3CB3A4EE" w14:textId="343AF22C" w:rsidR="003A23DA" w:rsidRDefault="003A23DA" w:rsidP="003A23DA">
      <w:pPr>
        <w:pStyle w:val="EFSABodytext"/>
      </w:pPr>
    </w:p>
    <w:p w14:paraId="32914E96" w14:textId="46C59EF5" w:rsidR="00D33BD4" w:rsidRDefault="008E2DD1" w:rsidP="00D94AE0">
      <w:pPr>
        <w:pStyle w:val="EFSABodytext"/>
      </w:pPr>
      <w:r>
        <w:rPr>
          <w:noProof/>
        </w:rPr>
        <w:drawing>
          <wp:inline distT="0" distB="0" distL="0" distR="0" wp14:anchorId="266FE5E9" wp14:editId="428D98F4">
            <wp:extent cx="6019800" cy="81794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023606" cy="8184666"/>
                    </a:xfrm>
                    <a:prstGeom prst="rect">
                      <a:avLst/>
                    </a:prstGeom>
                  </pic:spPr>
                </pic:pic>
              </a:graphicData>
            </a:graphic>
          </wp:inline>
        </w:drawing>
      </w:r>
    </w:p>
    <w:p w14:paraId="44FB30F8" w14:textId="48649DBE" w:rsidR="00D94AE0" w:rsidRDefault="002F2596" w:rsidP="00C07BB4">
      <w:pPr>
        <w:spacing w:after="0" w:line="240" w:lineRule="auto"/>
        <w:ind w:left="1276" w:hanging="1276"/>
      </w:pPr>
      <w:r w:rsidRPr="00AA1218">
        <w:rPr>
          <w:b/>
        </w:rPr>
        <w:t xml:space="preserve">Figure </w:t>
      </w:r>
      <w:r w:rsidR="00F34928" w:rsidRPr="00AA1218">
        <w:rPr>
          <w:b/>
        </w:rPr>
        <w:t>2</w:t>
      </w:r>
      <w:r w:rsidR="005D3AFF">
        <w:tab/>
      </w:r>
      <w:r w:rsidR="000B0D51">
        <w:t xml:space="preserve">Flowchart to </w:t>
      </w:r>
      <w:r w:rsidR="00A01D21">
        <w:t xml:space="preserve">derive a </w:t>
      </w:r>
      <w:r w:rsidR="00B0366F">
        <w:t xml:space="preserve">Reference Point </w:t>
      </w:r>
      <w:r w:rsidR="00D11A99">
        <w:t>(RP)</w:t>
      </w:r>
      <w:r w:rsidR="00B0366F">
        <w:t xml:space="preserve"> </w:t>
      </w:r>
      <w:r w:rsidR="00981727">
        <w:t xml:space="preserve">from a dose-response dataset </w:t>
      </w:r>
      <w:r w:rsidR="00F925D9">
        <w:t xml:space="preserve">of a specified endpoint, using </w:t>
      </w:r>
      <w:r w:rsidR="007A25A6">
        <w:t>BMD analysis</w:t>
      </w:r>
      <w:r w:rsidR="00D51A17">
        <w:t xml:space="preserve"> </w:t>
      </w:r>
    </w:p>
    <w:p w14:paraId="0F6B0050" w14:textId="05074514" w:rsidR="004C2F94" w:rsidRPr="0007730C" w:rsidRDefault="00E95B2F" w:rsidP="002E170A">
      <w:pPr>
        <w:pStyle w:val="EFSAHeading3"/>
        <w:ind w:left="1276"/>
      </w:pPr>
      <w:bookmarkStart w:id="58" w:name="_Toc94255341"/>
      <w:r>
        <w:t xml:space="preserve">Structure </w:t>
      </w:r>
      <w:r w:rsidR="004970B6">
        <w:t>of the dose-response data</w:t>
      </w:r>
      <w:bookmarkEnd w:id="58"/>
      <w:r w:rsidR="004C2F94">
        <w:t xml:space="preserve"> </w:t>
      </w:r>
    </w:p>
    <w:p w14:paraId="072F0AD9" w14:textId="45280A59" w:rsidR="675DAD6D" w:rsidRPr="00AE00C7" w:rsidRDefault="675DAD6D" w:rsidP="00E07A63">
      <w:pPr>
        <w:spacing w:line="240" w:lineRule="auto"/>
        <w:jc w:val="both"/>
        <w:rPr>
          <w:rFonts w:ascii="Tahoma" w:hAnsi="Tahoma" w:cs="Tahoma"/>
          <w:sz w:val="20"/>
          <w:szCs w:val="20"/>
        </w:rPr>
      </w:pPr>
      <w:r w:rsidRPr="00AE00C7">
        <w:rPr>
          <w:rFonts w:ascii="Tahoma" w:hAnsi="Tahoma" w:cs="Tahoma"/>
          <w:sz w:val="20"/>
          <w:szCs w:val="20"/>
        </w:rPr>
        <w:t xml:space="preserve">The basic structure of </w:t>
      </w:r>
      <w:r w:rsidR="1AA56267" w:rsidRPr="00AE00C7">
        <w:rPr>
          <w:rFonts w:ascii="Tahoma" w:hAnsi="Tahoma" w:cs="Tahoma"/>
          <w:sz w:val="20"/>
          <w:szCs w:val="20"/>
        </w:rPr>
        <w:t>most</w:t>
      </w:r>
      <w:r w:rsidRPr="00AE00C7">
        <w:rPr>
          <w:rFonts w:ascii="Tahoma" w:hAnsi="Tahoma" w:cs="Tahoma"/>
          <w:sz w:val="20"/>
          <w:szCs w:val="20"/>
        </w:rPr>
        <w:t xml:space="preserve"> dose-response data is a</w:t>
      </w:r>
      <w:r w:rsidR="26327E64" w:rsidRPr="00AE00C7">
        <w:rPr>
          <w:rFonts w:ascii="Tahoma" w:hAnsi="Tahoma" w:cs="Tahoma"/>
          <w:sz w:val="20"/>
          <w:szCs w:val="20"/>
        </w:rPr>
        <w:t xml:space="preserve"> matrix</w:t>
      </w:r>
      <w:r w:rsidRPr="00AE00C7">
        <w:rPr>
          <w:rFonts w:ascii="Tahoma" w:hAnsi="Tahoma" w:cs="Tahoma"/>
          <w:sz w:val="20"/>
          <w:szCs w:val="20"/>
        </w:rPr>
        <w:t xml:space="preserve">, with </w:t>
      </w:r>
      <w:r w:rsidR="1977588D" w:rsidRPr="00AE00C7">
        <w:rPr>
          <w:rFonts w:ascii="Tahoma" w:hAnsi="Tahoma" w:cs="Tahoma"/>
          <w:sz w:val="20"/>
          <w:szCs w:val="20"/>
        </w:rPr>
        <w:t xml:space="preserve">each </w:t>
      </w:r>
      <w:r w:rsidRPr="00AE00C7">
        <w:rPr>
          <w:rFonts w:ascii="Tahoma" w:hAnsi="Tahoma" w:cs="Tahoma"/>
          <w:sz w:val="20"/>
          <w:szCs w:val="20"/>
        </w:rPr>
        <w:t>row</w:t>
      </w:r>
      <w:r w:rsidR="0DED9F17" w:rsidRPr="00AE00C7">
        <w:rPr>
          <w:rFonts w:ascii="Tahoma" w:hAnsi="Tahoma" w:cs="Tahoma"/>
          <w:sz w:val="20"/>
          <w:szCs w:val="20"/>
        </w:rPr>
        <w:t xml:space="preserve"> providing the summary statistics of a particular dose</w:t>
      </w:r>
      <w:r w:rsidR="53880FBD" w:rsidRPr="00AE00C7">
        <w:rPr>
          <w:rFonts w:ascii="Tahoma" w:hAnsi="Tahoma" w:cs="Tahoma"/>
          <w:sz w:val="20"/>
          <w:szCs w:val="20"/>
        </w:rPr>
        <w:t>, with columns</w:t>
      </w:r>
      <w:r w:rsidR="0DED9F17" w:rsidRPr="00AE00C7">
        <w:rPr>
          <w:rFonts w:ascii="Tahoma" w:hAnsi="Tahoma" w:cs="Tahoma"/>
          <w:sz w:val="20"/>
          <w:szCs w:val="20"/>
        </w:rPr>
        <w:t>:</w:t>
      </w:r>
    </w:p>
    <w:p w14:paraId="4FB96359" w14:textId="49352EF9" w:rsidR="1F5BAFDB" w:rsidRPr="00AE00C7" w:rsidRDefault="1F5BAFDB" w:rsidP="00E07A63">
      <w:pPr>
        <w:pStyle w:val="ListParagraph"/>
        <w:numPr>
          <w:ilvl w:val="0"/>
          <w:numId w:val="5"/>
        </w:numPr>
        <w:spacing w:line="240" w:lineRule="auto"/>
        <w:jc w:val="both"/>
        <w:rPr>
          <w:rFonts w:ascii="Tahoma" w:eastAsiaTheme="minorEastAsia" w:hAnsi="Tahoma" w:cs="Tahoma"/>
          <w:sz w:val="20"/>
          <w:szCs w:val="20"/>
        </w:rPr>
      </w:pPr>
      <w:r w:rsidRPr="00AE00C7">
        <w:rPr>
          <w:rFonts w:ascii="Tahoma" w:hAnsi="Tahoma" w:cs="Tahoma"/>
          <w:sz w:val="20"/>
          <w:szCs w:val="20"/>
        </w:rPr>
        <w:t>For continuous endpoints: d</w:t>
      </w:r>
      <w:r w:rsidR="32660F92" w:rsidRPr="00AE00C7">
        <w:rPr>
          <w:rFonts w:ascii="Tahoma" w:hAnsi="Tahoma" w:cs="Tahoma"/>
          <w:sz w:val="20"/>
          <w:szCs w:val="20"/>
        </w:rPr>
        <w:t>ose,</w:t>
      </w:r>
      <w:r w:rsidR="13817DDF" w:rsidRPr="00AE00C7">
        <w:rPr>
          <w:rFonts w:ascii="Tahoma" w:hAnsi="Tahoma" w:cs="Tahoma"/>
          <w:sz w:val="20"/>
          <w:szCs w:val="20"/>
        </w:rPr>
        <w:t xml:space="preserve"> number of observations,</w:t>
      </w:r>
      <w:r w:rsidR="32660F92" w:rsidRPr="00AE00C7">
        <w:rPr>
          <w:rFonts w:ascii="Tahoma" w:hAnsi="Tahoma" w:cs="Tahoma"/>
          <w:sz w:val="20"/>
          <w:szCs w:val="20"/>
        </w:rPr>
        <w:t xml:space="preserve"> </w:t>
      </w:r>
      <w:r w:rsidR="0D9F199D" w:rsidRPr="00AE00C7">
        <w:rPr>
          <w:rFonts w:ascii="Tahoma" w:hAnsi="Tahoma" w:cs="Tahoma"/>
          <w:sz w:val="20"/>
          <w:szCs w:val="20"/>
        </w:rPr>
        <w:t xml:space="preserve">arithmetic </w:t>
      </w:r>
      <w:r w:rsidR="0BDBDECC" w:rsidRPr="00AE00C7">
        <w:rPr>
          <w:rFonts w:ascii="Tahoma" w:hAnsi="Tahoma" w:cs="Tahoma"/>
          <w:sz w:val="20"/>
          <w:szCs w:val="20"/>
        </w:rPr>
        <w:t>mean</w:t>
      </w:r>
      <w:r w:rsidR="32660F92" w:rsidRPr="00AE00C7">
        <w:rPr>
          <w:rFonts w:ascii="Tahoma" w:hAnsi="Tahoma" w:cs="Tahoma"/>
          <w:sz w:val="20"/>
          <w:szCs w:val="20"/>
        </w:rPr>
        <w:t xml:space="preserve">, </w:t>
      </w:r>
      <w:r w:rsidR="52266310" w:rsidRPr="00AE00C7">
        <w:rPr>
          <w:rFonts w:ascii="Tahoma" w:hAnsi="Tahoma" w:cs="Tahoma"/>
          <w:sz w:val="20"/>
          <w:szCs w:val="20"/>
        </w:rPr>
        <w:t xml:space="preserve">arithmetic </w:t>
      </w:r>
      <w:r w:rsidR="32660F92" w:rsidRPr="00AE00C7">
        <w:rPr>
          <w:rFonts w:ascii="Tahoma" w:hAnsi="Tahoma" w:cs="Tahoma"/>
          <w:sz w:val="20"/>
          <w:szCs w:val="20"/>
        </w:rPr>
        <w:t xml:space="preserve">standard </w:t>
      </w:r>
      <w:proofErr w:type="gramStart"/>
      <w:r w:rsidR="32660F92" w:rsidRPr="00AE00C7">
        <w:rPr>
          <w:rFonts w:ascii="Tahoma" w:hAnsi="Tahoma" w:cs="Tahoma"/>
          <w:sz w:val="20"/>
          <w:szCs w:val="20"/>
        </w:rPr>
        <w:t>deviation</w:t>
      </w:r>
      <w:proofErr w:type="gramEnd"/>
      <w:r w:rsidR="32660F92" w:rsidRPr="00AE00C7">
        <w:rPr>
          <w:rFonts w:ascii="Tahoma" w:hAnsi="Tahoma" w:cs="Tahoma"/>
          <w:sz w:val="20"/>
          <w:szCs w:val="20"/>
        </w:rPr>
        <w:t xml:space="preserve"> or variance</w:t>
      </w:r>
      <w:r w:rsidR="701FDF59" w:rsidRPr="00AE00C7">
        <w:rPr>
          <w:rFonts w:ascii="Tahoma" w:hAnsi="Tahoma" w:cs="Tahoma"/>
          <w:sz w:val="20"/>
          <w:szCs w:val="20"/>
        </w:rPr>
        <w:t>.</w:t>
      </w:r>
    </w:p>
    <w:p w14:paraId="22BC3F9E" w14:textId="48C4C9F8" w:rsidR="701FDF59" w:rsidRPr="00AE00C7" w:rsidRDefault="701FDF59" w:rsidP="00E07A63">
      <w:pPr>
        <w:pStyle w:val="ListParagraph"/>
        <w:numPr>
          <w:ilvl w:val="0"/>
          <w:numId w:val="5"/>
        </w:numPr>
        <w:spacing w:line="240" w:lineRule="auto"/>
        <w:jc w:val="both"/>
        <w:rPr>
          <w:rFonts w:ascii="Tahoma" w:hAnsi="Tahoma" w:cs="Tahoma"/>
          <w:sz w:val="20"/>
          <w:szCs w:val="20"/>
        </w:rPr>
      </w:pPr>
      <w:r w:rsidRPr="00AE00C7">
        <w:rPr>
          <w:rFonts w:ascii="Tahoma" w:hAnsi="Tahoma" w:cs="Tahoma"/>
          <w:sz w:val="20"/>
          <w:szCs w:val="20"/>
        </w:rPr>
        <w:t>For quantal endpoints: dose, number of observations, number of adverse events.</w:t>
      </w:r>
    </w:p>
    <w:p w14:paraId="21DF5078" w14:textId="1F2D603E" w:rsidR="1FBF5C03" w:rsidRPr="00AE00C7" w:rsidRDefault="1FBF5C03" w:rsidP="00E07A63">
      <w:pPr>
        <w:spacing w:line="240" w:lineRule="auto"/>
        <w:jc w:val="both"/>
        <w:rPr>
          <w:rFonts w:ascii="Tahoma" w:hAnsi="Tahoma" w:cs="Tahoma"/>
          <w:sz w:val="20"/>
          <w:szCs w:val="20"/>
        </w:rPr>
      </w:pPr>
      <w:r w:rsidRPr="00AE00C7">
        <w:rPr>
          <w:rFonts w:ascii="Tahoma" w:hAnsi="Tahoma" w:cs="Tahoma"/>
          <w:sz w:val="20"/>
          <w:szCs w:val="20"/>
        </w:rPr>
        <w:t>Possible variations on this basic structure include</w:t>
      </w:r>
      <w:r w:rsidR="7F0EB203" w:rsidRPr="00AE00C7">
        <w:rPr>
          <w:rFonts w:ascii="Tahoma" w:hAnsi="Tahoma" w:cs="Tahoma"/>
          <w:sz w:val="20"/>
          <w:szCs w:val="20"/>
        </w:rPr>
        <w:t>:</w:t>
      </w:r>
    </w:p>
    <w:p w14:paraId="15A4370D" w14:textId="484F928B" w:rsidR="1FBF5C03" w:rsidRPr="00AE00C7" w:rsidRDefault="1FBF5C03" w:rsidP="00E07A63">
      <w:pPr>
        <w:pStyle w:val="ListParagraph"/>
        <w:numPr>
          <w:ilvl w:val="0"/>
          <w:numId w:val="3"/>
        </w:numPr>
        <w:spacing w:line="240" w:lineRule="auto"/>
        <w:jc w:val="both"/>
        <w:rPr>
          <w:rFonts w:ascii="Tahoma" w:eastAsiaTheme="minorEastAsia" w:hAnsi="Tahoma" w:cs="Tahoma"/>
          <w:sz w:val="20"/>
          <w:szCs w:val="20"/>
        </w:rPr>
      </w:pPr>
      <w:r w:rsidRPr="00AE00C7">
        <w:rPr>
          <w:rFonts w:ascii="Tahoma" w:hAnsi="Tahoma" w:cs="Tahoma"/>
          <w:sz w:val="20"/>
          <w:szCs w:val="20"/>
        </w:rPr>
        <w:t>Individual data, in a matrix, with each row referring to an individual unit and</w:t>
      </w:r>
      <w:r w:rsidR="5B34F5F7" w:rsidRPr="00AE00C7">
        <w:rPr>
          <w:rFonts w:ascii="Tahoma" w:hAnsi="Tahoma" w:cs="Tahoma"/>
          <w:sz w:val="20"/>
          <w:szCs w:val="20"/>
        </w:rPr>
        <w:t xml:space="preserve"> with two columns: the dose used, and the individual outcome (continuous or adverse event indicator</w:t>
      </w:r>
      <w:r w:rsidR="7120B2FC" w:rsidRPr="00AE00C7">
        <w:rPr>
          <w:rFonts w:ascii="Tahoma" w:hAnsi="Tahoma" w:cs="Tahoma"/>
          <w:sz w:val="20"/>
          <w:szCs w:val="20"/>
        </w:rPr>
        <w:t>).</w:t>
      </w:r>
    </w:p>
    <w:p w14:paraId="1F246E0A" w14:textId="5C839902" w:rsidR="6A55223B" w:rsidRPr="00AE00C7" w:rsidRDefault="6A55223B" w:rsidP="00E07A63">
      <w:pPr>
        <w:pStyle w:val="ListParagraph"/>
        <w:numPr>
          <w:ilvl w:val="0"/>
          <w:numId w:val="3"/>
        </w:numPr>
        <w:spacing w:line="240" w:lineRule="auto"/>
        <w:jc w:val="both"/>
        <w:rPr>
          <w:rFonts w:ascii="Tahoma" w:hAnsi="Tahoma" w:cs="Tahoma"/>
          <w:sz w:val="20"/>
          <w:szCs w:val="20"/>
        </w:rPr>
      </w:pPr>
      <w:r w:rsidRPr="00AE00C7">
        <w:rPr>
          <w:rFonts w:ascii="Tahoma" w:hAnsi="Tahoma" w:cs="Tahoma"/>
          <w:sz w:val="20"/>
          <w:szCs w:val="20"/>
        </w:rPr>
        <w:t>Summary data, as in the basic structure, but with, for continuous endpoints, the geometric mean and geometric standard deviation</w:t>
      </w:r>
      <w:r w:rsidR="47186CF5" w:rsidRPr="00AE00C7">
        <w:rPr>
          <w:rFonts w:ascii="Tahoma" w:hAnsi="Tahoma" w:cs="Tahoma"/>
          <w:sz w:val="20"/>
          <w:szCs w:val="20"/>
        </w:rPr>
        <w:t xml:space="preserve"> or variance</w:t>
      </w:r>
      <w:r w:rsidRPr="00AE00C7">
        <w:rPr>
          <w:rFonts w:ascii="Tahoma" w:hAnsi="Tahoma" w:cs="Tahoma"/>
          <w:sz w:val="20"/>
          <w:szCs w:val="20"/>
        </w:rPr>
        <w:t>.</w:t>
      </w:r>
    </w:p>
    <w:p w14:paraId="41A69918" w14:textId="11A45F11" w:rsidR="37ADF408" w:rsidRPr="00AE00C7" w:rsidRDefault="37ADF408" w:rsidP="00E07A63">
      <w:pPr>
        <w:pStyle w:val="ListParagraph"/>
        <w:numPr>
          <w:ilvl w:val="0"/>
          <w:numId w:val="3"/>
        </w:numPr>
        <w:spacing w:line="240" w:lineRule="auto"/>
        <w:jc w:val="both"/>
        <w:rPr>
          <w:rFonts w:ascii="Tahoma" w:hAnsi="Tahoma" w:cs="Tahoma"/>
          <w:sz w:val="20"/>
          <w:szCs w:val="20"/>
        </w:rPr>
      </w:pPr>
      <w:r w:rsidRPr="00AE00C7">
        <w:rPr>
          <w:rFonts w:ascii="Tahoma" w:hAnsi="Tahoma" w:cs="Tahoma"/>
          <w:sz w:val="20"/>
          <w:szCs w:val="20"/>
        </w:rPr>
        <w:t>The basic structure extended with an additional column</w:t>
      </w:r>
      <w:r w:rsidR="69BE54D4" w:rsidRPr="00AE00C7">
        <w:rPr>
          <w:rFonts w:ascii="Tahoma" w:hAnsi="Tahoma" w:cs="Tahoma"/>
          <w:sz w:val="20"/>
          <w:szCs w:val="20"/>
        </w:rPr>
        <w:t xml:space="preserve"> with the values of a covariate for that dose group, such as gender, age group</w:t>
      </w:r>
      <w:r w:rsidR="53208E3A" w:rsidRPr="00AE00C7">
        <w:rPr>
          <w:rFonts w:ascii="Tahoma" w:hAnsi="Tahoma" w:cs="Tahoma"/>
          <w:sz w:val="20"/>
          <w:szCs w:val="20"/>
        </w:rPr>
        <w:t>. In this setting, the same dose value will appear</w:t>
      </w:r>
      <w:r w:rsidR="22EF9E6E" w:rsidRPr="00AE00C7">
        <w:rPr>
          <w:rFonts w:ascii="Tahoma" w:hAnsi="Tahoma" w:cs="Tahoma"/>
          <w:sz w:val="20"/>
          <w:szCs w:val="20"/>
        </w:rPr>
        <w:t xml:space="preserve"> in multiple rows,</w:t>
      </w:r>
      <w:r w:rsidR="53208E3A" w:rsidRPr="00AE00C7">
        <w:rPr>
          <w:rFonts w:ascii="Tahoma" w:hAnsi="Tahoma" w:cs="Tahoma"/>
          <w:sz w:val="20"/>
          <w:szCs w:val="20"/>
        </w:rPr>
        <w:t xml:space="preserve"> </w:t>
      </w:r>
      <w:r w:rsidR="057C78C6" w:rsidRPr="00AE00C7">
        <w:rPr>
          <w:rFonts w:ascii="Tahoma" w:hAnsi="Tahoma" w:cs="Tahoma"/>
          <w:sz w:val="20"/>
          <w:szCs w:val="20"/>
        </w:rPr>
        <w:t>as often as there are covariate values</w:t>
      </w:r>
      <w:r w:rsidR="5568EB9E" w:rsidRPr="00AE00C7">
        <w:rPr>
          <w:rFonts w:ascii="Tahoma" w:hAnsi="Tahoma" w:cs="Tahoma"/>
          <w:sz w:val="20"/>
          <w:szCs w:val="20"/>
        </w:rPr>
        <w:t xml:space="preserve">. For instance, in </w:t>
      </w:r>
      <w:r w:rsidR="009E08E1">
        <w:rPr>
          <w:rFonts w:ascii="Tahoma" w:hAnsi="Tahoma" w:cs="Tahoma"/>
          <w:sz w:val="20"/>
          <w:szCs w:val="20"/>
        </w:rPr>
        <w:t>the</w:t>
      </w:r>
      <w:r w:rsidR="5568EB9E" w:rsidRPr="00AE00C7">
        <w:rPr>
          <w:rFonts w:ascii="Tahoma" w:hAnsi="Tahoma" w:cs="Tahoma"/>
          <w:sz w:val="20"/>
          <w:szCs w:val="20"/>
        </w:rPr>
        <w:t xml:space="preserve"> case of the covariate gender, there will be two rows with the same dose level </w:t>
      </w:r>
      <w:r w:rsidR="5F5B4FC6" w:rsidRPr="00AE00C7">
        <w:rPr>
          <w:rFonts w:ascii="Tahoma" w:hAnsi="Tahoma" w:cs="Tahoma"/>
          <w:sz w:val="20"/>
          <w:szCs w:val="20"/>
        </w:rPr>
        <w:t xml:space="preserve">(first column), possibly the same number of observations </w:t>
      </w:r>
      <w:r w:rsidR="6218B5C1" w:rsidRPr="00AE00C7">
        <w:rPr>
          <w:rFonts w:ascii="Tahoma" w:hAnsi="Tahoma" w:cs="Tahoma"/>
          <w:sz w:val="20"/>
          <w:szCs w:val="20"/>
        </w:rPr>
        <w:t xml:space="preserve">in the second column </w:t>
      </w:r>
      <w:r w:rsidR="5F5B4FC6" w:rsidRPr="00AE00C7">
        <w:rPr>
          <w:rFonts w:ascii="Tahoma" w:hAnsi="Tahoma" w:cs="Tahoma"/>
          <w:sz w:val="20"/>
          <w:szCs w:val="20"/>
        </w:rPr>
        <w:t xml:space="preserve">(in case of a balanced design), </w:t>
      </w:r>
      <w:r w:rsidR="393A26C7" w:rsidRPr="00AE00C7">
        <w:rPr>
          <w:rFonts w:ascii="Tahoma" w:hAnsi="Tahoma" w:cs="Tahoma"/>
          <w:sz w:val="20"/>
          <w:szCs w:val="20"/>
        </w:rPr>
        <w:t xml:space="preserve">likely different values for mean and standard deviation (or variance) in the third and fourth column, and different gender indicators in the fifth column. </w:t>
      </w:r>
    </w:p>
    <w:p w14:paraId="63B0EA9F" w14:textId="0A4EB146" w:rsidR="6544E466" w:rsidRPr="00AE00C7" w:rsidRDefault="6544E466" w:rsidP="00E07A63">
      <w:pPr>
        <w:pStyle w:val="ListParagraph"/>
        <w:numPr>
          <w:ilvl w:val="0"/>
          <w:numId w:val="3"/>
        </w:numPr>
        <w:spacing w:line="240" w:lineRule="auto"/>
        <w:jc w:val="both"/>
        <w:rPr>
          <w:rFonts w:ascii="Tahoma" w:hAnsi="Tahoma" w:cs="Tahoma"/>
          <w:sz w:val="20"/>
          <w:szCs w:val="20"/>
        </w:rPr>
      </w:pPr>
      <w:r w:rsidRPr="4E487999">
        <w:rPr>
          <w:rFonts w:ascii="Tahoma" w:hAnsi="Tahoma" w:cs="Tahoma"/>
          <w:sz w:val="20"/>
          <w:szCs w:val="20"/>
        </w:rPr>
        <w:t xml:space="preserve">In </w:t>
      </w:r>
      <w:r w:rsidR="00E660FF" w:rsidRPr="4E487999">
        <w:rPr>
          <w:rFonts w:ascii="Tahoma" w:hAnsi="Tahoma" w:cs="Tahoma"/>
          <w:sz w:val="20"/>
          <w:szCs w:val="20"/>
        </w:rPr>
        <w:t>the</w:t>
      </w:r>
      <w:r w:rsidRPr="4E487999">
        <w:rPr>
          <w:rFonts w:ascii="Tahoma" w:hAnsi="Tahoma" w:cs="Tahoma"/>
          <w:sz w:val="20"/>
          <w:szCs w:val="20"/>
        </w:rPr>
        <w:t xml:space="preserve"> case of clustered quantal data (</w:t>
      </w:r>
      <w:proofErr w:type="gramStart"/>
      <w:r w:rsidRPr="4E487999">
        <w:rPr>
          <w:rFonts w:ascii="Tahoma" w:hAnsi="Tahoma" w:cs="Tahoma"/>
          <w:sz w:val="20"/>
          <w:szCs w:val="20"/>
        </w:rPr>
        <w:t>e.g.</w:t>
      </w:r>
      <w:proofErr w:type="gramEnd"/>
      <w:r w:rsidRPr="4E487999">
        <w:rPr>
          <w:rFonts w:ascii="Tahoma" w:hAnsi="Tahoma" w:cs="Tahoma"/>
          <w:sz w:val="20"/>
          <w:szCs w:val="20"/>
        </w:rPr>
        <w:t xml:space="preserve"> litters), there are multiple rows with the same dose </w:t>
      </w:r>
      <w:r w:rsidR="5D294C4B" w:rsidRPr="4E487999">
        <w:rPr>
          <w:rFonts w:ascii="Tahoma" w:hAnsi="Tahoma" w:cs="Tahoma"/>
          <w:sz w:val="20"/>
          <w:szCs w:val="20"/>
        </w:rPr>
        <w:t xml:space="preserve">level (in the first column), each of them referring to a different cluster; the other columns are again the number of observations </w:t>
      </w:r>
      <w:r w:rsidR="4DA5E9E6" w:rsidRPr="4E487999">
        <w:rPr>
          <w:rFonts w:ascii="Tahoma" w:hAnsi="Tahoma" w:cs="Tahoma"/>
          <w:sz w:val="20"/>
          <w:szCs w:val="20"/>
        </w:rPr>
        <w:t>(likely different for different clusters), number of adverse events.</w:t>
      </w:r>
      <w:r w:rsidR="5D294C4B" w:rsidRPr="4E487999">
        <w:rPr>
          <w:rFonts w:ascii="Tahoma" w:hAnsi="Tahoma" w:cs="Tahoma"/>
          <w:sz w:val="20"/>
          <w:szCs w:val="20"/>
        </w:rPr>
        <w:t xml:space="preserve"> </w:t>
      </w:r>
    </w:p>
    <w:p w14:paraId="160B3559" w14:textId="460C6FCF" w:rsidR="007B190B" w:rsidRDefault="000020B8" w:rsidP="00E07A63">
      <w:pPr>
        <w:spacing w:line="240" w:lineRule="auto"/>
        <w:jc w:val="both"/>
        <w:rPr>
          <w:rFonts w:ascii="Tahoma" w:hAnsi="Tahoma" w:cs="Tahoma"/>
          <w:sz w:val="20"/>
          <w:szCs w:val="20"/>
        </w:rPr>
      </w:pPr>
      <w:r w:rsidRPr="00D62D9D">
        <w:rPr>
          <w:rFonts w:ascii="Tahoma" w:hAnsi="Tahoma" w:cs="Tahoma"/>
          <w:sz w:val="20"/>
          <w:szCs w:val="20"/>
        </w:rPr>
        <w:t xml:space="preserve">There are </w:t>
      </w:r>
      <w:r w:rsidR="00A31C26" w:rsidRPr="00D62D9D">
        <w:rPr>
          <w:rFonts w:ascii="Tahoma" w:hAnsi="Tahoma" w:cs="Tahoma"/>
          <w:sz w:val="20"/>
          <w:szCs w:val="20"/>
        </w:rPr>
        <w:t>specific</w:t>
      </w:r>
      <w:r w:rsidR="00FC691B" w:rsidRPr="00D62D9D">
        <w:rPr>
          <w:rFonts w:ascii="Tahoma" w:hAnsi="Tahoma" w:cs="Tahoma"/>
          <w:sz w:val="20"/>
          <w:szCs w:val="20"/>
        </w:rPr>
        <w:t xml:space="preserve"> </w:t>
      </w:r>
      <w:r w:rsidR="006A7103" w:rsidRPr="00D62D9D">
        <w:rPr>
          <w:rFonts w:ascii="Tahoma" w:hAnsi="Tahoma" w:cs="Tahoma"/>
          <w:sz w:val="20"/>
          <w:szCs w:val="20"/>
        </w:rPr>
        <w:t xml:space="preserve">conditions in which a covariate analysis </w:t>
      </w:r>
      <w:r w:rsidR="0021369B" w:rsidRPr="00D62D9D">
        <w:rPr>
          <w:rFonts w:ascii="Tahoma" w:hAnsi="Tahoma" w:cs="Tahoma"/>
          <w:sz w:val="20"/>
          <w:szCs w:val="20"/>
        </w:rPr>
        <w:t xml:space="preserve">can be used when performing a BMD </w:t>
      </w:r>
      <w:r w:rsidR="000821E1" w:rsidRPr="00D62D9D">
        <w:rPr>
          <w:rFonts w:ascii="Tahoma" w:hAnsi="Tahoma" w:cs="Tahoma"/>
          <w:sz w:val="20"/>
          <w:szCs w:val="20"/>
        </w:rPr>
        <w:t>estimation</w:t>
      </w:r>
      <w:r w:rsidR="00386D1A">
        <w:rPr>
          <w:rFonts w:ascii="Tahoma" w:hAnsi="Tahoma" w:cs="Tahoma"/>
          <w:sz w:val="20"/>
          <w:szCs w:val="20"/>
        </w:rPr>
        <w:t xml:space="preserve"> (see Section </w:t>
      </w:r>
      <w:r w:rsidR="00386D1A">
        <w:rPr>
          <w:rFonts w:ascii="Tahoma" w:hAnsi="Tahoma" w:cs="Tahoma"/>
          <w:sz w:val="20"/>
          <w:szCs w:val="20"/>
        </w:rPr>
        <w:fldChar w:fldCharType="begin"/>
      </w:r>
      <w:r w:rsidR="00386D1A">
        <w:rPr>
          <w:rFonts w:ascii="Tahoma" w:hAnsi="Tahoma" w:cs="Tahoma"/>
          <w:sz w:val="20"/>
          <w:szCs w:val="20"/>
        </w:rPr>
        <w:instrText xml:space="preserve"> REF _Ref94102755 \r \h </w:instrText>
      </w:r>
      <w:r w:rsidR="00386D1A">
        <w:rPr>
          <w:rFonts w:ascii="Tahoma" w:hAnsi="Tahoma" w:cs="Tahoma"/>
          <w:sz w:val="20"/>
          <w:szCs w:val="20"/>
        </w:rPr>
      </w:r>
      <w:r w:rsidR="00386D1A">
        <w:rPr>
          <w:rFonts w:ascii="Tahoma" w:hAnsi="Tahoma" w:cs="Tahoma"/>
          <w:sz w:val="20"/>
          <w:szCs w:val="20"/>
        </w:rPr>
        <w:fldChar w:fldCharType="separate"/>
      </w:r>
      <w:r w:rsidR="00386D1A">
        <w:rPr>
          <w:rFonts w:ascii="Tahoma" w:hAnsi="Tahoma" w:cs="Tahoma"/>
          <w:sz w:val="20"/>
          <w:szCs w:val="20"/>
        </w:rPr>
        <w:t>2.5.4</w:t>
      </w:r>
      <w:r w:rsidR="00386D1A">
        <w:rPr>
          <w:rFonts w:ascii="Tahoma" w:hAnsi="Tahoma" w:cs="Tahoma"/>
          <w:sz w:val="20"/>
          <w:szCs w:val="20"/>
        </w:rPr>
        <w:fldChar w:fldCharType="end"/>
      </w:r>
      <w:r w:rsidR="00386D1A">
        <w:rPr>
          <w:rFonts w:ascii="Tahoma" w:hAnsi="Tahoma" w:cs="Tahoma"/>
          <w:sz w:val="20"/>
          <w:szCs w:val="20"/>
        </w:rPr>
        <w:t>)</w:t>
      </w:r>
      <w:r w:rsidR="000821E1" w:rsidRPr="00D62D9D">
        <w:rPr>
          <w:rFonts w:ascii="Tahoma" w:hAnsi="Tahoma" w:cs="Tahoma"/>
          <w:sz w:val="20"/>
          <w:szCs w:val="20"/>
        </w:rPr>
        <w:t xml:space="preserve">. </w:t>
      </w:r>
      <w:r w:rsidR="00FB5EED" w:rsidRPr="00D62D9D">
        <w:rPr>
          <w:rFonts w:ascii="Tahoma" w:hAnsi="Tahoma" w:cs="Tahoma"/>
          <w:sz w:val="20"/>
          <w:szCs w:val="20"/>
        </w:rPr>
        <w:t xml:space="preserve">The first one could be </w:t>
      </w:r>
      <w:r w:rsidR="008510DC" w:rsidRPr="00D62D9D">
        <w:rPr>
          <w:rFonts w:ascii="Tahoma" w:hAnsi="Tahoma" w:cs="Tahoma"/>
          <w:sz w:val="20"/>
          <w:szCs w:val="20"/>
        </w:rPr>
        <w:t xml:space="preserve">when </w:t>
      </w:r>
      <w:r w:rsidR="00A12DA4" w:rsidRPr="00D62D9D">
        <w:rPr>
          <w:rFonts w:ascii="Tahoma" w:hAnsi="Tahoma" w:cs="Tahoma"/>
          <w:sz w:val="20"/>
          <w:szCs w:val="20"/>
        </w:rPr>
        <w:t xml:space="preserve">in </w:t>
      </w:r>
      <w:r w:rsidR="00C316BE" w:rsidRPr="00D62D9D">
        <w:rPr>
          <w:rFonts w:ascii="Tahoma" w:hAnsi="Tahoma" w:cs="Tahoma"/>
          <w:sz w:val="20"/>
          <w:szCs w:val="20"/>
        </w:rPr>
        <w:t>the problem formulation</w:t>
      </w:r>
      <w:r w:rsidR="00A12DA4" w:rsidRPr="00D62D9D">
        <w:rPr>
          <w:rFonts w:ascii="Tahoma" w:hAnsi="Tahoma" w:cs="Tahoma"/>
          <w:sz w:val="20"/>
          <w:szCs w:val="20"/>
        </w:rPr>
        <w:t xml:space="preserve"> there</w:t>
      </w:r>
      <w:r w:rsidR="00C316BE" w:rsidRPr="00D62D9D">
        <w:rPr>
          <w:rFonts w:ascii="Tahoma" w:hAnsi="Tahoma" w:cs="Tahoma"/>
          <w:sz w:val="20"/>
          <w:szCs w:val="20"/>
        </w:rPr>
        <w:t xml:space="preserve"> might</w:t>
      </w:r>
      <w:r w:rsidR="00A12DA4" w:rsidRPr="00D62D9D">
        <w:rPr>
          <w:rFonts w:ascii="Tahoma" w:hAnsi="Tahoma" w:cs="Tahoma"/>
          <w:sz w:val="20"/>
          <w:szCs w:val="20"/>
        </w:rPr>
        <w:t xml:space="preserve"> be</w:t>
      </w:r>
      <w:r w:rsidR="00C316BE" w:rsidRPr="00D62D9D">
        <w:rPr>
          <w:rFonts w:ascii="Tahoma" w:hAnsi="Tahoma" w:cs="Tahoma"/>
          <w:sz w:val="20"/>
          <w:szCs w:val="20"/>
        </w:rPr>
        <w:t xml:space="preserve"> indicat</w:t>
      </w:r>
      <w:r w:rsidR="00A12DA4" w:rsidRPr="00D62D9D">
        <w:rPr>
          <w:rFonts w:ascii="Tahoma" w:hAnsi="Tahoma" w:cs="Tahoma"/>
          <w:sz w:val="20"/>
          <w:szCs w:val="20"/>
        </w:rPr>
        <w:t>ions</w:t>
      </w:r>
      <w:r w:rsidR="00C316BE" w:rsidRPr="00D62D9D">
        <w:rPr>
          <w:rFonts w:ascii="Tahoma" w:hAnsi="Tahoma" w:cs="Tahoma"/>
          <w:sz w:val="20"/>
          <w:szCs w:val="20"/>
        </w:rPr>
        <w:t xml:space="preserve"> that sex</w:t>
      </w:r>
      <w:r w:rsidR="00B64CD7" w:rsidRPr="00D62D9D">
        <w:rPr>
          <w:rFonts w:ascii="Tahoma" w:hAnsi="Tahoma" w:cs="Tahoma"/>
          <w:sz w:val="20"/>
          <w:szCs w:val="20"/>
        </w:rPr>
        <w:t>, or other population characteristics</w:t>
      </w:r>
      <w:r w:rsidR="006312C2" w:rsidRPr="00D62D9D">
        <w:rPr>
          <w:rFonts w:ascii="Tahoma" w:hAnsi="Tahoma" w:cs="Tahoma"/>
          <w:sz w:val="20"/>
          <w:szCs w:val="20"/>
        </w:rPr>
        <w:t xml:space="preserve"> differences</w:t>
      </w:r>
      <w:r w:rsidR="00B64CD7" w:rsidRPr="00D62D9D">
        <w:rPr>
          <w:rFonts w:ascii="Tahoma" w:hAnsi="Tahoma" w:cs="Tahoma"/>
          <w:sz w:val="20"/>
          <w:szCs w:val="20"/>
        </w:rPr>
        <w:t xml:space="preserve">, such as age groups, </w:t>
      </w:r>
      <w:r w:rsidR="0016331C" w:rsidRPr="00D62D9D">
        <w:rPr>
          <w:rFonts w:ascii="Tahoma" w:hAnsi="Tahoma" w:cs="Tahoma"/>
          <w:sz w:val="20"/>
          <w:szCs w:val="20"/>
        </w:rPr>
        <w:t>need evaluations</w:t>
      </w:r>
      <w:r w:rsidR="00E30D6C" w:rsidRPr="00D62D9D">
        <w:rPr>
          <w:rFonts w:ascii="Tahoma" w:hAnsi="Tahoma" w:cs="Tahoma"/>
          <w:sz w:val="20"/>
          <w:szCs w:val="20"/>
        </w:rPr>
        <w:t>.</w:t>
      </w:r>
      <w:r w:rsidR="006312C2" w:rsidRPr="00D62D9D">
        <w:rPr>
          <w:rFonts w:ascii="Tahoma" w:hAnsi="Tahoma" w:cs="Tahoma"/>
          <w:sz w:val="20"/>
          <w:szCs w:val="20"/>
        </w:rPr>
        <w:t xml:space="preserve"> In such case, </w:t>
      </w:r>
      <w:r w:rsidR="00AD4A62" w:rsidRPr="00D62D9D">
        <w:rPr>
          <w:rFonts w:ascii="Tahoma" w:hAnsi="Tahoma" w:cs="Tahoma"/>
          <w:sz w:val="20"/>
          <w:szCs w:val="20"/>
        </w:rPr>
        <w:t>if g</w:t>
      </w:r>
      <w:r w:rsidR="00772FDF" w:rsidRPr="00D62D9D">
        <w:rPr>
          <w:rFonts w:ascii="Tahoma" w:hAnsi="Tahoma" w:cs="Tahoma"/>
          <w:sz w:val="20"/>
          <w:szCs w:val="20"/>
        </w:rPr>
        <w:t>roups can be pooled</w:t>
      </w:r>
      <w:r w:rsidR="00FE1F21" w:rsidRPr="00D62D9D">
        <w:rPr>
          <w:rFonts w:ascii="Tahoma" w:hAnsi="Tahoma" w:cs="Tahoma"/>
          <w:sz w:val="20"/>
          <w:szCs w:val="20"/>
        </w:rPr>
        <w:t>,</w:t>
      </w:r>
      <w:r w:rsidR="00896065" w:rsidRPr="00D62D9D">
        <w:rPr>
          <w:rFonts w:ascii="Tahoma" w:hAnsi="Tahoma" w:cs="Tahoma"/>
          <w:sz w:val="20"/>
          <w:szCs w:val="20"/>
        </w:rPr>
        <w:t xml:space="preserve"> </w:t>
      </w:r>
      <w:r w:rsidR="000101FA" w:rsidRPr="00D62D9D">
        <w:rPr>
          <w:rFonts w:ascii="Tahoma" w:hAnsi="Tahoma" w:cs="Tahoma"/>
          <w:sz w:val="20"/>
          <w:szCs w:val="20"/>
        </w:rPr>
        <w:t xml:space="preserve">parameter estimation </w:t>
      </w:r>
      <w:r w:rsidR="002F329E" w:rsidRPr="00D62D9D">
        <w:rPr>
          <w:rFonts w:ascii="Tahoma" w:hAnsi="Tahoma" w:cs="Tahoma"/>
          <w:sz w:val="20"/>
          <w:szCs w:val="20"/>
        </w:rPr>
        <w:t xml:space="preserve">might increase accuracy and </w:t>
      </w:r>
      <w:r w:rsidR="00B30FBF" w:rsidRPr="00D62D9D">
        <w:rPr>
          <w:rFonts w:ascii="Tahoma" w:hAnsi="Tahoma" w:cs="Tahoma"/>
          <w:sz w:val="20"/>
          <w:szCs w:val="20"/>
        </w:rPr>
        <w:t>result in a</w:t>
      </w:r>
      <w:r w:rsidR="002F329E" w:rsidRPr="00D62D9D">
        <w:rPr>
          <w:rFonts w:ascii="Tahoma" w:hAnsi="Tahoma" w:cs="Tahoma"/>
          <w:sz w:val="20"/>
          <w:szCs w:val="20"/>
        </w:rPr>
        <w:t xml:space="preserve"> </w:t>
      </w:r>
      <w:r w:rsidR="00932259" w:rsidRPr="00D62D9D">
        <w:rPr>
          <w:rFonts w:ascii="Tahoma" w:hAnsi="Tahoma" w:cs="Tahoma"/>
          <w:sz w:val="20"/>
          <w:szCs w:val="20"/>
        </w:rPr>
        <w:t>narrower credible interval</w:t>
      </w:r>
      <w:r w:rsidR="004D49BB" w:rsidRPr="00D62D9D">
        <w:rPr>
          <w:rFonts w:ascii="Tahoma" w:hAnsi="Tahoma" w:cs="Tahoma"/>
          <w:sz w:val="20"/>
          <w:szCs w:val="20"/>
        </w:rPr>
        <w:t xml:space="preserve"> for </w:t>
      </w:r>
      <w:r w:rsidR="00B30FBF" w:rsidRPr="00D62D9D">
        <w:rPr>
          <w:rFonts w:ascii="Tahoma" w:hAnsi="Tahoma" w:cs="Tahoma"/>
          <w:sz w:val="20"/>
          <w:szCs w:val="20"/>
        </w:rPr>
        <w:t xml:space="preserve">the </w:t>
      </w:r>
      <w:r w:rsidR="004D49BB" w:rsidRPr="00D62D9D">
        <w:rPr>
          <w:rFonts w:ascii="Tahoma" w:hAnsi="Tahoma" w:cs="Tahoma"/>
          <w:sz w:val="20"/>
          <w:szCs w:val="20"/>
        </w:rPr>
        <w:t>BMD.</w:t>
      </w:r>
      <w:r w:rsidR="006312C2" w:rsidRPr="00D62D9D">
        <w:rPr>
          <w:rFonts w:ascii="Tahoma" w:hAnsi="Tahoma" w:cs="Tahoma"/>
          <w:sz w:val="20"/>
          <w:szCs w:val="20"/>
        </w:rPr>
        <w:t xml:space="preserve"> </w:t>
      </w:r>
      <w:r w:rsidR="008F488F" w:rsidRPr="00D62D9D">
        <w:rPr>
          <w:rFonts w:ascii="Tahoma" w:hAnsi="Tahoma" w:cs="Tahoma"/>
          <w:sz w:val="20"/>
          <w:szCs w:val="20"/>
        </w:rPr>
        <w:t xml:space="preserve">Another </w:t>
      </w:r>
      <w:r w:rsidR="00246F18" w:rsidRPr="00D62D9D">
        <w:rPr>
          <w:rFonts w:ascii="Tahoma" w:hAnsi="Tahoma" w:cs="Tahoma"/>
          <w:sz w:val="20"/>
          <w:szCs w:val="20"/>
        </w:rPr>
        <w:t>condition</w:t>
      </w:r>
      <w:r w:rsidR="00781A2D" w:rsidRPr="00D62D9D">
        <w:rPr>
          <w:rFonts w:ascii="Tahoma" w:hAnsi="Tahoma" w:cs="Tahoma"/>
          <w:sz w:val="20"/>
          <w:szCs w:val="20"/>
        </w:rPr>
        <w:t xml:space="preserve"> is when </w:t>
      </w:r>
      <w:r w:rsidR="000A46C0" w:rsidRPr="00D62D9D">
        <w:rPr>
          <w:rFonts w:ascii="Tahoma" w:hAnsi="Tahoma" w:cs="Tahoma"/>
          <w:sz w:val="20"/>
          <w:szCs w:val="20"/>
        </w:rPr>
        <w:t>consider</w:t>
      </w:r>
      <w:r w:rsidR="00D83987" w:rsidRPr="00D62D9D">
        <w:rPr>
          <w:rFonts w:ascii="Tahoma" w:hAnsi="Tahoma" w:cs="Tahoma"/>
          <w:sz w:val="20"/>
          <w:szCs w:val="20"/>
        </w:rPr>
        <w:t>ing</w:t>
      </w:r>
      <w:r w:rsidR="000A46C0" w:rsidRPr="00D62D9D">
        <w:rPr>
          <w:rFonts w:ascii="Tahoma" w:hAnsi="Tahoma" w:cs="Tahoma"/>
          <w:sz w:val="20"/>
          <w:szCs w:val="20"/>
        </w:rPr>
        <w:t xml:space="preserve"> several studies</w:t>
      </w:r>
      <w:r w:rsidR="003E4AD5" w:rsidRPr="00D62D9D">
        <w:rPr>
          <w:rFonts w:ascii="Tahoma" w:hAnsi="Tahoma" w:cs="Tahoma"/>
          <w:sz w:val="20"/>
          <w:szCs w:val="20"/>
        </w:rPr>
        <w:t xml:space="preserve"> </w:t>
      </w:r>
      <w:r w:rsidR="00D83987" w:rsidRPr="00D62D9D">
        <w:rPr>
          <w:rFonts w:ascii="Tahoma" w:hAnsi="Tahoma" w:cs="Tahoma"/>
          <w:sz w:val="20"/>
          <w:szCs w:val="20"/>
        </w:rPr>
        <w:t>having</w:t>
      </w:r>
      <w:r w:rsidR="00211DED" w:rsidRPr="00D62D9D">
        <w:rPr>
          <w:rFonts w:ascii="Tahoma" w:hAnsi="Tahoma" w:cs="Tahoma"/>
          <w:sz w:val="20"/>
          <w:szCs w:val="20"/>
        </w:rPr>
        <w:t xml:space="preserve"> similar experimental conditions</w:t>
      </w:r>
      <w:r w:rsidR="00EE68DE" w:rsidRPr="00D62D9D">
        <w:rPr>
          <w:rFonts w:ascii="Tahoma" w:hAnsi="Tahoma" w:cs="Tahoma"/>
          <w:sz w:val="20"/>
          <w:szCs w:val="20"/>
        </w:rPr>
        <w:t xml:space="preserve"> (</w:t>
      </w:r>
      <w:proofErr w:type="gramStart"/>
      <w:r w:rsidR="00E40459" w:rsidRPr="00D62D9D">
        <w:rPr>
          <w:rFonts w:ascii="Tahoma" w:hAnsi="Tahoma" w:cs="Tahoma"/>
          <w:sz w:val="20"/>
          <w:szCs w:val="20"/>
        </w:rPr>
        <w:t>e.g.</w:t>
      </w:r>
      <w:proofErr w:type="gramEnd"/>
      <w:r w:rsidR="00EE68DE" w:rsidRPr="00D62D9D">
        <w:rPr>
          <w:rFonts w:ascii="Tahoma" w:hAnsi="Tahoma" w:cs="Tahoma"/>
          <w:sz w:val="20"/>
          <w:szCs w:val="20"/>
        </w:rPr>
        <w:t xml:space="preserve"> </w:t>
      </w:r>
      <w:r w:rsidR="002B21EA" w:rsidRPr="00D62D9D">
        <w:rPr>
          <w:rFonts w:ascii="Tahoma" w:hAnsi="Tahoma" w:cs="Tahoma"/>
          <w:sz w:val="20"/>
          <w:szCs w:val="20"/>
        </w:rPr>
        <w:t>same a</w:t>
      </w:r>
      <w:r w:rsidR="00E04D58" w:rsidRPr="00D62D9D">
        <w:rPr>
          <w:rFonts w:ascii="Tahoma" w:hAnsi="Tahoma" w:cs="Tahoma"/>
          <w:sz w:val="20"/>
          <w:szCs w:val="20"/>
        </w:rPr>
        <w:t xml:space="preserve">nimal </w:t>
      </w:r>
      <w:r w:rsidR="002468EC" w:rsidRPr="00D62D9D">
        <w:rPr>
          <w:rFonts w:ascii="Tahoma" w:hAnsi="Tahoma" w:cs="Tahoma"/>
          <w:sz w:val="20"/>
          <w:szCs w:val="20"/>
        </w:rPr>
        <w:t xml:space="preserve">species, </w:t>
      </w:r>
      <w:r w:rsidR="002B21EA" w:rsidRPr="00D62D9D">
        <w:rPr>
          <w:rFonts w:ascii="Tahoma" w:hAnsi="Tahoma" w:cs="Tahoma"/>
          <w:sz w:val="20"/>
          <w:szCs w:val="20"/>
        </w:rPr>
        <w:t xml:space="preserve">comparable </w:t>
      </w:r>
      <w:r w:rsidR="009F6B54" w:rsidRPr="00D62D9D">
        <w:rPr>
          <w:rFonts w:ascii="Tahoma" w:hAnsi="Tahoma" w:cs="Tahoma"/>
          <w:sz w:val="20"/>
          <w:szCs w:val="20"/>
        </w:rPr>
        <w:t xml:space="preserve">experimental </w:t>
      </w:r>
      <w:r w:rsidR="00026089" w:rsidRPr="00D62D9D">
        <w:rPr>
          <w:rFonts w:ascii="Tahoma" w:hAnsi="Tahoma" w:cs="Tahoma"/>
          <w:sz w:val="20"/>
          <w:szCs w:val="20"/>
        </w:rPr>
        <w:t>design</w:t>
      </w:r>
      <w:r w:rsidR="00C46F46" w:rsidRPr="00D62D9D">
        <w:rPr>
          <w:rFonts w:ascii="Tahoma" w:hAnsi="Tahoma" w:cs="Tahoma"/>
          <w:sz w:val="20"/>
          <w:szCs w:val="20"/>
        </w:rPr>
        <w:t>, etc)</w:t>
      </w:r>
      <w:r w:rsidR="00AF37B5" w:rsidRPr="00D62D9D">
        <w:rPr>
          <w:rFonts w:ascii="Tahoma" w:hAnsi="Tahoma" w:cs="Tahoma"/>
          <w:sz w:val="20"/>
          <w:szCs w:val="20"/>
        </w:rPr>
        <w:t>: these studies</w:t>
      </w:r>
      <w:r w:rsidR="008D4BAB" w:rsidRPr="00D62D9D">
        <w:rPr>
          <w:rFonts w:ascii="Tahoma" w:hAnsi="Tahoma" w:cs="Tahoma"/>
          <w:sz w:val="20"/>
          <w:szCs w:val="20"/>
        </w:rPr>
        <w:t xml:space="preserve"> could be combined in a covariate analysis</w:t>
      </w:r>
      <w:r w:rsidR="007B5653" w:rsidRPr="00D62D9D">
        <w:rPr>
          <w:rFonts w:ascii="Tahoma" w:hAnsi="Tahoma" w:cs="Tahoma"/>
          <w:sz w:val="20"/>
          <w:szCs w:val="20"/>
        </w:rPr>
        <w:t xml:space="preserve"> (in which </w:t>
      </w:r>
      <w:r w:rsidR="003C25EA" w:rsidRPr="00D62D9D">
        <w:rPr>
          <w:rFonts w:ascii="Tahoma" w:hAnsi="Tahoma" w:cs="Tahoma"/>
          <w:sz w:val="20"/>
          <w:szCs w:val="20"/>
        </w:rPr>
        <w:t xml:space="preserve">study indicator </w:t>
      </w:r>
      <w:r w:rsidR="00CA66DC" w:rsidRPr="00D62D9D">
        <w:rPr>
          <w:rFonts w:ascii="Tahoma" w:hAnsi="Tahoma" w:cs="Tahoma"/>
          <w:sz w:val="20"/>
          <w:szCs w:val="20"/>
        </w:rPr>
        <w:t>would be</w:t>
      </w:r>
      <w:r w:rsidR="003C25EA" w:rsidRPr="00D62D9D">
        <w:rPr>
          <w:rFonts w:ascii="Tahoma" w:hAnsi="Tahoma" w:cs="Tahoma"/>
          <w:sz w:val="20"/>
          <w:szCs w:val="20"/>
        </w:rPr>
        <w:t xml:space="preserve"> considered as a covariate</w:t>
      </w:r>
      <w:r w:rsidR="007B5653" w:rsidRPr="00D62D9D">
        <w:rPr>
          <w:rFonts w:ascii="Tahoma" w:hAnsi="Tahoma" w:cs="Tahoma"/>
          <w:sz w:val="20"/>
          <w:szCs w:val="20"/>
        </w:rPr>
        <w:t>)</w:t>
      </w:r>
      <w:r w:rsidR="004D4E62" w:rsidRPr="00D62D9D">
        <w:rPr>
          <w:rFonts w:ascii="Tahoma" w:hAnsi="Tahoma" w:cs="Tahoma"/>
          <w:sz w:val="20"/>
          <w:szCs w:val="20"/>
        </w:rPr>
        <w:t>;</w:t>
      </w:r>
      <w:r w:rsidR="00150375" w:rsidRPr="00D62D9D">
        <w:rPr>
          <w:rFonts w:ascii="Tahoma" w:hAnsi="Tahoma" w:cs="Tahoma"/>
          <w:sz w:val="20"/>
          <w:szCs w:val="20"/>
        </w:rPr>
        <w:t xml:space="preserve"> </w:t>
      </w:r>
      <w:r w:rsidR="007A6162" w:rsidRPr="00D62D9D">
        <w:rPr>
          <w:rFonts w:ascii="Tahoma" w:hAnsi="Tahoma" w:cs="Tahoma"/>
          <w:sz w:val="20"/>
          <w:szCs w:val="20"/>
        </w:rPr>
        <w:t xml:space="preserve">the studies might provide different dose ranges and </w:t>
      </w:r>
      <w:r w:rsidR="009846C7" w:rsidRPr="00D62D9D">
        <w:rPr>
          <w:rFonts w:ascii="Tahoma" w:hAnsi="Tahoma" w:cs="Tahoma"/>
          <w:sz w:val="20"/>
          <w:szCs w:val="20"/>
        </w:rPr>
        <w:t>with this a better indication about the potential dose-response relationship</w:t>
      </w:r>
      <w:r w:rsidR="00FC4ACA" w:rsidRPr="00D62D9D">
        <w:rPr>
          <w:rFonts w:ascii="Tahoma" w:hAnsi="Tahoma" w:cs="Tahoma"/>
          <w:sz w:val="20"/>
          <w:szCs w:val="20"/>
        </w:rPr>
        <w:t xml:space="preserve">. </w:t>
      </w:r>
      <w:r w:rsidR="00F8016E" w:rsidRPr="00D62D9D">
        <w:rPr>
          <w:rFonts w:ascii="Tahoma" w:hAnsi="Tahoma" w:cs="Tahoma"/>
          <w:sz w:val="20"/>
          <w:szCs w:val="20"/>
        </w:rPr>
        <w:t xml:space="preserve">This </w:t>
      </w:r>
      <w:r w:rsidR="003C3BC2" w:rsidRPr="00D62D9D">
        <w:rPr>
          <w:rFonts w:ascii="Tahoma" w:hAnsi="Tahoma" w:cs="Tahoma"/>
          <w:sz w:val="20"/>
          <w:szCs w:val="20"/>
        </w:rPr>
        <w:t>specific condition</w:t>
      </w:r>
      <w:r w:rsidR="00BB1912" w:rsidRPr="00D62D9D">
        <w:rPr>
          <w:rFonts w:ascii="Tahoma" w:hAnsi="Tahoma" w:cs="Tahoma"/>
          <w:sz w:val="20"/>
          <w:szCs w:val="20"/>
        </w:rPr>
        <w:t xml:space="preserve"> might </w:t>
      </w:r>
      <w:r w:rsidR="005B3F95" w:rsidRPr="00D62D9D">
        <w:rPr>
          <w:rFonts w:ascii="Tahoma" w:hAnsi="Tahoma" w:cs="Tahoma"/>
          <w:sz w:val="20"/>
          <w:szCs w:val="20"/>
        </w:rPr>
        <w:t xml:space="preserve">increase accuracy when estimating </w:t>
      </w:r>
      <w:r w:rsidR="009C03DF" w:rsidRPr="00D62D9D">
        <w:rPr>
          <w:rFonts w:ascii="Tahoma" w:hAnsi="Tahoma" w:cs="Tahoma"/>
          <w:sz w:val="20"/>
          <w:szCs w:val="20"/>
        </w:rPr>
        <w:t>model parameters</w:t>
      </w:r>
      <w:r w:rsidR="00E95584" w:rsidRPr="00D62D9D">
        <w:rPr>
          <w:rFonts w:ascii="Tahoma" w:hAnsi="Tahoma" w:cs="Tahoma"/>
          <w:sz w:val="20"/>
          <w:szCs w:val="20"/>
        </w:rPr>
        <w:t xml:space="preserve"> and result</w:t>
      </w:r>
      <w:r w:rsidR="00CF2B7F" w:rsidRPr="00D62D9D">
        <w:rPr>
          <w:rFonts w:ascii="Tahoma" w:hAnsi="Tahoma" w:cs="Tahoma"/>
          <w:sz w:val="20"/>
          <w:szCs w:val="20"/>
        </w:rPr>
        <w:t xml:space="preserve">, </w:t>
      </w:r>
      <w:r w:rsidR="00400BFB" w:rsidRPr="00D62D9D">
        <w:rPr>
          <w:rFonts w:ascii="Tahoma" w:hAnsi="Tahoma" w:cs="Tahoma"/>
          <w:sz w:val="20"/>
          <w:szCs w:val="20"/>
        </w:rPr>
        <w:t>after pooling the studies, in</w:t>
      </w:r>
      <w:r w:rsidR="00351C55" w:rsidRPr="00D62D9D">
        <w:rPr>
          <w:rFonts w:ascii="Tahoma" w:hAnsi="Tahoma" w:cs="Tahoma"/>
          <w:sz w:val="20"/>
          <w:szCs w:val="20"/>
        </w:rPr>
        <w:t xml:space="preserve"> a narrower B</w:t>
      </w:r>
      <w:r w:rsidR="00BA07B7" w:rsidRPr="00D62D9D">
        <w:rPr>
          <w:rFonts w:ascii="Tahoma" w:hAnsi="Tahoma" w:cs="Tahoma"/>
          <w:sz w:val="20"/>
          <w:szCs w:val="20"/>
        </w:rPr>
        <w:t>MD credible interval</w:t>
      </w:r>
      <w:r w:rsidR="009C03DF" w:rsidRPr="00D62D9D">
        <w:rPr>
          <w:rFonts w:ascii="Tahoma" w:hAnsi="Tahoma" w:cs="Tahoma"/>
          <w:sz w:val="20"/>
          <w:szCs w:val="20"/>
        </w:rPr>
        <w:t xml:space="preserve">. </w:t>
      </w:r>
    </w:p>
    <w:p w14:paraId="4F8E4F99" w14:textId="77777777" w:rsidR="00716F7C" w:rsidRPr="00D62D9D" w:rsidRDefault="00716F7C" w:rsidP="00D60EE5">
      <w:pPr>
        <w:jc w:val="both"/>
        <w:rPr>
          <w:rFonts w:ascii="Tahoma" w:hAnsi="Tahoma" w:cs="Tahoma"/>
          <w:sz w:val="20"/>
          <w:szCs w:val="20"/>
        </w:rPr>
      </w:pPr>
    </w:p>
    <w:p w14:paraId="43D75D80" w14:textId="4C7266E7" w:rsidR="00D94AE0" w:rsidRPr="000B6019" w:rsidRDefault="004849CA" w:rsidP="002E170A">
      <w:pPr>
        <w:pStyle w:val="EFSAHeading3"/>
        <w:ind w:left="1276"/>
      </w:pPr>
      <w:bookmarkStart w:id="59" w:name="_Toc94255342"/>
      <w:r>
        <w:t>Selection</w:t>
      </w:r>
      <w:r w:rsidR="00D94AE0" w:rsidRPr="000B6019">
        <w:t xml:space="preserve"> of</w:t>
      </w:r>
      <w:r>
        <w:t xml:space="preserve"> the</w:t>
      </w:r>
      <w:r w:rsidR="00D94AE0" w:rsidRPr="000B6019">
        <w:t xml:space="preserve"> BMR</w:t>
      </w:r>
      <w:bookmarkEnd w:id="59"/>
      <w:r w:rsidR="000B6019" w:rsidRPr="000B6019">
        <w:t xml:space="preserve"> </w:t>
      </w:r>
    </w:p>
    <w:p w14:paraId="528BB33F" w14:textId="40F8FFF6" w:rsidR="003261E5" w:rsidRDefault="003261E5" w:rsidP="00E26E99">
      <w:pPr>
        <w:pStyle w:val="EFSABodytext"/>
      </w:pPr>
      <w:r>
        <w:t xml:space="preserve">The BMR is a degree of change that defines a level of response in a specific endpoint that is measurable, considered relevant to humans or to the model species, and that is used for estimating the associated dose (the “true” BMD). Before thinking about what value may be specified for the BMR, it is necessary to make clear in what terms the BMR is defined, </w:t>
      </w:r>
      <w:proofErr w:type="gramStart"/>
      <w:r>
        <w:t>i.e.</w:t>
      </w:r>
      <w:proofErr w:type="gramEnd"/>
      <w:r>
        <w:t xml:space="preserve"> what metric is used for reflecting the magnitude of the effect. Both for continuous and for quantal data there are various options, and the most important ones will be discussed below.</w:t>
      </w:r>
      <w:r w:rsidR="6F96195B">
        <w:t xml:space="preserve"> For both quantal and continuous endpoints, the rationale for the decision made on the BMR and associated uncertainties should be explained and documented.</w:t>
      </w:r>
    </w:p>
    <w:p w14:paraId="55C2201D" w14:textId="0A70DCC5" w:rsidR="003261E5" w:rsidRDefault="003261E5" w:rsidP="00E26E99">
      <w:pPr>
        <w:pStyle w:val="EFSABodytext"/>
        <w:rPr>
          <w:rFonts w:eastAsia="Calibri" w:cs="Arial"/>
        </w:rPr>
      </w:pPr>
    </w:p>
    <w:p w14:paraId="0841F5F1" w14:textId="71228E83" w:rsidR="00E26E99" w:rsidRPr="00D94AE0" w:rsidRDefault="00E26E99" w:rsidP="00E26E99">
      <w:pPr>
        <w:pStyle w:val="EFSABodytext"/>
        <w:rPr>
          <w:i/>
        </w:rPr>
      </w:pPr>
      <w:r w:rsidRPr="00D94AE0">
        <w:rPr>
          <w:i/>
        </w:rPr>
        <w:t>Quantal data</w:t>
      </w:r>
    </w:p>
    <w:p w14:paraId="25C90824" w14:textId="3CDF7484" w:rsidR="00E5325A" w:rsidRDefault="00E5325A" w:rsidP="00E5325A">
      <w:pPr>
        <w:pStyle w:val="EFSABodytext"/>
      </w:pPr>
      <w:r>
        <w:t xml:space="preserve">For quantal data, the BMR is defined in terms of an increase in the incidence of the lesion/response scored, compared with the background incidence. In toxicology, the </w:t>
      </w:r>
      <w:proofErr w:type="gramStart"/>
      <w:r>
        <w:t>two common</w:t>
      </w:r>
      <w:proofErr w:type="gramEnd"/>
      <w:r>
        <w:t xml:space="preserve"> metrics for reflecting such an increase are the additional risk (incidence at a given dose minus incidence in the controls), and the extra risk</w:t>
      </w:r>
      <w:r w:rsidR="00214FF5">
        <w:t xml:space="preserve"> (</w:t>
      </w:r>
      <w:r>
        <w:t xml:space="preserve">the additional risk divided by </w:t>
      </w:r>
      <w:r w:rsidR="002A200A">
        <w:t>(</w:t>
      </w:r>
      <w:r w:rsidR="00F37B01">
        <w:t xml:space="preserve">1 minus </w:t>
      </w:r>
      <w:r w:rsidR="00574055">
        <w:t>the incidence in the controls</w:t>
      </w:r>
      <w:r w:rsidR="00C266CA">
        <w:t>)</w:t>
      </w:r>
      <w:r w:rsidR="00531A4D">
        <w:t xml:space="preserve">, i.e. the </w:t>
      </w:r>
      <w:r w:rsidR="00A56DCD">
        <w:t>additiona</w:t>
      </w:r>
      <w:r w:rsidR="0039606E">
        <w:t>l</w:t>
      </w:r>
      <w:r w:rsidR="00A56DCD">
        <w:t xml:space="preserve"> </w:t>
      </w:r>
      <w:r w:rsidR="0039606E">
        <w:t xml:space="preserve">risk divided by the non-affected fraction </w:t>
      </w:r>
      <w:r w:rsidR="005B2AAF">
        <w:t>of</w:t>
      </w:r>
      <w:r w:rsidR="0039606E">
        <w:t xml:space="preserve"> the cont</w:t>
      </w:r>
      <w:r w:rsidR="00B4277B">
        <w:t>rol</w:t>
      </w:r>
      <w:r w:rsidR="009039B7">
        <w:t xml:space="preserve"> group</w:t>
      </w:r>
      <w:r w:rsidR="00214FF5">
        <w:t>)</w:t>
      </w:r>
      <w:r>
        <w:t xml:space="preserve"> (see section 2.3.3, footnote 5). The BMR needs to be a value within the observed range of experimental response and near the lower end of this range</w:t>
      </w:r>
      <w:r w:rsidRPr="00E5325A">
        <w:t>.</w:t>
      </w:r>
      <w:r>
        <w:t xml:space="preserve">  </w:t>
      </w:r>
    </w:p>
    <w:p w14:paraId="281187A0" w14:textId="77708FAD" w:rsidR="00C76AA2" w:rsidRDefault="00E5325A" w:rsidP="00E5325A">
      <w:pPr>
        <w:pStyle w:val="EFSABodytext"/>
      </w:pPr>
      <w:r>
        <w:t xml:space="preserve">For quantal response data observed in experimental animals, BMR values of 1%, 5% or 10% (extra or additional risk) were initially proposed (Crump, 1984). </w:t>
      </w:r>
      <w:r w:rsidR="00BF1BB0">
        <w:t>In its 2005 opinion, the EFSA Scientific Committee concluded that the use of the BMDL, calculated for a BMR of 10% (BMDL10), is an appropriate reference point for substances that are both genotoxic and carcinogenic, because such a value is the lowest statistically significant increased incidence that can be measured in most studies, and would normally require little or no extrapolation outside the observed experimental data (EFSA SC, 2005). At that time, the conclusion was in the context of data carcinogenicity studies in experimental animals. Further evaluation of the BMR for quantal data in a more general context was provided in the previous EFSA SC guidance on benchmark dose modelling, which noted that v</w:t>
      </w:r>
      <w:r>
        <w:t>arious studies estimated that the median of the upper bounds of extra risk at the NOAEL was close to 10%, suggesting that the BMDL</w:t>
      </w:r>
      <w:r w:rsidRPr="007F56C3">
        <w:rPr>
          <w:vertAlign w:val="subscript"/>
        </w:rPr>
        <w:t>10</w:t>
      </w:r>
      <w:r>
        <w:t xml:space="preserve"> might in many cases be appropriate (</w:t>
      </w:r>
      <w:r w:rsidR="00CB143A">
        <w:t xml:space="preserve">Allen at al., 1994; </w:t>
      </w:r>
      <w:r>
        <w:t>Fowles et al., 1999</w:t>
      </w:r>
      <w:r w:rsidR="00CB143A">
        <w:t>;</w:t>
      </w:r>
      <w:r>
        <w:t xml:space="preserve"> Sand et al., 2011). </w:t>
      </w:r>
    </w:p>
    <w:p w14:paraId="722B00AE" w14:textId="027BEFAF" w:rsidR="00D94AE0" w:rsidRDefault="0065715C" w:rsidP="00E5325A">
      <w:pPr>
        <w:pStyle w:val="EFSABodytext"/>
      </w:pPr>
      <w:r>
        <w:t>Any</w:t>
      </w:r>
      <w:r w:rsidR="009624D4">
        <w:t xml:space="preserve"> decision </w:t>
      </w:r>
      <w:r w:rsidR="00E5325A">
        <w:t>to deviate from this default</w:t>
      </w:r>
      <w:r w:rsidR="009624D4">
        <w:t xml:space="preserve"> should be explained and documented.</w:t>
      </w:r>
    </w:p>
    <w:p w14:paraId="260018F5" w14:textId="77777777" w:rsidR="007411A1" w:rsidRDefault="007411A1" w:rsidP="00E5325A">
      <w:pPr>
        <w:pStyle w:val="EFSABodytext"/>
      </w:pPr>
    </w:p>
    <w:p w14:paraId="3D369651" w14:textId="77777777" w:rsidR="00D94AE0" w:rsidRPr="00D94AE0" w:rsidRDefault="00D94AE0" w:rsidP="00D94AE0">
      <w:pPr>
        <w:pStyle w:val="EFSABodytext"/>
        <w:rPr>
          <w:i/>
        </w:rPr>
      </w:pPr>
      <w:r w:rsidRPr="00D94AE0">
        <w:rPr>
          <w:i/>
        </w:rPr>
        <w:t>Continuous data</w:t>
      </w:r>
    </w:p>
    <w:p w14:paraId="41F5866A" w14:textId="02AC03BA" w:rsidR="00D2275D" w:rsidRDefault="00D2275D" w:rsidP="00D2275D">
      <w:pPr>
        <w:pStyle w:val="EFSABodytext"/>
      </w:pPr>
      <w:r>
        <w:t>For continuous data, the BMR should reflect the dose where an effect becomes adverse and, therefore, depends on the type of endpoint selected. Whether or not various effects occur at similar doses might modulate the overall adversity associated with a BMD for a particular effect (Sand</w:t>
      </w:r>
      <w:r w:rsidR="00B80ABC">
        <w:t>,</w:t>
      </w:r>
      <w:r>
        <w:t xml:space="preserve"> 20</w:t>
      </w:r>
      <w:r w:rsidR="007901A3">
        <w:t>2</w:t>
      </w:r>
      <w:r>
        <w:t xml:space="preserve">1), and may thus potentially be relevant to consider in the process of selecting the BMR (for the critical effect). Ideally, the BMR is set numerically so that it reflects the onset of a human-relevant adverse effect, meaning that a response above the BMR is considered </w:t>
      </w:r>
      <w:r w:rsidRPr="00203028">
        <w:t>adverse</w:t>
      </w:r>
      <w:r>
        <w:t xml:space="preserve">.  When choosing a BMR for continuous data, </w:t>
      </w:r>
      <w:r w:rsidR="00883731">
        <w:t xml:space="preserve">EFSA </w:t>
      </w:r>
      <w:r>
        <w:t xml:space="preserve">recommends a tiered approach: </w:t>
      </w:r>
    </w:p>
    <w:p w14:paraId="3FD62DA0" w14:textId="16181B37" w:rsidR="00D2275D" w:rsidRDefault="00D2275D" w:rsidP="00D2275D">
      <w:pPr>
        <w:pStyle w:val="EFSABodytext"/>
      </w:pPr>
      <w:r>
        <w:t xml:space="preserve">Tier 1: consider whether a biologically relevant BMR is already established for the endpoint considered. Discussion, including challenges </w:t>
      </w:r>
      <w:r w:rsidR="02783A5F">
        <w:t xml:space="preserve">and guiding information, </w:t>
      </w:r>
      <w:r>
        <w:t xml:space="preserve">related to the derivation of such BMR values can be found in publications of </w:t>
      </w:r>
      <w:proofErr w:type="spellStart"/>
      <w:r>
        <w:t>Dekkers</w:t>
      </w:r>
      <w:proofErr w:type="spellEnd"/>
      <w:r>
        <w:t xml:space="preserve">, de </w:t>
      </w:r>
      <w:proofErr w:type="spellStart"/>
      <w:r>
        <w:t>Heer</w:t>
      </w:r>
      <w:proofErr w:type="spellEnd"/>
      <w:r>
        <w:t xml:space="preserve"> &amp; </w:t>
      </w:r>
      <w:proofErr w:type="spellStart"/>
      <w:r>
        <w:t>Rennen</w:t>
      </w:r>
      <w:proofErr w:type="spellEnd"/>
      <w:r>
        <w:t xml:space="preserve"> (2001) and WHO (</w:t>
      </w:r>
      <w:r w:rsidR="00FC7C4A">
        <w:t>2020</w:t>
      </w:r>
      <w:r>
        <w:t xml:space="preserve">). </w:t>
      </w:r>
    </w:p>
    <w:p w14:paraId="404128AA" w14:textId="68385353" w:rsidR="00D2275D" w:rsidRDefault="00D2275D" w:rsidP="00D2275D">
      <w:pPr>
        <w:pStyle w:val="EFSABodytext"/>
      </w:pPr>
      <w:r>
        <w:t>Tier 2: in the absence of an already established BMR, experts should consider whether it is possible to define quantitatively “</w:t>
      </w:r>
      <w:r w:rsidR="00D3738D">
        <w:t>biologically relevant</w:t>
      </w:r>
      <w:r>
        <w:t>” to inform the selection of a BMR for the endpoint considered. The BMR may be defined using any of the methods that are available in the literature</w:t>
      </w:r>
      <w:r w:rsidR="00AF6FB1">
        <w:t xml:space="preserve"> (</w:t>
      </w:r>
      <w:proofErr w:type="gramStart"/>
      <w:r w:rsidR="00AF6FB1">
        <w:t>e.g.</w:t>
      </w:r>
      <w:proofErr w:type="gramEnd"/>
      <w:r w:rsidR="00AF6FB1">
        <w:t xml:space="preserve"> Expert Knowledge Elicitation)</w:t>
      </w:r>
      <w:r>
        <w:t xml:space="preserve">, taking biological relevance into account. This tier assumes that a level of adversity can be identified, even though the minimal degree of adversity may not be known. Thus, </w:t>
      </w:r>
      <w:r w:rsidR="00F32A2D">
        <w:t xml:space="preserve">biologically relevant </w:t>
      </w:r>
      <w:r>
        <w:t>BMRs may also be represented by a range rather than by a point</w:t>
      </w:r>
      <w:r w:rsidR="0054705E">
        <w:t>.</w:t>
      </w:r>
      <w:r>
        <w:t xml:space="preserve">  </w:t>
      </w:r>
    </w:p>
    <w:p w14:paraId="27FCB2E5" w14:textId="0B9AC3A0" w:rsidR="002450FF" w:rsidRDefault="00EF4B11" w:rsidP="002450FF">
      <w:pPr>
        <w:pStyle w:val="EFSABodytext"/>
      </w:pPr>
      <w:r>
        <w:t xml:space="preserve">If it is not possible to </w:t>
      </w:r>
      <w:r w:rsidR="002F446C">
        <w:t xml:space="preserve">provide an argument for </w:t>
      </w:r>
      <w:r>
        <w:t xml:space="preserve">a </w:t>
      </w:r>
      <w:r w:rsidR="003C69E4">
        <w:t xml:space="preserve">specific </w:t>
      </w:r>
      <w:r>
        <w:t xml:space="preserve">biologically relevant BMR </w:t>
      </w:r>
      <w:r w:rsidR="007F3BF9">
        <w:t xml:space="preserve">(or range of </w:t>
      </w:r>
      <w:r w:rsidR="001C7ECF">
        <w:t xml:space="preserve">biologically relevant BMRs) </w:t>
      </w:r>
      <w:r>
        <w:t xml:space="preserve">for the endpoint considered, this endpoint should not be used to establish a HBGV. </w:t>
      </w:r>
      <w:r w:rsidR="002450FF">
        <w:t xml:space="preserve">In the absence of endpoints with biologically relevant BMRs, the full set of doses used in the experiment could still be used </w:t>
      </w:r>
      <w:r w:rsidR="002F446C">
        <w:t xml:space="preserve">in a sensitivity analysis </w:t>
      </w:r>
      <w:r w:rsidR="002450FF">
        <w:t>to investigate the probability that, for several BMR chosen a priori, the BMD value associated to them would be below or above the dose</w:t>
      </w:r>
      <w:r w:rsidR="00027004">
        <w:t>s</w:t>
      </w:r>
      <w:r w:rsidR="002450FF">
        <w:t xml:space="preserve"> tested. This information could then be further considered </w:t>
      </w:r>
      <w:r w:rsidR="00B832CA">
        <w:t xml:space="preserve">in calculation </w:t>
      </w:r>
      <w:r w:rsidR="00B27A08">
        <w:t>of</w:t>
      </w:r>
      <w:r w:rsidR="00B832CA">
        <w:t xml:space="preserve"> a range of MOEs</w:t>
      </w:r>
      <w:r w:rsidR="002450FF">
        <w:t>. Another possibility could be to use each of the dose tested and calculate the fold change compared to the background response, and then use these fold changes as BMRs to estimate the BMD distribution. This would aid defining the uncertainty associated to each BMD distribution, which in turn would provide insights on the information contained in the dose-response fitted.</w:t>
      </w:r>
    </w:p>
    <w:p w14:paraId="18277A8A" w14:textId="77777777" w:rsidR="00D94AE0" w:rsidRDefault="00D94AE0" w:rsidP="002450FF">
      <w:pPr>
        <w:pStyle w:val="EFSABodytext"/>
      </w:pPr>
    </w:p>
    <w:p w14:paraId="7C415751" w14:textId="010F3CFD" w:rsidR="00D94AE0" w:rsidRPr="00483642" w:rsidRDefault="000B6019" w:rsidP="002E170A">
      <w:pPr>
        <w:pStyle w:val="EFSAHeading3"/>
        <w:ind w:left="1276"/>
      </w:pPr>
      <w:bookmarkStart w:id="60" w:name="_Ref94090639"/>
      <w:bookmarkStart w:id="61" w:name="_Toc94255343"/>
      <w:r>
        <w:t xml:space="preserve">Data suitability </w:t>
      </w:r>
      <w:r w:rsidR="004F39B9">
        <w:t xml:space="preserve">to estimate </w:t>
      </w:r>
      <w:r w:rsidR="52B3813B">
        <w:t xml:space="preserve">the </w:t>
      </w:r>
      <w:r w:rsidR="004F39B9">
        <w:t>BMD using</w:t>
      </w:r>
      <w:r>
        <w:t xml:space="preserve"> dose-response modelling</w:t>
      </w:r>
      <w:bookmarkEnd w:id="60"/>
      <w:bookmarkEnd w:id="61"/>
      <w:r w:rsidR="00D94AE0">
        <w:t xml:space="preserve"> </w:t>
      </w:r>
    </w:p>
    <w:p w14:paraId="09274811" w14:textId="5D8D1309" w:rsidR="001506DF" w:rsidRDefault="00CA4ECD" w:rsidP="005A1E08">
      <w:pPr>
        <w:pStyle w:val="EFSABodytext"/>
      </w:pPr>
      <w:r>
        <w:t>U</w:t>
      </w:r>
      <w:r w:rsidR="00F01813">
        <w:t>sing dose</w:t>
      </w:r>
      <w:r w:rsidR="00C40D9E">
        <w:t xml:space="preserve">-response </w:t>
      </w:r>
      <w:r w:rsidR="04EF12CC">
        <w:t>model</w:t>
      </w:r>
      <w:r w:rsidR="2762CCA8">
        <w:t>s</w:t>
      </w:r>
      <w:r w:rsidR="04EF12CC">
        <w:t xml:space="preserve"> </w:t>
      </w:r>
      <w:r w:rsidR="481B9AEC">
        <w:t>for</w:t>
      </w:r>
      <w:r w:rsidR="04EF12CC">
        <w:t xml:space="preserve"> estimat</w:t>
      </w:r>
      <w:r w:rsidR="1A0986A0">
        <w:t>ing</w:t>
      </w:r>
      <w:r w:rsidR="00C40D9E">
        <w:t xml:space="preserve"> the BMD and </w:t>
      </w:r>
      <w:r w:rsidR="19D7D7AF">
        <w:t xml:space="preserve">constructing </w:t>
      </w:r>
      <w:r w:rsidR="00C40D9E">
        <w:t xml:space="preserve">its credible interval </w:t>
      </w:r>
      <w:r w:rsidR="04EF12CC">
        <w:t>ensure</w:t>
      </w:r>
      <w:r w:rsidR="0FAC763C">
        <w:t>s</w:t>
      </w:r>
      <w:r w:rsidR="00C40D9E">
        <w:t xml:space="preserve"> </w:t>
      </w:r>
      <w:r w:rsidR="1BC45FF8">
        <w:t>a</w:t>
      </w:r>
      <w:r w:rsidR="00AE4AEB">
        <w:t>n</w:t>
      </w:r>
      <w:r w:rsidR="04EF12CC">
        <w:t xml:space="preserve"> </w:t>
      </w:r>
      <w:r w:rsidR="664FDB79">
        <w:t xml:space="preserve">efficient </w:t>
      </w:r>
      <w:r w:rsidR="04EF12CC">
        <w:t>use</w:t>
      </w:r>
      <w:r w:rsidR="00C40D9E">
        <w:t xml:space="preserve"> of all doses tested in the </w:t>
      </w:r>
      <w:r w:rsidR="00A232DD">
        <w:t xml:space="preserve">experiment. It is known that the selection of the </w:t>
      </w:r>
      <w:r w:rsidR="00CD284B">
        <w:t xml:space="preserve">doses when </w:t>
      </w:r>
      <w:r w:rsidR="46515DF8">
        <w:t>designing</w:t>
      </w:r>
      <w:r w:rsidR="00CD284B">
        <w:t xml:space="preserve"> the experiment</w:t>
      </w:r>
      <w:r w:rsidR="31ECCB37">
        <w:t>,</w:t>
      </w:r>
      <w:r w:rsidR="5076ECAB">
        <w:t xml:space="preserve"> </w:t>
      </w:r>
      <w:r w:rsidR="2C9B5E68">
        <w:t>is</w:t>
      </w:r>
      <w:r w:rsidR="5076ECAB">
        <w:t xml:space="preserve"> </w:t>
      </w:r>
      <w:r w:rsidR="06E9ADD8">
        <w:t>essential</w:t>
      </w:r>
      <w:r w:rsidR="5076ECAB">
        <w:t xml:space="preserve"> </w:t>
      </w:r>
      <w:r w:rsidR="261FC6E5">
        <w:t>for</w:t>
      </w:r>
      <w:r w:rsidR="005B78C1">
        <w:t xml:space="preserve"> </w:t>
      </w:r>
      <w:r w:rsidR="122B2FE0">
        <w:t xml:space="preserve">the optimum </w:t>
      </w:r>
      <w:r w:rsidR="36132506">
        <w:t>retriev</w:t>
      </w:r>
      <w:r w:rsidR="00F87963">
        <w:t>al</w:t>
      </w:r>
      <w:r w:rsidR="6C7FC44C">
        <w:t xml:space="preserve"> of</w:t>
      </w:r>
      <w:r w:rsidR="005B78C1">
        <w:t xml:space="preserve"> information regarding the BMD </w:t>
      </w:r>
      <w:r w:rsidR="00B10AD4">
        <w:t xml:space="preserve">from the </w:t>
      </w:r>
      <w:r w:rsidR="6F53D42F">
        <w:t>experiment</w:t>
      </w:r>
      <w:r w:rsidR="1565979F">
        <w:t>al</w:t>
      </w:r>
      <w:r w:rsidR="00B10AD4">
        <w:t xml:space="preserve"> outcome.</w:t>
      </w:r>
      <w:r w:rsidR="00260519">
        <w:t xml:space="preserve"> </w:t>
      </w:r>
      <w:r w:rsidR="001506DF">
        <w:t xml:space="preserve">In order to </w:t>
      </w:r>
      <w:r w:rsidR="006715DF">
        <w:t xml:space="preserve">evaluate </w:t>
      </w:r>
      <w:r w:rsidR="29238063">
        <w:t>whether</w:t>
      </w:r>
      <w:r w:rsidR="006715DF">
        <w:t xml:space="preserve"> the data at hand (the doses </w:t>
      </w:r>
      <w:proofErr w:type="gramStart"/>
      <w:r w:rsidR="006715DF">
        <w:t>used</w:t>
      </w:r>
      <w:proofErr w:type="gramEnd"/>
      <w:r w:rsidR="00D21314">
        <w:t xml:space="preserve"> and the responses observed</w:t>
      </w:r>
      <w:r w:rsidR="007D59F0">
        <w:t xml:space="preserve"> in the study</w:t>
      </w:r>
      <w:r w:rsidR="006715DF">
        <w:t xml:space="preserve">) contain </w:t>
      </w:r>
      <w:r w:rsidR="22937B99">
        <w:t>sufficient</w:t>
      </w:r>
      <w:r w:rsidR="00D21314">
        <w:t xml:space="preserve"> information to characterize the dose-response curve and </w:t>
      </w:r>
      <w:r w:rsidR="007D59F0">
        <w:t>at the same time</w:t>
      </w:r>
      <w:r w:rsidR="00266A70">
        <w:t xml:space="preserve"> </w:t>
      </w:r>
      <w:r w:rsidR="00BB544E">
        <w:t>enough information on the low dose range</w:t>
      </w:r>
      <w:r w:rsidR="00266A70">
        <w:t xml:space="preserve"> </w:t>
      </w:r>
      <w:r w:rsidR="00BB544E">
        <w:t xml:space="preserve">to </w:t>
      </w:r>
      <w:r w:rsidR="00242B34">
        <w:t>estimate the BMD and its credible interval</w:t>
      </w:r>
      <w:r w:rsidR="00841B12">
        <w:t>,</w:t>
      </w:r>
      <w:r w:rsidR="00242B34">
        <w:t xml:space="preserve"> the following </w:t>
      </w:r>
      <w:r w:rsidR="7A6260D7">
        <w:t>procedure</w:t>
      </w:r>
      <w:r w:rsidR="00242B34">
        <w:t xml:space="preserve"> </w:t>
      </w:r>
      <w:r w:rsidR="00B11E71">
        <w:t>is proposed:</w:t>
      </w:r>
    </w:p>
    <w:p w14:paraId="2D524421" w14:textId="334F13F3" w:rsidR="004C4A10" w:rsidRDefault="005A1E08" w:rsidP="004C4A10">
      <w:pPr>
        <w:pStyle w:val="EFSABodytext"/>
        <w:numPr>
          <w:ilvl w:val="0"/>
          <w:numId w:val="83"/>
        </w:numPr>
      </w:pPr>
      <w:r>
        <w:t>Consider all pairwise comparison</w:t>
      </w:r>
      <w:r w:rsidR="19F13C6B">
        <w:t>s</w:t>
      </w:r>
      <w:r>
        <w:t xml:space="preserve"> between dose groups</w:t>
      </w:r>
      <w:r w:rsidR="006D574C">
        <w:t xml:space="preserve"> tested</w:t>
      </w:r>
      <w:r w:rsidR="41F63C28">
        <w:t>.</w:t>
      </w:r>
    </w:p>
    <w:p w14:paraId="48D90C00" w14:textId="640E89EC" w:rsidR="0071145B" w:rsidRDefault="005A1E08" w:rsidP="00203028">
      <w:pPr>
        <w:pStyle w:val="EFSABodytext"/>
        <w:numPr>
          <w:ilvl w:val="0"/>
          <w:numId w:val="83"/>
        </w:numPr>
      </w:pPr>
      <w:r>
        <w:t xml:space="preserve">Use </w:t>
      </w:r>
      <w:r w:rsidR="7901F29D">
        <w:t xml:space="preserve">a </w:t>
      </w:r>
      <w:r>
        <w:t xml:space="preserve">one-sided hypothesis testing </w:t>
      </w:r>
      <w:r w:rsidR="00AF6999">
        <w:t xml:space="preserve">procedure for each pairwise comparison </w:t>
      </w:r>
      <w:r>
        <w:t>to account for monotonicity</w:t>
      </w:r>
      <w:r w:rsidR="4902A2E0">
        <w:t>.</w:t>
      </w:r>
      <w:r w:rsidR="00F814F3">
        <w:t xml:space="preserve"> </w:t>
      </w:r>
      <w:r w:rsidR="00AF6999">
        <w:t xml:space="preserve">The test to use </w:t>
      </w:r>
      <w:r>
        <w:t xml:space="preserve">for each pairwise comparison </w:t>
      </w:r>
      <w:r w:rsidR="001E006A">
        <w:t xml:space="preserve">should </w:t>
      </w:r>
      <w:r>
        <w:t>account for:</w:t>
      </w:r>
    </w:p>
    <w:p w14:paraId="7CA184D8" w14:textId="3E388AB4" w:rsidR="0071145B" w:rsidRDefault="0043693B" w:rsidP="0071145B">
      <w:pPr>
        <w:pStyle w:val="EFSABodytext"/>
        <w:numPr>
          <w:ilvl w:val="1"/>
          <w:numId w:val="83"/>
        </w:numPr>
      </w:pPr>
      <w:r>
        <w:t>Potentially d</w:t>
      </w:r>
      <w:r w:rsidR="005A1E08">
        <w:t>ifferent variances between dose groups</w:t>
      </w:r>
      <w:r w:rsidR="00507B9B">
        <w:t>,</w:t>
      </w:r>
    </w:p>
    <w:p w14:paraId="661C9286" w14:textId="3B0AFEF6" w:rsidR="0071145B" w:rsidRDefault="00474D87" w:rsidP="0071145B">
      <w:pPr>
        <w:pStyle w:val="EFSABodytext"/>
        <w:numPr>
          <w:ilvl w:val="1"/>
          <w:numId w:val="83"/>
        </w:numPr>
      </w:pPr>
      <w:r>
        <w:t>P</w:t>
      </w:r>
      <w:r w:rsidR="00866D30">
        <w:t>otentially d</w:t>
      </w:r>
      <w:r w:rsidR="005A1E08">
        <w:t xml:space="preserve">ifferent number of </w:t>
      </w:r>
      <w:r w:rsidR="00E80EAF">
        <w:t>observations</w:t>
      </w:r>
      <w:r w:rsidR="005A1E08">
        <w:t xml:space="preserve"> between dose groups</w:t>
      </w:r>
      <w:r w:rsidR="00507B9B">
        <w:t>.</w:t>
      </w:r>
    </w:p>
    <w:p w14:paraId="17494662" w14:textId="77777777" w:rsidR="00A424F0" w:rsidRDefault="005A1E08" w:rsidP="0071145B">
      <w:pPr>
        <w:pStyle w:val="EFSABodytext"/>
        <w:numPr>
          <w:ilvl w:val="0"/>
          <w:numId w:val="83"/>
        </w:numPr>
      </w:pPr>
      <w:r>
        <w:t>Select only significant differences</w:t>
      </w:r>
      <w:r w:rsidR="00A424F0">
        <w:t>:</w:t>
      </w:r>
    </w:p>
    <w:p w14:paraId="00991ACF" w14:textId="7BB03D8F" w:rsidR="0071145B" w:rsidRPr="004226CF" w:rsidRDefault="00F54750" w:rsidP="00A424F0">
      <w:pPr>
        <w:pStyle w:val="EFSABodytext"/>
        <w:numPr>
          <w:ilvl w:val="1"/>
          <w:numId w:val="83"/>
        </w:numPr>
      </w:pPr>
      <w:r>
        <w:t xml:space="preserve">When </w:t>
      </w:r>
      <w:r w:rsidR="005A1E08">
        <w:t>at least 3 group</w:t>
      </w:r>
      <w:r w:rsidR="1A2F1E5C">
        <w:t>s</w:t>
      </w:r>
      <w:r w:rsidR="005A1E08">
        <w:t xml:space="preserve"> of responses </w:t>
      </w:r>
      <w:r>
        <w:t>are found to be significantly different from each other</w:t>
      </w:r>
      <w:r w:rsidR="00EE6772">
        <w:t xml:space="preserve"> (see </w:t>
      </w:r>
      <w:r w:rsidR="002A22B0">
        <w:t>F</w:t>
      </w:r>
      <w:r w:rsidR="00EE6772">
        <w:t xml:space="preserve">igure </w:t>
      </w:r>
      <w:r w:rsidR="00BA3512">
        <w:t xml:space="preserve">3.1 </w:t>
      </w:r>
      <w:r w:rsidR="005A4FF3">
        <w:t>as</w:t>
      </w:r>
      <w:r w:rsidR="00DF6C2F">
        <w:t xml:space="preserve"> an example</w:t>
      </w:r>
      <w:r w:rsidR="00D65026">
        <w:t xml:space="preserve"> illustrating this</w:t>
      </w:r>
      <w:r w:rsidR="00091E3E">
        <w:t xml:space="preserve"> for increasing responses</w:t>
      </w:r>
      <w:r w:rsidR="00D65026">
        <w:t>)</w:t>
      </w:r>
      <w:r>
        <w:t xml:space="preserve">, the data </w:t>
      </w:r>
      <w:r w:rsidR="00F26EA2">
        <w:t xml:space="preserve">is expected to provide enough information to </w:t>
      </w:r>
      <w:r w:rsidR="00C76352">
        <w:t xml:space="preserve">estimate with </w:t>
      </w:r>
      <w:r w:rsidR="356A1F98">
        <w:t xml:space="preserve">a </w:t>
      </w:r>
      <w:r w:rsidR="00C76352">
        <w:t>certain level of reliability</w:t>
      </w:r>
      <w:r w:rsidR="00F26EA2">
        <w:t xml:space="preserve"> </w:t>
      </w:r>
      <w:r w:rsidR="00C76352">
        <w:t>a dose-</w:t>
      </w:r>
      <w:r w:rsidR="00F31B70">
        <w:t xml:space="preserve">response curve (from the pairwise comparison we have </w:t>
      </w:r>
      <w:r w:rsidR="0096211D">
        <w:t>at least three group</w:t>
      </w:r>
      <w:r w:rsidR="51B45237">
        <w:t>s</w:t>
      </w:r>
      <w:r w:rsidR="0096211D">
        <w:t xml:space="preserve"> of responses</w:t>
      </w:r>
      <w:r w:rsidR="00241166">
        <w:t>:</w:t>
      </w:r>
      <w:r w:rsidR="0096211D">
        <w:t xml:space="preserve"> </w:t>
      </w:r>
      <w:r w:rsidR="002F5EB7">
        <w:t xml:space="preserve">one related to </w:t>
      </w:r>
      <w:r w:rsidR="009277C5">
        <w:t xml:space="preserve">the control </w:t>
      </w:r>
      <w:r w:rsidR="00931362">
        <w:t>group</w:t>
      </w:r>
      <w:r w:rsidR="00F86BBA">
        <w:t xml:space="preserve"> (</w:t>
      </w:r>
      <w:r w:rsidR="002606A6">
        <w:t>green</w:t>
      </w:r>
      <w:r w:rsidR="00EB18A6">
        <w:t xml:space="preserve"> circle)</w:t>
      </w:r>
      <w:r w:rsidR="0096211D">
        <w:t xml:space="preserve">, </w:t>
      </w:r>
      <w:r w:rsidR="00241166">
        <w:t xml:space="preserve">the </w:t>
      </w:r>
      <w:r w:rsidR="00B947C1">
        <w:t>maximum response group</w:t>
      </w:r>
      <w:r w:rsidR="0096211D">
        <w:t xml:space="preserve"> </w:t>
      </w:r>
      <w:r w:rsidR="00F9753D">
        <w:t>(blue circle)</w:t>
      </w:r>
      <w:r w:rsidR="0096211D">
        <w:t xml:space="preserve"> and </w:t>
      </w:r>
      <w:r w:rsidR="00241166">
        <w:t xml:space="preserve">a third </w:t>
      </w:r>
      <w:r w:rsidR="00D10039">
        <w:t xml:space="preserve">group </w:t>
      </w:r>
      <w:r w:rsidR="00983327">
        <w:t>(red circle)</w:t>
      </w:r>
      <w:r w:rsidR="00D10039">
        <w:t xml:space="preserve"> for which the responses are in between these two groups)</w:t>
      </w:r>
      <w:r w:rsidR="00F021E7">
        <w:t xml:space="preserve">. In this case it is expected that the study </w:t>
      </w:r>
      <w:r w:rsidR="006419C2">
        <w:t>contains</w:t>
      </w:r>
      <w:r w:rsidR="00F021E7">
        <w:t xml:space="preserve"> enough information to characterize the dose-response relationship</w:t>
      </w:r>
      <w:r w:rsidR="00617DC1">
        <w:t xml:space="preserve"> and it might contain enough information as well about the parameter of interest, the BMD.</w:t>
      </w:r>
      <w:r w:rsidR="00FE6282">
        <w:t xml:space="preserve"> </w:t>
      </w:r>
      <w:r w:rsidR="00FE6282">
        <w:rPr>
          <w:b/>
          <w:bCs/>
        </w:rPr>
        <w:t xml:space="preserve">The data is said to </w:t>
      </w:r>
      <w:r w:rsidR="00B27336">
        <w:rPr>
          <w:b/>
          <w:bCs/>
        </w:rPr>
        <w:t>be suitable for modelling and estimation of BMD.</w:t>
      </w:r>
    </w:p>
    <w:p w14:paraId="3B2112B1" w14:textId="7DF6E363" w:rsidR="004226CF" w:rsidRDefault="008A3C14" w:rsidP="004226CF">
      <w:pPr>
        <w:pStyle w:val="EFSABodytext"/>
        <w:ind w:left="1440"/>
        <w:rPr>
          <w:noProof/>
        </w:rPr>
      </w:pPr>
      <w:r>
        <w:rPr>
          <w:noProof/>
        </w:rPr>
        <mc:AlternateContent>
          <mc:Choice Requires="wps">
            <w:drawing>
              <wp:anchor distT="0" distB="0" distL="114300" distR="114300" simplePos="0" relativeHeight="251658243" behindDoc="0" locked="0" layoutInCell="1" allowOverlap="1" wp14:anchorId="305D7AE8" wp14:editId="4C53B91F">
                <wp:simplePos x="0" y="0"/>
                <wp:positionH relativeFrom="column">
                  <wp:posOffset>1918970</wp:posOffset>
                </wp:positionH>
                <wp:positionV relativeFrom="paragraph">
                  <wp:posOffset>1256665</wp:posOffset>
                </wp:positionV>
                <wp:extent cx="281940" cy="792480"/>
                <wp:effectExtent l="0" t="0" r="22860" b="26670"/>
                <wp:wrapNone/>
                <wp:docPr id="13" name="Oval 13"/>
                <wp:cNvGraphicFramePr/>
                <a:graphic xmlns:a="http://schemas.openxmlformats.org/drawingml/2006/main">
                  <a:graphicData uri="http://schemas.microsoft.com/office/word/2010/wordprocessingShape">
                    <wps:wsp>
                      <wps:cNvSpPr/>
                      <wps:spPr>
                        <a:xfrm>
                          <a:off x="0" y="0"/>
                          <a:ext cx="281940" cy="792480"/>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7D3066F" id="Oval 13" o:spid="_x0000_s1026" style="position:absolute;margin-left:151.1pt;margin-top:98.95pt;width:22.2pt;height:62.4pt;z-index:25165824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" filled="f" strokecolor="#c00000" strokeweight="2pt"/>
            </w:pict>
          </mc:Fallback>
        </mc:AlternateContent>
      </w:r>
      <w:r>
        <w:rPr>
          <w:noProof/>
        </w:rPr>
        <mc:AlternateContent>
          <mc:Choice Requires="wps">
            <w:drawing>
              <wp:anchor distT="0" distB="0" distL="114300" distR="114300" simplePos="0" relativeHeight="251658244" behindDoc="0" locked="0" layoutInCell="1" allowOverlap="1" wp14:anchorId="47972676" wp14:editId="4AC59A78">
                <wp:simplePos x="0" y="0"/>
                <wp:positionH relativeFrom="column">
                  <wp:posOffset>1233170</wp:posOffset>
                </wp:positionH>
                <wp:positionV relativeFrom="paragraph">
                  <wp:posOffset>2087245</wp:posOffset>
                </wp:positionV>
                <wp:extent cx="213360" cy="502920"/>
                <wp:effectExtent l="0" t="0" r="15240" b="11430"/>
                <wp:wrapNone/>
                <wp:docPr id="14" name="Oval 14"/>
                <wp:cNvGraphicFramePr/>
                <a:graphic xmlns:a="http://schemas.openxmlformats.org/drawingml/2006/main">
                  <a:graphicData uri="http://schemas.microsoft.com/office/word/2010/wordprocessingShape">
                    <wps:wsp>
                      <wps:cNvSpPr/>
                      <wps:spPr>
                        <a:xfrm>
                          <a:off x="0" y="0"/>
                          <a:ext cx="213360" cy="502920"/>
                        </a:xfrm>
                        <a:prstGeom prst="ellipse">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46CFA760" id="Oval 14" o:spid="_x0000_s1026" style="position:absolute;margin-left:97.1pt;margin-top:164.35pt;width:16.8pt;height:39.6pt;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" filled="f" strokecolor="#00b050" strokeweight="2pt"/>
            </w:pict>
          </mc:Fallback>
        </mc:AlternateContent>
      </w:r>
      <w:r w:rsidRPr="008A3C14">
        <w:rPr>
          <w:noProof/>
        </w:rPr>
        <w:drawing>
          <wp:inline distT="0" distB="0" distL="0" distR="0" wp14:anchorId="3C86209D" wp14:editId="009DF2A5">
            <wp:extent cx="5044877" cy="322353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44877" cy="3223539"/>
                    </a:xfrm>
                    <a:prstGeom prst="rect">
                      <a:avLst/>
                    </a:prstGeom>
                  </pic:spPr>
                </pic:pic>
              </a:graphicData>
            </a:graphic>
          </wp:inline>
        </w:drawing>
      </w:r>
      <w:r w:rsidR="00015E6D">
        <w:rPr>
          <w:noProof/>
        </w:rPr>
        <mc:AlternateContent>
          <mc:Choice Requires="wps">
            <w:drawing>
              <wp:anchor distT="0" distB="0" distL="114300" distR="114300" simplePos="0" relativeHeight="251658242" behindDoc="0" locked="0" layoutInCell="1" allowOverlap="1" wp14:anchorId="1C4CE0DE" wp14:editId="6F0D8A48">
                <wp:simplePos x="0" y="0"/>
                <wp:positionH relativeFrom="column">
                  <wp:posOffset>2672025</wp:posOffset>
                </wp:positionH>
                <wp:positionV relativeFrom="paragraph">
                  <wp:posOffset>11954</wp:posOffset>
                </wp:positionV>
                <wp:extent cx="3147060" cy="1424940"/>
                <wp:effectExtent l="0" t="0" r="15240" b="22860"/>
                <wp:wrapNone/>
                <wp:docPr id="12" name="Oval 12"/>
                <wp:cNvGraphicFramePr/>
                <a:graphic xmlns:a="http://schemas.openxmlformats.org/drawingml/2006/main">
                  <a:graphicData uri="http://schemas.microsoft.com/office/word/2010/wordprocessingShape">
                    <wps:wsp>
                      <wps:cNvSpPr/>
                      <wps:spPr>
                        <a:xfrm>
                          <a:off x="0" y="0"/>
                          <a:ext cx="3147060" cy="142494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BFB64FF" id="Oval 12" o:spid="_x0000_s1026" style="position:absolute;margin-left:210.4pt;margin-top:.95pt;width:247.8pt;height:112.2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" filled="f" strokecolor="#243f60 [1604]" strokeweight="2pt"/>
            </w:pict>
          </mc:Fallback>
        </mc:AlternateContent>
      </w:r>
    </w:p>
    <w:p w14:paraId="138ADCEC" w14:textId="3737AB02" w:rsidR="00372970" w:rsidRDefault="00372970" w:rsidP="00372970">
      <w:pPr>
        <w:pStyle w:val="EFSABodytext"/>
        <w:ind w:left="1440"/>
        <w:rPr>
          <w:noProof/>
        </w:rPr>
      </w:pPr>
      <w:r w:rsidRPr="00634F80">
        <w:rPr>
          <w:b/>
          <w:bCs/>
          <w:noProof/>
        </w:rPr>
        <w:t xml:space="preserve">Figure </w:t>
      </w:r>
      <w:r w:rsidR="00F34928" w:rsidRPr="00DF7F10">
        <w:rPr>
          <w:b/>
          <w:bCs/>
          <w:noProof/>
        </w:rPr>
        <w:t>3</w:t>
      </w:r>
      <w:r w:rsidR="00B05962">
        <w:rPr>
          <w:b/>
          <w:bCs/>
          <w:noProof/>
        </w:rPr>
        <w:t>.1</w:t>
      </w:r>
      <w:r w:rsidRPr="00634F80">
        <w:rPr>
          <w:b/>
          <w:bCs/>
          <w:noProof/>
        </w:rPr>
        <w:t>:</w:t>
      </w:r>
      <w:r>
        <w:rPr>
          <w:noProof/>
        </w:rPr>
        <w:t xml:space="preserve"> </w:t>
      </w:r>
      <w:r w:rsidR="00634F80">
        <w:rPr>
          <w:noProof/>
        </w:rPr>
        <w:t xml:space="preserve">Representation </w:t>
      </w:r>
      <w:r w:rsidR="0002005F">
        <w:rPr>
          <w:noProof/>
        </w:rPr>
        <w:t xml:space="preserve">of a </w:t>
      </w:r>
      <w:r w:rsidR="00456AC6">
        <w:rPr>
          <w:noProof/>
        </w:rPr>
        <w:t xml:space="preserve">study </w:t>
      </w:r>
      <w:r w:rsidR="0002005F">
        <w:rPr>
          <w:noProof/>
        </w:rPr>
        <w:t xml:space="preserve">design that </w:t>
      </w:r>
      <w:r w:rsidR="00E45EEF">
        <w:rPr>
          <w:noProof/>
        </w:rPr>
        <w:t xml:space="preserve">would </w:t>
      </w:r>
      <w:r w:rsidR="00C217FA">
        <w:rPr>
          <w:noProof/>
        </w:rPr>
        <w:t xml:space="preserve">have at least </w:t>
      </w:r>
      <w:r w:rsidR="002D7F94">
        <w:rPr>
          <w:noProof/>
        </w:rPr>
        <w:t>three</w:t>
      </w:r>
      <w:r w:rsidR="00C217FA">
        <w:rPr>
          <w:noProof/>
        </w:rPr>
        <w:t xml:space="preserve"> </w:t>
      </w:r>
      <w:r w:rsidR="00C217FA" w:rsidRPr="08B37B1F">
        <w:rPr>
          <w:noProof/>
        </w:rPr>
        <w:t>group</w:t>
      </w:r>
      <w:r w:rsidR="2A83F7D5" w:rsidRPr="08B37B1F">
        <w:rPr>
          <w:noProof/>
        </w:rPr>
        <w:t>s</w:t>
      </w:r>
      <w:r w:rsidR="00C217FA">
        <w:rPr>
          <w:noProof/>
        </w:rPr>
        <w:t xml:space="preserve"> of responses </w:t>
      </w:r>
      <w:r w:rsidR="009722BF">
        <w:rPr>
          <w:noProof/>
        </w:rPr>
        <w:t xml:space="preserve">statistically </w:t>
      </w:r>
      <w:r w:rsidR="00086793">
        <w:rPr>
          <w:noProof/>
        </w:rPr>
        <w:t>significantly different</w:t>
      </w:r>
    </w:p>
    <w:p w14:paraId="4A24574A" w14:textId="77777777" w:rsidR="00E07421" w:rsidRDefault="00E07421" w:rsidP="00E07421">
      <w:pPr>
        <w:pStyle w:val="EFSABodytext"/>
        <w:ind w:left="1080"/>
      </w:pPr>
    </w:p>
    <w:p w14:paraId="25198FE3" w14:textId="705363B0" w:rsidR="005A1E08" w:rsidRDefault="005A1E08" w:rsidP="00A424F0">
      <w:pPr>
        <w:pStyle w:val="EFSABodytext"/>
        <w:numPr>
          <w:ilvl w:val="1"/>
          <w:numId w:val="83"/>
        </w:numPr>
      </w:pPr>
      <w:r>
        <w:t>In case of only two groups of responses</w:t>
      </w:r>
      <w:r w:rsidR="006419C2">
        <w:t xml:space="preserve"> are found to be significantly different, then </w:t>
      </w:r>
      <w:r w:rsidR="00590441">
        <w:t xml:space="preserve">we can </w:t>
      </w:r>
      <w:r w:rsidR="00821042">
        <w:t xml:space="preserve">say that </w:t>
      </w:r>
      <w:r w:rsidR="007C277B">
        <w:t xml:space="preserve">the data does not provide enough information to </w:t>
      </w:r>
      <w:r w:rsidR="00765ABD">
        <w:t xml:space="preserve">describe </w:t>
      </w:r>
      <w:r w:rsidR="001722B1">
        <w:t>accurately</w:t>
      </w:r>
      <w:r w:rsidR="00765ABD">
        <w:t xml:space="preserve"> the dose-response re</w:t>
      </w:r>
      <w:r w:rsidR="00136D17">
        <w:t>lationship</w:t>
      </w:r>
      <w:r w:rsidR="006419C2">
        <w:t xml:space="preserve"> </w:t>
      </w:r>
      <w:r w:rsidR="00753638">
        <w:t>and</w:t>
      </w:r>
      <w:r w:rsidR="006419C2">
        <w:t xml:space="preserve"> two situations could be </w:t>
      </w:r>
      <w:r w:rsidR="009D129E">
        <w:t>encountered:</w:t>
      </w:r>
    </w:p>
    <w:p w14:paraId="3A4F2672" w14:textId="40E7E855" w:rsidR="0071497E" w:rsidRPr="007B05F8" w:rsidRDefault="005A1E08" w:rsidP="0071497E">
      <w:pPr>
        <w:pStyle w:val="EFSABodytext"/>
        <w:numPr>
          <w:ilvl w:val="2"/>
          <w:numId w:val="83"/>
        </w:numPr>
      </w:pPr>
      <w:r>
        <w:t>If the lowest/largest</w:t>
      </w:r>
      <w:r w:rsidR="009D129E">
        <w:t xml:space="preserve"> (increasing or decreasing relationship)</w:t>
      </w:r>
      <w:r>
        <w:t xml:space="preserve"> response group contain only the control</w:t>
      </w:r>
      <w:r w:rsidR="00992258">
        <w:t xml:space="preserve"> (see </w:t>
      </w:r>
      <w:r w:rsidR="00C64125">
        <w:t xml:space="preserve">green circle in </w:t>
      </w:r>
      <w:r w:rsidR="002B621D">
        <w:t>F</w:t>
      </w:r>
      <w:r w:rsidR="00992258">
        <w:t xml:space="preserve">igure </w:t>
      </w:r>
      <w:r w:rsidR="00BA3512">
        <w:t xml:space="preserve">3.2 </w:t>
      </w:r>
      <w:r w:rsidR="00992258">
        <w:t>as an example illustrating this</w:t>
      </w:r>
      <w:r w:rsidR="001C4F33">
        <w:t xml:space="preserve"> for increasing </w:t>
      </w:r>
      <w:r w:rsidR="00091E3E">
        <w:t>responses</w:t>
      </w:r>
      <w:r w:rsidR="00992258">
        <w:t>)</w:t>
      </w:r>
      <w:r>
        <w:t xml:space="preserve">, </w:t>
      </w:r>
      <w:r w:rsidR="000D5BAD">
        <w:t xml:space="preserve">the </w:t>
      </w:r>
      <w:r>
        <w:t>study</w:t>
      </w:r>
      <w:r w:rsidR="00617DC1">
        <w:t xml:space="preserve"> </w:t>
      </w:r>
      <w:r w:rsidR="000D5BAD">
        <w:t xml:space="preserve">might have enough information to </w:t>
      </w:r>
      <w:r w:rsidR="00FB313C">
        <w:t>define a dose-response curve, but</w:t>
      </w:r>
      <w:r w:rsidR="00A943D1">
        <w:t xml:space="preserve"> it is expected </w:t>
      </w:r>
      <w:r w:rsidR="00FE6282">
        <w:t xml:space="preserve">that </w:t>
      </w:r>
      <w:r w:rsidR="00F243E1">
        <w:t>the study does not contain enough information for BMD estimation,</w:t>
      </w:r>
      <w:r w:rsidR="00FB313C">
        <w:t xml:space="preserve"> </w:t>
      </w:r>
      <w:r>
        <w:t xml:space="preserve">in general </w:t>
      </w:r>
      <w:r w:rsidR="00F243E1">
        <w:t xml:space="preserve">it is expected to </w:t>
      </w:r>
      <w:r>
        <w:t xml:space="preserve">produce small BMDL values </w:t>
      </w:r>
      <w:r w:rsidR="00D22219">
        <w:t>as not enough small doses have been tes</w:t>
      </w:r>
      <w:r w:rsidR="00672185">
        <w:t>ted in the experiment conducted</w:t>
      </w:r>
      <w:r w:rsidR="00C73F00">
        <w:t xml:space="preserve">, and </w:t>
      </w:r>
      <w:r w:rsidR="00CB3BB4">
        <w:t xml:space="preserve">the </w:t>
      </w:r>
      <w:r w:rsidR="00BA3512">
        <w:t>BMD</w:t>
      </w:r>
      <w:r w:rsidR="00CB3BB4">
        <w:t xml:space="preserve"> </w:t>
      </w:r>
      <w:r w:rsidR="00766DA9">
        <w:t xml:space="preserve">will </w:t>
      </w:r>
      <w:r w:rsidR="009D77B7">
        <w:t xml:space="preserve">certainly </w:t>
      </w:r>
      <w:r w:rsidR="00766DA9">
        <w:t xml:space="preserve">be estimated to be </w:t>
      </w:r>
      <w:r w:rsidR="002054CF">
        <w:t>below the first dose tested</w:t>
      </w:r>
      <w:r w:rsidR="00E87C7E">
        <w:t xml:space="preserve"> and wide </w:t>
      </w:r>
      <w:r w:rsidR="00A534F0">
        <w:t>confidence interval</w:t>
      </w:r>
      <w:r w:rsidR="00672185">
        <w:t xml:space="preserve">. </w:t>
      </w:r>
      <w:r w:rsidR="00A63E24" w:rsidRPr="00793570">
        <w:rPr>
          <w:b/>
          <w:bCs/>
        </w:rPr>
        <w:t>Althou</w:t>
      </w:r>
      <w:r w:rsidR="00223427" w:rsidRPr="00793570">
        <w:rPr>
          <w:b/>
          <w:bCs/>
        </w:rPr>
        <w:t>gh t</w:t>
      </w:r>
      <w:r w:rsidR="00672185" w:rsidRPr="00793570">
        <w:rPr>
          <w:b/>
          <w:bCs/>
        </w:rPr>
        <w:t>he</w:t>
      </w:r>
      <w:r w:rsidR="00672185">
        <w:rPr>
          <w:b/>
          <w:bCs/>
        </w:rPr>
        <w:t xml:space="preserve"> data </w:t>
      </w:r>
      <w:r w:rsidR="0054388C">
        <w:rPr>
          <w:b/>
          <w:bCs/>
        </w:rPr>
        <w:t>could be</w:t>
      </w:r>
      <w:r w:rsidR="00672185">
        <w:rPr>
          <w:b/>
          <w:bCs/>
        </w:rPr>
        <w:t xml:space="preserve"> </w:t>
      </w:r>
      <w:r w:rsidR="00D5659F">
        <w:rPr>
          <w:b/>
          <w:bCs/>
        </w:rPr>
        <w:t>modell</w:t>
      </w:r>
      <w:r w:rsidR="0054388C">
        <w:rPr>
          <w:b/>
          <w:bCs/>
        </w:rPr>
        <w:t>ed</w:t>
      </w:r>
      <w:r w:rsidR="00793570">
        <w:rPr>
          <w:b/>
          <w:bCs/>
        </w:rPr>
        <w:t>,</w:t>
      </w:r>
      <w:r w:rsidR="00FD1C6A">
        <w:rPr>
          <w:b/>
          <w:bCs/>
        </w:rPr>
        <w:t xml:space="preserve"> </w:t>
      </w:r>
      <w:r w:rsidR="001566A5">
        <w:rPr>
          <w:b/>
          <w:bCs/>
        </w:rPr>
        <w:t>the available</w:t>
      </w:r>
      <w:r w:rsidR="00B1751F">
        <w:rPr>
          <w:b/>
          <w:bCs/>
        </w:rPr>
        <w:t xml:space="preserve"> information </w:t>
      </w:r>
      <w:r w:rsidR="00320065">
        <w:rPr>
          <w:b/>
          <w:bCs/>
        </w:rPr>
        <w:t>migh</w:t>
      </w:r>
      <w:r w:rsidR="0054388C">
        <w:rPr>
          <w:b/>
          <w:bCs/>
        </w:rPr>
        <w:t xml:space="preserve">t </w:t>
      </w:r>
      <w:r w:rsidR="001566A5">
        <w:rPr>
          <w:b/>
          <w:bCs/>
        </w:rPr>
        <w:t xml:space="preserve">not </w:t>
      </w:r>
      <w:r w:rsidR="0054388C">
        <w:rPr>
          <w:b/>
          <w:bCs/>
        </w:rPr>
        <w:t>be</w:t>
      </w:r>
      <w:r w:rsidR="00F76148">
        <w:rPr>
          <w:b/>
          <w:bCs/>
        </w:rPr>
        <w:t xml:space="preserve"> </w:t>
      </w:r>
      <w:r w:rsidR="001A6C7D">
        <w:rPr>
          <w:b/>
          <w:bCs/>
        </w:rPr>
        <w:t>sufficient f</w:t>
      </w:r>
      <w:r w:rsidR="00F76148">
        <w:rPr>
          <w:b/>
          <w:bCs/>
        </w:rPr>
        <w:t xml:space="preserve">or </w:t>
      </w:r>
      <w:r w:rsidR="00672185">
        <w:rPr>
          <w:b/>
          <w:bCs/>
        </w:rPr>
        <w:t>estimat</w:t>
      </w:r>
      <w:r w:rsidR="00562902">
        <w:rPr>
          <w:b/>
          <w:bCs/>
        </w:rPr>
        <w:t>ing the</w:t>
      </w:r>
      <w:r w:rsidR="00672185">
        <w:rPr>
          <w:b/>
          <w:bCs/>
        </w:rPr>
        <w:t xml:space="preserve"> BMD.</w:t>
      </w:r>
    </w:p>
    <w:p w14:paraId="30F3BB56" w14:textId="02046A2F" w:rsidR="007B05F8" w:rsidRDefault="007F6CEE" w:rsidP="007B05F8">
      <w:pPr>
        <w:pStyle w:val="EFSABodytext"/>
        <w:ind w:left="2160"/>
      </w:pPr>
      <w:r>
        <w:rPr>
          <w:noProof/>
        </w:rPr>
        <mc:AlternateContent>
          <mc:Choice Requires="wps">
            <w:drawing>
              <wp:anchor distT="0" distB="0" distL="114300" distR="114300" simplePos="0" relativeHeight="251658245" behindDoc="0" locked="0" layoutInCell="1" allowOverlap="1" wp14:anchorId="1338B797" wp14:editId="2FC2347C">
                <wp:simplePos x="0" y="0"/>
                <wp:positionH relativeFrom="column">
                  <wp:posOffset>2566670</wp:posOffset>
                </wp:positionH>
                <wp:positionV relativeFrom="paragraph">
                  <wp:posOffset>8890</wp:posOffset>
                </wp:positionV>
                <wp:extent cx="3147060" cy="982980"/>
                <wp:effectExtent l="0" t="0" r="15240" b="26670"/>
                <wp:wrapNone/>
                <wp:docPr id="24" name="Oval 24"/>
                <wp:cNvGraphicFramePr/>
                <a:graphic xmlns:a="http://schemas.openxmlformats.org/drawingml/2006/main">
                  <a:graphicData uri="http://schemas.microsoft.com/office/word/2010/wordprocessingShape">
                    <wps:wsp>
                      <wps:cNvSpPr/>
                      <wps:spPr>
                        <a:xfrm>
                          <a:off x="0" y="0"/>
                          <a:ext cx="3147060" cy="98298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443D5D7" id="Oval 24" o:spid="_x0000_s1026" style="position:absolute;margin-left:202.1pt;margin-top:.7pt;width:247.8pt;height:77.4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" filled="f" strokecolor="#243f60 [1604]" strokeweight="2pt"/>
            </w:pict>
          </mc:Fallback>
        </mc:AlternateContent>
      </w:r>
      <w:r w:rsidR="00C64125">
        <w:rPr>
          <w:noProof/>
        </w:rPr>
        <mc:AlternateContent>
          <mc:Choice Requires="wps">
            <w:drawing>
              <wp:anchor distT="0" distB="0" distL="114300" distR="114300" simplePos="0" relativeHeight="251658246" behindDoc="0" locked="0" layoutInCell="1" allowOverlap="1" wp14:anchorId="225AE7E9" wp14:editId="47517281">
                <wp:simplePos x="0" y="0"/>
                <wp:positionH relativeFrom="column">
                  <wp:posOffset>1629410</wp:posOffset>
                </wp:positionH>
                <wp:positionV relativeFrom="paragraph">
                  <wp:posOffset>1771015</wp:posOffset>
                </wp:positionV>
                <wp:extent cx="213360" cy="502920"/>
                <wp:effectExtent l="0" t="0" r="15240" b="11430"/>
                <wp:wrapNone/>
                <wp:docPr id="28" name="Oval 28"/>
                <wp:cNvGraphicFramePr/>
                <a:graphic xmlns:a="http://schemas.openxmlformats.org/drawingml/2006/main">
                  <a:graphicData uri="http://schemas.microsoft.com/office/word/2010/wordprocessingShape">
                    <wps:wsp>
                      <wps:cNvSpPr/>
                      <wps:spPr>
                        <a:xfrm>
                          <a:off x="0" y="0"/>
                          <a:ext cx="213360" cy="502920"/>
                        </a:xfrm>
                        <a:prstGeom prst="ellipse">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27127E54" id="Oval 28" o:spid="_x0000_s1026" style="position:absolute;margin-left:128.3pt;margin-top:139.45pt;width:16.8pt;height:39.6pt;z-index:25165824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" filled="f" strokecolor="#00b050" strokeweight="2pt"/>
            </w:pict>
          </mc:Fallback>
        </mc:AlternateContent>
      </w:r>
      <w:r w:rsidR="004E6A67" w:rsidRPr="004E6A67">
        <w:rPr>
          <w:noProof/>
        </w:rPr>
        <w:drawing>
          <wp:inline distT="0" distB="0" distL="0" distR="0" wp14:anchorId="1AB838CB" wp14:editId="53B951C6">
            <wp:extent cx="4364481" cy="278878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393300" cy="2807199"/>
                    </a:xfrm>
                    <a:prstGeom prst="rect">
                      <a:avLst/>
                    </a:prstGeom>
                  </pic:spPr>
                </pic:pic>
              </a:graphicData>
            </a:graphic>
          </wp:inline>
        </w:drawing>
      </w:r>
    </w:p>
    <w:p w14:paraId="407D63B7" w14:textId="6D70F4B0" w:rsidR="0097768D" w:rsidRDefault="0097768D" w:rsidP="004F1AE9">
      <w:pPr>
        <w:pStyle w:val="EFSABodytext"/>
        <w:ind w:left="2268"/>
      </w:pPr>
      <w:r w:rsidRPr="00634F80">
        <w:rPr>
          <w:b/>
          <w:bCs/>
          <w:noProof/>
        </w:rPr>
        <w:t xml:space="preserve">Figure </w:t>
      </w:r>
      <w:r w:rsidR="009E5058">
        <w:rPr>
          <w:b/>
          <w:bCs/>
          <w:noProof/>
        </w:rPr>
        <w:t>3.2</w:t>
      </w:r>
      <w:r w:rsidRPr="00634F80">
        <w:rPr>
          <w:b/>
          <w:bCs/>
          <w:noProof/>
        </w:rPr>
        <w:t>:</w:t>
      </w:r>
      <w:r>
        <w:rPr>
          <w:noProof/>
        </w:rPr>
        <w:t xml:space="preserve"> Representation of a </w:t>
      </w:r>
      <w:r w:rsidR="00307351">
        <w:rPr>
          <w:noProof/>
        </w:rPr>
        <w:t xml:space="preserve">study </w:t>
      </w:r>
      <w:r>
        <w:rPr>
          <w:noProof/>
        </w:rPr>
        <w:t xml:space="preserve">design that would have </w:t>
      </w:r>
      <w:r w:rsidR="002D7F94">
        <w:rPr>
          <w:noProof/>
        </w:rPr>
        <w:t>only two</w:t>
      </w:r>
      <w:r>
        <w:rPr>
          <w:noProof/>
        </w:rPr>
        <w:t xml:space="preserve"> </w:t>
      </w:r>
      <w:r w:rsidRPr="67C030B0">
        <w:rPr>
          <w:noProof/>
        </w:rPr>
        <w:t>group</w:t>
      </w:r>
      <w:r w:rsidR="2E6C12C9" w:rsidRPr="67C030B0">
        <w:rPr>
          <w:noProof/>
        </w:rPr>
        <w:t>s</w:t>
      </w:r>
      <w:r>
        <w:rPr>
          <w:noProof/>
        </w:rPr>
        <w:t xml:space="preserve"> of responses statistically significantly different</w:t>
      </w:r>
      <w:r w:rsidR="00E07421">
        <w:rPr>
          <w:noProof/>
        </w:rPr>
        <w:t>,</w:t>
      </w:r>
      <w:r>
        <w:rPr>
          <w:noProof/>
        </w:rPr>
        <w:t xml:space="preserve"> </w:t>
      </w:r>
      <w:r w:rsidR="00FE30AF">
        <w:rPr>
          <w:noProof/>
        </w:rPr>
        <w:t xml:space="preserve">where the control group is </w:t>
      </w:r>
      <w:r w:rsidR="00D74564">
        <w:rPr>
          <w:noProof/>
        </w:rPr>
        <w:t xml:space="preserve">the only </w:t>
      </w:r>
      <w:r w:rsidR="00D62872">
        <w:rPr>
          <w:noProof/>
        </w:rPr>
        <w:t xml:space="preserve">one having </w:t>
      </w:r>
      <w:r w:rsidR="004E6B51">
        <w:rPr>
          <w:noProof/>
        </w:rPr>
        <w:t xml:space="preserve">a different response </w:t>
      </w:r>
      <w:r w:rsidR="00437B8D">
        <w:rPr>
          <w:noProof/>
        </w:rPr>
        <w:t>to the rest of the doses</w:t>
      </w:r>
      <w:r>
        <w:rPr>
          <w:noProof/>
        </w:rPr>
        <w:t>.</w:t>
      </w:r>
    </w:p>
    <w:p w14:paraId="11B84C27" w14:textId="77777777" w:rsidR="0097768D" w:rsidRDefault="0097768D" w:rsidP="007B05F8">
      <w:pPr>
        <w:pStyle w:val="EFSABodytext"/>
        <w:ind w:left="2160"/>
      </w:pPr>
    </w:p>
    <w:p w14:paraId="12D7BB41" w14:textId="0AA7A776" w:rsidR="00D94AE0" w:rsidRDefault="005A1E08" w:rsidP="0071497E">
      <w:pPr>
        <w:pStyle w:val="EFSABodytext"/>
        <w:numPr>
          <w:ilvl w:val="2"/>
          <w:numId w:val="83"/>
        </w:numPr>
      </w:pPr>
      <w:r>
        <w:t>If the lowest</w:t>
      </w:r>
      <w:r w:rsidR="275172F7">
        <w:t xml:space="preserve"> (</w:t>
      </w:r>
      <w:r>
        <w:t>largest</w:t>
      </w:r>
      <w:r w:rsidR="758D0AEF">
        <w:t>)</w:t>
      </w:r>
      <w:r w:rsidR="00370E7D">
        <w:t xml:space="preserve"> increasing </w:t>
      </w:r>
      <w:r w:rsidR="26974898">
        <w:t>(</w:t>
      </w:r>
      <w:r w:rsidR="00370E7D">
        <w:t>decreasing</w:t>
      </w:r>
      <w:r w:rsidR="42E17B37">
        <w:t>)</w:t>
      </w:r>
      <w:r w:rsidR="00370E7D">
        <w:t xml:space="preserve"> relationship </w:t>
      </w:r>
      <w:r>
        <w:t>response group</w:t>
      </w:r>
      <w:r w:rsidR="681E603D">
        <w:t>s</w:t>
      </w:r>
      <w:r>
        <w:t xml:space="preserve"> contain</w:t>
      </w:r>
      <w:r w:rsidR="00F83E02">
        <w:t xml:space="preserve"> not only</w:t>
      </w:r>
      <w:r>
        <w:t xml:space="preserve"> the control</w:t>
      </w:r>
      <w:r w:rsidR="00232AC6">
        <w:t>,</w:t>
      </w:r>
      <w:r w:rsidR="00F83E02">
        <w:t xml:space="preserve"> but also o</w:t>
      </w:r>
      <w:r>
        <w:t>ther dose groups</w:t>
      </w:r>
      <w:r w:rsidR="00992258">
        <w:t xml:space="preserve"> (see </w:t>
      </w:r>
      <w:r w:rsidR="00232AC6">
        <w:t>green circle</w:t>
      </w:r>
      <w:r w:rsidR="00992258">
        <w:t xml:space="preserve"> </w:t>
      </w:r>
      <w:r w:rsidR="00B75A17">
        <w:t>F</w:t>
      </w:r>
      <w:r w:rsidR="00992258">
        <w:t xml:space="preserve">igure </w:t>
      </w:r>
      <w:r w:rsidR="00DE5DBD">
        <w:t xml:space="preserve">3.3 </w:t>
      </w:r>
      <w:r w:rsidR="00992258">
        <w:t>as an example illustrating this</w:t>
      </w:r>
      <w:r w:rsidR="00091E3E">
        <w:t xml:space="preserve"> for increasing responses</w:t>
      </w:r>
      <w:r w:rsidR="00992258">
        <w:t>)</w:t>
      </w:r>
      <w:r w:rsidR="00F83E02">
        <w:t xml:space="preserve">, the study might have enough information to </w:t>
      </w:r>
      <w:r w:rsidR="747886A7">
        <w:t>estimate</w:t>
      </w:r>
      <w:r w:rsidR="00F83E02">
        <w:t xml:space="preserve"> </w:t>
      </w:r>
      <w:r w:rsidR="0013766A">
        <w:t xml:space="preserve">reliably </w:t>
      </w:r>
      <w:r w:rsidR="65969C68">
        <w:t>the</w:t>
      </w:r>
      <w:r w:rsidR="00F83E02">
        <w:t xml:space="preserve"> dose-response curve</w:t>
      </w:r>
      <w:r w:rsidR="75FD417D">
        <w:t xml:space="preserve"> at low dose levels</w:t>
      </w:r>
      <w:r w:rsidR="00F83E02">
        <w:t xml:space="preserve">, </w:t>
      </w:r>
      <w:r w:rsidR="642247AA">
        <w:t>and</w:t>
      </w:r>
      <w:r w:rsidR="00F83E02">
        <w:t xml:space="preserve"> it is expected that the study does contain enough information for BMD estimation</w:t>
      </w:r>
      <w:r>
        <w:t xml:space="preserve"> </w:t>
      </w:r>
      <w:r w:rsidR="0015627E">
        <w:t>(meaning that</w:t>
      </w:r>
      <w:r w:rsidR="009C48C4">
        <w:t xml:space="preserve"> the </w:t>
      </w:r>
      <w:r w:rsidR="00EE505F">
        <w:t xml:space="preserve">lower </w:t>
      </w:r>
      <w:r w:rsidR="00B418FD">
        <w:t xml:space="preserve">bound of the credible interval is expected to be close </w:t>
      </w:r>
      <w:r w:rsidR="008C26B5">
        <w:t xml:space="preserve">to the estimated </w:t>
      </w:r>
      <w:r w:rsidR="00DE5DBD">
        <w:t>BMD</w:t>
      </w:r>
      <w:r w:rsidR="0015627E">
        <w:t>)</w:t>
      </w:r>
      <w:r>
        <w:t xml:space="preserve"> </w:t>
      </w:r>
      <w:r w:rsidR="00D5659F">
        <w:t>as enough</w:t>
      </w:r>
      <w:r>
        <w:t xml:space="preserve"> low dose responses </w:t>
      </w:r>
      <w:r w:rsidR="00D5659F">
        <w:t xml:space="preserve">are observed. </w:t>
      </w:r>
      <w:r w:rsidR="00D5659F" w:rsidRPr="0071497E">
        <w:rPr>
          <w:b/>
          <w:bCs/>
        </w:rPr>
        <w:t xml:space="preserve">The data </w:t>
      </w:r>
      <w:r w:rsidR="00271DD7">
        <w:rPr>
          <w:b/>
          <w:bCs/>
        </w:rPr>
        <w:t>c</w:t>
      </w:r>
      <w:r w:rsidR="00981D1C">
        <w:rPr>
          <w:b/>
          <w:bCs/>
        </w:rPr>
        <w:t>an</w:t>
      </w:r>
      <w:r w:rsidR="00D5659F" w:rsidRPr="0071497E">
        <w:rPr>
          <w:b/>
          <w:bCs/>
        </w:rPr>
        <w:t xml:space="preserve"> be </w:t>
      </w:r>
      <w:r w:rsidR="00981D1C">
        <w:rPr>
          <w:b/>
          <w:bCs/>
        </w:rPr>
        <w:t>modelled</w:t>
      </w:r>
      <w:r w:rsidR="00D60773">
        <w:rPr>
          <w:b/>
          <w:bCs/>
        </w:rPr>
        <w:t>,</w:t>
      </w:r>
      <w:r w:rsidR="00D5659F" w:rsidRPr="0071497E">
        <w:rPr>
          <w:b/>
          <w:bCs/>
        </w:rPr>
        <w:t xml:space="preserve"> and estimation of BMD</w:t>
      </w:r>
      <w:r w:rsidR="00420E11">
        <w:rPr>
          <w:b/>
          <w:bCs/>
        </w:rPr>
        <w:t xml:space="preserve"> would produce </w:t>
      </w:r>
      <w:r w:rsidR="006F773B">
        <w:rPr>
          <w:b/>
          <w:bCs/>
        </w:rPr>
        <w:t xml:space="preserve">BMDL values </w:t>
      </w:r>
      <w:r w:rsidR="00296085">
        <w:rPr>
          <w:b/>
          <w:bCs/>
        </w:rPr>
        <w:t xml:space="preserve">that </w:t>
      </w:r>
      <w:r w:rsidR="00D93702">
        <w:rPr>
          <w:b/>
          <w:bCs/>
        </w:rPr>
        <w:t xml:space="preserve">can be considered </w:t>
      </w:r>
      <w:r w:rsidR="00302353">
        <w:rPr>
          <w:b/>
          <w:bCs/>
        </w:rPr>
        <w:t>suitable</w:t>
      </w:r>
      <w:r w:rsidR="006A0403">
        <w:rPr>
          <w:b/>
          <w:bCs/>
        </w:rPr>
        <w:t xml:space="preserve"> to </w:t>
      </w:r>
      <w:r w:rsidR="1E53897C" w:rsidRPr="00DC6C37">
        <w:rPr>
          <w:b/>
          <w:bCs/>
        </w:rPr>
        <w:t>identify</w:t>
      </w:r>
      <w:r w:rsidR="006A0403">
        <w:rPr>
          <w:b/>
          <w:bCs/>
        </w:rPr>
        <w:t xml:space="preserve"> </w:t>
      </w:r>
      <w:r w:rsidR="00EC4DA3">
        <w:rPr>
          <w:b/>
          <w:bCs/>
        </w:rPr>
        <w:t>a reference point</w:t>
      </w:r>
      <w:r w:rsidR="00D5659F" w:rsidRPr="0071497E">
        <w:rPr>
          <w:b/>
          <w:bCs/>
        </w:rPr>
        <w:t>.</w:t>
      </w:r>
    </w:p>
    <w:p w14:paraId="14B74B08" w14:textId="18F93544" w:rsidR="007C7BD1" w:rsidRDefault="007F6CEE" w:rsidP="007C7BD1">
      <w:pPr>
        <w:pStyle w:val="EFSABodytext"/>
        <w:ind w:left="2160"/>
      </w:pPr>
      <w:r>
        <w:rPr>
          <w:noProof/>
        </w:rPr>
        <mc:AlternateContent>
          <mc:Choice Requires="wps">
            <w:drawing>
              <wp:anchor distT="0" distB="0" distL="114300" distR="114300" simplePos="0" relativeHeight="251658247" behindDoc="0" locked="0" layoutInCell="1" allowOverlap="1" wp14:anchorId="59229C42" wp14:editId="087FE263">
                <wp:simplePos x="0" y="0"/>
                <wp:positionH relativeFrom="column">
                  <wp:posOffset>1576070</wp:posOffset>
                </wp:positionH>
                <wp:positionV relativeFrom="paragraph">
                  <wp:posOffset>1144905</wp:posOffset>
                </wp:positionV>
                <wp:extent cx="1866900" cy="1066800"/>
                <wp:effectExtent l="0" t="0" r="19050" b="19050"/>
                <wp:wrapNone/>
                <wp:docPr id="29" name="Oval 29"/>
                <wp:cNvGraphicFramePr/>
                <a:graphic xmlns:a="http://schemas.openxmlformats.org/drawingml/2006/main">
                  <a:graphicData uri="http://schemas.microsoft.com/office/word/2010/wordprocessingShape">
                    <wps:wsp>
                      <wps:cNvSpPr/>
                      <wps:spPr>
                        <a:xfrm>
                          <a:off x="0" y="0"/>
                          <a:ext cx="1866900" cy="1066800"/>
                        </a:xfrm>
                        <a:prstGeom prst="ellipse">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09232DB" id="Oval 29" o:spid="_x0000_s1026" style="position:absolute;margin-left:124.1pt;margin-top:90.15pt;width:147pt;height:84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" filled="f" strokecolor="#00b050" strokeweight="2pt"/>
            </w:pict>
          </mc:Fallback>
        </mc:AlternateContent>
      </w:r>
      <w:r w:rsidRPr="007F6CEE">
        <w:rPr>
          <w:noProof/>
        </w:rPr>
        <w:drawing>
          <wp:inline distT="0" distB="0" distL="0" distR="0" wp14:anchorId="02F1E2AB" wp14:editId="45DA57BA">
            <wp:extent cx="4400469" cy="2811780"/>
            <wp:effectExtent l="0" t="0" r="635"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13886" cy="2820353"/>
                    </a:xfrm>
                    <a:prstGeom prst="rect">
                      <a:avLst/>
                    </a:prstGeom>
                  </pic:spPr>
                </pic:pic>
              </a:graphicData>
            </a:graphic>
          </wp:inline>
        </w:drawing>
      </w:r>
      <w:r w:rsidR="005156E7">
        <w:rPr>
          <w:noProof/>
        </w:rPr>
        <mc:AlternateContent>
          <mc:Choice Requires="wps">
            <w:drawing>
              <wp:anchor distT="0" distB="0" distL="114300" distR="114300" simplePos="0" relativeHeight="251658248" behindDoc="0" locked="0" layoutInCell="1" allowOverlap="1" wp14:anchorId="582FCB14" wp14:editId="782223C9">
                <wp:simplePos x="0" y="0"/>
                <wp:positionH relativeFrom="column">
                  <wp:posOffset>5378450</wp:posOffset>
                </wp:positionH>
                <wp:positionV relativeFrom="paragraph">
                  <wp:posOffset>5080</wp:posOffset>
                </wp:positionV>
                <wp:extent cx="297180" cy="1150620"/>
                <wp:effectExtent l="0" t="0" r="26670" b="11430"/>
                <wp:wrapNone/>
                <wp:docPr id="30" name="Oval 30"/>
                <wp:cNvGraphicFramePr/>
                <a:graphic xmlns:a="http://schemas.openxmlformats.org/drawingml/2006/main">
                  <a:graphicData uri="http://schemas.microsoft.com/office/word/2010/wordprocessingShape">
                    <wps:wsp>
                      <wps:cNvSpPr/>
                      <wps:spPr>
                        <a:xfrm>
                          <a:off x="0" y="0"/>
                          <a:ext cx="297180" cy="115062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EC09D67" id="Oval 30" o:spid="_x0000_s1026" style="position:absolute;margin-left:423.5pt;margin-top:.4pt;width:23.4pt;height:90.6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" filled="f" strokecolor="#243f60 [1604]" strokeweight="2pt"/>
            </w:pict>
          </mc:Fallback>
        </mc:AlternateContent>
      </w:r>
    </w:p>
    <w:p w14:paraId="6DE3FD4B" w14:textId="3CDC1F4A" w:rsidR="00CE2645" w:rsidRDefault="00CE2645" w:rsidP="00CE2645">
      <w:pPr>
        <w:pStyle w:val="EFSABodytext"/>
        <w:ind w:left="2268"/>
        <w:rPr>
          <w:noProof/>
        </w:rPr>
      </w:pPr>
      <w:r w:rsidRPr="00634F80">
        <w:rPr>
          <w:b/>
          <w:bCs/>
          <w:noProof/>
        </w:rPr>
        <w:t xml:space="preserve">Figure </w:t>
      </w:r>
      <w:r w:rsidR="004F00E0">
        <w:rPr>
          <w:b/>
          <w:bCs/>
          <w:noProof/>
        </w:rPr>
        <w:t>3.3</w:t>
      </w:r>
      <w:r w:rsidRPr="00634F80">
        <w:rPr>
          <w:b/>
          <w:bCs/>
          <w:noProof/>
        </w:rPr>
        <w:t>:</w:t>
      </w:r>
      <w:r>
        <w:rPr>
          <w:noProof/>
        </w:rPr>
        <w:t xml:space="preserve"> Representation of a</w:t>
      </w:r>
      <w:r w:rsidR="00AC28A8">
        <w:rPr>
          <w:noProof/>
        </w:rPr>
        <w:t xml:space="preserve"> study</w:t>
      </w:r>
      <w:r>
        <w:rPr>
          <w:noProof/>
        </w:rPr>
        <w:t xml:space="preserve"> design that would have only two </w:t>
      </w:r>
      <w:r w:rsidRPr="6999D4C3">
        <w:rPr>
          <w:noProof/>
        </w:rPr>
        <w:t>group</w:t>
      </w:r>
      <w:r w:rsidR="5A1F5473" w:rsidRPr="6999D4C3">
        <w:rPr>
          <w:noProof/>
        </w:rPr>
        <w:t>s</w:t>
      </w:r>
      <w:r>
        <w:rPr>
          <w:noProof/>
        </w:rPr>
        <w:t xml:space="preserve"> of responses statistically significantly different</w:t>
      </w:r>
      <w:r w:rsidR="00386BC9">
        <w:rPr>
          <w:noProof/>
        </w:rPr>
        <w:t>, where the control is not the only one having a different</w:t>
      </w:r>
      <w:r>
        <w:rPr>
          <w:noProof/>
        </w:rPr>
        <w:t xml:space="preserve"> </w:t>
      </w:r>
      <w:r w:rsidR="00386BC9">
        <w:rPr>
          <w:noProof/>
        </w:rPr>
        <w:t>response</w:t>
      </w:r>
      <w:r w:rsidR="00D7785B">
        <w:rPr>
          <w:noProof/>
        </w:rPr>
        <w:t xml:space="preserve"> </w:t>
      </w:r>
      <w:r w:rsidR="00D60773">
        <w:rPr>
          <w:noProof/>
        </w:rPr>
        <w:t>to the highest response observed</w:t>
      </w:r>
      <w:r>
        <w:rPr>
          <w:noProof/>
        </w:rPr>
        <w:t>.</w:t>
      </w:r>
    </w:p>
    <w:p w14:paraId="2E9F44CC" w14:textId="77777777" w:rsidR="00F71159" w:rsidRDefault="00F71159" w:rsidP="00100FA2">
      <w:pPr>
        <w:pStyle w:val="EFSABodytext"/>
        <w:spacing w:after="0"/>
        <w:rPr>
          <w:b/>
          <w:bCs/>
          <w:noProof/>
        </w:rPr>
      </w:pPr>
    </w:p>
    <w:p w14:paraId="3E863440" w14:textId="492FB042" w:rsidR="006A0CEC" w:rsidRPr="00021A83" w:rsidRDefault="006A0CEC" w:rsidP="006A0CEC">
      <w:pPr>
        <w:pStyle w:val="EFSABodytext"/>
      </w:pPr>
      <w:r>
        <w:rPr>
          <w:noProof/>
        </w:rPr>
        <w:t xml:space="preserve">The generic examples here presented to </w:t>
      </w:r>
      <w:r w:rsidR="007C0764">
        <w:rPr>
          <w:noProof/>
        </w:rPr>
        <w:t xml:space="preserve">illustrate the process to assess data suitability to estimate </w:t>
      </w:r>
      <w:r w:rsidR="00300ACD">
        <w:rPr>
          <w:noProof/>
        </w:rPr>
        <w:t xml:space="preserve">the BMD are used to simulate data following the principles described in Figures </w:t>
      </w:r>
      <w:r w:rsidR="009400A9">
        <w:rPr>
          <w:noProof/>
        </w:rPr>
        <w:t>3.</w:t>
      </w:r>
      <w:r w:rsidR="00300ACD">
        <w:rPr>
          <w:noProof/>
        </w:rPr>
        <w:t>1</w:t>
      </w:r>
      <w:r w:rsidR="00EC0806">
        <w:rPr>
          <w:noProof/>
        </w:rPr>
        <w:t xml:space="preserve">, </w:t>
      </w:r>
      <w:r w:rsidR="009400A9">
        <w:rPr>
          <w:noProof/>
        </w:rPr>
        <w:t>3.</w:t>
      </w:r>
      <w:r w:rsidR="00EC0806">
        <w:rPr>
          <w:noProof/>
        </w:rPr>
        <w:t>2 and 3.3. The results of the dose-response model</w:t>
      </w:r>
      <w:r w:rsidR="00C31C2E">
        <w:rPr>
          <w:noProof/>
        </w:rPr>
        <w:t xml:space="preserve">s are presented in </w:t>
      </w:r>
      <w:r w:rsidR="00C31C2E">
        <w:rPr>
          <w:noProof/>
        </w:rPr>
        <w:fldChar w:fldCharType="begin"/>
      </w:r>
      <w:r w:rsidR="00C31C2E">
        <w:rPr>
          <w:noProof/>
        </w:rPr>
        <w:instrText xml:space="preserve"> REF _Ref94103049 \r \h </w:instrText>
      </w:r>
      <w:r w:rsidR="00C31C2E">
        <w:rPr>
          <w:noProof/>
        </w:rPr>
      </w:r>
      <w:r w:rsidR="00C31C2E">
        <w:rPr>
          <w:noProof/>
        </w:rPr>
        <w:fldChar w:fldCharType="separate"/>
      </w:r>
      <w:r w:rsidR="00C31C2E">
        <w:rPr>
          <w:noProof/>
        </w:rPr>
        <w:t>Appendix C</w:t>
      </w:r>
      <w:r w:rsidR="00C31C2E">
        <w:rPr>
          <w:noProof/>
        </w:rPr>
        <w:fldChar w:fldCharType="end"/>
      </w:r>
      <w:r w:rsidR="00C31C2E">
        <w:rPr>
          <w:noProof/>
        </w:rPr>
        <w:t xml:space="preserve"> </w:t>
      </w:r>
      <w:r w:rsidR="000116F3">
        <w:rPr>
          <w:noProof/>
        </w:rPr>
        <w:t>and it is</w:t>
      </w:r>
      <w:r w:rsidR="009C3B6A">
        <w:rPr>
          <w:noProof/>
        </w:rPr>
        <w:t xml:space="preserve"> clearly highlighted </w:t>
      </w:r>
      <w:r w:rsidR="000A3197">
        <w:rPr>
          <w:noProof/>
        </w:rPr>
        <w:t xml:space="preserve">that for data presenting configurations as shown in Figures </w:t>
      </w:r>
      <w:r w:rsidR="009400A9">
        <w:rPr>
          <w:noProof/>
        </w:rPr>
        <w:t>3.</w:t>
      </w:r>
      <w:r w:rsidR="000A3197">
        <w:rPr>
          <w:noProof/>
        </w:rPr>
        <w:t>1 and 3</w:t>
      </w:r>
      <w:r w:rsidR="009400A9">
        <w:rPr>
          <w:noProof/>
        </w:rPr>
        <w:t>.</w:t>
      </w:r>
      <w:r w:rsidR="000A3197">
        <w:rPr>
          <w:noProof/>
        </w:rPr>
        <w:t xml:space="preserve">3, the estimation of BMD can be done with </w:t>
      </w:r>
      <w:r w:rsidR="00A45B51">
        <w:rPr>
          <w:noProof/>
        </w:rPr>
        <w:t>reliable precision as the data contain enough information to be able to build the dose-response and as well of enough low doses</w:t>
      </w:r>
      <w:r w:rsidR="009D2965">
        <w:rPr>
          <w:noProof/>
        </w:rPr>
        <w:t xml:space="preserve"> to increase BMD estimation precision. For the cases in which all doses tested </w:t>
      </w:r>
      <w:r w:rsidR="00097945">
        <w:rPr>
          <w:noProof/>
        </w:rPr>
        <w:t xml:space="preserve">provide information about the maximum response the modeling </w:t>
      </w:r>
      <w:r w:rsidR="007F3E7F">
        <w:rPr>
          <w:noProof/>
        </w:rPr>
        <w:t xml:space="preserve">does not provide </w:t>
      </w:r>
      <w:r w:rsidR="00CC204B">
        <w:rPr>
          <w:noProof/>
        </w:rPr>
        <w:t>reliable estimation (</w:t>
      </w:r>
      <w:r w:rsidR="00CD47C8">
        <w:rPr>
          <w:noProof/>
        </w:rPr>
        <w:t>low estimation precision</w:t>
      </w:r>
      <w:r w:rsidR="00CC204B">
        <w:rPr>
          <w:noProof/>
        </w:rPr>
        <w:t>)</w:t>
      </w:r>
      <w:r w:rsidR="004F43F8">
        <w:rPr>
          <w:noProof/>
        </w:rPr>
        <w:t xml:space="preserve">, only when </w:t>
      </w:r>
      <w:r w:rsidR="00FF676F">
        <w:rPr>
          <w:noProof/>
        </w:rPr>
        <w:t xml:space="preserve">informative priors </w:t>
      </w:r>
      <w:r w:rsidR="00260CEC">
        <w:rPr>
          <w:noProof/>
        </w:rPr>
        <w:t>can be considered</w:t>
      </w:r>
      <w:r w:rsidR="00EC1B81">
        <w:rPr>
          <w:noProof/>
        </w:rPr>
        <w:t xml:space="preserve">, </w:t>
      </w:r>
      <w:r w:rsidR="00260CEC">
        <w:rPr>
          <w:noProof/>
        </w:rPr>
        <w:t xml:space="preserve">the Bayesian BMD model averaging paradigm </w:t>
      </w:r>
      <w:r w:rsidR="00EC1B81">
        <w:rPr>
          <w:noProof/>
        </w:rPr>
        <w:t xml:space="preserve">provide </w:t>
      </w:r>
      <w:r w:rsidR="00DA2C4E">
        <w:rPr>
          <w:noProof/>
        </w:rPr>
        <w:t>more reliable estimates</w:t>
      </w:r>
      <w:r w:rsidR="006B3866">
        <w:rPr>
          <w:noProof/>
        </w:rPr>
        <w:t xml:space="preserve">, with </w:t>
      </w:r>
      <w:r w:rsidR="007C61BD">
        <w:rPr>
          <w:noProof/>
        </w:rPr>
        <w:t xml:space="preserve">the drawback that could also bias the estimation if </w:t>
      </w:r>
      <w:r w:rsidR="004421EE">
        <w:rPr>
          <w:noProof/>
        </w:rPr>
        <w:t>the priors are set</w:t>
      </w:r>
      <w:r w:rsidR="00CD3FB3">
        <w:rPr>
          <w:noProof/>
        </w:rPr>
        <w:t xml:space="preserve"> </w:t>
      </w:r>
      <w:r w:rsidR="005A0BD9">
        <w:rPr>
          <w:noProof/>
        </w:rPr>
        <w:t xml:space="preserve">to be in the region </w:t>
      </w:r>
      <w:r w:rsidR="000D5D39">
        <w:rPr>
          <w:noProof/>
        </w:rPr>
        <w:t>not containing</w:t>
      </w:r>
      <w:r w:rsidR="005A0BD9">
        <w:rPr>
          <w:noProof/>
        </w:rPr>
        <w:t xml:space="preserve"> the true BMD</w:t>
      </w:r>
      <w:r w:rsidR="000D5D39">
        <w:rPr>
          <w:noProof/>
        </w:rPr>
        <w:t>.</w:t>
      </w:r>
    </w:p>
    <w:p w14:paraId="44898198" w14:textId="77777777" w:rsidR="000D1B87" w:rsidRPr="000D1B87" w:rsidRDefault="000D1B87" w:rsidP="006A0CEC">
      <w:pPr>
        <w:pStyle w:val="EFSABodytext"/>
      </w:pPr>
    </w:p>
    <w:p w14:paraId="5B9886C8" w14:textId="058CF9F8" w:rsidR="00175269" w:rsidRPr="006A0CEC" w:rsidRDefault="00175269" w:rsidP="00175269">
      <w:pPr>
        <w:rPr>
          <w:rFonts w:ascii="Tahoma" w:hAnsi="Tahoma" w:cs="Tahoma"/>
          <w:i/>
          <w:sz w:val="20"/>
          <w:szCs w:val="20"/>
          <w:u w:val="single"/>
        </w:rPr>
      </w:pPr>
      <w:r w:rsidRPr="006A0CEC">
        <w:rPr>
          <w:rFonts w:ascii="Tahoma" w:hAnsi="Tahoma" w:cs="Tahoma"/>
          <w:i/>
          <w:sz w:val="20"/>
          <w:szCs w:val="20"/>
          <w:u w:val="single"/>
        </w:rPr>
        <w:t>High dose impact</w:t>
      </w:r>
    </w:p>
    <w:p w14:paraId="7EB953BD" w14:textId="679F8306" w:rsidR="00FD0D5E" w:rsidRDefault="00175269" w:rsidP="00476989">
      <w:pPr>
        <w:pStyle w:val="EFSABodytext"/>
      </w:pPr>
      <w:r w:rsidRPr="000A08D1">
        <w:t xml:space="preserve">In some instances, the shape of the dose response relationship for one endpoint is affected by a different endpoint. For example, in the carcinogenicity studies of the pyrrolizidine alkaloids, riddelliine and </w:t>
      </w:r>
      <w:proofErr w:type="spellStart"/>
      <w:r w:rsidRPr="000A08D1">
        <w:t>lasocarpine</w:t>
      </w:r>
      <w:proofErr w:type="spellEnd"/>
      <w:r w:rsidRPr="000A08D1">
        <w:t xml:space="preserve">, there was a dose-related decrease in survival, particularly in the </w:t>
      </w:r>
      <w:proofErr w:type="spellStart"/>
      <w:r w:rsidRPr="000A08D1">
        <w:t>lasiocarpine</w:t>
      </w:r>
      <w:proofErr w:type="spellEnd"/>
      <w:r w:rsidRPr="000A08D1">
        <w:t xml:space="preserve"> study. All female rats dosed with the highest dose of </w:t>
      </w:r>
      <w:proofErr w:type="spellStart"/>
      <w:r w:rsidRPr="000A08D1">
        <w:t>lasiocarpine</w:t>
      </w:r>
      <w:proofErr w:type="spellEnd"/>
      <w:r w:rsidRPr="000A08D1">
        <w:t xml:space="preserve"> had died by week 69. The number of tumours in the high dose group was lower than in the low and mid-dose groups </w:t>
      </w:r>
      <w:r>
        <w:t>presumabl</w:t>
      </w:r>
      <w:r w:rsidR="6FCA409A">
        <w:t>y</w:t>
      </w:r>
      <w:r w:rsidRPr="000A08D1">
        <w:t xml:space="preserve"> due to the shorter duration of dosing.</w:t>
      </w:r>
      <w:r w:rsidRPr="002E3E4A">
        <w:t xml:space="preserve"> The CONTAM Panel noted that the BMD calculations indicated a low confidence in the </w:t>
      </w:r>
      <w:proofErr w:type="gramStart"/>
      <w:r w:rsidRPr="002E3E4A">
        <w:t>results, and</w:t>
      </w:r>
      <w:proofErr w:type="gramEnd"/>
      <w:r w:rsidRPr="002E3E4A">
        <w:t xml:space="preserve"> concluded that the high mortality rate impaired the dose response analysis (EFSA CONTAM Panel, 2011).</w:t>
      </w:r>
      <w:r w:rsidR="008939DF" w:rsidRPr="002E3E4A">
        <w:t xml:space="preserve"> </w:t>
      </w:r>
      <w:r w:rsidR="005D1D5A" w:rsidRPr="002E3E4A">
        <w:t xml:space="preserve">Since </w:t>
      </w:r>
      <w:r w:rsidR="0010131E" w:rsidRPr="002E3E4A">
        <w:t xml:space="preserve">parameter c relates to the maximum response, limitations on the high dose </w:t>
      </w:r>
      <w:r w:rsidR="67AF691E">
        <w:t>might have</w:t>
      </w:r>
      <w:r w:rsidR="0010131E" w:rsidRPr="002E3E4A">
        <w:t xml:space="preserve"> an impact on the BMD and BMDL. </w:t>
      </w:r>
      <w:r w:rsidR="00940EF3" w:rsidRPr="002E3E4A">
        <w:t xml:space="preserve">Where high dose data are available for the </w:t>
      </w:r>
      <w:r w:rsidR="00276094" w:rsidRPr="002E3E4A">
        <w:t>effect</w:t>
      </w:r>
      <w:r w:rsidR="00940EF3" w:rsidRPr="002E3E4A">
        <w:t xml:space="preserve"> of interest, but they are clearly influenced by another type of effect or mode of action, then it may be justifi</w:t>
      </w:r>
      <w:r w:rsidR="00276094" w:rsidRPr="002E3E4A">
        <w:t>able</w:t>
      </w:r>
      <w:r w:rsidR="006E6F60">
        <w:t xml:space="preserve"> </w:t>
      </w:r>
      <w:r w:rsidR="00D25076">
        <w:t>(on biological basis)</w:t>
      </w:r>
      <w:r w:rsidR="00940EF3" w:rsidRPr="002E3E4A">
        <w:t xml:space="preserve"> to </w:t>
      </w:r>
      <w:r w:rsidR="009F4100" w:rsidRPr="002E3E4A">
        <w:t>exclude the high dose data</w:t>
      </w:r>
      <w:r w:rsidR="009F4100" w:rsidRPr="006A7A9A">
        <w:t xml:space="preserve">. </w:t>
      </w:r>
      <w:r w:rsidR="00B134DC" w:rsidRPr="006A7A9A">
        <w:t xml:space="preserve">If there </w:t>
      </w:r>
      <w:r w:rsidR="00276094" w:rsidRPr="006A7A9A">
        <w:t>is no indication of an overlying mode of action</w:t>
      </w:r>
      <w:r w:rsidR="00C831A6" w:rsidRPr="006A7A9A">
        <w:t xml:space="preserve">, then </w:t>
      </w:r>
      <w:r w:rsidR="00F06CCB" w:rsidRPr="006A7A9A">
        <w:t xml:space="preserve">any deviation from the dose response relationship </w:t>
      </w:r>
      <w:r w:rsidR="00442500" w:rsidRPr="006A7A9A">
        <w:t xml:space="preserve">could be related to variability and </w:t>
      </w:r>
      <w:r w:rsidR="00024A73" w:rsidRPr="006A7A9A">
        <w:t>the data should not be excluded</w:t>
      </w:r>
      <w:r w:rsidR="00442500" w:rsidRPr="006A7A9A">
        <w:t>.</w:t>
      </w:r>
      <w:r w:rsidR="00024A73" w:rsidRPr="006A7A9A">
        <w:t xml:space="preserve"> </w:t>
      </w:r>
    </w:p>
    <w:p w14:paraId="64CD3B83" w14:textId="6E2AE5A8" w:rsidR="00786E3F" w:rsidRDefault="00442500" w:rsidP="00476989">
      <w:pPr>
        <w:pStyle w:val="EFSABodytext"/>
      </w:pPr>
      <w:r w:rsidRPr="006A7A9A">
        <w:t xml:space="preserve">If the maximum response is not reached at the highest dose, then </w:t>
      </w:r>
      <w:r w:rsidR="00817343" w:rsidRPr="006A7A9A">
        <w:t xml:space="preserve">the assessor should consider whether it is possible to use an informed prior </w:t>
      </w:r>
      <w:r w:rsidR="004224B0" w:rsidRPr="006A7A9A">
        <w:t xml:space="preserve">on parameter c. </w:t>
      </w:r>
      <w:r w:rsidR="2BF1C7E5">
        <w:t>However,</w:t>
      </w:r>
      <w:r w:rsidR="004224B0" w:rsidRPr="006A7A9A">
        <w:t xml:space="preserve"> this </w:t>
      </w:r>
      <w:r w:rsidR="00825700" w:rsidRPr="006A7A9A">
        <w:t xml:space="preserve">approach </w:t>
      </w:r>
      <w:r w:rsidR="00231E0B" w:rsidRPr="006A7A9A">
        <w:t>introduces</w:t>
      </w:r>
      <w:r w:rsidR="004224B0" w:rsidRPr="006A7A9A">
        <w:t xml:space="preserve"> uncertainty with respect to the dose at which the maxi</w:t>
      </w:r>
      <w:r w:rsidR="00BD0B76" w:rsidRPr="006A7A9A">
        <w:t>m</w:t>
      </w:r>
      <w:r w:rsidR="004224B0" w:rsidRPr="006A7A9A">
        <w:t>um</w:t>
      </w:r>
      <w:r w:rsidR="00BD0B76" w:rsidRPr="006A7A9A">
        <w:t xml:space="preserve"> response would be reached.</w:t>
      </w:r>
      <w:r w:rsidR="00355B17" w:rsidRPr="00355B17">
        <w:t xml:space="preserve"> </w:t>
      </w:r>
    </w:p>
    <w:p w14:paraId="787012C1" w14:textId="47388850" w:rsidR="00786E3F" w:rsidRDefault="000234BB" w:rsidP="00476989">
      <w:pPr>
        <w:pStyle w:val="EFSABodytext"/>
      </w:pPr>
      <w:r>
        <w:t xml:space="preserve">Decision to exclude one (or several) point(s) from the dose response modelling should always be </w:t>
      </w:r>
      <w:r w:rsidR="00DE6D2F">
        <w:t xml:space="preserve">justified and </w:t>
      </w:r>
      <w:r>
        <w:t>documented.</w:t>
      </w:r>
    </w:p>
    <w:p w14:paraId="5ED2395B" w14:textId="77777777" w:rsidR="00D94AE0" w:rsidRDefault="00D94AE0" w:rsidP="00476989">
      <w:pPr>
        <w:pStyle w:val="EFSABodytext"/>
        <w:rPr>
          <w:rFonts w:eastAsia="Calibri" w:cs="Arial"/>
        </w:rPr>
      </w:pPr>
    </w:p>
    <w:p w14:paraId="186E8B03" w14:textId="77777777" w:rsidR="00C92629" w:rsidRPr="00D26ABB" w:rsidRDefault="00C92629" w:rsidP="00C92629">
      <w:pPr>
        <w:pStyle w:val="EFSABodytext"/>
        <w:rPr>
          <w:i/>
          <w:iCs/>
          <w:u w:val="single"/>
        </w:rPr>
      </w:pPr>
      <w:r w:rsidRPr="00D26ABB">
        <w:rPr>
          <w:i/>
          <w:iCs/>
          <w:u w:val="single"/>
        </w:rPr>
        <w:t>Absence of non-exposed controls</w:t>
      </w:r>
    </w:p>
    <w:p w14:paraId="63D7B5D3" w14:textId="7D292B7B" w:rsidR="00C92629" w:rsidRPr="0020351E" w:rsidRDefault="00C92629" w:rsidP="00C92629">
      <w:pPr>
        <w:spacing w:after="120" w:line="240" w:lineRule="auto"/>
        <w:jc w:val="both"/>
        <w:rPr>
          <w:rFonts w:ascii="Tahoma" w:eastAsia="Calibri" w:hAnsi="Tahoma" w:cs="Tahoma"/>
          <w:sz w:val="20"/>
          <w:szCs w:val="20"/>
        </w:rPr>
      </w:pPr>
      <w:r w:rsidRPr="5E273EC8">
        <w:rPr>
          <w:rFonts w:ascii="Tahoma" w:eastAsia="Tahoma" w:hAnsi="Tahoma" w:cs="Tahoma"/>
          <w:sz w:val="20"/>
          <w:szCs w:val="20"/>
        </w:rPr>
        <w:t>I</w:t>
      </w:r>
      <w:r w:rsidRPr="002855F3">
        <w:rPr>
          <w:rFonts w:ascii="Tahoma" w:eastAsia="Times New Roman" w:hAnsi="Tahoma" w:cs="Tahoma"/>
          <w:sz w:val="20"/>
          <w:szCs w:val="20"/>
        </w:rPr>
        <w:t>n strict terms, model fits are valid only for the range of data used to estimate the model. For new substances this condition can be ensured by the presence of unexposed controls. In the case of naturally occurring substances or contaminants, the condition of unexposed controls may not always be met and the estimated value for the background response parameter may become very uncertain. This is of particular concern for observational studies in humans where exposure conditions are not controlled. This may equally apply to animal studies depending on how difficult it is to eliminate or minimize the presence of the substance under consideration from the experimental setting. In general, the greater the difference between the zero dose and exposure among controls the higher the uncertainty. If the dose response-function has become asymptotic at the lower dose range the uncertainty associated with extrapolation is generally small. However, in all other cases extrapolation to zero dose becomes more uncertain, depending on the steepness of the dose response at lower doses. In cases where this has occurred</w:t>
      </w:r>
      <w:r w:rsidR="00A668B1">
        <w:rPr>
          <w:rFonts w:ascii="Tahoma" w:eastAsia="Times New Roman" w:hAnsi="Tahoma" w:cs="Tahoma"/>
          <w:sz w:val="20"/>
          <w:szCs w:val="20"/>
        </w:rPr>
        <w:t>,</w:t>
      </w:r>
      <w:r w:rsidRPr="002855F3">
        <w:rPr>
          <w:rFonts w:ascii="Tahoma" w:eastAsia="Times New Roman" w:hAnsi="Tahoma" w:cs="Tahoma"/>
          <w:sz w:val="20"/>
          <w:szCs w:val="20"/>
        </w:rPr>
        <w:t xml:space="preserve"> such studies have often been referred to as uncertain or even poorly conducted despite being replicated in an independent setting (</w:t>
      </w:r>
      <w:r w:rsidRPr="002855F3">
        <w:rPr>
          <w:rFonts w:ascii="Tahoma" w:eastAsia="Times New Roman" w:hAnsi="Tahoma" w:cs="Tahoma"/>
          <w:sz w:val="20"/>
          <w:szCs w:val="20"/>
          <w:highlight w:val="cyan"/>
        </w:rPr>
        <w:t>REF</w:t>
      </w:r>
      <w:r w:rsidRPr="0020351E">
        <w:rPr>
          <w:rFonts w:ascii="Tahoma" w:eastAsia="Times New Roman" w:hAnsi="Tahoma" w:cs="Tahoma"/>
          <w:sz w:val="20"/>
          <w:szCs w:val="20"/>
        </w:rPr>
        <w:t xml:space="preserve">). It is however important to distinguish between experimental uncertainty and model uncertainty. </w:t>
      </w:r>
      <w:r w:rsidRPr="0020351E">
        <w:rPr>
          <w:rFonts w:ascii="Tahoma" w:eastAsia="Calibri" w:hAnsi="Tahoma" w:cs="Tahoma"/>
          <w:sz w:val="20"/>
          <w:szCs w:val="20"/>
        </w:rPr>
        <w:t xml:space="preserve"> </w:t>
      </w:r>
    </w:p>
    <w:p w14:paraId="65674148" w14:textId="77777777" w:rsidR="00C92629" w:rsidRPr="0020351E" w:rsidRDefault="00C92629" w:rsidP="00C92629">
      <w:pPr>
        <w:spacing w:after="120" w:line="240" w:lineRule="auto"/>
        <w:jc w:val="both"/>
        <w:rPr>
          <w:rFonts w:ascii="Tahoma" w:eastAsia="Calibri" w:hAnsi="Tahoma" w:cs="Tahoma"/>
          <w:color w:val="D13438"/>
          <w:sz w:val="20"/>
          <w:szCs w:val="20"/>
        </w:rPr>
      </w:pPr>
      <w:r w:rsidRPr="0020351E">
        <w:rPr>
          <w:rFonts w:ascii="Tahoma" w:eastAsia="Calibri" w:hAnsi="Tahoma" w:cs="Tahoma"/>
          <w:sz w:val="20"/>
          <w:szCs w:val="20"/>
        </w:rPr>
        <w:t xml:space="preserve">To </w:t>
      </w:r>
      <w:r w:rsidRPr="0020351E">
        <w:rPr>
          <w:rFonts w:ascii="Tahoma" w:eastAsia="Times New Roman" w:hAnsi="Tahoma" w:cs="Tahoma"/>
          <w:sz w:val="20"/>
          <w:szCs w:val="20"/>
        </w:rPr>
        <w:t>address the uncertainty that may arise due to extrapolation towards zero below the observed exposure range some assumptions may be needed for dose response curves that are non-asymptotic. One way to address this uncertainty is to make assumptions on the expected value of the outcome under consideration at zero exposure. The variability in the lower dose groups may be used as proxy for the zero dose in such cases. Based on other experiments (</w:t>
      </w:r>
      <w:proofErr w:type="gramStart"/>
      <w:r w:rsidRPr="0020351E">
        <w:rPr>
          <w:rFonts w:ascii="Tahoma" w:eastAsia="Times New Roman" w:hAnsi="Tahoma" w:cs="Tahoma"/>
          <w:sz w:val="20"/>
          <w:szCs w:val="20"/>
        </w:rPr>
        <w:t>e.g.</w:t>
      </w:r>
      <w:proofErr w:type="gramEnd"/>
      <w:r w:rsidRPr="0020351E">
        <w:rPr>
          <w:rFonts w:ascii="Tahoma" w:eastAsia="Times New Roman" w:hAnsi="Tahoma" w:cs="Tahoma"/>
          <w:sz w:val="20"/>
          <w:szCs w:val="20"/>
        </w:rPr>
        <w:t xml:space="preserve"> variation in historical controls), one can constrain the model fit with plausible values for the background response parameter a observed in different settings. Despite associated uncertainty, such assumptions are often more credible than derived values for the background response from BMD modelling that fall well outside biological variation or values that have not been associated with risk in other studies. </w:t>
      </w:r>
      <w:r w:rsidRPr="0020351E">
        <w:rPr>
          <w:rFonts w:ascii="Tahoma" w:eastAsia="Calibri" w:hAnsi="Tahoma" w:cs="Tahoma"/>
          <w:color w:val="D13438"/>
          <w:sz w:val="20"/>
          <w:szCs w:val="20"/>
        </w:rPr>
        <w:t xml:space="preserve"> </w:t>
      </w:r>
    </w:p>
    <w:p w14:paraId="45405AFF" w14:textId="77777777" w:rsidR="00C92629" w:rsidRPr="0020351E" w:rsidRDefault="00C92629" w:rsidP="00C92629">
      <w:pPr>
        <w:spacing w:after="120" w:line="240" w:lineRule="auto"/>
        <w:jc w:val="both"/>
        <w:rPr>
          <w:rFonts w:ascii="Tahoma" w:eastAsia="Times New Roman" w:hAnsi="Tahoma" w:cs="Tahoma"/>
          <w:sz w:val="20"/>
          <w:szCs w:val="20"/>
        </w:rPr>
      </w:pPr>
      <w:r w:rsidRPr="0020351E">
        <w:rPr>
          <w:rFonts w:ascii="Tahoma" w:eastAsia="Times New Roman" w:hAnsi="Tahoma" w:cs="Tahoma"/>
          <w:sz w:val="20"/>
          <w:szCs w:val="20"/>
        </w:rPr>
        <w:t xml:space="preserve">Another practical example would be modelling of dose response data for nutrients to establish HBGVs. In this case zero exposure does not exist and regardless of the outcome under consideration both high and low exposure is at the extremes associated with increased risk of adversity. </w:t>
      </w:r>
      <w:r w:rsidRPr="0020351E">
        <w:rPr>
          <w:rFonts w:ascii="Tahoma" w:eastAsia="Calibri" w:hAnsi="Tahoma" w:cs="Tahoma"/>
          <w:sz w:val="20"/>
          <w:szCs w:val="20"/>
        </w:rPr>
        <w:t xml:space="preserve">In the special case of </w:t>
      </w:r>
      <w:r w:rsidRPr="0020351E">
        <w:rPr>
          <w:rFonts w:ascii="Tahoma" w:eastAsia="Times New Roman" w:hAnsi="Tahoma" w:cs="Tahoma"/>
          <w:sz w:val="20"/>
          <w:szCs w:val="20"/>
        </w:rPr>
        <w:t xml:space="preserve">nutrients where a certain exposure level is required to remain healthy, one would need to use a “background” response value around a pre-defined exposure level. Further experience in benchmark dose modelling </w:t>
      </w:r>
      <w:proofErr w:type="gramStart"/>
      <w:r w:rsidRPr="0020351E">
        <w:rPr>
          <w:rFonts w:ascii="Tahoma" w:eastAsia="Times New Roman" w:hAnsi="Tahoma" w:cs="Tahoma"/>
          <w:sz w:val="20"/>
          <w:szCs w:val="20"/>
        </w:rPr>
        <w:t>in the area of</w:t>
      </w:r>
      <w:proofErr w:type="gramEnd"/>
      <w:r w:rsidRPr="0020351E">
        <w:rPr>
          <w:rFonts w:ascii="Tahoma" w:eastAsia="Times New Roman" w:hAnsi="Tahoma" w:cs="Tahoma"/>
          <w:sz w:val="20"/>
          <w:szCs w:val="20"/>
        </w:rPr>
        <w:t xml:space="preserve"> nutrition is required before guidance can be developed. It may also occur due to model uncertainty that the BMDL falls below the physiological requirements simply because the margin between physiological needs and toxicity is smaller than the combined experimental and model uncertainty. Such a situation requires special modelling considerations, should the BMD approach be applied.  </w:t>
      </w:r>
    </w:p>
    <w:p w14:paraId="77C416FE" w14:textId="50EFBB6F" w:rsidR="00C92629" w:rsidRPr="0020351E" w:rsidRDefault="00C92629" w:rsidP="0020351E">
      <w:pPr>
        <w:jc w:val="both"/>
        <w:rPr>
          <w:rFonts w:ascii="Tahoma" w:hAnsi="Tahoma" w:cs="Tahoma"/>
          <w:sz w:val="20"/>
          <w:szCs w:val="20"/>
        </w:rPr>
      </w:pPr>
      <w:r w:rsidRPr="0020351E">
        <w:rPr>
          <w:rFonts w:ascii="Tahoma" w:eastAsia="Times New Roman" w:hAnsi="Tahoma" w:cs="Tahoma"/>
          <w:sz w:val="20"/>
          <w:szCs w:val="20"/>
        </w:rPr>
        <w:t>To date, few practical examples of application of BMD modelling in the absence of non-exposed controls exist. The more widespread use of the BMD methodology may highlight the need to update this guidance in this respect.</w:t>
      </w:r>
    </w:p>
    <w:p w14:paraId="560044AC" w14:textId="77777777" w:rsidR="00396A2D" w:rsidRPr="004C7066" w:rsidRDefault="00396A2D" w:rsidP="007F749F">
      <w:pPr>
        <w:pStyle w:val="EFSAHeading3"/>
        <w:ind w:left="851" w:hanging="851"/>
      </w:pPr>
      <w:bookmarkStart w:id="62" w:name="_Ref94101769"/>
      <w:bookmarkStart w:id="63" w:name="_Toc94255344"/>
      <w:r>
        <w:t>Consideration of prior information for the endpoint(s) considered</w:t>
      </w:r>
      <w:bookmarkEnd w:id="62"/>
      <w:bookmarkEnd w:id="63"/>
    </w:p>
    <w:p w14:paraId="1F179667" w14:textId="693FC93B" w:rsidR="34FAEC4A" w:rsidRDefault="34FAEC4A" w:rsidP="3B627AC3">
      <w:pPr>
        <w:pStyle w:val="EFSABodytext"/>
        <w:rPr>
          <w:rFonts w:eastAsia="Calibri" w:cs="Arial"/>
        </w:rPr>
      </w:pPr>
      <w:r w:rsidRPr="3B627AC3">
        <w:rPr>
          <w:rFonts w:eastAsia="Calibri" w:cs="Arial"/>
        </w:rPr>
        <w:t>Two types of prior distributions are used</w:t>
      </w:r>
      <w:r w:rsidR="0E7AC0E1" w:rsidRPr="3B627AC3">
        <w:rPr>
          <w:rFonts w:eastAsia="Calibri" w:cs="Arial"/>
        </w:rPr>
        <w:t>:</w:t>
      </w:r>
    </w:p>
    <w:p w14:paraId="292ECA6D" w14:textId="6E1809C4" w:rsidR="34FAEC4A" w:rsidRDefault="34FAEC4A" w:rsidP="00D441CA">
      <w:pPr>
        <w:pStyle w:val="EFSABodytext"/>
        <w:numPr>
          <w:ilvl w:val="0"/>
          <w:numId w:val="2"/>
        </w:numPr>
        <w:rPr>
          <w:rFonts w:asciiTheme="minorHAnsi" w:eastAsiaTheme="minorEastAsia" w:hAnsiTheme="minorHAnsi"/>
        </w:rPr>
      </w:pPr>
      <w:r w:rsidRPr="3B627AC3">
        <w:rPr>
          <w:rFonts w:eastAsia="Calibri" w:cs="Arial"/>
        </w:rPr>
        <w:t>PERT distributions for the parameters: background and maximum response, and the BMD</w:t>
      </w:r>
      <w:r w:rsidR="002275E7">
        <w:rPr>
          <w:rFonts w:eastAsia="Calibri" w:cs="Arial"/>
        </w:rPr>
        <w:t xml:space="preserve"> (Johnson et al., 1995)</w:t>
      </w:r>
      <w:r w:rsidRPr="3B627AC3">
        <w:rPr>
          <w:rFonts w:eastAsia="Calibri" w:cs="Arial"/>
        </w:rPr>
        <w:t>.</w:t>
      </w:r>
    </w:p>
    <w:p w14:paraId="0D1A042F" w14:textId="48EB4B04" w:rsidR="34FAEC4A" w:rsidRDefault="34FAEC4A" w:rsidP="00D441CA">
      <w:pPr>
        <w:pStyle w:val="EFSABodytext"/>
        <w:numPr>
          <w:ilvl w:val="0"/>
          <w:numId w:val="2"/>
        </w:numPr>
      </w:pPr>
      <w:r w:rsidRPr="3B627AC3">
        <w:rPr>
          <w:rFonts w:eastAsia="Calibri" w:cs="Arial"/>
        </w:rPr>
        <w:t xml:space="preserve">Normal distributions for the “technical” parameters: transformations of the parameters </w:t>
      </w:r>
    </w:p>
    <w:p w14:paraId="51871BBF" w14:textId="28621966" w:rsidR="34FAEC4A" w:rsidRDefault="34FAEC4A" w:rsidP="3B627AC3">
      <w:pPr>
        <w:pStyle w:val="EFSABodytext"/>
        <w:rPr>
          <w:rFonts w:eastAsia="Calibri" w:cs="Arial"/>
        </w:rPr>
      </w:pPr>
      <w:r w:rsidRPr="3B627AC3">
        <w:rPr>
          <w:rFonts w:eastAsia="Calibri" w:cs="Arial"/>
        </w:rPr>
        <w:t xml:space="preserve">The distinction between both types of </w:t>
      </w:r>
      <w:r w:rsidR="6A0E4886" w:rsidRPr="3B627AC3">
        <w:rPr>
          <w:rFonts w:eastAsia="Calibri" w:cs="Arial"/>
        </w:rPr>
        <w:t>prior distributions</w:t>
      </w:r>
      <w:r w:rsidRPr="3B627AC3">
        <w:rPr>
          <w:rFonts w:eastAsia="Calibri" w:cs="Arial"/>
        </w:rPr>
        <w:t xml:space="preserve"> </w:t>
      </w:r>
      <w:r w:rsidR="260B3135" w:rsidRPr="3B627AC3">
        <w:rPr>
          <w:rFonts w:eastAsia="Calibri" w:cs="Arial"/>
        </w:rPr>
        <w:t>for both type of parameters is based on their different role and usage:</w:t>
      </w:r>
    </w:p>
    <w:p w14:paraId="46E7FF40" w14:textId="724DA9FA" w:rsidR="6F013B95" w:rsidRDefault="6F013B95" w:rsidP="00286A4C">
      <w:pPr>
        <w:pStyle w:val="EFSABodytext"/>
        <w:numPr>
          <w:ilvl w:val="0"/>
          <w:numId w:val="1"/>
        </w:numPr>
        <w:rPr>
          <w:rFonts w:asciiTheme="minorHAnsi" w:eastAsiaTheme="minorEastAsia" w:hAnsiTheme="minorHAnsi"/>
        </w:rPr>
      </w:pPr>
      <w:r w:rsidRPr="3B627AC3">
        <w:rPr>
          <w:rFonts w:eastAsia="Calibri" w:cs="Arial"/>
        </w:rPr>
        <w:t>Uninformative (the default) and informative (as recommended option) priors can be assigned to the natural parameters.</w:t>
      </w:r>
    </w:p>
    <w:p w14:paraId="25CD3FA5" w14:textId="3276AFD9" w:rsidR="6F013B95" w:rsidRDefault="6F013B95" w:rsidP="00286A4C">
      <w:pPr>
        <w:pStyle w:val="EFSABodytext"/>
        <w:numPr>
          <w:ilvl w:val="0"/>
          <w:numId w:val="1"/>
        </w:numPr>
      </w:pPr>
      <w:r w:rsidRPr="3B627AC3">
        <w:rPr>
          <w:rFonts w:eastAsia="Calibri" w:cs="Arial"/>
        </w:rPr>
        <w:t>No prior information can be assigned to the technical parameters</w:t>
      </w:r>
    </w:p>
    <w:p w14:paraId="7C9B080F" w14:textId="77FB8CDB" w:rsidR="055DF4E0" w:rsidRDefault="055DF4E0" w:rsidP="00286A4C">
      <w:pPr>
        <w:pStyle w:val="EFSABodytext"/>
        <w:numPr>
          <w:ilvl w:val="1"/>
          <w:numId w:val="1"/>
        </w:numPr>
      </w:pPr>
      <w:r w:rsidRPr="3B627AC3">
        <w:rPr>
          <w:rFonts w:eastAsia="Calibri" w:cs="Arial"/>
        </w:rPr>
        <w:t>T</w:t>
      </w:r>
      <w:r w:rsidR="6F013B95" w:rsidRPr="3B627AC3">
        <w:rPr>
          <w:rFonts w:eastAsia="Calibri" w:cs="Arial"/>
        </w:rPr>
        <w:t>he</w:t>
      </w:r>
      <w:r w:rsidR="08142A7D" w:rsidRPr="3B627AC3">
        <w:rPr>
          <w:rFonts w:eastAsia="Calibri" w:cs="Arial"/>
        </w:rPr>
        <w:t xml:space="preserve"> </w:t>
      </w:r>
      <w:r w:rsidRPr="3B627AC3">
        <w:rPr>
          <w:rFonts w:eastAsia="Calibri" w:cs="Arial"/>
        </w:rPr>
        <w:t xml:space="preserve">parameter </w:t>
      </w:r>
      <w:r w:rsidRPr="00EC6151">
        <w:rPr>
          <w:rFonts w:eastAsia="Calibri" w:cs="Arial"/>
          <w:i/>
          <w:iCs/>
        </w:rPr>
        <w:t>d</w:t>
      </w:r>
      <w:r w:rsidR="4402DA11" w:rsidRPr="3B627AC3">
        <w:rPr>
          <w:rFonts w:eastAsia="Calibri" w:cs="Arial"/>
          <w:i/>
          <w:iCs/>
        </w:rPr>
        <w:t>,</w:t>
      </w:r>
      <w:r w:rsidRPr="3B627AC3">
        <w:rPr>
          <w:rFonts w:eastAsia="Calibri" w:cs="Arial"/>
          <w:i/>
          <w:iCs/>
        </w:rPr>
        <w:t xml:space="preserve"> </w:t>
      </w:r>
      <w:r w:rsidRPr="3B627AC3">
        <w:rPr>
          <w:rFonts w:eastAsia="Calibri" w:cs="Arial"/>
        </w:rPr>
        <w:t xml:space="preserve">which is acting differently in the different models and has </w:t>
      </w:r>
      <w:r w:rsidR="5316A46C" w:rsidRPr="3B627AC3">
        <w:rPr>
          <w:rFonts w:eastAsia="Calibri" w:cs="Arial"/>
        </w:rPr>
        <w:t xml:space="preserve">direct link to any natural characteristic of the endpoint. </w:t>
      </w:r>
      <w:r w:rsidR="4D116CF8" w:rsidRPr="3B627AC3">
        <w:rPr>
          <w:rFonts w:eastAsia="Calibri" w:cs="Arial"/>
        </w:rPr>
        <w:t xml:space="preserve">Moreover, the presence of this fourth parameter enhances the flexibility of each of the models, but at the cost of computational stability. For that </w:t>
      </w:r>
      <w:r w:rsidR="209F170D" w:rsidRPr="3B627AC3">
        <w:rPr>
          <w:rFonts w:eastAsia="Calibri" w:cs="Arial"/>
        </w:rPr>
        <w:t>reason,</w:t>
      </w:r>
      <w:r w:rsidR="4D116CF8" w:rsidRPr="3B627AC3">
        <w:rPr>
          <w:rFonts w:eastAsia="Calibri" w:cs="Arial"/>
        </w:rPr>
        <w:t xml:space="preserve"> a particular </w:t>
      </w:r>
      <w:r w:rsidR="58DD65DA" w:rsidRPr="3B627AC3">
        <w:rPr>
          <w:rFonts w:eastAsia="Calibri" w:cs="Arial"/>
        </w:rPr>
        <w:t xml:space="preserve">normal </w:t>
      </w:r>
      <w:r w:rsidR="4D116CF8" w:rsidRPr="3B627AC3">
        <w:rPr>
          <w:rFonts w:eastAsia="Calibri" w:cs="Arial"/>
        </w:rPr>
        <w:t>p</w:t>
      </w:r>
      <w:r w:rsidR="00DD5414" w:rsidRPr="3B627AC3">
        <w:rPr>
          <w:rFonts w:eastAsia="Calibri" w:cs="Arial"/>
        </w:rPr>
        <w:t xml:space="preserve">rior distribution is assigned to this parameter (or a transformed parameter, such as </w:t>
      </w:r>
      <w:r w:rsidR="00DD5414" w:rsidRPr="00EC6151">
        <w:rPr>
          <w:rFonts w:eastAsia="Calibri" w:cs="Arial"/>
          <w:i/>
          <w:iCs/>
        </w:rPr>
        <w:t>log(d)</w:t>
      </w:r>
      <w:r w:rsidR="00DD5414" w:rsidRPr="3B627AC3">
        <w:rPr>
          <w:rFonts w:eastAsia="Calibri" w:cs="Arial"/>
        </w:rPr>
        <w:t>)</w:t>
      </w:r>
      <w:r w:rsidRPr="3B627AC3">
        <w:rPr>
          <w:rFonts w:eastAsia="Calibri" w:cs="Arial"/>
        </w:rPr>
        <w:t xml:space="preserve"> </w:t>
      </w:r>
      <w:proofErr w:type="gramStart"/>
      <w:r w:rsidR="26817B4F" w:rsidRPr="3B627AC3">
        <w:rPr>
          <w:rFonts w:eastAsia="Calibri" w:cs="Arial"/>
        </w:rPr>
        <w:t>in order to</w:t>
      </w:r>
      <w:proofErr w:type="gramEnd"/>
      <w:r w:rsidR="26817B4F" w:rsidRPr="3B627AC3">
        <w:rPr>
          <w:rFonts w:eastAsia="Calibri" w:cs="Arial"/>
        </w:rPr>
        <w:t xml:space="preserve"> technically stabilize the </w:t>
      </w:r>
      <w:r w:rsidR="79AEEE2E" w:rsidRPr="3B627AC3">
        <w:rPr>
          <w:rFonts w:eastAsia="Calibri" w:cs="Arial"/>
        </w:rPr>
        <w:t>fitting of the model</w:t>
      </w:r>
      <w:r w:rsidR="26817B4F" w:rsidRPr="3B627AC3">
        <w:rPr>
          <w:rFonts w:eastAsia="Calibri" w:cs="Arial"/>
        </w:rPr>
        <w:t xml:space="preserve">. </w:t>
      </w:r>
    </w:p>
    <w:p w14:paraId="68220236" w14:textId="7F6AAF83" w:rsidR="3811842A" w:rsidRDefault="3811842A" w:rsidP="00286A4C">
      <w:pPr>
        <w:pStyle w:val="EFSABodytext"/>
        <w:numPr>
          <w:ilvl w:val="1"/>
          <w:numId w:val="1"/>
        </w:numPr>
      </w:pPr>
      <w:r w:rsidRPr="3B627AC3">
        <w:rPr>
          <w:rFonts w:eastAsia="Calibri" w:cs="Arial"/>
        </w:rPr>
        <w:t xml:space="preserve">The variance parameter </w:t>
      </w:r>
      <m:oMath>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oMath>
      <w:r w:rsidRPr="3B627AC3">
        <w:rPr>
          <w:rFonts w:eastAsia="Calibri" w:cs="Arial"/>
        </w:rPr>
        <w:t xml:space="preserve"> depends on characteristics of the endpoint and of the experiment. Across all models the </w:t>
      </w:r>
      <w:r w:rsidR="00B436B5">
        <w:rPr>
          <w:rFonts w:eastAsia="Calibri" w:cs="Arial"/>
        </w:rPr>
        <w:t xml:space="preserve">same </w:t>
      </w:r>
      <w:r w:rsidRPr="3B627AC3">
        <w:rPr>
          <w:rFonts w:eastAsia="Calibri" w:cs="Arial"/>
        </w:rPr>
        <w:t>uninformative</w:t>
      </w:r>
      <w:r w:rsidR="00B436B5">
        <w:rPr>
          <w:rFonts w:eastAsia="Calibri" w:cs="Arial"/>
        </w:rPr>
        <w:t xml:space="preserve"> normal</w:t>
      </w:r>
      <w:r w:rsidRPr="3B627AC3">
        <w:rPr>
          <w:rFonts w:eastAsia="Calibri" w:cs="Arial"/>
        </w:rPr>
        <w:t xml:space="preserve"> prior is attached to </w:t>
      </w:r>
      <w:r w:rsidR="00B436B5">
        <w:rPr>
          <w:rFonts w:eastAsia="Calibri" w:cs="Arial"/>
        </w:rPr>
        <w:t>this variance parameter (on the log scale).</w:t>
      </w:r>
    </w:p>
    <w:p w14:paraId="766D2C81" w14:textId="49A7154F" w:rsidR="3B627AC3" w:rsidRDefault="3B627AC3" w:rsidP="3B627AC3">
      <w:pPr>
        <w:pStyle w:val="EFSABodytext"/>
        <w:rPr>
          <w:rFonts w:eastAsia="Calibri" w:cs="Arial"/>
        </w:rPr>
      </w:pPr>
    </w:p>
    <w:p w14:paraId="5C8966D9" w14:textId="3620FEC9" w:rsidR="2B2C625C" w:rsidRDefault="2B2C625C" w:rsidP="00EC6151">
      <w:pPr>
        <w:pStyle w:val="EFSABodytext"/>
        <w:rPr>
          <w:rFonts w:eastAsia="Calibri" w:cs="Arial"/>
        </w:rPr>
      </w:pPr>
      <w:r w:rsidRPr="3B627AC3">
        <w:rPr>
          <w:rFonts w:eastAsia="Calibri" w:cs="Arial"/>
        </w:rPr>
        <w:t xml:space="preserve">This section focuses on the </w:t>
      </w:r>
      <w:r w:rsidR="74E66BF9" w:rsidRPr="3B627AC3">
        <w:rPr>
          <w:rFonts w:eastAsia="Calibri" w:cs="Arial"/>
        </w:rPr>
        <w:t xml:space="preserve">parameters </w:t>
      </w:r>
      <w:r w:rsidR="009653A1" w:rsidRPr="3B627AC3">
        <w:rPr>
          <w:rFonts w:eastAsia="Calibri" w:cs="Arial"/>
        </w:rPr>
        <w:t>background</w:t>
      </w:r>
      <w:r w:rsidR="009653A1">
        <w:rPr>
          <w:rFonts w:eastAsia="Calibri" w:cs="Arial"/>
        </w:rPr>
        <w:t>,</w:t>
      </w:r>
      <w:r w:rsidR="009653A1" w:rsidRPr="3B627AC3">
        <w:rPr>
          <w:rFonts w:eastAsia="Calibri" w:cs="Arial"/>
        </w:rPr>
        <w:t xml:space="preserve"> </w:t>
      </w:r>
      <w:r w:rsidR="009653A1">
        <w:rPr>
          <w:rFonts w:eastAsia="Calibri" w:cs="Arial"/>
        </w:rPr>
        <w:t>m</w:t>
      </w:r>
      <w:r w:rsidR="009653A1" w:rsidRPr="3B627AC3">
        <w:rPr>
          <w:rFonts w:eastAsia="Calibri" w:cs="Arial"/>
        </w:rPr>
        <w:t xml:space="preserve">aximum response </w:t>
      </w:r>
      <w:r w:rsidR="74E66BF9" w:rsidRPr="3B627AC3">
        <w:rPr>
          <w:rFonts w:eastAsia="Calibri" w:cs="Arial"/>
        </w:rPr>
        <w:t xml:space="preserve">and </w:t>
      </w:r>
      <w:r w:rsidR="009653A1" w:rsidRPr="3B627AC3">
        <w:rPr>
          <w:rFonts w:eastAsia="Calibri" w:cs="Arial"/>
        </w:rPr>
        <w:t>BMD</w:t>
      </w:r>
      <w:r w:rsidR="009653A1">
        <w:rPr>
          <w:rFonts w:eastAsia="Calibri" w:cs="Arial"/>
        </w:rPr>
        <w:t>,</w:t>
      </w:r>
      <w:r w:rsidR="009653A1" w:rsidRPr="3B627AC3">
        <w:rPr>
          <w:rFonts w:eastAsia="Calibri" w:cs="Arial"/>
        </w:rPr>
        <w:t xml:space="preserve"> </w:t>
      </w:r>
      <w:r w:rsidR="74E66BF9" w:rsidRPr="3B627AC3">
        <w:rPr>
          <w:rFonts w:eastAsia="Calibri" w:cs="Arial"/>
        </w:rPr>
        <w:t xml:space="preserve">and the use of the </w:t>
      </w:r>
      <w:r w:rsidRPr="3B627AC3">
        <w:rPr>
          <w:rFonts w:eastAsia="Calibri" w:cs="Arial"/>
        </w:rPr>
        <w:t xml:space="preserve">PERT distribution. </w:t>
      </w:r>
      <w:r w:rsidR="00714A91">
        <w:rPr>
          <w:rFonts w:eastAsia="Calibri" w:cs="Arial"/>
        </w:rPr>
        <w:t xml:space="preserve">The PERT distribution can be characterised by </w:t>
      </w:r>
      <w:r w:rsidR="00B65EDE">
        <w:rPr>
          <w:rFonts w:eastAsia="Calibri" w:cs="Arial"/>
        </w:rPr>
        <w:t>the</w:t>
      </w:r>
      <w:r w:rsidRPr="3B627AC3">
        <w:rPr>
          <w:rFonts w:eastAsia="Calibri" w:cs="Arial"/>
        </w:rPr>
        <w:t xml:space="preserve"> minimum,</w:t>
      </w:r>
      <w:r w:rsidR="4083EFE9" w:rsidRPr="3B627AC3">
        <w:rPr>
          <w:rFonts w:eastAsia="Calibri" w:cs="Arial"/>
        </w:rPr>
        <w:t xml:space="preserve"> mode, maximum, and a shape parameter. </w:t>
      </w:r>
      <w:r w:rsidR="6473156D" w:rsidRPr="00457D0E">
        <w:rPr>
          <w:rFonts w:eastAsia="Calibri" w:cs="Arial"/>
        </w:rPr>
        <w:t xml:space="preserve">The smaller the shape parameter the less informative the distribution is around its mode. </w:t>
      </w:r>
      <w:r w:rsidR="6473156D" w:rsidRPr="00446261">
        <w:rPr>
          <w:rFonts w:eastAsia="Calibri" w:cs="Arial"/>
        </w:rPr>
        <w:t>Figure</w:t>
      </w:r>
      <w:r w:rsidR="6473156D" w:rsidRPr="00B73D3F" w:rsidDel="00B73D3F">
        <w:rPr>
          <w:rFonts w:eastAsia="Calibri" w:cs="Arial"/>
        </w:rPr>
        <w:t xml:space="preserve"> </w:t>
      </w:r>
      <w:r w:rsidR="00B73D3F" w:rsidRPr="00B73D3F">
        <w:rPr>
          <w:rFonts w:eastAsia="Calibri" w:cs="Arial"/>
        </w:rPr>
        <w:t>4</w:t>
      </w:r>
      <w:r w:rsidR="6473156D" w:rsidRPr="00B73D3F">
        <w:rPr>
          <w:rFonts w:eastAsia="Calibri" w:cs="Arial"/>
        </w:rPr>
        <w:t xml:space="preserve"> shows </w:t>
      </w:r>
      <w:r w:rsidR="50887DCB" w:rsidRPr="00B73D3F">
        <w:rPr>
          <w:rFonts w:eastAsia="Calibri" w:cs="Arial"/>
        </w:rPr>
        <w:t>the density of three PERT differences, all with minimum 0, maximum 20</w:t>
      </w:r>
      <w:r w:rsidR="70B9096E" w:rsidRPr="00B73D3F">
        <w:rPr>
          <w:rFonts w:eastAsia="Calibri" w:cs="Arial"/>
        </w:rPr>
        <w:t xml:space="preserve"> (red vertical lines)</w:t>
      </w:r>
      <w:r w:rsidR="50887DCB" w:rsidRPr="00B73D3F">
        <w:rPr>
          <w:rFonts w:eastAsia="Calibri" w:cs="Arial"/>
        </w:rPr>
        <w:t xml:space="preserve"> and mode 5, but with different shape parameter (</w:t>
      </w:r>
      <w:r w:rsidR="364186C8" w:rsidRPr="00B73D3F">
        <w:rPr>
          <w:rFonts w:eastAsia="Calibri" w:cs="Arial"/>
        </w:rPr>
        <w:t xml:space="preserve">4 for solid, 1 for dashed, and 0 for dotted line). </w:t>
      </w:r>
      <w:r w:rsidR="4A2917C5" w:rsidRPr="00B73D3F">
        <w:rPr>
          <w:rFonts w:eastAsia="Calibri" w:cs="Arial"/>
        </w:rPr>
        <w:t xml:space="preserve"> For</w:t>
      </w:r>
      <w:r w:rsidR="4A2917C5" w:rsidRPr="3B627AC3">
        <w:rPr>
          <w:rFonts w:eastAsia="Calibri" w:cs="Arial"/>
        </w:rPr>
        <w:t xml:space="preserve"> the uninformative version of the prior, the </w:t>
      </w:r>
      <w:r w:rsidR="4D55466A" w:rsidRPr="3B627AC3">
        <w:rPr>
          <w:rFonts w:eastAsia="Calibri" w:cs="Arial"/>
        </w:rPr>
        <w:t xml:space="preserve">4 parameters get default values ensuring a wide range and shape parameter 0 (implying the mode is not relevant).  </w:t>
      </w:r>
      <w:r w:rsidR="57D3D5E1" w:rsidRPr="3B627AC3">
        <w:rPr>
          <w:rFonts w:eastAsia="Calibri" w:cs="Arial"/>
        </w:rPr>
        <w:t xml:space="preserve">For the informative version any and ideally all four parameters </w:t>
      </w:r>
      <w:r w:rsidR="4A9F10CD" w:rsidRPr="3B627AC3">
        <w:rPr>
          <w:rFonts w:eastAsia="Calibri" w:cs="Arial"/>
        </w:rPr>
        <w:t xml:space="preserve">of the PERT distribution </w:t>
      </w:r>
      <w:r w:rsidR="57D3D5E1" w:rsidRPr="3B627AC3">
        <w:rPr>
          <w:rFonts w:eastAsia="Calibri" w:cs="Arial"/>
        </w:rPr>
        <w:t>get a value based on a particular source (other historical data, literature, expert</w:t>
      </w:r>
      <w:r w:rsidR="00EB5446">
        <w:rPr>
          <w:rFonts w:eastAsia="Calibri" w:cs="Arial"/>
        </w:rPr>
        <w:t xml:space="preserve"> judgement</w:t>
      </w:r>
      <w:r w:rsidR="57D3D5E1" w:rsidRPr="3B627AC3">
        <w:rPr>
          <w:rFonts w:eastAsia="Calibri" w:cs="Arial"/>
        </w:rPr>
        <w:t>)</w:t>
      </w:r>
      <w:r w:rsidR="2AF2B74C" w:rsidRPr="3B627AC3">
        <w:rPr>
          <w:rFonts w:eastAsia="Calibri" w:cs="Arial"/>
        </w:rPr>
        <w:t xml:space="preserve">. </w:t>
      </w:r>
      <w:r w:rsidR="0091794A">
        <w:rPr>
          <w:rFonts w:eastAsia="Calibri" w:cs="Arial"/>
        </w:rPr>
        <w:t>T</w:t>
      </w:r>
      <w:r w:rsidR="0091794A" w:rsidRPr="3B627AC3">
        <w:rPr>
          <w:rFonts w:eastAsia="Calibri" w:cs="Arial"/>
        </w:rPr>
        <w:t xml:space="preserve">he shape parameter </w:t>
      </w:r>
      <w:r w:rsidR="0091794A">
        <w:rPr>
          <w:rFonts w:eastAsia="Calibri" w:cs="Arial"/>
        </w:rPr>
        <w:t>is the</w:t>
      </w:r>
      <w:r w:rsidR="5FE00BED" w:rsidRPr="3B627AC3">
        <w:rPr>
          <w:rFonts w:eastAsia="Calibri" w:cs="Arial"/>
        </w:rPr>
        <w:t xml:space="preserve"> most difficult to specify</w:t>
      </w:r>
      <w:r w:rsidR="0091794A">
        <w:rPr>
          <w:rFonts w:eastAsia="Calibri" w:cs="Arial"/>
        </w:rPr>
        <w:t xml:space="preserve">; </w:t>
      </w:r>
      <w:r w:rsidR="5FE00BED" w:rsidRPr="3B627AC3">
        <w:rPr>
          <w:rFonts w:eastAsia="Calibri" w:cs="Arial"/>
        </w:rPr>
        <w:t>It can range on a continuous scale, but the user will be offered the possibilit</w:t>
      </w:r>
      <w:r w:rsidR="3CA11470" w:rsidRPr="3B627AC3">
        <w:rPr>
          <w:rFonts w:eastAsia="Calibri" w:cs="Arial"/>
        </w:rPr>
        <w:t xml:space="preserve">y to choose between the values illustrated in </w:t>
      </w:r>
      <w:r w:rsidR="00913C39">
        <w:rPr>
          <w:rFonts w:eastAsia="Calibri" w:cs="Arial"/>
        </w:rPr>
        <w:t>F</w:t>
      </w:r>
      <w:r w:rsidR="3CA11470" w:rsidRPr="3B627AC3">
        <w:rPr>
          <w:rFonts w:eastAsia="Calibri" w:cs="Arial"/>
        </w:rPr>
        <w:t xml:space="preserve">igure </w:t>
      </w:r>
      <w:r w:rsidR="00913C39">
        <w:rPr>
          <w:rFonts w:eastAsia="Calibri" w:cs="Arial"/>
        </w:rPr>
        <w:t>4</w:t>
      </w:r>
      <w:r w:rsidR="6C46C95E" w:rsidRPr="3B627AC3">
        <w:rPr>
          <w:rFonts w:eastAsia="Calibri" w:cs="Arial"/>
        </w:rPr>
        <w:t xml:space="preserve">: </w:t>
      </w:r>
      <w:r w:rsidR="5C700FA8" w:rsidRPr="3B627AC3">
        <w:rPr>
          <w:rFonts w:eastAsia="Calibri" w:cs="Arial"/>
        </w:rPr>
        <w:t xml:space="preserve">shape </w:t>
      </w:r>
      <w:r w:rsidR="134CB410" w:rsidRPr="3B627AC3">
        <w:rPr>
          <w:rFonts w:eastAsia="Calibri" w:cs="Arial"/>
        </w:rPr>
        <w:t xml:space="preserve">value </w:t>
      </w:r>
      <w:r w:rsidR="5C700FA8" w:rsidRPr="3B627AC3">
        <w:rPr>
          <w:rFonts w:eastAsia="Calibri" w:cs="Arial"/>
        </w:rPr>
        <w:t>0 reflecting that there is no knowledge about the mode, shape</w:t>
      </w:r>
      <w:r w:rsidR="0337ABE2" w:rsidRPr="3B627AC3">
        <w:rPr>
          <w:rFonts w:eastAsia="Calibri" w:cs="Arial"/>
        </w:rPr>
        <w:t xml:space="preserve"> value</w:t>
      </w:r>
      <w:r w:rsidR="5C700FA8" w:rsidRPr="3B627AC3">
        <w:rPr>
          <w:rFonts w:eastAsia="Calibri" w:cs="Arial"/>
        </w:rPr>
        <w:t xml:space="preserve"> </w:t>
      </w:r>
      <w:r w:rsidR="3CA11470" w:rsidRPr="3B627AC3">
        <w:rPr>
          <w:rFonts w:eastAsia="Calibri" w:cs="Arial"/>
        </w:rPr>
        <w:t xml:space="preserve">1 </w:t>
      </w:r>
      <w:r w:rsidR="3D85D622" w:rsidRPr="3B627AC3">
        <w:rPr>
          <w:rFonts w:eastAsia="Calibri" w:cs="Arial"/>
        </w:rPr>
        <w:t>reflecting that the</w:t>
      </w:r>
      <w:r w:rsidR="5CD10B9B" w:rsidRPr="3B627AC3">
        <w:rPr>
          <w:rFonts w:eastAsia="Calibri" w:cs="Arial"/>
        </w:rPr>
        <w:t>re is a</w:t>
      </w:r>
      <w:r w:rsidR="3D85D622" w:rsidRPr="3B627AC3">
        <w:rPr>
          <w:rFonts w:eastAsia="Calibri" w:cs="Arial"/>
        </w:rPr>
        <w:t xml:space="preserve"> </w:t>
      </w:r>
      <w:proofErr w:type="gramStart"/>
      <w:r w:rsidR="3D85D622" w:rsidRPr="3B627AC3">
        <w:rPr>
          <w:rFonts w:eastAsia="Calibri" w:cs="Arial"/>
        </w:rPr>
        <w:t>mode</w:t>
      </w:r>
      <w:proofErr w:type="gramEnd"/>
      <w:r w:rsidR="3D85D622" w:rsidRPr="3B627AC3">
        <w:rPr>
          <w:rFonts w:eastAsia="Calibri" w:cs="Arial"/>
        </w:rPr>
        <w:t xml:space="preserve"> but </w:t>
      </w:r>
      <w:r w:rsidR="7EE8214E" w:rsidRPr="3B627AC3">
        <w:rPr>
          <w:rFonts w:eastAsia="Calibri" w:cs="Arial"/>
        </w:rPr>
        <w:t xml:space="preserve">its value is </w:t>
      </w:r>
      <w:r w:rsidR="7982BED0" w:rsidRPr="3B627AC3">
        <w:rPr>
          <w:rFonts w:eastAsia="Calibri" w:cs="Arial"/>
        </w:rPr>
        <w:t xml:space="preserve">uncertain, </w:t>
      </w:r>
      <w:r w:rsidR="7933A6C3" w:rsidRPr="3B627AC3">
        <w:rPr>
          <w:rFonts w:eastAsia="Calibri" w:cs="Arial"/>
        </w:rPr>
        <w:t xml:space="preserve">and </w:t>
      </w:r>
      <w:r w:rsidR="7982BED0" w:rsidRPr="3B627AC3">
        <w:rPr>
          <w:rFonts w:eastAsia="Calibri" w:cs="Arial"/>
        </w:rPr>
        <w:t xml:space="preserve">shape </w:t>
      </w:r>
      <w:r w:rsidR="12CF4D35" w:rsidRPr="3B627AC3">
        <w:rPr>
          <w:rFonts w:eastAsia="Calibri" w:cs="Arial"/>
        </w:rPr>
        <w:t>value 4</w:t>
      </w:r>
      <w:r w:rsidR="7982BED0" w:rsidRPr="3B627AC3">
        <w:rPr>
          <w:rFonts w:eastAsia="Calibri" w:cs="Arial"/>
        </w:rPr>
        <w:t xml:space="preserve"> reflecting that the</w:t>
      </w:r>
      <w:r w:rsidR="13D0E632" w:rsidRPr="3B627AC3">
        <w:rPr>
          <w:rFonts w:eastAsia="Calibri" w:cs="Arial"/>
        </w:rPr>
        <w:t xml:space="preserve"> particular</w:t>
      </w:r>
      <w:r w:rsidR="7982BED0" w:rsidRPr="3B627AC3">
        <w:rPr>
          <w:rFonts w:eastAsia="Calibri" w:cs="Arial"/>
        </w:rPr>
        <w:t xml:space="preserve"> mode is really the most likely value.</w:t>
      </w:r>
    </w:p>
    <w:p w14:paraId="4F0C21B6" w14:textId="1F2CB6B7" w:rsidR="50887DCB" w:rsidRDefault="50887DCB" w:rsidP="00BF0298">
      <w:pPr>
        <w:pStyle w:val="EFSABodytext"/>
        <w:jc w:val="center"/>
      </w:pPr>
      <w:r>
        <w:rPr>
          <w:noProof/>
        </w:rPr>
        <w:drawing>
          <wp:inline distT="0" distB="0" distL="0" distR="0" wp14:anchorId="138F0BB3" wp14:editId="0BED64E3">
            <wp:extent cx="3514725" cy="2782491"/>
            <wp:effectExtent l="0" t="0" r="0" b="0"/>
            <wp:docPr id="1802103806" name="Picture 180210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3514725" cy="2782491"/>
                    </a:xfrm>
                    <a:prstGeom prst="rect">
                      <a:avLst/>
                    </a:prstGeom>
                  </pic:spPr>
                </pic:pic>
              </a:graphicData>
            </a:graphic>
          </wp:inline>
        </w:drawing>
      </w:r>
    </w:p>
    <w:p w14:paraId="6C32C854" w14:textId="68562D73" w:rsidR="607AD07C" w:rsidRDefault="607AD07C" w:rsidP="00852AD4">
      <w:pPr>
        <w:pStyle w:val="EFSAFigurelegend"/>
        <w:jc w:val="center"/>
      </w:pPr>
      <w:r w:rsidRPr="00852AD4">
        <w:t>Figure</w:t>
      </w:r>
      <w:r>
        <w:t xml:space="preserve"> </w:t>
      </w:r>
      <w:r w:rsidR="00CC6101">
        <w:t>4</w:t>
      </w:r>
      <w:r>
        <w:t>: PERT densities with minimum=</w:t>
      </w:r>
      <w:r w:rsidR="780B91E2">
        <w:t xml:space="preserve">0, mode=5, maximum=20 </w:t>
      </w:r>
      <w:r w:rsidR="00B436B5">
        <w:t xml:space="preserve">(vertical red lines) </w:t>
      </w:r>
      <w:r w:rsidR="780B91E2">
        <w:t xml:space="preserve">and shape </w:t>
      </w:r>
    </w:p>
    <w:p w14:paraId="63AED37E" w14:textId="1EDC8D1F" w:rsidR="780B91E2" w:rsidRPr="00852AD4" w:rsidRDefault="780B91E2" w:rsidP="3B627AC3">
      <w:pPr>
        <w:pStyle w:val="EFSAFigurelegend"/>
        <w:jc w:val="center"/>
      </w:pPr>
      <w:r>
        <w:t>varying from 0 (dotted line), 1 (dashed line) to 4 (</w:t>
      </w:r>
      <w:r w:rsidR="193D516C">
        <w:t>solid line</w:t>
      </w:r>
      <w:r>
        <w:t>)</w:t>
      </w:r>
      <w:r w:rsidR="6F82C66D">
        <w:t>.</w:t>
      </w:r>
      <w:r w:rsidR="00B436B5">
        <w:t xml:space="preserve"> </w:t>
      </w:r>
    </w:p>
    <w:p w14:paraId="24BA6F3B" w14:textId="5DE7D65A" w:rsidR="3B627AC3" w:rsidRDefault="3B627AC3" w:rsidP="00852AD4">
      <w:pPr>
        <w:pStyle w:val="EFSABodytext"/>
        <w:rPr>
          <w:rFonts w:eastAsia="Calibri" w:cs="Arial"/>
        </w:rPr>
      </w:pPr>
    </w:p>
    <w:p w14:paraId="1993C2E1" w14:textId="4D1EFB8E" w:rsidR="3B627AC3" w:rsidRDefault="7A0F20C9" w:rsidP="3B627AC3">
      <w:pPr>
        <w:pStyle w:val="EFSABodytext"/>
        <w:rPr>
          <w:rFonts w:eastAsia="Calibri" w:cs="Arial"/>
        </w:rPr>
      </w:pPr>
      <w:r w:rsidRPr="00852AD4">
        <w:rPr>
          <w:rFonts w:eastAsia="Calibri" w:cs="Arial"/>
        </w:rPr>
        <w:t>The</w:t>
      </w:r>
      <w:r w:rsidRPr="3B627AC3">
        <w:rPr>
          <w:rFonts w:eastAsia="Calibri" w:cs="Arial"/>
        </w:rPr>
        <w:t xml:space="preserve"> degree of informativeness of the PERT distribution</w:t>
      </w:r>
      <w:r w:rsidR="47B3363E" w:rsidRPr="3B627AC3">
        <w:rPr>
          <w:rFonts w:eastAsia="Calibri" w:cs="Arial"/>
        </w:rPr>
        <w:t>, for a fixed mode,</w:t>
      </w:r>
      <w:r w:rsidRPr="3B627AC3">
        <w:rPr>
          <w:rFonts w:eastAsia="Calibri" w:cs="Arial"/>
        </w:rPr>
        <w:t xml:space="preserve"> can be governed by </w:t>
      </w:r>
      <w:r w:rsidR="7A82FE24" w:rsidRPr="3B627AC3">
        <w:rPr>
          <w:rFonts w:eastAsia="Calibri" w:cs="Arial"/>
        </w:rPr>
        <w:t>adapting the minimum, the maximum and the shape parameter</w:t>
      </w:r>
      <w:r w:rsidR="1A387C0F" w:rsidRPr="3B627AC3">
        <w:rPr>
          <w:rFonts w:eastAsia="Calibri" w:cs="Arial"/>
        </w:rPr>
        <w:t xml:space="preserve">; the degree diminishes with choosing a smaller minimum, a higher </w:t>
      </w:r>
      <w:proofErr w:type="gramStart"/>
      <w:r w:rsidR="1A387C0F" w:rsidRPr="3B627AC3">
        <w:rPr>
          <w:rFonts w:eastAsia="Calibri" w:cs="Arial"/>
        </w:rPr>
        <w:t>maximum</w:t>
      </w:r>
      <w:proofErr w:type="gramEnd"/>
      <w:r w:rsidR="1A387C0F" w:rsidRPr="3B627AC3">
        <w:rPr>
          <w:rFonts w:eastAsia="Calibri" w:cs="Arial"/>
        </w:rPr>
        <w:t xml:space="preserve"> or a smaller shape parameter.</w:t>
      </w:r>
      <w:r w:rsidR="201AE051" w:rsidRPr="3B627AC3">
        <w:rPr>
          <w:rFonts w:eastAsia="Calibri" w:cs="Arial"/>
        </w:rPr>
        <w:t xml:space="preserve"> </w:t>
      </w:r>
      <w:r w:rsidR="00DC49BF">
        <w:rPr>
          <w:rFonts w:eastAsia="Calibri" w:cs="Arial"/>
        </w:rPr>
        <w:t xml:space="preserve">In </w:t>
      </w:r>
      <w:r w:rsidR="00EA5AED">
        <w:rPr>
          <w:rFonts w:eastAsia="Calibri" w:cs="Arial"/>
        </w:rPr>
        <w:fldChar w:fldCharType="begin"/>
      </w:r>
      <w:r w:rsidR="00EA5AED">
        <w:rPr>
          <w:rFonts w:eastAsia="Calibri" w:cs="Arial"/>
        </w:rPr>
        <w:instrText xml:space="preserve"> REF _Ref94100866 \r \h </w:instrText>
      </w:r>
      <w:r w:rsidR="00EA5AED">
        <w:rPr>
          <w:rFonts w:eastAsia="Calibri" w:cs="Arial"/>
        </w:rPr>
      </w:r>
      <w:r w:rsidR="00EA5AED">
        <w:rPr>
          <w:rFonts w:eastAsia="Calibri" w:cs="Arial"/>
        </w:rPr>
        <w:fldChar w:fldCharType="separate"/>
      </w:r>
      <w:r w:rsidR="00EA5AED">
        <w:rPr>
          <w:rFonts w:eastAsia="Calibri" w:cs="Arial"/>
        </w:rPr>
        <w:t>Appendix C –</w:t>
      </w:r>
      <w:r w:rsidR="00EA5AED">
        <w:rPr>
          <w:rFonts w:eastAsia="Calibri" w:cs="Arial"/>
        </w:rPr>
        <w:fldChar w:fldCharType="end"/>
      </w:r>
      <w:r w:rsidR="00EA5AED" w:rsidRPr="00EA5AED">
        <w:t xml:space="preserve"> </w:t>
      </w:r>
      <w:r w:rsidR="00EA5AED" w:rsidRPr="00EA5AED">
        <w:rPr>
          <w:rFonts w:eastAsia="Calibri" w:cs="Arial"/>
        </w:rPr>
        <w:t xml:space="preserve">Example generated based on </w:t>
      </w:r>
      <w:r w:rsidR="003F4104">
        <w:rPr>
          <w:rFonts w:eastAsia="Calibri" w:cs="Arial"/>
        </w:rPr>
        <w:t>F</w:t>
      </w:r>
      <w:r w:rsidR="00EA5AED" w:rsidRPr="00EA5AED">
        <w:rPr>
          <w:rFonts w:eastAsia="Calibri" w:cs="Arial"/>
        </w:rPr>
        <w:t>igure</w:t>
      </w:r>
      <w:r w:rsidR="00EB1A6F">
        <w:rPr>
          <w:rFonts w:eastAsia="Calibri" w:cs="Arial"/>
        </w:rPr>
        <w:t xml:space="preserve"> </w:t>
      </w:r>
      <w:r w:rsidR="003F4104">
        <w:rPr>
          <w:rFonts w:eastAsia="Calibri" w:cs="Arial"/>
        </w:rPr>
        <w:t>3.</w:t>
      </w:r>
      <w:r w:rsidR="003F4104" w:rsidRPr="00EA5AED">
        <w:rPr>
          <w:rFonts w:eastAsia="Calibri" w:cs="Arial"/>
        </w:rPr>
        <w:t>2</w:t>
      </w:r>
      <w:r w:rsidR="003F4104">
        <w:rPr>
          <w:rFonts w:eastAsia="Calibri" w:cs="Arial"/>
        </w:rPr>
        <w:t xml:space="preserve"> </w:t>
      </w:r>
      <w:r w:rsidR="00EB1A6F">
        <w:rPr>
          <w:rFonts w:eastAsia="Calibri" w:cs="Arial"/>
        </w:rPr>
        <w:t xml:space="preserve">the role of priors is explored. The </w:t>
      </w:r>
      <w:r w:rsidR="00651333">
        <w:rPr>
          <w:rFonts w:eastAsia="Calibri" w:cs="Arial"/>
        </w:rPr>
        <w:t xml:space="preserve">data analysed contain scarce information </w:t>
      </w:r>
      <w:r w:rsidR="00011FD5">
        <w:rPr>
          <w:rFonts w:eastAsia="Calibri" w:cs="Arial"/>
        </w:rPr>
        <w:t>on how the response depends on the dose to move from the response at the control group to the maxim</w:t>
      </w:r>
      <w:r w:rsidR="00065A11">
        <w:rPr>
          <w:rFonts w:eastAsia="Calibri" w:cs="Arial"/>
        </w:rPr>
        <w:t xml:space="preserve">um response trigger by </w:t>
      </w:r>
      <w:r w:rsidR="0067412A">
        <w:rPr>
          <w:rFonts w:eastAsia="Calibri" w:cs="Arial"/>
        </w:rPr>
        <w:t>the experimental</w:t>
      </w:r>
      <w:r w:rsidR="00065A11">
        <w:rPr>
          <w:rFonts w:eastAsia="Calibri" w:cs="Arial"/>
        </w:rPr>
        <w:t xml:space="preserve"> dose</w:t>
      </w:r>
      <w:r w:rsidR="0067412A">
        <w:rPr>
          <w:rFonts w:eastAsia="Calibri" w:cs="Arial"/>
        </w:rPr>
        <w:t xml:space="preserve"> used</w:t>
      </w:r>
      <w:r w:rsidR="00065A11">
        <w:rPr>
          <w:rFonts w:eastAsia="Calibri" w:cs="Arial"/>
        </w:rPr>
        <w:t xml:space="preserve">. </w:t>
      </w:r>
      <w:r w:rsidR="0067412A">
        <w:rPr>
          <w:rFonts w:eastAsia="Calibri" w:cs="Arial"/>
        </w:rPr>
        <w:t xml:space="preserve">The model results </w:t>
      </w:r>
      <w:r w:rsidR="007D12D1">
        <w:rPr>
          <w:rFonts w:eastAsia="Calibri" w:cs="Arial"/>
        </w:rPr>
        <w:t xml:space="preserve">considering uninformative priors </w:t>
      </w:r>
      <w:r w:rsidR="001C65CC">
        <w:rPr>
          <w:rFonts w:eastAsia="Calibri" w:cs="Arial"/>
        </w:rPr>
        <w:t xml:space="preserve">provide uncertain </w:t>
      </w:r>
      <w:r w:rsidR="009C0701">
        <w:rPr>
          <w:rFonts w:eastAsia="Calibri" w:cs="Arial"/>
        </w:rPr>
        <w:t>estimates of the BMD</w:t>
      </w:r>
      <w:r w:rsidR="00303553">
        <w:rPr>
          <w:rFonts w:eastAsia="Calibri" w:cs="Arial"/>
        </w:rPr>
        <w:t xml:space="preserve"> (ratio between BMDU and BMDL </w:t>
      </w:r>
      <w:r w:rsidR="00A7502F">
        <w:rPr>
          <w:rFonts w:eastAsia="Calibri" w:cs="Arial"/>
        </w:rPr>
        <w:t xml:space="preserve">larger than </w:t>
      </w:r>
      <w:r w:rsidR="00F13C8F">
        <w:rPr>
          <w:rFonts w:eastAsia="Calibri" w:cs="Arial"/>
        </w:rPr>
        <w:t>70</w:t>
      </w:r>
      <w:r w:rsidR="003E6D94">
        <w:rPr>
          <w:rFonts w:eastAsia="Calibri" w:cs="Arial"/>
        </w:rPr>
        <w:t xml:space="preserve">, and for the Laplace approximation </w:t>
      </w:r>
      <w:r w:rsidR="001542DE">
        <w:rPr>
          <w:rFonts w:eastAsia="Calibri" w:cs="Arial"/>
        </w:rPr>
        <w:t xml:space="preserve">very large </w:t>
      </w:r>
      <w:r w:rsidR="00312A51">
        <w:rPr>
          <w:rFonts w:eastAsia="Calibri" w:cs="Arial"/>
        </w:rPr>
        <w:t>values</w:t>
      </w:r>
      <w:r w:rsidR="00303553">
        <w:rPr>
          <w:rFonts w:eastAsia="Calibri" w:cs="Arial"/>
        </w:rPr>
        <w:t>)</w:t>
      </w:r>
      <w:r w:rsidR="009C0701">
        <w:rPr>
          <w:rFonts w:eastAsia="Calibri" w:cs="Arial"/>
        </w:rPr>
        <w:t xml:space="preserve"> </w:t>
      </w:r>
      <w:r w:rsidR="00F03EB1">
        <w:rPr>
          <w:rFonts w:eastAsia="Calibri" w:cs="Arial"/>
        </w:rPr>
        <w:t xml:space="preserve">with lower bounds that </w:t>
      </w:r>
      <w:r w:rsidR="00F368D6">
        <w:rPr>
          <w:rFonts w:eastAsia="Calibri" w:cs="Arial"/>
        </w:rPr>
        <w:t xml:space="preserve">in general are </w:t>
      </w:r>
      <w:r w:rsidR="00AE5F04">
        <w:rPr>
          <w:rFonts w:eastAsia="Calibri" w:cs="Arial"/>
        </w:rPr>
        <w:t>very close to the control group</w:t>
      </w:r>
      <w:r w:rsidR="00170044">
        <w:rPr>
          <w:rFonts w:eastAsia="Calibri" w:cs="Arial"/>
        </w:rPr>
        <w:t>.</w:t>
      </w:r>
      <w:r w:rsidR="000B5E4A">
        <w:rPr>
          <w:rFonts w:eastAsia="Calibri" w:cs="Arial"/>
        </w:rPr>
        <w:t xml:space="preserve"> </w:t>
      </w:r>
      <w:r w:rsidR="00366AD9">
        <w:rPr>
          <w:rFonts w:eastAsia="Calibri" w:cs="Arial"/>
        </w:rPr>
        <w:t xml:space="preserve">Then several informative priors were </w:t>
      </w:r>
      <w:r w:rsidR="00A3229C">
        <w:rPr>
          <w:rFonts w:eastAsia="Calibri" w:cs="Arial"/>
        </w:rPr>
        <w:t xml:space="preserve">considered, </w:t>
      </w:r>
      <w:r w:rsidR="00647922">
        <w:rPr>
          <w:rFonts w:eastAsia="Calibri" w:cs="Arial"/>
        </w:rPr>
        <w:t>first restricting the range in which the BMD should be and later including information on where the most likely value would be</w:t>
      </w:r>
      <w:r w:rsidR="00DE43D1">
        <w:rPr>
          <w:rFonts w:eastAsia="Calibri" w:cs="Arial"/>
        </w:rPr>
        <w:t>. The results</w:t>
      </w:r>
      <w:r w:rsidR="00CF0222">
        <w:rPr>
          <w:rFonts w:eastAsia="Calibri" w:cs="Arial"/>
        </w:rPr>
        <w:t xml:space="preserve"> clearly indicate </w:t>
      </w:r>
      <w:r w:rsidR="00266550">
        <w:rPr>
          <w:rFonts w:eastAsia="Calibri" w:cs="Arial"/>
        </w:rPr>
        <w:t>gaining precision on BMD estimation</w:t>
      </w:r>
      <w:r w:rsidR="00A520EB">
        <w:rPr>
          <w:rFonts w:eastAsia="Calibri" w:cs="Arial"/>
        </w:rPr>
        <w:t>, but as well that</w:t>
      </w:r>
      <w:r w:rsidR="00BE1C35">
        <w:rPr>
          <w:rFonts w:eastAsia="Calibri" w:cs="Arial"/>
        </w:rPr>
        <w:t xml:space="preserve"> it should be used with</w:t>
      </w:r>
      <w:r w:rsidR="00A520EB">
        <w:rPr>
          <w:rFonts w:eastAsia="Calibri" w:cs="Arial"/>
        </w:rPr>
        <w:t xml:space="preserve"> caution</w:t>
      </w:r>
      <w:r w:rsidR="00BE1C35">
        <w:rPr>
          <w:rFonts w:eastAsia="Calibri" w:cs="Arial"/>
        </w:rPr>
        <w:t xml:space="preserve">, since </w:t>
      </w:r>
      <w:r w:rsidR="0023420C">
        <w:rPr>
          <w:rFonts w:eastAsia="Calibri" w:cs="Arial"/>
        </w:rPr>
        <w:t>a miss</w:t>
      </w:r>
      <w:r w:rsidR="00E272E4">
        <w:rPr>
          <w:rFonts w:eastAsia="Calibri" w:cs="Arial"/>
        </w:rPr>
        <w:t>pecification of the location of the BMD</w:t>
      </w:r>
      <w:r w:rsidR="00A35486">
        <w:rPr>
          <w:rFonts w:eastAsia="Calibri" w:cs="Arial"/>
        </w:rPr>
        <w:t xml:space="preserve"> when using informative priors might induce bias in the estimation of the BMD.</w:t>
      </w:r>
    </w:p>
    <w:p w14:paraId="1D7F5C34" w14:textId="77777777" w:rsidR="000E2C94" w:rsidRDefault="000E2C94" w:rsidP="3B627AC3">
      <w:pPr>
        <w:pStyle w:val="EFSABodytext"/>
        <w:rPr>
          <w:i/>
          <w:iCs/>
        </w:rPr>
      </w:pPr>
    </w:p>
    <w:p w14:paraId="5CC98A8F" w14:textId="6FC58096" w:rsidR="0012057F" w:rsidRPr="009747BA" w:rsidRDefault="00703D26" w:rsidP="00D02812">
      <w:pPr>
        <w:pStyle w:val="EFSAHeading3"/>
        <w:ind w:left="851" w:hanging="851"/>
      </w:pPr>
      <w:bookmarkStart w:id="64" w:name="_Toc94255345"/>
      <w:bookmarkStart w:id="65" w:name="_Toc229469389"/>
      <w:bookmarkStart w:id="66" w:name="_Toc232584116"/>
      <w:r>
        <w:t xml:space="preserve">Using Bayesian model averaging to estimate the BMD and </w:t>
      </w:r>
      <w:r w:rsidR="005A32F0">
        <w:t xml:space="preserve">calculate its credible </w:t>
      </w:r>
      <w:r w:rsidR="0012057F">
        <w:t>interval</w:t>
      </w:r>
      <w:bookmarkEnd w:id="64"/>
      <w:r w:rsidR="0012057F">
        <w:t xml:space="preserve"> </w:t>
      </w:r>
      <w:bookmarkEnd w:id="65"/>
      <w:bookmarkEnd w:id="66"/>
    </w:p>
    <w:p w14:paraId="007DCDA8" w14:textId="768E55B4" w:rsidR="0012057F" w:rsidRPr="00BA3A43" w:rsidRDefault="00F04C8A" w:rsidP="00E07A63">
      <w:pPr>
        <w:spacing w:line="240" w:lineRule="auto"/>
        <w:jc w:val="both"/>
        <w:rPr>
          <w:rFonts w:ascii="Tahoma" w:hAnsi="Tahoma" w:cs="Tahoma"/>
          <w:sz w:val="20"/>
          <w:szCs w:val="20"/>
        </w:rPr>
      </w:pPr>
      <w:r>
        <w:rPr>
          <w:rFonts w:ascii="Tahoma" w:hAnsi="Tahoma" w:cs="Tahoma"/>
          <w:sz w:val="20"/>
          <w:szCs w:val="20"/>
        </w:rPr>
        <w:t xml:space="preserve">In </w:t>
      </w:r>
      <w:r w:rsidR="000D0828">
        <w:rPr>
          <w:rFonts w:ascii="Tahoma" w:hAnsi="Tahoma" w:cs="Tahoma"/>
          <w:sz w:val="20"/>
          <w:szCs w:val="20"/>
        </w:rPr>
        <w:fldChar w:fldCharType="begin"/>
      </w:r>
      <w:r w:rsidR="000D0828">
        <w:rPr>
          <w:rFonts w:ascii="Tahoma" w:hAnsi="Tahoma" w:cs="Tahoma"/>
          <w:sz w:val="20"/>
          <w:szCs w:val="20"/>
        </w:rPr>
        <w:instrText xml:space="preserve"> REF _Ref94100866 \r \h </w:instrText>
      </w:r>
      <w:r w:rsidR="000D0828">
        <w:rPr>
          <w:rFonts w:ascii="Tahoma" w:hAnsi="Tahoma" w:cs="Tahoma"/>
          <w:sz w:val="20"/>
          <w:szCs w:val="20"/>
        </w:rPr>
      </w:r>
      <w:r w:rsidR="000D0828">
        <w:rPr>
          <w:rFonts w:ascii="Tahoma" w:hAnsi="Tahoma" w:cs="Tahoma"/>
          <w:sz w:val="20"/>
          <w:szCs w:val="20"/>
        </w:rPr>
        <w:fldChar w:fldCharType="separate"/>
      </w:r>
      <w:r w:rsidR="000D0828">
        <w:rPr>
          <w:rFonts w:ascii="Tahoma" w:hAnsi="Tahoma" w:cs="Tahoma"/>
          <w:sz w:val="20"/>
          <w:szCs w:val="20"/>
        </w:rPr>
        <w:t>Appendix C –</w:t>
      </w:r>
      <w:r w:rsidR="000D0828">
        <w:rPr>
          <w:rFonts w:ascii="Tahoma" w:hAnsi="Tahoma" w:cs="Tahoma"/>
          <w:sz w:val="20"/>
          <w:szCs w:val="20"/>
        </w:rPr>
        <w:fldChar w:fldCharType="end"/>
      </w:r>
      <w:r w:rsidR="000D0828" w:rsidRPr="000D0828">
        <w:t xml:space="preserve"> </w:t>
      </w:r>
      <w:r w:rsidR="000D0828" w:rsidRPr="000D0828">
        <w:rPr>
          <w:rFonts w:ascii="Tahoma" w:hAnsi="Tahoma" w:cs="Tahoma"/>
          <w:sz w:val="20"/>
          <w:szCs w:val="20"/>
        </w:rPr>
        <w:t>The Body Weight Example in the 2017 EFSA Guidance Update</w:t>
      </w:r>
      <w:r w:rsidR="00082570">
        <w:rPr>
          <w:rFonts w:ascii="Tahoma" w:hAnsi="Tahoma" w:cs="Tahoma"/>
          <w:sz w:val="20"/>
          <w:szCs w:val="20"/>
        </w:rPr>
        <w:t>,</w:t>
      </w:r>
      <w:r w:rsidR="000D0828">
        <w:rPr>
          <w:rFonts w:ascii="Tahoma" w:hAnsi="Tahoma" w:cs="Tahoma"/>
          <w:sz w:val="20"/>
          <w:szCs w:val="20"/>
        </w:rPr>
        <w:t xml:space="preserve"> and </w:t>
      </w:r>
      <w:r w:rsidR="000D0828">
        <w:rPr>
          <w:rFonts w:ascii="Tahoma" w:hAnsi="Tahoma" w:cs="Tahoma"/>
          <w:sz w:val="20"/>
          <w:szCs w:val="20"/>
        </w:rPr>
        <w:fldChar w:fldCharType="begin"/>
      </w:r>
      <w:r w:rsidR="000D0828">
        <w:rPr>
          <w:rFonts w:ascii="Tahoma" w:hAnsi="Tahoma" w:cs="Tahoma"/>
          <w:sz w:val="20"/>
          <w:szCs w:val="20"/>
        </w:rPr>
        <w:instrText xml:space="preserve"> REF _Ref94101213 \r \h </w:instrText>
      </w:r>
      <w:r w:rsidR="000D0828">
        <w:rPr>
          <w:rFonts w:ascii="Tahoma" w:hAnsi="Tahoma" w:cs="Tahoma"/>
          <w:sz w:val="20"/>
          <w:szCs w:val="20"/>
        </w:rPr>
      </w:r>
      <w:r w:rsidR="000D0828">
        <w:rPr>
          <w:rFonts w:ascii="Tahoma" w:hAnsi="Tahoma" w:cs="Tahoma"/>
          <w:sz w:val="20"/>
          <w:szCs w:val="20"/>
        </w:rPr>
        <w:fldChar w:fldCharType="separate"/>
      </w:r>
      <w:r w:rsidR="000D0828">
        <w:rPr>
          <w:rFonts w:ascii="Tahoma" w:hAnsi="Tahoma" w:cs="Tahoma"/>
          <w:sz w:val="20"/>
          <w:szCs w:val="20"/>
        </w:rPr>
        <w:t>Appendix D –</w:t>
      </w:r>
      <w:r w:rsidR="000D0828">
        <w:rPr>
          <w:rFonts w:ascii="Tahoma" w:hAnsi="Tahoma" w:cs="Tahoma"/>
          <w:sz w:val="20"/>
          <w:szCs w:val="20"/>
        </w:rPr>
        <w:fldChar w:fldCharType="end"/>
      </w:r>
      <w:r w:rsidR="000D0828" w:rsidRPr="000D0828">
        <w:t xml:space="preserve"> </w:t>
      </w:r>
      <w:r w:rsidR="000D0828" w:rsidRPr="000D0828">
        <w:rPr>
          <w:rFonts w:ascii="Tahoma" w:hAnsi="Tahoma" w:cs="Tahoma"/>
          <w:sz w:val="20"/>
          <w:szCs w:val="20"/>
        </w:rPr>
        <w:t>Thyroid epithelial cell vacuolisation data in the 2017 EFSA Guidance Update</w:t>
      </w:r>
      <w:r w:rsidR="00082570">
        <w:rPr>
          <w:rFonts w:ascii="Tahoma" w:hAnsi="Tahoma" w:cs="Tahoma"/>
          <w:sz w:val="20"/>
          <w:szCs w:val="20"/>
        </w:rPr>
        <w:t>,</w:t>
      </w:r>
      <w:r w:rsidR="00857733">
        <w:rPr>
          <w:rFonts w:ascii="Tahoma" w:hAnsi="Tahoma" w:cs="Tahoma"/>
          <w:sz w:val="20"/>
          <w:szCs w:val="20"/>
        </w:rPr>
        <w:t xml:space="preserve"> the results of Bayesian model averaging for </w:t>
      </w:r>
      <w:r w:rsidR="00482504">
        <w:rPr>
          <w:rFonts w:ascii="Tahoma" w:hAnsi="Tahoma" w:cs="Tahoma"/>
          <w:sz w:val="20"/>
          <w:szCs w:val="20"/>
        </w:rPr>
        <w:t xml:space="preserve">previously analysed </w:t>
      </w:r>
      <w:r w:rsidR="00857733">
        <w:rPr>
          <w:rFonts w:ascii="Tahoma" w:hAnsi="Tahoma" w:cs="Tahoma"/>
          <w:sz w:val="20"/>
          <w:szCs w:val="20"/>
        </w:rPr>
        <w:t>continuous and quantal data are presented</w:t>
      </w:r>
      <w:r w:rsidR="00482504">
        <w:rPr>
          <w:rFonts w:ascii="Tahoma" w:hAnsi="Tahoma" w:cs="Tahoma"/>
          <w:sz w:val="20"/>
          <w:szCs w:val="20"/>
        </w:rPr>
        <w:t xml:space="preserve">. </w:t>
      </w:r>
      <w:r w:rsidR="00002DB7">
        <w:rPr>
          <w:rFonts w:ascii="Tahoma" w:hAnsi="Tahoma" w:cs="Tahoma"/>
          <w:sz w:val="20"/>
          <w:szCs w:val="20"/>
        </w:rPr>
        <w:t xml:space="preserve">The results obtained are compared </w:t>
      </w:r>
      <w:r w:rsidR="00BC4EA2">
        <w:rPr>
          <w:rFonts w:ascii="Tahoma" w:hAnsi="Tahoma" w:cs="Tahoma"/>
          <w:sz w:val="20"/>
          <w:szCs w:val="20"/>
        </w:rPr>
        <w:t>to</w:t>
      </w:r>
      <w:r w:rsidR="00002DB7">
        <w:rPr>
          <w:rFonts w:ascii="Tahoma" w:hAnsi="Tahoma" w:cs="Tahoma"/>
          <w:sz w:val="20"/>
          <w:szCs w:val="20"/>
        </w:rPr>
        <w:t xml:space="preserve"> the previously reported results considering </w:t>
      </w:r>
      <w:r w:rsidR="0044730C">
        <w:rPr>
          <w:rFonts w:ascii="Tahoma" w:hAnsi="Tahoma" w:cs="Tahoma"/>
          <w:sz w:val="20"/>
          <w:szCs w:val="20"/>
        </w:rPr>
        <w:t xml:space="preserve">the frequentist approach </w:t>
      </w:r>
      <w:r w:rsidR="00D57AD7">
        <w:rPr>
          <w:rFonts w:ascii="Tahoma" w:hAnsi="Tahoma" w:cs="Tahoma"/>
          <w:sz w:val="20"/>
          <w:szCs w:val="20"/>
        </w:rPr>
        <w:t xml:space="preserve">provided </w:t>
      </w:r>
      <w:r w:rsidR="00333819">
        <w:rPr>
          <w:rFonts w:ascii="Tahoma" w:hAnsi="Tahoma" w:cs="Tahoma"/>
          <w:sz w:val="20"/>
          <w:szCs w:val="20"/>
        </w:rPr>
        <w:t>by</w:t>
      </w:r>
      <w:r w:rsidR="00D57AD7">
        <w:rPr>
          <w:rFonts w:ascii="Tahoma" w:hAnsi="Tahoma" w:cs="Tahoma"/>
          <w:sz w:val="20"/>
          <w:szCs w:val="20"/>
        </w:rPr>
        <w:t xml:space="preserve"> PROAST</w:t>
      </w:r>
      <w:r w:rsidR="00BC4EA2">
        <w:rPr>
          <w:rFonts w:ascii="Tahoma" w:hAnsi="Tahoma" w:cs="Tahoma"/>
          <w:sz w:val="20"/>
          <w:szCs w:val="20"/>
        </w:rPr>
        <w:t>.</w:t>
      </w:r>
      <w:r w:rsidR="00D57AD7">
        <w:rPr>
          <w:rFonts w:ascii="Tahoma" w:hAnsi="Tahoma" w:cs="Tahoma"/>
          <w:sz w:val="20"/>
          <w:szCs w:val="20"/>
        </w:rPr>
        <w:t xml:space="preserve"> </w:t>
      </w:r>
      <w:r w:rsidR="00BC4EA2">
        <w:rPr>
          <w:rFonts w:ascii="Tahoma" w:hAnsi="Tahoma" w:cs="Tahoma"/>
          <w:sz w:val="20"/>
          <w:szCs w:val="20"/>
        </w:rPr>
        <w:t>The resulting credible interva</w:t>
      </w:r>
      <w:r w:rsidR="005832CA">
        <w:rPr>
          <w:rFonts w:ascii="Tahoma" w:hAnsi="Tahoma" w:cs="Tahoma"/>
          <w:sz w:val="20"/>
          <w:szCs w:val="20"/>
        </w:rPr>
        <w:t xml:space="preserve">l for the Bayesian model averaging produced </w:t>
      </w:r>
      <w:r w:rsidR="00C35BCF">
        <w:rPr>
          <w:rFonts w:ascii="Tahoma" w:hAnsi="Tahoma" w:cs="Tahoma"/>
          <w:sz w:val="20"/>
          <w:szCs w:val="20"/>
        </w:rPr>
        <w:t>similar results to those ob</w:t>
      </w:r>
      <w:r w:rsidR="0007415F">
        <w:rPr>
          <w:rFonts w:ascii="Tahoma" w:hAnsi="Tahoma" w:cs="Tahoma"/>
          <w:sz w:val="20"/>
          <w:szCs w:val="20"/>
        </w:rPr>
        <w:t>tained using a frequentist paradigm.</w:t>
      </w:r>
      <w:r w:rsidR="00F71147">
        <w:rPr>
          <w:rFonts w:ascii="Tahoma" w:hAnsi="Tahoma" w:cs="Tahoma"/>
          <w:sz w:val="20"/>
          <w:szCs w:val="20"/>
        </w:rPr>
        <w:t xml:space="preserve"> For the continuous example the results obtained considering both procedures are the same, </w:t>
      </w:r>
      <w:r w:rsidR="00447075">
        <w:rPr>
          <w:rFonts w:ascii="Tahoma" w:hAnsi="Tahoma" w:cs="Tahoma"/>
          <w:sz w:val="20"/>
          <w:szCs w:val="20"/>
        </w:rPr>
        <w:t xml:space="preserve">while </w:t>
      </w:r>
      <w:r w:rsidR="001D7EF5">
        <w:rPr>
          <w:rFonts w:ascii="Tahoma" w:hAnsi="Tahoma" w:cs="Tahoma"/>
          <w:sz w:val="20"/>
          <w:szCs w:val="20"/>
        </w:rPr>
        <w:t>for quantal data</w:t>
      </w:r>
      <w:r w:rsidR="00AA4613">
        <w:rPr>
          <w:rFonts w:ascii="Tahoma" w:hAnsi="Tahoma" w:cs="Tahoma"/>
          <w:sz w:val="20"/>
          <w:szCs w:val="20"/>
        </w:rPr>
        <w:t>, a</w:t>
      </w:r>
      <w:r w:rsidR="001D7EF5">
        <w:rPr>
          <w:rFonts w:ascii="Tahoma" w:hAnsi="Tahoma" w:cs="Tahoma"/>
          <w:sz w:val="20"/>
          <w:szCs w:val="20"/>
        </w:rPr>
        <w:t xml:space="preserve"> slightly more precise estimate</w:t>
      </w:r>
      <w:r w:rsidR="003B07B1">
        <w:rPr>
          <w:rFonts w:ascii="Tahoma" w:hAnsi="Tahoma" w:cs="Tahoma"/>
          <w:sz w:val="20"/>
          <w:szCs w:val="20"/>
        </w:rPr>
        <w:t xml:space="preserve"> of the BMD is ob</w:t>
      </w:r>
      <w:r w:rsidR="0037294E">
        <w:rPr>
          <w:rFonts w:ascii="Tahoma" w:hAnsi="Tahoma" w:cs="Tahoma"/>
          <w:sz w:val="20"/>
          <w:szCs w:val="20"/>
        </w:rPr>
        <w:t xml:space="preserve">tained when Bayesian model averaging is used, </w:t>
      </w:r>
      <w:r w:rsidR="00B31701">
        <w:rPr>
          <w:rFonts w:ascii="Tahoma" w:hAnsi="Tahoma" w:cs="Tahoma"/>
          <w:sz w:val="20"/>
          <w:szCs w:val="20"/>
        </w:rPr>
        <w:t>especially</w:t>
      </w:r>
      <w:r w:rsidR="0037294E">
        <w:rPr>
          <w:rFonts w:ascii="Tahoma" w:hAnsi="Tahoma" w:cs="Tahoma"/>
          <w:sz w:val="20"/>
          <w:szCs w:val="20"/>
        </w:rPr>
        <w:t xml:space="preserve"> if </w:t>
      </w:r>
      <w:r w:rsidR="009A05A3">
        <w:rPr>
          <w:rFonts w:ascii="Tahoma" w:hAnsi="Tahoma" w:cs="Tahoma"/>
          <w:sz w:val="20"/>
          <w:szCs w:val="20"/>
        </w:rPr>
        <w:t>the estimation is done using Bridge sampling.</w:t>
      </w:r>
    </w:p>
    <w:p w14:paraId="1F21EEBD" w14:textId="2FD87BA5" w:rsidR="0012057F" w:rsidRPr="0012057F" w:rsidRDefault="7DAAF7AE" w:rsidP="0012057F">
      <w:pPr>
        <w:pStyle w:val="EFSABodytext"/>
        <w:rPr>
          <w:i/>
        </w:rPr>
      </w:pPr>
      <w:r w:rsidRPr="3CE12EA1">
        <w:rPr>
          <w:i/>
          <w:iCs/>
        </w:rPr>
        <w:t>T</w:t>
      </w:r>
      <w:r w:rsidR="09BF87DC" w:rsidRPr="3CE12EA1">
        <w:rPr>
          <w:i/>
          <w:iCs/>
        </w:rPr>
        <w:t>he</w:t>
      </w:r>
      <w:r w:rsidR="00311F4B">
        <w:rPr>
          <w:i/>
        </w:rPr>
        <w:t xml:space="preserve"> BMDL as RP and alternative solutions</w:t>
      </w:r>
    </w:p>
    <w:p w14:paraId="32FF583C" w14:textId="5CAB5868" w:rsidR="003160BB" w:rsidRPr="00EB0057" w:rsidRDefault="003160BB" w:rsidP="003160BB">
      <w:pPr>
        <w:pStyle w:val="EFSABodytext"/>
        <w:rPr>
          <w:rFonts w:cs="Tahoma"/>
          <w:lang w:val="en-US"/>
        </w:rPr>
      </w:pPr>
      <w:r w:rsidRPr="007021C1">
        <w:rPr>
          <w:rFonts w:cs="Tahoma"/>
          <w:lang w:val="en-US"/>
        </w:rPr>
        <w:t xml:space="preserve">Although a given dataset was considered suitable for/worth modelling during the problem formulation step (see </w:t>
      </w:r>
      <w:r w:rsidR="00A876D7" w:rsidRPr="007021C1">
        <w:rPr>
          <w:rFonts w:cs="Tahoma"/>
          <w:lang w:val="en-US"/>
        </w:rPr>
        <w:t>S</w:t>
      </w:r>
      <w:r w:rsidRPr="007021C1">
        <w:rPr>
          <w:rFonts w:cs="Tahoma"/>
          <w:lang w:val="en-US"/>
        </w:rPr>
        <w:t>ection 2.6.3), in some instances the outcome of the Bayesian model averaging will result in a BMD credible interval considered as too broad (too much uncertainty around the most likely BMD) for the purpose of the risk assessment.</w:t>
      </w:r>
      <w:r w:rsidR="005D2AEB" w:rsidRPr="007021C1">
        <w:rPr>
          <w:rFonts w:cs="Tahoma"/>
          <w:lang w:val="en-US"/>
        </w:rPr>
        <w:t xml:space="preserve"> </w:t>
      </w:r>
      <w:r w:rsidRPr="007021C1">
        <w:rPr>
          <w:rFonts w:cs="Tahoma"/>
          <w:lang w:val="en-US"/>
        </w:rPr>
        <w:t xml:space="preserve">Advice to judge the modelling outcome has been given manifold in statistical, toxicological and regulatory literature since the beginning of the use of the BMD approach for risk assessment, see </w:t>
      </w:r>
      <w:proofErr w:type="gramStart"/>
      <w:r w:rsidRPr="007021C1">
        <w:rPr>
          <w:rFonts w:cs="Tahoma"/>
          <w:lang w:val="en-US"/>
        </w:rPr>
        <w:t>e.g.</w:t>
      </w:r>
      <w:proofErr w:type="gramEnd"/>
      <w:r w:rsidRPr="007021C1">
        <w:rPr>
          <w:rFonts w:cs="Tahoma"/>
          <w:lang w:val="en-US"/>
        </w:rPr>
        <w:t xml:space="preserve"> </w:t>
      </w:r>
      <w:r w:rsidRPr="0040164E">
        <w:rPr>
          <w:rFonts w:cs="Tahoma"/>
          <w:highlight w:val="yellow"/>
          <w:lang w:val="en-US"/>
        </w:rPr>
        <w:t xml:space="preserve">Davis et al. </w:t>
      </w:r>
      <w:r w:rsidRPr="0040164E">
        <w:rPr>
          <w:rFonts w:cs="Tahoma"/>
          <w:highlight w:val="yellow"/>
          <w:lang w:val="fr-FR"/>
        </w:rPr>
        <w:t>(2011</w:t>
      </w:r>
      <w:r w:rsidR="00600877" w:rsidRPr="0040164E">
        <w:rPr>
          <w:rFonts w:cs="Tahoma"/>
          <w:highlight w:val="yellow"/>
          <w:lang w:val="fr-FR"/>
        </w:rPr>
        <w:t>)</w:t>
      </w:r>
      <w:r w:rsidRPr="0040164E">
        <w:rPr>
          <w:rFonts w:cs="Tahoma"/>
          <w:highlight w:val="yellow"/>
          <w:lang w:val="fr-FR"/>
        </w:rPr>
        <w:t xml:space="preserve">, </w:t>
      </w:r>
      <w:proofErr w:type="spellStart"/>
      <w:r w:rsidRPr="0040164E">
        <w:rPr>
          <w:rFonts w:cs="Tahoma"/>
          <w:highlight w:val="yellow"/>
          <w:lang w:val="fr-FR"/>
        </w:rPr>
        <w:t>Wignall</w:t>
      </w:r>
      <w:proofErr w:type="spellEnd"/>
      <w:r w:rsidRPr="0040164E">
        <w:rPr>
          <w:rFonts w:cs="Tahoma"/>
          <w:highlight w:val="yellow"/>
          <w:lang w:val="fr-FR"/>
        </w:rPr>
        <w:t xml:space="preserve"> et al</w:t>
      </w:r>
      <w:r w:rsidR="00561A30" w:rsidRPr="0040164E">
        <w:rPr>
          <w:rFonts w:cs="Tahoma"/>
          <w:highlight w:val="yellow"/>
          <w:lang w:val="fr-FR"/>
        </w:rPr>
        <w:t>.</w:t>
      </w:r>
      <w:r w:rsidRPr="0040164E">
        <w:rPr>
          <w:rFonts w:cs="Tahoma"/>
          <w:highlight w:val="yellow"/>
          <w:lang w:val="fr-FR"/>
        </w:rPr>
        <w:t xml:space="preserve"> (2014), Haber et al. (2018), Pham LL et al</w:t>
      </w:r>
      <w:r w:rsidR="00600877" w:rsidRPr="0040164E">
        <w:rPr>
          <w:rFonts w:cs="Tahoma"/>
          <w:highlight w:val="yellow"/>
          <w:lang w:val="fr-FR"/>
        </w:rPr>
        <w:t>.</w:t>
      </w:r>
      <w:r w:rsidRPr="0040164E">
        <w:rPr>
          <w:rFonts w:cs="Tahoma"/>
          <w:highlight w:val="yellow"/>
          <w:lang w:val="fr-FR"/>
        </w:rPr>
        <w:t xml:space="preserve"> </w:t>
      </w:r>
      <w:r w:rsidRPr="0040164E">
        <w:rPr>
          <w:rFonts w:cs="Tahoma"/>
          <w:highlight w:val="yellow"/>
          <w:lang w:val="en-US"/>
        </w:rPr>
        <w:t>(20189</w:t>
      </w:r>
      <w:r w:rsidRPr="00D979CC">
        <w:rPr>
          <w:rFonts w:cs="Tahoma"/>
          <w:lang w:val="en-US"/>
        </w:rPr>
        <w:t>)</w:t>
      </w:r>
      <w:r w:rsidRPr="00EB0057">
        <w:rPr>
          <w:rFonts w:cs="Tahoma"/>
          <w:lang w:val="en-US"/>
        </w:rPr>
        <w:t>; see also documents published by regulatory agencies, in particular US</w:t>
      </w:r>
      <w:r w:rsidR="00600877" w:rsidRPr="00EB0057">
        <w:rPr>
          <w:rFonts w:cs="Tahoma"/>
          <w:lang w:val="en-US"/>
        </w:rPr>
        <w:t xml:space="preserve"> </w:t>
      </w:r>
      <w:r w:rsidRPr="00EB0057">
        <w:rPr>
          <w:rFonts w:cs="Tahoma"/>
          <w:lang w:val="en-US"/>
        </w:rPr>
        <w:t xml:space="preserve">EPA (2020) from August 19, 2020. </w:t>
      </w:r>
    </w:p>
    <w:p w14:paraId="08E8BD6F" w14:textId="3338FF25" w:rsidR="003160BB" w:rsidRPr="002A1033" w:rsidRDefault="003160BB" w:rsidP="003160BB">
      <w:pPr>
        <w:pStyle w:val="EFSABodytext"/>
        <w:rPr>
          <w:rFonts w:cs="Tahoma"/>
          <w:lang w:val="en-US"/>
        </w:rPr>
      </w:pPr>
      <w:r w:rsidRPr="00EB0057">
        <w:rPr>
          <w:rFonts w:cs="Tahoma"/>
          <w:lang w:val="en-US"/>
        </w:rPr>
        <w:t>In most cases, the uncertainty of the BMD estimation has been characterized by the BMDU/BMDL ratio or</w:t>
      </w:r>
      <w:r w:rsidR="0023365A" w:rsidRPr="00EB0057">
        <w:rPr>
          <w:rFonts w:cs="Tahoma"/>
          <w:lang w:val="en-US"/>
        </w:rPr>
        <w:t xml:space="preserve"> </w:t>
      </w:r>
      <w:r w:rsidRPr="00EB0057">
        <w:rPr>
          <w:rFonts w:cs="Tahoma"/>
          <w:lang w:val="en-US"/>
        </w:rPr>
        <w:t xml:space="preserve">by the ratio between the estimated BMD </w:t>
      </w:r>
      <w:r w:rsidR="61EA1E8B" w:rsidRPr="00EB0057">
        <w:rPr>
          <w:rFonts w:cs="Tahoma"/>
          <w:lang w:val="en-US"/>
        </w:rPr>
        <w:t>(</w:t>
      </w:r>
      <w:r w:rsidRPr="00EB0057">
        <w:rPr>
          <w:rFonts w:cs="Tahoma"/>
          <w:lang w:val="en-US"/>
        </w:rPr>
        <w:t>the</w:t>
      </w:r>
      <w:r w:rsidR="61EA1E8B" w:rsidRPr="00EB0057">
        <w:rPr>
          <w:rFonts w:cs="Tahoma"/>
          <w:lang w:val="en-US"/>
        </w:rPr>
        <w:t xml:space="preserve"> </w:t>
      </w:r>
      <w:r w:rsidR="001F619C" w:rsidRPr="00EB0057">
        <w:rPr>
          <w:rFonts w:cs="Tahoma"/>
          <w:lang w:val="en-US"/>
        </w:rPr>
        <w:t>median</w:t>
      </w:r>
      <w:r w:rsidR="61EA1E8B" w:rsidRPr="00EB0057">
        <w:rPr>
          <w:rFonts w:cs="Tahoma"/>
          <w:lang w:val="en-US"/>
        </w:rPr>
        <w:t xml:space="preserve"> of the posterior distribution of the BMD in Bayesian model averaging) </w:t>
      </w:r>
      <w:r w:rsidRPr="00EB0057">
        <w:rPr>
          <w:rFonts w:cs="Tahoma"/>
          <w:lang w:val="en-US"/>
        </w:rPr>
        <w:t>and the BMDL. Th</w:t>
      </w:r>
      <w:r w:rsidR="006A57A9" w:rsidRPr="00EB0057">
        <w:rPr>
          <w:rFonts w:cs="Tahoma"/>
          <w:lang w:val="en-US"/>
        </w:rPr>
        <w:t>ese</w:t>
      </w:r>
      <w:r w:rsidR="00E24D88" w:rsidRPr="00EB0057">
        <w:rPr>
          <w:rFonts w:cs="Tahoma"/>
          <w:lang w:val="en-US"/>
        </w:rPr>
        <w:t xml:space="preserve"> </w:t>
      </w:r>
      <w:r w:rsidR="00BB7DB3" w:rsidRPr="00EB0057">
        <w:rPr>
          <w:rFonts w:cs="Tahoma"/>
          <w:lang w:val="en-US"/>
        </w:rPr>
        <w:t>ratio</w:t>
      </w:r>
      <w:r w:rsidR="00965A10" w:rsidRPr="00EB0057">
        <w:rPr>
          <w:rFonts w:cs="Tahoma"/>
          <w:lang w:val="en-US"/>
        </w:rPr>
        <w:t>s</w:t>
      </w:r>
      <w:r w:rsidRPr="00EB0057">
        <w:rPr>
          <w:rFonts w:cs="Tahoma"/>
          <w:lang w:val="en-US"/>
        </w:rPr>
        <w:t xml:space="preserve"> w</w:t>
      </w:r>
      <w:r w:rsidR="00FF0F75" w:rsidRPr="00EB0057">
        <w:rPr>
          <w:rFonts w:cs="Tahoma"/>
          <w:lang w:val="en-US"/>
        </w:rPr>
        <w:t>ere</w:t>
      </w:r>
      <w:r w:rsidRPr="00EB0057">
        <w:rPr>
          <w:rFonts w:cs="Tahoma"/>
          <w:lang w:val="en-US"/>
        </w:rPr>
        <w:t xml:space="preserve"> suggested by US EPA to judge the appropriateness of models when the BMD/BMDLs differ between models, see also </w:t>
      </w:r>
      <w:r w:rsidRPr="0040164E">
        <w:rPr>
          <w:rFonts w:cs="Tahoma"/>
          <w:highlight w:val="yellow"/>
          <w:lang w:val="en-US"/>
        </w:rPr>
        <w:t>Haber et al. (2018)</w:t>
      </w:r>
      <w:r w:rsidRPr="002A1033">
        <w:rPr>
          <w:rFonts w:cs="Tahoma"/>
          <w:lang w:val="en-US"/>
        </w:rPr>
        <w:t>. Although this difference is no more an issue in model averaging, the following set of criteria</w:t>
      </w:r>
      <w:r w:rsidR="000266E8" w:rsidRPr="002A1033">
        <w:rPr>
          <w:rFonts w:cs="Tahoma"/>
          <w:lang w:val="en-US"/>
        </w:rPr>
        <w:t xml:space="preserve">, based on those proposed </w:t>
      </w:r>
      <w:r w:rsidRPr="002A1033">
        <w:rPr>
          <w:rFonts w:cs="Tahoma"/>
          <w:lang w:val="en-US"/>
        </w:rPr>
        <w:t>by US EPA to judge the width of the BMD</w:t>
      </w:r>
      <w:r w:rsidR="00752935" w:rsidRPr="002A1033">
        <w:rPr>
          <w:rFonts w:cs="Tahoma"/>
          <w:lang w:val="en-US"/>
        </w:rPr>
        <w:t xml:space="preserve"> credible interval</w:t>
      </w:r>
      <w:r w:rsidRPr="002A1033">
        <w:rPr>
          <w:rFonts w:cs="Tahoma"/>
          <w:lang w:val="en-US"/>
        </w:rPr>
        <w:t xml:space="preserve"> </w:t>
      </w:r>
      <w:r w:rsidR="00752935" w:rsidRPr="002A1033">
        <w:rPr>
          <w:rFonts w:cs="Tahoma"/>
          <w:lang w:val="en-US"/>
        </w:rPr>
        <w:t xml:space="preserve">should </w:t>
      </w:r>
      <w:r w:rsidRPr="002A1033">
        <w:rPr>
          <w:rFonts w:cs="Tahoma"/>
          <w:lang w:val="en-US"/>
        </w:rPr>
        <w:t xml:space="preserve">be considered </w:t>
      </w:r>
      <w:r w:rsidR="00752935" w:rsidRPr="002A1033">
        <w:rPr>
          <w:rFonts w:cs="Tahoma"/>
          <w:lang w:val="en-US"/>
        </w:rPr>
        <w:t>by the risk assessor</w:t>
      </w:r>
      <w:r w:rsidRPr="002A1033">
        <w:rPr>
          <w:rFonts w:cs="Tahoma"/>
          <w:lang w:val="en-US"/>
        </w:rPr>
        <w:t>.</w:t>
      </w:r>
    </w:p>
    <w:p w14:paraId="63B7F150" w14:textId="3F3B34C5" w:rsidR="003160BB" w:rsidRPr="002A1033" w:rsidRDefault="001E449B" w:rsidP="003160BB">
      <w:pPr>
        <w:pStyle w:val="EFSABodytext"/>
        <w:rPr>
          <w:rFonts w:cs="Tahoma"/>
          <w:lang w:val="en-US"/>
        </w:rPr>
      </w:pPr>
      <w:r w:rsidRPr="002A1033">
        <w:rPr>
          <w:rFonts w:cs="Tahoma"/>
          <w:lang w:val="en-US"/>
        </w:rPr>
        <w:t>A</w:t>
      </w:r>
      <w:r w:rsidR="00387DBA" w:rsidRPr="002A1033">
        <w:rPr>
          <w:rFonts w:cs="Tahoma"/>
          <w:lang w:val="en-US"/>
        </w:rPr>
        <w:t>lternatives</w:t>
      </w:r>
      <w:r w:rsidR="00FD001D" w:rsidRPr="002A1033">
        <w:rPr>
          <w:rFonts w:cs="Tahoma"/>
          <w:lang w:val="en-US"/>
        </w:rPr>
        <w:t xml:space="preserve"> to the </w:t>
      </w:r>
      <w:r w:rsidR="00B7141D" w:rsidRPr="002A1033">
        <w:rPr>
          <w:rFonts w:cs="Tahoma"/>
          <w:lang w:val="en-US"/>
        </w:rPr>
        <w:t>BMDL as a reference point</w:t>
      </w:r>
      <w:r w:rsidR="005E6485" w:rsidRPr="002A1033">
        <w:rPr>
          <w:rFonts w:cs="Tahoma"/>
          <w:lang w:val="en-US"/>
        </w:rPr>
        <w:t>, as</w:t>
      </w:r>
      <w:r w:rsidR="00387DBA" w:rsidRPr="002A1033">
        <w:rPr>
          <w:rFonts w:cs="Tahoma"/>
          <w:lang w:val="en-US"/>
        </w:rPr>
        <w:t xml:space="preserve"> described below</w:t>
      </w:r>
      <w:r w:rsidR="005E6485" w:rsidRPr="002A1033">
        <w:rPr>
          <w:rFonts w:cs="Tahoma"/>
          <w:lang w:val="en-US"/>
        </w:rPr>
        <w:t>,</w:t>
      </w:r>
      <w:r w:rsidR="00B7141D" w:rsidRPr="002A1033">
        <w:rPr>
          <w:rFonts w:cs="Tahoma"/>
          <w:lang w:val="en-US"/>
        </w:rPr>
        <w:t xml:space="preserve"> </w:t>
      </w:r>
      <w:r w:rsidR="00872BB3" w:rsidRPr="002A1033">
        <w:rPr>
          <w:rFonts w:cs="Tahoma"/>
          <w:lang w:val="en-US"/>
        </w:rPr>
        <w:t>are</w:t>
      </w:r>
      <w:r w:rsidR="00854CE0" w:rsidRPr="002A1033">
        <w:rPr>
          <w:rFonts w:cs="Tahoma"/>
          <w:lang w:val="en-US"/>
        </w:rPr>
        <w:t xml:space="preserve"> recommended</w:t>
      </w:r>
      <w:r w:rsidR="003160BB" w:rsidRPr="002A1033">
        <w:rPr>
          <w:rFonts w:cs="Tahoma"/>
          <w:lang w:val="en-US"/>
        </w:rPr>
        <w:t xml:space="preserve"> when:</w:t>
      </w:r>
    </w:p>
    <w:p w14:paraId="4525465A" w14:textId="416ED4B2" w:rsidR="003A48DD" w:rsidRPr="00E84E90" w:rsidRDefault="00A457B9" w:rsidP="003A48DD">
      <w:pPr>
        <w:pStyle w:val="EFSABodytext"/>
        <w:numPr>
          <w:ilvl w:val="0"/>
          <w:numId w:val="85"/>
        </w:numPr>
        <w:rPr>
          <w:rFonts w:cs="Tahoma"/>
          <w:lang w:val="en-US"/>
        </w:rPr>
      </w:pPr>
      <w:r w:rsidRPr="002A1033">
        <w:rPr>
          <w:rFonts w:cs="Tahoma"/>
        </w:rPr>
        <w:t>None of the</w:t>
      </w:r>
      <w:r w:rsidR="003A48DD" w:rsidRPr="002A1033">
        <w:rPr>
          <w:rFonts w:cs="Tahoma"/>
        </w:rPr>
        <w:t xml:space="preserve"> candidate models fit the data </w:t>
      </w:r>
      <w:r w:rsidR="00E71672" w:rsidRPr="002A1033">
        <w:rPr>
          <w:rFonts w:cs="Tahoma"/>
        </w:rPr>
        <w:t>s</w:t>
      </w:r>
      <w:r w:rsidR="00D929B1" w:rsidRPr="002A1033">
        <w:rPr>
          <w:rFonts w:cs="Tahoma"/>
        </w:rPr>
        <w:t>ufficient</w:t>
      </w:r>
      <w:r w:rsidR="00E71672" w:rsidRPr="002A1033">
        <w:rPr>
          <w:rFonts w:cs="Tahoma"/>
        </w:rPr>
        <w:t xml:space="preserve">ly </w:t>
      </w:r>
      <w:r w:rsidR="00E71672" w:rsidRPr="00E84E90">
        <w:rPr>
          <w:rFonts w:cs="Tahoma"/>
        </w:rPr>
        <w:t>well</w:t>
      </w:r>
      <w:r w:rsidR="003A48DD" w:rsidRPr="00E84E90">
        <w:rPr>
          <w:rFonts w:cs="Tahoma"/>
        </w:rPr>
        <w:t xml:space="preserve"> (see section </w:t>
      </w:r>
      <w:r w:rsidR="00E71672" w:rsidRPr="00E84E90">
        <w:rPr>
          <w:rFonts w:cs="Tahoma"/>
        </w:rPr>
        <w:t>2.5</w:t>
      </w:r>
      <w:r w:rsidR="000B614F" w:rsidRPr="00E84E90">
        <w:rPr>
          <w:rFonts w:cs="Tahoma"/>
        </w:rPr>
        <w:t>.3</w:t>
      </w:r>
      <w:r w:rsidR="003A48DD" w:rsidRPr="00E84E90">
        <w:rPr>
          <w:rFonts w:cs="Tahoma"/>
        </w:rPr>
        <w:t>)</w:t>
      </w:r>
    </w:p>
    <w:p w14:paraId="22B1676D" w14:textId="7891F9C3" w:rsidR="003160BB" w:rsidRPr="00921941" w:rsidRDefault="003160BB" w:rsidP="003160BB">
      <w:pPr>
        <w:pStyle w:val="EFSABodytext"/>
        <w:numPr>
          <w:ilvl w:val="0"/>
          <w:numId w:val="85"/>
        </w:numPr>
        <w:rPr>
          <w:rFonts w:cs="Tahoma"/>
          <w:lang w:val="en-US"/>
        </w:rPr>
      </w:pPr>
      <w:r w:rsidRPr="005D01B6">
        <w:rPr>
          <w:rFonts w:cs="Tahoma"/>
        </w:rPr>
        <w:t>BMD/BMDL &gt; 20, or</w:t>
      </w:r>
    </w:p>
    <w:p w14:paraId="0AD98084" w14:textId="1C6EAEB1" w:rsidR="003160BB" w:rsidRPr="00921941" w:rsidRDefault="003160BB" w:rsidP="003160BB">
      <w:pPr>
        <w:pStyle w:val="EFSABodytext"/>
        <w:numPr>
          <w:ilvl w:val="0"/>
          <w:numId w:val="85"/>
        </w:numPr>
        <w:rPr>
          <w:rFonts w:cs="Tahoma"/>
          <w:lang w:val="en-US"/>
        </w:rPr>
      </w:pPr>
      <w:r w:rsidRPr="005D01B6">
        <w:rPr>
          <w:rFonts w:cs="Tahoma"/>
        </w:rPr>
        <w:t>The BMD is 10 times lower than the lowest non-zero dose</w:t>
      </w:r>
      <w:r w:rsidR="00B20FA1" w:rsidRPr="005D01B6">
        <w:rPr>
          <w:rStyle w:val="FootnoteReference"/>
          <w:rFonts w:cs="Tahoma"/>
        </w:rPr>
        <w:footnoteReference w:id="9"/>
      </w:r>
      <w:r w:rsidRPr="005D01B6">
        <w:rPr>
          <w:rFonts w:cs="Tahoma"/>
        </w:rPr>
        <w:t>, or</w:t>
      </w:r>
    </w:p>
    <w:p w14:paraId="0B96594E" w14:textId="47722036" w:rsidR="009B30FD" w:rsidRPr="00921941" w:rsidRDefault="009B30FD" w:rsidP="003160BB">
      <w:pPr>
        <w:pStyle w:val="EFSABodytext"/>
        <w:numPr>
          <w:ilvl w:val="0"/>
          <w:numId w:val="85"/>
        </w:numPr>
        <w:rPr>
          <w:rFonts w:cs="Tahoma"/>
          <w:lang w:val="en-US"/>
        </w:rPr>
      </w:pPr>
      <w:r w:rsidRPr="005D01B6">
        <w:rPr>
          <w:rFonts w:cs="Tahoma"/>
        </w:rPr>
        <w:t>BMDU/BMDL</w:t>
      </w:r>
      <w:r w:rsidR="00207A1A" w:rsidRPr="005D01B6">
        <w:rPr>
          <w:rFonts w:cs="Tahoma"/>
        </w:rPr>
        <w:t xml:space="preserve"> &gt; </w:t>
      </w:r>
      <w:r w:rsidR="007D20B1" w:rsidRPr="005D01B6">
        <w:rPr>
          <w:rFonts w:cs="Tahoma"/>
        </w:rPr>
        <w:t>50</w:t>
      </w:r>
    </w:p>
    <w:p w14:paraId="1942B134" w14:textId="2F97C0B8" w:rsidR="003160BB" w:rsidRPr="00DE6BD9" w:rsidRDefault="003160BB" w:rsidP="003160BB">
      <w:pPr>
        <w:pStyle w:val="EFSABodytext"/>
        <w:rPr>
          <w:rFonts w:cs="Tahoma"/>
          <w:lang w:val="en-US"/>
        </w:rPr>
      </w:pPr>
      <w:r w:rsidRPr="00921941">
        <w:rPr>
          <w:rFonts w:cs="Tahoma"/>
          <w:lang w:val="en-US"/>
        </w:rPr>
        <w:t xml:space="preserve">It should be noted that the above qualitative categorization depends on several </w:t>
      </w:r>
      <w:r w:rsidR="00245A5D" w:rsidRPr="00921941">
        <w:rPr>
          <w:rFonts w:cs="Tahoma"/>
          <w:lang w:val="en-US"/>
        </w:rPr>
        <w:t>cut-off</w:t>
      </w:r>
      <w:r w:rsidRPr="00921941">
        <w:rPr>
          <w:rFonts w:cs="Tahoma"/>
          <w:lang w:val="en-US"/>
        </w:rPr>
        <w:t xml:space="preserve"> values proposed by US</w:t>
      </w:r>
      <w:r w:rsidR="005D01B6">
        <w:rPr>
          <w:rFonts w:cs="Tahoma"/>
          <w:lang w:val="en-US"/>
        </w:rPr>
        <w:t xml:space="preserve"> </w:t>
      </w:r>
      <w:r w:rsidRPr="00DE6BD9">
        <w:rPr>
          <w:rFonts w:cs="Tahoma"/>
          <w:lang w:val="en-US"/>
        </w:rPr>
        <w:t xml:space="preserve">EPA as “default logic assumptions”). Although </w:t>
      </w:r>
      <w:r w:rsidR="00DE5994" w:rsidRPr="00DE6BD9">
        <w:rPr>
          <w:rFonts w:cs="Tahoma"/>
          <w:lang w:val="en-US"/>
        </w:rPr>
        <w:t>plausible</w:t>
      </w:r>
      <w:r w:rsidRPr="00DE6BD9">
        <w:rPr>
          <w:rFonts w:cs="Tahoma"/>
          <w:lang w:val="en-US"/>
        </w:rPr>
        <w:t xml:space="preserve">, they lack a theoretical statistical basis and they have so far not been tested empirically, </w:t>
      </w:r>
      <w:proofErr w:type="gramStart"/>
      <w:r w:rsidRPr="00DE6BD9">
        <w:rPr>
          <w:rFonts w:cs="Tahoma"/>
          <w:lang w:val="en-US"/>
        </w:rPr>
        <w:t>e.g.</w:t>
      </w:r>
      <w:proofErr w:type="gramEnd"/>
      <w:r w:rsidRPr="00DE6BD9">
        <w:rPr>
          <w:rFonts w:cs="Tahoma"/>
          <w:lang w:val="en-US"/>
        </w:rPr>
        <w:t xml:space="preserve"> in systematic reviews of risk assessment practice. Developed for single model fitting, their suitability for judging a BMD credible interval obtained with model averaging should be further evaluated. As such, the above criteria should be used as “indicators” on when the outcome of the modelling requires </w:t>
      </w:r>
      <w:proofErr w:type="gramStart"/>
      <w:r w:rsidRPr="00DE6BD9">
        <w:rPr>
          <w:rFonts w:cs="Tahoma"/>
          <w:lang w:val="en-US"/>
        </w:rPr>
        <w:t>Experts</w:t>
      </w:r>
      <w:proofErr w:type="gramEnd"/>
      <w:r w:rsidRPr="00DE6BD9">
        <w:rPr>
          <w:rFonts w:cs="Tahoma"/>
          <w:lang w:val="en-US"/>
        </w:rPr>
        <w:t xml:space="preserve"> consideration on the appropriateness of using the BMDL as reference point. The </w:t>
      </w:r>
      <w:r w:rsidR="00245A5D" w:rsidRPr="00DE6BD9">
        <w:rPr>
          <w:rFonts w:cs="Tahoma"/>
          <w:lang w:val="en-US"/>
        </w:rPr>
        <w:t>cut-off</w:t>
      </w:r>
      <w:r w:rsidRPr="00DE6BD9">
        <w:rPr>
          <w:rFonts w:cs="Tahoma"/>
          <w:lang w:val="en-US"/>
        </w:rPr>
        <w:t xml:space="preserve"> values for these criteria may be reconsidered after further experience with their use has been accumulated.</w:t>
      </w:r>
    </w:p>
    <w:p w14:paraId="1DCEE0E0" w14:textId="6112844F" w:rsidR="003160BB" w:rsidRPr="00DE6BD9" w:rsidRDefault="003160BB" w:rsidP="003160BB">
      <w:pPr>
        <w:pStyle w:val="EFSABodytext"/>
        <w:rPr>
          <w:rFonts w:cs="Tahoma"/>
          <w:lang w:val="en-US"/>
        </w:rPr>
      </w:pPr>
      <w:r w:rsidRPr="00DE6BD9">
        <w:rPr>
          <w:rFonts w:cs="Tahoma"/>
          <w:lang w:val="en-US"/>
        </w:rPr>
        <w:t>Post-hoc modification of some parameters of the modelling (</w:t>
      </w:r>
      <w:proofErr w:type="gramStart"/>
      <w:r w:rsidRPr="00DE6BD9">
        <w:rPr>
          <w:rFonts w:cs="Tahoma"/>
          <w:lang w:val="en-US"/>
        </w:rPr>
        <w:t>e.g.</w:t>
      </w:r>
      <w:proofErr w:type="gramEnd"/>
      <w:r w:rsidRPr="00DE6BD9">
        <w:rPr>
          <w:rFonts w:cs="Tahoma"/>
          <w:lang w:val="en-US"/>
        </w:rPr>
        <w:t xml:space="preserve"> increasing the BMR, use of informative priors for some of the model parameters) as possible solutions to reduce the uncertainty around the BMD and obtain a more suitable BMDL are not recommended</w:t>
      </w:r>
      <w:r w:rsidR="003E2233" w:rsidRPr="00DE6BD9">
        <w:rPr>
          <w:rFonts w:cs="Tahoma"/>
          <w:lang w:val="en-US"/>
        </w:rPr>
        <w:t>.</w:t>
      </w:r>
      <w:r w:rsidR="00E63094" w:rsidRPr="00DE6BD9">
        <w:rPr>
          <w:rFonts w:cs="Tahoma"/>
          <w:lang w:val="en-US"/>
        </w:rPr>
        <w:t xml:space="preserve"> I</w:t>
      </w:r>
      <w:r w:rsidRPr="00DE6BD9">
        <w:rPr>
          <w:rFonts w:cs="Tahoma"/>
          <w:lang w:val="en-US"/>
        </w:rPr>
        <w:t>n case the risk assessor decides not to use the BMDL as RP (such decision should be explained and documented), two alternative solutions are proposed:</w:t>
      </w:r>
    </w:p>
    <w:p w14:paraId="500DCFA9" w14:textId="797AC2BD" w:rsidR="00173878" w:rsidRPr="00DE6BD9" w:rsidRDefault="00173878" w:rsidP="00173878">
      <w:pPr>
        <w:pStyle w:val="EFSABodytext"/>
        <w:rPr>
          <w:rFonts w:cs="Tahoma"/>
          <w:lang w:val="en-US"/>
        </w:rPr>
      </w:pPr>
      <w:r w:rsidRPr="00DE6BD9">
        <w:rPr>
          <w:rFonts w:cs="Tahoma"/>
          <w:lang w:val="en-US"/>
        </w:rPr>
        <w:t xml:space="preserve">The </w:t>
      </w:r>
      <w:r w:rsidR="001E5164" w:rsidRPr="00DE6BD9">
        <w:rPr>
          <w:rFonts w:cs="Tahoma"/>
          <w:lang w:val="en-US"/>
        </w:rPr>
        <w:t xml:space="preserve">first preferred </w:t>
      </w:r>
      <w:r w:rsidR="00E046E1" w:rsidRPr="00DE6BD9">
        <w:rPr>
          <w:rFonts w:cs="Tahoma"/>
          <w:lang w:val="en-US"/>
        </w:rPr>
        <w:t>option</w:t>
      </w:r>
      <w:r w:rsidRPr="00DE6BD9">
        <w:rPr>
          <w:rFonts w:cs="Tahoma"/>
          <w:lang w:val="en-US"/>
        </w:rPr>
        <w:t xml:space="preserve"> is making use of the probability distribution of the BMD resulting from the Bayesian model averaging. This probability distribution can be used to compare the most likely BMD with the various experimental doses tested. Examples of cases where such an approach would be appropriate is when the most likely BMD is lower than the N(L)OAEL. If </w:t>
      </w:r>
      <w:r w:rsidR="00F7693E" w:rsidRPr="00DE6BD9">
        <w:rPr>
          <w:rFonts w:cs="Tahoma"/>
          <w:lang w:val="en-US"/>
        </w:rPr>
        <w:t xml:space="preserve">the </w:t>
      </w:r>
      <w:r w:rsidR="00683B60" w:rsidRPr="00DE6BD9">
        <w:rPr>
          <w:rFonts w:cs="Tahoma"/>
          <w:lang w:val="en-US"/>
        </w:rPr>
        <w:t xml:space="preserve">most likely </w:t>
      </w:r>
      <w:r w:rsidR="00F7693E" w:rsidRPr="00DE6BD9">
        <w:rPr>
          <w:rFonts w:cs="Tahoma"/>
          <w:lang w:val="en-US"/>
        </w:rPr>
        <w:t>BMD is</w:t>
      </w:r>
      <w:r w:rsidRPr="00DE6BD9">
        <w:rPr>
          <w:rFonts w:cs="Tahoma"/>
          <w:lang w:val="en-US"/>
        </w:rPr>
        <w:t xml:space="preserve"> higher</w:t>
      </w:r>
      <w:r w:rsidR="00683B60" w:rsidRPr="00DE6BD9">
        <w:rPr>
          <w:rFonts w:cs="Tahoma"/>
          <w:lang w:val="en-US"/>
        </w:rPr>
        <w:t xml:space="preserve"> than the N(L)OAEL</w:t>
      </w:r>
      <w:r w:rsidRPr="00DE6BD9">
        <w:rPr>
          <w:rFonts w:cs="Tahoma"/>
          <w:lang w:val="en-US"/>
        </w:rPr>
        <w:t xml:space="preserve">, </w:t>
      </w:r>
      <w:r w:rsidR="00C961DA" w:rsidRPr="00DE6BD9">
        <w:rPr>
          <w:rFonts w:cs="Tahoma"/>
          <w:lang w:val="en-US"/>
        </w:rPr>
        <w:t xml:space="preserve">the risk assessor may consider </w:t>
      </w:r>
      <w:proofErr w:type="gramStart"/>
      <w:r w:rsidR="00C961DA" w:rsidRPr="00DE6BD9">
        <w:rPr>
          <w:rFonts w:cs="Tahoma"/>
          <w:lang w:val="en-US"/>
        </w:rPr>
        <w:t>to use</w:t>
      </w:r>
      <w:proofErr w:type="gramEnd"/>
      <w:r w:rsidR="00C961DA" w:rsidRPr="00DE6BD9">
        <w:rPr>
          <w:rFonts w:cs="Tahoma"/>
          <w:lang w:val="en-US"/>
        </w:rPr>
        <w:t xml:space="preserve"> </w:t>
      </w:r>
      <w:r w:rsidRPr="00DE6BD9">
        <w:rPr>
          <w:rFonts w:cs="Tahoma"/>
          <w:lang w:val="en-US"/>
        </w:rPr>
        <w:t xml:space="preserve">the N(L)OAEL </w:t>
      </w:r>
      <w:r w:rsidR="00C961DA" w:rsidRPr="00DE6BD9">
        <w:rPr>
          <w:rFonts w:cs="Tahoma"/>
          <w:lang w:val="en-US"/>
        </w:rPr>
        <w:t>as a more conservative</w:t>
      </w:r>
      <w:r w:rsidRPr="00DE6BD9">
        <w:rPr>
          <w:rFonts w:cs="Tahoma"/>
          <w:lang w:val="en-US"/>
        </w:rPr>
        <w:t xml:space="preserve"> RP. Obviously, the </w:t>
      </w:r>
      <w:r w:rsidR="00E8447F" w:rsidRPr="00DE6BD9">
        <w:rPr>
          <w:rFonts w:cs="Tahoma"/>
          <w:lang w:val="en-US"/>
        </w:rPr>
        <w:t xml:space="preserve">previously mentioned criteria that the </w:t>
      </w:r>
      <w:r w:rsidR="00014B5C" w:rsidRPr="00DE6BD9">
        <w:rPr>
          <w:rFonts w:cs="Tahoma"/>
          <w:lang w:val="en-US"/>
        </w:rPr>
        <w:t xml:space="preserve">most likely </w:t>
      </w:r>
      <w:r w:rsidRPr="00DE6BD9">
        <w:rPr>
          <w:rFonts w:cs="Tahoma"/>
          <w:lang w:val="en-US"/>
        </w:rPr>
        <w:t>BMD</w:t>
      </w:r>
      <w:r w:rsidR="00C5535D" w:rsidRPr="00DE6BD9">
        <w:rPr>
          <w:rFonts w:cs="Tahoma"/>
          <w:lang w:val="en-US"/>
        </w:rPr>
        <w:t xml:space="preserve"> should not be lower than 10 times the </w:t>
      </w:r>
      <w:r w:rsidR="00CA6C67" w:rsidRPr="00DE6BD9">
        <w:rPr>
          <w:rFonts w:cs="Tahoma"/>
          <w:lang w:val="en-US"/>
        </w:rPr>
        <w:t>lowest non-zero</w:t>
      </w:r>
      <w:r w:rsidR="001F2B0A" w:rsidRPr="00DE6BD9">
        <w:rPr>
          <w:rFonts w:cs="Tahoma"/>
          <w:lang w:val="en-US"/>
        </w:rPr>
        <w:t xml:space="preserve"> dose still apply</w:t>
      </w:r>
      <w:r w:rsidR="00014B5C" w:rsidRPr="00DE6BD9">
        <w:rPr>
          <w:rFonts w:cs="Tahoma"/>
          <w:lang w:val="en-US"/>
        </w:rPr>
        <w:t>.</w:t>
      </w:r>
      <w:r w:rsidRPr="00DE6BD9">
        <w:rPr>
          <w:rFonts w:cs="Tahoma"/>
          <w:lang w:val="en-US"/>
        </w:rPr>
        <w:t xml:space="preserve"> The advantage of this approach is the quantification of the uncertainty around the decision made to use the most likely BMD as RP. </w:t>
      </w:r>
    </w:p>
    <w:p w14:paraId="2495A6A7" w14:textId="61CDB764" w:rsidR="003160BB" w:rsidRPr="00DE6BD9" w:rsidRDefault="0074147E" w:rsidP="003160BB">
      <w:pPr>
        <w:pStyle w:val="EFSABodytext"/>
        <w:rPr>
          <w:rFonts w:cs="Tahoma"/>
          <w:lang w:val="en-US"/>
        </w:rPr>
      </w:pPr>
      <w:r w:rsidRPr="00DE6BD9">
        <w:rPr>
          <w:rFonts w:cs="Tahoma"/>
          <w:lang w:val="en-US"/>
        </w:rPr>
        <w:t xml:space="preserve">If the use of the most likely BMD is </w:t>
      </w:r>
      <w:r w:rsidR="00345C3D" w:rsidRPr="00DE6BD9">
        <w:rPr>
          <w:rFonts w:cs="Tahoma"/>
          <w:lang w:val="en-US"/>
        </w:rPr>
        <w:t>considered unreliable</w:t>
      </w:r>
      <w:r w:rsidRPr="00DE6BD9">
        <w:rPr>
          <w:rFonts w:cs="Tahoma"/>
          <w:lang w:val="en-US"/>
        </w:rPr>
        <w:t>, t</w:t>
      </w:r>
      <w:r w:rsidR="00CA4C05" w:rsidRPr="00DE6BD9">
        <w:rPr>
          <w:rFonts w:cs="Tahoma"/>
          <w:lang w:val="en-US"/>
        </w:rPr>
        <w:t xml:space="preserve">he </w:t>
      </w:r>
      <w:r w:rsidR="00DA5269" w:rsidRPr="00DE6BD9">
        <w:rPr>
          <w:rFonts w:cs="Tahoma"/>
          <w:lang w:val="en-US"/>
        </w:rPr>
        <w:t xml:space="preserve">last </w:t>
      </w:r>
      <w:r w:rsidR="00865D8D" w:rsidRPr="00DE6BD9">
        <w:rPr>
          <w:rFonts w:cs="Tahoma"/>
          <w:lang w:val="en-US"/>
        </w:rPr>
        <w:t>alternative</w:t>
      </w:r>
      <w:r w:rsidRPr="00DE6BD9">
        <w:rPr>
          <w:rFonts w:cs="Tahoma"/>
          <w:lang w:val="en-US"/>
        </w:rPr>
        <w:t xml:space="preserve"> is to</w:t>
      </w:r>
      <w:r w:rsidR="003160BB" w:rsidRPr="00DE6BD9">
        <w:rPr>
          <w:rFonts w:cs="Tahoma"/>
          <w:lang w:val="en-US"/>
        </w:rPr>
        <w:t xml:space="preserve"> use </w:t>
      </w:r>
      <w:r w:rsidR="008C74A0" w:rsidRPr="00DE6BD9">
        <w:rPr>
          <w:rFonts w:cs="Tahoma"/>
          <w:lang w:val="en-US"/>
        </w:rPr>
        <w:t>a</w:t>
      </w:r>
      <w:r w:rsidR="003160BB" w:rsidRPr="00DE6BD9">
        <w:rPr>
          <w:rFonts w:cs="Tahoma"/>
          <w:lang w:val="en-US"/>
        </w:rPr>
        <w:t xml:space="preserve"> N(L)OAEL as </w:t>
      </w:r>
      <w:r w:rsidR="000441A6" w:rsidRPr="00DE6BD9">
        <w:rPr>
          <w:rFonts w:cs="Tahoma"/>
          <w:lang w:val="en-US"/>
        </w:rPr>
        <w:t xml:space="preserve">the </w:t>
      </w:r>
      <w:r w:rsidR="003160BB" w:rsidRPr="00DE6BD9">
        <w:rPr>
          <w:rFonts w:cs="Tahoma"/>
          <w:lang w:val="en-US"/>
        </w:rPr>
        <w:t xml:space="preserve">Reference Point, despite the associated limitations </w:t>
      </w:r>
      <w:r w:rsidR="003160BB" w:rsidRPr="00173816">
        <w:rPr>
          <w:rFonts w:cs="Tahoma"/>
          <w:lang w:val="en-US"/>
        </w:rPr>
        <w:t xml:space="preserve">(see </w:t>
      </w:r>
      <w:r w:rsidR="007F4567" w:rsidRPr="00173816">
        <w:rPr>
          <w:rFonts w:cs="Tahoma"/>
          <w:lang w:val="en-US"/>
        </w:rPr>
        <w:t>S</w:t>
      </w:r>
      <w:r w:rsidR="003160BB" w:rsidRPr="00173816">
        <w:rPr>
          <w:rFonts w:cs="Tahoma"/>
          <w:lang w:val="en-US"/>
        </w:rPr>
        <w:t>ection 2.3.</w:t>
      </w:r>
      <w:r w:rsidR="007F4567" w:rsidRPr="00173816">
        <w:rPr>
          <w:rFonts w:cs="Tahoma"/>
          <w:lang w:val="en-US"/>
        </w:rPr>
        <w:t>1</w:t>
      </w:r>
      <w:r w:rsidR="003160BB" w:rsidRPr="00173816">
        <w:rPr>
          <w:rFonts w:cs="Tahoma"/>
          <w:lang w:val="en-US"/>
        </w:rPr>
        <w:t>).</w:t>
      </w:r>
      <w:r w:rsidR="003160BB" w:rsidRPr="00DE6BD9">
        <w:rPr>
          <w:rFonts w:cs="Tahoma"/>
          <w:lang w:val="en-US"/>
        </w:rPr>
        <w:t xml:space="preserve"> </w:t>
      </w:r>
      <w:r w:rsidR="00327526" w:rsidRPr="00DE6BD9">
        <w:rPr>
          <w:rFonts w:cs="Tahoma"/>
          <w:lang w:val="en-US"/>
        </w:rPr>
        <w:t xml:space="preserve">In view of these limitations, caution should be used when applying the N(L)OAEL approach for the derivation of a RP, </w:t>
      </w:r>
      <w:proofErr w:type="gramStart"/>
      <w:r w:rsidR="00327526" w:rsidRPr="00DE6BD9">
        <w:rPr>
          <w:rFonts w:cs="Tahoma"/>
          <w:lang w:val="en-US"/>
        </w:rPr>
        <w:t>in particular in</w:t>
      </w:r>
      <w:proofErr w:type="gramEnd"/>
      <w:r w:rsidR="00327526" w:rsidRPr="00DE6BD9">
        <w:rPr>
          <w:rFonts w:cs="Tahoma"/>
          <w:lang w:val="en-US"/>
        </w:rPr>
        <w:t xml:space="preserve"> cases where there are indications that the NOAEL may overestimate the true NAEL</w:t>
      </w:r>
      <w:r w:rsidR="00D15A28" w:rsidRPr="00DE6BD9">
        <w:rPr>
          <w:rFonts w:cs="Tahoma"/>
          <w:lang w:val="en-US"/>
        </w:rPr>
        <w:t>.</w:t>
      </w:r>
      <w:r w:rsidR="00161451" w:rsidRPr="00DE6BD9">
        <w:rPr>
          <w:rFonts w:cs="Tahoma"/>
          <w:lang w:val="en-US"/>
        </w:rPr>
        <w:t xml:space="preserve"> </w:t>
      </w:r>
      <w:r w:rsidR="003160BB" w:rsidRPr="00DE6BD9">
        <w:rPr>
          <w:rFonts w:cs="Tahoma"/>
          <w:lang w:val="en-US"/>
        </w:rPr>
        <w:t>Should th</w:t>
      </w:r>
      <w:r w:rsidR="00161451" w:rsidRPr="00DE6BD9">
        <w:rPr>
          <w:rFonts w:cs="Tahoma"/>
          <w:lang w:val="en-US"/>
        </w:rPr>
        <w:t>e</w:t>
      </w:r>
      <w:r w:rsidR="003160BB" w:rsidRPr="00DE6BD9">
        <w:rPr>
          <w:rFonts w:cs="Tahoma"/>
          <w:lang w:val="en-US"/>
        </w:rPr>
        <w:t xml:space="preserve"> decision</w:t>
      </w:r>
      <w:r w:rsidR="00161451" w:rsidRPr="00DE6BD9">
        <w:rPr>
          <w:rFonts w:cs="Tahoma"/>
          <w:lang w:val="en-US"/>
        </w:rPr>
        <w:t xml:space="preserve"> be made to use </w:t>
      </w:r>
      <w:r w:rsidR="003160BB" w:rsidRPr="00DE6BD9">
        <w:rPr>
          <w:rFonts w:cs="Tahoma"/>
          <w:lang w:val="en-US"/>
        </w:rPr>
        <w:t>the N(L)OAEL as</w:t>
      </w:r>
      <w:r w:rsidR="000651B4" w:rsidRPr="00DE6BD9">
        <w:rPr>
          <w:rFonts w:cs="Tahoma"/>
          <w:lang w:val="en-US"/>
        </w:rPr>
        <w:t xml:space="preserve"> a</w:t>
      </w:r>
      <w:r w:rsidR="003160BB" w:rsidRPr="00DE6BD9">
        <w:rPr>
          <w:rFonts w:cs="Tahoma"/>
          <w:lang w:val="en-US"/>
        </w:rPr>
        <w:t xml:space="preserve"> RP</w:t>
      </w:r>
      <w:r w:rsidR="00161451" w:rsidRPr="00DE6BD9">
        <w:rPr>
          <w:rFonts w:cs="Tahoma"/>
          <w:lang w:val="en-US"/>
        </w:rPr>
        <w:t xml:space="preserve">, the </w:t>
      </w:r>
      <w:r w:rsidR="00C526E4" w:rsidRPr="00DE6BD9">
        <w:rPr>
          <w:rFonts w:cs="Tahoma"/>
          <w:lang w:val="en-US"/>
        </w:rPr>
        <w:t>BMD credible interval should be</w:t>
      </w:r>
      <w:r w:rsidR="00BB6EA6" w:rsidRPr="00DE6BD9">
        <w:rPr>
          <w:rFonts w:cs="Tahoma"/>
          <w:lang w:val="en-US"/>
        </w:rPr>
        <w:t xml:space="preserve"> communicated together </w:t>
      </w:r>
      <w:r w:rsidR="002F646B" w:rsidRPr="00DE6BD9">
        <w:rPr>
          <w:rFonts w:cs="Tahoma"/>
          <w:lang w:val="en-US"/>
        </w:rPr>
        <w:t xml:space="preserve">with the </w:t>
      </w:r>
      <w:r w:rsidR="00C64386" w:rsidRPr="00DE6BD9">
        <w:rPr>
          <w:rFonts w:cs="Tahoma"/>
          <w:lang w:val="en-US"/>
        </w:rPr>
        <w:t>value selected for the RP</w:t>
      </w:r>
      <w:r w:rsidR="009205E6" w:rsidRPr="00DE6BD9">
        <w:rPr>
          <w:rFonts w:cs="Tahoma"/>
          <w:lang w:val="en-US"/>
        </w:rPr>
        <w:t>.</w:t>
      </w:r>
    </w:p>
    <w:p w14:paraId="666B4013" w14:textId="77777777" w:rsidR="00E17528" w:rsidRPr="00BD1D3F" w:rsidRDefault="00E17528">
      <w:pPr>
        <w:rPr>
          <w:rFonts w:ascii="Tahoma" w:hAnsi="Tahoma" w:cs="Tahoma"/>
          <w:sz w:val="20"/>
          <w:szCs w:val="20"/>
          <w:u w:val="single"/>
          <w:lang w:val="en-IE"/>
        </w:rPr>
      </w:pPr>
    </w:p>
    <w:p w14:paraId="769B32F6" w14:textId="4E273023" w:rsidR="00EB34F4" w:rsidRPr="00BD1D3F" w:rsidRDefault="00945E5B">
      <w:pPr>
        <w:rPr>
          <w:rFonts w:ascii="Tahoma" w:hAnsi="Tahoma" w:cs="Tahoma"/>
          <w:sz w:val="20"/>
          <w:szCs w:val="20"/>
          <w:u w:val="single"/>
        </w:rPr>
      </w:pPr>
      <w:r w:rsidRPr="00BD1D3F">
        <w:rPr>
          <w:rFonts w:ascii="Tahoma" w:hAnsi="Tahoma" w:cs="Tahoma"/>
          <w:sz w:val="20"/>
          <w:szCs w:val="20"/>
          <w:u w:val="single"/>
        </w:rPr>
        <w:t xml:space="preserve">Assessment of the overall </w:t>
      </w:r>
      <w:r w:rsidR="00F67902" w:rsidRPr="00BD1D3F">
        <w:rPr>
          <w:rFonts w:ascii="Tahoma" w:hAnsi="Tahoma" w:cs="Tahoma"/>
          <w:sz w:val="20"/>
          <w:szCs w:val="20"/>
          <w:u w:val="single"/>
        </w:rPr>
        <w:t>Uncertainty characterisation</w:t>
      </w:r>
    </w:p>
    <w:p w14:paraId="687A4BE6" w14:textId="3D0ECD15" w:rsidR="00CC33C4" w:rsidRPr="00BD1D3F" w:rsidRDefault="007F7D39" w:rsidP="009C37FA">
      <w:pPr>
        <w:pStyle w:val="EFSABodytext"/>
        <w:rPr>
          <w:rFonts w:cs="Tahoma"/>
          <w:lang w:val="en-US"/>
        </w:rPr>
      </w:pPr>
      <w:r w:rsidRPr="00BD1D3F">
        <w:rPr>
          <w:rFonts w:cs="Tahoma"/>
          <w:lang w:val="en-US"/>
        </w:rPr>
        <w:t xml:space="preserve">As described in the </w:t>
      </w:r>
      <w:r w:rsidR="00080BD5" w:rsidRPr="00BD1D3F">
        <w:rPr>
          <w:rFonts w:cs="Tahoma"/>
          <w:lang w:val="en-US"/>
        </w:rPr>
        <w:t xml:space="preserve">SC guidance on </w:t>
      </w:r>
      <w:r w:rsidR="00841801" w:rsidRPr="00BD1D3F">
        <w:rPr>
          <w:rFonts w:cs="Tahoma"/>
          <w:lang w:val="en-US"/>
        </w:rPr>
        <w:t xml:space="preserve">uncertainty analysis in scientific assessment (2018), </w:t>
      </w:r>
      <w:r w:rsidR="00383E47" w:rsidRPr="00BD1D3F">
        <w:rPr>
          <w:rFonts w:cs="Tahoma"/>
          <w:lang w:val="en-US"/>
        </w:rPr>
        <w:t xml:space="preserve">all EFSA scientific assessments must include consideration of uncertainties. </w:t>
      </w:r>
      <w:r w:rsidR="00FB60B3" w:rsidRPr="00BD1D3F">
        <w:rPr>
          <w:rFonts w:cs="Tahoma"/>
          <w:lang w:val="en-US"/>
        </w:rPr>
        <w:t xml:space="preserve">As mentioned in section 2.3.3, the BMD approach allows for </w:t>
      </w:r>
      <w:r w:rsidR="00BF1BAA" w:rsidRPr="00BD1D3F">
        <w:rPr>
          <w:rFonts w:cs="Tahoma"/>
          <w:lang w:val="en-US"/>
        </w:rPr>
        <w:t>a</w:t>
      </w:r>
      <w:r w:rsidR="00FB60B3" w:rsidRPr="00BD1D3F">
        <w:rPr>
          <w:rFonts w:cs="Tahoma"/>
          <w:lang w:val="en-US"/>
        </w:rPr>
        <w:t xml:space="preserve"> quantitative </w:t>
      </w:r>
      <w:proofErr w:type="spellStart"/>
      <w:r w:rsidR="00FB60B3" w:rsidRPr="00BD1D3F">
        <w:rPr>
          <w:rFonts w:cs="Tahoma"/>
          <w:lang w:val="en-US"/>
        </w:rPr>
        <w:t>characterisation</w:t>
      </w:r>
      <w:proofErr w:type="spellEnd"/>
      <w:r w:rsidR="00FB60B3" w:rsidRPr="00BD1D3F">
        <w:rPr>
          <w:rFonts w:cs="Tahoma"/>
          <w:lang w:val="en-US"/>
        </w:rPr>
        <w:t xml:space="preserve"> of the uncertainty around the RP (represented by the BMDL-BMDU credible interval</w:t>
      </w:r>
      <w:r w:rsidR="006D5E29" w:rsidRPr="00BD1D3F">
        <w:rPr>
          <w:rFonts w:cs="Tahoma"/>
          <w:lang w:val="en-US"/>
        </w:rPr>
        <w:t xml:space="preserve"> and/or </w:t>
      </w:r>
      <w:r w:rsidR="00A95D9C" w:rsidRPr="00BD1D3F">
        <w:rPr>
          <w:rFonts w:cs="Tahoma"/>
          <w:lang w:val="en-US"/>
        </w:rPr>
        <w:t>other quantiles of the BMD posterior distribution</w:t>
      </w:r>
      <w:r w:rsidR="00FB60B3" w:rsidRPr="00BD1D3F">
        <w:rPr>
          <w:rFonts w:cs="Tahoma"/>
          <w:lang w:val="en-US"/>
        </w:rPr>
        <w:t xml:space="preserve">) </w:t>
      </w:r>
      <w:r w:rsidR="008C4177" w:rsidRPr="00BD1D3F">
        <w:rPr>
          <w:rFonts w:cs="Tahoma"/>
          <w:lang w:val="en-US"/>
        </w:rPr>
        <w:t>for the critical endpoint under consideration</w:t>
      </w:r>
      <w:r w:rsidR="002E730A" w:rsidRPr="00BD1D3F">
        <w:rPr>
          <w:rFonts w:cs="Tahoma"/>
          <w:lang w:val="en-US"/>
        </w:rPr>
        <w:t xml:space="preserve">. </w:t>
      </w:r>
      <w:r w:rsidR="001564C6" w:rsidRPr="00BD1D3F">
        <w:rPr>
          <w:rFonts w:cs="Tahoma"/>
          <w:lang w:val="en-US"/>
        </w:rPr>
        <w:t xml:space="preserve">The </w:t>
      </w:r>
      <w:r w:rsidR="000A6C00" w:rsidRPr="00BD1D3F">
        <w:rPr>
          <w:rFonts w:cs="Tahoma"/>
          <w:lang w:val="en-US"/>
        </w:rPr>
        <w:t>selection</w:t>
      </w:r>
      <w:r w:rsidR="001564C6" w:rsidRPr="00BD1D3F">
        <w:rPr>
          <w:rFonts w:cs="Tahoma"/>
          <w:lang w:val="en-US"/>
        </w:rPr>
        <w:t xml:space="preserve"> of the N(L)OAEL as reference point</w:t>
      </w:r>
      <w:r w:rsidR="009203D9" w:rsidRPr="00BD1D3F">
        <w:rPr>
          <w:rFonts w:cs="Tahoma"/>
          <w:lang w:val="en-US"/>
        </w:rPr>
        <w:t xml:space="preserve"> does not </w:t>
      </w:r>
      <w:r w:rsidR="00E926ED" w:rsidRPr="00BD1D3F">
        <w:rPr>
          <w:rFonts w:cs="Tahoma"/>
          <w:lang w:val="en-US"/>
        </w:rPr>
        <w:t xml:space="preserve">include a </w:t>
      </w:r>
      <w:proofErr w:type="spellStart"/>
      <w:r w:rsidR="005756AC" w:rsidRPr="00BD1D3F">
        <w:rPr>
          <w:rFonts w:cs="Tahoma"/>
          <w:lang w:val="en-US"/>
        </w:rPr>
        <w:t>charac</w:t>
      </w:r>
      <w:r w:rsidR="00894AEC" w:rsidRPr="00BD1D3F">
        <w:rPr>
          <w:rFonts w:cs="Tahoma"/>
          <w:lang w:val="en-US"/>
        </w:rPr>
        <w:t>terisation</w:t>
      </w:r>
      <w:proofErr w:type="spellEnd"/>
      <w:r w:rsidR="009203D9" w:rsidRPr="00BD1D3F">
        <w:rPr>
          <w:rFonts w:cs="Tahoma"/>
          <w:lang w:val="en-US"/>
        </w:rPr>
        <w:t xml:space="preserve"> of the uncertainty around the RP</w:t>
      </w:r>
      <w:r w:rsidR="009E3CB2" w:rsidRPr="00BD1D3F">
        <w:rPr>
          <w:rFonts w:cs="Tahoma"/>
          <w:lang w:val="en-US"/>
        </w:rPr>
        <w:t>; still the uncertainty around the RP</w:t>
      </w:r>
      <w:r w:rsidR="000611AD" w:rsidRPr="00BD1D3F">
        <w:rPr>
          <w:rFonts w:cs="Tahoma"/>
          <w:lang w:val="en-US"/>
        </w:rPr>
        <w:t xml:space="preserve"> needs to be </w:t>
      </w:r>
      <w:proofErr w:type="gramStart"/>
      <w:r w:rsidR="000611AD" w:rsidRPr="00BD1D3F">
        <w:rPr>
          <w:rFonts w:cs="Tahoma"/>
          <w:lang w:val="en-US"/>
        </w:rPr>
        <w:t>taken into account</w:t>
      </w:r>
      <w:proofErr w:type="gramEnd"/>
      <w:r w:rsidR="000611AD" w:rsidRPr="00BD1D3F">
        <w:rPr>
          <w:rFonts w:cs="Tahoma"/>
          <w:lang w:val="en-US"/>
        </w:rPr>
        <w:t xml:space="preserve"> when describing the overall </w:t>
      </w:r>
      <w:r w:rsidR="002542BC" w:rsidRPr="00BD1D3F">
        <w:rPr>
          <w:rFonts w:cs="Tahoma"/>
          <w:lang w:val="en-US"/>
        </w:rPr>
        <w:t xml:space="preserve">uncertainty associated with the </w:t>
      </w:r>
      <w:r w:rsidR="00360D57" w:rsidRPr="00BD1D3F">
        <w:rPr>
          <w:rFonts w:cs="Tahoma"/>
          <w:lang w:val="en-US"/>
        </w:rPr>
        <w:t>assessment</w:t>
      </w:r>
      <w:r w:rsidR="009203D9" w:rsidRPr="00BD1D3F">
        <w:rPr>
          <w:rFonts w:cs="Tahoma"/>
          <w:lang w:val="en-US"/>
        </w:rPr>
        <w:t xml:space="preserve">. </w:t>
      </w:r>
    </w:p>
    <w:p w14:paraId="35831C7A" w14:textId="2928CCCA" w:rsidR="009172D8" w:rsidRPr="00BD1D3F" w:rsidRDefault="000D4A01" w:rsidP="009C37FA">
      <w:pPr>
        <w:pStyle w:val="EFSABodytext"/>
        <w:rPr>
          <w:rFonts w:cs="Tahoma"/>
          <w:lang w:val="en-US"/>
        </w:rPr>
      </w:pPr>
      <w:r w:rsidRPr="00BD1D3F">
        <w:rPr>
          <w:rFonts w:cs="Tahoma"/>
          <w:lang w:val="en-US"/>
        </w:rPr>
        <w:t>The identified</w:t>
      </w:r>
      <w:r w:rsidR="00F85B7F" w:rsidRPr="00BD1D3F">
        <w:rPr>
          <w:rFonts w:cs="Tahoma"/>
          <w:lang w:val="en-US"/>
        </w:rPr>
        <w:t xml:space="preserve"> </w:t>
      </w:r>
      <w:r w:rsidR="00383E47" w:rsidRPr="00BD1D3F">
        <w:rPr>
          <w:rFonts w:cs="Tahoma"/>
          <w:lang w:val="en-US"/>
        </w:rPr>
        <w:t xml:space="preserve">sources of uncertainty </w:t>
      </w:r>
      <w:r w:rsidR="00F85B7F" w:rsidRPr="00BD1D3F">
        <w:rPr>
          <w:rFonts w:cs="Tahoma"/>
          <w:lang w:val="en-US"/>
        </w:rPr>
        <w:t xml:space="preserve">should be listed, and their </w:t>
      </w:r>
      <w:r w:rsidR="00FD5978" w:rsidRPr="00BD1D3F">
        <w:rPr>
          <w:rFonts w:cs="Tahoma"/>
          <w:lang w:val="en-US"/>
        </w:rPr>
        <w:t xml:space="preserve">overall </w:t>
      </w:r>
      <w:r w:rsidR="00F85B7F" w:rsidRPr="00BD1D3F">
        <w:rPr>
          <w:rFonts w:cs="Tahoma"/>
          <w:lang w:val="en-US"/>
        </w:rPr>
        <w:t>impact on the assessment conclusion</w:t>
      </w:r>
      <w:r w:rsidR="00383E47" w:rsidRPr="00BD1D3F">
        <w:rPr>
          <w:rFonts w:cs="Tahoma"/>
          <w:lang w:val="en-US"/>
        </w:rPr>
        <w:t xml:space="preserve"> </w:t>
      </w:r>
      <w:proofErr w:type="spellStart"/>
      <w:r w:rsidR="00383E47" w:rsidRPr="00BD1D3F">
        <w:rPr>
          <w:rFonts w:cs="Tahoma"/>
          <w:lang w:val="en-US"/>
        </w:rPr>
        <w:t>characteri</w:t>
      </w:r>
      <w:r w:rsidR="00F85B7F" w:rsidRPr="00BD1D3F">
        <w:rPr>
          <w:rFonts w:cs="Tahoma"/>
          <w:lang w:val="en-US"/>
        </w:rPr>
        <w:t>s</w:t>
      </w:r>
      <w:r w:rsidR="00383E47" w:rsidRPr="00BD1D3F">
        <w:rPr>
          <w:rFonts w:cs="Tahoma"/>
          <w:lang w:val="en-US"/>
        </w:rPr>
        <w:t>e</w:t>
      </w:r>
      <w:r w:rsidR="00F85B7F" w:rsidRPr="00BD1D3F">
        <w:rPr>
          <w:rFonts w:cs="Tahoma"/>
          <w:lang w:val="en-US"/>
        </w:rPr>
        <w:t>d</w:t>
      </w:r>
      <w:proofErr w:type="spellEnd"/>
      <w:r w:rsidR="00383E47" w:rsidRPr="00BD1D3F">
        <w:rPr>
          <w:rFonts w:cs="Tahoma"/>
          <w:lang w:val="en-US"/>
        </w:rPr>
        <w:t xml:space="preserve"> (EFSA 2018). </w:t>
      </w:r>
      <w:r w:rsidR="00321AF7" w:rsidRPr="00BD1D3F">
        <w:rPr>
          <w:rFonts w:cs="Tahoma"/>
          <w:lang w:val="en-US"/>
        </w:rPr>
        <w:t>T</w:t>
      </w:r>
      <w:r w:rsidR="00383E47" w:rsidRPr="00BD1D3F">
        <w:rPr>
          <w:rFonts w:cs="Tahoma"/>
          <w:lang w:val="en-US"/>
        </w:rPr>
        <w:t xml:space="preserve">he BMD </w:t>
      </w:r>
      <w:r w:rsidR="006C7703" w:rsidRPr="00BD1D3F">
        <w:rPr>
          <w:rFonts w:cs="Tahoma"/>
          <w:lang w:val="en-US"/>
        </w:rPr>
        <w:t>credible</w:t>
      </w:r>
      <w:r w:rsidR="00383E47" w:rsidRPr="00BD1D3F">
        <w:rPr>
          <w:rFonts w:cs="Tahoma"/>
          <w:lang w:val="en-US"/>
        </w:rPr>
        <w:t xml:space="preserve"> interval</w:t>
      </w:r>
      <w:r w:rsidR="00DF5405" w:rsidRPr="00BD1D3F">
        <w:rPr>
          <w:rFonts w:cs="Tahoma"/>
          <w:lang w:val="en-US"/>
        </w:rPr>
        <w:t xml:space="preserve"> will therefore be </w:t>
      </w:r>
      <w:r w:rsidR="00AD14F2" w:rsidRPr="00BD1D3F">
        <w:rPr>
          <w:rFonts w:cs="Tahoma"/>
          <w:lang w:val="en-US"/>
        </w:rPr>
        <w:t xml:space="preserve">one of the </w:t>
      </w:r>
      <w:r w:rsidR="7F2E6D79" w:rsidRPr="00BD1D3F">
        <w:rPr>
          <w:rFonts w:cs="Tahoma"/>
          <w:lang w:val="en-US"/>
        </w:rPr>
        <w:t>factors</w:t>
      </w:r>
      <w:r w:rsidR="00B57A04" w:rsidRPr="00BD1D3F">
        <w:rPr>
          <w:rFonts w:cs="Tahoma"/>
          <w:lang w:val="en-US"/>
        </w:rPr>
        <w:t xml:space="preserve"> </w:t>
      </w:r>
      <w:r w:rsidR="00634F87" w:rsidRPr="00BD1D3F">
        <w:rPr>
          <w:rFonts w:cs="Tahoma"/>
          <w:lang w:val="en-US"/>
        </w:rPr>
        <w:t xml:space="preserve">to be considered </w:t>
      </w:r>
      <w:r w:rsidR="00790DA0" w:rsidRPr="00BD1D3F">
        <w:rPr>
          <w:rFonts w:cs="Tahoma"/>
          <w:lang w:val="en-US"/>
        </w:rPr>
        <w:t>in</w:t>
      </w:r>
      <w:r w:rsidR="00383E47" w:rsidRPr="00BD1D3F">
        <w:rPr>
          <w:rFonts w:cs="Tahoma"/>
          <w:lang w:val="en-US"/>
        </w:rPr>
        <w:t xml:space="preserve"> the overall uncertainty analysis required by EFSA as part of </w:t>
      </w:r>
      <w:r w:rsidR="00AE3340" w:rsidRPr="00BD1D3F">
        <w:rPr>
          <w:rFonts w:cs="Tahoma"/>
          <w:lang w:val="en-US"/>
        </w:rPr>
        <w:t xml:space="preserve">the </w:t>
      </w:r>
      <w:r w:rsidR="00383E47" w:rsidRPr="00BD1D3F">
        <w:rPr>
          <w:rFonts w:cs="Tahoma"/>
          <w:lang w:val="en-US"/>
        </w:rPr>
        <w:t>risk assessment</w:t>
      </w:r>
      <w:r w:rsidR="006C7703" w:rsidRPr="00BD1D3F">
        <w:rPr>
          <w:rFonts w:cs="Tahoma"/>
          <w:lang w:val="en-US"/>
        </w:rPr>
        <w:t>.</w:t>
      </w:r>
    </w:p>
    <w:p w14:paraId="41C32237" w14:textId="77777777" w:rsidR="009172D8" w:rsidRDefault="009172D8"/>
    <w:p w14:paraId="3EB95F91" w14:textId="77777777" w:rsidR="0012057F" w:rsidRPr="0012057F" w:rsidRDefault="0012057F" w:rsidP="0012057F">
      <w:pPr>
        <w:pStyle w:val="EFSABodytext"/>
        <w:rPr>
          <w:i/>
        </w:rPr>
      </w:pPr>
      <w:r w:rsidRPr="0012057F">
        <w:rPr>
          <w:i/>
        </w:rPr>
        <w:t xml:space="preserve">Determining the </w:t>
      </w:r>
      <w:r w:rsidR="003A5D7C">
        <w:rPr>
          <w:i/>
        </w:rPr>
        <w:t>RP</w:t>
      </w:r>
      <w:r w:rsidRPr="0012057F">
        <w:rPr>
          <w:i/>
        </w:rPr>
        <w:t xml:space="preserve"> for a given substance</w:t>
      </w:r>
    </w:p>
    <w:p w14:paraId="0B0E5FED" w14:textId="2CA9348F" w:rsidR="0012057F" w:rsidRDefault="0012057F" w:rsidP="0012057F">
      <w:pPr>
        <w:pStyle w:val="EFSABodytext"/>
      </w:pPr>
      <w:r>
        <w:t xml:space="preserve">The </w:t>
      </w:r>
      <w:r w:rsidR="00E007B3">
        <w:t>procedure outline</w:t>
      </w:r>
      <w:r w:rsidR="00E53E9D" w:rsidRPr="0041680E">
        <w:t>d</w:t>
      </w:r>
      <w:r w:rsidR="00E007B3" w:rsidRPr="00AF7502">
        <w:t xml:space="preserve"> in </w:t>
      </w:r>
      <w:r w:rsidR="002C2A1F" w:rsidRPr="00A62794">
        <w:t>F</w:t>
      </w:r>
      <w:r w:rsidR="00E007B3" w:rsidRPr="00A62794">
        <w:t xml:space="preserve">igure </w:t>
      </w:r>
      <w:r w:rsidR="002C2A1F" w:rsidRPr="002C2A1F">
        <w:t>2</w:t>
      </w:r>
      <w:r w:rsidR="00E007B3" w:rsidRPr="0041680E">
        <w:t xml:space="preserve"> </w:t>
      </w:r>
      <w:r w:rsidRPr="00AF7502">
        <w:t>results</w:t>
      </w:r>
      <w:r>
        <w:t xml:space="preserve"> in a final BMD </w:t>
      </w:r>
      <w:r w:rsidR="507DBF33">
        <w:t xml:space="preserve">credible </w:t>
      </w:r>
      <w:r>
        <w:t xml:space="preserve">interval for a given dose-response dataset related to a specific endpoint. The BMD </w:t>
      </w:r>
      <w:r w:rsidR="6DF9059D">
        <w:t xml:space="preserve">credible </w:t>
      </w:r>
      <w:r>
        <w:t xml:space="preserve">interval should be </w:t>
      </w:r>
      <w:r w:rsidR="110DCEE4">
        <w:t xml:space="preserve">calculated </w:t>
      </w:r>
      <w:r>
        <w:t>for all datasets considered relevant (</w:t>
      </w:r>
      <w:r w:rsidR="370D0057">
        <w:t xml:space="preserve">the respective BMDL </w:t>
      </w:r>
      <w:r>
        <w:t xml:space="preserve">potentially leading to the RP), resulting in a set of </w:t>
      </w:r>
      <w:r w:rsidR="5EA8FF45">
        <w:t xml:space="preserve">credible </w:t>
      </w:r>
      <w:r>
        <w:t xml:space="preserve">intervals indicating the uncertainty ranges around the true BMD for the endpoints considered. This set of BMD </w:t>
      </w:r>
      <w:r w:rsidR="3A537F0B">
        <w:t>credible</w:t>
      </w:r>
      <w:r>
        <w:t xml:space="preserve"> intervals concisely reflects the information provided by the available data and provides the starting point for the risk assessor to </w:t>
      </w:r>
      <w:r w:rsidR="5F3A7507">
        <w:t xml:space="preserve">identify a </w:t>
      </w:r>
      <w:r w:rsidR="397D4699">
        <w:t>RP</w:t>
      </w:r>
      <w:r w:rsidR="0B8FBFA2">
        <w:t>.</w:t>
      </w:r>
      <w:r>
        <w:t xml:space="preserve"> </w:t>
      </w:r>
      <w:r w:rsidR="7440C8BE" w:rsidRPr="14054181">
        <w:rPr>
          <w:rFonts w:eastAsia="Calibri" w:cs="Tahoma"/>
        </w:rPr>
        <w:t xml:space="preserve">It is anticipated that the credible intervals resulting from modelling different endpoints elicited by a given substance will </w:t>
      </w:r>
      <w:r w:rsidR="066FEC6A" w:rsidRPr="14054181">
        <w:rPr>
          <w:rFonts w:eastAsia="Calibri" w:cs="Tahoma"/>
        </w:rPr>
        <w:t xml:space="preserve">sometimes </w:t>
      </w:r>
      <w:r w:rsidR="7440C8BE" w:rsidRPr="14054181">
        <w:rPr>
          <w:rFonts w:eastAsia="Calibri" w:cs="Tahoma"/>
        </w:rPr>
        <w:t xml:space="preserve">overlap and the width of </w:t>
      </w:r>
      <w:r w:rsidR="67D46BFD" w:rsidRPr="14054181">
        <w:rPr>
          <w:rFonts w:eastAsia="Calibri" w:cs="Tahoma"/>
        </w:rPr>
        <w:t xml:space="preserve">these credible intervals </w:t>
      </w:r>
      <w:r w:rsidR="2D6B41F6" w:rsidRPr="14054181">
        <w:rPr>
          <w:rFonts w:eastAsia="Calibri" w:cs="Tahoma"/>
        </w:rPr>
        <w:t>might</w:t>
      </w:r>
      <w:r w:rsidR="7440C8BE" w:rsidRPr="14054181">
        <w:rPr>
          <w:rFonts w:eastAsia="Calibri" w:cs="Tahoma"/>
        </w:rPr>
        <w:t xml:space="preserve"> vary. This raises the question </w:t>
      </w:r>
      <w:r w:rsidR="001913FA">
        <w:rPr>
          <w:rFonts w:eastAsia="Calibri" w:cs="Tahoma"/>
        </w:rPr>
        <w:t xml:space="preserve">of </w:t>
      </w:r>
      <w:r w:rsidR="606AA9EB" w:rsidRPr="14054181">
        <w:rPr>
          <w:rFonts w:eastAsia="Calibri" w:cs="Tahoma"/>
        </w:rPr>
        <w:t>which BMDL to select as the RP</w:t>
      </w:r>
      <w:r w:rsidR="33E4A22E" w:rsidRPr="14054181">
        <w:rPr>
          <w:rFonts w:eastAsia="Calibri" w:cs="Tahoma"/>
        </w:rPr>
        <w:t>.</w:t>
      </w:r>
      <w:r w:rsidRPr="14054181">
        <w:rPr>
          <w:rFonts w:eastAsia="Calibri" w:cs="Tahoma"/>
        </w:rPr>
        <w:t xml:space="preserve"> </w:t>
      </w:r>
      <w:r>
        <w:t xml:space="preserve">One way to proceed is to simply select the endpoint with the lowest BMDL and use that value as the </w:t>
      </w:r>
      <w:r w:rsidR="003A5D7C">
        <w:t>RP</w:t>
      </w:r>
      <w:r>
        <w:t xml:space="preserve">. However, this procedure may not be optimal in all cases, and the risk assessor might decide to use a more holistic approach, where all relevant aspects are </w:t>
      </w:r>
      <w:proofErr w:type="gramStart"/>
      <w:r>
        <w:t>taken into account</w:t>
      </w:r>
      <w:proofErr w:type="gramEnd"/>
      <w:r>
        <w:t xml:space="preserve">, such as the </w:t>
      </w:r>
      <w:r w:rsidR="1EC7E8A1">
        <w:t xml:space="preserve">width of the </w:t>
      </w:r>
      <w:r>
        <w:t xml:space="preserve">BMD </w:t>
      </w:r>
      <w:r w:rsidR="50EFAED6" w:rsidRPr="14054181">
        <w:rPr>
          <w:rFonts w:eastAsia="Calibri" w:cs="Tahoma"/>
        </w:rPr>
        <w:t xml:space="preserve">credible </w:t>
      </w:r>
      <w:r>
        <w:t>intervals (rather than just the BMDLs), the biological meaning of the relevant endpoints, and the consequences for the HBGV or the MOE. This process will differ from case to case</w:t>
      </w:r>
      <w:r w:rsidR="210046F6">
        <w:t xml:space="preserve">, </w:t>
      </w:r>
      <w:r w:rsidR="00E15202">
        <w:t>requires</w:t>
      </w:r>
      <w:r w:rsidR="210046F6">
        <w:t xml:space="preserve"> expert judgement</w:t>
      </w:r>
      <w:r>
        <w:t xml:space="preserve"> and it is the risk assessor’s responsibility to make a substantiated decision on what BMDL will be used as the </w:t>
      </w:r>
      <w:r w:rsidR="003A5D7C">
        <w:t>RP</w:t>
      </w:r>
      <w:r>
        <w:t xml:space="preserve">. </w:t>
      </w:r>
      <w:r w:rsidR="00E77310">
        <w:t>The</w:t>
      </w:r>
      <w:r>
        <w:t xml:space="preserve"> following aspects may be considered: </w:t>
      </w:r>
    </w:p>
    <w:p w14:paraId="3C784474" w14:textId="17644137" w:rsidR="0012057F" w:rsidRPr="0012057F" w:rsidRDefault="0012057F" w:rsidP="4E487999">
      <w:pPr>
        <w:pStyle w:val="EFSABodytext"/>
        <w:numPr>
          <w:ilvl w:val="0"/>
          <w:numId w:val="38"/>
        </w:numPr>
        <w:rPr>
          <w:rFonts w:asciiTheme="minorHAnsi" w:eastAsiaTheme="minorEastAsia" w:hAnsiTheme="minorHAnsi"/>
        </w:rPr>
      </w:pPr>
      <w:r w:rsidRPr="4E487999">
        <w:rPr>
          <w:rFonts w:cs="Tahoma"/>
        </w:rPr>
        <w:t xml:space="preserve">If the HBGV </w:t>
      </w:r>
      <w:r w:rsidR="007505A6" w:rsidRPr="4E487999">
        <w:rPr>
          <w:rFonts w:cs="Tahoma"/>
        </w:rPr>
        <w:t xml:space="preserve">is </w:t>
      </w:r>
      <w:r w:rsidR="00D821B0" w:rsidRPr="4E487999">
        <w:rPr>
          <w:rFonts w:cs="Tahoma"/>
        </w:rPr>
        <w:t xml:space="preserve">based on a BMDL </w:t>
      </w:r>
      <w:r w:rsidR="00F150DC" w:rsidRPr="4E487999">
        <w:rPr>
          <w:rFonts w:cs="Tahoma"/>
        </w:rPr>
        <w:t>with a wide credible interval,</w:t>
      </w:r>
      <w:r w:rsidR="00D821B0" w:rsidRPr="4E487999">
        <w:rPr>
          <w:rFonts w:cs="Tahoma"/>
        </w:rPr>
        <w:t xml:space="preserve"> </w:t>
      </w:r>
      <w:r w:rsidR="007B698D" w:rsidRPr="4E487999">
        <w:rPr>
          <w:rFonts w:cs="Tahoma"/>
        </w:rPr>
        <w:t>and is</w:t>
      </w:r>
      <w:r w:rsidRPr="4E487999">
        <w:rPr>
          <w:rFonts w:cs="Tahoma"/>
        </w:rPr>
        <w:t xml:space="preserve"> much higher than the exposure estimate, or the MOE </w:t>
      </w:r>
      <w:r w:rsidR="007B698D" w:rsidRPr="4E487999">
        <w:rPr>
          <w:rFonts w:cs="Tahoma"/>
        </w:rPr>
        <w:t xml:space="preserve">is </w:t>
      </w:r>
      <w:r w:rsidRPr="4E487999">
        <w:rPr>
          <w:rFonts w:cs="Tahoma"/>
        </w:rPr>
        <w:t xml:space="preserve">much larger than </w:t>
      </w:r>
      <w:r w:rsidR="798FD9E4" w:rsidRPr="4E487999">
        <w:rPr>
          <w:rFonts w:cs="Tahoma"/>
        </w:rPr>
        <w:t>the minimal value</w:t>
      </w:r>
      <w:r w:rsidR="78A485F9" w:rsidRPr="4E487999">
        <w:rPr>
          <w:rFonts w:cs="Tahoma"/>
        </w:rPr>
        <w:t xml:space="preserve"> considered</w:t>
      </w:r>
      <w:r w:rsidR="798FD9E4" w:rsidRPr="4E487999">
        <w:rPr>
          <w:rFonts w:cs="Tahoma"/>
        </w:rPr>
        <w:t xml:space="preserve"> </w:t>
      </w:r>
      <w:r w:rsidR="6D332609" w:rsidRPr="4E487999">
        <w:rPr>
          <w:rFonts w:cs="Tahoma"/>
        </w:rPr>
        <w:t>necessary,</w:t>
      </w:r>
      <w:r w:rsidRPr="4E487999">
        <w:rPr>
          <w:rFonts w:cs="Tahoma"/>
        </w:rPr>
        <w:t xml:space="preserve"> then </w:t>
      </w:r>
      <w:r w:rsidR="00EB73BA" w:rsidRPr="4E487999">
        <w:rPr>
          <w:rFonts w:cs="Tahoma"/>
        </w:rPr>
        <w:t xml:space="preserve">the high uncertainty in the </w:t>
      </w:r>
      <w:r w:rsidR="003A5D7C" w:rsidRPr="4E487999">
        <w:rPr>
          <w:rFonts w:cs="Tahoma"/>
        </w:rPr>
        <w:t>RP</w:t>
      </w:r>
      <w:r w:rsidR="00EB73BA" w:rsidRPr="4E487999">
        <w:rPr>
          <w:rFonts w:cs="Tahoma"/>
        </w:rPr>
        <w:t xml:space="preserve"> has no consequence for the </w:t>
      </w:r>
      <w:r w:rsidR="1EC2AB05" w:rsidRPr="4E487999">
        <w:rPr>
          <w:rFonts w:cs="Tahoma"/>
        </w:rPr>
        <w:t xml:space="preserve">risk </w:t>
      </w:r>
      <w:r w:rsidR="00EB73BA" w:rsidRPr="4E487999">
        <w:rPr>
          <w:rFonts w:cs="Tahoma"/>
        </w:rPr>
        <w:t>characterization</w:t>
      </w:r>
      <w:r w:rsidRPr="4E487999">
        <w:rPr>
          <w:rFonts w:cs="Tahoma"/>
        </w:rPr>
        <w:t xml:space="preserve">. </w:t>
      </w:r>
      <w:r w:rsidR="00D97B2F" w:rsidRPr="4E487999">
        <w:rPr>
          <w:rFonts w:cs="Tahoma"/>
        </w:rPr>
        <w:t xml:space="preserve">It should be however kept in mind that an exposure estimate is not a fixed value </w:t>
      </w:r>
      <w:r w:rsidR="00CC09EB" w:rsidRPr="4E487999">
        <w:rPr>
          <w:rFonts w:cs="Tahoma"/>
        </w:rPr>
        <w:t xml:space="preserve">(it </w:t>
      </w:r>
      <w:r w:rsidR="00D97B2F" w:rsidRPr="4E487999">
        <w:rPr>
          <w:rFonts w:cs="Tahoma"/>
        </w:rPr>
        <w:t xml:space="preserve">may </w:t>
      </w:r>
      <w:r w:rsidR="00CC09EB" w:rsidRPr="4E487999">
        <w:rPr>
          <w:rFonts w:cs="Tahoma"/>
        </w:rPr>
        <w:t xml:space="preserve">well </w:t>
      </w:r>
      <w:r w:rsidR="00D97B2F" w:rsidRPr="4E487999">
        <w:rPr>
          <w:rFonts w:cs="Tahoma"/>
        </w:rPr>
        <w:t>change in the future</w:t>
      </w:r>
      <w:r w:rsidR="006F7321" w:rsidRPr="4E487999">
        <w:rPr>
          <w:rFonts w:cs="Tahoma"/>
        </w:rPr>
        <w:t>)</w:t>
      </w:r>
      <w:r w:rsidR="006F7321">
        <w:t>.</w:t>
      </w:r>
    </w:p>
    <w:p w14:paraId="303D6D30" w14:textId="2A7910D7" w:rsidR="50C392A5" w:rsidRDefault="1F9FDE51" w:rsidP="263756FF">
      <w:pPr>
        <w:pStyle w:val="EFSABodytext"/>
        <w:numPr>
          <w:ilvl w:val="0"/>
          <w:numId w:val="38"/>
        </w:numPr>
        <w:rPr>
          <w:rFonts w:asciiTheme="minorHAnsi" w:eastAsiaTheme="minorEastAsia" w:hAnsiTheme="minorHAnsi"/>
        </w:rPr>
      </w:pPr>
      <w:r w:rsidRPr="182E6C22">
        <w:rPr>
          <w:rFonts w:cs="Tahoma"/>
        </w:rPr>
        <w:t xml:space="preserve">In some cases, the selected </w:t>
      </w:r>
      <w:r w:rsidR="50517A4E" w:rsidRPr="182E6C22">
        <w:rPr>
          <w:rFonts w:cs="Tahoma"/>
        </w:rPr>
        <w:t>RP</w:t>
      </w:r>
      <w:r w:rsidRPr="182E6C22">
        <w:rPr>
          <w:rFonts w:cs="Tahoma"/>
        </w:rPr>
        <w:t xml:space="preserve"> may not be</w:t>
      </w:r>
      <w:r w:rsidR="30147BC0" w:rsidRPr="182E6C22">
        <w:rPr>
          <w:rFonts w:cs="Tahoma"/>
        </w:rPr>
        <w:t xml:space="preserve"> the lowest BMDL</w:t>
      </w:r>
      <w:r w:rsidRPr="182E6C22">
        <w:rPr>
          <w:rFonts w:cs="Tahoma"/>
        </w:rPr>
        <w:t xml:space="preserve">, for example </w:t>
      </w:r>
      <w:r w:rsidR="4F588BEF" w:rsidRPr="182E6C22">
        <w:rPr>
          <w:rFonts w:cs="Tahoma"/>
        </w:rPr>
        <w:t xml:space="preserve">when this lowest BMDL </w:t>
      </w:r>
      <w:r w:rsidR="30147BC0" w:rsidRPr="182E6C22">
        <w:rPr>
          <w:rFonts w:cs="Tahoma"/>
        </w:rPr>
        <w:t>concerns an effect that is also reflected by</w:t>
      </w:r>
      <w:r w:rsidR="00580DDF" w:rsidRPr="51CEFFFB">
        <w:rPr>
          <w:rFonts w:cs="Tahoma"/>
        </w:rPr>
        <w:t>, or linked to</w:t>
      </w:r>
      <w:r w:rsidR="50C052EA" w:rsidRPr="51CEFFFB">
        <w:rPr>
          <w:rFonts w:cs="Tahoma"/>
        </w:rPr>
        <w:t xml:space="preserve"> </w:t>
      </w:r>
      <w:r w:rsidR="30147BC0" w:rsidRPr="182E6C22">
        <w:rPr>
          <w:rFonts w:cs="Tahoma"/>
        </w:rPr>
        <w:t>other endpoints (</w:t>
      </w:r>
      <w:proofErr w:type="gramStart"/>
      <w:r w:rsidR="30147BC0" w:rsidRPr="182E6C22">
        <w:rPr>
          <w:rFonts w:cs="Tahoma"/>
        </w:rPr>
        <w:t>e.g.</w:t>
      </w:r>
      <w:proofErr w:type="gramEnd"/>
      <w:r w:rsidR="30147BC0" w:rsidRPr="182E6C22">
        <w:rPr>
          <w:rFonts w:cs="Tahoma"/>
        </w:rPr>
        <w:t xml:space="preserve"> l</w:t>
      </w:r>
      <w:r w:rsidR="1037B02C" w:rsidRPr="182E6C22">
        <w:rPr>
          <w:rFonts w:cs="Tahoma"/>
        </w:rPr>
        <w:t xml:space="preserve">iver necrosis </w:t>
      </w:r>
      <w:r w:rsidR="76103F0C" w:rsidRPr="182E6C22">
        <w:rPr>
          <w:rFonts w:cs="Tahoma"/>
        </w:rPr>
        <w:t>vs</w:t>
      </w:r>
      <w:r w:rsidR="1037B02C" w:rsidRPr="182E6C22">
        <w:rPr>
          <w:rFonts w:cs="Tahoma"/>
        </w:rPr>
        <w:t xml:space="preserve"> serum enzymes</w:t>
      </w:r>
      <w:r w:rsidR="30147BC0" w:rsidRPr="182E6C22">
        <w:rPr>
          <w:rFonts w:cs="Tahoma"/>
        </w:rPr>
        <w:t xml:space="preserve">) that resulted in much smaller </w:t>
      </w:r>
      <w:r w:rsidR="2950DA87" w:rsidRPr="0093708A">
        <w:rPr>
          <w:rFonts w:eastAsia="Tahoma" w:cs="Tahoma"/>
        </w:rPr>
        <w:t xml:space="preserve">credible </w:t>
      </w:r>
      <w:r w:rsidR="30147BC0" w:rsidRPr="182E6C22">
        <w:rPr>
          <w:rFonts w:cs="Tahoma"/>
        </w:rPr>
        <w:t>intervals but with higher BMDLs</w:t>
      </w:r>
      <w:r w:rsidR="21FFD6F9" w:rsidRPr="51CEFFFB">
        <w:rPr>
          <w:rFonts w:cs="Tahoma"/>
        </w:rPr>
        <w:t xml:space="preserve"> (scenario I and II)</w:t>
      </w:r>
      <w:r w:rsidR="50C052EA" w:rsidRPr="51CEFFFB">
        <w:rPr>
          <w:rFonts w:cs="Tahoma"/>
        </w:rPr>
        <w:t>.</w:t>
      </w:r>
      <w:r w:rsidR="30147BC0" w:rsidRPr="182E6C22">
        <w:rPr>
          <w:rFonts w:cs="Tahoma"/>
        </w:rPr>
        <w:t xml:space="preserve"> In that case it might be argued that the true BMDs for those analogous endpoints would probably be similar, but one of them resulted in a much wider </w:t>
      </w:r>
      <w:r w:rsidR="285485BB" w:rsidRPr="0093708A">
        <w:rPr>
          <w:rFonts w:eastAsia="Tahoma" w:cs="Tahoma"/>
        </w:rPr>
        <w:t xml:space="preserve">credible </w:t>
      </w:r>
      <w:r w:rsidR="30147BC0" w:rsidRPr="182E6C22">
        <w:rPr>
          <w:rFonts w:cs="Tahoma"/>
        </w:rPr>
        <w:t xml:space="preserve">interval </w:t>
      </w:r>
      <w:r w:rsidR="6786E63B" w:rsidRPr="182E6C22">
        <w:rPr>
          <w:rFonts w:cs="Tahoma"/>
        </w:rPr>
        <w:t>(</w:t>
      </w:r>
      <w:proofErr w:type="gramStart"/>
      <w:r w:rsidR="6786E63B" w:rsidRPr="182E6C22">
        <w:rPr>
          <w:rFonts w:cs="Tahoma"/>
        </w:rPr>
        <w:t>e.g.</w:t>
      </w:r>
      <w:proofErr w:type="gramEnd"/>
      <w:r w:rsidR="6786E63B" w:rsidRPr="182E6C22">
        <w:rPr>
          <w:rFonts w:cs="Tahoma"/>
        </w:rPr>
        <w:t xml:space="preserve"> </w:t>
      </w:r>
      <w:r w:rsidR="30147BC0" w:rsidRPr="182E6C22">
        <w:rPr>
          <w:rFonts w:cs="Tahoma"/>
        </w:rPr>
        <w:t xml:space="preserve">due to </w:t>
      </w:r>
      <w:r w:rsidR="6786E63B" w:rsidRPr="182E6C22">
        <w:rPr>
          <w:rFonts w:cs="Tahoma"/>
        </w:rPr>
        <w:t>large measurement errors).</w:t>
      </w:r>
      <w:r w:rsidR="646C2012" w:rsidRPr="182E6C22">
        <w:rPr>
          <w:rFonts w:cs="Tahoma"/>
        </w:rPr>
        <w:t xml:space="preserve"> </w:t>
      </w:r>
    </w:p>
    <w:p w14:paraId="3AC7E314" w14:textId="08EF1F63" w:rsidR="50C392A5" w:rsidRDefault="3DB48410" w:rsidP="51CEFFFB">
      <w:pPr>
        <w:pStyle w:val="EFSABodytext"/>
        <w:numPr>
          <w:ilvl w:val="0"/>
          <w:numId w:val="38"/>
        </w:numPr>
        <w:rPr>
          <w:rFonts w:asciiTheme="minorHAnsi" w:eastAsiaTheme="minorEastAsia" w:hAnsiTheme="minorHAnsi"/>
        </w:rPr>
      </w:pPr>
      <w:r w:rsidRPr="51CEFFFB">
        <w:rPr>
          <w:rFonts w:cs="Tahoma"/>
        </w:rPr>
        <w:t xml:space="preserve">In case two endpoints are not related </w:t>
      </w:r>
      <w:r w:rsidR="5995C41E" w:rsidRPr="51CEFFFB">
        <w:rPr>
          <w:rFonts w:cs="Tahoma"/>
        </w:rPr>
        <w:t xml:space="preserve">to each other, </w:t>
      </w:r>
      <w:r w:rsidR="447532FC" w:rsidRPr="51CEFFFB">
        <w:rPr>
          <w:rFonts w:cs="Tahoma"/>
        </w:rPr>
        <w:t>and</w:t>
      </w:r>
      <w:r w:rsidR="7DE6408B" w:rsidRPr="51CEFFFB">
        <w:rPr>
          <w:rFonts w:cs="Tahoma"/>
        </w:rPr>
        <w:t xml:space="preserve"> </w:t>
      </w:r>
      <w:r w:rsidR="5995C41E" w:rsidRPr="51CEFFFB">
        <w:rPr>
          <w:rFonts w:cs="Tahoma"/>
        </w:rPr>
        <w:t>their biological consequences differ</w:t>
      </w:r>
      <w:r w:rsidR="65E6E628" w:rsidRPr="51CEFFFB">
        <w:rPr>
          <w:rFonts w:cs="Tahoma"/>
        </w:rPr>
        <w:t>,</w:t>
      </w:r>
      <w:r w:rsidR="5995C41E" w:rsidRPr="51CEFFFB">
        <w:rPr>
          <w:rFonts w:cs="Tahoma"/>
        </w:rPr>
        <w:t xml:space="preserve"> </w:t>
      </w:r>
      <w:r w:rsidR="41F86DBC" w:rsidRPr="51CEFFFB">
        <w:rPr>
          <w:rFonts w:cs="Tahoma"/>
        </w:rPr>
        <w:t xml:space="preserve">the risk assessor may give </w:t>
      </w:r>
      <w:r w:rsidR="5995C41E" w:rsidRPr="51CEFFFB">
        <w:rPr>
          <w:rFonts w:cs="Tahoma"/>
        </w:rPr>
        <w:t xml:space="preserve">preference </w:t>
      </w:r>
      <w:r w:rsidR="62D0B448" w:rsidRPr="51CEFFFB">
        <w:rPr>
          <w:rFonts w:cs="Tahoma"/>
        </w:rPr>
        <w:t xml:space="preserve">to the endpoint considered to be more </w:t>
      </w:r>
      <w:r w:rsidR="784A3945" w:rsidRPr="51CEFFFB">
        <w:rPr>
          <w:rFonts w:cs="Tahoma"/>
        </w:rPr>
        <w:t>“</w:t>
      </w:r>
      <w:r w:rsidR="62D0B448" w:rsidRPr="51CEFFFB">
        <w:rPr>
          <w:rFonts w:cs="Tahoma"/>
        </w:rPr>
        <w:t>severe</w:t>
      </w:r>
      <w:r w:rsidR="5134C3B8" w:rsidRPr="51CEFFFB">
        <w:rPr>
          <w:rFonts w:cs="Tahoma"/>
        </w:rPr>
        <w:t>”</w:t>
      </w:r>
      <w:r w:rsidR="62D0B448" w:rsidRPr="51CEFFFB">
        <w:rPr>
          <w:rFonts w:cs="Tahoma"/>
        </w:rPr>
        <w:t xml:space="preserve"> (</w:t>
      </w:r>
      <w:proofErr w:type="gramStart"/>
      <w:r w:rsidR="62D0B448" w:rsidRPr="51CEFFFB">
        <w:rPr>
          <w:rFonts w:cs="Tahoma"/>
        </w:rPr>
        <w:t>e.g.</w:t>
      </w:r>
      <w:proofErr w:type="gramEnd"/>
      <w:r w:rsidR="62D0B448" w:rsidRPr="51CEFFFB">
        <w:rPr>
          <w:rFonts w:cs="Tahoma"/>
        </w:rPr>
        <w:t xml:space="preserve"> </w:t>
      </w:r>
      <w:r w:rsidR="007016A5">
        <w:rPr>
          <w:rFonts w:cs="Tahoma"/>
        </w:rPr>
        <w:t>nephrotoxicity</w:t>
      </w:r>
      <w:r w:rsidR="62D0B448" w:rsidRPr="51CEFFFB">
        <w:rPr>
          <w:rFonts w:cs="Tahoma"/>
        </w:rPr>
        <w:t xml:space="preserve"> </w:t>
      </w:r>
      <w:r w:rsidR="36864B49" w:rsidRPr="51CEFFFB">
        <w:rPr>
          <w:rFonts w:cs="Tahoma"/>
        </w:rPr>
        <w:t xml:space="preserve">vs </w:t>
      </w:r>
      <w:r w:rsidR="522E61F5" w:rsidRPr="51CEFFFB">
        <w:rPr>
          <w:rFonts w:cs="Tahoma"/>
        </w:rPr>
        <w:t>b</w:t>
      </w:r>
      <w:r w:rsidR="765531E0" w:rsidRPr="00E61C78">
        <w:rPr>
          <w:rFonts w:cs="Tahoma"/>
        </w:rPr>
        <w:t>ody weight</w:t>
      </w:r>
      <w:r w:rsidR="50FD258B" w:rsidRPr="00E61C78">
        <w:rPr>
          <w:rFonts w:cs="Tahoma"/>
        </w:rPr>
        <w:t>)</w:t>
      </w:r>
      <w:r w:rsidR="0648D541" w:rsidRPr="00E61C78">
        <w:rPr>
          <w:rFonts w:cs="Tahoma"/>
        </w:rPr>
        <w:t>,</w:t>
      </w:r>
      <w:r w:rsidR="7CB4E74D" w:rsidRPr="00E61C78">
        <w:rPr>
          <w:rFonts w:cs="Tahoma"/>
        </w:rPr>
        <w:t xml:space="preserve"> </w:t>
      </w:r>
      <w:r w:rsidR="03F416FF" w:rsidRPr="00E61C78">
        <w:rPr>
          <w:rFonts w:cs="Tahoma"/>
        </w:rPr>
        <w:t>ir</w:t>
      </w:r>
      <w:r w:rsidR="325AFFD8" w:rsidRPr="00E61C78">
        <w:rPr>
          <w:rFonts w:cs="Tahoma"/>
        </w:rPr>
        <w:t xml:space="preserve">respective </w:t>
      </w:r>
      <w:r w:rsidR="62E056CF" w:rsidRPr="00E61C78">
        <w:rPr>
          <w:rFonts w:cs="Tahoma"/>
        </w:rPr>
        <w:t xml:space="preserve">of the width of the </w:t>
      </w:r>
      <w:r w:rsidR="325AFFD8" w:rsidRPr="00E61C78">
        <w:rPr>
          <w:rFonts w:cs="Tahoma"/>
        </w:rPr>
        <w:t xml:space="preserve">credible </w:t>
      </w:r>
      <w:r w:rsidR="325AFFD8" w:rsidRPr="51CEFFFB">
        <w:rPr>
          <w:rFonts w:cs="Tahoma"/>
        </w:rPr>
        <w:t xml:space="preserve">interval </w:t>
      </w:r>
      <w:r w:rsidR="043DE4BB" w:rsidRPr="51CEFFFB">
        <w:rPr>
          <w:rFonts w:cs="Tahoma"/>
        </w:rPr>
        <w:t>(s</w:t>
      </w:r>
      <w:r w:rsidR="12B29A49" w:rsidRPr="51CEFFFB">
        <w:rPr>
          <w:rFonts w:cs="Tahoma"/>
        </w:rPr>
        <w:t>cenario III</w:t>
      </w:r>
      <w:r w:rsidR="4F9E400F" w:rsidRPr="51CEFFFB">
        <w:rPr>
          <w:rFonts w:cs="Tahoma"/>
        </w:rPr>
        <w:t xml:space="preserve"> and IV</w:t>
      </w:r>
      <w:r w:rsidR="12B29A49" w:rsidRPr="51CEFFFB">
        <w:rPr>
          <w:rFonts w:cs="Tahoma"/>
        </w:rPr>
        <w:t>)</w:t>
      </w:r>
      <w:r w:rsidR="10D3F084" w:rsidRPr="51CEFFFB">
        <w:rPr>
          <w:rFonts w:ascii="Calibri" w:eastAsia="Calibri" w:hAnsi="Calibri" w:cs="Calibri"/>
          <w:sz w:val="22"/>
          <w:szCs w:val="22"/>
        </w:rPr>
        <w:t>.</w:t>
      </w:r>
      <w:r w:rsidR="18534225" w:rsidRPr="51CEFFFB">
        <w:rPr>
          <w:rFonts w:ascii="Calibri" w:eastAsia="Calibri" w:hAnsi="Calibri" w:cs="Calibri"/>
          <w:sz w:val="22"/>
          <w:szCs w:val="22"/>
        </w:rPr>
        <w:t xml:space="preserve"> </w:t>
      </w:r>
      <w:r w:rsidR="293FF871" w:rsidRPr="51CEFFFB">
        <w:rPr>
          <w:rFonts w:cs="Tahoma"/>
        </w:rPr>
        <w:t>Th</w:t>
      </w:r>
      <w:r w:rsidR="4E29599D" w:rsidRPr="51CEFFFB">
        <w:rPr>
          <w:rFonts w:cs="Tahoma"/>
        </w:rPr>
        <w:t xml:space="preserve">e following </w:t>
      </w:r>
      <w:r w:rsidR="0E3B0D18" w:rsidRPr="51CEFFFB">
        <w:rPr>
          <w:rFonts w:cs="Tahoma"/>
        </w:rPr>
        <w:t xml:space="preserve">is meant to </w:t>
      </w:r>
      <w:r w:rsidR="293FF871" w:rsidRPr="51CEFFFB">
        <w:rPr>
          <w:rFonts w:cs="Tahoma"/>
        </w:rPr>
        <w:t>illustrate</w:t>
      </w:r>
      <w:r w:rsidR="7AE5ABB9" w:rsidRPr="51CEFFFB">
        <w:rPr>
          <w:rFonts w:cs="Tahoma"/>
        </w:rPr>
        <w:t xml:space="preserve"> </w:t>
      </w:r>
      <w:r w:rsidR="207120BC" w:rsidRPr="51CEFFFB">
        <w:rPr>
          <w:rFonts w:cs="Tahoma"/>
        </w:rPr>
        <w:t>the scenarios mentioned above</w:t>
      </w:r>
      <w:r w:rsidR="1A3FD667" w:rsidRPr="51CEFFFB">
        <w:rPr>
          <w:rFonts w:cs="Tahoma"/>
        </w:rPr>
        <w:t>:</w:t>
      </w:r>
      <w:r w:rsidR="1A5CB07B">
        <w:br/>
      </w:r>
    </w:p>
    <w:p w14:paraId="1A835E68" w14:textId="63A0ABC7" w:rsidR="50C392A5" w:rsidRDefault="4D86649E" w:rsidP="51CEFFFB">
      <w:pPr>
        <w:pStyle w:val="EFSABodytext"/>
        <w:ind w:firstLine="720"/>
        <w:rPr>
          <w:rFonts w:eastAsia="Calibri" w:cs="Arial"/>
        </w:rPr>
      </w:pPr>
      <w:r w:rsidRPr="182E6C22">
        <w:rPr>
          <w:rFonts w:cs="Tahoma"/>
        </w:rPr>
        <w:t>Endpoint</w:t>
      </w:r>
      <w:r w:rsidR="700DAA77" w:rsidRPr="16A7FA41">
        <w:rPr>
          <w:rFonts w:cs="Tahoma"/>
        </w:rPr>
        <w:t xml:space="preserve"> </w:t>
      </w:r>
      <w:r w:rsidR="469A21DE" w:rsidRPr="182E6C22">
        <w:rPr>
          <w:rFonts w:cs="Tahoma"/>
        </w:rPr>
        <w:t>A:</w:t>
      </w:r>
      <w:r w:rsidR="700DAA77" w:rsidRPr="16A7FA41">
        <w:rPr>
          <w:rFonts w:cs="Tahoma"/>
        </w:rPr>
        <w:t xml:space="preserve">        </w:t>
      </w:r>
      <w:r w:rsidR="04EFD294" w:rsidRPr="16A7FA41">
        <w:rPr>
          <w:rFonts w:cs="Tahoma"/>
        </w:rPr>
        <w:t>BMDL-</w:t>
      </w:r>
      <w:r w:rsidR="75250B10" w:rsidRPr="1E1290D8">
        <w:rPr>
          <w:rFonts w:cs="Tahoma"/>
        </w:rPr>
        <w:t>A I---------------------------------------------I BMDU-A</w:t>
      </w:r>
    </w:p>
    <w:p w14:paraId="584503FA" w14:textId="165349BF" w:rsidR="50C392A5" w:rsidRDefault="45812114" w:rsidP="51CEFFFB">
      <w:pPr>
        <w:pStyle w:val="EFSABodytext"/>
        <w:ind w:firstLine="720"/>
        <w:rPr>
          <w:rFonts w:eastAsia="Calibri" w:cs="Arial"/>
        </w:rPr>
      </w:pPr>
      <w:r w:rsidRPr="455EDE32">
        <w:rPr>
          <w:rFonts w:cs="Tahoma"/>
        </w:rPr>
        <w:t xml:space="preserve">Endpoint </w:t>
      </w:r>
      <w:r w:rsidRPr="182E6C22">
        <w:rPr>
          <w:rFonts w:cs="Tahoma"/>
        </w:rPr>
        <w:t>B:</w:t>
      </w:r>
      <w:r w:rsidR="2F10C928" w:rsidRPr="16A7FA41">
        <w:rPr>
          <w:rFonts w:cs="Tahoma"/>
        </w:rPr>
        <w:t xml:space="preserve">                     BMDL-B </w:t>
      </w:r>
      <w:r w:rsidR="1B3F280D" w:rsidRPr="51CEFFFB">
        <w:rPr>
          <w:rFonts w:cs="Tahoma"/>
        </w:rPr>
        <w:t>I</w:t>
      </w:r>
      <w:r w:rsidR="1883E0EC" w:rsidRPr="51CEFFFB">
        <w:rPr>
          <w:rFonts w:cs="Tahoma"/>
        </w:rPr>
        <w:t>---------------</w:t>
      </w:r>
      <w:r w:rsidR="3E86C414" w:rsidRPr="16A7FA41">
        <w:rPr>
          <w:rFonts w:cs="Tahoma"/>
        </w:rPr>
        <w:t>I BMDU-B</w:t>
      </w:r>
    </w:p>
    <w:p w14:paraId="3D9B9904" w14:textId="67F76942" w:rsidR="50C392A5" w:rsidRDefault="3E86C414" w:rsidP="51CEFFFB">
      <w:pPr>
        <w:pStyle w:val="EFSABodytext"/>
        <w:ind w:firstLine="720"/>
      </w:pPr>
      <w:r>
        <w:t>Dose:</w:t>
      </w:r>
      <w:r w:rsidR="1A5CB07B">
        <w:tab/>
      </w:r>
      <w:r>
        <w:t xml:space="preserve">             ----------------------------------------------------------&gt;</w:t>
      </w:r>
      <w:r w:rsidR="1A5CB07B">
        <w:br/>
      </w:r>
      <w:r w:rsidR="46881C2E">
        <w:tab/>
      </w:r>
    </w:p>
    <w:tbl>
      <w:tblPr>
        <w:tblStyle w:val="TableGrid"/>
        <w:tblW w:w="6870" w:type="dxa"/>
        <w:tblInd w:w="720" w:type="dxa"/>
        <w:tblLayout w:type="fixed"/>
        <w:tblLook w:val="04A0" w:firstRow="1" w:lastRow="0" w:firstColumn="1" w:lastColumn="0" w:noHBand="0" w:noVBand="1"/>
      </w:tblPr>
      <w:tblGrid>
        <w:gridCol w:w="1155"/>
        <w:gridCol w:w="2340"/>
        <w:gridCol w:w="1635"/>
        <w:gridCol w:w="1740"/>
      </w:tblGrid>
      <w:tr w:rsidR="263756FF" w14:paraId="704656C4" w14:textId="77777777" w:rsidTr="51CEFFFB">
        <w:tc>
          <w:tcPr>
            <w:tcW w:w="1155" w:type="dxa"/>
            <w:tcBorders>
              <w:top w:val="single" w:sz="8" w:space="0" w:color="auto"/>
              <w:left w:val="single" w:sz="8" w:space="0" w:color="auto"/>
              <w:bottom w:val="single" w:sz="8" w:space="0" w:color="auto"/>
              <w:right w:val="single" w:sz="8" w:space="0" w:color="auto"/>
            </w:tcBorders>
          </w:tcPr>
          <w:p w14:paraId="08EDB3A0" w14:textId="69E48105" w:rsidR="73B8B739" w:rsidRPr="51CEFFFB" w:rsidRDefault="73B8B739" w:rsidP="51CEFFFB">
            <w:pPr>
              <w:rPr>
                <w:rFonts w:ascii="Calibri" w:eastAsia="Calibri" w:hAnsi="Calibri" w:cs="Calibri"/>
              </w:rPr>
            </w:pPr>
            <w:r w:rsidRPr="51CEFFFB">
              <w:rPr>
                <w:rFonts w:ascii="Calibri" w:eastAsia="Calibri" w:hAnsi="Calibri" w:cs="Calibri"/>
                <w:sz w:val="22"/>
                <w:szCs w:val="22"/>
              </w:rPr>
              <w:t>Scenario</w:t>
            </w:r>
          </w:p>
        </w:tc>
        <w:tc>
          <w:tcPr>
            <w:tcW w:w="2340" w:type="dxa"/>
            <w:tcBorders>
              <w:top w:val="single" w:sz="8" w:space="0" w:color="auto"/>
              <w:left w:val="single" w:sz="8" w:space="0" w:color="auto"/>
              <w:bottom w:val="single" w:sz="8" w:space="0" w:color="auto"/>
              <w:right w:val="single" w:sz="8" w:space="0" w:color="auto"/>
            </w:tcBorders>
          </w:tcPr>
          <w:p w14:paraId="0601039D" w14:textId="1691C7D2" w:rsidR="263756FF" w:rsidRDefault="263756FF">
            <w:r w:rsidRPr="263756FF">
              <w:rPr>
                <w:rFonts w:ascii="Calibri" w:eastAsia="Calibri" w:hAnsi="Calibri" w:cs="Calibri"/>
                <w:sz w:val="22"/>
                <w:szCs w:val="22"/>
              </w:rPr>
              <w:t>Endpoint A</w:t>
            </w:r>
          </w:p>
        </w:tc>
        <w:tc>
          <w:tcPr>
            <w:tcW w:w="1635" w:type="dxa"/>
            <w:tcBorders>
              <w:top w:val="single" w:sz="8" w:space="0" w:color="auto"/>
              <w:left w:val="single" w:sz="8" w:space="0" w:color="auto"/>
              <w:bottom w:val="single" w:sz="8" w:space="0" w:color="auto"/>
              <w:right w:val="single" w:sz="8" w:space="0" w:color="auto"/>
            </w:tcBorders>
          </w:tcPr>
          <w:p w14:paraId="0CC8E03D" w14:textId="4C98D6F2" w:rsidR="263756FF" w:rsidRDefault="263756FF">
            <w:r w:rsidRPr="263756FF">
              <w:rPr>
                <w:rFonts w:ascii="Calibri" w:eastAsia="Calibri" w:hAnsi="Calibri" w:cs="Calibri"/>
                <w:sz w:val="22"/>
                <w:szCs w:val="22"/>
              </w:rPr>
              <w:t>Endpoint B</w:t>
            </w:r>
          </w:p>
        </w:tc>
        <w:tc>
          <w:tcPr>
            <w:tcW w:w="1740" w:type="dxa"/>
            <w:tcBorders>
              <w:top w:val="single" w:sz="8" w:space="0" w:color="auto"/>
              <w:left w:val="single" w:sz="8" w:space="0" w:color="auto"/>
              <w:bottom w:val="single" w:sz="8" w:space="0" w:color="auto"/>
              <w:right w:val="single" w:sz="8" w:space="0" w:color="auto"/>
            </w:tcBorders>
          </w:tcPr>
          <w:p w14:paraId="304F4ADA" w14:textId="1AE08FC5" w:rsidR="263756FF" w:rsidRDefault="263756FF">
            <w:r w:rsidRPr="263756FF">
              <w:rPr>
                <w:rFonts w:ascii="Calibri" w:eastAsia="Calibri" w:hAnsi="Calibri" w:cs="Calibri"/>
                <w:sz w:val="22"/>
                <w:szCs w:val="22"/>
              </w:rPr>
              <w:t xml:space="preserve">Consider as RP </w:t>
            </w:r>
          </w:p>
        </w:tc>
      </w:tr>
      <w:tr w:rsidR="263756FF" w14:paraId="2DADA601" w14:textId="77777777" w:rsidTr="51CEFFFB">
        <w:tc>
          <w:tcPr>
            <w:tcW w:w="1155" w:type="dxa"/>
            <w:tcBorders>
              <w:top w:val="single" w:sz="8" w:space="0" w:color="auto"/>
              <w:left w:val="single" w:sz="8" w:space="0" w:color="auto"/>
              <w:bottom w:val="single" w:sz="8" w:space="0" w:color="auto"/>
              <w:right w:val="single" w:sz="8" w:space="0" w:color="auto"/>
            </w:tcBorders>
          </w:tcPr>
          <w:p w14:paraId="42C1B225" w14:textId="60237B06" w:rsidR="21269DD3" w:rsidRPr="51CEFFFB" w:rsidRDefault="21269DD3" w:rsidP="51CEFFFB">
            <w:pPr>
              <w:rPr>
                <w:rFonts w:eastAsia="Tahoma" w:cs="Tahoma"/>
              </w:rPr>
            </w:pPr>
            <w:r w:rsidRPr="51CEFFFB">
              <w:rPr>
                <w:rFonts w:eastAsia="Tahoma" w:cs="Tahoma"/>
              </w:rPr>
              <w:t>I</w:t>
            </w:r>
          </w:p>
        </w:tc>
        <w:tc>
          <w:tcPr>
            <w:tcW w:w="2340" w:type="dxa"/>
            <w:tcBorders>
              <w:top w:val="single" w:sz="8" w:space="0" w:color="auto"/>
              <w:left w:val="single" w:sz="8" w:space="0" w:color="auto"/>
              <w:bottom w:val="single" w:sz="8" w:space="0" w:color="auto"/>
              <w:right w:val="single" w:sz="8" w:space="0" w:color="auto"/>
            </w:tcBorders>
          </w:tcPr>
          <w:p w14:paraId="79CC081A" w14:textId="5AA78FA1" w:rsidR="263756FF" w:rsidRDefault="263756FF">
            <w:r w:rsidRPr="263756FF">
              <w:rPr>
                <w:rFonts w:eastAsia="Tahoma" w:cs="Tahoma"/>
              </w:rPr>
              <w:t xml:space="preserve">Serum enzymes </w:t>
            </w:r>
            <w:r w:rsidRPr="263756FF">
              <w:rPr>
                <w:rFonts w:ascii="Calibri" w:eastAsia="Calibri" w:hAnsi="Calibri" w:cs="Calibri"/>
                <w:sz w:val="22"/>
                <w:szCs w:val="22"/>
              </w:rPr>
              <w:t xml:space="preserve"> </w:t>
            </w:r>
          </w:p>
        </w:tc>
        <w:tc>
          <w:tcPr>
            <w:tcW w:w="1635" w:type="dxa"/>
            <w:tcBorders>
              <w:top w:val="single" w:sz="8" w:space="0" w:color="auto"/>
              <w:left w:val="single" w:sz="8" w:space="0" w:color="auto"/>
              <w:bottom w:val="single" w:sz="8" w:space="0" w:color="auto"/>
              <w:right w:val="single" w:sz="8" w:space="0" w:color="auto"/>
            </w:tcBorders>
          </w:tcPr>
          <w:p w14:paraId="253C030C" w14:textId="64C5EF49" w:rsidR="263756FF" w:rsidRDefault="263756FF">
            <w:r w:rsidRPr="263756FF">
              <w:rPr>
                <w:rFonts w:eastAsia="Tahoma" w:cs="Tahoma"/>
              </w:rPr>
              <w:t>liver necrosis</w:t>
            </w:r>
          </w:p>
        </w:tc>
        <w:tc>
          <w:tcPr>
            <w:tcW w:w="1740" w:type="dxa"/>
            <w:tcBorders>
              <w:top w:val="single" w:sz="8" w:space="0" w:color="auto"/>
              <w:left w:val="single" w:sz="8" w:space="0" w:color="auto"/>
              <w:bottom w:val="single" w:sz="8" w:space="0" w:color="auto"/>
              <w:right w:val="single" w:sz="8" w:space="0" w:color="auto"/>
            </w:tcBorders>
          </w:tcPr>
          <w:p w14:paraId="4169795E" w14:textId="5E8ADF6F" w:rsidR="263756FF" w:rsidRDefault="263756FF">
            <w:r w:rsidRPr="263756FF">
              <w:rPr>
                <w:rFonts w:ascii="Calibri" w:eastAsia="Calibri" w:hAnsi="Calibri" w:cs="Calibri"/>
                <w:sz w:val="22"/>
                <w:szCs w:val="22"/>
              </w:rPr>
              <w:t>BMDL-B</w:t>
            </w:r>
          </w:p>
        </w:tc>
      </w:tr>
      <w:tr w:rsidR="263756FF" w14:paraId="22068D9F" w14:textId="77777777" w:rsidTr="51CEFFFB">
        <w:tc>
          <w:tcPr>
            <w:tcW w:w="1155" w:type="dxa"/>
            <w:tcBorders>
              <w:top w:val="single" w:sz="8" w:space="0" w:color="auto"/>
              <w:left w:val="single" w:sz="8" w:space="0" w:color="auto"/>
              <w:bottom w:val="single" w:sz="8" w:space="0" w:color="auto"/>
              <w:right w:val="single" w:sz="8" w:space="0" w:color="auto"/>
            </w:tcBorders>
          </w:tcPr>
          <w:p w14:paraId="6BD67827" w14:textId="1B391EC7" w:rsidR="721A16A5" w:rsidRPr="51CEFFFB" w:rsidRDefault="721A16A5" w:rsidP="51CEFFFB">
            <w:pPr>
              <w:rPr>
                <w:rFonts w:ascii="Calibri" w:eastAsia="Calibri" w:hAnsi="Calibri" w:cs="Calibri"/>
              </w:rPr>
            </w:pPr>
            <w:r w:rsidRPr="51CEFFFB">
              <w:rPr>
                <w:rFonts w:ascii="Calibri" w:eastAsia="Calibri" w:hAnsi="Calibri" w:cs="Calibri"/>
                <w:sz w:val="22"/>
                <w:szCs w:val="22"/>
              </w:rPr>
              <w:t>II</w:t>
            </w:r>
          </w:p>
        </w:tc>
        <w:tc>
          <w:tcPr>
            <w:tcW w:w="2340" w:type="dxa"/>
            <w:tcBorders>
              <w:top w:val="single" w:sz="8" w:space="0" w:color="auto"/>
              <w:left w:val="single" w:sz="8" w:space="0" w:color="auto"/>
              <w:bottom w:val="single" w:sz="8" w:space="0" w:color="auto"/>
              <w:right w:val="single" w:sz="8" w:space="0" w:color="auto"/>
            </w:tcBorders>
          </w:tcPr>
          <w:p w14:paraId="62468140" w14:textId="64E89B64" w:rsidR="263756FF" w:rsidRDefault="263756FF">
            <w:r w:rsidRPr="263756FF">
              <w:rPr>
                <w:rFonts w:ascii="Calibri" w:eastAsia="Calibri" w:hAnsi="Calibri" w:cs="Calibri"/>
                <w:sz w:val="22"/>
                <w:szCs w:val="22"/>
              </w:rPr>
              <w:t>Relative liver weight</w:t>
            </w:r>
          </w:p>
        </w:tc>
        <w:tc>
          <w:tcPr>
            <w:tcW w:w="1635" w:type="dxa"/>
            <w:tcBorders>
              <w:top w:val="single" w:sz="8" w:space="0" w:color="auto"/>
              <w:left w:val="single" w:sz="8" w:space="0" w:color="auto"/>
              <w:bottom w:val="single" w:sz="8" w:space="0" w:color="auto"/>
              <w:right w:val="single" w:sz="8" w:space="0" w:color="auto"/>
            </w:tcBorders>
          </w:tcPr>
          <w:p w14:paraId="6D2D55F7" w14:textId="20559923" w:rsidR="263756FF" w:rsidRDefault="263756FF">
            <w:r w:rsidRPr="263756FF">
              <w:rPr>
                <w:rFonts w:ascii="Calibri" w:eastAsia="Calibri" w:hAnsi="Calibri" w:cs="Calibri"/>
                <w:sz w:val="22"/>
                <w:szCs w:val="22"/>
              </w:rPr>
              <w:t>Body weight</w:t>
            </w:r>
          </w:p>
        </w:tc>
        <w:tc>
          <w:tcPr>
            <w:tcW w:w="1740" w:type="dxa"/>
            <w:tcBorders>
              <w:top w:val="single" w:sz="8" w:space="0" w:color="auto"/>
              <w:left w:val="single" w:sz="8" w:space="0" w:color="auto"/>
              <w:bottom w:val="single" w:sz="8" w:space="0" w:color="auto"/>
              <w:right w:val="single" w:sz="8" w:space="0" w:color="auto"/>
            </w:tcBorders>
          </w:tcPr>
          <w:p w14:paraId="6DEAEFCA" w14:textId="3555FF09" w:rsidR="263756FF" w:rsidRDefault="263756FF">
            <w:r w:rsidRPr="263756FF">
              <w:rPr>
                <w:rFonts w:ascii="Calibri" w:eastAsia="Calibri" w:hAnsi="Calibri" w:cs="Calibri"/>
                <w:sz w:val="22"/>
                <w:szCs w:val="22"/>
              </w:rPr>
              <w:t>BMDL-B</w:t>
            </w:r>
          </w:p>
        </w:tc>
      </w:tr>
      <w:tr w:rsidR="263756FF" w14:paraId="745ED8B8" w14:textId="77777777" w:rsidTr="51CEFFFB">
        <w:tc>
          <w:tcPr>
            <w:tcW w:w="1155" w:type="dxa"/>
            <w:tcBorders>
              <w:top w:val="single" w:sz="8" w:space="0" w:color="auto"/>
              <w:left w:val="single" w:sz="8" w:space="0" w:color="auto"/>
              <w:bottom w:val="single" w:sz="8" w:space="0" w:color="auto"/>
              <w:right w:val="single" w:sz="8" w:space="0" w:color="auto"/>
            </w:tcBorders>
          </w:tcPr>
          <w:p w14:paraId="41F60E8F" w14:textId="77E3EF76" w:rsidR="4FAE6A8B" w:rsidRPr="51CEFFFB" w:rsidRDefault="4FAE6A8B" w:rsidP="51CEFFFB">
            <w:pPr>
              <w:rPr>
                <w:rFonts w:ascii="Calibri" w:eastAsia="Calibri" w:hAnsi="Calibri" w:cs="Calibri"/>
              </w:rPr>
            </w:pPr>
            <w:r w:rsidRPr="51CEFFFB">
              <w:rPr>
                <w:rFonts w:ascii="Calibri" w:eastAsia="Calibri" w:hAnsi="Calibri" w:cs="Calibri"/>
                <w:sz w:val="22"/>
                <w:szCs w:val="22"/>
              </w:rPr>
              <w:t>III</w:t>
            </w:r>
          </w:p>
        </w:tc>
        <w:tc>
          <w:tcPr>
            <w:tcW w:w="2340" w:type="dxa"/>
            <w:tcBorders>
              <w:top w:val="single" w:sz="8" w:space="0" w:color="auto"/>
              <w:left w:val="single" w:sz="8" w:space="0" w:color="auto"/>
              <w:bottom w:val="single" w:sz="8" w:space="0" w:color="auto"/>
              <w:right w:val="single" w:sz="8" w:space="0" w:color="auto"/>
            </w:tcBorders>
          </w:tcPr>
          <w:p w14:paraId="0B5D9BF9" w14:textId="29A393C4" w:rsidR="263756FF" w:rsidRDefault="00D31184">
            <w:r>
              <w:rPr>
                <w:rFonts w:ascii="Calibri" w:eastAsia="Calibri" w:hAnsi="Calibri" w:cs="Calibri"/>
                <w:sz w:val="22"/>
                <w:szCs w:val="22"/>
              </w:rPr>
              <w:t>Body weight</w:t>
            </w:r>
          </w:p>
        </w:tc>
        <w:tc>
          <w:tcPr>
            <w:tcW w:w="1635" w:type="dxa"/>
            <w:tcBorders>
              <w:top w:val="single" w:sz="8" w:space="0" w:color="auto"/>
              <w:left w:val="single" w:sz="8" w:space="0" w:color="auto"/>
              <w:bottom w:val="single" w:sz="8" w:space="0" w:color="auto"/>
              <w:right w:val="single" w:sz="8" w:space="0" w:color="auto"/>
            </w:tcBorders>
          </w:tcPr>
          <w:p w14:paraId="19EA42B6" w14:textId="55660725" w:rsidR="263756FF" w:rsidRDefault="00D31184">
            <w:r>
              <w:rPr>
                <w:rFonts w:ascii="Calibri" w:eastAsia="Calibri" w:hAnsi="Calibri" w:cs="Calibri"/>
                <w:sz w:val="22"/>
                <w:szCs w:val="22"/>
              </w:rPr>
              <w:t>Nephrotoxicity</w:t>
            </w:r>
          </w:p>
        </w:tc>
        <w:tc>
          <w:tcPr>
            <w:tcW w:w="1740" w:type="dxa"/>
            <w:tcBorders>
              <w:top w:val="single" w:sz="8" w:space="0" w:color="auto"/>
              <w:left w:val="single" w:sz="8" w:space="0" w:color="auto"/>
              <w:bottom w:val="single" w:sz="8" w:space="0" w:color="auto"/>
              <w:right w:val="single" w:sz="8" w:space="0" w:color="auto"/>
            </w:tcBorders>
          </w:tcPr>
          <w:p w14:paraId="0A20B992" w14:textId="44A0709D" w:rsidR="263756FF" w:rsidRDefault="263756FF">
            <w:r w:rsidRPr="263756FF">
              <w:rPr>
                <w:rFonts w:ascii="Calibri" w:eastAsia="Calibri" w:hAnsi="Calibri" w:cs="Calibri"/>
                <w:sz w:val="22"/>
                <w:szCs w:val="22"/>
              </w:rPr>
              <w:t>BMDL-</w:t>
            </w:r>
            <w:r w:rsidR="00D31184">
              <w:rPr>
                <w:rFonts w:ascii="Calibri" w:eastAsia="Calibri" w:hAnsi="Calibri" w:cs="Calibri"/>
                <w:sz w:val="22"/>
                <w:szCs w:val="22"/>
              </w:rPr>
              <w:t>B</w:t>
            </w:r>
          </w:p>
        </w:tc>
      </w:tr>
      <w:tr w:rsidR="263756FF" w14:paraId="2062546E" w14:textId="77777777" w:rsidTr="51CEFFFB">
        <w:tc>
          <w:tcPr>
            <w:tcW w:w="1155" w:type="dxa"/>
            <w:tcBorders>
              <w:top w:val="single" w:sz="8" w:space="0" w:color="auto"/>
              <w:left w:val="single" w:sz="8" w:space="0" w:color="auto"/>
              <w:bottom w:val="single" w:sz="8" w:space="0" w:color="auto"/>
              <w:right w:val="single" w:sz="8" w:space="0" w:color="auto"/>
            </w:tcBorders>
          </w:tcPr>
          <w:p w14:paraId="4B5AB3C2" w14:textId="3EFC63A3" w:rsidR="6631C5E2" w:rsidRPr="51CEFFFB" w:rsidRDefault="6631C5E2" w:rsidP="51CEFFFB">
            <w:pPr>
              <w:rPr>
                <w:rFonts w:eastAsia="Tahoma" w:cs="Tahoma"/>
              </w:rPr>
            </w:pPr>
            <w:r w:rsidRPr="51CEFFFB">
              <w:rPr>
                <w:rFonts w:eastAsia="Tahoma" w:cs="Tahoma"/>
              </w:rPr>
              <w:t>IV</w:t>
            </w:r>
          </w:p>
        </w:tc>
        <w:tc>
          <w:tcPr>
            <w:tcW w:w="2340" w:type="dxa"/>
            <w:tcBorders>
              <w:top w:val="single" w:sz="8" w:space="0" w:color="auto"/>
              <w:left w:val="single" w:sz="8" w:space="0" w:color="auto"/>
              <w:bottom w:val="single" w:sz="8" w:space="0" w:color="auto"/>
              <w:right w:val="single" w:sz="8" w:space="0" w:color="auto"/>
            </w:tcBorders>
          </w:tcPr>
          <w:p w14:paraId="57FD3D26" w14:textId="4145536D" w:rsidR="263756FF" w:rsidRDefault="539B7634">
            <w:r w:rsidRPr="51CEFFFB">
              <w:rPr>
                <w:rFonts w:eastAsia="Tahoma" w:cs="Tahoma"/>
              </w:rPr>
              <w:t>Serum enzymes</w:t>
            </w:r>
          </w:p>
        </w:tc>
        <w:tc>
          <w:tcPr>
            <w:tcW w:w="1635" w:type="dxa"/>
            <w:tcBorders>
              <w:top w:val="single" w:sz="8" w:space="0" w:color="auto"/>
              <w:left w:val="single" w:sz="8" w:space="0" w:color="auto"/>
              <w:bottom w:val="single" w:sz="8" w:space="0" w:color="auto"/>
              <w:right w:val="single" w:sz="8" w:space="0" w:color="auto"/>
            </w:tcBorders>
          </w:tcPr>
          <w:p w14:paraId="4D6DA2DC" w14:textId="77ED3291" w:rsidR="263756FF" w:rsidRDefault="539B7634">
            <w:r w:rsidRPr="51CEFFFB">
              <w:rPr>
                <w:rFonts w:ascii="Calibri" w:eastAsia="Calibri" w:hAnsi="Calibri" w:cs="Calibri"/>
                <w:sz w:val="22"/>
                <w:szCs w:val="22"/>
              </w:rPr>
              <w:t>Neurotoxicity</w:t>
            </w:r>
            <w:r w:rsidRPr="51CEFFFB">
              <w:rPr>
                <w:rFonts w:eastAsia="Tahoma" w:cs="Tahoma"/>
              </w:rPr>
              <w:t xml:space="preserve"> </w:t>
            </w:r>
          </w:p>
        </w:tc>
        <w:tc>
          <w:tcPr>
            <w:tcW w:w="1740" w:type="dxa"/>
            <w:tcBorders>
              <w:top w:val="single" w:sz="8" w:space="0" w:color="auto"/>
              <w:left w:val="single" w:sz="8" w:space="0" w:color="auto"/>
              <w:bottom w:val="single" w:sz="8" w:space="0" w:color="auto"/>
              <w:right w:val="single" w:sz="8" w:space="0" w:color="auto"/>
            </w:tcBorders>
          </w:tcPr>
          <w:p w14:paraId="6C5FAD75" w14:textId="7C5F0129" w:rsidR="263756FF" w:rsidRDefault="263756FF">
            <w:pPr>
              <w:rPr>
                <w:rFonts w:ascii="Calibri" w:eastAsia="Calibri" w:hAnsi="Calibri" w:cs="Calibri"/>
                <w:sz w:val="22"/>
                <w:szCs w:val="22"/>
              </w:rPr>
            </w:pPr>
            <w:r w:rsidRPr="263756FF">
              <w:rPr>
                <w:rFonts w:ascii="Calibri" w:eastAsia="Calibri" w:hAnsi="Calibri" w:cs="Calibri"/>
                <w:sz w:val="22"/>
                <w:szCs w:val="22"/>
              </w:rPr>
              <w:t>BMDL-</w:t>
            </w:r>
            <w:r w:rsidR="7E5D2296" w:rsidRPr="51CEFFFB">
              <w:rPr>
                <w:rFonts w:ascii="Calibri" w:eastAsia="Calibri" w:hAnsi="Calibri" w:cs="Calibri"/>
                <w:sz w:val="22"/>
                <w:szCs w:val="22"/>
              </w:rPr>
              <w:t>B</w:t>
            </w:r>
          </w:p>
        </w:tc>
      </w:tr>
    </w:tbl>
    <w:p w14:paraId="4862BED9" w14:textId="0E4B80E7" w:rsidR="50C392A5" w:rsidRDefault="50C392A5" w:rsidP="263756FF">
      <w:pPr>
        <w:rPr>
          <w:rFonts w:ascii="Calibri" w:eastAsia="Calibri" w:hAnsi="Calibri" w:cs="Calibri"/>
        </w:rPr>
      </w:pPr>
    </w:p>
    <w:p w14:paraId="046B56DC" w14:textId="3C0AF3A3" w:rsidR="50C392A5" w:rsidRDefault="3E7C193B" w:rsidP="15BC1442">
      <w:pPr>
        <w:pStyle w:val="EFSABodytext"/>
        <w:rPr>
          <w:rFonts w:eastAsia="Calibri" w:cs="Arial"/>
        </w:rPr>
      </w:pPr>
      <w:r>
        <w:t xml:space="preserve">As stated above, it is the risk assessor’s responsibility to make a substantiated decision on what BMDL will be used as the RP and the rationale for this decision needs to </w:t>
      </w:r>
      <w:r w:rsidR="00CE762F">
        <w:t xml:space="preserve">be </w:t>
      </w:r>
      <w:r>
        <w:t>documented.</w:t>
      </w:r>
    </w:p>
    <w:p w14:paraId="4B3F10C0" w14:textId="77777777" w:rsidR="007C10CA" w:rsidRPr="00F62B88" w:rsidRDefault="007C10CA" w:rsidP="00B568F4">
      <w:pPr>
        <w:spacing w:after="120" w:line="240" w:lineRule="auto"/>
        <w:jc w:val="both"/>
        <w:rPr>
          <w:rFonts w:ascii="Times New Roman" w:eastAsia="Times New Roman" w:hAnsi="Times New Roman" w:cs="Times New Roman"/>
          <w:sz w:val="24"/>
          <w:szCs w:val="24"/>
        </w:rPr>
      </w:pPr>
    </w:p>
    <w:p w14:paraId="765AF7AF" w14:textId="50739499" w:rsidR="006A532C" w:rsidRPr="00D07C61" w:rsidRDefault="006A532C" w:rsidP="00341D03">
      <w:pPr>
        <w:pStyle w:val="EFSAHeading3"/>
        <w:ind w:left="1276"/>
      </w:pPr>
      <w:bookmarkStart w:id="67" w:name="_Toc229469392"/>
      <w:bookmarkStart w:id="68" w:name="_Toc232584119"/>
      <w:bookmarkStart w:id="69" w:name="_Toc94255346"/>
      <w:r w:rsidRPr="00D07C61">
        <w:t>Reporting of the BMD analysis</w:t>
      </w:r>
      <w:bookmarkEnd w:id="67"/>
      <w:bookmarkEnd w:id="68"/>
      <w:bookmarkEnd w:id="69"/>
    </w:p>
    <w:p w14:paraId="4DE55AFA" w14:textId="77777777" w:rsidR="006A532C" w:rsidRPr="00367B5F" w:rsidRDefault="006A532C" w:rsidP="006A532C">
      <w:pPr>
        <w:pStyle w:val="EFSABodytext"/>
      </w:pPr>
      <w:r>
        <w:t>T</w:t>
      </w:r>
      <w:r w:rsidRPr="00367B5F">
        <w:t xml:space="preserve">he results of a BMD analysis should be reported in such a way that others are able to follow the process. </w:t>
      </w:r>
    </w:p>
    <w:p w14:paraId="5E3B5112" w14:textId="77777777" w:rsidR="006A532C" w:rsidRPr="00367B5F" w:rsidRDefault="006A532C" w:rsidP="006A532C">
      <w:pPr>
        <w:pStyle w:val="EFSABodytext"/>
      </w:pPr>
      <w:r w:rsidRPr="00367B5F">
        <w:t xml:space="preserve">In reporting a BMD analysis for a particular study, it is not </w:t>
      </w:r>
      <w:r>
        <w:t>necessary</w:t>
      </w:r>
      <w:r w:rsidRPr="00367B5F">
        <w:t xml:space="preserve"> to provide information on all </w:t>
      </w:r>
      <w:r>
        <w:t xml:space="preserve">the </w:t>
      </w:r>
      <w:r w:rsidRPr="00367B5F">
        <w:t>endpoints analysed but only for the critical one(s)</w:t>
      </w:r>
      <w:r>
        <w:t xml:space="preserve"> in that study</w:t>
      </w:r>
      <w:r w:rsidRPr="00367B5F">
        <w:t>. It should be made clear in a narrative why this</w:t>
      </w:r>
      <w:r w:rsidR="00806647">
        <w:t xml:space="preserve"> (</w:t>
      </w:r>
      <w:r w:rsidRPr="00367B5F">
        <w:t>these</w:t>
      </w:r>
      <w:r w:rsidR="00806647">
        <w:t>)</w:t>
      </w:r>
      <w:r w:rsidRPr="00367B5F">
        <w:t xml:space="preserve"> endpoint(s) was </w:t>
      </w:r>
      <w:r w:rsidR="00806647">
        <w:t>(</w:t>
      </w:r>
      <w:r w:rsidRPr="00367B5F">
        <w:t>were</w:t>
      </w:r>
      <w:r w:rsidR="00806647">
        <w:t>)</w:t>
      </w:r>
      <w:r w:rsidRPr="00367B5F">
        <w:t xml:space="preserve"> selected.</w:t>
      </w:r>
    </w:p>
    <w:p w14:paraId="061AEFAC" w14:textId="77777777" w:rsidR="006A532C" w:rsidRPr="00367B5F" w:rsidRDefault="006A532C" w:rsidP="006A532C">
      <w:pPr>
        <w:pStyle w:val="EFSABodytext"/>
      </w:pPr>
      <w:r w:rsidRPr="00367B5F">
        <w:t>The following information should be provided:</w:t>
      </w:r>
    </w:p>
    <w:p w14:paraId="52A4981D" w14:textId="5CC0AF2C" w:rsidR="006A532C" w:rsidRDefault="006A532C" w:rsidP="006A532C">
      <w:pPr>
        <w:pStyle w:val="EFSABodytext"/>
        <w:numPr>
          <w:ilvl w:val="0"/>
          <w:numId w:val="39"/>
        </w:numPr>
      </w:pPr>
      <w:r w:rsidRPr="00367B5F">
        <w:t>A summary table of the data for the endpoint(s) for which the BMD analysis is reported. For quantal endpoints both the number of responding animals and the total number of animals should be given for each dose level; for continuous endpoints the mean responses and the associated SDs (or SEMs) and sample sizes should be given for each dose level.</w:t>
      </w:r>
    </w:p>
    <w:p w14:paraId="06A8CF6B" w14:textId="51D78493" w:rsidR="006A532C" w:rsidRDefault="006A532C" w:rsidP="006A532C">
      <w:pPr>
        <w:pStyle w:val="EFSABodytext"/>
        <w:numPr>
          <w:ilvl w:val="0"/>
          <w:numId w:val="39"/>
        </w:numPr>
      </w:pPr>
      <w:r w:rsidRPr="00367B5F">
        <w:t>The value of the BMR chosen, and</w:t>
      </w:r>
      <w:r w:rsidR="003D5539">
        <w:t xml:space="preserve"> </w:t>
      </w:r>
      <w:r w:rsidR="004644D5">
        <w:t>the</w:t>
      </w:r>
      <w:r w:rsidR="003D5539">
        <w:t xml:space="preserve"> </w:t>
      </w:r>
      <w:proofErr w:type="gramStart"/>
      <w:r w:rsidR="003D5539">
        <w:t>biolog</w:t>
      </w:r>
      <w:r w:rsidR="00A51470">
        <w:t>ically</w:t>
      </w:r>
      <w:r w:rsidR="003D5539">
        <w:t>-based</w:t>
      </w:r>
      <w:proofErr w:type="gramEnd"/>
      <w:r w:rsidR="003D5539">
        <w:t xml:space="preserve"> rationale for such a choice</w:t>
      </w:r>
    </w:p>
    <w:p w14:paraId="29D488DF" w14:textId="77777777" w:rsidR="006A532C" w:rsidRDefault="006A532C" w:rsidP="006A532C">
      <w:pPr>
        <w:pStyle w:val="EFSABodytext"/>
        <w:numPr>
          <w:ilvl w:val="0"/>
          <w:numId w:val="39"/>
        </w:numPr>
      </w:pPr>
      <w:r w:rsidRPr="00367B5F">
        <w:t>The software used, including version number</w:t>
      </w:r>
    </w:p>
    <w:p w14:paraId="32EA1375" w14:textId="77777777" w:rsidR="006A532C" w:rsidRPr="00AF7502" w:rsidRDefault="006A532C" w:rsidP="006A532C">
      <w:pPr>
        <w:pStyle w:val="EFSABodytext"/>
        <w:numPr>
          <w:ilvl w:val="0"/>
          <w:numId w:val="39"/>
        </w:numPr>
      </w:pPr>
      <w:r w:rsidRPr="00367B5F">
        <w:t xml:space="preserve">Settings and </w:t>
      </w:r>
      <w:r>
        <w:t xml:space="preserve">statistical </w:t>
      </w:r>
      <w:r w:rsidRPr="00367B5F">
        <w:t>assumptions</w:t>
      </w:r>
      <w:r>
        <w:t xml:space="preserve"> in the model fitting procedure when they deviate from the recommended defaults in this opinion, together with the rationale for doing so.</w:t>
      </w:r>
      <w:r w:rsidR="00A33969" w:rsidRPr="0041680E">
        <w:t xml:space="preserve"> </w:t>
      </w:r>
    </w:p>
    <w:p w14:paraId="3230CC71" w14:textId="38730EC3" w:rsidR="00134323" w:rsidRPr="00582032" w:rsidRDefault="006A532C" w:rsidP="006A532C">
      <w:pPr>
        <w:pStyle w:val="EFSABodytext"/>
        <w:numPr>
          <w:ilvl w:val="0"/>
          <w:numId w:val="39"/>
        </w:numPr>
      </w:pPr>
      <w:r w:rsidRPr="00F233EF">
        <w:t xml:space="preserve">A table presenting the models used (preferably in the order of </w:t>
      </w:r>
      <w:r w:rsidRPr="00A62794">
        <w:t>Table</w:t>
      </w:r>
      <w:r w:rsidR="00BE490A" w:rsidRPr="00A62794">
        <w:t>s</w:t>
      </w:r>
      <w:r w:rsidRPr="00A62794">
        <w:t xml:space="preserve"> </w:t>
      </w:r>
      <w:r w:rsidR="00582032" w:rsidRPr="00582032">
        <w:t xml:space="preserve">2 </w:t>
      </w:r>
      <w:r w:rsidR="00BE490A" w:rsidRPr="00582032">
        <w:t xml:space="preserve">and </w:t>
      </w:r>
      <w:r w:rsidR="00582032" w:rsidRPr="00582032">
        <w:t>3</w:t>
      </w:r>
      <w:r w:rsidRPr="00582032">
        <w:t>)</w:t>
      </w:r>
      <w:r w:rsidR="00445E14" w:rsidRPr="00582032">
        <w:t xml:space="preserve">, and the priors used for the </w:t>
      </w:r>
      <w:r w:rsidR="003310C9" w:rsidRPr="00582032">
        <w:t xml:space="preserve">endpoint(s) </w:t>
      </w:r>
      <w:proofErr w:type="gramStart"/>
      <w:r w:rsidR="003310C9" w:rsidRPr="00582032">
        <w:t>considered</w:t>
      </w:r>
      <w:r w:rsidR="00445E14" w:rsidRPr="00582032">
        <w:t>;</w:t>
      </w:r>
      <w:proofErr w:type="gramEnd"/>
    </w:p>
    <w:p w14:paraId="73F4ED23" w14:textId="70AAFFBA" w:rsidR="006A532C" w:rsidRDefault="00134323" w:rsidP="006A532C">
      <w:pPr>
        <w:pStyle w:val="EFSABodytext"/>
        <w:numPr>
          <w:ilvl w:val="0"/>
          <w:numId w:val="39"/>
        </w:numPr>
      </w:pPr>
      <w:r w:rsidRPr="00582032">
        <w:t>The BMD estimate(s) and its/the</w:t>
      </w:r>
      <w:r w:rsidR="00740A20" w:rsidRPr="00582032">
        <w:t>i</w:t>
      </w:r>
      <w:r w:rsidRPr="00582032">
        <w:t xml:space="preserve">r </w:t>
      </w:r>
      <w:r w:rsidR="006A532C" w:rsidRPr="00582032">
        <w:t>BMDL</w:t>
      </w:r>
      <w:r w:rsidRPr="00582032">
        <w:t>-</w:t>
      </w:r>
      <w:r w:rsidR="006A532C" w:rsidRPr="00582032">
        <w:t xml:space="preserve">BMDU </w:t>
      </w:r>
      <w:r w:rsidRPr="00582032">
        <w:t>credible</w:t>
      </w:r>
      <w:r>
        <w:t xml:space="preserve"> interval(s)</w:t>
      </w:r>
      <w:r w:rsidR="00B34356">
        <w:t xml:space="preserve">; </w:t>
      </w:r>
      <w:r w:rsidR="006A532C">
        <w:t xml:space="preserve">values should be reported with two significant figures. </w:t>
      </w:r>
    </w:p>
    <w:p w14:paraId="6F3C9013" w14:textId="190FBBED" w:rsidR="006A532C" w:rsidRDefault="007B0F35" w:rsidP="006A532C">
      <w:pPr>
        <w:pStyle w:val="EFSABodytext"/>
        <w:numPr>
          <w:ilvl w:val="0"/>
          <w:numId w:val="39"/>
        </w:numPr>
      </w:pPr>
      <w:r>
        <w:t>P</w:t>
      </w:r>
      <w:r w:rsidR="006A532C">
        <w:t>lot</w:t>
      </w:r>
      <w:r>
        <w:t>s</w:t>
      </w:r>
      <w:r w:rsidR="006A532C">
        <w:t xml:space="preserve"> of the fitted </w:t>
      </w:r>
      <w:r w:rsidR="00885BFE">
        <w:t>models (</w:t>
      </w:r>
      <w:r w:rsidR="007A64DC">
        <w:t xml:space="preserve">see figure </w:t>
      </w:r>
      <w:r w:rsidR="00015FA8">
        <w:t>F</w:t>
      </w:r>
      <w:r w:rsidR="00832D93">
        <w:t>.1</w:t>
      </w:r>
      <w:r w:rsidR="00027BC3">
        <w:t>)</w:t>
      </w:r>
      <w:r w:rsidR="006A532C">
        <w:t xml:space="preserve">. </w:t>
      </w:r>
    </w:p>
    <w:p w14:paraId="000AF3E4" w14:textId="77777777" w:rsidR="006A532C" w:rsidRPr="00367B5F" w:rsidRDefault="006A532C" w:rsidP="006A532C">
      <w:pPr>
        <w:pStyle w:val="EFSABodytext"/>
        <w:numPr>
          <w:ilvl w:val="0"/>
          <w:numId w:val="39"/>
        </w:numPr>
      </w:pPr>
      <w:r w:rsidRPr="00367B5F">
        <w:t xml:space="preserve">Conclusion regarding the </w:t>
      </w:r>
      <w:r>
        <w:t xml:space="preserve">selected </w:t>
      </w:r>
      <w:r w:rsidRPr="00367B5F">
        <w:t xml:space="preserve">BMDL </w:t>
      </w:r>
      <w:r>
        <w:t xml:space="preserve">to be used as a </w:t>
      </w:r>
      <w:r w:rsidR="003A5D7C">
        <w:t>RP</w:t>
      </w:r>
      <w:r>
        <w:t>.</w:t>
      </w:r>
    </w:p>
    <w:p w14:paraId="2908EB2C" w14:textId="77777777" w:rsidR="006A532C" w:rsidRDefault="006A532C" w:rsidP="006A532C">
      <w:pPr>
        <w:pStyle w:val="EFSABodytext"/>
      </w:pPr>
    </w:p>
    <w:p w14:paraId="121FD38A" w14:textId="4936CCB3" w:rsidR="006A532C" w:rsidRDefault="006A532C" w:rsidP="006A532C">
      <w:pPr>
        <w:pStyle w:val="EFSABodytext"/>
      </w:pPr>
      <w:r>
        <w:t>A template is annexed to ensure a standardised reporting of the above-mentioned information</w:t>
      </w:r>
      <w:r w:rsidR="00E04EFE">
        <w:t xml:space="preserve"> (Appendix </w:t>
      </w:r>
      <w:r w:rsidR="00C7448F">
        <w:t>E</w:t>
      </w:r>
      <w:r w:rsidR="00E04EFE">
        <w:t>)</w:t>
      </w:r>
      <w:r>
        <w:t>.</w:t>
      </w:r>
      <w:r w:rsidR="00B924B5">
        <w:t xml:space="preserve"> </w:t>
      </w:r>
      <w:r w:rsidR="00FF7EE2">
        <w:t xml:space="preserve">This template </w:t>
      </w:r>
      <w:r w:rsidR="002713D5">
        <w:t>is</w:t>
      </w:r>
      <w:r w:rsidR="00FF7EE2">
        <w:t xml:space="preserve"> </w:t>
      </w:r>
      <w:r w:rsidR="00503874">
        <w:t xml:space="preserve">automatically </w:t>
      </w:r>
      <w:r w:rsidR="00FF7EE2">
        <w:t xml:space="preserve">implemented in the EFSA Platform </w:t>
      </w:r>
      <w:r w:rsidR="002713D5">
        <w:t>when retrieving the results of the BMD analysis.</w:t>
      </w:r>
    </w:p>
    <w:p w14:paraId="13C326F3" w14:textId="77777777" w:rsidR="00545DBE" w:rsidRDefault="00545DBE" w:rsidP="00545DBE">
      <w:pPr>
        <w:pStyle w:val="EFSABodytext"/>
      </w:pPr>
    </w:p>
    <w:p w14:paraId="3CB7D8A9" w14:textId="187E15B1" w:rsidR="00545DBE" w:rsidRPr="008B11F1" w:rsidRDefault="7DB898A1" w:rsidP="5979428D">
      <w:pPr>
        <w:pStyle w:val="EFSAHeading1"/>
      </w:pPr>
      <w:bookmarkStart w:id="70" w:name="_Toc139444879"/>
      <w:bookmarkStart w:id="71" w:name="_Toc139446086"/>
      <w:bookmarkStart w:id="72" w:name="_Toc232584120"/>
      <w:bookmarkStart w:id="73" w:name="_Toc94255347"/>
      <w:r>
        <w:t>Conclusions</w:t>
      </w:r>
      <w:bookmarkEnd w:id="70"/>
      <w:bookmarkEnd w:id="71"/>
      <w:bookmarkEnd w:id="72"/>
      <w:bookmarkEnd w:id="73"/>
      <w:r w:rsidR="43813B59">
        <w:t xml:space="preserve"> </w:t>
      </w:r>
    </w:p>
    <w:p w14:paraId="206D4BA5" w14:textId="0F637EA7" w:rsidR="00EA1528" w:rsidRDefault="48436A16" w:rsidP="00545DBE">
      <w:pPr>
        <w:pStyle w:val="EFSABodytext"/>
      </w:pPr>
      <w:r>
        <w:t xml:space="preserve">This revised guidance takes account of the experience accumulated in BMD analysis over the last </w:t>
      </w:r>
      <w:r w:rsidR="00772E20">
        <w:t>thirteen</w:t>
      </w:r>
      <w:r w:rsidR="28642343">
        <w:t xml:space="preserve"> </w:t>
      </w:r>
      <w:r>
        <w:t>years</w:t>
      </w:r>
      <w:r w:rsidR="04971340">
        <w:t>.</w:t>
      </w:r>
    </w:p>
    <w:p w14:paraId="0DE47BE2" w14:textId="17047DCE" w:rsidR="00545DBE" w:rsidRDefault="48436A16" w:rsidP="00545DBE">
      <w:pPr>
        <w:pStyle w:val="EFSABodytext"/>
      </w:pPr>
      <w:r>
        <w:t>T</w:t>
      </w:r>
      <w:r w:rsidR="7DD01711">
        <w:t xml:space="preserve">he </w:t>
      </w:r>
      <w:r w:rsidR="37C28E39">
        <w:t>SC</w:t>
      </w:r>
      <w:r w:rsidR="7DB898A1">
        <w:t xml:space="preserve"> </w:t>
      </w:r>
      <w:r w:rsidR="199D2047">
        <w:t xml:space="preserve">confirms </w:t>
      </w:r>
      <w:r w:rsidR="7DB898A1">
        <w:t xml:space="preserve">that the BMD approach is a scientifically more advanced method compared to the NOAEL approach for </w:t>
      </w:r>
      <w:r w:rsidR="37A59DBC">
        <w:t xml:space="preserve">identifying </w:t>
      </w:r>
      <w:r w:rsidR="7DB898A1">
        <w:t xml:space="preserve">a </w:t>
      </w:r>
      <w:r w:rsidR="37C28E39">
        <w:t>RP</w:t>
      </w:r>
      <w:r w:rsidR="7DB898A1">
        <w:t xml:space="preserve">, since it makes extended use of dose-response data and it provides a quantification of the uncertainty in the estimated </w:t>
      </w:r>
      <w:r w:rsidR="37C28E39">
        <w:t>RP</w:t>
      </w:r>
      <w:r w:rsidR="7DB898A1">
        <w:t xml:space="preserve"> resulting from the statistical limitations in the dose-response data. Using the BMD approach results in a more consistent RP, </w:t>
      </w:r>
      <w:proofErr w:type="gramStart"/>
      <w:r w:rsidR="7DB898A1">
        <w:t>as a consequence of</w:t>
      </w:r>
      <w:proofErr w:type="gramEnd"/>
      <w:r w:rsidR="7DB898A1">
        <w:t xml:space="preserve"> the specified BMR.</w:t>
      </w:r>
      <w:r w:rsidR="001D3408">
        <w:t xml:space="preserve"> Establishing</w:t>
      </w:r>
      <w:r w:rsidR="7DB898A1">
        <w:t xml:space="preserve"> </w:t>
      </w:r>
      <w:r w:rsidR="00911D1E">
        <w:t>HBGVs</w:t>
      </w:r>
      <w:r w:rsidR="7DB898A1">
        <w:t xml:space="preserve"> </w:t>
      </w:r>
      <w:r w:rsidR="5402CAFF">
        <w:t>based</w:t>
      </w:r>
      <w:r w:rsidR="7DB898A1">
        <w:t xml:space="preserve"> </w:t>
      </w:r>
      <w:r w:rsidR="001D3408">
        <w:t xml:space="preserve">on </w:t>
      </w:r>
      <w:r w:rsidR="7DB898A1">
        <w:t xml:space="preserve">the BMD approach can be expected to be as protective as those </w:t>
      </w:r>
      <w:r w:rsidR="15128419">
        <w:t>based on</w:t>
      </w:r>
      <w:r w:rsidR="7DB898A1">
        <w:t xml:space="preserve"> the NOAEL approach, </w:t>
      </w:r>
      <w:proofErr w:type="gramStart"/>
      <w:r w:rsidR="7DB898A1">
        <w:t>i.e.</w:t>
      </w:r>
      <w:proofErr w:type="gramEnd"/>
      <w:r w:rsidR="7DB898A1">
        <w:t xml:space="preserve"> on average over a large number of risk assessments. Therefore</w:t>
      </w:r>
      <w:r w:rsidR="0BD2F348">
        <w:t>,</w:t>
      </w:r>
      <w:r w:rsidR="7DB898A1">
        <w:t xml:space="preserve"> the default values for uncertainty factors currently applied are equally applicable. </w:t>
      </w:r>
    </w:p>
    <w:p w14:paraId="6526C596" w14:textId="0FAF4913" w:rsidR="00962A3D" w:rsidRDefault="00C870B4" w:rsidP="00545DBE">
      <w:pPr>
        <w:pStyle w:val="EFSABodytext"/>
      </w:pPr>
      <w:r>
        <w:t>Bayesian model averaging is recommended as the preferred approach</w:t>
      </w:r>
      <w:r w:rsidR="00BF3AD7">
        <w:t xml:space="preserve">, as it brings the following </w:t>
      </w:r>
      <w:r w:rsidR="00E76C1E">
        <w:t xml:space="preserve">main </w:t>
      </w:r>
      <w:r w:rsidR="00BF3AD7">
        <w:t xml:space="preserve">advantages compared to the frequentist model averaging approach recommended in </w:t>
      </w:r>
      <w:r w:rsidR="00947DB1">
        <w:t>the previous version of this guidance:</w:t>
      </w:r>
    </w:p>
    <w:p w14:paraId="0F70D9CC" w14:textId="5978E156" w:rsidR="00B96BEB" w:rsidRDefault="006910F9" w:rsidP="00EB4857">
      <w:pPr>
        <w:pStyle w:val="EFSABodytext"/>
        <w:numPr>
          <w:ilvl w:val="0"/>
          <w:numId w:val="88"/>
        </w:numPr>
      </w:pPr>
      <w:r>
        <w:t>Possible u</w:t>
      </w:r>
      <w:r w:rsidR="009C0914">
        <w:t xml:space="preserve">se of </w:t>
      </w:r>
      <w:r w:rsidR="008F7A7C">
        <w:t xml:space="preserve">existing </w:t>
      </w:r>
      <w:r w:rsidR="009C0914">
        <w:t>prior information</w:t>
      </w:r>
      <w:r w:rsidR="00B82CA3">
        <w:t xml:space="preserve"> (</w:t>
      </w:r>
      <w:proofErr w:type="gramStart"/>
      <w:r w:rsidR="00B82CA3">
        <w:t>e.g.</w:t>
      </w:r>
      <w:proofErr w:type="gramEnd"/>
      <w:r w:rsidR="00B82CA3">
        <w:t xml:space="preserve"> on background response)</w:t>
      </w:r>
      <w:r w:rsidR="009C0914">
        <w:t xml:space="preserve"> next to the </w:t>
      </w:r>
      <w:r w:rsidR="008F7A7C">
        <w:t>information provided by the d</w:t>
      </w:r>
      <w:r w:rsidR="00B96BEB">
        <w:t>ataset considered</w:t>
      </w:r>
      <w:r w:rsidR="00FA66FD">
        <w:t xml:space="preserve">. </w:t>
      </w:r>
      <w:r w:rsidR="000D5180">
        <w:t>A</w:t>
      </w:r>
      <w:r w:rsidR="0041425B">
        <w:t>ccu</w:t>
      </w:r>
      <w:r w:rsidR="000D5180">
        <w:t>mulation of knowledge over</w:t>
      </w:r>
      <w:r w:rsidR="00EB4857">
        <w:t xml:space="preserve"> </w:t>
      </w:r>
      <w:r w:rsidR="000D5180">
        <w:t xml:space="preserve">time for the endpoint considered (the </w:t>
      </w:r>
      <w:r w:rsidR="0071044A">
        <w:t>ou</w:t>
      </w:r>
      <w:r w:rsidR="00EB4857">
        <w:t>t</w:t>
      </w:r>
      <w:r w:rsidR="0071044A">
        <w:t xml:space="preserve">come of the BMD modelling for the endpoint can be used in the future as prior information </w:t>
      </w:r>
      <w:r w:rsidR="00AB3A67">
        <w:t>for a new BMD modelling of that same endpoint)</w:t>
      </w:r>
    </w:p>
    <w:p w14:paraId="23728A04" w14:textId="136BBD4E" w:rsidR="00AB3A67" w:rsidRDefault="00651F8B" w:rsidP="009C0914">
      <w:pPr>
        <w:pStyle w:val="EFSABodytext"/>
        <w:numPr>
          <w:ilvl w:val="0"/>
          <w:numId w:val="88"/>
        </w:numPr>
      </w:pPr>
      <w:r>
        <w:t>Bayesian mo</w:t>
      </w:r>
      <w:r w:rsidR="008139ED">
        <w:t xml:space="preserve">del averaging </w:t>
      </w:r>
      <w:r w:rsidR="007A358F">
        <w:t xml:space="preserve">allows a more flexible way </w:t>
      </w:r>
      <w:r w:rsidR="00671560">
        <w:t xml:space="preserve">to constrain </w:t>
      </w:r>
      <w:r w:rsidR="008139ED">
        <w:t>model parameters</w:t>
      </w:r>
      <w:r w:rsidR="004173A4">
        <w:t xml:space="preserve"> by </w:t>
      </w:r>
      <w:r w:rsidR="006F29EC">
        <w:t xml:space="preserve">including </w:t>
      </w:r>
      <w:r w:rsidR="00AC7F0C">
        <w:t xml:space="preserve">weakly informative </w:t>
      </w:r>
      <w:r w:rsidR="006F29EC">
        <w:t>priors</w:t>
      </w:r>
    </w:p>
    <w:p w14:paraId="03F3A0F9" w14:textId="584AB90E" w:rsidR="00CF3217" w:rsidRDefault="00870C81" w:rsidP="009C0914">
      <w:pPr>
        <w:pStyle w:val="EFSABodytext"/>
        <w:numPr>
          <w:ilvl w:val="0"/>
          <w:numId w:val="88"/>
        </w:numPr>
      </w:pPr>
      <w:r>
        <w:t xml:space="preserve">Probabilistic interpretation of the </w:t>
      </w:r>
      <w:r w:rsidR="00793098">
        <w:t xml:space="preserve">results of the BMD analysis (credible </w:t>
      </w:r>
      <w:r w:rsidR="00F41CFB">
        <w:t>interval).</w:t>
      </w:r>
    </w:p>
    <w:p w14:paraId="511EB236" w14:textId="42F2301A" w:rsidR="00F41CFB" w:rsidRDefault="001B5892" w:rsidP="000D1E41">
      <w:pPr>
        <w:pStyle w:val="EFSABodytext"/>
        <w:numPr>
          <w:ilvl w:val="0"/>
          <w:numId w:val="88"/>
        </w:numPr>
      </w:pPr>
      <w:r>
        <w:t xml:space="preserve">Computational </w:t>
      </w:r>
      <w:r w:rsidR="000273D3">
        <w:t>efficiency</w:t>
      </w:r>
      <w:r>
        <w:t xml:space="preserve"> </w:t>
      </w:r>
      <w:r w:rsidR="005D7778">
        <w:t>improved compared to the frequentist model averaging using bootstraps</w:t>
      </w:r>
    </w:p>
    <w:p w14:paraId="3286C6D9" w14:textId="2430D57C" w:rsidR="00545DBE" w:rsidRDefault="7DB898A1" w:rsidP="00545DBE">
      <w:pPr>
        <w:pStyle w:val="EFSABodytext"/>
      </w:pPr>
      <w:r>
        <w:t xml:space="preserve">The SC does not consider it necessary to repeat </w:t>
      </w:r>
      <w:r w:rsidR="004B463E">
        <w:t xml:space="preserve">all </w:t>
      </w:r>
      <w:r>
        <w:t>previous risk assessments that used the 2009</w:t>
      </w:r>
      <w:r w:rsidR="455D8BA2">
        <w:t xml:space="preserve"> or 2017</w:t>
      </w:r>
      <w:r>
        <w:t xml:space="preserve"> version of the BMD guidance, given the modifications proposed in the updated version of the guidance. </w:t>
      </w:r>
      <w:r w:rsidR="00680961">
        <w:t>T</w:t>
      </w:r>
      <w:r w:rsidR="00DF2D2F">
        <w:t>he</w:t>
      </w:r>
      <w:r w:rsidR="00B12173">
        <w:t xml:space="preserve"> BMD approaches </w:t>
      </w:r>
      <w:r w:rsidR="003C0531">
        <w:t>(frequentist</w:t>
      </w:r>
      <w:r w:rsidR="00B12173">
        <w:t xml:space="preserve"> </w:t>
      </w:r>
      <w:r w:rsidR="00DF2D2F">
        <w:t>or Bayesian</w:t>
      </w:r>
      <w:r w:rsidR="00B20AA8" w:rsidRPr="00B20AA8">
        <w:t xml:space="preserve"> </w:t>
      </w:r>
      <w:r w:rsidR="00B20AA8">
        <w:t>if no informative priors are used</w:t>
      </w:r>
      <w:r w:rsidR="00DF2D2F">
        <w:t>)</w:t>
      </w:r>
      <w:r w:rsidR="006F50F5">
        <w:t>, as well as the NOAEL approach</w:t>
      </w:r>
      <w:r w:rsidR="0086418F">
        <w:t>,</w:t>
      </w:r>
      <w:r w:rsidR="00DF2D2F">
        <w:t xml:space="preserve"> </w:t>
      </w:r>
      <w:r w:rsidR="00CA4014">
        <w:t xml:space="preserve">will result in </w:t>
      </w:r>
      <w:r w:rsidR="00B12173">
        <w:t xml:space="preserve">comparable </w:t>
      </w:r>
      <w:r w:rsidR="00CA4014">
        <w:t>RPs</w:t>
      </w:r>
      <w:r w:rsidR="0086418F">
        <w:t>.</w:t>
      </w:r>
      <w:r w:rsidR="00B12173">
        <w:t xml:space="preserve"> </w:t>
      </w:r>
      <w:r w:rsidR="00EA39E2">
        <w:t>H</w:t>
      </w:r>
      <w:r w:rsidR="00B12173">
        <w:t>owever, i</w:t>
      </w:r>
      <w:r w:rsidR="00B76E73">
        <w:t>n individual cases</w:t>
      </w:r>
      <w:r w:rsidR="00F83070">
        <w:t xml:space="preserve"> where </w:t>
      </w:r>
      <w:r w:rsidR="00EE5955">
        <w:t xml:space="preserve">prior information is available for the </w:t>
      </w:r>
      <w:r w:rsidR="006605D2">
        <w:t xml:space="preserve">critical </w:t>
      </w:r>
      <w:r w:rsidR="00EE5955">
        <w:t>endpoint</w:t>
      </w:r>
      <w:r w:rsidR="00EB4D04">
        <w:t xml:space="preserve">, </w:t>
      </w:r>
      <w:r w:rsidR="00B76E73">
        <w:t xml:space="preserve">the </w:t>
      </w:r>
      <w:r w:rsidR="00CA4014">
        <w:t xml:space="preserve">resulting </w:t>
      </w:r>
      <w:r w:rsidR="00B76E73">
        <w:t xml:space="preserve">RP may differ </w:t>
      </w:r>
      <w:r w:rsidR="00F345BA">
        <w:t>substantially (</w:t>
      </w:r>
      <w:proofErr w:type="gramStart"/>
      <w:r w:rsidR="00F345BA">
        <w:t>e.g.</w:t>
      </w:r>
      <w:proofErr w:type="gramEnd"/>
      <w:r w:rsidR="00F345BA">
        <w:t xml:space="preserve"> </w:t>
      </w:r>
      <w:r w:rsidR="00B76E73">
        <w:t xml:space="preserve">by one order of </w:t>
      </w:r>
      <w:r w:rsidR="00B12173">
        <w:t>magnitude</w:t>
      </w:r>
      <w:r w:rsidR="00F345BA">
        <w:t>)</w:t>
      </w:r>
      <w:r w:rsidR="00CA4014">
        <w:t xml:space="preserve"> between </w:t>
      </w:r>
      <w:r w:rsidR="00E55F3C">
        <w:t>the</w:t>
      </w:r>
      <w:r w:rsidR="00CA4014">
        <w:t xml:space="preserve"> approaches</w:t>
      </w:r>
      <w:r w:rsidR="00B76E73">
        <w:t xml:space="preserve">. </w:t>
      </w:r>
      <w:r w:rsidR="00453D44">
        <w:t xml:space="preserve">If a possible risk for human/animal health has been identified, </w:t>
      </w:r>
      <w:proofErr w:type="spellStart"/>
      <w:r w:rsidR="00453D44">
        <w:t>e.</w:t>
      </w:r>
      <w:proofErr w:type="gramStart"/>
      <w:r w:rsidR="00453D44">
        <w:t>g</w:t>
      </w:r>
      <w:r w:rsidR="006A017E">
        <w:t>.</w:t>
      </w:r>
      <w:r w:rsidR="00D148AB">
        <w:t>when</w:t>
      </w:r>
      <w:proofErr w:type="spellEnd"/>
      <w:proofErr w:type="gramEnd"/>
      <w:r w:rsidR="00B41728">
        <w:t xml:space="preserve"> the estimated exposure to the compound </w:t>
      </w:r>
      <w:r w:rsidR="00D148AB">
        <w:t>was</w:t>
      </w:r>
      <w:r w:rsidR="00B41728">
        <w:t xml:space="preserve"> </w:t>
      </w:r>
      <w:r w:rsidR="00D148AB">
        <w:t xml:space="preserve">evaluated to be </w:t>
      </w:r>
      <w:r w:rsidR="00B41728">
        <w:t xml:space="preserve">close </w:t>
      </w:r>
      <w:r w:rsidR="000F1BA4">
        <w:t xml:space="preserve">(e.g. within one order of magnitude) </w:t>
      </w:r>
      <w:r w:rsidR="00B41728">
        <w:t>to the HBGV</w:t>
      </w:r>
      <w:r w:rsidR="000F1BA4">
        <w:t xml:space="preserve"> (and similarly for the MOE)</w:t>
      </w:r>
      <w:r w:rsidR="00B41728">
        <w:t>, then a re</w:t>
      </w:r>
      <w:r w:rsidR="005B20E0">
        <w:t>-</w:t>
      </w:r>
      <w:r w:rsidR="00B41728">
        <w:t xml:space="preserve">evaluation might be considered. </w:t>
      </w:r>
      <w:r w:rsidR="005B20E0">
        <w:t>In such cases</w:t>
      </w:r>
      <w:r w:rsidR="00545DBE">
        <w:t>, the BMD approach as described in this guidance should be applied.</w:t>
      </w:r>
    </w:p>
    <w:p w14:paraId="76B02ABF" w14:textId="5207CCDD" w:rsidR="00545DBE" w:rsidRDefault="00545DBE" w:rsidP="00545DBE">
      <w:pPr>
        <w:pStyle w:val="EFSABodytext"/>
        <w:rPr>
          <w:szCs w:val="24"/>
        </w:rPr>
      </w:pPr>
      <w:r>
        <w:t xml:space="preserve">The BMD approach is applicable to all chemicals in food, independently of their category or origin, </w:t>
      </w:r>
      <w:proofErr w:type="gramStart"/>
      <w:r>
        <w:t>e.g.</w:t>
      </w:r>
      <w:proofErr w:type="gramEnd"/>
      <w:r>
        <w:t xml:space="preserve"> pesticides, additives or contaminants,</w:t>
      </w:r>
      <w:r w:rsidRPr="00141E64">
        <w:t xml:space="preserve"> </w:t>
      </w:r>
      <w:r>
        <w:t xml:space="preserve">for identifying </w:t>
      </w:r>
      <w:r w:rsidR="003A5D7C">
        <w:t>RP</w:t>
      </w:r>
      <w:r>
        <w:t xml:space="preserve">s to establish </w:t>
      </w:r>
      <w:r w:rsidR="00BD2C3E">
        <w:t>HBGVs</w:t>
      </w:r>
      <w:r>
        <w:t xml:space="preserve"> or to calculate </w:t>
      </w:r>
      <w:r w:rsidR="00BD2C3E">
        <w:t>MOEs</w:t>
      </w:r>
      <w:r>
        <w:t xml:space="preserve">. The BMD approach can </w:t>
      </w:r>
      <w:r w:rsidR="006B4792">
        <w:t xml:space="preserve">also </w:t>
      </w:r>
      <w:r>
        <w:t>be used for dose response assessment of epidemiological data</w:t>
      </w:r>
      <w:r w:rsidR="00E04EFE">
        <w:t xml:space="preserve">, although </w:t>
      </w:r>
      <w:r w:rsidR="00831B2D">
        <w:t>it</w:t>
      </w:r>
      <w:r w:rsidR="00E04EFE">
        <w:t xml:space="preserve"> is not </w:t>
      </w:r>
      <w:r w:rsidR="00F10384">
        <w:t>addressed in</w:t>
      </w:r>
      <w:r w:rsidR="00E04EFE">
        <w:t xml:space="preserve"> this guidance document</w:t>
      </w:r>
      <w:r w:rsidR="00F10384">
        <w:t xml:space="preserve"> and will be subject to a separate guidance of the EFSA </w:t>
      </w:r>
      <w:r w:rsidR="003A5D7C">
        <w:t>SC</w:t>
      </w:r>
      <w:r>
        <w:t xml:space="preserve">. </w:t>
      </w:r>
    </w:p>
    <w:p w14:paraId="4853B841" w14:textId="77777777" w:rsidR="00545DBE" w:rsidRDefault="00545DBE" w:rsidP="00545DBE">
      <w:pPr>
        <w:pStyle w:val="EFSABodytext"/>
      </w:pPr>
    </w:p>
    <w:p w14:paraId="1B5DEEA1" w14:textId="77777777" w:rsidR="00545DBE" w:rsidRPr="00545DBE" w:rsidRDefault="00545DBE" w:rsidP="00545DBE">
      <w:pPr>
        <w:pStyle w:val="EFSAHeading1"/>
      </w:pPr>
      <w:bookmarkStart w:id="74" w:name="_Toc94255348"/>
      <w:r w:rsidRPr="00545DBE">
        <w:t>Recommendations:</w:t>
      </w:r>
      <w:bookmarkEnd w:id="74"/>
    </w:p>
    <w:p w14:paraId="7F713171" w14:textId="0C032D50" w:rsidR="007F7C42" w:rsidRDefault="7DB898A1" w:rsidP="00545DBE">
      <w:pPr>
        <w:pStyle w:val="EFSABodytext"/>
        <w:numPr>
          <w:ilvl w:val="0"/>
          <w:numId w:val="41"/>
        </w:numPr>
      </w:pPr>
      <w:r>
        <w:t xml:space="preserve">The </w:t>
      </w:r>
      <w:r w:rsidR="37C28E39">
        <w:t>SC</w:t>
      </w:r>
      <w:r>
        <w:t xml:space="preserve"> strongly recommends that the BMD approach</w:t>
      </w:r>
      <w:r w:rsidR="33D2EB8A">
        <w:t xml:space="preserve">, and more specifically </w:t>
      </w:r>
      <w:r w:rsidR="38D94888">
        <w:t xml:space="preserve">Bayesian </w:t>
      </w:r>
      <w:r w:rsidR="33D2EB8A">
        <w:t>model averaging,</w:t>
      </w:r>
      <w:r>
        <w:t xml:space="preserve"> is used for</w:t>
      </w:r>
      <w:r w:rsidR="0006214F">
        <w:t xml:space="preserve"> </w:t>
      </w:r>
      <w:r w:rsidR="12A8712F">
        <w:t xml:space="preserve">identifying </w:t>
      </w:r>
      <w:r w:rsidR="37C28E39">
        <w:t>RP</w:t>
      </w:r>
      <w:r>
        <w:t xml:space="preserve">s for establishing </w:t>
      </w:r>
      <w:r w:rsidR="00FC3F5F">
        <w:t>HBGVs</w:t>
      </w:r>
      <w:r>
        <w:t xml:space="preserve"> and for calculating </w:t>
      </w:r>
      <w:r w:rsidR="00FC3F5F">
        <w:t>MOEs</w:t>
      </w:r>
      <w:r>
        <w:t xml:space="preserve">. </w:t>
      </w:r>
      <w:r w:rsidR="0078417C">
        <w:t xml:space="preserve">The application of this guidance is </w:t>
      </w:r>
      <w:r w:rsidR="00331CD4">
        <w:t xml:space="preserve">mandatory for EFSA Panels </w:t>
      </w:r>
      <w:r w:rsidR="003917E6">
        <w:t xml:space="preserve">and </w:t>
      </w:r>
      <w:proofErr w:type="gramStart"/>
      <w:r w:rsidR="003917E6">
        <w:t>Units</w:t>
      </w:r>
      <w:r w:rsidR="00FD0579">
        <w:t>;</w:t>
      </w:r>
      <w:proofErr w:type="gramEnd"/>
      <w:r w:rsidR="00FD0579">
        <w:t xml:space="preserve"> </w:t>
      </w:r>
    </w:p>
    <w:p w14:paraId="5D340F84" w14:textId="6689D948" w:rsidR="00545DBE" w:rsidRPr="00B32A68" w:rsidRDefault="007F7C42" w:rsidP="00545DBE">
      <w:pPr>
        <w:pStyle w:val="EFSABodytext"/>
        <w:numPr>
          <w:ilvl w:val="0"/>
          <w:numId w:val="41"/>
        </w:numPr>
      </w:pPr>
      <w:r>
        <w:t>T</w:t>
      </w:r>
      <w:r w:rsidR="00545DBE" w:rsidRPr="00B32A68">
        <w:t xml:space="preserve">he </w:t>
      </w:r>
      <w:r w:rsidR="003A5D7C">
        <w:t>SC</w:t>
      </w:r>
      <w:r w:rsidR="00545DBE" w:rsidRPr="00B32A68">
        <w:t xml:space="preserve"> recommends that training in dose-response modelling and the use of BMD software continues to be offered to experts in the </w:t>
      </w:r>
      <w:r w:rsidR="00186CB7">
        <w:t>S</w:t>
      </w:r>
      <w:r w:rsidR="00545DBE" w:rsidRPr="00B32A68">
        <w:t>cientific Panels</w:t>
      </w:r>
      <w:r w:rsidR="001508D8">
        <w:t>, working groups</w:t>
      </w:r>
      <w:r w:rsidR="00545DBE" w:rsidRPr="00B32A68">
        <w:t xml:space="preserve"> and EFSA Units. </w:t>
      </w:r>
    </w:p>
    <w:p w14:paraId="0D610386" w14:textId="7BD4DD82" w:rsidR="00EA1528" w:rsidRDefault="3694E550" w:rsidP="5979428D">
      <w:pPr>
        <w:pStyle w:val="EFSABodytext"/>
        <w:numPr>
          <w:ilvl w:val="0"/>
          <w:numId w:val="41"/>
        </w:numPr>
        <w:rPr>
          <w:rFonts w:asciiTheme="minorHAnsi" w:eastAsiaTheme="minorEastAsia" w:hAnsiTheme="minorHAnsi"/>
        </w:rPr>
      </w:pPr>
      <w:r>
        <w:t xml:space="preserve">The </w:t>
      </w:r>
      <w:r w:rsidR="37C28E39">
        <w:t>SC</w:t>
      </w:r>
      <w:r>
        <w:t xml:space="preserve"> </w:t>
      </w:r>
      <w:r w:rsidR="7009B1D9">
        <w:t>reiterates that</w:t>
      </w:r>
      <w:r w:rsidR="44488E24">
        <w:t xml:space="preserve">, given the </w:t>
      </w:r>
      <w:r w:rsidR="5006E0E1">
        <w:t xml:space="preserve">frequent </w:t>
      </w:r>
      <w:r w:rsidR="44488E24">
        <w:t>use of the BMD approach,</w:t>
      </w:r>
      <w:r>
        <w:t xml:space="preserve"> c</w:t>
      </w:r>
      <w:r w:rsidR="561095B8">
        <w:t>urrent</w:t>
      </w:r>
      <w:r w:rsidR="7DB898A1">
        <w:t xml:space="preserve"> toxicity test guidelines should be reconsidered </w:t>
      </w:r>
      <w:r w:rsidR="5987A1CE">
        <w:t>with the purpose of optimising the study design</w:t>
      </w:r>
      <w:r w:rsidR="5B408ED8">
        <w:t xml:space="preserve"> for the</w:t>
      </w:r>
      <w:r w:rsidR="450D6E80">
        <w:t xml:space="preserve"> application of the BMD approach </w:t>
      </w:r>
      <w:r w:rsidR="410B34FC">
        <w:t>to</w:t>
      </w:r>
      <w:r w:rsidR="12D0D15E">
        <w:t xml:space="preserve"> identify</w:t>
      </w:r>
      <w:r w:rsidR="5B408ED8">
        <w:t xml:space="preserve"> </w:t>
      </w:r>
      <w:r w:rsidR="45D3B31F">
        <w:t>a</w:t>
      </w:r>
      <w:r w:rsidR="5B408ED8">
        <w:t xml:space="preserve"> RP for establishing the HBGV</w:t>
      </w:r>
      <w:r w:rsidR="7DB898A1">
        <w:t xml:space="preserve">, </w:t>
      </w:r>
      <w:proofErr w:type="gramStart"/>
      <w:r w:rsidR="7DB898A1">
        <w:t>e.g.</w:t>
      </w:r>
      <w:proofErr w:type="gramEnd"/>
      <w:r w:rsidR="7DB898A1">
        <w:t xml:space="preserve"> increase the number of dose levels without changing the total number of animals used in the experiment.</w:t>
      </w:r>
      <w:r w:rsidR="00CD1D2E">
        <w:t xml:space="preserve"> </w:t>
      </w:r>
      <w:r w:rsidR="00AD2167">
        <w:t xml:space="preserve">The models proposed </w:t>
      </w:r>
      <w:r w:rsidR="004F4EDA">
        <w:t xml:space="preserve">are built based on four parameters, which implies that to </w:t>
      </w:r>
      <w:r w:rsidR="00DB79F4">
        <w:t>appl</w:t>
      </w:r>
      <w:r w:rsidR="00F50EE3">
        <w:t>y</w:t>
      </w:r>
      <w:r w:rsidR="00DB79F4">
        <w:t xml:space="preserve"> them without considering informative priors for the parameters, at least 4 doses including the control </w:t>
      </w:r>
      <w:r w:rsidR="006F5232">
        <w:t>would be needed.</w:t>
      </w:r>
      <w:r w:rsidR="00A9383E">
        <w:t xml:space="preserve"> </w:t>
      </w:r>
      <w:r w:rsidR="00EF44AF" w:rsidRPr="00EF44AF">
        <w:t xml:space="preserve">In case that the study provides information for two active doses and a control, informative priors would be needed for some of the parameters in the model </w:t>
      </w:r>
      <w:proofErr w:type="gramStart"/>
      <w:r w:rsidR="00EF44AF" w:rsidRPr="00EF44AF">
        <w:t>in order to</w:t>
      </w:r>
      <w:proofErr w:type="gramEnd"/>
      <w:r w:rsidR="00EF44AF" w:rsidRPr="00EF44AF">
        <w:t xml:space="preserve"> make the model identifiable</w:t>
      </w:r>
      <w:r w:rsidR="007B6A91">
        <w:t>.</w:t>
      </w:r>
    </w:p>
    <w:p w14:paraId="128910E2" w14:textId="5DDB3F7F" w:rsidR="00545DBE" w:rsidRPr="00B32A68" w:rsidRDefault="00545DBE" w:rsidP="00545DBE">
      <w:pPr>
        <w:pStyle w:val="EFSABodytext"/>
        <w:numPr>
          <w:ilvl w:val="0"/>
          <w:numId w:val="41"/>
        </w:numPr>
      </w:pPr>
      <w:r w:rsidRPr="00B32A68">
        <w:t xml:space="preserve">The </w:t>
      </w:r>
      <w:r w:rsidR="003A5D7C">
        <w:t>SC</w:t>
      </w:r>
      <w:r w:rsidRPr="00B32A68">
        <w:t xml:space="preserve"> recommends </w:t>
      </w:r>
      <w:r w:rsidR="00EE5C74">
        <w:t>maintaining</w:t>
      </w:r>
      <w:r w:rsidR="00913334">
        <w:t xml:space="preserve"> the cross-cutting working group </w:t>
      </w:r>
      <w:r w:rsidR="00BC3DCD">
        <w:t>on BMD already established to assist EFSA Units and Panels in applying this guidance</w:t>
      </w:r>
      <w:r w:rsidR="00EE5C74">
        <w:t>.</w:t>
      </w:r>
    </w:p>
    <w:p w14:paraId="090A3182" w14:textId="075E5B27" w:rsidR="00545DBE" w:rsidRPr="00B32A68" w:rsidRDefault="7DB898A1" w:rsidP="00545DBE">
      <w:pPr>
        <w:pStyle w:val="EFSABodytext"/>
        <w:numPr>
          <w:ilvl w:val="0"/>
          <w:numId w:val="41"/>
        </w:numPr>
      </w:pPr>
      <w:r>
        <w:t xml:space="preserve">The </w:t>
      </w:r>
      <w:r w:rsidR="37C28E39">
        <w:t>SC</w:t>
      </w:r>
      <w:r>
        <w:t xml:space="preserve"> </w:t>
      </w:r>
      <w:r w:rsidR="10239F2F">
        <w:t xml:space="preserve">reiterates </w:t>
      </w:r>
      <w:r>
        <w:t xml:space="preserve">the need for a specific guidance on the use of the BMD approach </w:t>
      </w:r>
      <w:r w:rsidR="6ABEB6C9">
        <w:t>to analyse</w:t>
      </w:r>
      <w:r>
        <w:t xml:space="preserve"> </w:t>
      </w:r>
      <w:r w:rsidR="00F2389B">
        <w:t>epidemiological</w:t>
      </w:r>
      <w:r>
        <w:t xml:space="preserve"> data. </w:t>
      </w:r>
    </w:p>
    <w:p w14:paraId="50125231" w14:textId="77777777" w:rsidR="00545DBE" w:rsidRDefault="00545DBE" w:rsidP="00545DBE">
      <w:pPr>
        <w:pStyle w:val="EFSABodytext"/>
      </w:pPr>
    </w:p>
    <w:p w14:paraId="5A25747A" w14:textId="77777777" w:rsidR="00545DBE" w:rsidRDefault="00545DBE" w:rsidP="00545DBE">
      <w:pPr>
        <w:pStyle w:val="EFSABodytext"/>
      </w:pPr>
    </w:p>
    <w:p w14:paraId="09B8D95D" w14:textId="77777777" w:rsidR="00545DBE" w:rsidRDefault="00545DBE" w:rsidP="00545DBE">
      <w:pPr>
        <w:pStyle w:val="EFSABodytext"/>
      </w:pPr>
    </w:p>
    <w:p w14:paraId="78BEFD2A" w14:textId="77777777" w:rsidR="00840320" w:rsidRPr="00840320" w:rsidRDefault="00CC165F" w:rsidP="00840320">
      <w:pPr>
        <w:rPr>
          <w:rFonts w:ascii="Tahoma" w:hAnsi="Tahoma"/>
          <w:sz w:val="20"/>
          <w:szCs w:val="20"/>
        </w:rPr>
      </w:pPr>
      <w:r>
        <w:br w:type="page"/>
      </w:r>
      <w:bookmarkStart w:id="75" w:name="_Toc399503964"/>
      <w:bookmarkStart w:id="76" w:name="_Toc399850651"/>
      <w:bookmarkStart w:id="77" w:name="_Toc405560713"/>
    </w:p>
    <w:p w14:paraId="476E51CF" w14:textId="77777777" w:rsidR="00214C6C" w:rsidRPr="007E7DCD" w:rsidRDefault="00214C6C" w:rsidP="00214C6C">
      <w:pPr>
        <w:pStyle w:val="EFSAHeading1nonumber"/>
      </w:pPr>
      <w:bookmarkStart w:id="78" w:name="_Toc94255349"/>
      <w:r w:rsidRPr="007E7DCD">
        <w:t>References</w:t>
      </w:r>
      <w:bookmarkEnd w:id="75"/>
      <w:bookmarkEnd w:id="76"/>
      <w:bookmarkEnd w:id="77"/>
      <w:bookmarkEnd w:id="78"/>
    </w:p>
    <w:p w14:paraId="168AA0A1" w14:textId="5AEA15FE" w:rsidR="008B1162" w:rsidRDefault="008B1162" w:rsidP="00545DBE">
      <w:pPr>
        <w:pStyle w:val="EFSAReferences"/>
      </w:pPr>
      <w:bookmarkStart w:id="79" w:name="_Toc399503965"/>
      <w:proofErr w:type="spellStart"/>
      <w:r>
        <w:t>Aerts</w:t>
      </w:r>
      <w:proofErr w:type="spellEnd"/>
      <w:r>
        <w:t xml:space="preserve"> M, </w:t>
      </w:r>
      <w:r w:rsidR="008942C3">
        <w:t xml:space="preserve">Wheeler </w:t>
      </w:r>
      <w:r w:rsidR="00CB077F">
        <w:t xml:space="preserve">MW, and </w:t>
      </w:r>
      <w:proofErr w:type="spellStart"/>
      <w:r w:rsidR="00DF503C">
        <w:t>Cortinas</w:t>
      </w:r>
      <w:proofErr w:type="spellEnd"/>
      <w:r w:rsidR="00DF503C">
        <w:t xml:space="preserve"> </w:t>
      </w:r>
      <w:proofErr w:type="spellStart"/>
      <w:r w:rsidR="00CB077F">
        <w:t>Abrahantes</w:t>
      </w:r>
      <w:proofErr w:type="spellEnd"/>
      <w:r w:rsidR="00CB077F">
        <w:t xml:space="preserve"> J, 2020. An extended and unified modelling framework for benchmark dose estimation for both continuous an</w:t>
      </w:r>
      <w:r w:rsidR="00743652">
        <w:t>d</w:t>
      </w:r>
      <w:r w:rsidR="00CB077F">
        <w:t xml:space="preserve"> binary data. </w:t>
      </w:r>
      <w:proofErr w:type="spellStart"/>
      <w:proofErr w:type="gramStart"/>
      <w:r w:rsidR="004612C2">
        <w:t>Environmetrics</w:t>
      </w:r>
      <w:proofErr w:type="spellEnd"/>
      <w:r w:rsidR="004612C2">
        <w:t xml:space="preserve">, </w:t>
      </w:r>
      <w:r w:rsidR="00412E27">
        <w:t xml:space="preserve"> </w:t>
      </w:r>
      <w:r w:rsidR="00412E27">
        <w:rPr>
          <w:rStyle w:val="vol"/>
          <w:rFonts w:ascii="Open Sans" w:hAnsi="Open Sans" w:cs="Open Sans"/>
          <w:color w:val="1C1D1E"/>
          <w:sz w:val="21"/>
          <w:szCs w:val="21"/>
          <w:shd w:val="clear" w:color="auto" w:fill="FFFFFF"/>
        </w:rPr>
        <w:t>31</w:t>
      </w:r>
      <w:proofErr w:type="gramEnd"/>
      <w:r w:rsidR="00412E27">
        <w:rPr>
          <w:rFonts w:ascii="Open Sans" w:hAnsi="Open Sans" w:cs="Open Sans"/>
          <w:color w:val="1C1D1E"/>
          <w:sz w:val="21"/>
          <w:szCs w:val="21"/>
          <w:shd w:val="clear" w:color="auto" w:fill="FFFFFF"/>
        </w:rPr>
        <w:t>:e2630. </w:t>
      </w:r>
      <w:hyperlink r:id="rId25" w:history="1">
        <w:r w:rsidR="00412E27">
          <w:rPr>
            <w:rStyle w:val="Hyperlink"/>
            <w:rFonts w:ascii="Open Sans" w:hAnsi="Open Sans" w:cs="Open Sans"/>
            <w:color w:val="005274"/>
            <w:sz w:val="21"/>
            <w:szCs w:val="21"/>
            <w:shd w:val="clear" w:color="auto" w:fill="FFFFFF"/>
          </w:rPr>
          <w:t>https://doi.org/10.1002/env.2630</w:t>
        </w:r>
      </w:hyperlink>
    </w:p>
    <w:p w14:paraId="040CC79E" w14:textId="77777777" w:rsidR="00545DBE" w:rsidRPr="00655EB0" w:rsidRDefault="00D05E98" w:rsidP="00545DBE">
      <w:pPr>
        <w:pStyle w:val="EFSAReferences"/>
        <w:rPr>
          <w:lang w:val="en-US"/>
        </w:rPr>
      </w:pPr>
      <w:r w:rsidRPr="00E5741D">
        <w:t xml:space="preserve">Allen BC, </w:t>
      </w:r>
      <w:proofErr w:type="spellStart"/>
      <w:r w:rsidRPr="00E5741D">
        <w:t>Kavlock</w:t>
      </w:r>
      <w:proofErr w:type="spellEnd"/>
      <w:r w:rsidRPr="00E5741D">
        <w:t>, R</w:t>
      </w:r>
      <w:r w:rsidR="00545DBE" w:rsidRPr="00E5741D">
        <w:t>J</w:t>
      </w:r>
      <w:r w:rsidRPr="00E5741D">
        <w:t>, Kimmel CA</w:t>
      </w:r>
      <w:r w:rsidR="00545DBE" w:rsidRPr="00E5741D">
        <w:t xml:space="preserve"> and</w:t>
      </w:r>
      <w:r w:rsidRPr="00E5741D">
        <w:t xml:space="preserve"> </w:t>
      </w:r>
      <w:proofErr w:type="spellStart"/>
      <w:r w:rsidRPr="00E5741D">
        <w:t>Faustman</w:t>
      </w:r>
      <w:proofErr w:type="spellEnd"/>
      <w:r w:rsidRPr="00E5741D">
        <w:t xml:space="preserve"> EM, 1994</w:t>
      </w:r>
      <w:r w:rsidR="00545DBE" w:rsidRPr="00E5741D">
        <w:t xml:space="preserve">. </w:t>
      </w:r>
      <w:r w:rsidR="00545DBE" w:rsidRPr="00655EB0">
        <w:rPr>
          <w:lang w:val="en-US"/>
        </w:rPr>
        <w:t>Dose-response assessment for developmental toxicity. II. Comparison of generic Benchmark dose estimates with No Observe</w:t>
      </w:r>
      <w:r>
        <w:rPr>
          <w:lang w:val="en-US"/>
        </w:rPr>
        <w:t>d Adverse Effects Levels. Fund</w:t>
      </w:r>
      <w:r w:rsidR="00AE22E0">
        <w:rPr>
          <w:lang w:val="en-US"/>
        </w:rPr>
        <w:t>amental and</w:t>
      </w:r>
      <w:r w:rsidR="00545DBE" w:rsidRPr="00655EB0">
        <w:rPr>
          <w:lang w:val="en-US"/>
        </w:rPr>
        <w:t xml:space="preserve"> Appl</w:t>
      </w:r>
      <w:r w:rsidR="00AE22E0">
        <w:rPr>
          <w:lang w:val="en-US"/>
        </w:rPr>
        <w:t>ied</w:t>
      </w:r>
      <w:r>
        <w:rPr>
          <w:lang w:val="en-US"/>
        </w:rPr>
        <w:t xml:space="preserve"> Toxicol</w:t>
      </w:r>
      <w:r w:rsidR="00AE22E0">
        <w:rPr>
          <w:lang w:val="en-US"/>
        </w:rPr>
        <w:t>ogy</w:t>
      </w:r>
      <w:r>
        <w:rPr>
          <w:lang w:val="en-US"/>
        </w:rPr>
        <w:t xml:space="preserve">, 23, </w:t>
      </w:r>
      <w:r w:rsidR="00545DBE" w:rsidRPr="00655EB0">
        <w:rPr>
          <w:lang w:val="en-US"/>
        </w:rPr>
        <w:t xml:space="preserve">487-495. </w:t>
      </w:r>
    </w:p>
    <w:p w14:paraId="0C3C7F00" w14:textId="0B99ED68" w:rsidR="00545DBE" w:rsidRDefault="00AE22E0" w:rsidP="00545DBE">
      <w:pPr>
        <w:pStyle w:val="EFSAReferences"/>
        <w:rPr>
          <w:lang w:val="en-US"/>
        </w:rPr>
      </w:pPr>
      <w:r>
        <w:rPr>
          <w:lang w:val="en-US"/>
        </w:rPr>
        <w:t>Baird SJS, Cohen JT, Graham JD</w:t>
      </w:r>
      <w:r w:rsidR="00545DBE" w:rsidRPr="00655EB0">
        <w:rPr>
          <w:lang w:val="en-US"/>
        </w:rPr>
        <w:t xml:space="preserve">, </w:t>
      </w:r>
      <w:proofErr w:type="spellStart"/>
      <w:r w:rsidR="00545DBE" w:rsidRPr="00655EB0">
        <w:rPr>
          <w:lang w:val="en-US"/>
        </w:rPr>
        <w:t>Shylak</w:t>
      </w:r>
      <w:r>
        <w:rPr>
          <w:lang w:val="en-US"/>
        </w:rPr>
        <w:t>ter</w:t>
      </w:r>
      <w:proofErr w:type="spellEnd"/>
      <w:r>
        <w:rPr>
          <w:lang w:val="en-US"/>
        </w:rPr>
        <w:t xml:space="preserve"> AI and Evans JS, 1996</w:t>
      </w:r>
      <w:r w:rsidR="00545DBE" w:rsidRPr="00655EB0">
        <w:rPr>
          <w:lang w:val="en-US"/>
        </w:rPr>
        <w:t xml:space="preserve">. Noncancer risk assessment: A probabilistic alternative to current practice. </w:t>
      </w:r>
      <w:r w:rsidR="00545DBE" w:rsidRPr="00AE22E0">
        <w:rPr>
          <w:iCs/>
          <w:lang w:val="en-US"/>
        </w:rPr>
        <w:t>Human and Ecological Risk Assessment</w:t>
      </w:r>
      <w:r w:rsidRPr="00AE22E0">
        <w:rPr>
          <w:iCs/>
          <w:lang w:val="en-US"/>
        </w:rPr>
        <w:t xml:space="preserve">, </w:t>
      </w:r>
      <w:r w:rsidR="00545DBE" w:rsidRPr="00AE22E0">
        <w:rPr>
          <w:iCs/>
          <w:lang w:val="en-US"/>
        </w:rPr>
        <w:t>2</w:t>
      </w:r>
      <w:r w:rsidR="00545DBE" w:rsidRPr="00AE22E0">
        <w:rPr>
          <w:lang w:val="en-US"/>
        </w:rPr>
        <w:t>,</w:t>
      </w:r>
      <w:r w:rsidR="00545DBE" w:rsidRPr="00655EB0">
        <w:rPr>
          <w:lang w:val="en-US"/>
        </w:rPr>
        <w:t xml:space="preserve"> 79–102.</w:t>
      </w:r>
    </w:p>
    <w:p w14:paraId="2E42DEB9" w14:textId="64A737D3" w:rsidR="00463F15" w:rsidRDefault="007F4A16" w:rsidP="00463F15">
      <w:pPr>
        <w:pStyle w:val="EFSAReferences"/>
        <w:rPr>
          <w:lang w:val="en-US"/>
        </w:rPr>
      </w:pPr>
      <w:r w:rsidRPr="007F4A16">
        <w:rPr>
          <w:lang w:val="en-US"/>
        </w:rPr>
        <w:t>Bartlett MS</w:t>
      </w:r>
      <w:r w:rsidR="005529F7">
        <w:rPr>
          <w:lang w:val="en-US"/>
        </w:rPr>
        <w:t>,</w:t>
      </w:r>
      <w:r w:rsidRPr="007F4A16">
        <w:rPr>
          <w:lang w:val="en-US"/>
        </w:rPr>
        <w:t xml:space="preserve"> 1937. Properties of sufficiency and statistical tests. Proceedings of the Royal Statistical Society, Series A 160, 268–282</w:t>
      </w:r>
    </w:p>
    <w:p w14:paraId="0A38B809" w14:textId="3D1D0136" w:rsidR="00C47588" w:rsidRPr="00463F15" w:rsidRDefault="00C47588" w:rsidP="00463F15">
      <w:pPr>
        <w:pStyle w:val="EFSAReferences"/>
        <w:rPr>
          <w:lang w:val="en-US"/>
        </w:rPr>
      </w:pPr>
      <w:proofErr w:type="spellStart"/>
      <w:r w:rsidRPr="00C47588">
        <w:rPr>
          <w:lang w:val="en-US"/>
        </w:rPr>
        <w:t>Bayarri</w:t>
      </w:r>
      <w:proofErr w:type="spellEnd"/>
      <w:r w:rsidRPr="00C47588">
        <w:rPr>
          <w:lang w:val="en-US"/>
        </w:rPr>
        <w:t xml:space="preserve"> MJ and Berger JO</w:t>
      </w:r>
      <w:r>
        <w:rPr>
          <w:lang w:val="en-US"/>
        </w:rPr>
        <w:t>,</w:t>
      </w:r>
      <w:r w:rsidRPr="00C47588">
        <w:rPr>
          <w:lang w:val="en-US"/>
        </w:rPr>
        <w:t xml:space="preserve"> 2004</w:t>
      </w:r>
      <w:r w:rsidR="00BF46EA">
        <w:rPr>
          <w:lang w:val="en-US"/>
        </w:rPr>
        <w:t>.</w:t>
      </w:r>
      <w:r w:rsidRPr="00C47588">
        <w:rPr>
          <w:lang w:val="en-US"/>
        </w:rPr>
        <w:t xml:space="preserve"> The Interplay of Bayesian and Frequentist Analysis. Statistical Science, 19, 58-80.</w:t>
      </w:r>
    </w:p>
    <w:p w14:paraId="2377887A" w14:textId="6617C1F2" w:rsidR="00975018" w:rsidRDefault="00505283" w:rsidP="00E07A63">
      <w:pPr>
        <w:pStyle w:val="EFSAReferences"/>
        <w:keepNext w:val="0"/>
        <w:widowControl w:val="0"/>
        <w:spacing w:after="0"/>
        <w:ind w:left="0" w:firstLine="0"/>
        <w:rPr>
          <w:lang w:val="en-US"/>
        </w:rPr>
      </w:pPr>
      <w:proofErr w:type="spellStart"/>
      <w:r w:rsidRPr="00975018">
        <w:rPr>
          <w:lang w:val="en-US"/>
        </w:rPr>
        <w:t>Beausoleil</w:t>
      </w:r>
      <w:proofErr w:type="spellEnd"/>
      <w:r w:rsidRPr="00975018">
        <w:rPr>
          <w:lang w:val="en-US"/>
        </w:rPr>
        <w:t xml:space="preserve"> C, </w:t>
      </w:r>
      <w:proofErr w:type="spellStart"/>
      <w:r w:rsidRPr="00975018">
        <w:rPr>
          <w:lang w:val="en-US"/>
        </w:rPr>
        <w:t>Beronius</w:t>
      </w:r>
      <w:proofErr w:type="spellEnd"/>
      <w:r w:rsidRPr="00975018">
        <w:rPr>
          <w:lang w:val="en-US"/>
        </w:rPr>
        <w:t xml:space="preserve"> A, </w:t>
      </w:r>
      <w:proofErr w:type="spellStart"/>
      <w:r w:rsidRPr="00975018">
        <w:rPr>
          <w:lang w:val="en-US"/>
        </w:rPr>
        <w:t>Bodin</w:t>
      </w:r>
      <w:proofErr w:type="spellEnd"/>
      <w:r w:rsidRPr="00975018">
        <w:rPr>
          <w:lang w:val="en-US"/>
        </w:rPr>
        <w:t xml:space="preserve"> L, </w:t>
      </w:r>
      <w:proofErr w:type="spellStart"/>
      <w:r w:rsidRPr="00975018">
        <w:rPr>
          <w:lang w:val="en-US"/>
        </w:rPr>
        <w:t>Bokkers</w:t>
      </w:r>
      <w:proofErr w:type="spellEnd"/>
      <w:r w:rsidRPr="00975018">
        <w:rPr>
          <w:lang w:val="en-US"/>
        </w:rPr>
        <w:t xml:space="preserve"> BGH, Boon PE, Burger M, Cao Y, De Wit L, Fischer A, </w:t>
      </w:r>
      <w:proofErr w:type="spellStart"/>
      <w:r w:rsidRPr="00975018">
        <w:rPr>
          <w:lang w:val="en-US"/>
        </w:rPr>
        <w:t>Hanberg</w:t>
      </w:r>
      <w:proofErr w:type="spellEnd"/>
      <w:r w:rsidRPr="00975018">
        <w:rPr>
          <w:lang w:val="en-US"/>
        </w:rPr>
        <w:t xml:space="preserve"> A, Leander K, </w:t>
      </w:r>
      <w:proofErr w:type="spellStart"/>
      <w:r w:rsidRPr="00975018">
        <w:rPr>
          <w:lang w:val="en-US"/>
        </w:rPr>
        <w:t>Litens</w:t>
      </w:r>
      <w:proofErr w:type="spellEnd"/>
      <w:r w:rsidRPr="00975018">
        <w:rPr>
          <w:lang w:val="en-US"/>
        </w:rPr>
        <w:t xml:space="preserve">-Karlsson S, Rousselle C, Slob W, </w:t>
      </w:r>
      <w:proofErr w:type="spellStart"/>
      <w:r w:rsidRPr="00975018">
        <w:rPr>
          <w:lang w:val="en-US"/>
        </w:rPr>
        <w:t>Varret</w:t>
      </w:r>
      <w:proofErr w:type="spellEnd"/>
      <w:r w:rsidRPr="00975018">
        <w:rPr>
          <w:lang w:val="en-US"/>
        </w:rPr>
        <w:t xml:space="preserve"> C, </w:t>
      </w:r>
      <w:proofErr w:type="spellStart"/>
      <w:r w:rsidRPr="00975018">
        <w:rPr>
          <w:lang w:val="en-US"/>
        </w:rPr>
        <w:t>Wolterink</w:t>
      </w:r>
      <w:proofErr w:type="spellEnd"/>
      <w:r w:rsidRPr="00975018">
        <w:rPr>
          <w:lang w:val="en-US"/>
        </w:rPr>
        <w:t xml:space="preserve"> G and </w:t>
      </w:r>
      <w:proofErr w:type="spellStart"/>
      <w:r w:rsidRPr="00975018">
        <w:rPr>
          <w:lang w:val="en-US"/>
        </w:rPr>
        <w:t>Zilliacus</w:t>
      </w:r>
      <w:proofErr w:type="spellEnd"/>
      <w:r w:rsidRPr="00975018">
        <w:rPr>
          <w:lang w:val="en-US"/>
        </w:rPr>
        <w:t xml:space="preserve"> J, 2016.</w:t>
      </w:r>
      <w:r w:rsidR="009F6199">
        <w:rPr>
          <w:lang w:val="en-US"/>
        </w:rPr>
        <w:t xml:space="preserve"> </w:t>
      </w:r>
      <w:r w:rsidRPr="00975018">
        <w:rPr>
          <w:lang w:val="en-US"/>
        </w:rPr>
        <w:t xml:space="preserve">Review of non-monotonic dose-responses of substances for human risk assessment. EFSA Supporting Publications, 13:1027E. </w:t>
      </w:r>
      <w:proofErr w:type="spellStart"/>
      <w:r w:rsidRPr="00975018">
        <w:rPr>
          <w:lang w:val="en-US"/>
        </w:rPr>
        <w:t>doi</w:t>
      </w:r>
      <w:proofErr w:type="spellEnd"/>
      <w:r w:rsidRPr="00975018">
        <w:rPr>
          <w:lang w:val="en-US"/>
        </w:rPr>
        <w:t xml:space="preserve">: </w:t>
      </w:r>
      <w:proofErr w:type="gramStart"/>
      <w:r w:rsidRPr="00975018">
        <w:rPr>
          <w:lang w:val="en-US"/>
        </w:rPr>
        <w:t>10.2903/sp.efsa.2016.EN</w:t>
      </w:r>
      <w:proofErr w:type="gramEnd"/>
      <w:r w:rsidRPr="00975018">
        <w:rPr>
          <w:lang w:val="en-US"/>
        </w:rPr>
        <w:t>-1027</w:t>
      </w:r>
    </w:p>
    <w:p w14:paraId="76180AA5" w14:textId="77777777" w:rsidR="00545DBE" w:rsidRPr="00655EB0" w:rsidRDefault="00AE22E0" w:rsidP="00E07A63">
      <w:pPr>
        <w:pStyle w:val="EFSAReferences"/>
        <w:widowControl w:val="0"/>
        <w:spacing w:after="0"/>
        <w:ind w:left="0" w:firstLine="0"/>
        <w:rPr>
          <w:lang w:val="en-US"/>
        </w:rPr>
      </w:pPr>
      <w:r>
        <w:rPr>
          <w:lang w:val="en-US"/>
        </w:rPr>
        <w:t xml:space="preserve">Bemis JC, Wills JW, Bryce SM, </w:t>
      </w:r>
      <w:proofErr w:type="spellStart"/>
      <w:r>
        <w:rPr>
          <w:lang w:val="en-US"/>
        </w:rPr>
        <w:t>Torous</w:t>
      </w:r>
      <w:proofErr w:type="spellEnd"/>
      <w:r>
        <w:rPr>
          <w:lang w:val="en-US"/>
        </w:rPr>
        <w:t xml:space="preserve"> DK, </w:t>
      </w:r>
      <w:proofErr w:type="spellStart"/>
      <w:r>
        <w:rPr>
          <w:lang w:val="en-US"/>
        </w:rPr>
        <w:t>Dertinger</w:t>
      </w:r>
      <w:proofErr w:type="spellEnd"/>
      <w:r>
        <w:rPr>
          <w:lang w:val="en-US"/>
        </w:rPr>
        <w:t xml:space="preserve"> SD and Slob W, 2015</w:t>
      </w:r>
      <w:r w:rsidR="00545DBE" w:rsidRPr="00655EB0">
        <w:rPr>
          <w:lang w:val="en-US"/>
        </w:rPr>
        <w:t xml:space="preserve">. Comparison of In Vitro and In Vivo Clastogenic Potency Based on Benchmark Dose Analysis of Flow Cytometric Micronucleus Data. Mutagenesis, </w:t>
      </w:r>
      <w:r w:rsidR="00F65DAA">
        <w:rPr>
          <w:lang w:val="en-US"/>
        </w:rPr>
        <w:t>31, 277-285.</w:t>
      </w:r>
    </w:p>
    <w:p w14:paraId="2E3BD87D" w14:textId="54288817" w:rsidR="00AE22E0" w:rsidRDefault="00AE22E0" w:rsidP="00E07A63">
      <w:pPr>
        <w:pStyle w:val="EFSAReferences"/>
        <w:widowControl w:val="0"/>
        <w:rPr>
          <w:lang w:val="en-US"/>
        </w:rPr>
      </w:pPr>
      <w:proofErr w:type="spellStart"/>
      <w:r>
        <w:rPr>
          <w:lang w:val="en-US"/>
        </w:rPr>
        <w:t>Bokkers</w:t>
      </w:r>
      <w:proofErr w:type="spellEnd"/>
      <w:r>
        <w:rPr>
          <w:lang w:val="en-US"/>
        </w:rPr>
        <w:t xml:space="preserve"> BGH and Slob W, 2005</w:t>
      </w:r>
      <w:r w:rsidR="00545DBE" w:rsidRPr="00655EB0">
        <w:rPr>
          <w:lang w:val="en-US"/>
        </w:rPr>
        <w:t xml:space="preserve">. A Comparison of Ratio Distributions Based on the NOAEL and the Benchmark Approach for </w:t>
      </w:r>
      <w:proofErr w:type="spellStart"/>
      <w:r w:rsidR="00545DBE" w:rsidRPr="00655EB0">
        <w:rPr>
          <w:lang w:val="en-US"/>
        </w:rPr>
        <w:t>Subchronic</w:t>
      </w:r>
      <w:proofErr w:type="spellEnd"/>
      <w:r w:rsidR="00545DBE" w:rsidRPr="00655EB0">
        <w:rPr>
          <w:lang w:val="en-US"/>
        </w:rPr>
        <w:t xml:space="preserve">-to-Chronic Extrapolation. </w:t>
      </w:r>
      <w:hyperlink r:id="rId26" w:history="1">
        <w:r w:rsidR="00F3272D" w:rsidRPr="00A1280C">
          <w:rPr>
            <w:lang w:val="en-US"/>
          </w:rPr>
          <w:t>Toxicological Sciences</w:t>
        </w:r>
      </w:hyperlink>
      <w:r>
        <w:rPr>
          <w:lang w:val="en-US"/>
        </w:rPr>
        <w:t xml:space="preserve">, 85, </w:t>
      </w:r>
      <w:r w:rsidR="00545DBE" w:rsidRPr="000B6C6B">
        <w:rPr>
          <w:lang w:val="en-US"/>
        </w:rPr>
        <w:t>1033-1040</w:t>
      </w:r>
      <w:r>
        <w:rPr>
          <w:lang w:val="en-US"/>
        </w:rPr>
        <w:t xml:space="preserve"> </w:t>
      </w:r>
    </w:p>
    <w:p w14:paraId="51C32068" w14:textId="77777777" w:rsidR="00545DBE" w:rsidRPr="00AD2563" w:rsidRDefault="00AE22E0" w:rsidP="00E07A63">
      <w:pPr>
        <w:pStyle w:val="EFSAReferences"/>
        <w:widowControl w:val="0"/>
        <w:rPr>
          <w:color w:val="auto"/>
          <w:lang w:val="en-US"/>
        </w:rPr>
      </w:pPr>
      <w:proofErr w:type="spellStart"/>
      <w:r w:rsidRPr="698FC3A4">
        <w:rPr>
          <w:lang w:val="en-US"/>
        </w:rPr>
        <w:t>Bokkers</w:t>
      </w:r>
      <w:proofErr w:type="spellEnd"/>
      <w:r w:rsidRPr="698FC3A4">
        <w:rPr>
          <w:lang w:val="en-US"/>
        </w:rPr>
        <w:t xml:space="preserve"> </w:t>
      </w:r>
      <w:r w:rsidR="00545DBE" w:rsidRPr="698FC3A4">
        <w:rPr>
          <w:lang w:val="en-US"/>
        </w:rPr>
        <w:t>BGH</w:t>
      </w:r>
      <w:r w:rsidRPr="698FC3A4">
        <w:rPr>
          <w:lang w:val="en-US"/>
        </w:rPr>
        <w:t xml:space="preserve"> and Slob W 2007</w:t>
      </w:r>
      <w:r w:rsidR="00545DBE" w:rsidRPr="698FC3A4">
        <w:rPr>
          <w:lang w:val="en-US"/>
        </w:rPr>
        <w:t xml:space="preserve">. Deriving a data-based interspecies assessment factor using the NOAEL and </w:t>
      </w:r>
      <w:r w:rsidR="00545DBE" w:rsidRPr="00AD2563">
        <w:rPr>
          <w:color w:val="auto"/>
          <w:lang w:val="en-US"/>
        </w:rPr>
        <w:t>the Benchmark dose ap</w:t>
      </w:r>
      <w:r w:rsidR="006C0653" w:rsidRPr="00AD2563">
        <w:rPr>
          <w:color w:val="auto"/>
          <w:lang w:val="en-US"/>
        </w:rPr>
        <w:t>proach. Critical Review in</w:t>
      </w:r>
      <w:r w:rsidRPr="00AD2563">
        <w:rPr>
          <w:color w:val="auto"/>
          <w:lang w:val="en-US"/>
        </w:rPr>
        <w:t xml:space="preserve"> Toxicol</w:t>
      </w:r>
      <w:r w:rsidR="006C0653" w:rsidRPr="00AD2563">
        <w:rPr>
          <w:color w:val="auto"/>
          <w:lang w:val="en-US"/>
        </w:rPr>
        <w:t>ogy Journal</w:t>
      </w:r>
      <w:r w:rsidRPr="00AD2563">
        <w:rPr>
          <w:color w:val="auto"/>
          <w:lang w:val="en-US"/>
        </w:rPr>
        <w:t xml:space="preserve">, 37, </w:t>
      </w:r>
      <w:r w:rsidR="00545DBE" w:rsidRPr="00AD2563">
        <w:rPr>
          <w:color w:val="auto"/>
          <w:lang w:val="en-US"/>
        </w:rPr>
        <w:t>353-377.</w:t>
      </w:r>
    </w:p>
    <w:p w14:paraId="2D8466C5" w14:textId="0D57DB44" w:rsidR="2E7FEDCB" w:rsidRPr="006531DC" w:rsidRDefault="2E7FEDCB" w:rsidP="00E07A63">
      <w:pPr>
        <w:pStyle w:val="EFSAReferences"/>
        <w:widowControl w:val="0"/>
        <w:jc w:val="left"/>
        <w:rPr>
          <w:color w:val="auto"/>
          <w:lang w:val="en-US"/>
        </w:rPr>
      </w:pPr>
      <w:proofErr w:type="spellStart"/>
      <w:r w:rsidRPr="698FC3A4">
        <w:rPr>
          <w:color w:val="auto"/>
          <w:lang w:val="en-US"/>
        </w:rPr>
        <w:t>Bolstad</w:t>
      </w:r>
      <w:proofErr w:type="spellEnd"/>
      <w:r w:rsidRPr="698FC3A4">
        <w:rPr>
          <w:color w:val="auto"/>
          <w:lang w:val="en-US"/>
        </w:rPr>
        <w:t xml:space="preserve"> WM and </w:t>
      </w:r>
      <w:r w:rsidR="001E7E71">
        <w:rPr>
          <w:color w:val="auto"/>
          <w:lang w:val="en-US"/>
        </w:rPr>
        <w:t>Curran</w:t>
      </w:r>
      <w:r w:rsidR="004B08C5">
        <w:rPr>
          <w:color w:val="auto"/>
          <w:lang w:val="en-US"/>
        </w:rPr>
        <w:t xml:space="preserve"> </w:t>
      </w:r>
      <w:r w:rsidRPr="698FC3A4">
        <w:rPr>
          <w:color w:val="auto"/>
          <w:lang w:val="en-US"/>
        </w:rPr>
        <w:t xml:space="preserve">JM 2016. Introduction to Bayesian Statistics, John Wiley &amp; Sons, Incorporated, </w:t>
      </w:r>
      <w:r w:rsidRPr="003141BB">
        <w:rPr>
          <w:color w:val="auto"/>
          <w:lang w:val="en-US"/>
        </w:rPr>
        <w:t xml:space="preserve">2016. ProQuest </w:t>
      </w:r>
      <w:proofErr w:type="spellStart"/>
      <w:r w:rsidRPr="003141BB">
        <w:rPr>
          <w:color w:val="auto"/>
          <w:lang w:val="en-US"/>
        </w:rPr>
        <w:t>Ebook</w:t>
      </w:r>
      <w:proofErr w:type="spellEnd"/>
      <w:r w:rsidRPr="003141BB">
        <w:rPr>
          <w:color w:val="auto"/>
          <w:lang w:val="en-US"/>
        </w:rPr>
        <w:t xml:space="preserve"> Central, https://ebookcentral.proquest.com/lib/ubhasselt/detail.action?docID=4658580.</w:t>
      </w:r>
    </w:p>
    <w:p w14:paraId="6EBCC643" w14:textId="3877BEC5" w:rsidR="00545DBE" w:rsidRPr="00AD2563" w:rsidRDefault="00545DBE" w:rsidP="00E07A63">
      <w:pPr>
        <w:pStyle w:val="EFSAReferences"/>
        <w:widowControl w:val="0"/>
        <w:rPr>
          <w:rFonts w:cs="Courier New"/>
          <w:color w:val="auto"/>
          <w:lang w:val="en-US"/>
        </w:rPr>
      </w:pPr>
      <w:proofErr w:type="spellStart"/>
      <w:proofErr w:type="gramStart"/>
      <w:r w:rsidRPr="006531DC">
        <w:rPr>
          <w:color w:val="auto"/>
          <w:lang w:val="en-US"/>
        </w:rPr>
        <w:t>Bosgra</w:t>
      </w:r>
      <w:proofErr w:type="spellEnd"/>
      <w:r w:rsidRPr="006531DC">
        <w:rPr>
          <w:color w:val="auto"/>
          <w:lang w:val="en-US"/>
        </w:rPr>
        <w:t xml:space="preserve"> S,</w:t>
      </w:r>
      <w:proofErr w:type="gramEnd"/>
      <w:r w:rsidRPr="006531DC">
        <w:rPr>
          <w:color w:val="auto"/>
          <w:lang w:val="en-US"/>
        </w:rPr>
        <w:t xml:space="preserve"> van de</w:t>
      </w:r>
      <w:r w:rsidR="006C0653" w:rsidRPr="006531DC">
        <w:rPr>
          <w:color w:val="auto"/>
          <w:lang w:val="en-US"/>
        </w:rPr>
        <w:t xml:space="preserve">r </w:t>
      </w:r>
      <w:proofErr w:type="spellStart"/>
      <w:r w:rsidR="006C0653" w:rsidRPr="006531DC">
        <w:rPr>
          <w:color w:val="auto"/>
          <w:lang w:val="en-US"/>
        </w:rPr>
        <w:t>Voet</w:t>
      </w:r>
      <w:proofErr w:type="spellEnd"/>
      <w:r w:rsidR="006C0653" w:rsidRPr="006531DC">
        <w:rPr>
          <w:color w:val="auto"/>
          <w:lang w:val="en-US"/>
        </w:rPr>
        <w:t xml:space="preserve"> H, Boon PE and </w:t>
      </w:r>
      <w:r w:rsidRPr="006531DC">
        <w:rPr>
          <w:color w:val="auto"/>
          <w:lang w:val="en-US"/>
        </w:rPr>
        <w:t>Slob W</w:t>
      </w:r>
      <w:r w:rsidR="006C0653" w:rsidRPr="006531DC">
        <w:rPr>
          <w:color w:val="auto"/>
          <w:lang w:val="en-US"/>
        </w:rPr>
        <w:t>, 2009</w:t>
      </w:r>
      <w:r w:rsidRPr="006531DC">
        <w:rPr>
          <w:color w:val="auto"/>
          <w:lang w:val="en-US"/>
        </w:rPr>
        <w:t xml:space="preserve">. </w:t>
      </w:r>
      <w:r w:rsidRPr="00AD2563">
        <w:rPr>
          <w:color w:val="auto"/>
          <w:lang w:val="en-US"/>
        </w:rPr>
        <w:t xml:space="preserve">An integrated probabilistic framework for cumulative risk assessment of common mechanism chemicals in food: An example with organophosphorus pesticides. </w:t>
      </w:r>
      <w:r w:rsidR="006C0653" w:rsidRPr="00AD2563">
        <w:rPr>
          <w:color w:val="auto"/>
          <w:lang w:val="en-US"/>
        </w:rPr>
        <w:t>Regulatory</w:t>
      </w:r>
      <w:r w:rsidR="00732F35">
        <w:rPr>
          <w:color w:val="auto"/>
          <w:lang w:val="en-US"/>
        </w:rPr>
        <w:t xml:space="preserve"> </w:t>
      </w:r>
      <w:r w:rsidR="006C0653" w:rsidRPr="00AD2563">
        <w:rPr>
          <w:color w:val="auto"/>
          <w:lang w:val="en-US"/>
        </w:rPr>
        <w:t>Toxicology</w:t>
      </w:r>
      <w:r w:rsidR="00732F35">
        <w:rPr>
          <w:color w:val="auto"/>
          <w:lang w:val="en-US"/>
        </w:rPr>
        <w:t xml:space="preserve"> </w:t>
      </w:r>
      <w:r w:rsidR="006C0653" w:rsidRPr="00AD2563">
        <w:rPr>
          <w:color w:val="auto"/>
          <w:lang w:val="en-US"/>
        </w:rPr>
        <w:t>and</w:t>
      </w:r>
      <w:r w:rsidR="00732F35">
        <w:rPr>
          <w:color w:val="auto"/>
          <w:lang w:val="en-US"/>
        </w:rPr>
        <w:t xml:space="preserve"> </w:t>
      </w:r>
      <w:r w:rsidR="006C0653" w:rsidRPr="00AD2563">
        <w:rPr>
          <w:color w:val="auto"/>
          <w:lang w:val="en-US"/>
        </w:rPr>
        <w:t>Pharmacology Journal, 54,</w:t>
      </w:r>
      <w:r w:rsidRPr="00AD2563">
        <w:rPr>
          <w:color w:val="auto"/>
          <w:lang w:val="en-US"/>
        </w:rPr>
        <w:t xml:space="preserve"> 124-133.</w:t>
      </w:r>
    </w:p>
    <w:p w14:paraId="1497824F" w14:textId="4FBACDBE" w:rsidR="007D0A47" w:rsidRDefault="007D0A47" w:rsidP="00E07A63">
      <w:pPr>
        <w:pStyle w:val="EFSAReferences"/>
        <w:widowControl w:val="0"/>
        <w:rPr>
          <w:lang w:val="en-US"/>
        </w:rPr>
      </w:pPr>
      <w:r w:rsidRPr="00AD2563">
        <w:rPr>
          <w:color w:val="auto"/>
          <w:lang w:val="en-US"/>
        </w:rPr>
        <w:t>Burnham KP and Anderson DR, 2002.</w:t>
      </w:r>
      <w:r w:rsidR="008C5E31" w:rsidRPr="00AD2563">
        <w:rPr>
          <w:color w:val="auto"/>
          <w:lang w:val="en-US"/>
        </w:rPr>
        <w:t xml:space="preserve"> Model Selection and </w:t>
      </w:r>
      <w:proofErr w:type="spellStart"/>
      <w:r w:rsidR="008C5E31" w:rsidRPr="00AD2563">
        <w:rPr>
          <w:color w:val="auto"/>
          <w:lang w:val="en-US"/>
        </w:rPr>
        <w:t>Multimodel</w:t>
      </w:r>
      <w:proofErr w:type="spellEnd"/>
      <w:r w:rsidR="008C5E31" w:rsidRPr="00AD2563">
        <w:rPr>
          <w:color w:val="auto"/>
          <w:lang w:val="en-US"/>
        </w:rPr>
        <w:t xml:space="preserve"> Inference: A Practical Information-Theoretical. Approach. 2d ed. New York: Springer</w:t>
      </w:r>
      <w:r w:rsidR="008C5E31" w:rsidRPr="008C5E31">
        <w:rPr>
          <w:lang w:val="en-US"/>
        </w:rPr>
        <w:t>-Verlag.</w:t>
      </w:r>
    </w:p>
    <w:p w14:paraId="706328E3" w14:textId="3FB16C60" w:rsidR="00545DBE" w:rsidRPr="00655EB0" w:rsidRDefault="006C0653" w:rsidP="00E07A63">
      <w:pPr>
        <w:pStyle w:val="EFSAReferences"/>
        <w:widowControl w:val="0"/>
        <w:rPr>
          <w:lang w:val="en-US"/>
        </w:rPr>
      </w:pPr>
      <w:r>
        <w:rPr>
          <w:lang w:val="en-US"/>
        </w:rPr>
        <w:t>Burnham KP and Anderson</w:t>
      </w:r>
      <w:r w:rsidR="00545DBE" w:rsidRPr="00655EB0">
        <w:rPr>
          <w:lang w:val="en-US"/>
        </w:rPr>
        <w:t xml:space="preserve"> DR</w:t>
      </w:r>
      <w:r>
        <w:rPr>
          <w:lang w:val="en-US"/>
        </w:rPr>
        <w:t>, 2004</w:t>
      </w:r>
      <w:r w:rsidR="00545DBE" w:rsidRPr="00655EB0">
        <w:rPr>
          <w:lang w:val="en-US"/>
        </w:rPr>
        <w:t xml:space="preserve">. </w:t>
      </w:r>
      <w:proofErr w:type="spellStart"/>
      <w:r w:rsidR="00545DBE" w:rsidRPr="00655EB0">
        <w:rPr>
          <w:lang w:val="en-US"/>
        </w:rPr>
        <w:t>Multimodel</w:t>
      </w:r>
      <w:proofErr w:type="spellEnd"/>
      <w:r w:rsidR="00545DBE" w:rsidRPr="00655EB0">
        <w:rPr>
          <w:lang w:val="en-US"/>
        </w:rPr>
        <w:t xml:space="preserve"> Inference: Understanding AIC and BIC in Model Selection. </w:t>
      </w:r>
      <w:r w:rsidRPr="006C0653">
        <w:rPr>
          <w:lang w:val="en-US"/>
        </w:rPr>
        <w:t>Sociological Methods &amp; Research</w:t>
      </w:r>
      <w:r>
        <w:rPr>
          <w:i/>
          <w:iCs/>
          <w:lang w:val="en-US"/>
        </w:rPr>
        <w:t xml:space="preserve">, </w:t>
      </w:r>
      <w:r w:rsidR="00545DBE" w:rsidRPr="006C0653">
        <w:rPr>
          <w:lang w:val="en-US"/>
        </w:rPr>
        <w:t>33</w:t>
      </w:r>
      <w:r w:rsidRPr="006C0653">
        <w:rPr>
          <w:lang w:val="en-US"/>
        </w:rPr>
        <w:t>,</w:t>
      </w:r>
      <w:r>
        <w:rPr>
          <w:lang w:val="en-US"/>
        </w:rPr>
        <w:t xml:space="preserve"> 261-304.</w:t>
      </w:r>
    </w:p>
    <w:p w14:paraId="5EDFEE22" w14:textId="77777777" w:rsidR="00545DBE" w:rsidRPr="00655EB0" w:rsidRDefault="00C33DFE" w:rsidP="00E07A63">
      <w:pPr>
        <w:pStyle w:val="EFSAReferences"/>
        <w:widowControl w:val="0"/>
        <w:rPr>
          <w:lang w:val="en-US"/>
        </w:rPr>
      </w:pPr>
      <w:r>
        <w:rPr>
          <w:lang w:val="en-US"/>
        </w:rPr>
        <w:t>Chiu WA and Slob W, 2015</w:t>
      </w:r>
      <w:r w:rsidR="00545DBE" w:rsidRPr="00655EB0">
        <w:rPr>
          <w:lang w:val="en-US"/>
        </w:rPr>
        <w:t>. A Unified Probabilistic Framework for Dose-Response Assessment of Human Health Effects. Environmental Health Perspectives</w:t>
      </w:r>
      <w:r w:rsidR="009514FA">
        <w:rPr>
          <w:lang w:val="en-US"/>
        </w:rPr>
        <w:t>, 123, 1241-1254.</w:t>
      </w:r>
    </w:p>
    <w:p w14:paraId="31253D71" w14:textId="77777777" w:rsidR="00732F35" w:rsidRPr="00C33DFE" w:rsidRDefault="00732F35" w:rsidP="00E07A63">
      <w:pPr>
        <w:pStyle w:val="EFSAReferences"/>
        <w:widowControl w:val="0"/>
        <w:rPr>
          <w:lang w:val="en-US"/>
        </w:rPr>
      </w:pPr>
      <w:r w:rsidRPr="00470EF5">
        <w:rPr>
          <w:lang w:val="en-US"/>
        </w:rPr>
        <w:t>Congdon P</w:t>
      </w:r>
      <w:r>
        <w:rPr>
          <w:lang w:val="en-US"/>
        </w:rPr>
        <w:t>,</w:t>
      </w:r>
      <w:r w:rsidRPr="00470EF5">
        <w:rPr>
          <w:lang w:val="en-US"/>
        </w:rPr>
        <w:t xml:space="preserve"> 2006. Bayesian Statistical Modelling. (2a. ed.) Chichester: Wiley.</w:t>
      </w:r>
    </w:p>
    <w:p w14:paraId="2A48C70B" w14:textId="2B55EF28" w:rsidR="00545DBE" w:rsidRDefault="00C33DFE" w:rsidP="00E07A63">
      <w:pPr>
        <w:pStyle w:val="EFSAReferences"/>
        <w:widowControl w:val="0"/>
        <w:rPr>
          <w:lang w:val="en-US"/>
        </w:rPr>
      </w:pPr>
      <w:r>
        <w:rPr>
          <w:lang w:val="en-US"/>
        </w:rPr>
        <w:t>Crump KS 1984</w:t>
      </w:r>
      <w:r w:rsidR="00545DBE" w:rsidRPr="00655EB0">
        <w:rPr>
          <w:lang w:val="en-US"/>
        </w:rPr>
        <w:t xml:space="preserve">. A New Method for Determining Allowable Daily Intakes. </w:t>
      </w:r>
      <w:r w:rsidR="00545DBE" w:rsidRPr="00C33DFE">
        <w:rPr>
          <w:lang w:val="en-US"/>
        </w:rPr>
        <w:t>Fundamental and Applied Toxicology</w:t>
      </w:r>
      <w:r>
        <w:rPr>
          <w:lang w:val="en-US"/>
        </w:rPr>
        <w:t>,</w:t>
      </w:r>
      <w:r w:rsidR="00545DBE" w:rsidRPr="00C33DFE">
        <w:rPr>
          <w:lang w:val="en-US"/>
        </w:rPr>
        <w:t xml:space="preserve"> 4, 854-871.</w:t>
      </w:r>
    </w:p>
    <w:p w14:paraId="73924DC9" w14:textId="5D9421CD" w:rsidR="00C85348" w:rsidRDefault="00C85348" w:rsidP="00E07A63">
      <w:pPr>
        <w:pStyle w:val="EFSAReferences"/>
        <w:widowControl w:val="0"/>
        <w:rPr>
          <w:lang w:val="en-US"/>
        </w:rPr>
      </w:pPr>
      <w:r w:rsidRPr="00C85348">
        <w:rPr>
          <w:lang w:val="en-US"/>
        </w:rPr>
        <w:t>Cox, D.R., 2006. Frequentist and Bayesian Statistics: A Critique. Transactions in Particle Physics, Astrophysics and Cosmology.</w:t>
      </w:r>
    </w:p>
    <w:p w14:paraId="54FB506A" w14:textId="280F71ED" w:rsidR="00516470" w:rsidRPr="00516470" w:rsidRDefault="00516470" w:rsidP="00E07A63">
      <w:pPr>
        <w:pStyle w:val="EFSAReferences"/>
        <w:widowControl w:val="0"/>
        <w:rPr>
          <w:lang w:val="en-US"/>
        </w:rPr>
      </w:pPr>
      <w:proofErr w:type="spellStart"/>
      <w:r w:rsidRPr="00516470">
        <w:rPr>
          <w:lang w:val="en-US"/>
        </w:rPr>
        <w:t>Dekkers</w:t>
      </w:r>
      <w:proofErr w:type="spellEnd"/>
      <w:r w:rsidRPr="00516470">
        <w:rPr>
          <w:lang w:val="en-US"/>
        </w:rPr>
        <w:t xml:space="preserve"> S, de </w:t>
      </w:r>
      <w:proofErr w:type="spellStart"/>
      <w:r w:rsidRPr="00516470">
        <w:rPr>
          <w:lang w:val="en-US"/>
        </w:rPr>
        <w:t>Heer</w:t>
      </w:r>
      <w:proofErr w:type="spellEnd"/>
      <w:r w:rsidRPr="00516470">
        <w:rPr>
          <w:lang w:val="en-US"/>
        </w:rPr>
        <w:t xml:space="preserve"> C and </w:t>
      </w:r>
      <w:proofErr w:type="spellStart"/>
      <w:r w:rsidRPr="00516470">
        <w:rPr>
          <w:lang w:val="en-US"/>
        </w:rPr>
        <w:t>Rennen</w:t>
      </w:r>
      <w:proofErr w:type="spellEnd"/>
      <w:r w:rsidRPr="00516470">
        <w:rPr>
          <w:lang w:val="en-US"/>
        </w:rPr>
        <w:t xml:space="preserve"> M, 2001. Critical effect sizes in toxicological risk assessment: a comprehensive and critical evaluation. Environmental toxicology and pharmacology, 10 1-2:33-52</w:t>
      </w:r>
    </w:p>
    <w:p w14:paraId="6EE6D764" w14:textId="77777777" w:rsidR="00545DBE" w:rsidRPr="00655EB0" w:rsidRDefault="00545DBE" w:rsidP="00E07A63">
      <w:pPr>
        <w:pStyle w:val="EFSAReferences"/>
        <w:widowControl w:val="0"/>
        <w:rPr>
          <w:iCs/>
          <w:lang w:val="en-US" w:eastAsia="en-GB"/>
        </w:rPr>
      </w:pPr>
      <w:r w:rsidRPr="00655EB0">
        <w:rPr>
          <w:lang w:val="en-US"/>
        </w:rPr>
        <w:t>EFSA (</w:t>
      </w:r>
      <w:r w:rsidR="00C33DFE">
        <w:rPr>
          <w:lang w:val="en-US"/>
        </w:rPr>
        <w:t>European Food Safety Authority), 2005</w:t>
      </w:r>
      <w:r w:rsidRPr="00655EB0">
        <w:rPr>
          <w:lang w:val="en-US"/>
        </w:rPr>
        <w:t xml:space="preserve">. Opinion of the Scientific Committee on a request from EFSA related to a </w:t>
      </w:r>
      <w:proofErr w:type="spellStart"/>
      <w:r w:rsidRPr="00655EB0">
        <w:rPr>
          <w:lang w:val="en-US"/>
        </w:rPr>
        <w:t>harmonised</w:t>
      </w:r>
      <w:proofErr w:type="spellEnd"/>
      <w:r w:rsidRPr="00655EB0">
        <w:rPr>
          <w:lang w:val="en-US"/>
        </w:rPr>
        <w:t xml:space="preserve"> approach for risk assessment of substances which are both genotoxic and carcinogenic. </w:t>
      </w:r>
      <w:r w:rsidRPr="00655EB0">
        <w:rPr>
          <w:iCs/>
          <w:lang w:val="en-US" w:eastAsia="en-GB"/>
        </w:rPr>
        <w:t>The EFSA Journal</w:t>
      </w:r>
      <w:r w:rsidR="00C33DFE">
        <w:rPr>
          <w:iCs/>
          <w:lang w:val="en-US" w:eastAsia="en-GB"/>
        </w:rPr>
        <w:t xml:space="preserve"> 2005,</w:t>
      </w:r>
      <w:r w:rsidRPr="00655EB0">
        <w:rPr>
          <w:iCs/>
          <w:lang w:val="en-US" w:eastAsia="en-GB"/>
        </w:rPr>
        <w:t xml:space="preserve"> 282, 1-31</w:t>
      </w:r>
    </w:p>
    <w:p w14:paraId="460F0212" w14:textId="77777777" w:rsidR="00794571" w:rsidRPr="00655EB0" w:rsidRDefault="00545DBE" w:rsidP="00E07A63">
      <w:pPr>
        <w:pStyle w:val="EFSAReferences"/>
        <w:widowControl w:val="0"/>
        <w:rPr>
          <w:iCs/>
          <w:lang w:val="en-US" w:eastAsia="en-GB"/>
        </w:rPr>
      </w:pPr>
      <w:r w:rsidRPr="00655EB0">
        <w:rPr>
          <w:lang w:val="en-US"/>
        </w:rPr>
        <w:t xml:space="preserve">EFSA </w:t>
      </w:r>
      <w:r w:rsidR="00794571" w:rsidRPr="00655EB0">
        <w:rPr>
          <w:lang w:val="en-US"/>
        </w:rPr>
        <w:t>(</w:t>
      </w:r>
      <w:r w:rsidR="00794571">
        <w:rPr>
          <w:lang w:val="en-US"/>
        </w:rPr>
        <w:t xml:space="preserve">European Food Safety Authority), </w:t>
      </w:r>
      <w:r w:rsidR="00C33DFE">
        <w:rPr>
          <w:lang w:val="en-US"/>
        </w:rPr>
        <w:t>2007</w:t>
      </w:r>
      <w:r w:rsidRPr="00655EB0">
        <w:rPr>
          <w:lang w:val="en-US"/>
        </w:rPr>
        <w:t xml:space="preserve">. </w:t>
      </w:r>
      <w:r w:rsidR="00794571" w:rsidRPr="00655EB0">
        <w:rPr>
          <w:lang w:val="en-US"/>
        </w:rPr>
        <w:t xml:space="preserve">Opinion of the scientific panel on contaminants in the food chain [CONTAM] related to the potential increase of consumer health risk by a possible increase of the existing maximum levels for aflatoxins in almonds, hazelnuts and pistachios and derived products. </w:t>
      </w:r>
      <w:r w:rsidR="00794571" w:rsidRPr="00655EB0">
        <w:rPr>
          <w:iCs/>
          <w:lang w:val="en-US" w:eastAsia="en-GB"/>
        </w:rPr>
        <w:t>The EFSA Journal 446, 1-127</w:t>
      </w:r>
    </w:p>
    <w:p w14:paraId="458AB8BC" w14:textId="77777777" w:rsidR="00545DBE" w:rsidRPr="00655EB0" w:rsidRDefault="00794571" w:rsidP="00545DBE">
      <w:pPr>
        <w:pStyle w:val="EFSAReferences"/>
        <w:rPr>
          <w:lang w:val="en-US"/>
        </w:rPr>
      </w:pPr>
      <w:r>
        <w:rPr>
          <w:lang w:val="en-US"/>
        </w:rPr>
        <w:t xml:space="preserve">EFSA </w:t>
      </w:r>
      <w:r w:rsidRPr="00655EB0">
        <w:rPr>
          <w:lang w:val="en-US"/>
        </w:rPr>
        <w:t>(</w:t>
      </w:r>
      <w:r>
        <w:rPr>
          <w:lang w:val="en-US"/>
        </w:rPr>
        <w:t xml:space="preserve">European Food Safety Authority), </w:t>
      </w:r>
      <w:r w:rsidR="00545DBE" w:rsidRPr="00655EB0">
        <w:rPr>
          <w:lang w:val="en-US"/>
        </w:rPr>
        <w:t>2009</w:t>
      </w:r>
      <w:r w:rsidR="004F40D2">
        <w:rPr>
          <w:lang w:val="en-US"/>
        </w:rPr>
        <w:t>a</w:t>
      </w:r>
      <w:r w:rsidR="00545DBE" w:rsidRPr="00655EB0">
        <w:rPr>
          <w:lang w:val="en-US"/>
        </w:rPr>
        <w:t>. Guidance of the Scientific Committee on a request from EFSA on the use of the benchmark dose a</w:t>
      </w:r>
      <w:r>
        <w:rPr>
          <w:lang w:val="en-US"/>
        </w:rPr>
        <w:t xml:space="preserve">pproach in risk assessment. EFSA Journal 2009, </w:t>
      </w:r>
      <w:r w:rsidR="00545DBE" w:rsidRPr="00655EB0">
        <w:rPr>
          <w:lang w:val="en-US"/>
        </w:rPr>
        <w:t>1150, 1-72</w:t>
      </w:r>
      <w:r>
        <w:rPr>
          <w:lang w:val="en-US"/>
        </w:rPr>
        <w:t>.</w:t>
      </w:r>
    </w:p>
    <w:p w14:paraId="18DD0EDE" w14:textId="40E80C0B" w:rsidR="00863823" w:rsidRDefault="00545DBE" w:rsidP="00863823">
      <w:pPr>
        <w:pStyle w:val="EFSAReferences"/>
        <w:rPr>
          <w:lang w:val="en-US"/>
        </w:rPr>
      </w:pPr>
      <w:r w:rsidRPr="00655EB0">
        <w:rPr>
          <w:lang w:val="en-US"/>
        </w:rPr>
        <w:t xml:space="preserve">EFSA </w:t>
      </w:r>
      <w:r w:rsidR="00794571" w:rsidRPr="00655EB0">
        <w:rPr>
          <w:lang w:val="en-US"/>
        </w:rPr>
        <w:t>(</w:t>
      </w:r>
      <w:r w:rsidR="00794571">
        <w:rPr>
          <w:lang w:val="en-US"/>
        </w:rPr>
        <w:t>European Food Safety Authority),</w:t>
      </w:r>
      <w:r w:rsidR="00794571" w:rsidRPr="00655EB0">
        <w:rPr>
          <w:lang w:val="en-US"/>
        </w:rPr>
        <w:t xml:space="preserve"> </w:t>
      </w:r>
      <w:r w:rsidR="00794571">
        <w:rPr>
          <w:lang w:val="en-US"/>
        </w:rPr>
        <w:t>2009</w:t>
      </w:r>
      <w:r w:rsidR="004F40D2">
        <w:rPr>
          <w:lang w:val="en-US"/>
        </w:rPr>
        <w:t>b</w:t>
      </w:r>
      <w:r w:rsidRPr="00655EB0">
        <w:rPr>
          <w:lang w:val="en-US"/>
        </w:rPr>
        <w:t>. Safety evaluation of ractopamine. Scientific Opinion of the Panel on Additives and Products or Subst</w:t>
      </w:r>
      <w:r w:rsidR="00794571">
        <w:rPr>
          <w:lang w:val="en-US"/>
        </w:rPr>
        <w:t>ances used in Animal Feed.</w:t>
      </w:r>
      <w:r w:rsidR="00A33969">
        <w:rPr>
          <w:lang w:val="en-US"/>
        </w:rPr>
        <w:t xml:space="preserve"> </w:t>
      </w:r>
      <w:r w:rsidRPr="00655EB0">
        <w:rPr>
          <w:lang w:val="en-US"/>
        </w:rPr>
        <w:t>EFSA Journal</w:t>
      </w:r>
      <w:r w:rsidR="00794571">
        <w:rPr>
          <w:lang w:val="en-US"/>
        </w:rPr>
        <w:t xml:space="preserve"> 2009,</w:t>
      </w:r>
      <w:r w:rsidRPr="00655EB0">
        <w:rPr>
          <w:lang w:val="en-US"/>
        </w:rPr>
        <w:t xml:space="preserve"> 1041, 1-52.</w:t>
      </w:r>
      <w:r w:rsidR="00A33969">
        <w:rPr>
          <w:highlight w:val="yellow"/>
          <w:lang w:val="en-US"/>
        </w:rPr>
        <w:t xml:space="preserve"> </w:t>
      </w:r>
    </w:p>
    <w:p w14:paraId="107D7BDF" w14:textId="40E80C0B" w:rsidR="007B24C2" w:rsidRPr="007B24C2" w:rsidRDefault="007B24C2" w:rsidP="007B24C2">
      <w:pPr>
        <w:pStyle w:val="EFSAReferences"/>
        <w:rPr>
          <w:lang w:val="en-US"/>
        </w:rPr>
      </w:pPr>
      <w:r w:rsidRPr="007B24C2">
        <w:rPr>
          <w:lang w:val="en-US"/>
        </w:rPr>
        <w:t xml:space="preserve">EFSA Panel on Contaminants in the Food Chain, 2004. Opinion of the Scientific Panel on contaminants in the food chain [CONTAM] to assess the health risks to consumers associated with exposure to </w:t>
      </w:r>
      <w:proofErr w:type="spellStart"/>
      <w:r w:rsidRPr="007B24C2">
        <w:rPr>
          <w:lang w:val="en-US"/>
        </w:rPr>
        <w:t>organotins</w:t>
      </w:r>
      <w:proofErr w:type="spellEnd"/>
      <w:r w:rsidRPr="007B24C2">
        <w:rPr>
          <w:lang w:val="en-US"/>
        </w:rPr>
        <w:t xml:space="preserve"> in foodstuffs, EFSA Journal 2004; </w:t>
      </w:r>
      <w:proofErr w:type="gramStart"/>
      <w:r w:rsidRPr="007B24C2">
        <w:rPr>
          <w:lang w:val="en-US"/>
        </w:rPr>
        <w:t>2( 10</w:t>
      </w:r>
      <w:proofErr w:type="gramEnd"/>
      <w:r w:rsidRPr="007B24C2">
        <w:rPr>
          <w:lang w:val="en-US"/>
        </w:rPr>
        <w:t>):102, 119 pp. doi:10.2903/j.efsa.2004.102</w:t>
      </w:r>
    </w:p>
    <w:p w14:paraId="7EC8A6A4" w14:textId="40E80C0B" w:rsidR="007B24C2" w:rsidRDefault="007B24C2" w:rsidP="007B24C2">
      <w:pPr>
        <w:pStyle w:val="EFSAReferences"/>
        <w:rPr>
          <w:lang w:val="en-US"/>
        </w:rPr>
      </w:pPr>
      <w:r w:rsidRPr="007B24C2">
        <w:rPr>
          <w:lang w:val="en-US"/>
        </w:rPr>
        <w:t xml:space="preserve">EFSA Panel on Contaminants in the Food Chain, 2004. Opinion of the Scientific Panel on contaminants in the food chain [CONTAM] related to Deoxynivalenol (DON) as undesirable substance in animal feed. EFSA Journal 2004; </w:t>
      </w:r>
      <w:proofErr w:type="gramStart"/>
      <w:r w:rsidRPr="007B24C2">
        <w:rPr>
          <w:lang w:val="en-US"/>
        </w:rPr>
        <w:t>2( 6</w:t>
      </w:r>
      <w:proofErr w:type="gramEnd"/>
      <w:r w:rsidRPr="007B24C2">
        <w:rPr>
          <w:lang w:val="en-US"/>
        </w:rPr>
        <w:t>):73, 42 pp. doi:10.2903/j.efsa.2004.73</w:t>
      </w:r>
    </w:p>
    <w:p w14:paraId="31B1232A" w14:textId="40E80C0B" w:rsidR="007B24C2" w:rsidRPr="007B24C2" w:rsidRDefault="007B24C2" w:rsidP="007B24C2">
      <w:pPr>
        <w:pStyle w:val="EFSAReferences"/>
        <w:rPr>
          <w:lang w:val="en-US"/>
        </w:rPr>
      </w:pPr>
      <w:r w:rsidRPr="007B24C2">
        <w:rPr>
          <w:lang w:val="en-US"/>
        </w:rPr>
        <w:t xml:space="preserve">EFSA Panel on Contaminants in the Food Chain, 2005. Opinion of the Scientific Panel on contaminants in the food chain [CONTAM] related to </w:t>
      </w:r>
      <w:proofErr w:type="spellStart"/>
      <w:r w:rsidRPr="007B24C2">
        <w:rPr>
          <w:lang w:val="en-US"/>
        </w:rPr>
        <w:t>fumonisins</w:t>
      </w:r>
      <w:proofErr w:type="spellEnd"/>
      <w:r w:rsidRPr="007B24C2">
        <w:rPr>
          <w:lang w:val="en-US"/>
        </w:rPr>
        <w:t xml:space="preserve"> as undesirable substances in animal feed. EFSA Journal 2005; </w:t>
      </w:r>
      <w:proofErr w:type="gramStart"/>
      <w:r w:rsidRPr="007B24C2">
        <w:rPr>
          <w:lang w:val="en-US"/>
        </w:rPr>
        <w:t>3( 7</w:t>
      </w:r>
      <w:proofErr w:type="gramEnd"/>
      <w:r w:rsidRPr="007B24C2">
        <w:rPr>
          <w:lang w:val="en-US"/>
        </w:rPr>
        <w:t>):235, 32 pp. doi:10.2903/j.efsa.2005.235</w:t>
      </w:r>
    </w:p>
    <w:p w14:paraId="266A0366" w14:textId="40E80C0B" w:rsidR="00863823" w:rsidRPr="00863823" w:rsidRDefault="000E3A44" w:rsidP="00863823">
      <w:pPr>
        <w:pStyle w:val="EFSAReferences"/>
        <w:rPr>
          <w:lang w:val="en-US"/>
        </w:rPr>
      </w:pPr>
      <w:r w:rsidRPr="000E3A44">
        <w:rPr>
          <w:lang w:val="en-US"/>
        </w:rPr>
        <w:t xml:space="preserve">EFSA Panel on Contaminants in the Food Chain (CONTAM); Scientific Opinion on Pyrrolizidine alkaloids in food and feed. EFSA Journal 2011; </w:t>
      </w:r>
      <w:proofErr w:type="gramStart"/>
      <w:r w:rsidRPr="000E3A44">
        <w:rPr>
          <w:lang w:val="en-US"/>
        </w:rPr>
        <w:t>9( 11</w:t>
      </w:r>
      <w:proofErr w:type="gramEnd"/>
      <w:r w:rsidRPr="000E3A44">
        <w:rPr>
          <w:lang w:val="en-US"/>
        </w:rPr>
        <w:t xml:space="preserve">):2406. [134 pp.] </w:t>
      </w:r>
      <w:proofErr w:type="gramStart"/>
      <w:r w:rsidRPr="000E3A44">
        <w:rPr>
          <w:lang w:val="en-US"/>
        </w:rPr>
        <w:t>doi:10.2903/j.efsa</w:t>
      </w:r>
      <w:proofErr w:type="gramEnd"/>
      <w:r w:rsidRPr="000E3A44">
        <w:rPr>
          <w:lang w:val="en-US"/>
        </w:rPr>
        <w:t>.2011.2406.</w:t>
      </w:r>
    </w:p>
    <w:p w14:paraId="40B3F334" w14:textId="40E80C0B" w:rsidR="007B24C2" w:rsidRDefault="007B24C2" w:rsidP="007B24C2">
      <w:pPr>
        <w:pStyle w:val="EFSAReferences"/>
      </w:pPr>
      <w:r w:rsidRPr="007B24C2">
        <w:t xml:space="preserve">EFSA Panel on Food Additives, Flavourings, Processing Aids and Materials in Contact with Food, 2007. Opinion of the Scientific Panel on food additives, flavourings, processing aids and materials in contact with food (AFC) related to an application on the use of ethyl </w:t>
      </w:r>
      <w:proofErr w:type="spellStart"/>
      <w:r w:rsidRPr="007B24C2">
        <w:t>lauroyl</w:t>
      </w:r>
      <w:proofErr w:type="spellEnd"/>
      <w:r w:rsidRPr="007B24C2">
        <w:t xml:space="preserve"> </w:t>
      </w:r>
      <w:proofErr w:type="spellStart"/>
      <w:r w:rsidRPr="007B24C2">
        <w:t>arginate</w:t>
      </w:r>
      <w:proofErr w:type="spellEnd"/>
      <w:r w:rsidRPr="007B24C2">
        <w:t xml:space="preserve"> as a food additive. EFSA Journal 2007; </w:t>
      </w:r>
      <w:proofErr w:type="gramStart"/>
      <w:r w:rsidRPr="007B24C2">
        <w:t>5( 7</w:t>
      </w:r>
      <w:proofErr w:type="gramEnd"/>
      <w:r w:rsidRPr="007B24C2">
        <w:t>):511, 27 pp. doi:10.2903/j.efsa.2007.511</w:t>
      </w:r>
    </w:p>
    <w:p w14:paraId="76729B52" w14:textId="12B56060" w:rsidR="00BB7271" w:rsidRPr="00BB7271" w:rsidRDefault="004F40D2" w:rsidP="00BB7271">
      <w:pPr>
        <w:pStyle w:val="EFSAReferences"/>
      </w:pPr>
      <w:r w:rsidRPr="00AD2DDD">
        <w:rPr>
          <w:lang w:val="en-US"/>
        </w:rPr>
        <w:t>EFSA Scientific Committee, 2015.</w:t>
      </w:r>
      <w:r w:rsidR="00A33969" w:rsidRPr="00AD2DDD">
        <w:rPr>
          <w:lang w:val="en-US"/>
        </w:rPr>
        <w:t xml:space="preserve"> </w:t>
      </w:r>
      <w:r w:rsidRPr="00AD2DDD">
        <w:rPr>
          <w:lang w:val="en-US"/>
        </w:rPr>
        <w:t xml:space="preserve">Scientific Opinion: Guidance on the review, </w:t>
      </w:r>
      <w:proofErr w:type="gramStart"/>
      <w:r w:rsidRPr="00AD2DDD">
        <w:rPr>
          <w:lang w:val="en-US"/>
        </w:rPr>
        <w:t>revision</w:t>
      </w:r>
      <w:proofErr w:type="gramEnd"/>
      <w:r w:rsidRPr="00AD2DDD">
        <w:rPr>
          <w:lang w:val="en-US"/>
        </w:rPr>
        <w:t xml:space="preserve"> and development of EFSA’s Cross-cutting Guidance Documents. </w:t>
      </w:r>
      <w:r w:rsidRPr="00AD2DDD">
        <w:t xml:space="preserve">EFSA Journal 2015; 13(4):4080, 11 pp. </w:t>
      </w:r>
      <w:proofErr w:type="gramStart"/>
      <w:r w:rsidRPr="00AD2DDD">
        <w:t>doi:10.2903/j.efsa</w:t>
      </w:r>
      <w:proofErr w:type="gramEnd"/>
      <w:r w:rsidRPr="00AD2DDD">
        <w:t>.2015.4080</w:t>
      </w:r>
      <w:r w:rsidR="00526C2F">
        <w:t>.</w:t>
      </w:r>
    </w:p>
    <w:p w14:paraId="54AF0867" w14:textId="498AA952" w:rsidR="006B435A" w:rsidRPr="00A33969" w:rsidRDefault="006B435A" w:rsidP="00545DBE">
      <w:pPr>
        <w:pStyle w:val="EFSAReferences"/>
      </w:pPr>
      <w:r w:rsidRPr="006B435A">
        <w:t xml:space="preserve">EFSA Scientific Committee, Hardy, A, </w:t>
      </w:r>
      <w:proofErr w:type="spellStart"/>
      <w:r w:rsidRPr="006B435A">
        <w:t>Benford</w:t>
      </w:r>
      <w:proofErr w:type="spellEnd"/>
      <w:r w:rsidRPr="006B435A">
        <w:t xml:space="preserve">, D, </w:t>
      </w:r>
      <w:proofErr w:type="spellStart"/>
      <w:r w:rsidRPr="006B435A">
        <w:t>Halldorsson</w:t>
      </w:r>
      <w:proofErr w:type="spellEnd"/>
      <w:r w:rsidRPr="006B435A">
        <w:t xml:space="preserve">, T, </w:t>
      </w:r>
      <w:proofErr w:type="spellStart"/>
      <w:r w:rsidRPr="006B435A">
        <w:t>Jeger</w:t>
      </w:r>
      <w:proofErr w:type="spellEnd"/>
      <w:r w:rsidRPr="006B435A">
        <w:t xml:space="preserve">, MJ, </w:t>
      </w:r>
      <w:proofErr w:type="spellStart"/>
      <w:r w:rsidRPr="006B435A">
        <w:t>Knutsen</w:t>
      </w:r>
      <w:proofErr w:type="spellEnd"/>
      <w:r w:rsidRPr="006B435A">
        <w:t xml:space="preserve">, KH, More, S, Mortensen, A, </w:t>
      </w:r>
      <w:proofErr w:type="spellStart"/>
      <w:r w:rsidRPr="006B435A">
        <w:t>Naegeli</w:t>
      </w:r>
      <w:proofErr w:type="spellEnd"/>
      <w:r w:rsidRPr="006B435A">
        <w:t xml:space="preserve">, H, </w:t>
      </w:r>
      <w:proofErr w:type="spellStart"/>
      <w:r w:rsidRPr="006B435A">
        <w:t>Noteborn</w:t>
      </w:r>
      <w:proofErr w:type="spellEnd"/>
      <w:r w:rsidRPr="006B435A">
        <w:t xml:space="preserve">, H, </w:t>
      </w:r>
      <w:proofErr w:type="spellStart"/>
      <w:r w:rsidRPr="006B435A">
        <w:t>Ockleford</w:t>
      </w:r>
      <w:proofErr w:type="spellEnd"/>
      <w:r w:rsidRPr="006B435A">
        <w:t xml:space="preserve">, C, Ricci, A, </w:t>
      </w:r>
      <w:proofErr w:type="spellStart"/>
      <w:r w:rsidRPr="006B435A">
        <w:t>Rychen</w:t>
      </w:r>
      <w:proofErr w:type="spellEnd"/>
      <w:r w:rsidRPr="006B435A">
        <w:t xml:space="preserve">, G, </w:t>
      </w:r>
      <w:proofErr w:type="spellStart"/>
      <w:r w:rsidRPr="006B435A">
        <w:t>Silano</w:t>
      </w:r>
      <w:proofErr w:type="spellEnd"/>
      <w:r w:rsidRPr="006B435A">
        <w:t xml:space="preserve">, V, </w:t>
      </w:r>
      <w:proofErr w:type="spellStart"/>
      <w:r w:rsidRPr="006B435A">
        <w:t>Solecki</w:t>
      </w:r>
      <w:proofErr w:type="spellEnd"/>
      <w:r w:rsidRPr="006B435A">
        <w:t xml:space="preserve">, R, </w:t>
      </w:r>
      <w:proofErr w:type="spellStart"/>
      <w:r w:rsidRPr="006B435A">
        <w:t>Turck</w:t>
      </w:r>
      <w:proofErr w:type="spellEnd"/>
      <w:r w:rsidRPr="006B435A">
        <w:t xml:space="preserve">, D, </w:t>
      </w:r>
      <w:proofErr w:type="spellStart"/>
      <w:r w:rsidRPr="006B435A">
        <w:t>Aerts</w:t>
      </w:r>
      <w:proofErr w:type="spellEnd"/>
      <w:r w:rsidRPr="006B435A">
        <w:t xml:space="preserve">, M, </w:t>
      </w:r>
      <w:proofErr w:type="spellStart"/>
      <w:r w:rsidRPr="006B435A">
        <w:t>Bodin</w:t>
      </w:r>
      <w:proofErr w:type="spellEnd"/>
      <w:r w:rsidRPr="006B435A">
        <w:t xml:space="preserve">, L, Davis, A, </w:t>
      </w:r>
      <w:proofErr w:type="spellStart"/>
      <w:r w:rsidRPr="006B435A">
        <w:t>Edler</w:t>
      </w:r>
      <w:proofErr w:type="spellEnd"/>
      <w:r w:rsidRPr="006B435A">
        <w:t xml:space="preserve">, L, </w:t>
      </w:r>
      <w:proofErr w:type="spellStart"/>
      <w:r w:rsidRPr="006B435A">
        <w:t>Gundert</w:t>
      </w:r>
      <w:proofErr w:type="spellEnd"/>
      <w:r w:rsidRPr="006B435A">
        <w:t xml:space="preserve">-Remy, U, Sand, S, Slob, W, </w:t>
      </w:r>
      <w:proofErr w:type="spellStart"/>
      <w:r w:rsidRPr="006B435A">
        <w:t>Bottex</w:t>
      </w:r>
      <w:proofErr w:type="spellEnd"/>
      <w:r w:rsidRPr="006B435A">
        <w:t xml:space="preserve">, B, </w:t>
      </w:r>
      <w:proofErr w:type="spellStart"/>
      <w:r w:rsidR="00E71B1E">
        <w:t>Cortinas</w:t>
      </w:r>
      <w:proofErr w:type="spellEnd"/>
      <w:r w:rsidR="00E71B1E">
        <w:t xml:space="preserve"> </w:t>
      </w:r>
      <w:proofErr w:type="spellStart"/>
      <w:r w:rsidRPr="006B435A">
        <w:t>Abrahantes</w:t>
      </w:r>
      <w:proofErr w:type="spellEnd"/>
      <w:r w:rsidRPr="006B435A">
        <w:t xml:space="preserve">, J, Marques, DC, </w:t>
      </w:r>
      <w:proofErr w:type="spellStart"/>
      <w:r w:rsidRPr="006B435A">
        <w:t>Kass</w:t>
      </w:r>
      <w:proofErr w:type="spellEnd"/>
      <w:r w:rsidRPr="006B435A">
        <w:t xml:space="preserve">, G and Schlatter, JR, 2017. Update: Guidance on the use of the benchmark dose approach in risk assessment. EFSA Journal 2017; </w:t>
      </w:r>
      <w:proofErr w:type="gramStart"/>
      <w:r w:rsidRPr="006B435A">
        <w:t>15( 1</w:t>
      </w:r>
      <w:proofErr w:type="gramEnd"/>
      <w:r w:rsidRPr="006B435A">
        <w:t>):4658, 41 pp. doi:10.2903/j.efsa.2017.4658</w:t>
      </w:r>
    </w:p>
    <w:p w14:paraId="7A688590" w14:textId="3DB971FB" w:rsidR="00526C2F" w:rsidRPr="00A33969" w:rsidRDefault="00526C2F" w:rsidP="00545DBE">
      <w:pPr>
        <w:pStyle w:val="EFSAReferences"/>
      </w:pPr>
      <w:r w:rsidRPr="00526C2F">
        <w:t>Fisher</w:t>
      </w:r>
      <w:r w:rsidR="00BA77D1">
        <w:t xml:space="preserve"> </w:t>
      </w:r>
      <w:r w:rsidRPr="00526C2F">
        <w:t>RA</w:t>
      </w:r>
      <w:r w:rsidR="00BA77D1">
        <w:t>,</w:t>
      </w:r>
      <w:r w:rsidRPr="00526C2F">
        <w:t xml:space="preserve"> 1922. On the mathematical foundations of theoretical statistics. Philosophical Transactions of the Royal Society A. 222 (594–604): 309–368.</w:t>
      </w:r>
    </w:p>
    <w:p w14:paraId="2D882CB8" w14:textId="77777777" w:rsidR="00545DBE" w:rsidRPr="00655EB0" w:rsidRDefault="00794571" w:rsidP="00545DBE">
      <w:pPr>
        <w:pStyle w:val="EFSAReferences"/>
        <w:rPr>
          <w:lang w:val="en-US"/>
        </w:rPr>
      </w:pPr>
      <w:r>
        <w:rPr>
          <w:lang w:val="en-US"/>
        </w:rPr>
        <w:t xml:space="preserve">Fowles JR, </w:t>
      </w:r>
      <w:proofErr w:type="spellStart"/>
      <w:r>
        <w:rPr>
          <w:lang w:val="en-US"/>
        </w:rPr>
        <w:t>Alexeeff</w:t>
      </w:r>
      <w:proofErr w:type="spellEnd"/>
      <w:r>
        <w:rPr>
          <w:lang w:val="en-US"/>
        </w:rPr>
        <w:t xml:space="preserve"> GV and Dodge D, 1999</w:t>
      </w:r>
      <w:r w:rsidR="00545DBE" w:rsidRPr="00655EB0">
        <w:rPr>
          <w:lang w:val="en-US"/>
        </w:rPr>
        <w:t xml:space="preserve">. The use of benchmark dose methodology with acute inhalation lethality data. </w:t>
      </w:r>
      <w:r w:rsidRPr="00794571">
        <w:rPr>
          <w:lang w:val="en-US"/>
        </w:rPr>
        <w:t>Regulatory Toxicology and Pharmacology</w:t>
      </w:r>
      <w:r w:rsidRPr="00794571">
        <w:rPr>
          <w:bCs/>
        </w:rPr>
        <w:t xml:space="preserve"> </w:t>
      </w:r>
      <w:r w:rsidR="00545DBE" w:rsidRPr="00794571">
        <w:rPr>
          <w:bCs/>
        </w:rPr>
        <w:t>29</w:t>
      </w:r>
      <w:r>
        <w:rPr>
          <w:rStyle w:val="Strong"/>
          <w:b w:val="0"/>
          <w:lang w:val="en-US"/>
        </w:rPr>
        <w:t>,</w:t>
      </w:r>
      <w:r w:rsidR="00545DBE" w:rsidRPr="00655EB0">
        <w:rPr>
          <w:lang w:val="en-US"/>
        </w:rPr>
        <w:t xml:space="preserve"> 262-278.</w:t>
      </w:r>
    </w:p>
    <w:p w14:paraId="0547C209" w14:textId="77777777" w:rsidR="00545DBE" w:rsidRPr="00A95BF5" w:rsidRDefault="00794571" w:rsidP="00545DBE">
      <w:pPr>
        <w:pStyle w:val="EFSAReferences"/>
        <w:rPr>
          <w:lang w:val="en-US"/>
        </w:rPr>
      </w:pPr>
      <w:r>
        <w:rPr>
          <w:lang w:val="en-US"/>
        </w:rPr>
        <w:t xml:space="preserve">Fryer M, Collins CD, Ferrier H, </w:t>
      </w:r>
      <w:proofErr w:type="spellStart"/>
      <w:r>
        <w:rPr>
          <w:lang w:val="en-US"/>
        </w:rPr>
        <w:t>Colvile</w:t>
      </w:r>
      <w:proofErr w:type="spellEnd"/>
      <w:r>
        <w:rPr>
          <w:lang w:val="en-US"/>
        </w:rPr>
        <w:t xml:space="preserve"> RN and </w:t>
      </w:r>
      <w:proofErr w:type="spellStart"/>
      <w:r>
        <w:rPr>
          <w:lang w:val="en-US"/>
        </w:rPr>
        <w:t>Nieuwenhuijsen</w:t>
      </w:r>
      <w:proofErr w:type="spellEnd"/>
      <w:r>
        <w:rPr>
          <w:lang w:val="en-US"/>
        </w:rPr>
        <w:t xml:space="preserve"> </w:t>
      </w:r>
      <w:r w:rsidR="00545DBE" w:rsidRPr="00655EB0">
        <w:rPr>
          <w:lang w:val="en-US"/>
        </w:rPr>
        <w:t>MJ</w:t>
      </w:r>
      <w:r>
        <w:rPr>
          <w:lang w:val="en-US"/>
        </w:rPr>
        <w:t>, 2006</w:t>
      </w:r>
      <w:r w:rsidR="00545DBE" w:rsidRPr="00655EB0">
        <w:rPr>
          <w:lang w:val="en-US"/>
        </w:rPr>
        <w:t xml:space="preserve">. Human exposure modeling for chemical risk assessment: A review of current approaches and research and policy implications. </w:t>
      </w:r>
      <w:r w:rsidR="00545DBE" w:rsidRPr="00A95BF5">
        <w:rPr>
          <w:iCs/>
          <w:lang w:val="en-US"/>
        </w:rPr>
        <w:t>Environmental Science &amp; Policy, 9</w:t>
      </w:r>
      <w:r w:rsidR="00545DBE" w:rsidRPr="00A95BF5">
        <w:rPr>
          <w:lang w:val="en-US"/>
        </w:rPr>
        <w:t>, 261–274.</w:t>
      </w:r>
    </w:p>
    <w:p w14:paraId="11AAF4D0" w14:textId="03BBDF9C" w:rsidR="70E8118E" w:rsidRDefault="00A95BF5" w:rsidP="0D3B694B">
      <w:pPr>
        <w:pStyle w:val="EFSAReferences"/>
        <w:rPr>
          <w:color w:val="000000" w:themeColor="text1"/>
        </w:rPr>
      </w:pPr>
      <w:r w:rsidRPr="000663C0">
        <w:rPr>
          <w:lang w:val="en-US"/>
        </w:rPr>
        <w:t xml:space="preserve">Gibney </w:t>
      </w:r>
      <w:r w:rsidR="00545DBE" w:rsidRPr="000663C0">
        <w:rPr>
          <w:lang w:val="en-US"/>
        </w:rPr>
        <w:t>M</w:t>
      </w:r>
      <w:r w:rsidRPr="000663C0">
        <w:rPr>
          <w:lang w:val="en-US"/>
        </w:rPr>
        <w:t xml:space="preserve">J and </w:t>
      </w:r>
      <w:r w:rsidR="00545DBE" w:rsidRPr="000663C0">
        <w:rPr>
          <w:lang w:val="en-US"/>
        </w:rPr>
        <w:t>van der</w:t>
      </w:r>
      <w:r w:rsidRPr="000663C0">
        <w:rPr>
          <w:lang w:val="en-US"/>
        </w:rPr>
        <w:t xml:space="preserve"> </w:t>
      </w:r>
      <w:proofErr w:type="spellStart"/>
      <w:r w:rsidRPr="000663C0">
        <w:rPr>
          <w:lang w:val="en-US"/>
        </w:rPr>
        <w:t>Voet</w:t>
      </w:r>
      <w:proofErr w:type="spellEnd"/>
      <w:r w:rsidRPr="000663C0">
        <w:rPr>
          <w:lang w:val="en-US"/>
        </w:rPr>
        <w:t xml:space="preserve"> H, 2003</w:t>
      </w:r>
      <w:r w:rsidR="00545DBE" w:rsidRPr="000663C0">
        <w:rPr>
          <w:lang w:val="en-US"/>
        </w:rPr>
        <w:t xml:space="preserve">. </w:t>
      </w:r>
      <w:r w:rsidR="00545DBE" w:rsidRPr="00655EB0">
        <w:rPr>
          <w:lang w:val="en-US"/>
        </w:rPr>
        <w:t xml:space="preserve">Introduction to the Monte Carlo project and the approach to the validation of probabilistic models of dietary exposure to selected food chemicals. </w:t>
      </w:r>
      <w:r w:rsidR="00545DBE" w:rsidRPr="00A95BF5">
        <w:rPr>
          <w:iCs/>
          <w:lang w:val="en-US"/>
        </w:rPr>
        <w:t>Food Additives and Contaminants, 20</w:t>
      </w:r>
      <w:r>
        <w:rPr>
          <w:iCs/>
          <w:lang w:val="en-US"/>
        </w:rPr>
        <w:t xml:space="preserve"> </w:t>
      </w:r>
      <w:r w:rsidR="00545DBE" w:rsidRPr="00A95BF5">
        <w:rPr>
          <w:lang w:val="en-US"/>
        </w:rPr>
        <w:t>(suppl. 1), S1–S7.</w:t>
      </w:r>
      <w:r>
        <w:tab/>
      </w:r>
      <w:r>
        <w:tab/>
      </w:r>
      <w:r>
        <w:tab/>
      </w:r>
      <w:r>
        <w:tab/>
      </w:r>
    </w:p>
    <w:p w14:paraId="66C37450" w14:textId="14D5A2C7" w:rsidR="70E8118E" w:rsidRDefault="70E8118E" w:rsidP="44545B8C">
      <w:pPr>
        <w:pStyle w:val="EFSAReferences"/>
        <w:rPr>
          <w:color w:val="000000" w:themeColor="text1"/>
          <w:lang w:val="en-US"/>
        </w:rPr>
      </w:pPr>
      <w:proofErr w:type="spellStart"/>
      <w:r w:rsidRPr="0AF7F023">
        <w:rPr>
          <w:lang w:val="en-US"/>
        </w:rPr>
        <w:t>Hoeting</w:t>
      </w:r>
      <w:proofErr w:type="spellEnd"/>
      <w:r w:rsidRPr="0AF7F023">
        <w:rPr>
          <w:lang w:val="en-US"/>
        </w:rPr>
        <w:t xml:space="preserve"> JA, Madigan D, Raftery AE, </w:t>
      </w:r>
      <w:proofErr w:type="spellStart"/>
      <w:r w:rsidRPr="0AF7F023">
        <w:rPr>
          <w:lang w:val="en-US"/>
        </w:rPr>
        <w:t>Volinsky</w:t>
      </w:r>
      <w:proofErr w:type="spellEnd"/>
      <w:r w:rsidRPr="0AF7F023">
        <w:rPr>
          <w:lang w:val="en-US"/>
        </w:rPr>
        <w:t xml:space="preserve"> CT (1999). Bayesian </w:t>
      </w:r>
      <w:r w:rsidR="5BCFCB76" w:rsidRPr="44545B8C">
        <w:rPr>
          <w:lang w:val="en-US"/>
        </w:rPr>
        <w:t>m</w:t>
      </w:r>
      <w:r w:rsidRPr="44545B8C">
        <w:rPr>
          <w:lang w:val="en-US"/>
        </w:rPr>
        <w:t xml:space="preserve">odel </w:t>
      </w:r>
      <w:r w:rsidR="6E0C898D" w:rsidRPr="44545B8C">
        <w:rPr>
          <w:lang w:val="en-US"/>
        </w:rPr>
        <w:t>a</w:t>
      </w:r>
      <w:r w:rsidRPr="44545B8C">
        <w:rPr>
          <w:lang w:val="en-US"/>
        </w:rPr>
        <w:t>veraging</w:t>
      </w:r>
      <w:r w:rsidRPr="0AF7F023">
        <w:rPr>
          <w:lang w:val="en-US"/>
        </w:rPr>
        <w:t xml:space="preserve">: </w:t>
      </w:r>
      <w:r w:rsidR="1C920401" w:rsidRPr="7967DB28">
        <w:rPr>
          <w:lang w:val="en-US"/>
        </w:rPr>
        <w:t>a</w:t>
      </w:r>
      <w:r w:rsidRPr="7967DB28">
        <w:rPr>
          <w:lang w:val="en-US"/>
        </w:rPr>
        <w:t xml:space="preserve"> </w:t>
      </w:r>
      <w:r w:rsidR="2A48E750" w:rsidRPr="7967DB28">
        <w:rPr>
          <w:lang w:val="en-US"/>
        </w:rPr>
        <w:t>t</w:t>
      </w:r>
      <w:r w:rsidRPr="7967DB28">
        <w:rPr>
          <w:lang w:val="en-US"/>
        </w:rPr>
        <w:t>utorial.</w:t>
      </w:r>
      <w:r w:rsidRPr="0AF7F023">
        <w:rPr>
          <w:lang w:val="en-US"/>
        </w:rPr>
        <w:t xml:space="preserve"> Statistical Science, 14, 382–417.</w:t>
      </w:r>
    </w:p>
    <w:p w14:paraId="196C82D4" w14:textId="77777777" w:rsidR="00545DBE" w:rsidRPr="00655EB0" w:rsidRDefault="00A95BF5" w:rsidP="00545DBE">
      <w:pPr>
        <w:pStyle w:val="EFSAReferences"/>
        <w:rPr>
          <w:color w:val="000000" w:themeColor="text1"/>
          <w:lang w:val="en-US"/>
        </w:rPr>
      </w:pPr>
      <w:r w:rsidRPr="00655EB0">
        <w:rPr>
          <w:lang w:val="en-US"/>
        </w:rPr>
        <w:t xml:space="preserve">IPCS </w:t>
      </w:r>
      <w:r>
        <w:rPr>
          <w:lang w:val="en-US"/>
        </w:rPr>
        <w:t>(</w:t>
      </w:r>
      <w:r w:rsidR="00545DBE" w:rsidRPr="00655EB0">
        <w:rPr>
          <w:lang w:val="en-US"/>
        </w:rPr>
        <w:t>International Program on Chemical Safety</w:t>
      </w:r>
      <w:r>
        <w:rPr>
          <w:lang w:val="en-US"/>
        </w:rPr>
        <w:t xml:space="preserve">), </w:t>
      </w:r>
      <w:r w:rsidR="00545DBE" w:rsidRPr="00655EB0">
        <w:rPr>
          <w:lang w:val="en-US"/>
        </w:rPr>
        <w:t>2014.</w:t>
      </w:r>
      <w:r w:rsidR="00A33969">
        <w:rPr>
          <w:lang w:val="en-US"/>
        </w:rPr>
        <w:t xml:space="preserve"> </w:t>
      </w:r>
      <w:r w:rsidR="00545DBE" w:rsidRPr="00655EB0">
        <w:rPr>
          <w:lang w:val="en-US"/>
        </w:rPr>
        <w:t>Guidance Document on Evaluating and Expressing Uncertainty in Hazard Characterization. World Health Organization, Geneva.</w:t>
      </w:r>
      <w:r w:rsidR="00A33969">
        <w:rPr>
          <w:lang w:val="en-US"/>
        </w:rPr>
        <w:t xml:space="preserve"> </w:t>
      </w:r>
      <w:r w:rsidR="00545DBE" w:rsidRPr="44545B8C">
        <w:rPr>
          <w:lang w:val="en-US"/>
        </w:rPr>
        <w:t xml:space="preserve">Available at </w:t>
      </w:r>
      <w:hyperlink r:id="rId27">
        <w:r w:rsidR="00545DBE" w:rsidRPr="44545B8C">
          <w:rPr>
            <w:lang w:val="en-US"/>
          </w:rPr>
          <w:t>http://www.who.int/ipcs/methods/harmonization/areas/hazard_assessment/en/</w:t>
        </w:r>
      </w:hyperlink>
      <w:r w:rsidR="00545DBE" w:rsidRPr="44545B8C">
        <w:rPr>
          <w:lang w:val="en-US"/>
        </w:rPr>
        <w:t xml:space="preserve"> [accessed 28 April 2015]</w:t>
      </w:r>
    </w:p>
    <w:p w14:paraId="61D1547A" w14:textId="77777777" w:rsidR="00120647" w:rsidRPr="00120647" w:rsidRDefault="00120647" w:rsidP="00120647">
      <w:pPr>
        <w:pStyle w:val="EFSAReferences"/>
        <w:rPr>
          <w:lang w:val="en-US" w:eastAsia="en-GB"/>
        </w:rPr>
      </w:pPr>
      <w:r w:rsidRPr="00120647">
        <w:rPr>
          <w:lang w:val="en-US" w:eastAsia="en-GB"/>
        </w:rPr>
        <w:t xml:space="preserve">Joint FAO/WHO Meeting on Pesticide Residues (JMPR), 2000. Pesticide residues in food </w:t>
      </w:r>
      <w:proofErr w:type="gramStart"/>
      <w:r w:rsidRPr="00120647">
        <w:rPr>
          <w:lang w:val="en-US" w:eastAsia="en-GB"/>
        </w:rPr>
        <w:t>2000,  Toxicological</w:t>
      </w:r>
      <w:proofErr w:type="gramEnd"/>
      <w:r w:rsidRPr="00120647">
        <w:rPr>
          <w:lang w:val="en-US" w:eastAsia="en-GB"/>
        </w:rPr>
        <w:t xml:space="preserve"> evaluations, </w:t>
      </w:r>
      <w:proofErr w:type="spellStart"/>
      <w:r w:rsidRPr="00120647">
        <w:rPr>
          <w:lang w:val="en-US" w:eastAsia="en-GB"/>
        </w:rPr>
        <w:t>Thiodicarb</w:t>
      </w:r>
      <w:proofErr w:type="spellEnd"/>
      <w:r w:rsidRPr="00120647">
        <w:rPr>
          <w:lang w:val="en-US" w:eastAsia="en-GB"/>
        </w:rPr>
        <w:t>. First draft prepared by I. Dewhurst Pesticides Safety Directorate, Ministry of Agriculture, Fisheries and Food, Mallard House, Kings Pool, York, United Kingdom. Available at: www.inchem.org/documents/jmpr/jmpmono/v00pr09.htm</w:t>
      </w:r>
    </w:p>
    <w:p w14:paraId="36A2C0AF" w14:textId="74C4A994" w:rsidR="00120647" w:rsidRPr="00120647" w:rsidRDefault="00120647" w:rsidP="00120647">
      <w:pPr>
        <w:pStyle w:val="EFSAReferences"/>
        <w:rPr>
          <w:lang w:val="en-US" w:eastAsia="en-GB"/>
        </w:rPr>
      </w:pPr>
      <w:r w:rsidRPr="00120647">
        <w:rPr>
          <w:lang w:val="en-US" w:eastAsia="en-GB"/>
        </w:rPr>
        <w:t xml:space="preserve">Joint FAO/WHO Meeting on Pesticide Residues (JMPR), 2001. Pesticide residues in food 2001, Toxicological evaluations, Carbaryl (addendum). First draft prepared by M.E. van Apeldoorn, G. </w:t>
      </w:r>
      <w:proofErr w:type="spellStart"/>
      <w:r w:rsidRPr="00120647">
        <w:rPr>
          <w:lang w:val="en-US" w:eastAsia="en-GB"/>
        </w:rPr>
        <w:t>Wolterink</w:t>
      </w:r>
      <w:proofErr w:type="spellEnd"/>
      <w:r w:rsidRPr="00120647">
        <w:rPr>
          <w:lang w:val="en-US" w:eastAsia="en-GB"/>
        </w:rPr>
        <w:t xml:space="preserve">, E. </w:t>
      </w:r>
      <w:proofErr w:type="spellStart"/>
      <w:r w:rsidRPr="00120647">
        <w:rPr>
          <w:lang w:val="en-US" w:eastAsia="en-GB"/>
        </w:rPr>
        <w:t>Turkstra</w:t>
      </w:r>
      <w:proofErr w:type="spellEnd"/>
      <w:r w:rsidRPr="00120647">
        <w:rPr>
          <w:lang w:val="en-US" w:eastAsia="en-GB"/>
        </w:rPr>
        <w:t xml:space="preserve">, M.T.M. van </w:t>
      </w:r>
      <w:proofErr w:type="spellStart"/>
      <w:r w:rsidRPr="00120647">
        <w:rPr>
          <w:lang w:val="en-US" w:eastAsia="en-GB"/>
        </w:rPr>
        <w:t>Raaij</w:t>
      </w:r>
      <w:proofErr w:type="spellEnd"/>
      <w:r w:rsidRPr="00120647">
        <w:rPr>
          <w:lang w:val="en-US" w:eastAsia="en-GB"/>
        </w:rPr>
        <w:t xml:space="preserve">, P.H. van </w:t>
      </w:r>
      <w:proofErr w:type="spellStart"/>
      <w:r w:rsidRPr="00120647">
        <w:rPr>
          <w:lang w:val="en-US" w:eastAsia="en-GB"/>
        </w:rPr>
        <w:t>Hoeven-Arentzen</w:t>
      </w:r>
      <w:proofErr w:type="spellEnd"/>
      <w:r w:rsidRPr="00120647">
        <w:rPr>
          <w:lang w:val="en-US" w:eastAsia="en-GB"/>
        </w:rPr>
        <w:t xml:space="preserve"> and J.G.M. van </w:t>
      </w:r>
      <w:proofErr w:type="spellStart"/>
      <w:r w:rsidRPr="00120647">
        <w:rPr>
          <w:lang w:val="en-US" w:eastAsia="en-GB"/>
        </w:rPr>
        <w:t>Engelen</w:t>
      </w:r>
      <w:proofErr w:type="spellEnd"/>
      <w:r w:rsidRPr="00120647">
        <w:rPr>
          <w:lang w:val="en-US" w:eastAsia="en-GB"/>
        </w:rPr>
        <w:t xml:space="preserve">, Centre </w:t>
      </w:r>
      <w:proofErr w:type="gramStart"/>
      <w:r w:rsidRPr="00120647">
        <w:rPr>
          <w:lang w:val="en-US" w:eastAsia="en-GB"/>
        </w:rPr>
        <w:t>For</w:t>
      </w:r>
      <w:proofErr w:type="gramEnd"/>
      <w:r w:rsidRPr="00120647">
        <w:rPr>
          <w:lang w:val="en-US" w:eastAsia="en-GB"/>
        </w:rPr>
        <w:t xml:space="preserve"> Substances and Risk Assessment, National Institute of Public Health and the Environment, </w:t>
      </w:r>
      <w:proofErr w:type="spellStart"/>
      <w:r w:rsidRPr="00120647">
        <w:rPr>
          <w:lang w:val="en-US" w:eastAsia="en-GB"/>
        </w:rPr>
        <w:t>Bilthoven</w:t>
      </w:r>
      <w:proofErr w:type="spellEnd"/>
      <w:r w:rsidRPr="00120647">
        <w:rPr>
          <w:lang w:val="en-US" w:eastAsia="en-GB"/>
        </w:rPr>
        <w:t>, The Netherlands. Available at: www.inchem.org/documents/jmpr/jmpmono/2001pr02.htm</w:t>
      </w:r>
    </w:p>
    <w:p w14:paraId="1CC6D6CA" w14:textId="77777777" w:rsidR="00120647" w:rsidRPr="00120647" w:rsidRDefault="00120647" w:rsidP="00120647">
      <w:pPr>
        <w:pStyle w:val="EFSAReferences"/>
        <w:rPr>
          <w:lang w:val="en-US" w:eastAsia="en-GB"/>
        </w:rPr>
      </w:pPr>
      <w:r w:rsidRPr="00120647">
        <w:rPr>
          <w:lang w:val="en-US" w:eastAsia="en-GB"/>
        </w:rPr>
        <w:t xml:space="preserve">Joint FAO/WHO Meeting on Pesticide Residues (JMPR), 2001. Pesticide residues in food 2001, Toxicological evaluations, Spinosad. First draft prepared by A. </w:t>
      </w:r>
      <w:proofErr w:type="spellStart"/>
      <w:r w:rsidRPr="00120647">
        <w:rPr>
          <w:lang w:val="en-US" w:eastAsia="en-GB"/>
        </w:rPr>
        <w:t>Bartholomaeus</w:t>
      </w:r>
      <w:proofErr w:type="spellEnd"/>
      <w:r w:rsidRPr="00120647">
        <w:rPr>
          <w:lang w:val="en-US" w:eastAsia="en-GB"/>
        </w:rPr>
        <w:t>, Chemicals and Non-prescription Medicines Branch, Therapeutic Goods Administration, Canberra ACT, Australia. Available at: www.inchem.org/documents/jmpr/jmpmono/2001pr12.htm</w:t>
      </w:r>
    </w:p>
    <w:p w14:paraId="132AB55D" w14:textId="77777777" w:rsidR="00120647" w:rsidRPr="00120647" w:rsidRDefault="00120647" w:rsidP="00120647">
      <w:pPr>
        <w:pStyle w:val="EFSAReferences"/>
        <w:rPr>
          <w:lang w:val="en-US" w:eastAsia="en-GB"/>
        </w:rPr>
      </w:pPr>
      <w:r w:rsidRPr="00120647">
        <w:rPr>
          <w:lang w:val="en-US" w:eastAsia="en-GB"/>
        </w:rPr>
        <w:t>Joint FAO/WHO Meeting on Pesticide Residues (JMPR), 2002. Pesticide residues in food 2002, Toxicological evaluations, Flutolanil. First draft prepared by I. Dewhurst, Pesticides Safety Directorate, Department for Environment, Food and Rural Affairs, Kings Pool, York, England. Available at: www.inchem.org/documents/jmpr/jmpmono/2002pr07.htm</w:t>
      </w:r>
    </w:p>
    <w:p w14:paraId="080245CC" w14:textId="7FC549DE" w:rsidR="00120647" w:rsidRPr="00120647" w:rsidRDefault="00120647" w:rsidP="00120647">
      <w:pPr>
        <w:pStyle w:val="EFSAReferences"/>
        <w:rPr>
          <w:lang w:val="en-US" w:eastAsia="en-GB"/>
        </w:rPr>
      </w:pPr>
      <w:r w:rsidRPr="00120647">
        <w:rPr>
          <w:lang w:val="en-US" w:eastAsia="en-GB"/>
        </w:rPr>
        <w:t xml:space="preserve">Joint FAO/WHO Meeting on Pesticide Residues (JMPR), 2002. Pesticide residues in food 2002, Toxicological evaluations, </w:t>
      </w:r>
      <w:proofErr w:type="spellStart"/>
      <w:r w:rsidRPr="00120647">
        <w:rPr>
          <w:lang w:val="en-US" w:eastAsia="en-GB"/>
        </w:rPr>
        <w:t>Metalaxyl</w:t>
      </w:r>
      <w:proofErr w:type="spellEnd"/>
      <w:r w:rsidRPr="00120647">
        <w:rPr>
          <w:lang w:val="en-US" w:eastAsia="en-GB"/>
        </w:rPr>
        <w:t xml:space="preserve"> and </w:t>
      </w:r>
      <w:proofErr w:type="spellStart"/>
      <w:r w:rsidRPr="00120647">
        <w:rPr>
          <w:lang w:val="en-US" w:eastAsia="en-GB"/>
        </w:rPr>
        <w:t>Metalaxyl</w:t>
      </w:r>
      <w:proofErr w:type="spellEnd"/>
      <w:r w:rsidRPr="00120647">
        <w:rPr>
          <w:lang w:val="en-US" w:eastAsia="en-GB"/>
        </w:rPr>
        <w:t xml:space="preserve">-M. First draft prepared by C. </w:t>
      </w:r>
      <w:proofErr w:type="spellStart"/>
      <w:r w:rsidRPr="00120647">
        <w:rPr>
          <w:lang w:val="en-US" w:eastAsia="en-GB"/>
        </w:rPr>
        <w:t>Vleminckx</w:t>
      </w:r>
      <w:proofErr w:type="spellEnd"/>
      <w:r w:rsidRPr="00120647">
        <w:rPr>
          <w:lang w:val="en-US" w:eastAsia="en-GB"/>
        </w:rPr>
        <w:t>, Scientific Institute of Public Health, Division Toxicology, Brussels, Belgium. Available at: www.inchem.org/documents/jmpr/jmpmono/2002pr09.htm</w:t>
      </w:r>
    </w:p>
    <w:p w14:paraId="5AB548ED" w14:textId="62B92531" w:rsidR="00120647" w:rsidRDefault="00120647" w:rsidP="00120647">
      <w:pPr>
        <w:pStyle w:val="EFSAReferences"/>
        <w:rPr>
          <w:lang w:val="en-US" w:eastAsia="en-GB"/>
        </w:rPr>
      </w:pPr>
      <w:r w:rsidRPr="00120647">
        <w:rPr>
          <w:lang w:val="en-US" w:eastAsia="en-GB"/>
        </w:rPr>
        <w:t>Joint FAO/WHO Meeting on Pesticide Residues (JMPR), 2003. Pesticide residues in food 2003, Toxicological evaluations, Cyprodinil. First draft prepared by P. V. Shah, United States Environmental Protection Agency, Office of Pesticide Programs, Washington DC, USA. Available at:</w:t>
      </w:r>
      <w:r>
        <w:rPr>
          <w:lang w:val="en-US" w:eastAsia="en-GB"/>
        </w:rPr>
        <w:t xml:space="preserve"> </w:t>
      </w:r>
      <w:hyperlink r:id="rId28" w:history="1">
        <w:r w:rsidRPr="0043418D">
          <w:rPr>
            <w:rStyle w:val="Hyperlink"/>
            <w:lang w:val="en-US" w:eastAsia="en-GB"/>
          </w:rPr>
          <w:t>www.inchem.org/documents/jmpr/jmpmono/v2003pr03.htm</w:t>
        </w:r>
      </w:hyperlink>
    </w:p>
    <w:p w14:paraId="1FCE4CFB" w14:textId="2FE673FC" w:rsidR="00120647" w:rsidRPr="00120647" w:rsidRDefault="00120647" w:rsidP="00120647">
      <w:pPr>
        <w:pStyle w:val="EFSAReferences"/>
        <w:rPr>
          <w:lang w:val="en-US" w:eastAsia="en-GB"/>
        </w:rPr>
      </w:pPr>
      <w:r w:rsidRPr="00120647">
        <w:rPr>
          <w:lang w:val="en-US" w:eastAsia="en-GB"/>
        </w:rPr>
        <w:t>Joint FAO/WHO Meeting on Pesticide Residues (JMPR), 2003.</w:t>
      </w:r>
      <w:r>
        <w:rPr>
          <w:lang w:val="en-US" w:eastAsia="en-GB"/>
        </w:rPr>
        <w:t xml:space="preserve"> </w:t>
      </w:r>
      <w:r w:rsidRPr="00120647">
        <w:rPr>
          <w:lang w:val="en-US" w:eastAsia="en-GB"/>
        </w:rPr>
        <w:t>Pesticide residues in food 2003, Toxicological evaluations, Famoxadone. First draft prepared by</w:t>
      </w:r>
      <w:r>
        <w:rPr>
          <w:lang w:val="en-US" w:eastAsia="en-GB"/>
        </w:rPr>
        <w:t xml:space="preserve"> </w:t>
      </w:r>
      <w:r w:rsidRPr="00120647">
        <w:rPr>
          <w:lang w:val="en-US" w:eastAsia="en-GB"/>
        </w:rPr>
        <w:t>D.B. McGregor, Toxicology Evaluation Consultants, Lyon, France. Available at: www.inchem.org/documents/jmpr/jmpmono/v2003pr05.htm</w:t>
      </w:r>
    </w:p>
    <w:p w14:paraId="37ACA3A6" w14:textId="77777777" w:rsidR="00545DBE" w:rsidRPr="00655EB0" w:rsidRDefault="00545DBE" w:rsidP="00545DBE">
      <w:pPr>
        <w:pStyle w:val="EFSAReferences"/>
        <w:rPr>
          <w:snapToGrid w:val="0"/>
          <w:lang w:val="en-US" w:eastAsia="en-GB"/>
        </w:rPr>
      </w:pPr>
      <w:r w:rsidRPr="00655EB0">
        <w:rPr>
          <w:lang w:val="en-US" w:eastAsia="en-GB"/>
        </w:rPr>
        <w:t>Joint FAO</w:t>
      </w:r>
      <w:r w:rsidR="00A95BF5">
        <w:rPr>
          <w:lang w:val="en-US" w:eastAsia="en-GB"/>
        </w:rPr>
        <w:t xml:space="preserve"> (Food and Agriculture Organization of the United Nations) and </w:t>
      </w:r>
      <w:r w:rsidRPr="00655EB0">
        <w:rPr>
          <w:lang w:val="en-US" w:eastAsia="en-GB"/>
        </w:rPr>
        <w:t>WHO</w:t>
      </w:r>
      <w:r w:rsidR="00A95BF5">
        <w:rPr>
          <w:lang w:val="en-US" w:eastAsia="en-GB"/>
        </w:rPr>
        <w:t xml:space="preserve"> (World Health Organization).</w:t>
      </w:r>
      <w:r w:rsidRPr="00655EB0">
        <w:rPr>
          <w:lang w:val="en-US" w:eastAsia="en-GB"/>
        </w:rPr>
        <w:t xml:space="preserve"> Expert committee on food Additives – JECFA (2006a), Sixty-fourth meeting, WHO/IPCS Safety evaluation of certain contaminants in food. WHO </w:t>
      </w:r>
      <w:r w:rsidRPr="00655EB0">
        <w:rPr>
          <w:snapToGrid w:val="0"/>
          <w:lang w:val="en-US" w:eastAsia="en-GB"/>
        </w:rPr>
        <w:t>Food Additives Series 55.</w:t>
      </w:r>
    </w:p>
    <w:p w14:paraId="374BE70E" w14:textId="270345B5" w:rsidR="00BB7271" w:rsidRPr="00BB7271" w:rsidRDefault="00545DBE" w:rsidP="00BB7271">
      <w:pPr>
        <w:pStyle w:val="EFSAReferences"/>
        <w:rPr>
          <w:lang w:val="en-US"/>
        </w:rPr>
      </w:pPr>
      <w:r w:rsidRPr="0053073A">
        <w:rPr>
          <w:lang w:val="en-US" w:eastAsia="en-GB"/>
        </w:rPr>
        <w:t xml:space="preserve">Joint </w:t>
      </w:r>
      <w:r w:rsidR="00A95BF5" w:rsidRPr="00655EB0">
        <w:rPr>
          <w:lang w:val="en-US" w:eastAsia="en-GB"/>
        </w:rPr>
        <w:t>FAO</w:t>
      </w:r>
      <w:r w:rsidR="00A95BF5">
        <w:rPr>
          <w:lang w:val="en-US" w:eastAsia="en-GB"/>
        </w:rPr>
        <w:t xml:space="preserve"> (Food and Agriculture Organization of the United Nations) and </w:t>
      </w:r>
      <w:r w:rsidR="00A95BF5" w:rsidRPr="00655EB0">
        <w:rPr>
          <w:lang w:val="en-US" w:eastAsia="en-GB"/>
        </w:rPr>
        <w:t>WHO</w:t>
      </w:r>
      <w:r w:rsidR="00A95BF5">
        <w:rPr>
          <w:lang w:val="en-US" w:eastAsia="en-GB"/>
        </w:rPr>
        <w:t xml:space="preserve"> (World Health Organization). </w:t>
      </w:r>
      <w:r w:rsidRPr="0053073A">
        <w:rPr>
          <w:lang w:val="en-US" w:eastAsia="en-GB"/>
        </w:rPr>
        <w:t>Expert committee on food Additives</w:t>
      </w:r>
      <w:r w:rsidRPr="00655EB0">
        <w:rPr>
          <w:lang w:val="en-US"/>
        </w:rPr>
        <w:t xml:space="preserve"> – JECFA (2006b). WHO Technical Report Series</w:t>
      </w:r>
      <w:r w:rsidR="00AA705B">
        <w:rPr>
          <w:lang w:val="en-US"/>
        </w:rPr>
        <w:t>.</w:t>
      </w:r>
      <w:r w:rsidRPr="00655EB0">
        <w:rPr>
          <w:lang w:val="en-US"/>
        </w:rPr>
        <w:t xml:space="preserve"> 939. Evaluation of certain veterinary drug residues in food. 66th report of the Joint FAO/WHO Expert Committee on food additives.</w:t>
      </w:r>
    </w:p>
    <w:p w14:paraId="2F6A1199" w14:textId="6D5A3A84" w:rsidR="009E1967" w:rsidRDefault="009E1967" w:rsidP="00545DBE">
      <w:pPr>
        <w:pStyle w:val="EFSAReferences"/>
        <w:rPr>
          <w:lang w:val="sv-SE"/>
        </w:rPr>
      </w:pPr>
      <w:r w:rsidRPr="009E1967">
        <w:rPr>
          <w:lang w:val="sv-SE"/>
        </w:rPr>
        <w:t xml:space="preserve">Johnson </w:t>
      </w:r>
      <w:r>
        <w:rPr>
          <w:lang w:val="sv-SE"/>
        </w:rPr>
        <w:t>NL</w:t>
      </w:r>
      <w:r w:rsidRPr="009E1967">
        <w:rPr>
          <w:lang w:val="sv-SE"/>
        </w:rPr>
        <w:t xml:space="preserve">, Kotz </w:t>
      </w:r>
      <w:r>
        <w:rPr>
          <w:lang w:val="sv-SE"/>
        </w:rPr>
        <w:t>S</w:t>
      </w:r>
      <w:r w:rsidRPr="009E1967">
        <w:rPr>
          <w:lang w:val="sv-SE"/>
        </w:rPr>
        <w:t xml:space="preserve">, </w:t>
      </w:r>
      <w:r>
        <w:rPr>
          <w:lang w:val="sv-SE"/>
        </w:rPr>
        <w:t xml:space="preserve">and </w:t>
      </w:r>
      <w:r w:rsidRPr="009E1967">
        <w:rPr>
          <w:lang w:val="sv-SE"/>
        </w:rPr>
        <w:t>Balakrishnan N</w:t>
      </w:r>
      <w:r w:rsidR="009F2B76">
        <w:rPr>
          <w:lang w:val="sv-SE"/>
        </w:rPr>
        <w:t xml:space="preserve">, 1995. </w:t>
      </w:r>
      <w:r w:rsidR="009F2B76" w:rsidRPr="009F2B76">
        <w:rPr>
          <w:lang w:val="sv-SE"/>
        </w:rPr>
        <w:t>Continuous Univariate Distributions, Volume 2, 2nd Edition</w:t>
      </w:r>
      <w:r w:rsidR="00975018">
        <w:rPr>
          <w:lang w:val="sv-SE"/>
        </w:rPr>
        <w:t xml:space="preserve">, </w:t>
      </w:r>
      <w:r w:rsidR="002275E7" w:rsidRPr="002275E7">
        <w:rPr>
          <w:lang w:val="sv-SE"/>
        </w:rPr>
        <w:t>Section 25.4</w:t>
      </w:r>
      <w:r w:rsidR="00975018">
        <w:rPr>
          <w:lang w:val="sv-SE"/>
        </w:rPr>
        <w:t>.</w:t>
      </w:r>
    </w:p>
    <w:p w14:paraId="578CA415" w14:textId="77777777" w:rsidR="00545DBE" w:rsidRPr="00655EB0" w:rsidRDefault="00545DBE" w:rsidP="00545DBE">
      <w:pPr>
        <w:pStyle w:val="EFSAReferences"/>
        <w:rPr>
          <w:lang w:val="en-US"/>
        </w:rPr>
      </w:pPr>
      <w:r w:rsidRPr="00A26440">
        <w:rPr>
          <w:lang w:val="sv-SE"/>
        </w:rPr>
        <w:t>Kavlock RJ, Al</w:t>
      </w:r>
      <w:r w:rsidR="00A95BF5">
        <w:rPr>
          <w:lang w:val="sv-SE"/>
        </w:rPr>
        <w:t>len BC, Faustman EM and Kimmel CA,</w:t>
      </w:r>
      <w:r>
        <w:rPr>
          <w:lang w:val="sv-SE"/>
        </w:rPr>
        <w:t xml:space="preserve"> </w:t>
      </w:r>
      <w:r w:rsidRPr="00A26440">
        <w:rPr>
          <w:lang w:val="sv-SE"/>
        </w:rPr>
        <w:t xml:space="preserve">1995. </w:t>
      </w:r>
      <w:r w:rsidRPr="00655EB0">
        <w:rPr>
          <w:lang w:val="en-US"/>
        </w:rPr>
        <w:t xml:space="preserve">Dose-response assessments for developmental toxicity IV. Benchmark doses for fetal weight changes. </w:t>
      </w:r>
      <w:r w:rsidR="00A95BF5">
        <w:rPr>
          <w:lang w:val="en-US"/>
        </w:rPr>
        <w:t>Fundamental and</w:t>
      </w:r>
      <w:r w:rsidR="00A95BF5" w:rsidRPr="00655EB0">
        <w:rPr>
          <w:lang w:val="en-US"/>
        </w:rPr>
        <w:t xml:space="preserve"> Appl</w:t>
      </w:r>
      <w:r w:rsidR="00A95BF5">
        <w:rPr>
          <w:lang w:val="en-US"/>
        </w:rPr>
        <w:t xml:space="preserve">ied </w:t>
      </w:r>
      <w:r w:rsidR="00A95BF5" w:rsidRPr="00A95BF5">
        <w:rPr>
          <w:lang w:val="en-US"/>
        </w:rPr>
        <w:t>Toxicology</w:t>
      </w:r>
      <w:r w:rsidR="00A95BF5">
        <w:rPr>
          <w:lang w:val="en-US"/>
        </w:rPr>
        <w:t>,</w:t>
      </w:r>
      <w:r w:rsidR="00A95BF5" w:rsidRPr="00A95BF5">
        <w:rPr>
          <w:lang w:val="en-US"/>
        </w:rPr>
        <w:t xml:space="preserve"> </w:t>
      </w:r>
      <w:r w:rsidRPr="00A95BF5">
        <w:rPr>
          <w:lang w:val="en-US"/>
        </w:rPr>
        <w:t>26,</w:t>
      </w:r>
      <w:r w:rsidRPr="00655EB0">
        <w:rPr>
          <w:lang w:val="en-US"/>
        </w:rPr>
        <w:t xml:space="preserve"> 211-222.</w:t>
      </w:r>
    </w:p>
    <w:p w14:paraId="7C022998" w14:textId="77777777" w:rsidR="00545DBE" w:rsidRPr="00655EB0" w:rsidRDefault="00A95BF5" w:rsidP="00545DBE">
      <w:pPr>
        <w:pStyle w:val="EFSAReferences"/>
        <w:rPr>
          <w:lang w:val="en-US"/>
        </w:rPr>
      </w:pPr>
      <w:r w:rsidRPr="698FC3A4">
        <w:rPr>
          <w:lang w:val="de-DE"/>
        </w:rPr>
        <w:t>Kienhuis, AS, Slob W, Gremmer ER, Vermeulen JP and Ezendam J, 2015</w:t>
      </w:r>
      <w:r w:rsidR="00545DBE" w:rsidRPr="698FC3A4">
        <w:rPr>
          <w:lang w:val="de-DE"/>
        </w:rPr>
        <w:t>.</w:t>
      </w:r>
      <w:r w:rsidR="00A33969" w:rsidRPr="698FC3A4">
        <w:rPr>
          <w:lang w:val="de-DE"/>
        </w:rPr>
        <w:t xml:space="preserve"> </w:t>
      </w:r>
      <w:r w:rsidR="00545DBE" w:rsidRPr="698FC3A4">
        <w:rPr>
          <w:lang w:val="en-US"/>
        </w:rPr>
        <w:t xml:space="preserve">A dose-response modelling approach shows that effects from mixture exposure to the skin sensitizers are in line with dose addition and not with synergism. </w:t>
      </w:r>
      <w:hyperlink r:id="rId29">
        <w:r w:rsidR="00A1280C" w:rsidRPr="698FC3A4">
          <w:rPr>
            <w:lang w:val="en-US"/>
          </w:rPr>
          <w:t>Toxicological Sciences</w:t>
        </w:r>
      </w:hyperlink>
      <w:r w:rsidR="00A1280C" w:rsidRPr="698FC3A4">
        <w:rPr>
          <w:lang w:val="en-US"/>
        </w:rPr>
        <w:t xml:space="preserve">, </w:t>
      </w:r>
      <w:r w:rsidR="00F65DAA" w:rsidRPr="698FC3A4">
        <w:rPr>
          <w:lang w:val="en-US"/>
        </w:rPr>
        <w:t>147, 68-74.</w:t>
      </w:r>
    </w:p>
    <w:p w14:paraId="1D5B8700" w14:textId="0D5E4735" w:rsidR="017CCDC5" w:rsidRDefault="017CCDC5" w:rsidP="698FC3A4">
      <w:pPr>
        <w:pStyle w:val="EFSAReferences"/>
        <w:jc w:val="left"/>
        <w:rPr>
          <w:color w:val="auto"/>
          <w:lang w:val="en-US"/>
        </w:rPr>
      </w:pPr>
      <w:proofErr w:type="spellStart"/>
      <w:r w:rsidRPr="698FC3A4">
        <w:rPr>
          <w:color w:val="000000" w:themeColor="text1"/>
          <w:lang w:val="en-US"/>
        </w:rPr>
        <w:t>Kruschke</w:t>
      </w:r>
      <w:proofErr w:type="spellEnd"/>
      <w:r w:rsidRPr="698FC3A4">
        <w:rPr>
          <w:color w:val="000000" w:themeColor="text1"/>
          <w:lang w:val="en-US"/>
        </w:rPr>
        <w:t>, J, 2014. Doing Bayesian Data Analysis: A Tutorial with R, JAGS and Stan.</w:t>
      </w:r>
      <w:r w:rsidRPr="698FC3A4">
        <w:rPr>
          <w:color w:val="auto"/>
          <w:lang w:val="en-US"/>
        </w:rPr>
        <w:t xml:space="preserve"> </w:t>
      </w:r>
      <w:r w:rsidR="40E363CA" w:rsidRPr="698FC3A4">
        <w:rPr>
          <w:color w:val="auto"/>
          <w:lang w:val="en-US"/>
        </w:rPr>
        <w:t>Elsevier Science &amp; Technology.</w:t>
      </w:r>
      <w:r w:rsidR="40E363CA" w:rsidRPr="698FC3A4">
        <w:rPr>
          <w:i/>
          <w:iCs/>
          <w:color w:val="auto"/>
          <w:lang w:val="en-US"/>
        </w:rPr>
        <w:t xml:space="preserve"> ProQuest </w:t>
      </w:r>
      <w:proofErr w:type="spellStart"/>
      <w:r w:rsidR="40E363CA" w:rsidRPr="698FC3A4">
        <w:rPr>
          <w:i/>
          <w:iCs/>
          <w:color w:val="auto"/>
          <w:lang w:val="en-US"/>
        </w:rPr>
        <w:t>Ebook</w:t>
      </w:r>
      <w:proofErr w:type="spellEnd"/>
      <w:r w:rsidR="40E363CA" w:rsidRPr="698FC3A4">
        <w:rPr>
          <w:i/>
          <w:iCs/>
          <w:color w:val="auto"/>
          <w:lang w:val="en-US"/>
        </w:rPr>
        <w:t xml:space="preserve"> Central</w:t>
      </w:r>
      <w:r w:rsidR="40E363CA" w:rsidRPr="698FC3A4">
        <w:rPr>
          <w:color w:val="auto"/>
          <w:lang w:val="en-US"/>
        </w:rPr>
        <w:t xml:space="preserve">, </w:t>
      </w:r>
      <w:hyperlink r:id="rId30" w:history="1">
        <w:r w:rsidR="002C396B" w:rsidRPr="000C12FA">
          <w:rPr>
            <w:rStyle w:val="Hyperlink"/>
            <w:lang w:val="en-US"/>
          </w:rPr>
          <w:t>https://ebookcentral.proquest.com/lib/ubhasselt/detail.action?docID=5754481</w:t>
        </w:r>
      </w:hyperlink>
      <w:r w:rsidR="40E363CA" w:rsidRPr="698FC3A4">
        <w:rPr>
          <w:color w:val="auto"/>
          <w:lang w:val="en-US"/>
        </w:rPr>
        <w:t>.</w:t>
      </w:r>
    </w:p>
    <w:p w14:paraId="72EDFE76" w14:textId="0924557E" w:rsidR="00F67C50" w:rsidRPr="00F67C50" w:rsidRDefault="00421D39" w:rsidP="00F67C50">
      <w:pPr>
        <w:pStyle w:val="EFSAReferences"/>
        <w:jc w:val="left"/>
        <w:rPr>
          <w:color w:val="000000" w:themeColor="text1"/>
          <w:lang w:val="en-US"/>
        </w:rPr>
      </w:pPr>
      <w:r w:rsidRPr="00421D39">
        <w:rPr>
          <w:color w:val="000000" w:themeColor="text1"/>
          <w:lang w:val="en-US"/>
        </w:rPr>
        <w:t>Lehmann EL</w:t>
      </w:r>
      <w:r>
        <w:rPr>
          <w:color w:val="000000" w:themeColor="text1"/>
          <w:lang w:val="en-US"/>
        </w:rPr>
        <w:t xml:space="preserve"> and</w:t>
      </w:r>
      <w:r w:rsidRPr="00421D39">
        <w:rPr>
          <w:color w:val="000000" w:themeColor="text1"/>
          <w:lang w:val="en-US"/>
        </w:rPr>
        <w:t xml:space="preserve"> Casella G</w:t>
      </w:r>
      <w:r>
        <w:rPr>
          <w:color w:val="000000" w:themeColor="text1"/>
          <w:lang w:val="en-US"/>
        </w:rPr>
        <w:t>,</w:t>
      </w:r>
      <w:r w:rsidRPr="00421D39">
        <w:rPr>
          <w:color w:val="000000" w:themeColor="text1"/>
          <w:lang w:val="en-US"/>
        </w:rPr>
        <w:t xml:space="preserve"> 1998. Theory of Point Estimation (2nd ed.). Springer.</w:t>
      </w:r>
    </w:p>
    <w:p w14:paraId="7EF44574" w14:textId="2AE0737F" w:rsidR="00ED75EF" w:rsidRPr="00ED75EF" w:rsidRDefault="5660C3A9" w:rsidP="7205D2D0">
      <w:pPr>
        <w:pStyle w:val="EFSAReferences"/>
        <w:rPr>
          <w:color w:val="000000" w:themeColor="text1"/>
          <w:lang w:val="en-US"/>
        </w:rPr>
      </w:pPr>
      <w:proofErr w:type="spellStart"/>
      <w:r w:rsidRPr="7205D2D0">
        <w:rPr>
          <w:lang w:val="en-US"/>
        </w:rPr>
        <w:t>Lesaffre</w:t>
      </w:r>
      <w:proofErr w:type="spellEnd"/>
      <w:r w:rsidRPr="7205D2D0">
        <w:rPr>
          <w:lang w:val="en-US"/>
        </w:rPr>
        <w:t xml:space="preserve"> E and Lawson AB, 2012. Bayesian Biostatistics. </w:t>
      </w:r>
      <w:r w:rsidR="000A57FC" w:rsidRPr="000A57FC">
        <w:rPr>
          <w:lang w:val="en-US"/>
        </w:rPr>
        <w:t>New York: John Wiley &amp; Sons</w:t>
      </w:r>
      <w:r w:rsidR="000E6C1D">
        <w:rPr>
          <w:lang w:val="en-US"/>
        </w:rPr>
        <w:t xml:space="preserve"> Ltd. </w:t>
      </w:r>
      <w:r w:rsidR="00B63DEC">
        <w:rPr>
          <w:lang w:val="en-US"/>
        </w:rPr>
        <w:t xml:space="preserve">534 pages. </w:t>
      </w:r>
      <w:r w:rsidR="00DF1671">
        <w:rPr>
          <w:rFonts w:ascii="Arial" w:hAnsi="Arial" w:cs="Arial"/>
          <w:color w:val="4D5156"/>
          <w:sz w:val="21"/>
          <w:szCs w:val="21"/>
          <w:shd w:val="clear" w:color="auto" w:fill="FFFFFF"/>
        </w:rPr>
        <w:t>ISBN 978-0-470-01823-1</w:t>
      </w:r>
    </w:p>
    <w:p w14:paraId="63870B7E" w14:textId="07F02F76" w:rsidR="46644B6D" w:rsidRDefault="75FE37E2" w:rsidP="7205D2D0">
      <w:pPr>
        <w:pStyle w:val="EFSAReferences"/>
        <w:rPr>
          <w:color w:val="000000" w:themeColor="text1"/>
          <w:lang w:val="en-US"/>
        </w:rPr>
      </w:pPr>
      <w:r w:rsidRPr="7205D2D0">
        <w:rPr>
          <w:lang w:val="en-US"/>
        </w:rPr>
        <w:t xml:space="preserve">Morales KH, Ibrahim JG, Chen C-J and Ryan LM, </w:t>
      </w:r>
      <w:r w:rsidR="4FC23DD0" w:rsidRPr="1853497F">
        <w:rPr>
          <w:rFonts w:eastAsia="ArialUnicodeMS"/>
          <w:lang w:val="en-US"/>
        </w:rPr>
        <w:t>2006</w:t>
      </w:r>
      <w:r w:rsidR="00A37471">
        <w:rPr>
          <w:rFonts w:eastAsia="ArialUnicodeMS"/>
          <w:lang w:val="en-US"/>
        </w:rPr>
        <w:t xml:space="preserve">. </w:t>
      </w:r>
      <w:r w:rsidR="4FC23DD0" w:rsidRPr="1853497F">
        <w:rPr>
          <w:rFonts w:eastAsia="ArialUnicodeMS"/>
          <w:lang w:val="en-US"/>
        </w:rPr>
        <w:t xml:space="preserve">Bayesian </w:t>
      </w:r>
      <w:r w:rsidR="4FC23DD0" w:rsidRPr="7205D2D0">
        <w:rPr>
          <w:lang w:val="en-US"/>
        </w:rPr>
        <w:t>model averaging with applications</w:t>
      </w:r>
      <w:r w:rsidR="4FC23DD0" w:rsidRPr="1853497F">
        <w:rPr>
          <w:rFonts w:eastAsia="ArialUnicodeMS"/>
          <w:lang w:val="en-US"/>
        </w:rPr>
        <w:t xml:space="preserve"> to </w:t>
      </w:r>
      <w:r w:rsidR="4FC23DD0" w:rsidRPr="7205D2D0">
        <w:rPr>
          <w:lang w:val="en-US"/>
        </w:rPr>
        <w:t>benchmark dose estimation</w:t>
      </w:r>
      <w:r w:rsidR="4FC23DD0" w:rsidRPr="1853497F">
        <w:rPr>
          <w:rFonts w:eastAsia="ArialUnicodeMS"/>
          <w:lang w:val="en-US"/>
        </w:rPr>
        <w:t xml:space="preserve"> for </w:t>
      </w:r>
      <w:r w:rsidR="4FC23DD0" w:rsidRPr="2DCC5BF0">
        <w:rPr>
          <w:lang w:val="en-US"/>
        </w:rPr>
        <w:t>arsenic</w:t>
      </w:r>
      <w:r w:rsidR="4FC23DD0" w:rsidRPr="1853497F">
        <w:rPr>
          <w:rFonts w:eastAsia="ArialUnicodeMS"/>
          <w:lang w:val="en-US"/>
        </w:rPr>
        <w:t xml:space="preserve"> in </w:t>
      </w:r>
      <w:r w:rsidR="4FC23DD0" w:rsidRPr="2DCC5BF0">
        <w:rPr>
          <w:lang w:val="en-US"/>
        </w:rPr>
        <w:t>drinking water</w:t>
      </w:r>
      <w:r w:rsidR="4FC23DD0" w:rsidRPr="1853497F">
        <w:rPr>
          <w:rFonts w:eastAsia="ArialUnicodeMS"/>
          <w:lang w:val="en-US"/>
        </w:rPr>
        <w:t>, Journal of the American Statistical Association, 101:473, 9-17, DOI: 10.1198/016214505000000961.</w:t>
      </w:r>
    </w:p>
    <w:p w14:paraId="6B51B9B0" w14:textId="77777777" w:rsidR="00545DBE" w:rsidRPr="00655EB0" w:rsidRDefault="006536BE" w:rsidP="00545DBE">
      <w:pPr>
        <w:pStyle w:val="EFSAReferences"/>
        <w:rPr>
          <w:color w:val="000000" w:themeColor="text1"/>
          <w:lang w:val="en-US"/>
        </w:rPr>
      </w:pPr>
      <w:r>
        <w:rPr>
          <w:lang w:val="en-US"/>
        </w:rPr>
        <w:t>Pieters MN, Bakker M and Slob W, 2004</w:t>
      </w:r>
      <w:r w:rsidR="00545DBE" w:rsidRPr="00655EB0">
        <w:rPr>
          <w:lang w:val="en-US"/>
        </w:rPr>
        <w:t>. Reduced intake of deoxynivalenol in The Netherlands: a risk assessment update. Toxicol</w:t>
      </w:r>
      <w:r>
        <w:rPr>
          <w:lang w:val="en-US"/>
        </w:rPr>
        <w:t>ogy Letters</w:t>
      </w:r>
      <w:r w:rsidR="00545DBE" w:rsidRPr="00655EB0">
        <w:rPr>
          <w:lang w:val="en-US"/>
        </w:rPr>
        <w:t>, 153, 145-153.</w:t>
      </w:r>
    </w:p>
    <w:p w14:paraId="70A8DC4C" w14:textId="2E7F1A69" w:rsidR="00545DBE" w:rsidRPr="00655EB0" w:rsidRDefault="006536BE" w:rsidP="00545DBE">
      <w:pPr>
        <w:pStyle w:val="EFSAReferences"/>
        <w:rPr>
          <w:lang w:val="en-US"/>
        </w:rPr>
      </w:pPr>
      <w:r>
        <w:rPr>
          <w:lang w:val="en-US"/>
        </w:rPr>
        <w:t xml:space="preserve">Sand S, Falk </w:t>
      </w:r>
      <w:proofErr w:type="spellStart"/>
      <w:r>
        <w:rPr>
          <w:lang w:val="en-US"/>
        </w:rPr>
        <w:t>Filipsson</w:t>
      </w:r>
      <w:proofErr w:type="spellEnd"/>
      <w:r>
        <w:rPr>
          <w:lang w:val="en-US"/>
        </w:rPr>
        <w:t xml:space="preserve"> A and </w:t>
      </w:r>
      <w:proofErr w:type="spellStart"/>
      <w:r w:rsidR="00545DBE" w:rsidRPr="00655EB0">
        <w:rPr>
          <w:lang w:val="en-US"/>
        </w:rPr>
        <w:t>Victorin</w:t>
      </w:r>
      <w:proofErr w:type="spellEnd"/>
      <w:r w:rsidR="00545DBE" w:rsidRPr="00655EB0">
        <w:rPr>
          <w:lang w:val="en-US"/>
        </w:rPr>
        <w:t xml:space="preserve"> K</w:t>
      </w:r>
      <w:r>
        <w:rPr>
          <w:lang w:val="en-US"/>
        </w:rPr>
        <w:t>, 2002</w:t>
      </w:r>
      <w:r w:rsidR="00545DBE" w:rsidRPr="00655EB0">
        <w:rPr>
          <w:lang w:val="en-US"/>
        </w:rPr>
        <w:t>. Evaluation of the benchmark dose method for dichotomous data: model dependence and model selection.</w:t>
      </w:r>
      <w:r w:rsidR="009514FA">
        <w:rPr>
          <w:lang w:val="en-US"/>
        </w:rPr>
        <w:t xml:space="preserve"> </w:t>
      </w:r>
      <w:r w:rsidRPr="00794571">
        <w:rPr>
          <w:lang w:val="en-US"/>
        </w:rPr>
        <w:t>Regulatory Toxicology and Pharmacology</w:t>
      </w:r>
      <w:r>
        <w:rPr>
          <w:lang w:val="en-US"/>
        </w:rPr>
        <w:t>,</w:t>
      </w:r>
      <w:r w:rsidRPr="006536BE">
        <w:rPr>
          <w:lang w:val="en-US"/>
        </w:rPr>
        <w:t xml:space="preserve"> </w:t>
      </w:r>
      <w:r w:rsidR="00545DBE" w:rsidRPr="006536BE">
        <w:rPr>
          <w:lang w:val="en-US"/>
        </w:rPr>
        <w:t>36</w:t>
      </w:r>
      <w:r w:rsidR="00545DBE" w:rsidRPr="00655EB0">
        <w:rPr>
          <w:lang w:val="en-US"/>
        </w:rPr>
        <w:t>, 184-197.</w:t>
      </w:r>
    </w:p>
    <w:p w14:paraId="6B51F714" w14:textId="77777777" w:rsidR="00AF5E28" w:rsidRPr="00AF5E28" w:rsidRDefault="006536BE" w:rsidP="00AF5E28">
      <w:pPr>
        <w:pStyle w:val="EFSAReferences"/>
        <w:rPr>
          <w:lang w:val="en-US" w:eastAsia="en-GB"/>
        </w:rPr>
      </w:pPr>
      <w:r>
        <w:rPr>
          <w:lang w:val="en-US" w:eastAsia="en-GB"/>
        </w:rPr>
        <w:t>Sand S, Portier C</w:t>
      </w:r>
      <w:r w:rsidR="00545DBE" w:rsidRPr="00655EB0">
        <w:rPr>
          <w:lang w:val="en-US" w:eastAsia="en-GB"/>
        </w:rPr>
        <w:t>J</w:t>
      </w:r>
      <w:r>
        <w:rPr>
          <w:lang w:val="en-US" w:eastAsia="en-GB"/>
        </w:rPr>
        <w:t xml:space="preserve"> and </w:t>
      </w:r>
      <w:proofErr w:type="spellStart"/>
      <w:r>
        <w:rPr>
          <w:lang w:val="en-US" w:eastAsia="en-GB"/>
        </w:rPr>
        <w:t>Krewski</w:t>
      </w:r>
      <w:proofErr w:type="spellEnd"/>
      <w:r>
        <w:rPr>
          <w:lang w:val="en-US" w:eastAsia="en-GB"/>
        </w:rPr>
        <w:t xml:space="preserve"> D, </w:t>
      </w:r>
      <w:r w:rsidR="00545DBE" w:rsidRPr="00655EB0">
        <w:rPr>
          <w:lang w:val="en-US" w:eastAsia="en-GB"/>
        </w:rPr>
        <w:t>2011. A Signal-to-Noise Crossover Dose as the Point of Departure for Health Risk Assessment. Environmental Health Perspectives, 119, 1766-1774</w:t>
      </w:r>
    </w:p>
    <w:p w14:paraId="65AED266" w14:textId="5562220A" w:rsidR="004233DC" w:rsidRPr="00655EB0" w:rsidRDefault="004233DC" w:rsidP="00545DBE">
      <w:pPr>
        <w:pStyle w:val="EFSAReferences"/>
        <w:rPr>
          <w:lang w:val="en-US" w:eastAsia="en-GB"/>
        </w:rPr>
      </w:pPr>
      <w:r w:rsidRPr="004233DC">
        <w:rPr>
          <w:lang w:val="en-US" w:eastAsia="en-GB"/>
        </w:rPr>
        <w:t>Sand S</w:t>
      </w:r>
      <w:r>
        <w:rPr>
          <w:lang w:val="en-US" w:eastAsia="en-GB"/>
        </w:rPr>
        <w:t xml:space="preserve">, </w:t>
      </w:r>
      <w:r w:rsidRPr="004233DC">
        <w:rPr>
          <w:lang w:val="en-US" w:eastAsia="en-GB"/>
        </w:rPr>
        <w:t>2021</w:t>
      </w:r>
      <w:r>
        <w:rPr>
          <w:lang w:val="en-US" w:eastAsia="en-GB"/>
        </w:rPr>
        <w:t>.</w:t>
      </w:r>
      <w:r w:rsidRPr="004233DC">
        <w:rPr>
          <w:lang w:val="en-US" w:eastAsia="en-GB"/>
        </w:rPr>
        <w:t xml:space="preserve"> A novel method for combining outcomes with different severities or gene-level classifications</w:t>
      </w:r>
      <w:r>
        <w:rPr>
          <w:lang w:val="en-US" w:eastAsia="en-GB"/>
        </w:rPr>
        <w:t>.</w:t>
      </w:r>
      <w:r w:rsidRPr="004233DC">
        <w:rPr>
          <w:lang w:val="en-US" w:eastAsia="en-GB"/>
        </w:rPr>
        <w:t xml:space="preserve"> ALTEX - Alternatives to animal experimentation. </w:t>
      </w:r>
      <w:proofErr w:type="spellStart"/>
      <w:r w:rsidRPr="004233DC">
        <w:rPr>
          <w:lang w:val="en-US" w:eastAsia="en-GB"/>
        </w:rPr>
        <w:t>doi</w:t>
      </w:r>
      <w:proofErr w:type="spellEnd"/>
      <w:r w:rsidRPr="004233DC">
        <w:rPr>
          <w:lang w:val="en-US" w:eastAsia="en-GB"/>
        </w:rPr>
        <w:t>: 10.14573/altex.2004212.</w:t>
      </w:r>
    </w:p>
    <w:p w14:paraId="3CA9F097" w14:textId="77777777" w:rsidR="00545DBE" w:rsidRDefault="006536BE" w:rsidP="00545DBE">
      <w:pPr>
        <w:pStyle w:val="EFSAReferences"/>
        <w:rPr>
          <w:lang w:val="en-US"/>
        </w:rPr>
      </w:pPr>
      <w:r>
        <w:rPr>
          <w:lang w:val="en-US"/>
        </w:rPr>
        <w:t>Shao K, Gift JS and Setzer RW, 2013</w:t>
      </w:r>
      <w:r w:rsidR="00545DBE" w:rsidRPr="00655EB0">
        <w:rPr>
          <w:lang w:val="en-US"/>
        </w:rPr>
        <w:t xml:space="preserve">. Is the assumption of normality or </w:t>
      </w:r>
      <w:proofErr w:type="gramStart"/>
      <w:r w:rsidR="00545DBE" w:rsidRPr="00655EB0">
        <w:rPr>
          <w:lang w:val="en-US"/>
        </w:rPr>
        <w:t>log-normality</w:t>
      </w:r>
      <w:proofErr w:type="gramEnd"/>
      <w:r w:rsidR="00545DBE" w:rsidRPr="00655EB0">
        <w:rPr>
          <w:lang w:val="en-US"/>
        </w:rPr>
        <w:t xml:space="preserve"> for continuous response data critical</w:t>
      </w:r>
      <w:r w:rsidR="009514FA">
        <w:rPr>
          <w:lang w:val="en-US"/>
        </w:rPr>
        <w:t xml:space="preserve"> for benchmark dose estimation?</w:t>
      </w:r>
      <w:r w:rsidR="00545DBE" w:rsidRPr="00655EB0">
        <w:rPr>
          <w:lang w:val="en-US"/>
        </w:rPr>
        <w:t xml:space="preserve"> Toxicology and </w:t>
      </w:r>
      <w:r w:rsidR="00F65DAA">
        <w:rPr>
          <w:lang w:val="en-US"/>
        </w:rPr>
        <w:t>A</w:t>
      </w:r>
      <w:r w:rsidR="00545DBE" w:rsidRPr="00655EB0">
        <w:rPr>
          <w:lang w:val="en-US"/>
        </w:rPr>
        <w:t xml:space="preserve">pplied </w:t>
      </w:r>
      <w:r w:rsidR="00F65DAA">
        <w:rPr>
          <w:lang w:val="en-US"/>
        </w:rPr>
        <w:t>P</w:t>
      </w:r>
      <w:r w:rsidR="00545DBE" w:rsidRPr="00655EB0">
        <w:rPr>
          <w:lang w:val="en-US"/>
        </w:rPr>
        <w:t>harmacology, 272, 767-779.</w:t>
      </w:r>
    </w:p>
    <w:p w14:paraId="28755DE0" w14:textId="447D7D30" w:rsidR="00604E96" w:rsidRPr="00655EB0" w:rsidRDefault="00604E96" w:rsidP="00545DBE">
      <w:pPr>
        <w:pStyle w:val="EFSAReferences"/>
        <w:rPr>
          <w:lang w:val="en-US"/>
        </w:rPr>
      </w:pPr>
      <w:r w:rsidRPr="00604E96">
        <w:rPr>
          <w:lang w:val="en-US"/>
        </w:rPr>
        <w:t>Shapiro SS</w:t>
      </w:r>
      <w:r>
        <w:rPr>
          <w:lang w:val="en-US"/>
        </w:rPr>
        <w:t>,</w:t>
      </w:r>
      <w:r w:rsidRPr="00604E96">
        <w:rPr>
          <w:lang w:val="en-US"/>
        </w:rPr>
        <w:t xml:space="preserve"> Wilk</w:t>
      </w:r>
      <w:r>
        <w:rPr>
          <w:lang w:val="en-US"/>
        </w:rPr>
        <w:t xml:space="preserve"> </w:t>
      </w:r>
      <w:r w:rsidRPr="00604E96">
        <w:rPr>
          <w:lang w:val="en-US"/>
        </w:rPr>
        <w:t>MB</w:t>
      </w:r>
      <w:r>
        <w:rPr>
          <w:lang w:val="en-US"/>
        </w:rPr>
        <w:t>,</w:t>
      </w:r>
      <w:r w:rsidRPr="00604E96">
        <w:rPr>
          <w:lang w:val="en-US"/>
        </w:rPr>
        <w:t xml:space="preserve"> 1965. An analysis of variance test for normality (complete samples). </w:t>
      </w:r>
      <w:proofErr w:type="spellStart"/>
      <w:r w:rsidRPr="00604E96">
        <w:rPr>
          <w:lang w:val="en-US"/>
        </w:rPr>
        <w:t>Biometrika</w:t>
      </w:r>
      <w:proofErr w:type="spellEnd"/>
      <w:r w:rsidRPr="00604E96">
        <w:rPr>
          <w:lang w:val="en-US"/>
        </w:rPr>
        <w:t>. 52 (3–4): 591–611.</w:t>
      </w:r>
    </w:p>
    <w:p w14:paraId="6E0EB41A" w14:textId="77777777" w:rsidR="00B44E0F" w:rsidRPr="00B44E0F" w:rsidRDefault="00B44E0F" w:rsidP="00B44E0F">
      <w:pPr>
        <w:pStyle w:val="EFSAReferences"/>
      </w:pPr>
      <w:r w:rsidRPr="00B44E0F">
        <w:t xml:space="preserve">Slob W, 1994. Uncertainty Analysis in Multiplicative Models. Risk Analysis, 14: 571–576. </w:t>
      </w:r>
    </w:p>
    <w:p w14:paraId="6DF78E32" w14:textId="77777777" w:rsidR="00545DBE" w:rsidRPr="00655EB0" w:rsidRDefault="00545DBE" w:rsidP="00545DBE">
      <w:pPr>
        <w:pStyle w:val="EFSAReferences"/>
        <w:rPr>
          <w:lang w:val="en-US"/>
        </w:rPr>
      </w:pPr>
      <w:r w:rsidRPr="00655EB0">
        <w:rPr>
          <w:lang w:val="en-US"/>
        </w:rPr>
        <w:t>Slob W</w:t>
      </w:r>
      <w:r w:rsidR="006536BE">
        <w:rPr>
          <w:lang w:val="en-US"/>
        </w:rPr>
        <w:t xml:space="preserve"> and Pieters MN, 1998</w:t>
      </w:r>
      <w:r w:rsidRPr="00655EB0">
        <w:rPr>
          <w:lang w:val="en-US"/>
        </w:rPr>
        <w:t xml:space="preserve">. A probabilistic approach for deriving acceptable human intake limits and human health risks from toxicological studies: general framework. </w:t>
      </w:r>
      <w:r w:rsidR="006536BE" w:rsidRPr="00A95BF5">
        <w:rPr>
          <w:lang w:val="en-US"/>
        </w:rPr>
        <w:t xml:space="preserve">Risk </w:t>
      </w:r>
      <w:r w:rsidR="006536BE" w:rsidRPr="006536BE">
        <w:rPr>
          <w:lang w:val="en-US"/>
        </w:rPr>
        <w:t>Analysis</w:t>
      </w:r>
      <w:r w:rsidR="006536BE" w:rsidRPr="006536BE">
        <w:rPr>
          <w:rStyle w:val="Strong"/>
          <w:lang w:val="en-US"/>
        </w:rPr>
        <w:t xml:space="preserve"> </w:t>
      </w:r>
      <w:r w:rsidRPr="006536BE">
        <w:rPr>
          <w:rStyle w:val="Strong"/>
          <w:b w:val="0"/>
          <w:lang w:val="en-US"/>
        </w:rPr>
        <w:t>18,</w:t>
      </w:r>
      <w:r w:rsidRPr="006536BE">
        <w:rPr>
          <w:lang w:val="en-US"/>
        </w:rPr>
        <w:t xml:space="preserve"> 787</w:t>
      </w:r>
      <w:r w:rsidRPr="00655EB0">
        <w:rPr>
          <w:lang w:val="en-US"/>
        </w:rPr>
        <w:t>-798.</w:t>
      </w:r>
    </w:p>
    <w:p w14:paraId="686A956D" w14:textId="77777777" w:rsidR="00545DBE" w:rsidRDefault="006536BE" w:rsidP="00545DBE">
      <w:pPr>
        <w:pStyle w:val="EFSAReferences"/>
      </w:pPr>
      <w:r>
        <w:rPr>
          <w:lang w:val="en-US"/>
        </w:rPr>
        <w:t>Slob W, 2002</w:t>
      </w:r>
      <w:r w:rsidR="00545DBE" w:rsidRPr="00655EB0">
        <w:rPr>
          <w:lang w:val="en-US"/>
        </w:rPr>
        <w:t xml:space="preserve">. Dose-response modelling of continuous endpoints. </w:t>
      </w:r>
      <w:hyperlink r:id="rId31" w:history="1">
        <w:r w:rsidR="00A1280C" w:rsidRPr="00A1280C">
          <w:t>Toxicological Sciences</w:t>
        </w:r>
      </w:hyperlink>
      <w:r w:rsidR="00545DBE" w:rsidRPr="003B3947">
        <w:t>, 66, 298-312.</w:t>
      </w:r>
    </w:p>
    <w:p w14:paraId="6479B73A" w14:textId="77777777" w:rsidR="00545DBE" w:rsidRPr="00655EB0" w:rsidRDefault="006536BE" w:rsidP="00545DBE">
      <w:pPr>
        <w:pStyle w:val="EFSAReferences"/>
        <w:rPr>
          <w:lang w:val="en-US"/>
        </w:rPr>
      </w:pPr>
      <w:r w:rsidRPr="00E3721B">
        <w:rPr>
          <w:lang w:val="nb-NO"/>
        </w:rPr>
        <w:t>Slob W, Bakker MI, Biesebeek JDT and Bokkers BG, 2014</w:t>
      </w:r>
      <w:r w:rsidR="00545DBE" w:rsidRPr="00E3721B">
        <w:rPr>
          <w:lang w:val="nb-NO"/>
        </w:rPr>
        <w:t xml:space="preserve">. </w:t>
      </w:r>
      <w:r w:rsidR="00545DBE" w:rsidRPr="00655EB0">
        <w:rPr>
          <w:lang w:val="en-US"/>
        </w:rPr>
        <w:t>Exploring the Uncertainties in Cancer Risk Assessment Using the Integrated Probabilistic Risk Assessment (IPRA) Approach. Risk Analysis, 34, 1401-1422.</w:t>
      </w:r>
    </w:p>
    <w:p w14:paraId="608826A1" w14:textId="77777777" w:rsidR="00545DBE" w:rsidRDefault="006536BE" w:rsidP="00545DBE">
      <w:pPr>
        <w:pStyle w:val="EFSAReferences"/>
        <w:rPr>
          <w:lang w:val="en-US"/>
        </w:rPr>
      </w:pPr>
      <w:r>
        <w:rPr>
          <w:lang w:val="en-US"/>
        </w:rPr>
        <w:t>Slob W, 2014</w:t>
      </w:r>
      <w:r w:rsidR="00545DBE" w:rsidRPr="00655EB0">
        <w:rPr>
          <w:lang w:val="en-US"/>
        </w:rPr>
        <w:t xml:space="preserve">. Benchmark dose and the three Rs. Part II. Reduction by getting the same information from fewer animals. </w:t>
      </w:r>
      <w:r w:rsidRPr="006536BE">
        <w:rPr>
          <w:lang w:val="en-US"/>
        </w:rPr>
        <w:t>Critical Reviews in Toxicology</w:t>
      </w:r>
      <w:r w:rsidRPr="00655EB0">
        <w:rPr>
          <w:lang w:val="en-US"/>
        </w:rPr>
        <w:t xml:space="preserve"> </w:t>
      </w:r>
      <w:r w:rsidR="00545DBE" w:rsidRPr="00655EB0">
        <w:rPr>
          <w:lang w:val="en-US"/>
        </w:rPr>
        <w:t>44, 568-580.</w:t>
      </w:r>
    </w:p>
    <w:p w14:paraId="058D123C" w14:textId="77777777" w:rsidR="00C871BD" w:rsidRDefault="00C871BD" w:rsidP="00545DBE">
      <w:pPr>
        <w:pStyle w:val="EFSAReferences"/>
        <w:rPr>
          <w:lang w:val="en-US"/>
        </w:rPr>
      </w:pPr>
      <w:r>
        <w:rPr>
          <w:lang w:val="en-US"/>
        </w:rPr>
        <w:t xml:space="preserve">Slob W and Setzer RW, 2014. </w:t>
      </w:r>
      <w:r w:rsidRPr="00C871BD">
        <w:rPr>
          <w:lang w:val="en-US"/>
        </w:rPr>
        <w:t>Shape and steepness of toxicological dose-response relationships of continuous endpoints.</w:t>
      </w:r>
      <w:r>
        <w:rPr>
          <w:lang w:val="en-US"/>
        </w:rPr>
        <w:t xml:space="preserve"> </w:t>
      </w:r>
      <w:r w:rsidRPr="006536BE">
        <w:rPr>
          <w:lang w:val="en-US"/>
        </w:rPr>
        <w:t>Critical Reviews in Toxicology</w:t>
      </w:r>
      <w:r w:rsidRPr="00655EB0">
        <w:rPr>
          <w:lang w:val="en-US"/>
        </w:rPr>
        <w:t xml:space="preserve"> 44, </w:t>
      </w:r>
      <w:r>
        <w:rPr>
          <w:lang w:val="en-US"/>
        </w:rPr>
        <w:t>270</w:t>
      </w:r>
      <w:r w:rsidRPr="00655EB0">
        <w:rPr>
          <w:lang w:val="en-US"/>
        </w:rPr>
        <w:t>-</w:t>
      </w:r>
      <w:r>
        <w:rPr>
          <w:lang w:val="en-US"/>
        </w:rPr>
        <w:t>297.</w:t>
      </w:r>
    </w:p>
    <w:p w14:paraId="3A42D72F" w14:textId="77777777" w:rsidR="00440EC8" w:rsidRPr="00655EB0" w:rsidRDefault="00440EC8" w:rsidP="00545DBE">
      <w:pPr>
        <w:pStyle w:val="EFSAReferences"/>
        <w:rPr>
          <w:lang w:val="en-US"/>
        </w:rPr>
      </w:pPr>
      <w:r>
        <w:rPr>
          <w:lang w:val="en-US"/>
        </w:rPr>
        <w:t xml:space="preserve">Slob W, 2016. </w:t>
      </w:r>
      <w:r w:rsidRPr="00440EC8">
        <w:rPr>
          <w:lang w:val="en-US"/>
        </w:rPr>
        <w:t>A general theory of effect size, and its consequences for defining the Benchmark response (BMR) for continuous endpoints</w:t>
      </w:r>
      <w:r>
        <w:rPr>
          <w:lang w:val="en-US"/>
        </w:rPr>
        <w:t xml:space="preserve">. Critical Reviews in Toxicology (in </w:t>
      </w:r>
      <w:r w:rsidR="009514FA">
        <w:rPr>
          <w:lang w:val="en-US"/>
        </w:rPr>
        <w:t xml:space="preserve">the </w:t>
      </w:r>
      <w:r>
        <w:rPr>
          <w:lang w:val="en-US"/>
        </w:rPr>
        <w:t>press).</w:t>
      </w:r>
    </w:p>
    <w:p w14:paraId="14EDA41C" w14:textId="77777777" w:rsidR="00545DBE" w:rsidRPr="00655EB0" w:rsidRDefault="006536BE" w:rsidP="00545DBE">
      <w:pPr>
        <w:pStyle w:val="EFSAReferences"/>
        <w:rPr>
          <w:lang w:val="en-US"/>
        </w:rPr>
      </w:pPr>
      <w:proofErr w:type="spellStart"/>
      <w:r>
        <w:rPr>
          <w:lang w:val="en-US"/>
        </w:rPr>
        <w:t>Soeteman</w:t>
      </w:r>
      <w:proofErr w:type="spellEnd"/>
      <w:r>
        <w:rPr>
          <w:lang w:val="en-US"/>
        </w:rPr>
        <w:t xml:space="preserve">-Hernández LG, Johnson </w:t>
      </w:r>
      <w:proofErr w:type="gramStart"/>
      <w:r>
        <w:rPr>
          <w:lang w:val="en-US"/>
        </w:rPr>
        <w:t>GE</w:t>
      </w:r>
      <w:proofErr w:type="gramEnd"/>
      <w:r>
        <w:rPr>
          <w:lang w:val="en-US"/>
        </w:rPr>
        <w:t xml:space="preserve"> and Slob W 2015a</w:t>
      </w:r>
      <w:r w:rsidR="00545DBE" w:rsidRPr="00655EB0">
        <w:rPr>
          <w:lang w:val="en-US"/>
        </w:rPr>
        <w:t>. Estimating the carcinogenic potency of</w:t>
      </w:r>
      <w:r w:rsidR="00545DBE" w:rsidRPr="00655EB0">
        <w:rPr>
          <w:rFonts w:ascii="AdvP641C" w:hAnsi="AdvP641C" w:cs="AdvP641C"/>
          <w:lang w:val="en-US"/>
        </w:rPr>
        <w:t xml:space="preserve"> </w:t>
      </w:r>
      <w:r w:rsidR="00545DBE" w:rsidRPr="00655EB0">
        <w:rPr>
          <w:lang w:val="en-US"/>
        </w:rPr>
        <w:t xml:space="preserve">chemicals from the in vivo micronucleus test. Mutagenesis, </w:t>
      </w:r>
      <w:r w:rsidR="009514FA">
        <w:rPr>
          <w:lang w:val="en-US"/>
        </w:rPr>
        <w:t>31, 347-358.</w:t>
      </w:r>
    </w:p>
    <w:p w14:paraId="6A950811" w14:textId="77777777" w:rsidR="00545DBE" w:rsidRDefault="006536BE" w:rsidP="00545DBE">
      <w:pPr>
        <w:pStyle w:val="EFSAReferences"/>
        <w:rPr>
          <w:lang w:val="en-US"/>
        </w:rPr>
      </w:pPr>
      <w:proofErr w:type="spellStart"/>
      <w:r>
        <w:rPr>
          <w:lang w:val="en-US"/>
        </w:rPr>
        <w:t>Soeteman</w:t>
      </w:r>
      <w:proofErr w:type="spellEnd"/>
      <w:r>
        <w:rPr>
          <w:lang w:val="en-US"/>
        </w:rPr>
        <w:t xml:space="preserve">-Hernández LG, Fellows MD, Johnson </w:t>
      </w:r>
      <w:proofErr w:type="gramStart"/>
      <w:r>
        <w:rPr>
          <w:lang w:val="en-US"/>
        </w:rPr>
        <w:t>GE</w:t>
      </w:r>
      <w:proofErr w:type="gramEnd"/>
      <w:r>
        <w:rPr>
          <w:lang w:val="en-US"/>
        </w:rPr>
        <w:t xml:space="preserve"> and Slob W, 2015b</w:t>
      </w:r>
      <w:r w:rsidR="00545DBE" w:rsidRPr="00655EB0">
        <w:rPr>
          <w:lang w:val="en-US"/>
        </w:rPr>
        <w:t xml:space="preserve">. Correlation of in vivo versus in vitro Benchmark doses (BMDs) derived from micronucleus test data: A proof of concept study. </w:t>
      </w:r>
      <w:proofErr w:type="spellStart"/>
      <w:r w:rsidR="00545DBE" w:rsidRPr="00655EB0">
        <w:rPr>
          <w:lang w:val="en-US"/>
        </w:rPr>
        <w:t>Toxicol</w:t>
      </w:r>
      <w:proofErr w:type="spellEnd"/>
      <w:r w:rsidR="00545DBE" w:rsidRPr="00655EB0">
        <w:rPr>
          <w:lang w:val="en-US"/>
        </w:rPr>
        <w:t xml:space="preserve"> Sci, </w:t>
      </w:r>
      <w:r w:rsidR="009514FA">
        <w:rPr>
          <w:lang w:val="en-US"/>
        </w:rPr>
        <w:t>147, 355-367</w:t>
      </w:r>
      <w:r w:rsidR="00545DBE" w:rsidRPr="00655EB0">
        <w:rPr>
          <w:lang w:val="en-US"/>
        </w:rPr>
        <w:t>.</w:t>
      </w:r>
    </w:p>
    <w:p w14:paraId="58CFE0FF" w14:textId="1C799717" w:rsidR="00104145" w:rsidRDefault="00BA77D1" w:rsidP="00545DBE">
      <w:pPr>
        <w:pStyle w:val="EFSAReferences"/>
        <w:rPr>
          <w:lang w:val="en-US"/>
        </w:rPr>
      </w:pPr>
      <w:r>
        <w:rPr>
          <w:lang w:val="en-US"/>
        </w:rPr>
        <w:t>Stigler</w:t>
      </w:r>
      <w:r w:rsidR="00DE7CB6">
        <w:rPr>
          <w:lang w:val="en-US"/>
        </w:rPr>
        <w:t xml:space="preserve"> S, 1973. </w:t>
      </w:r>
      <w:r w:rsidR="00104145" w:rsidRPr="00104145">
        <w:rPr>
          <w:lang w:val="en-US"/>
        </w:rPr>
        <w:t xml:space="preserve">Studies in the History of Probability and Statistics. XXXII: Laplace, </w:t>
      </w:r>
      <w:proofErr w:type="gramStart"/>
      <w:r w:rsidR="00104145" w:rsidRPr="00104145">
        <w:rPr>
          <w:lang w:val="en-US"/>
        </w:rPr>
        <w:t>Fisher</w:t>
      </w:r>
      <w:proofErr w:type="gramEnd"/>
      <w:r w:rsidR="00104145" w:rsidRPr="00104145">
        <w:rPr>
          <w:lang w:val="en-US"/>
        </w:rPr>
        <w:t xml:space="preserve"> and the Discovery of the Concept of Sufficiency. </w:t>
      </w:r>
      <w:proofErr w:type="spellStart"/>
      <w:r w:rsidR="00104145" w:rsidRPr="00104145">
        <w:rPr>
          <w:lang w:val="en-US"/>
        </w:rPr>
        <w:t>Biometrika</w:t>
      </w:r>
      <w:proofErr w:type="spellEnd"/>
      <w:r w:rsidR="00104145" w:rsidRPr="00104145">
        <w:rPr>
          <w:lang w:val="en-US"/>
        </w:rPr>
        <w:t>. 60 (3): 439–445</w:t>
      </w:r>
      <w:r w:rsidR="00317059">
        <w:rPr>
          <w:lang w:val="en-US"/>
        </w:rPr>
        <w:t>.</w:t>
      </w:r>
    </w:p>
    <w:p w14:paraId="20401CA6" w14:textId="2D5EEB11" w:rsidR="00317059" w:rsidRPr="00655EB0" w:rsidRDefault="00317059" w:rsidP="00317059">
      <w:pPr>
        <w:pStyle w:val="EFSAReferences"/>
        <w:rPr>
          <w:lang w:val="en-US"/>
        </w:rPr>
      </w:pPr>
      <w:proofErr w:type="spellStart"/>
      <w:r w:rsidRPr="00317059">
        <w:rPr>
          <w:lang w:val="en-US"/>
        </w:rPr>
        <w:t>Stoica</w:t>
      </w:r>
      <w:proofErr w:type="spellEnd"/>
      <w:r w:rsidRPr="00317059">
        <w:rPr>
          <w:lang w:val="en-US"/>
        </w:rPr>
        <w:t xml:space="preserve"> P, </w:t>
      </w:r>
      <w:proofErr w:type="spellStart"/>
      <w:r w:rsidRPr="00317059">
        <w:rPr>
          <w:lang w:val="en-US"/>
        </w:rPr>
        <w:t>Selén</w:t>
      </w:r>
      <w:proofErr w:type="spellEnd"/>
      <w:r w:rsidRPr="00317059">
        <w:rPr>
          <w:lang w:val="en-US"/>
        </w:rPr>
        <w:t xml:space="preserve"> Y., Li J</w:t>
      </w:r>
      <w:r>
        <w:rPr>
          <w:lang w:val="en-US"/>
        </w:rPr>
        <w:t xml:space="preserve">, </w:t>
      </w:r>
      <w:r w:rsidRPr="00317059">
        <w:rPr>
          <w:lang w:val="en-US"/>
        </w:rPr>
        <w:t>2004. Multi-model approach to model selection.</w:t>
      </w:r>
      <w:r>
        <w:rPr>
          <w:lang w:val="en-US"/>
        </w:rPr>
        <w:t xml:space="preserve"> </w:t>
      </w:r>
      <w:r w:rsidRPr="00317059">
        <w:rPr>
          <w:lang w:val="en-US"/>
        </w:rPr>
        <w:t>Digital Signal Processing, 14(5): 399-412</w:t>
      </w:r>
      <w:r>
        <w:rPr>
          <w:lang w:val="en-US"/>
        </w:rPr>
        <w:t>.</w:t>
      </w:r>
    </w:p>
    <w:p w14:paraId="08FFA180" w14:textId="001D8C6E" w:rsidR="00545DBE" w:rsidRDefault="00545DBE" w:rsidP="00545DBE">
      <w:pPr>
        <w:pStyle w:val="EFSAReferences"/>
        <w:rPr>
          <w:lang w:val="en-US"/>
        </w:rPr>
      </w:pPr>
      <w:proofErr w:type="spellStart"/>
      <w:r w:rsidRPr="00655EB0">
        <w:rPr>
          <w:lang w:val="en-US"/>
        </w:rPr>
        <w:t>Swart</w:t>
      </w:r>
      <w:r w:rsidR="006536BE">
        <w:rPr>
          <w:lang w:val="en-US"/>
        </w:rPr>
        <w:t>out</w:t>
      </w:r>
      <w:proofErr w:type="spellEnd"/>
      <w:r w:rsidR="006536BE">
        <w:rPr>
          <w:lang w:val="en-US"/>
        </w:rPr>
        <w:t xml:space="preserve"> JC, Price PS, </w:t>
      </w:r>
      <w:proofErr w:type="spellStart"/>
      <w:r w:rsidR="006536BE">
        <w:rPr>
          <w:lang w:val="en-US"/>
        </w:rPr>
        <w:t>Dourson</w:t>
      </w:r>
      <w:proofErr w:type="spellEnd"/>
      <w:r w:rsidR="006536BE">
        <w:rPr>
          <w:lang w:val="en-US"/>
        </w:rPr>
        <w:t xml:space="preserve"> ML, Carlson-Lynch HL and</w:t>
      </w:r>
      <w:r w:rsidR="00A33969">
        <w:rPr>
          <w:lang w:val="en-US"/>
        </w:rPr>
        <w:t xml:space="preserve"> </w:t>
      </w:r>
      <w:r w:rsidR="006536BE">
        <w:rPr>
          <w:lang w:val="en-US"/>
        </w:rPr>
        <w:t>Keenan RE, 1998</w:t>
      </w:r>
      <w:r w:rsidRPr="00655EB0">
        <w:rPr>
          <w:lang w:val="en-US"/>
        </w:rPr>
        <w:t xml:space="preserve">. A Probabilistic Framework for the Reference Dose (Probabilistic </w:t>
      </w:r>
      <w:proofErr w:type="spellStart"/>
      <w:r w:rsidRPr="00655EB0">
        <w:rPr>
          <w:lang w:val="en-US"/>
        </w:rPr>
        <w:t>RfD</w:t>
      </w:r>
      <w:proofErr w:type="spellEnd"/>
      <w:r w:rsidRPr="00655EB0">
        <w:rPr>
          <w:lang w:val="en-US"/>
        </w:rPr>
        <w:t xml:space="preserve">). </w:t>
      </w:r>
      <w:r w:rsidR="006536BE" w:rsidRPr="00A95BF5">
        <w:rPr>
          <w:lang w:val="en-US"/>
        </w:rPr>
        <w:t xml:space="preserve">Risk </w:t>
      </w:r>
      <w:r w:rsidR="006536BE" w:rsidRPr="006536BE">
        <w:rPr>
          <w:lang w:val="en-US"/>
        </w:rPr>
        <w:t>Analysis</w:t>
      </w:r>
      <w:r w:rsidR="006536BE" w:rsidRPr="009514FA">
        <w:rPr>
          <w:rStyle w:val="Strong"/>
          <w:b w:val="0"/>
          <w:lang w:val="en-US"/>
        </w:rPr>
        <w:t>,</w:t>
      </w:r>
      <w:r w:rsidR="006536BE">
        <w:rPr>
          <w:rStyle w:val="Strong"/>
          <w:lang w:val="en-US"/>
        </w:rPr>
        <w:t xml:space="preserve"> </w:t>
      </w:r>
      <w:r w:rsidR="006536BE">
        <w:rPr>
          <w:lang w:val="en-US"/>
        </w:rPr>
        <w:t>18,</w:t>
      </w:r>
      <w:r w:rsidRPr="00655EB0">
        <w:rPr>
          <w:lang w:val="en-US"/>
        </w:rPr>
        <w:t xml:space="preserve"> 271-282</w:t>
      </w:r>
      <w:r w:rsidR="00D848B8">
        <w:rPr>
          <w:lang w:val="en-US"/>
        </w:rPr>
        <w:t>.</w:t>
      </w:r>
    </w:p>
    <w:p w14:paraId="282923CF" w14:textId="0EC80E3C" w:rsidR="00D848B8" w:rsidRPr="008402DB" w:rsidDel="00A72B21" w:rsidRDefault="00A72B21" w:rsidP="00A72B21">
      <w:pPr>
        <w:pStyle w:val="EFSAReferences"/>
        <w:rPr>
          <w:lang w:val="fr-FR"/>
        </w:rPr>
      </w:pPr>
      <w:proofErr w:type="spellStart"/>
      <w:r w:rsidRPr="00A72B21">
        <w:rPr>
          <w:lang w:val="en-US"/>
        </w:rPr>
        <w:t>Teunis</w:t>
      </w:r>
      <w:proofErr w:type="spellEnd"/>
      <w:r w:rsidRPr="00A72B21">
        <w:rPr>
          <w:lang w:val="en-US"/>
        </w:rPr>
        <w:t xml:space="preserve"> PFM, Evers EG and Slob W</w:t>
      </w:r>
      <w:r>
        <w:rPr>
          <w:lang w:val="en-US"/>
        </w:rPr>
        <w:t>,</w:t>
      </w:r>
      <w:r w:rsidRPr="00A72B21">
        <w:rPr>
          <w:lang w:val="en-US"/>
        </w:rPr>
        <w:t xml:space="preserve"> 1999</w:t>
      </w:r>
      <w:r>
        <w:rPr>
          <w:lang w:val="en-US"/>
        </w:rPr>
        <w:t>.</w:t>
      </w:r>
      <w:r w:rsidRPr="00A72B21">
        <w:rPr>
          <w:lang w:val="en-US"/>
        </w:rPr>
        <w:t xml:space="preserve"> Analysis of variable</w:t>
      </w:r>
      <w:r>
        <w:rPr>
          <w:lang w:val="en-US"/>
        </w:rPr>
        <w:t xml:space="preserve"> </w:t>
      </w:r>
      <w:r w:rsidRPr="00A72B21">
        <w:rPr>
          <w:lang w:val="en-US"/>
        </w:rPr>
        <w:t xml:space="preserve">fractions resulting from microbial counts. </w:t>
      </w:r>
      <w:r w:rsidRPr="008402DB">
        <w:rPr>
          <w:lang w:val="fr-FR"/>
        </w:rPr>
        <w:t xml:space="preserve">Quant. </w:t>
      </w:r>
      <w:proofErr w:type="spellStart"/>
      <w:r w:rsidRPr="008402DB">
        <w:rPr>
          <w:lang w:val="fr-FR"/>
        </w:rPr>
        <w:t>Microbiol</w:t>
      </w:r>
      <w:proofErr w:type="spellEnd"/>
      <w:r w:rsidRPr="008402DB">
        <w:rPr>
          <w:lang w:val="fr-FR"/>
        </w:rPr>
        <w:t>. 1 (1) 63-88.</w:t>
      </w:r>
    </w:p>
    <w:p w14:paraId="7CE4A579" w14:textId="77777777" w:rsidR="00545DBE" w:rsidRDefault="006536BE" w:rsidP="00545DBE">
      <w:pPr>
        <w:pStyle w:val="EFSAReferences"/>
        <w:rPr>
          <w:lang w:val="en-US"/>
        </w:rPr>
      </w:pPr>
      <w:proofErr w:type="spellStart"/>
      <w:r w:rsidRPr="008402DB">
        <w:rPr>
          <w:lang w:val="fr-FR"/>
        </w:rPr>
        <w:t>Tressou</w:t>
      </w:r>
      <w:proofErr w:type="spellEnd"/>
      <w:r w:rsidRPr="008402DB">
        <w:rPr>
          <w:lang w:val="fr-FR"/>
        </w:rPr>
        <w:t xml:space="preserve"> J, Leblanc JC, </w:t>
      </w:r>
      <w:proofErr w:type="spellStart"/>
      <w:r w:rsidRPr="008402DB">
        <w:rPr>
          <w:lang w:val="fr-FR"/>
        </w:rPr>
        <w:t>Feinberg</w:t>
      </w:r>
      <w:proofErr w:type="spellEnd"/>
      <w:r w:rsidRPr="008402DB">
        <w:rPr>
          <w:lang w:val="fr-FR"/>
        </w:rPr>
        <w:t xml:space="preserve"> M and </w:t>
      </w:r>
      <w:proofErr w:type="spellStart"/>
      <w:r w:rsidRPr="008402DB">
        <w:rPr>
          <w:lang w:val="fr-FR"/>
        </w:rPr>
        <w:t>Bertail</w:t>
      </w:r>
      <w:proofErr w:type="spellEnd"/>
      <w:r w:rsidRPr="008402DB">
        <w:rPr>
          <w:lang w:val="fr-FR"/>
        </w:rPr>
        <w:t xml:space="preserve"> P, 2004</w:t>
      </w:r>
      <w:r w:rsidR="00545DBE" w:rsidRPr="008402DB">
        <w:rPr>
          <w:lang w:val="fr-FR"/>
        </w:rPr>
        <w:t xml:space="preserve">. </w:t>
      </w:r>
      <w:r w:rsidR="00545DBE" w:rsidRPr="00655EB0">
        <w:rPr>
          <w:lang w:val="en-US"/>
        </w:rPr>
        <w:t>Statistical methodology to evaluate food exposure to a contaminant and influence of sanitary limits: Application to Ochratoxin A</w:t>
      </w:r>
      <w:r w:rsidR="00545DBE" w:rsidRPr="006536BE">
        <w:rPr>
          <w:lang w:val="en-US"/>
        </w:rPr>
        <w:t xml:space="preserve">. </w:t>
      </w:r>
      <w:r w:rsidR="00545DBE" w:rsidRPr="006536BE">
        <w:rPr>
          <w:iCs/>
          <w:lang w:val="en-US"/>
        </w:rPr>
        <w:t>Regulatory Toxicology and Pharmacology, 40</w:t>
      </w:r>
      <w:r w:rsidR="00545DBE" w:rsidRPr="006536BE">
        <w:rPr>
          <w:lang w:val="en-US"/>
        </w:rPr>
        <w:t>, 252–263.</w:t>
      </w:r>
    </w:p>
    <w:p w14:paraId="095B8C84" w14:textId="77777777" w:rsidR="005A246B" w:rsidRPr="00E543B2" w:rsidRDefault="005A246B" w:rsidP="005A246B">
      <w:pPr>
        <w:pStyle w:val="EFSAReferences"/>
        <w:jc w:val="left"/>
      </w:pPr>
      <w:r>
        <w:rPr>
          <w:lang w:val="en-US"/>
        </w:rPr>
        <w:t>United States</w:t>
      </w:r>
      <w:r w:rsidRPr="00655EB0">
        <w:rPr>
          <w:lang w:val="en-US"/>
        </w:rPr>
        <w:t xml:space="preserve"> Environmental Protection Agency </w:t>
      </w:r>
      <w:r>
        <w:rPr>
          <w:lang w:val="en-US"/>
        </w:rPr>
        <w:t xml:space="preserve">(US EPA), </w:t>
      </w:r>
      <w:r w:rsidRPr="00655EB0">
        <w:rPr>
          <w:lang w:val="en-US"/>
        </w:rPr>
        <w:t xml:space="preserve">2012. Benchmark Dose Technical Guidance. </w:t>
      </w:r>
      <w:r>
        <w:rPr>
          <w:lang w:val="en-US"/>
        </w:rPr>
        <w:t>(EPA/100/R-12/001).</w:t>
      </w:r>
      <w:r w:rsidR="00A33969">
        <w:rPr>
          <w:lang w:val="en-US"/>
        </w:rPr>
        <w:t xml:space="preserve"> </w:t>
      </w:r>
      <w:r>
        <w:rPr>
          <w:lang w:val="en-US"/>
        </w:rPr>
        <w:t>Washington DC: Risk Assessment F</w:t>
      </w:r>
      <w:r w:rsidRPr="00655EB0">
        <w:rPr>
          <w:lang w:val="en-US"/>
        </w:rPr>
        <w:t>orum.</w:t>
      </w:r>
      <w:r>
        <w:rPr>
          <w:lang w:val="en-US"/>
        </w:rPr>
        <w:t xml:space="preserve"> </w:t>
      </w:r>
      <w:r w:rsidRPr="00A1280C">
        <w:t>http://www.epa.gov/raf/publications/pdfs/benchmark_dose_guidance.pdf</w:t>
      </w:r>
    </w:p>
    <w:p w14:paraId="1D8CB0EB" w14:textId="5A02592D" w:rsidR="00075C70" w:rsidRPr="00075C70" w:rsidRDefault="00545DBE" w:rsidP="00075C70">
      <w:pPr>
        <w:pStyle w:val="EFSAReferences"/>
      </w:pPr>
      <w:r w:rsidRPr="00655EB0">
        <w:rPr>
          <w:lang w:val="en-US"/>
        </w:rPr>
        <w:t>United States Enviro</w:t>
      </w:r>
      <w:r w:rsidR="006536BE">
        <w:rPr>
          <w:lang w:val="en-US"/>
        </w:rPr>
        <w:t>nmental Protection Agency</w:t>
      </w:r>
      <w:r w:rsidR="005A246B">
        <w:rPr>
          <w:lang w:val="en-US"/>
        </w:rPr>
        <w:t xml:space="preserve"> </w:t>
      </w:r>
      <w:r w:rsidR="005A246B">
        <w:t>(US EPA</w:t>
      </w:r>
      <w:r w:rsidR="005A246B" w:rsidRPr="005A246B">
        <w:t>)</w:t>
      </w:r>
      <w:r w:rsidR="006536BE">
        <w:rPr>
          <w:lang w:val="en-US"/>
        </w:rPr>
        <w:t xml:space="preserve">, </w:t>
      </w:r>
      <w:r>
        <w:rPr>
          <w:lang w:val="en-US"/>
        </w:rPr>
        <w:t>201</w:t>
      </w:r>
      <w:r w:rsidR="006536BE">
        <w:rPr>
          <w:lang w:val="en-US"/>
        </w:rPr>
        <w:t>6</w:t>
      </w:r>
      <w:r w:rsidRPr="00655EB0">
        <w:rPr>
          <w:lang w:val="en-US"/>
        </w:rPr>
        <w:t>. Cat</w:t>
      </w:r>
      <w:r>
        <w:rPr>
          <w:lang w:val="en-US"/>
        </w:rPr>
        <w:t xml:space="preserve">egorical </w:t>
      </w:r>
      <w:r w:rsidRPr="00655EB0">
        <w:rPr>
          <w:lang w:val="en-US"/>
        </w:rPr>
        <w:t>Reg</w:t>
      </w:r>
      <w:r>
        <w:rPr>
          <w:lang w:val="en-US"/>
        </w:rPr>
        <w:t>ression</w:t>
      </w:r>
      <w:r w:rsidRPr="00655EB0">
        <w:rPr>
          <w:lang w:val="en-US"/>
        </w:rPr>
        <w:t xml:space="preserve"> </w:t>
      </w:r>
      <w:r>
        <w:rPr>
          <w:lang w:val="en-US"/>
        </w:rPr>
        <w:t>(</w:t>
      </w:r>
      <w:proofErr w:type="spellStart"/>
      <w:r w:rsidR="005A246B">
        <w:rPr>
          <w:lang w:val="en-US"/>
        </w:rPr>
        <w:t>CatReg</w:t>
      </w:r>
      <w:proofErr w:type="spellEnd"/>
      <w:r>
        <w:rPr>
          <w:lang w:val="en-US"/>
        </w:rPr>
        <w:t xml:space="preserve">) </w:t>
      </w:r>
      <w:r w:rsidRPr="00655EB0">
        <w:rPr>
          <w:lang w:val="en-US"/>
        </w:rPr>
        <w:t xml:space="preserve">User </w:t>
      </w:r>
      <w:r>
        <w:rPr>
          <w:lang w:val="en-US"/>
        </w:rPr>
        <w:t>Guide (</w:t>
      </w:r>
      <w:r w:rsidRPr="00655EB0">
        <w:rPr>
          <w:lang w:val="en-US"/>
        </w:rPr>
        <w:t xml:space="preserve">Version </w:t>
      </w:r>
      <w:r>
        <w:rPr>
          <w:lang w:val="en-US"/>
        </w:rPr>
        <w:t>3.0.1.5)</w:t>
      </w:r>
      <w:r w:rsidRPr="00655EB0">
        <w:rPr>
          <w:lang w:val="en-US"/>
        </w:rPr>
        <w:t xml:space="preserve">. Available at: </w:t>
      </w:r>
      <w:r w:rsidRPr="00A1280C">
        <w:t>https://www.epa.gov/sites/production/files/2016-03/documents/catreg_user_guide.pdf</w:t>
      </w:r>
    </w:p>
    <w:p w14:paraId="143BBB62" w14:textId="404F11CE" w:rsidR="005904B8" w:rsidRPr="005904B8" w:rsidRDefault="00E9269D" w:rsidP="005904B8">
      <w:pPr>
        <w:pStyle w:val="EFSAReferences"/>
        <w:rPr>
          <w:lang w:val="en-US"/>
        </w:rPr>
      </w:pPr>
      <w:r w:rsidRPr="00E9269D">
        <w:rPr>
          <w:lang w:val="en-US"/>
        </w:rPr>
        <w:t>United States Environmental Protection Agency (US EPA), 20</w:t>
      </w:r>
      <w:r>
        <w:rPr>
          <w:lang w:val="en-US"/>
        </w:rPr>
        <w:t>20</w:t>
      </w:r>
      <w:r w:rsidRPr="00E9269D">
        <w:rPr>
          <w:lang w:val="en-US"/>
        </w:rPr>
        <w:t>. Benchmark Dose Software (BMDS)</w:t>
      </w:r>
      <w:r>
        <w:rPr>
          <w:lang w:val="en-US"/>
        </w:rPr>
        <w:t xml:space="preserve"> </w:t>
      </w:r>
      <w:r w:rsidR="00E524C0" w:rsidRPr="00E9269D">
        <w:rPr>
          <w:lang w:val="en-US"/>
        </w:rPr>
        <w:t>Version 3.2</w:t>
      </w:r>
      <w:r w:rsidR="00E524C0">
        <w:rPr>
          <w:lang w:val="en-US"/>
        </w:rPr>
        <w:t xml:space="preserve">, </w:t>
      </w:r>
      <w:r w:rsidR="00E524C0" w:rsidRPr="00E9269D">
        <w:rPr>
          <w:lang w:val="en-US"/>
        </w:rPr>
        <w:t>User Guide</w:t>
      </w:r>
      <w:r w:rsidR="00E524C0">
        <w:rPr>
          <w:lang w:val="en-US"/>
        </w:rPr>
        <w:t xml:space="preserve">. </w:t>
      </w:r>
      <w:r w:rsidR="005904B8" w:rsidRPr="005904B8">
        <w:rPr>
          <w:lang w:val="en-US"/>
        </w:rPr>
        <w:t>EPA/600/R-20/216</w:t>
      </w:r>
      <w:r w:rsidR="005904B8">
        <w:rPr>
          <w:lang w:val="en-US"/>
        </w:rPr>
        <w:t xml:space="preserve">. </w:t>
      </w:r>
    </w:p>
    <w:p w14:paraId="42069BDC" w14:textId="545095F7" w:rsidR="00545DBE" w:rsidRPr="00655EB0" w:rsidRDefault="00B24F79" w:rsidP="00545DBE">
      <w:pPr>
        <w:pStyle w:val="EFSAReferences"/>
        <w:rPr>
          <w:lang w:val="en-US"/>
        </w:rPr>
      </w:pPr>
      <w:r w:rsidRPr="000663C0">
        <w:rPr>
          <w:lang w:val="nl-NL"/>
        </w:rPr>
        <w:t>Van der Voet H and Slob W, 2007</w:t>
      </w:r>
      <w:r w:rsidR="00545DBE" w:rsidRPr="000663C0">
        <w:rPr>
          <w:lang w:val="nl-NL"/>
        </w:rPr>
        <w:t xml:space="preserve">. </w:t>
      </w:r>
      <w:r w:rsidR="00545DBE" w:rsidRPr="00655EB0">
        <w:rPr>
          <w:lang w:val="en-US"/>
        </w:rPr>
        <w:t>Integration of probabilistic exposure assessment and probabilistic hazard cha</w:t>
      </w:r>
      <w:r>
        <w:rPr>
          <w:lang w:val="en-US"/>
        </w:rPr>
        <w:t xml:space="preserve">racterization. Risk Analysis, 27, </w:t>
      </w:r>
      <w:r w:rsidR="00545DBE" w:rsidRPr="00655EB0">
        <w:rPr>
          <w:lang w:val="en-US"/>
        </w:rPr>
        <w:t>351-371.</w:t>
      </w:r>
    </w:p>
    <w:p w14:paraId="329617BF" w14:textId="1553A0BA" w:rsidR="00DC49CD" w:rsidRPr="00655EB0" w:rsidRDefault="00DC49CD" w:rsidP="00545DBE">
      <w:pPr>
        <w:pStyle w:val="EFSAReferences"/>
        <w:rPr>
          <w:lang w:val="en-US"/>
        </w:rPr>
      </w:pPr>
      <w:r w:rsidRPr="00DC49CD">
        <w:rPr>
          <w:lang w:val="en-US"/>
        </w:rPr>
        <w:t>Welch, B. L.</w:t>
      </w:r>
      <w:r w:rsidR="00E8151B">
        <w:rPr>
          <w:lang w:val="en-US"/>
        </w:rPr>
        <w:t>,</w:t>
      </w:r>
      <w:r w:rsidRPr="00DC49CD">
        <w:rPr>
          <w:lang w:val="en-US"/>
        </w:rPr>
        <w:t xml:space="preserve"> 1947. The generalization of ‘student’s’ problem when several different population variances are involved. </w:t>
      </w:r>
      <w:proofErr w:type="spellStart"/>
      <w:r w:rsidRPr="00DC49CD">
        <w:rPr>
          <w:lang w:val="en-US"/>
        </w:rPr>
        <w:t>Biometrika</w:t>
      </w:r>
      <w:proofErr w:type="spellEnd"/>
      <w:r w:rsidRPr="00DC49CD">
        <w:rPr>
          <w:lang w:val="en-US"/>
        </w:rPr>
        <w:t xml:space="preserve"> 34: 28–35.</w:t>
      </w:r>
    </w:p>
    <w:p w14:paraId="7CE42B75" w14:textId="77777777" w:rsidR="00545DBE" w:rsidRPr="00655EB0" w:rsidRDefault="00B24F79" w:rsidP="00545DBE">
      <w:pPr>
        <w:pStyle w:val="EFSAReferences"/>
        <w:rPr>
          <w:lang w:val="en-US"/>
        </w:rPr>
      </w:pPr>
      <w:r>
        <w:rPr>
          <w:lang w:val="en-US"/>
        </w:rPr>
        <w:t>Wheeler MW and Bailer AJ, 2007</w:t>
      </w:r>
      <w:r w:rsidR="00545DBE" w:rsidRPr="00655EB0">
        <w:rPr>
          <w:lang w:val="en-US"/>
        </w:rPr>
        <w:t xml:space="preserve">. Properties of Model-Averaged BMDLs: A Study of Model Averaging in Dichotomous Response </w:t>
      </w:r>
      <w:r>
        <w:rPr>
          <w:lang w:val="en-US"/>
        </w:rPr>
        <w:t>Risk Estimation.</w:t>
      </w:r>
      <w:r w:rsidR="00A33969">
        <w:rPr>
          <w:lang w:val="en-US"/>
        </w:rPr>
        <w:t xml:space="preserve"> </w:t>
      </w:r>
      <w:r>
        <w:rPr>
          <w:lang w:val="en-US"/>
        </w:rPr>
        <w:t>Risk Analysis,</w:t>
      </w:r>
      <w:r w:rsidR="00545DBE" w:rsidRPr="00655EB0">
        <w:rPr>
          <w:lang w:val="en-US"/>
        </w:rPr>
        <w:t xml:space="preserve"> 27, 659 – 670.</w:t>
      </w:r>
    </w:p>
    <w:p w14:paraId="3962EFDA" w14:textId="77777777" w:rsidR="00545DBE" w:rsidRDefault="00B24F79" w:rsidP="00545DBE">
      <w:pPr>
        <w:pStyle w:val="EFSAReferences"/>
        <w:rPr>
          <w:lang w:val="en-US"/>
        </w:rPr>
      </w:pPr>
      <w:r>
        <w:rPr>
          <w:lang w:val="en-US"/>
        </w:rPr>
        <w:t>Wheeler MW and Bailer AJ, 2008</w:t>
      </w:r>
      <w:r w:rsidR="00545DBE" w:rsidRPr="00655EB0">
        <w:rPr>
          <w:lang w:val="en-US"/>
        </w:rPr>
        <w:t>. Model averaging software for dichotomous dose response risk estimation.</w:t>
      </w:r>
      <w:r w:rsidR="00A33969">
        <w:rPr>
          <w:lang w:val="en-US"/>
        </w:rPr>
        <w:t xml:space="preserve"> </w:t>
      </w:r>
      <w:r w:rsidR="00545DBE" w:rsidRPr="00655EB0">
        <w:rPr>
          <w:lang w:val="en-US"/>
        </w:rPr>
        <w:t>J</w:t>
      </w:r>
      <w:r>
        <w:rPr>
          <w:lang w:val="en-US"/>
        </w:rPr>
        <w:t xml:space="preserve">ournal of Statistical Software, </w:t>
      </w:r>
      <w:r w:rsidR="00545DBE" w:rsidRPr="00655EB0">
        <w:rPr>
          <w:lang w:val="en-US"/>
        </w:rPr>
        <w:t>26, 1 – 15.</w:t>
      </w:r>
    </w:p>
    <w:p w14:paraId="649CD44E" w14:textId="77777777" w:rsidR="00E5741D" w:rsidRPr="00655EB0" w:rsidRDefault="00E5741D" w:rsidP="00545DBE">
      <w:pPr>
        <w:pStyle w:val="EFSAReferences"/>
        <w:rPr>
          <w:lang w:val="en-US"/>
        </w:rPr>
      </w:pPr>
      <w:r>
        <w:rPr>
          <w:lang w:val="en-US"/>
        </w:rPr>
        <w:t xml:space="preserve">Wheeler MW and Bailer AJ, 2009. </w:t>
      </w:r>
      <w:r w:rsidRPr="00E5741D">
        <w:rPr>
          <w:lang w:val="en-US"/>
        </w:rPr>
        <w:t>Comparing model averaging with other model selection strategies for benchmark dose estimation</w:t>
      </w:r>
      <w:r>
        <w:rPr>
          <w:lang w:val="en-US"/>
        </w:rPr>
        <w:t xml:space="preserve">. </w:t>
      </w:r>
      <w:r w:rsidRPr="00E5741D">
        <w:rPr>
          <w:lang w:val="en-US"/>
        </w:rPr>
        <w:t>E</w:t>
      </w:r>
      <w:r>
        <w:rPr>
          <w:lang w:val="en-US"/>
        </w:rPr>
        <w:t>nvironmental a</w:t>
      </w:r>
      <w:r w:rsidRPr="00E5741D">
        <w:rPr>
          <w:lang w:val="en-US"/>
        </w:rPr>
        <w:t>nd Ecological Statistics</w:t>
      </w:r>
      <w:r>
        <w:rPr>
          <w:lang w:val="en-US"/>
        </w:rPr>
        <w:t>, 16, 37-51.</w:t>
      </w:r>
    </w:p>
    <w:p w14:paraId="204D86F3" w14:textId="680DCE86" w:rsidR="14DFF497" w:rsidRDefault="14DFF497" w:rsidP="1D801E2E">
      <w:pPr>
        <w:pStyle w:val="EFSAReferences"/>
        <w:rPr>
          <w:color w:val="000000" w:themeColor="text1"/>
          <w:lang w:val="en-US"/>
        </w:rPr>
      </w:pPr>
      <w:r w:rsidRPr="24AFCC2F">
        <w:rPr>
          <w:color w:val="000000" w:themeColor="text1"/>
          <w:lang w:val="en-US"/>
        </w:rPr>
        <w:t xml:space="preserve">Wheeler MW, </w:t>
      </w:r>
      <w:proofErr w:type="spellStart"/>
      <w:r w:rsidRPr="24AFCC2F">
        <w:rPr>
          <w:color w:val="000000" w:themeColor="text1"/>
          <w:lang w:val="en-US"/>
        </w:rPr>
        <w:t>Cortinas</w:t>
      </w:r>
      <w:proofErr w:type="spellEnd"/>
      <w:r w:rsidRPr="24AFCC2F">
        <w:rPr>
          <w:color w:val="000000" w:themeColor="text1"/>
          <w:lang w:val="en-US"/>
        </w:rPr>
        <w:t xml:space="preserve"> </w:t>
      </w:r>
      <w:proofErr w:type="spellStart"/>
      <w:r w:rsidR="00760878">
        <w:rPr>
          <w:color w:val="000000" w:themeColor="text1"/>
          <w:lang w:val="en-US"/>
        </w:rPr>
        <w:t>Abrahantes</w:t>
      </w:r>
      <w:proofErr w:type="spellEnd"/>
      <w:r w:rsidR="00760878">
        <w:rPr>
          <w:color w:val="000000" w:themeColor="text1"/>
          <w:lang w:val="en-US"/>
        </w:rPr>
        <w:t xml:space="preserve"> </w:t>
      </w:r>
      <w:r w:rsidRPr="24AFCC2F">
        <w:rPr>
          <w:color w:val="000000" w:themeColor="text1"/>
          <w:lang w:val="en-US"/>
        </w:rPr>
        <w:t xml:space="preserve">J, </w:t>
      </w:r>
      <w:proofErr w:type="spellStart"/>
      <w:r w:rsidRPr="24AFCC2F">
        <w:rPr>
          <w:color w:val="000000" w:themeColor="text1"/>
          <w:lang w:val="en-US"/>
        </w:rPr>
        <w:t>Aerts</w:t>
      </w:r>
      <w:proofErr w:type="spellEnd"/>
      <w:r w:rsidRPr="24AFCC2F">
        <w:rPr>
          <w:color w:val="000000" w:themeColor="text1"/>
          <w:lang w:val="en-US"/>
        </w:rPr>
        <w:t xml:space="preserve"> M, Gift JS, and </w:t>
      </w:r>
      <w:r w:rsidRPr="62548BED">
        <w:rPr>
          <w:color w:val="000000" w:themeColor="text1"/>
          <w:lang w:val="en-US"/>
        </w:rPr>
        <w:t>Davis JA, 2022. Continuous model averaging for bench</w:t>
      </w:r>
      <w:r w:rsidR="69CD995E" w:rsidRPr="62548BED">
        <w:rPr>
          <w:color w:val="000000" w:themeColor="text1"/>
          <w:lang w:val="en-US"/>
        </w:rPr>
        <w:t xml:space="preserve">mark dose analysis: averaging over distributional forms. </w:t>
      </w:r>
      <w:proofErr w:type="spellStart"/>
      <w:r w:rsidR="69CD995E" w:rsidRPr="62548BED">
        <w:rPr>
          <w:color w:val="000000" w:themeColor="text1"/>
          <w:lang w:val="en-US"/>
        </w:rPr>
        <w:t>Environmetrics</w:t>
      </w:r>
      <w:proofErr w:type="spellEnd"/>
      <w:r w:rsidR="69CD995E" w:rsidRPr="2B812813">
        <w:rPr>
          <w:color w:val="000000" w:themeColor="text1"/>
          <w:lang w:val="en-US"/>
        </w:rPr>
        <w:t>, under revision.</w:t>
      </w:r>
    </w:p>
    <w:p w14:paraId="6DE4FC19" w14:textId="77777777" w:rsidR="008B15F4" w:rsidRPr="008B15F4" w:rsidRDefault="00545DBE" w:rsidP="008B15F4">
      <w:pPr>
        <w:pStyle w:val="EFSAReferences"/>
        <w:rPr>
          <w:lang w:val="en-US"/>
        </w:rPr>
      </w:pPr>
      <w:r w:rsidRPr="00655EB0">
        <w:rPr>
          <w:lang w:val="en-US"/>
        </w:rPr>
        <w:t xml:space="preserve">WHO </w:t>
      </w:r>
      <w:r w:rsidR="00182F0D">
        <w:rPr>
          <w:lang w:val="en-US" w:eastAsia="en-GB"/>
        </w:rPr>
        <w:t>(World Health Organization)</w:t>
      </w:r>
      <w:r w:rsidR="00182F0D">
        <w:rPr>
          <w:lang w:val="en-US"/>
        </w:rPr>
        <w:t xml:space="preserve">, </w:t>
      </w:r>
      <w:proofErr w:type="gramStart"/>
      <w:r w:rsidR="00182F0D">
        <w:rPr>
          <w:lang w:val="en-US"/>
        </w:rPr>
        <w:t>1987.</w:t>
      </w:r>
      <w:proofErr w:type="gramEnd"/>
      <w:r w:rsidRPr="00655EB0">
        <w:rPr>
          <w:lang w:val="en-US"/>
        </w:rPr>
        <w:t xml:space="preserve"> Principles for the Safety Assessment of Food Additives and Contaminants in Food. E</w:t>
      </w:r>
      <w:r w:rsidR="00182F0D">
        <w:rPr>
          <w:lang w:val="en-US"/>
        </w:rPr>
        <w:t>nvironmental Health Criteria 70,</w:t>
      </w:r>
      <w:r w:rsidRPr="00655EB0">
        <w:rPr>
          <w:lang w:val="en-US"/>
        </w:rPr>
        <w:t xml:space="preserve"> WHO/IPCS</w:t>
      </w:r>
      <w:r w:rsidR="00182F0D">
        <w:rPr>
          <w:lang w:val="en-US"/>
        </w:rPr>
        <w:t>.</w:t>
      </w:r>
    </w:p>
    <w:p w14:paraId="65E2B47F" w14:textId="14A699C8" w:rsidR="007C689A" w:rsidRPr="00655EB0" w:rsidRDefault="007C689A" w:rsidP="00545DBE">
      <w:pPr>
        <w:pStyle w:val="EFSAReferences"/>
        <w:rPr>
          <w:lang w:val="en-US"/>
        </w:rPr>
      </w:pPr>
      <w:r>
        <w:rPr>
          <w:lang w:val="en-US"/>
        </w:rPr>
        <w:t>WHO (</w:t>
      </w:r>
      <w:r w:rsidRPr="007C689A">
        <w:rPr>
          <w:lang w:val="en-US"/>
        </w:rPr>
        <w:t>World Health Organization</w:t>
      </w:r>
      <w:r>
        <w:rPr>
          <w:lang w:val="en-US"/>
        </w:rPr>
        <w:t xml:space="preserve">), </w:t>
      </w:r>
      <w:proofErr w:type="gramStart"/>
      <w:r>
        <w:rPr>
          <w:lang w:val="en-US"/>
        </w:rPr>
        <w:t>2020.</w:t>
      </w:r>
      <w:proofErr w:type="gramEnd"/>
      <w:r w:rsidR="00F4282E">
        <w:rPr>
          <w:lang w:val="en-US"/>
        </w:rPr>
        <w:t xml:space="preserve"> </w:t>
      </w:r>
      <w:r w:rsidR="00F4282E" w:rsidRPr="00F4282E">
        <w:rPr>
          <w:lang w:val="en-US"/>
        </w:rPr>
        <w:t>Chapter 5: Dose-Response Assessment and Derivation of Health-Based Guidance Values</w:t>
      </w:r>
      <w:r w:rsidR="0099696E">
        <w:rPr>
          <w:lang w:val="en-US"/>
        </w:rPr>
        <w:t>, Second Edition</w:t>
      </w:r>
      <w:r w:rsidR="00F4282E">
        <w:rPr>
          <w:lang w:val="en-US"/>
        </w:rPr>
        <w:t xml:space="preserve">. </w:t>
      </w:r>
      <w:r w:rsidR="000C791A" w:rsidRPr="000C791A">
        <w:rPr>
          <w:lang w:val="en-US"/>
        </w:rPr>
        <w:t>Principles and methods for the risk assessment of chemicals in food</w:t>
      </w:r>
      <w:r w:rsidR="000C791A">
        <w:rPr>
          <w:lang w:val="en-US"/>
        </w:rPr>
        <w:t xml:space="preserve">. </w:t>
      </w:r>
      <w:r w:rsidR="000C791A" w:rsidRPr="000C791A">
        <w:rPr>
          <w:lang w:val="en-US"/>
        </w:rPr>
        <w:t>Environmental health criteria 240</w:t>
      </w:r>
      <w:r w:rsidR="000C791A">
        <w:rPr>
          <w:lang w:val="en-US"/>
        </w:rPr>
        <w:t>, WHO/IPCS.</w:t>
      </w:r>
    </w:p>
    <w:p w14:paraId="672E00FD" w14:textId="43D4EB40" w:rsidR="00545DBE" w:rsidRPr="00655EB0" w:rsidRDefault="00182F0D" w:rsidP="00545DBE">
      <w:pPr>
        <w:pStyle w:val="EFSAReferences"/>
        <w:rPr>
          <w:lang w:val="en-US"/>
        </w:rPr>
      </w:pPr>
      <w:r>
        <w:rPr>
          <w:lang w:val="en-US"/>
        </w:rPr>
        <w:t xml:space="preserve">Wills JW, Johnson GE, </w:t>
      </w:r>
      <w:proofErr w:type="spellStart"/>
      <w:r>
        <w:rPr>
          <w:lang w:val="en-US"/>
        </w:rPr>
        <w:t>Doak</w:t>
      </w:r>
      <w:proofErr w:type="spellEnd"/>
      <w:r>
        <w:rPr>
          <w:lang w:val="en-US"/>
        </w:rPr>
        <w:t xml:space="preserve"> SH, </w:t>
      </w:r>
      <w:proofErr w:type="spellStart"/>
      <w:r>
        <w:rPr>
          <w:lang w:val="en-US"/>
        </w:rPr>
        <w:t>Soeteman</w:t>
      </w:r>
      <w:proofErr w:type="spellEnd"/>
      <w:r>
        <w:rPr>
          <w:lang w:val="en-US"/>
        </w:rPr>
        <w:t>-Hernández LG, Slob W</w:t>
      </w:r>
      <w:r w:rsidR="00EB10AD">
        <w:rPr>
          <w:lang w:val="en-US"/>
        </w:rPr>
        <w:t xml:space="preserve"> and </w:t>
      </w:r>
      <w:r>
        <w:rPr>
          <w:lang w:val="en-US"/>
        </w:rPr>
        <w:t>White PA, 2015</w:t>
      </w:r>
      <w:r w:rsidR="00545DBE" w:rsidRPr="00655EB0">
        <w:rPr>
          <w:lang w:val="en-US"/>
        </w:rPr>
        <w:t>. Empirical Analysis of BMD Metrics in Genetic Toxicology Part I: In Vitro Analyses to Provide Robust Potenc</w:t>
      </w:r>
      <w:r>
        <w:rPr>
          <w:lang w:val="en-US"/>
        </w:rPr>
        <w:t xml:space="preserve">y Rankings. Mutagenesis, </w:t>
      </w:r>
      <w:r w:rsidR="00F65DAA">
        <w:rPr>
          <w:lang w:val="en-US"/>
        </w:rPr>
        <w:t>31, 255-263</w:t>
      </w:r>
      <w:r>
        <w:rPr>
          <w:lang w:val="en-US"/>
        </w:rPr>
        <w:t>.</w:t>
      </w:r>
    </w:p>
    <w:p w14:paraId="49206A88" w14:textId="1204A81E" w:rsidR="00545DBE" w:rsidRPr="00655EB0" w:rsidRDefault="00BD495B" w:rsidP="00545DBE">
      <w:pPr>
        <w:pStyle w:val="EFSAReferences"/>
        <w:rPr>
          <w:lang w:val="en-US"/>
        </w:rPr>
        <w:sectPr w:rsidR="00545DBE" w:rsidRPr="00655EB0" w:rsidSect="00E07A63">
          <w:headerReference w:type="default" r:id="rId32"/>
          <w:footerReference w:type="default" r:id="rId33"/>
          <w:pgSz w:w="11906" w:h="16838" w:code="9"/>
          <w:pgMar w:top="1418" w:right="1418" w:bottom="1418" w:left="1418" w:header="601" w:footer="462" w:gutter="0"/>
          <w:lnNumType w:countBy="1" w:restart="continuous"/>
          <w:cols w:space="720"/>
          <w:titlePg/>
          <w:docGrid w:linePitch="326"/>
        </w:sectPr>
      </w:pPr>
      <w:proofErr w:type="spellStart"/>
      <w:r w:rsidRPr="00BD495B">
        <w:rPr>
          <w:lang w:val="en-US"/>
        </w:rPr>
        <w:t>Zeilmaker</w:t>
      </w:r>
      <w:proofErr w:type="spellEnd"/>
      <w:r w:rsidRPr="00BD495B">
        <w:rPr>
          <w:lang w:val="en-US"/>
        </w:rPr>
        <w:t xml:space="preserve"> M, </w:t>
      </w:r>
      <w:proofErr w:type="spellStart"/>
      <w:r w:rsidRPr="00BD495B">
        <w:rPr>
          <w:lang w:val="en-US"/>
        </w:rPr>
        <w:t>Fragki</w:t>
      </w:r>
      <w:proofErr w:type="spellEnd"/>
      <w:r w:rsidRPr="00BD495B">
        <w:rPr>
          <w:lang w:val="en-US"/>
        </w:rPr>
        <w:t xml:space="preserve"> S, </w:t>
      </w:r>
      <w:proofErr w:type="spellStart"/>
      <w:r w:rsidRPr="00BD495B">
        <w:rPr>
          <w:lang w:val="en-US"/>
        </w:rPr>
        <w:t>Verbruggen</w:t>
      </w:r>
      <w:proofErr w:type="spellEnd"/>
      <w:r w:rsidRPr="00BD495B">
        <w:rPr>
          <w:lang w:val="en-US"/>
        </w:rPr>
        <w:t xml:space="preserve"> E, </w:t>
      </w:r>
      <w:proofErr w:type="spellStart"/>
      <w:r w:rsidRPr="00BD495B">
        <w:rPr>
          <w:lang w:val="en-US"/>
        </w:rPr>
        <w:t>Bokkers</w:t>
      </w:r>
      <w:proofErr w:type="spellEnd"/>
      <w:r w:rsidRPr="00BD495B">
        <w:rPr>
          <w:lang w:val="en-US"/>
        </w:rPr>
        <w:t xml:space="preserve"> B and </w:t>
      </w:r>
      <w:proofErr w:type="spellStart"/>
      <w:r w:rsidRPr="00BD495B">
        <w:rPr>
          <w:lang w:val="en-US"/>
        </w:rPr>
        <w:t>Lijzen</w:t>
      </w:r>
      <w:proofErr w:type="spellEnd"/>
      <w:r w:rsidRPr="00BD495B">
        <w:rPr>
          <w:lang w:val="en-US"/>
        </w:rPr>
        <w:t xml:space="preserve"> J, 2018. Mixture exposure to PFAS: A Relative Potency Factor approach. RIVM Report 2018-0070</w:t>
      </w:r>
      <w:r w:rsidR="006B7A2A">
        <w:rPr>
          <w:lang w:val="en-US"/>
        </w:rPr>
        <w:t xml:space="preserve">. </w:t>
      </w:r>
      <w:r w:rsidR="006B7A2A" w:rsidRPr="006B7A2A">
        <w:rPr>
          <w:lang w:val="en-US"/>
        </w:rPr>
        <w:t>National Institute for Public Health</w:t>
      </w:r>
      <w:r w:rsidR="006B7A2A">
        <w:rPr>
          <w:lang w:val="en-US"/>
        </w:rPr>
        <w:t xml:space="preserve"> </w:t>
      </w:r>
      <w:r w:rsidR="006B7A2A" w:rsidRPr="006B7A2A">
        <w:rPr>
          <w:lang w:val="en-US"/>
        </w:rPr>
        <w:t>and the Environment</w:t>
      </w:r>
      <w:r w:rsidR="006B7A2A">
        <w:rPr>
          <w:lang w:val="en-US"/>
        </w:rPr>
        <w:t xml:space="preserve">, </w:t>
      </w:r>
      <w:r w:rsidR="006B7A2A" w:rsidRPr="006B7A2A">
        <w:rPr>
          <w:lang w:val="en-US"/>
        </w:rPr>
        <w:t>The Netherlands</w:t>
      </w:r>
      <w:r w:rsidRPr="00BD495B">
        <w:rPr>
          <w:lang w:val="en-US"/>
        </w:rPr>
        <w:t>.</w:t>
      </w:r>
    </w:p>
    <w:p w14:paraId="09D94A9D" w14:textId="77777777" w:rsidR="00214C6C" w:rsidRPr="00D10A7B" w:rsidRDefault="00214C6C" w:rsidP="00214C6C">
      <w:pPr>
        <w:pStyle w:val="EFSAHeading1nonumber"/>
        <w:pageBreakBefore/>
      </w:pPr>
      <w:bookmarkStart w:id="80" w:name="_Toc399503966"/>
      <w:bookmarkStart w:id="81" w:name="_Toc399850653"/>
      <w:bookmarkStart w:id="82" w:name="_Toc405560714"/>
      <w:bookmarkStart w:id="83" w:name="_Toc94255350"/>
      <w:bookmarkEnd w:id="79"/>
      <w:r w:rsidRPr="00D10A7B">
        <w:t>Abbreviations</w:t>
      </w:r>
      <w:bookmarkEnd w:id="80"/>
      <w:bookmarkEnd w:id="81"/>
      <w:bookmarkEnd w:id="82"/>
      <w:bookmarkEnd w:id="83"/>
    </w:p>
    <w:p w14:paraId="67B7A70C" w14:textId="77777777" w:rsidR="00214C6C" w:rsidRPr="00D10A7B" w:rsidRDefault="00214C6C" w:rsidP="00214C6C">
      <w:pPr>
        <w:pStyle w:val="EFSABodytext"/>
      </w:pPr>
    </w:p>
    <w:tbl>
      <w:tblPr>
        <w:tblW w:w="5000" w:type="pct"/>
        <w:tblLook w:val="04A0" w:firstRow="1" w:lastRow="0" w:firstColumn="1" w:lastColumn="0" w:noHBand="0" w:noVBand="1"/>
      </w:tblPr>
      <w:tblGrid>
        <w:gridCol w:w="941"/>
        <w:gridCol w:w="8129"/>
      </w:tblGrid>
      <w:tr w:rsidR="00214C6C" w:rsidRPr="00D10A7B" w14:paraId="2A35FDB6" w14:textId="77777777" w:rsidTr="00D72DE6">
        <w:tc>
          <w:tcPr>
            <w:tcW w:w="519" w:type="pct"/>
          </w:tcPr>
          <w:p w14:paraId="78C459CB" w14:textId="77777777" w:rsidR="00214C6C" w:rsidRPr="00D10A7B" w:rsidRDefault="00545DBE" w:rsidP="00D72DE6">
            <w:pPr>
              <w:pStyle w:val="EFSABodytext"/>
            </w:pPr>
            <w:r w:rsidRPr="00D10A7B">
              <w:t>ADI</w:t>
            </w:r>
          </w:p>
        </w:tc>
        <w:tc>
          <w:tcPr>
            <w:tcW w:w="4481" w:type="pct"/>
          </w:tcPr>
          <w:p w14:paraId="42B84E28" w14:textId="77777777" w:rsidR="00214C6C" w:rsidRPr="00D10A7B" w:rsidRDefault="00545DBE" w:rsidP="00D72DE6">
            <w:pPr>
              <w:pStyle w:val="EFSABodytext"/>
            </w:pPr>
            <w:r w:rsidRPr="00D10A7B">
              <w:t>Acceptable Daily Intake</w:t>
            </w:r>
          </w:p>
        </w:tc>
      </w:tr>
      <w:tr w:rsidR="00214C6C" w:rsidRPr="001759A7" w14:paraId="28E48649" w14:textId="77777777" w:rsidTr="00D72DE6">
        <w:tc>
          <w:tcPr>
            <w:tcW w:w="519" w:type="pct"/>
          </w:tcPr>
          <w:p w14:paraId="57E782D9" w14:textId="77777777" w:rsidR="00214C6C" w:rsidRPr="00D10A7B" w:rsidRDefault="00545DBE" w:rsidP="00D72DE6">
            <w:pPr>
              <w:pStyle w:val="EFSABodytext"/>
            </w:pPr>
            <w:r w:rsidRPr="00D10A7B">
              <w:t>AIC</w:t>
            </w:r>
          </w:p>
        </w:tc>
        <w:tc>
          <w:tcPr>
            <w:tcW w:w="4481" w:type="pct"/>
          </w:tcPr>
          <w:p w14:paraId="56B4515A" w14:textId="77777777" w:rsidR="00214C6C" w:rsidRPr="00D10A7B" w:rsidRDefault="00545DBE" w:rsidP="00D72DE6">
            <w:pPr>
              <w:pStyle w:val="EFSABodytext"/>
            </w:pPr>
            <w:r w:rsidRPr="00D10A7B">
              <w:t>Akaike Information Criterion</w:t>
            </w:r>
          </w:p>
        </w:tc>
      </w:tr>
      <w:tr w:rsidR="00214C6C" w:rsidRPr="001759A7" w14:paraId="3A9EE253" w14:textId="77777777" w:rsidTr="00D72DE6">
        <w:tc>
          <w:tcPr>
            <w:tcW w:w="519" w:type="pct"/>
          </w:tcPr>
          <w:p w14:paraId="3B79DD31" w14:textId="77777777" w:rsidR="00214C6C" w:rsidRPr="001759A7" w:rsidRDefault="00D10A7B" w:rsidP="00D72DE6">
            <w:pPr>
              <w:pStyle w:val="EFSABodytext"/>
              <w:rPr>
                <w:highlight w:val="yellow"/>
              </w:rPr>
            </w:pPr>
            <w:r>
              <w:t>BMD</w:t>
            </w:r>
          </w:p>
        </w:tc>
        <w:tc>
          <w:tcPr>
            <w:tcW w:w="4481" w:type="pct"/>
          </w:tcPr>
          <w:p w14:paraId="1A7CBDED" w14:textId="77777777" w:rsidR="00214C6C" w:rsidRPr="001759A7" w:rsidRDefault="00D10A7B" w:rsidP="00D72DE6">
            <w:pPr>
              <w:pStyle w:val="EFSABodytext"/>
            </w:pPr>
            <w:r>
              <w:t>Benchmark Dose</w:t>
            </w:r>
            <w:r w:rsidR="00214C6C">
              <w:t xml:space="preserve"> </w:t>
            </w:r>
          </w:p>
        </w:tc>
      </w:tr>
      <w:tr w:rsidR="00214C6C" w:rsidRPr="001759A7" w14:paraId="678C9768" w14:textId="77777777" w:rsidTr="00D72DE6">
        <w:tc>
          <w:tcPr>
            <w:tcW w:w="519" w:type="pct"/>
          </w:tcPr>
          <w:p w14:paraId="7A225261" w14:textId="77777777" w:rsidR="00214C6C" w:rsidRPr="001759A7" w:rsidRDefault="00D10A7B" w:rsidP="00D72DE6">
            <w:pPr>
              <w:pStyle w:val="EFSABodytext"/>
            </w:pPr>
            <w:r>
              <w:t>BMDL</w:t>
            </w:r>
          </w:p>
        </w:tc>
        <w:tc>
          <w:tcPr>
            <w:tcW w:w="4481" w:type="pct"/>
          </w:tcPr>
          <w:p w14:paraId="305EEEF1" w14:textId="77777777" w:rsidR="00214C6C" w:rsidRPr="001759A7" w:rsidRDefault="00D10A7B" w:rsidP="00D72DE6">
            <w:pPr>
              <w:pStyle w:val="EFSABodytext"/>
            </w:pPr>
            <w:r>
              <w:t>L</w:t>
            </w:r>
            <w:r w:rsidRPr="00D644E9">
              <w:t>ower confidence limit of the benchmark dose</w:t>
            </w:r>
            <w:r>
              <w:t xml:space="preserve"> (</w:t>
            </w:r>
            <w:r w:rsidRPr="000E3031">
              <w:t>equivalent term</w:t>
            </w:r>
            <w:r>
              <w:t>: CEDL)</w:t>
            </w:r>
          </w:p>
        </w:tc>
      </w:tr>
      <w:tr w:rsidR="00214C6C" w:rsidRPr="001759A7" w14:paraId="1CB1A7EA" w14:textId="77777777" w:rsidTr="00D72DE6">
        <w:tc>
          <w:tcPr>
            <w:tcW w:w="519" w:type="pct"/>
          </w:tcPr>
          <w:p w14:paraId="325982F7" w14:textId="77777777" w:rsidR="00214C6C" w:rsidRPr="001759A7" w:rsidRDefault="00D10A7B" w:rsidP="00D72DE6">
            <w:pPr>
              <w:pStyle w:val="EFSABodytext"/>
            </w:pPr>
            <w:r>
              <w:t>BMDU</w:t>
            </w:r>
          </w:p>
        </w:tc>
        <w:tc>
          <w:tcPr>
            <w:tcW w:w="4481" w:type="pct"/>
          </w:tcPr>
          <w:p w14:paraId="0E0762FF" w14:textId="77777777" w:rsidR="00214C6C" w:rsidRPr="001759A7" w:rsidRDefault="00D10A7B" w:rsidP="00D72DE6">
            <w:pPr>
              <w:pStyle w:val="EFSABodytext"/>
            </w:pPr>
            <w:r>
              <w:t>Upper</w:t>
            </w:r>
            <w:r w:rsidRPr="00D644E9">
              <w:t xml:space="preserve"> confidence limit of the benchmark dose</w:t>
            </w:r>
            <w:r>
              <w:t xml:space="preserve"> </w:t>
            </w:r>
            <w:r w:rsidRPr="000E3031">
              <w:t>(equivalent term:</w:t>
            </w:r>
            <w:r>
              <w:t xml:space="preserve"> CEDU)</w:t>
            </w:r>
          </w:p>
        </w:tc>
      </w:tr>
      <w:tr w:rsidR="00214C6C" w:rsidRPr="001759A7" w14:paraId="6EAF8301" w14:textId="77777777" w:rsidTr="00D72DE6">
        <w:tc>
          <w:tcPr>
            <w:tcW w:w="519" w:type="pct"/>
          </w:tcPr>
          <w:p w14:paraId="306902C1" w14:textId="77777777" w:rsidR="00214C6C" w:rsidRPr="001759A7" w:rsidRDefault="00D10A7B" w:rsidP="00D72DE6">
            <w:pPr>
              <w:pStyle w:val="EFSABodytext"/>
            </w:pPr>
            <w:r>
              <w:t>BMR</w:t>
            </w:r>
          </w:p>
        </w:tc>
        <w:tc>
          <w:tcPr>
            <w:tcW w:w="4481" w:type="pct"/>
          </w:tcPr>
          <w:p w14:paraId="02B00D4D" w14:textId="77777777" w:rsidR="00214C6C" w:rsidRPr="001759A7" w:rsidRDefault="00D10A7B" w:rsidP="00D72DE6">
            <w:pPr>
              <w:pStyle w:val="EFSABodytext"/>
            </w:pPr>
            <w:r>
              <w:t>Benchmark R</w:t>
            </w:r>
            <w:r w:rsidRPr="00D644E9">
              <w:t>esponse</w:t>
            </w:r>
          </w:p>
        </w:tc>
      </w:tr>
      <w:tr w:rsidR="00214C6C" w:rsidRPr="001759A7" w14:paraId="7A99247D" w14:textId="77777777" w:rsidTr="00D72DE6">
        <w:tc>
          <w:tcPr>
            <w:tcW w:w="519" w:type="pct"/>
          </w:tcPr>
          <w:p w14:paraId="5AED0153" w14:textId="77777777" w:rsidR="00214C6C" w:rsidRPr="001759A7" w:rsidRDefault="00D10A7B" w:rsidP="00D72DE6">
            <w:pPr>
              <w:pStyle w:val="EFSABodytext"/>
            </w:pPr>
            <w:r>
              <w:t>CEDL</w:t>
            </w:r>
          </w:p>
        </w:tc>
        <w:tc>
          <w:tcPr>
            <w:tcW w:w="4481" w:type="pct"/>
          </w:tcPr>
          <w:p w14:paraId="428CA042" w14:textId="77777777" w:rsidR="00214C6C" w:rsidRPr="001759A7" w:rsidRDefault="00D10A7B" w:rsidP="00D72DE6">
            <w:pPr>
              <w:pStyle w:val="EFSABodytext"/>
            </w:pPr>
            <w:r>
              <w:t>See BMDL</w:t>
            </w:r>
          </w:p>
        </w:tc>
      </w:tr>
      <w:tr w:rsidR="00214C6C" w:rsidRPr="001759A7" w14:paraId="3A1914BC" w14:textId="77777777" w:rsidTr="00D72DE6">
        <w:tc>
          <w:tcPr>
            <w:tcW w:w="519" w:type="pct"/>
          </w:tcPr>
          <w:p w14:paraId="0CBF6BB8" w14:textId="77777777" w:rsidR="00214C6C" w:rsidRPr="001759A7" w:rsidRDefault="00D10A7B" w:rsidP="00D72DE6">
            <w:pPr>
              <w:pStyle w:val="EFSABodytext"/>
            </w:pPr>
            <w:r>
              <w:t>CEDU</w:t>
            </w:r>
          </w:p>
        </w:tc>
        <w:tc>
          <w:tcPr>
            <w:tcW w:w="4481" w:type="pct"/>
          </w:tcPr>
          <w:p w14:paraId="097A564A" w14:textId="77777777" w:rsidR="00214C6C" w:rsidRPr="001759A7" w:rsidRDefault="00D10A7B" w:rsidP="00D72DE6">
            <w:pPr>
              <w:pStyle w:val="EFSABodytext"/>
            </w:pPr>
            <w:r>
              <w:t>See BMDU</w:t>
            </w:r>
          </w:p>
        </w:tc>
      </w:tr>
      <w:tr w:rsidR="009F0694" w:rsidRPr="001759A7" w14:paraId="3325D76E" w14:textId="77777777" w:rsidTr="00D72DE6">
        <w:tc>
          <w:tcPr>
            <w:tcW w:w="519" w:type="pct"/>
          </w:tcPr>
          <w:p w14:paraId="4CE3193B" w14:textId="77777777" w:rsidR="009F0694" w:rsidRPr="00D644E9" w:rsidRDefault="009F0694" w:rsidP="00D72DE6">
            <w:pPr>
              <w:pStyle w:val="EFSABodytext"/>
            </w:pPr>
            <w:r>
              <w:t>FAO</w:t>
            </w:r>
          </w:p>
        </w:tc>
        <w:tc>
          <w:tcPr>
            <w:tcW w:w="4481" w:type="pct"/>
          </w:tcPr>
          <w:p w14:paraId="045708B4" w14:textId="77777777" w:rsidR="009F0694" w:rsidRDefault="009F0694" w:rsidP="00D72DE6">
            <w:pPr>
              <w:pStyle w:val="EFSABodytext"/>
            </w:pPr>
            <w:r>
              <w:t>Food and Agriculture Organization of the United Nations</w:t>
            </w:r>
          </w:p>
        </w:tc>
      </w:tr>
      <w:tr w:rsidR="00152626" w:rsidRPr="001759A7" w14:paraId="37A5AED5" w14:textId="77777777" w:rsidTr="00D72DE6">
        <w:tc>
          <w:tcPr>
            <w:tcW w:w="519" w:type="pct"/>
          </w:tcPr>
          <w:p w14:paraId="07749097" w14:textId="77777777" w:rsidR="00152626" w:rsidRPr="00D644E9" w:rsidRDefault="00152626" w:rsidP="00D72DE6">
            <w:pPr>
              <w:pStyle w:val="EFSABodytext"/>
            </w:pPr>
            <w:r>
              <w:t>GUI</w:t>
            </w:r>
          </w:p>
        </w:tc>
        <w:tc>
          <w:tcPr>
            <w:tcW w:w="4481" w:type="pct"/>
          </w:tcPr>
          <w:p w14:paraId="7CF432E6" w14:textId="77777777" w:rsidR="00152626" w:rsidRDefault="00152626" w:rsidP="00D72DE6">
            <w:pPr>
              <w:pStyle w:val="EFSABodytext"/>
            </w:pPr>
            <w:r>
              <w:t>Graphical User Interface</w:t>
            </w:r>
          </w:p>
        </w:tc>
      </w:tr>
      <w:tr w:rsidR="00214C6C" w:rsidRPr="001759A7" w14:paraId="4B9FA4C9" w14:textId="77777777" w:rsidTr="00D72DE6">
        <w:tc>
          <w:tcPr>
            <w:tcW w:w="519" w:type="pct"/>
          </w:tcPr>
          <w:p w14:paraId="4A4C5382" w14:textId="77777777" w:rsidR="00214C6C" w:rsidRPr="001759A7" w:rsidRDefault="00D10A7B" w:rsidP="00D72DE6">
            <w:pPr>
              <w:pStyle w:val="EFSABodytext"/>
            </w:pPr>
            <w:r w:rsidRPr="00D644E9">
              <w:t>HBGV</w:t>
            </w:r>
          </w:p>
        </w:tc>
        <w:tc>
          <w:tcPr>
            <w:tcW w:w="4481" w:type="pct"/>
          </w:tcPr>
          <w:p w14:paraId="6E9235DE" w14:textId="77777777" w:rsidR="00214C6C" w:rsidRPr="001759A7" w:rsidRDefault="00D10A7B" w:rsidP="00D72DE6">
            <w:pPr>
              <w:pStyle w:val="EFSABodytext"/>
            </w:pPr>
            <w:r>
              <w:t>Health-Based Guidance V</w:t>
            </w:r>
            <w:r w:rsidRPr="00D644E9">
              <w:t>alue</w:t>
            </w:r>
          </w:p>
        </w:tc>
      </w:tr>
      <w:tr w:rsidR="00D56C8F" w:rsidRPr="001759A7" w14:paraId="305B7C88" w14:textId="77777777" w:rsidTr="00D72DE6">
        <w:tc>
          <w:tcPr>
            <w:tcW w:w="519" w:type="pct"/>
          </w:tcPr>
          <w:p w14:paraId="532AAA5F" w14:textId="77777777" w:rsidR="00D56C8F" w:rsidRDefault="00D56C8F" w:rsidP="00D72DE6">
            <w:pPr>
              <w:pStyle w:val="EFSABodytext"/>
            </w:pPr>
            <w:r>
              <w:t>IPCS</w:t>
            </w:r>
          </w:p>
        </w:tc>
        <w:tc>
          <w:tcPr>
            <w:tcW w:w="4481" w:type="pct"/>
          </w:tcPr>
          <w:p w14:paraId="105F91EE" w14:textId="77777777" w:rsidR="00D56C8F" w:rsidRDefault="00D56C8F" w:rsidP="00D72DE6">
            <w:pPr>
              <w:pStyle w:val="EFSABodytext"/>
            </w:pPr>
            <w:r>
              <w:t>WHO International Programme on Chemical Safety</w:t>
            </w:r>
          </w:p>
        </w:tc>
      </w:tr>
      <w:tr w:rsidR="00D56C8F" w:rsidRPr="001759A7" w14:paraId="5E4BEFD4" w14:textId="77777777" w:rsidTr="00D72DE6">
        <w:tc>
          <w:tcPr>
            <w:tcW w:w="519" w:type="pct"/>
          </w:tcPr>
          <w:p w14:paraId="723D5174" w14:textId="77777777" w:rsidR="00D56C8F" w:rsidRDefault="00D56C8F" w:rsidP="00D72DE6">
            <w:pPr>
              <w:pStyle w:val="EFSABodytext"/>
            </w:pPr>
            <w:r>
              <w:t>JECFA</w:t>
            </w:r>
          </w:p>
        </w:tc>
        <w:tc>
          <w:tcPr>
            <w:tcW w:w="4481" w:type="pct"/>
          </w:tcPr>
          <w:p w14:paraId="32ABAE8D" w14:textId="77777777" w:rsidR="00D56C8F" w:rsidRDefault="00D56C8F" w:rsidP="00D72DE6">
            <w:pPr>
              <w:pStyle w:val="EFSABodytext"/>
            </w:pPr>
            <w:r>
              <w:t>Joint FAO/WHO Expert Committee on Food Additives</w:t>
            </w:r>
          </w:p>
        </w:tc>
      </w:tr>
      <w:tr w:rsidR="00214C6C" w:rsidRPr="001759A7" w14:paraId="76B8C232" w14:textId="77777777" w:rsidTr="00D72DE6">
        <w:tc>
          <w:tcPr>
            <w:tcW w:w="519" w:type="pct"/>
          </w:tcPr>
          <w:p w14:paraId="60A058D5" w14:textId="77777777" w:rsidR="00214C6C" w:rsidRPr="001759A7" w:rsidRDefault="00D10A7B" w:rsidP="00D72DE6">
            <w:pPr>
              <w:pStyle w:val="EFSABodytext"/>
            </w:pPr>
            <w:r>
              <w:t>JMPR</w:t>
            </w:r>
          </w:p>
        </w:tc>
        <w:tc>
          <w:tcPr>
            <w:tcW w:w="4481" w:type="pct"/>
          </w:tcPr>
          <w:p w14:paraId="252E6248" w14:textId="77777777" w:rsidR="00214C6C" w:rsidRPr="001759A7" w:rsidRDefault="00D10A7B" w:rsidP="00D72DE6">
            <w:pPr>
              <w:pStyle w:val="EFSABodytext"/>
            </w:pPr>
            <w:r>
              <w:t xml:space="preserve">Joint </w:t>
            </w:r>
            <w:r w:rsidRPr="009F0694">
              <w:t>FAO/WHO</w:t>
            </w:r>
            <w:r>
              <w:t xml:space="preserve"> Meeting on Pesticide Residues</w:t>
            </w:r>
          </w:p>
        </w:tc>
      </w:tr>
      <w:tr w:rsidR="00214C6C" w:rsidRPr="001759A7" w14:paraId="4BE09821" w14:textId="77777777" w:rsidTr="00D72DE6">
        <w:tc>
          <w:tcPr>
            <w:tcW w:w="519" w:type="pct"/>
          </w:tcPr>
          <w:p w14:paraId="71BE6FB7" w14:textId="77777777" w:rsidR="00214C6C" w:rsidRPr="001759A7" w:rsidRDefault="00D10A7B" w:rsidP="00D72DE6">
            <w:pPr>
              <w:pStyle w:val="EFSABodytext"/>
            </w:pPr>
            <w:r w:rsidRPr="00D644E9">
              <w:t>LO</w:t>
            </w:r>
            <w:r>
              <w:t>A</w:t>
            </w:r>
            <w:r w:rsidRPr="00D644E9">
              <w:t>EL</w:t>
            </w:r>
          </w:p>
        </w:tc>
        <w:tc>
          <w:tcPr>
            <w:tcW w:w="4481" w:type="pct"/>
          </w:tcPr>
          <w:p w14:paraId="6759030B" w14:textId="77777777" w:rsidR="00214C6C" w:rsidRPr="001759A7" w:rsidRDefault="00D10A7B" w:rsidP="00D72DE6">
            <w:pPr>
              <w:pStyle w:val="EFSABodytext"/>
            </w:pPr>
            <w:r>
              <w:t>Lowest-O</w:t>
            </w:r>
            <w:r w:rsidRPr="00D644E9">
              <w:t>bserved-</w:t>
            </w:r>
            <w:r>
              <w:t>Adverse-Effect-L</w:t>
            </w:r>
            <w:r w:rsidRPr="00D644E9">
              <w:t>evel</w:t>
            </w:r>
          </w:p>
        </w:tc>
      </w:tr>
      <w:tr w:rsidR="00214C6C" w:rsidRPr="001759A7" w14:paraId="65EF3463" w14:textId="77777777" w:rsidTr="00D72DE6">
        <w:tc>
          <w:tcPr>
            <w:tcW w:w="519" w:type="pct"/>
          </w:tcPr>
          <w:p w14:paraId="46F61377" w14:textId="77777777" w:rsidR="00214C6C" w:rsidRPr="001759A7" w:rsidRDefault="00D10A7B" w:rsidP="00D72DE6">
            <w:pPr>
              <w:pStyle w:val="EFSABodytext"/>
            </w:pPr>
            <w:r>
              <w:t>MOE</w:t>
            </w:r>
          </w:p>
        </w:tc>
        <w:tc>
          <w:tcPr>
            <w:tcW w:w="4481" w:type="pct"/>
          </w:tcPr>
          <w:p w14:paraId="4434FAD9" w14:textId="77777777" w:rsidR="00214C6C" w:rsidRPr="001759A7" w:rsidRDefault="00D10A7B" w:rsidP="00D72DE6">
            <w:pPr>
              <w:pStyle w:val="EFSABodytext"/>
            </w:pPr>
            <w:r>
              <w:t xml:space="preserve">Margin </w:t>
            </w:r>
            <w:proofErr w:type="gramStart"/>
            <w:r>
              <w:t>Of</w:t>
            </w:r>
            <w:proofErr w:type="gramEnd"/>
            <w:r>
              <w:t xml:space="preserve"> E</w:t>
            </w:r>
            <w:r w:rsidRPr="00D644E9">
              <w:t>xposure</w:t>
            </w:r>
          </w:p>
        </w:tc>
      </w:tr>
      <w:tr w:rsidR="00214C6C" w:rsidRPr="001759A7" w14:paraId="0B472D03" w14:textId="77777777" w:rsidTr="00D72DE6">
        <w:tc>
          <w:tcPr>
            <w:tcW w:w="519" w:type="pct"/>
          </w:tcPr>
          <w:p w14:paraId="2EFA892F" w14:textId="77777777" w:rsidR="00214C6C" w:rsidRPr="001759A7" w:rsidRDefault="00D10A7B" w:rsidP="00D72DE6">
            <w:pPr>
              <w:pStyle w:val="EFSABodytext"/>
            </w:pPr>
            <w:r w:rsidRPr="00D644E9">
              <w:t>NOAEL</w:t>
            </w:r>
          </w:p>
        </w:tc>
        <w:tc>
          <w:tcPr>
            <w:tcW w:w="4481" w:type="pct"/>
          </w:tcPr>
          <w:p w14:paraId="41D9FA1F" w14:textId="77777777" w:rsidR="00214C6C" w:rsidRPr="001759A7" w:rsidRDefault="00D10A7B" w:rsidP="00D72DE6">
            <w:pPr>
              <w:pStyle w:val="EFSABodytext"/>
            </w:pPr>
            <w:r>
              <w:t>No-Observed-Adverse-Effect L</w:t>
            </w:r>
            <w:r w:rsidRPr="00D644E9">
              <w:t>evel</w:t>
            </w:r>
          </w:p>
        </w:tc>
      </w:tr>
      <w:tr w:rsidR="00D56C8F" w:rsidRPr="001759A7" w14:paraId="0FC28870" w14:textId="77777777" w:rsidTr="00D72DE6">
        <w:tc>
          <w:tcPr>
            <w:tcW w:w="519" w:type="pct"/>
          </w:tcPr>
          <w:p w14:paraId="3768F615" w14:textId="77777777" w:rsidR="00D56C8F" w:rsidRDefault="00D56C8F" w:rsidP="00D72DE6">
            <w:pPr>
              <w:pStyle w:val="EFSABodytext"/>
            </w:pPr>
            <w:r>
              <w:t>OECD</w:t>
            </w:r>
          </w:p>
        </w:tc>
        <w:tc>
          <w:tcPr>
            <w:tcW w:w="4481" w:type="pct"/>
          </w:tcPr>
          <w:p w14:paraId="7E1FD1D5" w14:textId="77777777" w:rsidR="00D56C8F" w:rsidRPr="000E3031" w:rsidRDefault="00D56C8F" w:rsidP="00D72DE6">
            <w:pPr>
              <w:pStyle w:val="EFSABodytext"/>
            </w:pPr>
            <w:r>
              <w:t>Organisation for Economic Co-operation and Development</w:t>
            </w:r>
          </w:p>
        </w:tc>
      </w:tr>
      <w:tr w:rsidR="00A92211" w:rsidRPr="001759A7" w14:paraId="5FBA738F" w14:textId="77777777" w:rsidTr="00D72DE6">
        <w:tc>
          <w:tcPr>
            <w:tcW w:w="519" w:type="pct"/>
          </w:tcPr>
          <w:p w14:paraId="197BD8FE" w14:textId="77777777" w:rsidR="00A92211" w:rsidRDefault="00A92211" w:rsidP="00D72DE6">
            <w:pPr>
              <w:pStyle w:val="EFSABodytext"/>
            </w:pPr>
            <w:proofErr w:type="spellStart"/>
            <w:r>
              <w:t>PoD</w:t>
            </w:r>
            <w:proofErr w:type="spellEnd"/>
          </w:p>
        </w:tc>
        <w:tc>
          <w:tcPr>
            <w:tcW w:w="4481" w:type="pct"/>
          </w:tcPr>
          <w:p w14:paraId="0DC7622F" w14:textId="77777777" w:rsidR="00A92211" w:rsidRPr="000E3031" w:rsidRDefault="00A92211" w:rsidP="00D72DE6">
            <w:pPr>
              <w:pStyle w:val="EFSABodytext"/>
            </w:pPr>
            <w:r>
              <w:t>Point of Departure</w:t>
            </w:r>
          </w:p>
        </w:tc>
      </w:tr>
      <w:tr w:rsidR="00214C6C" w:rsidRPr="001759A7" w14:paraId="66DAD22F" w14:textId="77777777" w:rsidTr="00D72DE6">
        <w:tc>
          <w:tcPr>
            <w:tcW w:w="519" w:type="pct"/>
          </w:tcPr>
          <w:p w14:paraId="2A571436" w14:textId="77777777" w:rsidR="00214C6C" w:rsidRPr="001759A7" w:rsidRDefault="00D10A7B" w:rsidP="00D72DE6">
            <w:pPr>
              <w:pStyle w:val="EFSABodytext"/>
            </w:pPr>
            <w:r>
              <w:t>RP</w:t>
            </w:r>
          </w:p>
        </w:tc>
        <w:tc>
          <w:tcPr>
            <w:tcW w:w="4481" w:type="pct"/>
          </w:tcPr>
          <w:p w14:paraId="44C144E9" w14:textId="77777777" w:rsidR="00214C6C" w:rsidRPr="001759A7" w:rsidRDefault="00D10A7B" w:rsidP="00D72DE6">
            <w:pPr>
              <w:pStyle w:val="EFSABodytext"/>
            </w:pPr>
            <w:r w:rsidRPr="000E3031">
              <w:t>Reference Point</w:t>
            </w:r>
          </w:p>
        </w:tc>
      </w:tr>
      <w:tr w:rsidR="00214C6C" w:rsidRPr="001759A7" w14:paraId="61CD362B" w14:textId="77777777" w:rsidTr="00D72DE6">
        <w:tc>
          <w:tcPr>
            <w:tcW w:w="519" w:type="pct"/>
          </w:tcPr>
          <w:p w14:paraId="4720F1FA" w14:textId="77777777" w:rsidR="00214C6C" w:rsidRPr="001759A7" w:rsidRDefault="00D10A7B" w:rsidP="00D72DE6">
            <w:pPr>
              <w:pStyle w:val="EFSABodytext"/>
            </w:pPr>
            <w:r>
              <w:t>SD</w:t>
            </w:r>
          </w:p>
        </w:tc>
        <w:tc>
          <w:tcPr>
            <w:tcW w:w="4481" w:type="pct"/>
          </w:tcPr>
          <w:p w14:paraId="4E6D20EC" w14:textId="77777777" w:rsidR="00214C6C" w:rsidRPr="001759A7" w:rsidRDefault="00D10A7B" w:rsidP="00D72DE6">
            <w:pPr>
              <w:pStyle w:val="EFSABodytext"/>
            </w:pPr>
            <w:r>
              <w:t>Standard Deviation</w:t>
            </w:r>
          </w:p>
        </w:tc>
      </w:tr>
      <w:tr w:rsidR="00152626" w:rsidRPr="001759A7" w14:paraId="24B4F665" w14:textId="77777777" w:rsidTr="00D72DE6">
        <w:tc>
          <w:tcPr>
            <w:tcW w:w="519" w:type="pct"/>
          </w:tcPr>
          <w:p w14:paraId="6D2B0317" w14:textId="77777777" w:rsidR="00152626" w:rsidRDefault="00152626" w:rsidP="00D72DE6">
            <w:pPr>
              <w:pStyle w:val="EFSABodytext"/>
            </w:pPr>
            <w:r>
              <w:t>SEM</w:t>
            </w:r>
          </w:p>
        </w:tc>
        <w:tc>
          <w:tcPr>
            <w:tcW w:w="4481" w:type="pct"/>
          </w:tcPr>
          <w:p w14:paraId="2112DD78" w14:textId="77777777" w:rsidR="00152626" w:rsidRDefault="00152626" w:rsidP="00D72DE6">
            <w:pPr>
              <w:pStyle w:val="EFSABodytext"/>
            </w:pPr>
            <w:r>
              <w:t>Standard Error of the Mean</w:t>
            </w:r>
          </w:p>
        </w:tc>
      </w:tr>
      <w:tr w:rsidR="00D10A7B" w:rsidRPr="001759A7" w14:paraId="770E9659" w14:textId="77777777" w:rsidTr="00D72DE6">
        <w:tc>
          <w:tcPr>
            <w:tcW w:w="519" w:type="pct"/>
          </w:tcPr>
          <w:p w14:paraId="510B7DBD" w14:textId="77777777" w:rsidR="00D10A7B" w:rsidRDefault="00D10A7B" w:rsidP="00D72DE6">
            <w:pPr>
              <w:pStyle w:val="EFSABodytext"/>
            </w:pPr>
            <w:r>
              <w:t>TD</w:t>
            </w:r>
            <w:r w:rsidRPr="00D644E9">
              <w:t>I</w:t>
            </w:r>
          </w:p>
        </w:tc>
        <w:tc>
          <w:tcPr>
            <w:tcW w:w="4481" w:type="pct"/>
          </w:tcPr>
          <w:p w14:paraId="3498601F" w14:textId="77777777" w:rsidR="00D10A7B" w:rsidRDefault="00D10A7B" w:rsidP="00D72DE6">
            <w:pPr>
              <w:pStyle w:val="EFSABodytext"/>
            </w:pPr>
            <w:r>
              <w:t>T</w:t>
            </w:r>
            <w:r w:rsidRPr="00D644E9">
              <w:t xml:space="preserve">olerable </w:t>
            </w:r>
            <w:r>
              <w:t>Daily I</w:t>
            </w:r>
            <w:r w:rsidRPr="00D644E9">
              <w:t>ntake</w:t>
            </w:r>
          </w:p>
        </w:tc>
      </w:tr>
      <w:tr w:rsidR="00D56C8F" w:rsidRPr="001759A7" w14:paraId="59D6B4B9" w14:textId="77777777" w:rsidTr="00D72DE6">
        <w:tc>
          <w:tcPr>
            <w:tcW w:w="519" w:type="pct"/>
          </w:tcPr>
          <w:p w14:paraId="76CFE3E0" w14:textId="77777777" w:rsidR="00D56C8F" w:rsidRDefault="00D56C8F" w:rsidP="00D72DE6">
            <w:pPr>
              <w:pStyle w:val="EFSABodytext"/>
            </w:pPr>
            <w:r>
              <w:t>TEF</w:t>
            </w:r>
          </w:p>
        </w:tc>
        <w:tc>
          <w:tcPr>
            <w:tcW w:w="4481" w:type="pct"/>
          </w:tcPr>
          <w:p w14:paraId="141E4266" w14:textId="77777777" w:rsidR="00D56C8F" w:rsidRDefault="00D56C8F" w:rsidP="00D72DE6">
            <w:pPr>
              <w:pStyle w:val="EFSABodytext"/>
            </w:pPr>
            <w:r>
              <w:t>Toxic Equivalency Factor</w:t>
            </w:r>
          </w:p>
        </w:tc>
      </w:tr>
      <w:tr w:rsidR="009F0694" w:rsidRPr="001759A7" w14:paraId="2A9042B6" w14:textId="77777777" w:rsidTr="00D72DE6">
        <w:tc>
          <w:tcPr>
            <w:tcW w:w="519" w:type="pct"/>
          </w:tcPr>
          <w:p w14:paraId="2166ADE5" w14:textId="77777777" w:rsidR="009F0694" w:rsidRDefault="009F0694" w:rsidP="00D72DE6">
            <w:pPr>
              <w:pStyle w:val="EFSABodytext"/>
            </w:pPr>
            <w:r>
              <w:t>WHO</w:t>
            </w:r>
          </w:p>
        </w:tc>
        <w:tc>
          <w:tcPr>
            <w:tcW w:w="4481" w:type="pct"/>
          </w:tcPr>
          <w:p w14:paraId="25867F93" w14:textId="77777777" w:rsidR="009F0694" w:rsidRDefault="009F0694" w:rsidP="00D72DE6">
            <w:pPr>
              <w:pStyle w:val="EFSABodytext"/>
            </w:pPr>
            <w:r>
              <w:t>World Health Organization</w:t>
            </w:r>
          </w:p>
        </w:tc>
      </w:tr>
    </w:tbl>
    <w:p w14:paraId="71887C79" w14:textId="77777777" w:rsidR="00214C6C" w:rsidRDefault="00214C6C" w:rsidP="00214C6C">
      <w:pPr>
        <w:pStyle w:val="EFSABodytext"/>
      </w:pPr>
    </w:p>
    <w:p w14:paraId="7A107404" w14:textId="77777777" w:rsidR="00CA5D06" w:rsidRDefault="00CA5D06" w:rsidP="00214C6C">
      <w:pPr>
        <w:spacing w:after="0"/>
        <w:sectPr w:rsidR="00CA5D06" w:rsidSect="00E07A63">
          <w:headerReference w:type="even" r:id="rId34"/>
          <w:headerReference w:type="default" r:id="rId35"/>
          <w:footerReference w:type="even" r:id="rId36"/>
          <w:footerReference w:type="default" r:id="rId37"/>
          <w:headerReference w:type="first" r:id="rId38"/>
          <w:footerReference w:type="first" r:id="rId39"/>
          <w:type w:val="continuous"/>
          <w:pgSz w:w="11906" w:h="16838"/>
          <w:pgMar w:top="1418" w:right="1418" w:bottom="1418" w:left="1418" w:header="709" w:footer="709" w:gutter="0"/>
          <w:cols w:space="720"/>
          <w:docGrid w:linePitch="360" w:charSpace="2047"/>
        </w:sectPr>
      </w:pPr>
    </w:p>
    <w:p w14:paraId="04D2DBFE" w14:textId="19A36FF0" w:rsidR="00CA5D06" w:rsidRPr="006D4908" w:rsidRDefault="00CA5D06" w:rsidP="00352EC3">
      <w:pPr>
        <w:pStyle w:val="EFSAAppendixtitle"/>
        <w:ind w:left="1701" w:hanging="1701"/>
        <w:rPr>
          <w:rFonts w:cs="Tahoma"/>
          <w:b w:val="0"/>
          <w:bCs/>
          <w:sz w:val="32"/>
          <w:szCs w:val="32"/>
        </w:rPr>
      </w:pPr>
      <w:bookmarkStart w:id="84" w:name="_Toc94255351"/>
      <w:r w:rsidRPr="00073944">
        <w:t>Upper bounds(a) of effect at NOAELs related to 10 substances evaluated previously by JMPR or EFSA.</w:t>
      </w:r>
      <w:bookmarkEnd w:id="84"/>
    </w:p>
    <w:tbl>
      <w:tblPr>
        <w:tblW w:w="11795" w:type="dxa"/>
        <w:tblInd w:w="-318" w:type="dxa"/>
        <w:tblBorders>
          <w:top w:val="single" w:sz="4" w:space="0" w:color="auto"/>
          <w:left w:val="single" w:sz="4" w:space="0" w:color="auto"/>
          <w:bottom w:val="single" w:sz="4" w:space="0" w:color="auto"/>
          <w:right w:val="single" w:sz="4" w:space="0" w:color="auto"/>
        </w:tblBorders>
        <w:tblLayout w:type="fixed"/>
        <w:tblCellMar>
          <w:left w:w="115" w:type="dxa"/>
          <w:right w:w="115" w:type="dxa"/>
        </w:tblCellMar>
        <w:tblLook w:val="0000" w:firstRow="0" w:lastRow="0" w:firstColumn="0" w:lastColumn="0" w:noHBand="0" w:noVBand="0"/>
      </w:tblPr>
      <w:tblGrid>
        <w:gridCol w:w="2503"/>
        <w:gridCol w:w="4331"/>
        <w:gridCol w:w="2551"/>
        <w:gridCol w:w="2410"/>
      </w:tblGrid>
      <w:tr w:rsidR="00E62018" w:rsidRPr="00FE2282" w14:paraId="4F550487" w14:textId="77777777" w:rsidTr="00F13DED">
        <w:trPr>
          <w:trHeight w:val="255"/>
        </w:trPr>
        <w:tc>
          <w:tcPr>
            <w:tcW w:w="2503" w:type="dxa"/>
            <w:tcBorders>
              <w:top w:val="single" w:sz="4" w:space="0" w:color="auto"/>
              <w:bottom w:val="single" w:sz="4" w:space="0" w:color="auto"/>
              <w:right w:val="single" w:sz="4" w:space="0" w:color="auto"/>
            </w:tcBorders>
            <w:shd w:val="clear" w:color="auto" w:fill="CCCCCC"/>
            <w:noWrap/>
            <w:vAlign w:val="center"/>
          </w:tcPr>
          <w:p w14:paraId="284E50A8" w14:textId="77777777" w:rsidR="00CA5D06" w:rsidRPr="00FE2282" w:rsidRDefault="00CA5D06" w:rsidP="00CA5D06">
            <w:pPr>
              <w:spacing w:after="0"/>
              <w:jc w:val="center"/>
              <w:rPr>
                <w:b/>
                <w:sz w:val="20"/>
                <w:szCs w:val="20"/>
              </w:rPr>
            </w:pPr>
            <w:r w:rsidRPr="00FE2282">
              <w:rPr>
                <w:b/>
                <w:sz w:val="20"/>
                <w:szCs w:val="20"/>
              </w:rPr>
              <w:t xml:space="preserve">Substance </w:t>
            </w:r>
          </w:p>
          <w:p w14:paraId="5F78F2B2" w14:textId="77777777" w:rsidR="00CA5D06" w:rsidRPr="00FE2282" w:rsidRDefault="00CA5D06" w:rsidP="00CA5D06">
            <w:pPr>
              <w:spacing w:after="0"/>
              <w:jc w:val="center"/>
              <w:rPr>
                <w:b/>
                <w:sz w:val="20"/>
                <w:szCs w:val="20"/>
                <w:lang w:val="fr-FR"/>
              </w:rPr>
            </w:pPr>
            <w:r w:rsidRPr="00FE2282">
              <w:rPr>
                <w:b/>
                <w:sz w:val="20"/>
                <w:szCs w:val="20"/>
              </w:rPr>
              <w:t>(source +year)</w:t>
            </w:r>
          </w:p>
        </w:tc>
        <w:tc>
          <w:tcPr>
            <w:tcW w:w="4331" w:type="dxa"/>
            <w:tcBorders>
              <w:top w:val="single" w:sz="4" w:space="0" w:color="auto"/>
              <w:left w:val="single" w:sz="4" w:space="0" w:color="auto"/>
              <w:bottom w:val="single" w:sz="4" w:space="0" w:color="auto"/>
              <w:right w:val="single" w:sz="4" w:space="0" w:color="auto"/>
            </w:tcBorders>
            <w:shd w:val="clear" w:color="auto" w:fill="CCCCCC"/>
            <w:noWrap/>
            <w:vAlign w:val="center"/>
          </w:tcPr>
          <w:p w14:paraId="3E039119" w14:textId="77777777" w:rsidR="00CA5D06" w:rsidRPr="00FE2282" w:rsidRDefault="00CA5D06" w:rsidP="00CA5D06">
            <w:pPr>
              <w:spacing w:after="0"/>
              <w:jc w:val="center"/>
              <w:rPr>
                <w:b/>
                <w:sz w:val="20"/>
                <w:szCs w:val="20"/>
              </w:rPr>
            </w:pPr>
            <w:r w:rsidRPr="00FE2282">
              <w:rPr>
                <w:b/>
                <w:sz w:val="20"/>
                <w:szCs w:val="20"/>
              </w:rPr>
              <w:t>Endpoint</w:t>
            </w:r>
          </w:p>
        </w:tc>
        <w:tc>
          <w:tcPr>
            <w:tcW w:w="2551" w:type="dxa"/>
            <w:tcBorders>
              <w:top w:val="single" w:sz="4" w:space="0" w:color="auto"/>
              <w:left w:val="single" w:sz="4" w:space="0" w:color="auto"/>
              <w:bottom w:val="single" w:sz="4" w:space="0" w:color="auto"/>
              <w:right w:val="single" w:sz="4" w:space="0" w:color="auto"/>
            </w:tcBorders>
            <w:shd w:val="clear" w:color="auto" w:fill="CCCCCC"/>
            <w:noWrap/>
            <w:vAlign w:val="center"/>
          </w:tcPr>
          <w:p w14:paraId="29E23E48" w14:textId="77777777" w:rsidR="00CA5D06" w:rsidRPr="00FE2282" w:rsidRDefault="00CA5D06" w:rsidP="00CA5D06">
            <w:pPr>
              <w:spacing w:after="0"/>
              <w:jc w:val="center"/>
              <w:rPr>
                <w:b/>
                <w:sz w:val="20"/>
                <w:szCs w:val="20"/>
              </w:rPr>
            </w:pPr>
            <w:r w:rsidRPr="00FE2282">
              <w:rPr>
                <w:b/>
                <w:sz w:val="20"/>
                <w:szCs w:val="20"/>
              </w:rPr>
              <w:t>Quantal data</w:t>
            </w:r>
          </w:p>
        </w:tc>
        <w:tc>
          <w:tcPr>
            <w:tcW w:w="2410" w:type="dxa"/>
            <w:tcBorders>
              <w:top w:val="single" w:sz="4" w:space="0" w:color="auto"/>
              <w:left w:val="single" w:sz="4" w:space="0" w:color="auto"/>
              <w:bottom w:val="single" w:sz="4" w:space="0" w:color="auto"/>
            </w:tcBorders>
            <w:shd w:val="clear" w:color="auto" w:fill="CCCCCC"/>
            <w:noWrap/>
            <w:vAlign w:val="center"/>
          </w:tcPr>
          <w:p w14:paraId="677C0D98" w14:textId="77777777" w:rsidR="00CA5D06" w:rsidRPr="00FE2282" w:rsidRDefault="00CA5D06" w:rsidP="00CA5D06">
            <w:pPr>
              <w:spacing w:after="0"/>
              <w:jc w:val="center"/>
              <w:rPr>
                <w:b/>
                <w:sz w:val="20"/>
                <w:szCs w:val="20"/>
              </w:rPr>
            </w:pPr>
            <w:r w:rsidRPr="00FE2282">
              <w:rPr>
                <w:b/>
                <w:sz w:val="20"/>
                <w:szCs w:val="20"/>
              </w:rPr>
              <w:t>Continuous data</w:t>
            </w:r>
          </w:p>
        </w:tc>
      </w:tr>
      <w:tr w:rsidR="00D934F0" w:rsidRPr="00FE2282" w14:paraId="2FB4E03C" w14:textId="77777777" w:rsidTr="00F13DED">
        <w:trPr>
          <w:trHeight w:val="255"/>
        </w:trPr>
        <w:tc>
          <w:tcPr>
            <w:tcW w:w="2503" w:type="dxa"/>
            <w:tcBorders>
              <w:top w:val="single" w:sz="4" w:space="0" w:color="auto"/>
              <w:bottom w:val="single" w:sz="4" w:space="0" w:color="auto"/>
              <w:right w:val="single" w:sz="4" w:space="0" w:color="auto"/>
            </w:tcBorders>
            <w:shd w:val="clear" w:color="auto" w:fill="auto"/>
            <w:noWrap/>
            <w:vAlign w:val="center"/>
          </w:tcPr>
          <w:p w14:paraId="0B9B88BC" w14:textId="77777777" w:rsidR="00CA5D06" w:rsidRPr="00FE2282" w:rsidRDefault="00CA5D06" w:rsidP="00CA5D06">
            <w:pPr>
              <w:spacing w:after="0"/>
              <w:rPr>
                <w:b/>
                <w:sz w:val="20"/>
                <w:szCs w:val="20"/>
              </w:rPr>
            </w:pPr>
          </w:p>
        </w:tc>
        <w:tc>
          <w:tcPr>
            <w:tcW w:w="43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D95808" w14:textId="77777777" w:rsidR="00CA5D06" w:rsidRPr="00FE2282" w:rsidRDefault="00CA5D06" w:rsidP="00CA5D06">
            <w:pPr>
              <w:spacing w:after="0"/>
              <w:rPr>
                <w:b/>
                <w:sz w:val="20"/>
                <w:szCs w:val="20"/>
              </w:rPr>
            </w:pP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130C89" w14:textId="77777777" w:rsidR="00CA5D06" w:rsidRPr="00FE2282" w:rsidRDefault="00CA5D06" w:rsidP="00CA5D06">
            <w:pPr>
              <w:spacing w:after="0"/>
              <w:jc w:val="center"/>
              <w:rPr>
                <w:b/>
                <w:sz w:val="20"/>
                <w:szCs w:val="20"/>
                <w:vertAlign w:val="superscript"/>
              </w:rPr>
            </w:pPr>
            <w:r w:rsidRPr="00FE2282">
              <w:rPr>
                <w:b/>
                <w:sz w:val="20"/>
                <w:szCs w:val="20"/>
              </w:rPr>
              <w:t>Upper bound extra risk (</w:t>
            </w:r>
            <w:proofErr w:type="gramStart"/>
            <w:r w:rsidRPr="00FE2282">
              <w:rPr>
                <w:b/>
                <w:sz w:val="20"/>
                <w:szCs w:val="20"/>
              </w:rPr>
              <w:t>%)</w:t>
            </w:r>
            <w:r w:rsidRPr="00FE2282">
              <w:rPr>
                <w:b/>
                <w:sz w:val="20"/>
                <w:szCs w:val="20"/>
                <w:vertAlign w:val="superscript"/>
              </w:rPr>
              <w:t>(</w:t>
            </w:r>
            <w:proofErr w:type="gramEnd"/>
            <w:r w:rsidRPr="00FE2282">
              <w:rPr>
                <w:b/>
                <w:sz w:val="20"/>
                <w:szCs w:val="20"/>
                <w:vertAlign w:val="superscript"/>
              </w:rPr>
              <w:t>b)</w:t>
            </w:r>
          </w:p>
        </w:tc>
        <w:tc>
          <w:tcPr>
            <w:tcW w:w="2410" w:type="dxa"/>
            <w:tcBorders>
              <w:top w:val="single" w:sz="4" w:space="0" w:color="auto"/>
              <w:left w:val="single" w:sz="4" w:space="0" w:color="auto"/>
              <w:bottom w:val="single" w:sz="4" w:space="0" w:color="auto"/>
            </w:tcBorders>
            <w:shd w:val="clear" w:color="auto" w:fill="auto"/>
            <w:noWrap/>
            <w:vAlign w:val="center"/>
          </w:tcPr>
          <w:p w14:paraId="76D4D79B" w14:textId="77777777" w:rsidR="00CA5D06" w:rsidRPr="00FE2282" w:rsidRDefault="00CA5D06" w:rsidP="00CA5D06">
            <w:pPr>
              <w:spacing w:after="0"/>
              <w:jc w:val="center"/>
              <w:rPr>
                <w:b/>
                <w:sz w:val="20"/>
                <w:szCs w:val="20"/>
                <w:vertAlign w:val="superscript"/>
              </w:rPr>
            </w:pPr>
            <w:r w:rsidRPr="00FE2282">
              <w:rPr>
                <w:b/>
                <w:sz w:val="20"/>
                <w:szCs w:val="20"/>
              </w:rPr>
              <w:t xml:space="preserve">Upper bound </w:t>
            </w:r>
            <w:r w:rsidRPr="00FE2282">
              <w:rPr>
                <w:b/>
                <w:sz w:val="20"/>
                <w:szCs w:val="20"/>
              </w:rPr>
              <w:br/>
              <w:t>percent change (</w:t>
            </w:r>
            <w:proofErr w:type="gramStart"/>
            <w:r w:rsidRPr="00FE2282">
              <w:rPr>
                <w:b/>
                <w:sz w:val="20"/>
                <w:szCs w:val="20"/>
              </w:rPr>
              <w:t>%)</w:t>
            </w:r>
            <w:r w:rsidRPr="00FE2282">
              <w:rPr>
                <w:b/>
                <w:sz w:val="20"/>
                <w:szCs w:val="20"/>
                <w:vertAlign w:val="superscript"/>
              </w:rPr>
              <w:t>(</w:t>
            </w:r>
            <w:proofErr w:type="gramEnd"/>
            <w:r w:rsidRPr="00FE2282">
              <w:rPr>
                <w:b/>
                <w:sz w:val="20"/>
                <w:szCs w:val="20"/>
                <w:vertAlign w:val="superscript"/>
              </w:rPr>
              <w:t>c)</w:t>
            </w:r>
          </w:p>
        </w:tc>
      </w:tr>
      <w:tr w:rsidR="00D934F0" w:rsidRPr="00FE2282" w14:paraId="102D3962" w14:textId="77777777" w:rsidTr="00F13DED">
        <w:trPr>
          <w:trHeight w:val="255"/>
        </w:trPr>
        <w:tc>
          <w:tcPr>
            <w:tcW w:w="2503" w:type="dxa"/>
            <w:tcBorders>
              <w:top w:val="single" w:sz="4" w:space="0" w:color="auto"/>
              <w:bottom w:val="single" w:sz="4" w:space="0" w:color="auto"/>
              <w:right w:val="single" w:sz="4" w:space="0" w:color="auto"/>
            </w:tcBorders>
            <w:shd w:val="clear" w:color="auto" w:fill="auto"/>
            <w:noWrap/>
            <w:vAlign w:val="center"/>
          </w:tcPr>
          <w:p w14:paraId="490B39A9" w14:textId="77777777" w:rsidR="00CA5D06" w:rsidRPr="00FE2282" w:rsidRDefault="00CA5D06" w:rsidP="00CA5D06">
            <w:pPr>
              <w:spacing w:after="0"/>
              <w:rPr>
                <w:sz w:val="20"/>
                <w:szCs w:val="20"/>
              </w:rPr>
            </w:pPr>
            <w:proofErr w:type="spellStart"/>
            <w:r w:rsidRPr="00FE2282">
              <w:rPr>
                <w:sz w:val="20"/>
                <w:szCs w:val="20"/>
              </w:rPr>
              <w:t>Thiodicarb</w:t>
            </w:r>
            <w:proofErr w:type="spellEnd"/>
            <w:r w:rsidRPr="00FE2282">
              <w:rPr>
                <w:sz w:val="20"/>
                <w:szCs w:val="20"/>
              </w:rPr>
              <w:t xml:space="preserve"> (JMPR, 2000)</w:t>
            </w:r>
          </w:p>
        </w:tc>
        <w:tc>
          <w:tcPr>
            <w:tcW w:w="43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AFD665" w14:textId="77777777" w:rsidR="00CA5D06" w:rsidRPr="00FE2282" w:rsidRDefault="00CA5D06" w:rsidP="00CA5D06">
            <w:pPr>
              <w:spacing w:after="0"/>
              <w:rPr>
                <w:sz w:val="20"/>
                <w:szCs w:val="20"/>
              </w:rPr>
            </w:pPr>
            <w:r w:rsidRPr="00FE2282">
              <w:rPr>
                <w:sz w:val="20"/>
                <w:szCs w:val="20"/>
              </w:rPr>
              <w:t>splenic extramedullary haematopoiesis</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C0BDE7" w14:textId="77777777" w:rsidR="00CA5D06" w:rsidRPr="00FE2282" w:rsidRDefault="00CA5D06" w:rsidP="00CA5D06">
            <w:pPr>
              <w:spacing w:after="0"/>
              <w:jc w:val="center"/>
              <w:rPr>
                <w:sz w:val="20"/>
                <w:szCs w:val="20"/>
              </w:rPr>
            </w:pPr>
            <w:r w:rsidRPr="00FE2282">
              <w:rPr>
                <w:sz w:val="20"/>
                <w:szCs w:val="20"/>
              </w:rPr>
              <w:t>21</w:t>
            </w:r>
          </w:p>
        </w:tc>
        <w:tc>
          <w:tcPr>
            <w:tcW w:w="2410" w:type="dxa"/>
            <w:tcBorders>
              <w:top w:val="single" w:sz="4" w:space="0" w:color="auto"/>
              <w:left w:val="single" w:sz="4" w:space="0" w:color="auto"/>
              <w:bottom w:val="single" w:sz="4" w:space="0" w:color="auto"/>
            </w:tcBorders>
            <w:shd w:val="clear" w:color="auto" w:fill="auto"/>
            <w:noWrap/>
            <w:vAlign w:val="center"/>
          </w:tcPr>
          <w:p w14:paraId="5F421F42" w14:textId="77777777" w:rsidR="00CA5D06" w:rsidRPr="00FE2282" w:rsidRDefault="00CA5D06" w:rsidP="00CA5D06">
            <w:pPr>
              <w:spacing w:after="0"/>
              <w:jc w:val="center"/>
              <w:rPr>
                <w:sz w:val="20"/>
                <w:szCs w:val="20"/>
              </w:rPr>
            </w:pPr>
          </w:p>
        </w:tc>
      </w:tr>
      <w:tr w:rsidR="00D934F0" w:rsidRPr="00FE2282" w14:paraId="1C77FA59" w14:textId="77777777" w:rsidTr="00F13DED">
        <w:trPr>
          <w:trHeight w:val="255"/>
        </w:trPr>
        <w:tc>
          <w:tcPr>
            <w:tcW w:w="2503" w:type="dxa"/>
            <w:tcBorders>
              <w:top w:val="single" w:sz="4" w:space="0" w:color="auto"/>
              <w:bottom w:val="single" w:sz="4" w:space="0" w:color="auto"/>
              <w:right w:val="single" w:sz="4" w:space="0" w:color="auto"/>
            </w:tcBorders>
            <w:shd w:val="clear" w:color="auto" w:fill="auto"/>
            <w:noWrap/>
            <w:vAlign w:val="center"/>
          </w:tcPr>
          <w:p w14:paraId="31FF2B56" w14:textId="77777777" w:rsidR="00CA5D06" w:rsidRPr="00FE2282" w:rsidRDefault="00CA5D06" w:rsidP="00CA5D06">
            <w:pPr>
              <w:spacing w:after="0"/>
              <w:rPr>
                <w:sz w:val="20"/>
                <w:szCs w:val="20"/>
              </w:rPr>
            </w:pPr>
            <w:r w:rsidRPr="00FE2282">
              <w:rPr>
                <w:sz w:val="20"/>
                <w:szCs w:val="20"/>
              </w:rPr>
              <w:t>Carbaryl (JMPR, 2001)</w:t>
            </w:r>
          </w:p>
        </w:tc>
        <w:tc>
          <w:tcPr>
            <w:tcW w:w="43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2E47B4" w14:textId="77777777" w:rsidR="00CA5D06" w:rsidRPr="00FE2282" w:rsidRDefault="00CA5D06" w:rsidP="00CA5D06">
            <w:pPr>
              <w:spacing w:after="0"/>
              <w:rPr>
                <w:sz w:val="20"/>
                <w:szCs w:val="20"/>
              </w:rPr>
            </w:pPr>
            <w:r w:rsidRPr="00FE2282">
              <w:rPr>
                <w:sz w:val="20"/>
                <w:szCs w:val="20"/>
              </w:rPr>
              <w:t>vascular tumours</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18679" w14:textId="77777777" w:rsidR="00CA5D06" w:rsidRPr="00FE2282" w:rsidRDefault="00CA5D06" w:rsidP="00CA5D06">
            <w:pPr>
              <w:spacing w:after="0"/>
              <w:jc w:val="center"/>
              <w:rPr>
                <w:sz w:val="20"/>
                <w:szCs w:val="20"/>
              </w:rPr>
            </w:pPr>
            <w:r w:rsidRPr="00FE2282">
              <w:rPr>
                <w:sz w:val="20"/>
                <w:szCs w:val="20"/>
              </w:rPr>
              <w:t>15</w:t>
            </w:r>
          </w:p>
        </w:tc>
        <w:tc>
          <w:tcPr>
            <w:tcW w:w="2410" w:type="dxa"/>
            <w:tcBorders>
              <w:top w:val="single" w:sz="4" w:space="0" w:color="auto"/>
              <w:left w:val="single" w:sz="4" w:space="0" w:color="auto"/>
              <w:bottom w:val="single" w:sz="4" w:space="0" w:color="auto"/>
            </w:tcBorders>
            <w:shd w:val="clear" w:color="auto" w:fill="auto"/>
            <w:noWrap/>
            <w:vAlign w:val="center"/>
          </w:tcPr>
          <w:p w14:paraId="3310D81A" w14:textId="77777777" w:rsidR="00CA5D06" w:rsidRPr="00FE2282" w:rsidRDefault="00CA5D06" w:rsidP="00CA5D06">
            <w:pPr>
              <w:spacing w:after="0"/>
              <w:jc w:val="center"/>
              <w:rPr>
                <w:sz w:val="20"/>
                <w:szCs w:val="20"/>
              </w:rPr>
            </w:pPr>
          </w:p>
        </w:tc>
      </w:tr>
      <w:tr w:rsidR="00D934F0" w:rsidRPr="00FE2282" w14:paraId="720819B3" w14:textId="77777777" w:rsidTr="00F13DED">
        <w:trPr>
          <w:trHeight w:val="255"/>
        </w:trPr>
        <w:tc>
          <w:tcPr>
            <w:tcW w:w="2503" w:type="dxa"/>
            <w:tcBorders>
              <w:top w:val="single" w:sz="4" w:space="0" w:color="auto"/>
              <w:bottom w:val="single" w:sz="4" w:space="0" w:color="auto"/>
              <w:right w:val="single" w:sz="4" w:space="0" w:color="auto"/>
            </w:tcBorders>
            <w:shd w:val="clear" w:color="auto" w:fill="auto"/>
            <w:noWrap/>
            <w:vAlign w:val="center"/>
          </w:tcPr>
          <w:p w14:paraId="41CBF3C9" w14:textId="77777777" w:rsidR="00CA5D06" w:rsidRPr="00FE2282" w:rsidRDefault="00CA5D06" w:rsidP="00CA5D06">
            <w:pPr>
              <w:spacing w:after="0"/>
              <w:rPr>
                <w:sz w:val="20"/>
                <w:szCs w:val="20"/>
              </w:rPr>
            </w:pPr>
            <w:r w:rsidRPr="00FE2282">
              <w:rPr>
                <w:sz w:val="20"/>
                <w:szCs w:val="20"/>
              </w:rPr>
              <w:t>Spinosad (JMPR, 2001)</w:t>
            </w:r>
          </w:p>
        </w:tc>
        <w:tc>
          <w:tcPr>
            <w:tcW w:w="43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43C7D" w14:textId="77777777" w:rsidR="00CA5D06" w:rsidRPr="00FE2282" w:rsidRDefault="00CA5D06" w:rsidP="00CA5D06">
            <w:pPr>
              <w:spacing w:after="0"/>
              <w:rPr>
                <w:sz w:val="20"/>
                <w:szCs w:val="20"/>
              </w:rPr>
            </w:pPr>
            <w:r w:rsidRPr="00FE2282">
              <w:rPr>
                <w:sz w:val="20"/>
                <w:szCs w:val="20"/>
              </w:rPr>
              <w:t>thyroid epithelial cell vacuolation</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A15269" w14:textId="77777777" w:rsidR="00CA5D06" w:rsidRPr="00FE2282" w:rsidRDefault="00CA5D06" w:rsidP="00CA5D06">
            <w:pPr>
              <w:spacing w:after="0"/>
              <w:jc w:val="center"/>
              <w:rPr>
                <w:sz w:val="20"/>
                <w:szCs w:val="20"/>
              </w:rPr>
            </w:pPr>
            <w:r w:rsidRPr="00FE2282">
              <w:rPr>
                <w:sz w:val="20"/>
                <w:szCs w:val="20"/>
              </w:rPr>
              <w:t>2.7</w:t>
            </w:r>
          </w:p>
        </w:tc>
        <w:tc>
          <w:tcPr>
            <w:tcW w:w="2410" w:type="dxa"/>
            <w:tcBorders>
              <w:top w:val="single" w:sz="4" w:space="0" w:color="auto"/>
              <w:left w:val="single" w:sz="4" w:space="0" w:color="auto"/>
              <w:bottom w:val="single" w:sz="4" w:space="0" w:color="auto"/>
            </w:tcBorders>
            <w:shd w:val="clear" w:color="auto" w:fill="auto"/>
            <w:noWrap/>
            <w:vAlign w:val="center"/>
          </w:tcPr>
          <w:p w14:paraId="61E37F87" w14:textId="77777777" w:rsidR="00CA5D06" w:rsidRPr="00FE2282" w:rsidRDefault="00CA5D06" w:rsidP="00CA5D06">
            <w:pPr>
              <w:spacing w:after="0"/>
              <w:jc w:val="center"/>
              <w:rPr>
                <w:sz w:val="20"/>
                <w:szCs w:val="20"/>
              </w:rPr>
            </w:pPr>
          </w:p>
        </w:tc>
      </w:tr>
      <w:tr w:rsidR="00390919" w:rsidRPr="00FE2282" w14:paraId="61D607FA" w14:textId="77777777" w:rsidTr="00F13DED">
        <w:trPr>
          <w:trHeight w:val="255"/>
        </w:trPr>
        <w:tc>
          <w:tcPr>
            <w:tcW w:w="2503" w:type="dxa"/>
            <w:tcBorders>
              <w:top w:val="single" w:sz="4" w:space="0" w:color="auto"/>
              <w:right w:val="single" w:sz="4" w:space="0" w:color="auto"/>
            </w:tcBorders>
            <w:shd w:val="clear" w:color="auto" w:fill="auto"/>
            <w:noWrap/>
            <w:vAlign w:val="center"/>
          </w:tcPr>
          <w:p w14:paraId="3BCEE10A" w14:textId="77777777" w:rsidR="00CA5D06" w:rsidRPr="00FE2282" w:rsidRDefault="00CA5D06" w:rsidP="00CA5D06">
            <w:pPr>
              <w:spacing w:after="0"/>
              <w:rPr>
                <w:sz w:val="20"/>
                <w:szCs w:val="20"/>
              </w:rPr>
            </w:pPr>
            <w:r w:rsidRPr="00FE2282">
              <w:rPr>
                <w:sz w:val="20"/>
                <w:szCs w:val="20"/>
              </w:rPr>
              <w:t>Flutolanil (JMPR, 2002)</w:t>
            </w:r>
          </w:p>
        </w:tc>
        <w:tc>
          <w:tcPr>
            <w:tcW w:w="4331" w:type="dxa"/>
            <w:tcBorders>
              <w:top w:val="single" w:sz="4" w:space="0" w:color="auto"/>
              <w:left w:val="single" w:sz="4" w:space="0" w:color="auto"/>
              <w:right w:val="single" w:sz="4" w:space="0" w:color="auto"/>
            </w:tcBorders>
            <w:shd w:val="clear" w:color="auto" w:fill="auto"/>
            <w:noWrap/>
            <w:vAlign w:val="center"/>
          </w:tcPr>
          <w:p w14:paraId="0A9BFD99" w14:textId="77777777" w:rsidR="00CA5D06" w:rsidRPr="00FE2282" w:rsidRDefault="00CA5D06" w:rsidP="00CA5D06">
            <w:pPr>
              <w:spacing w:after="0"/>
              <w:rPr>
                <w:sz w:val="20"/>
                <w:szCs w:val="20"/>
              </w:rPr>
            </w:pPr>
            <w:r w:rsidRPr="00FE2282">
              <w:rPr>
                <w:sz w:val="20"/>
                <w:szCs w:val="20"/>
              </w:rPr>
              <w:t>erythrocyte volume fraction</w:t>
            </w:r>
          </w:p>
        </w:tc>
        <w:tc>
          <w:tcPr>
            <w:tcW w:w="2551" w:type="dxa"/>
            <w:tcBorders>
              <w:top w:val="single" w:sz="4" w:space="0" w:color="auto"/>
              <w:left w:val="single" w:sz="4" w:space="0" w:color="auto"/>
              <w:right w:val="single" w:sz="4" w:space="0" w:color="auto"/>
            </w:tcBorders>
            <w:shd w:val="clear" w:color="auto" w:fill="auto"/>
            <w:noWrap/>
            <w:vAlign w:val="center"/>
          </w:tcPr>
          <w:p w14:paraId="1D5C9C91" w14:textId="77777777" w:rsidR="00CA5D06" w:rsidRPr="00FE2282" w:rsidRDefault="00CA5D06" w:rsidP="00CA5D06">
            <w:pPr>
              <w:spacing w:after="0"/>
              <w:jc w:val="center"/>
              <w:rPr>
                <w:sz w:val="20"/>
                <w:szCs w:val="20"/>
              </w:rPr>
            </w:pPr>
          </w:p>
        </w:tc>
        <w:tc>
          <w:tcPr>
            <w:tcW w:w="2410" w:type="dxa"/>
            <w:tcBorders>
              <w:top w:val="single" w:sz="4" w:space="0" w:color="auto"/>
              <w:left w:val="single" w:sz="4" w:space="0" w:color="auto"/>
            </w:tcBorders>
            <w:shd w:val="clear" w:color="auto" w:fill="auto"/>
            <w:noWrap/>
            <w:vAlign w:val="center"/>
          </w:tcPr>
          <w:p w14:paraId="04EF332E" w14:textId="77777777" w:rsidR="00CA5D06" w:rsidRPr="00FE2282" w:rsidRDefault="00CA5D06" w:rsidP="00CA5D06">
            <w:pPr>
              <w:spacing w:after="0"/>
              <w:jc w:val="center"/>
              <w:rPr>
                <w:sz w:val="20"/>
                <w:szCs w:val="20"/>
              </w:rPr>
            </w:pPr>
            <w:r w:rsidRPr="00FE2282">
              <w:rPr>
                <w:sz w:val="20"/>
                <w:szCs w:val="20"/>
              </w:rPr>
              <w:t>9</w:t>
            </w:r>
          </w:p>
        </w:tc>
      </w:tr>
      <w:tr w:rsidR="00390919" w:rsidRPr="00FE2282" w14:paraId="65437BC7" w14:textId="77777777" w:rsidTr="00F13DED">
        <w:trPr>
          <w:trHeight w:val="255"/>
        </w:trPr>
        <w:tc>
          <w:tcPr>
            <w:tcW w:w="2503" w:type="dxa"/>
            <w:tcBorders>
              <w:right w:val="single" w:sz="4" w:space="0" w:color="auto"/>
            </w:tcBorders>
            <w:shd w:val="clear" w:color="auto" w:fill="auto"/>
            <w:noWrap/>
            <w:vAlign w:val="center"/>
          </w:tcPr>
          <w:p w14:paraId="6AFCDA15" w14:textId="77777777" w:rsidR="00CA5D06" w:rsidRPr="00FE2282" w:rsidRDefault="00CA5D06" w:rsidP="00CA5D06">
            <w:pPr>
              <w:spacing w:after="0"/>
              <w:rPr>
                <w:sz w:val="20"/>
                <w:szCs w:val="20"/>
              </w:rPr>
            </w:pPr>
          </w:p>
        </w:tc>
        <w:tc>
          <w:tcPr>
            <w:tcW w:w="4331" w:type="dxa"/>
            <w:tcBorders>
              <w:left w:val="single" w:sz="4" w:space="0" w:color="auto"/>
              <w:right w:val="single" w:sz="4" w:space="0" w:color="auto"/>
            </w:tcBorders>
            <w:shd w:val="clear" w:color="auto" w:fill="auto"/>
            <w:noWrap/>
            <w:vAlign w:val="center"/>
          </w:tcPr>
          <w:p w14:paraId="014756C9" w14:textId="77777777" w:rsidR="00CA5D06" w:rsidRPr="00FE2282" w:rsidRDefault="00CA5D06" w:rsidP="00CA5D06">
            <w:pPr>
              <w:spacing w:after="0"/>
              <w:rPr>
                <w:sz w:val="20"/>
                <w:szCs w:val="20"/>
              </w:rPr>
            </w:pPr>
            <w:r w:rsidRPr="00FE2282">
              <w:rPr>
                <w:sz w:val="20"/>
                <w:szCs w:val="20"/>
              </w:rPr>
              <w:t>haemoglobin concentration</w:t>
            </w:r>
          </w:p>
        </w:tc>
        <w:tc>
          <w:tcPr>
            <w:tcW w:w="2551" w:type="dxa"/>
            <w:tcBorders>
              <w:left w:val="single" w:sz="4" w:space="0" w:color="auto"/>
              <w:right w:val="single" w:sz="4" w:space="0" w:color="auto"/>
            </w:tcBorders>
            <w:shd w:val="clear" w:color="auto" w:fill="auto"/>
            <w:noWrap/>
            <w:vAlign w:val="center"/>
          </w:tcPr>
          <w:p w14:paraId="28D919F0" w14:textId="77777777" w:rsidR="00CA5D06" w:rsidRPr="00FE2282" w:rsidRDefault="00CA5D06" w:rsidP="00CA5D06">
            <w:pPr>
              <w:spacing w:after="0"/>
              <w:jc w:val="center"/>
              <w:rPr>
                <w:sz w:val="20"/>
                <w:szCs w:val="20"/>
              </w:rPr>
            </w:pPr>
          </w:p>
        </w:tc>
        <w:tc>
          <w:tcPr>
            <w:tcW w:w="2410" w:type="dxa"/>
            <w:tcBorders>
              <w:left w:val="single" w:sz="4" w:space="0" w:color="auto"/>
            </w:tcBorders>
            <w:shd w:val="clear" w:color="auto" w:fill="auto"/>
            <w:noWrap/>
            <w:vAlign w:val="center"/>
          </w:tcPr>
          <w:p w14:paraId="2BC4D984" w14:textId="77777777" w:rsidR="00CA5D06" w:rsidRPr="00FE2282" w:rsidRDefault="00CA5D06" w:rsidP="00CA5D06">
            <w:pPr>
              <w:spacing w:after="0"/>
              <w:jc w:val="center"/>
              <w:rPr>
                <w:sz w:val="20"/>
                <w:szCs w:val="20"/>
              </w:rPr>
            </w:pPr>
            <w:r w:rsidRPr="00FE2282">
              <w:rPr>
                <w:sz w:val="20"/>
                <w:szCs w:val="20"/>
              </w:rPr>
              <w:t>9.7</w:t>
            </w:r>
          </w:p>
        </w:tc>
      </w:tr>
      <w:tr w:rsidR="00390919" w:rsidRPr="00FE2282" w14:paraId="217D7CD6" w14:textId="77777777" w:rsidTr="00F13DED">
        <w:trPr>
          <w:trHeight w:val="255"/>
        </w:trPr>
        <w:tc>
          <w:tcPr>
            <w:tcW w:w="2503" w:type="dxa"/>
            <w:tcBorders>
              <w:bottom w:val="nil"/>
              <w:right w:val="single" w:sz="4" w:space="0" w:color="auto"/>
            </w:tcBorders>
            <w:shd w:val="clear" w:color="auto" w:fill="auto"/>
            <w:noWrap/>
            <w:vAlign w:val="center"/>
          </w:tcPr>
          <w:p w14:paraId="68F05E0D" w14:textId="77777777" w:rsidR="00CA5D06" w:rsidRPr="00FE2282" w:rsidRDefault="00CA5D06" w:rsidP="00CA5D06">
            <w:pPr>
              <w:spacing w:after="0"/>
              <w:rPr>
                <w:sz w:val="20"/>
                <w:szCs w:val="20"/>
              </w:rPr>
            </w:pPr>
          </w:p>
        </w:tc>
        <w:tc>
          <w:tcPr>
            <w:tcW w:w="4331" w:type="dxa"/>
            <w:tcBorders>
              <w:left w:val="single" w:sz="4" w:space="0" w:color="auto"/>
              <w:bottom w:val="nil"/>
              <w:right w:val="single" w:sz="4" w:space="0" w:color="auto"/>
            </w:tcBorders>
            <w:shd w:val="clear" w:color="auto" w:fill="auto"/>
            <w:noWrap/>
            <w:vAlign w:val="center"/>
          </w:tcPr>
          <w:p w14:paraId="685513FA" w14:textId="77777777" w:rsidR="00CA5D06" w:rsidRPr="00FE2282" w:rsidRDefault="00CA5D06" w:rsidP="00CA5D06">
            <w:pPr>
              <w:spacing w:after="0"/>
              <w:rPr>
                <w:sz w:val="20"/>
                <w:szCs w:val="20"/>
              </w:rPr>
            </w:pPr>
            <w:r w:rsidRPr="00FE2282">
              <w:rPr>
                <w:sz w:val="20"/>
                <w:szCs w:val="20"/>
              </w:rPr>
              <w:t>mean corpuscular haemoglobin</w:t>
            </w:r>
          </w:p>
        </w:tc>
        <w:tc>
          <w:tcPr>
            <w:tcW w:w="2551" w:type="dxa"/>
            <w:tcBorders>
              <w:left w:val="single" w:sz="4" w:space="0" w:color="auto"/>
              <w:bottom w:val="nil"/>
              <w:right w:val="single" w:sz="4" w:space="0" w:color="auto"/>
            </w:tcBorders>
            <w:shd w:val="clear" w:color="auto" w:fill="auto"/>
            <w:noWrap/>
            <w:vAlign w:val="center"/>
          </w:tcPr>
          <w:p w14:paraId="22EC564F" w14:textId="77777777" w:rsidR="00CA5D06" w:rsidRPr="00FE2282" w:rsidRDefault="00CA5D06" w:rsidP="00CA5D06">
            <w:pPr>
              <w:spacing w:after="0"/>
              <w:jc w:val="center"/>
              <w:rPr>
                <w:sz w:val="20"/>
                <w:szCs w:val="20"/>
              </w:rPr>
            </w:pPr>
          </w:p>
        </w:tc>
        <w:tc>
          <w:tcPr>
            <w:tcW w:w="2410" w:type="dxa"/>
            <w:tcBorders>
              <w:left w:val="single" w:sz="4" w:space="0" w:color="auto"/>
              <w:bottom w:val="nil"/>
            </w:tcBorders>
            <w:shd w:val="clear" w:color="auto" w:fill="auto"/>
            <w:noWrap/>
            <w:vAlign w:val="center"/>
          </w:tcPr>
          <w:p w14:paraId="5FB7CB2C" w14:textId="77777777" w:rsidR="00CA5D06" w:rsidRPr="00FE2282" w:rsidRDefault="00CA5D06" w:rsidP="00CA5D06">
            <w:pPr>
              <w:spacing w:after="0"/>
              <w:jc w:val="center"/>
              <w:rPr>
                <w:sz w:val="20"/>
                <w:szCs w:val="20"/>
              </w:rPr>
            </w:pPr>
            <w:r w:rsidRPr="00FE2282">
              <w:rPr>
                <w:sz w:val="20"/>
                <w:szCs w:val="20"/>
              </w:rPr>
              <w:t>3</w:t>
            </w:r>
          </w:p>
        </w:tc>
      </w:tr>
      <w:tr w:rsidR="00D934F0" w:rsidRPr="00FE2282" w14:paraId="0AAE88A4" w14:textId="77777777" w:rsidTr="00F13DED">
        <w:trPr>
          <w:trHeight w:val="255"/>
        </w:trPr>
        <w:tc>
          <w:tcPr>
            <w:tcW w:w="2503" w:type="dxa"/>
            <w:tcBorders>
              <w:top w:val="nil"/>
              <w:bottom w:val="single" w:sz="4" w:space="0" w:color="auto"/>
              <w:right w:val="single" w:sz="4" w:space="0" w:color="auto"/>
            </w:tcBorders>
            <w:shd w:val="clear" w:color="auto" w:fill="auto"/>
            <w:noWrap/>
            <w:vAlign w:val="center"/>
          </w:tcPr>
          <w:p w14:paraId="662AD496" w14:textId="77777777" w:rsidR="00CA5D06" w:rsidRPr="00FE2282" w:rsidRDefault="00CA5D06" w:rsidP="00CA5D06">
            <w:pPr>
              <w:spacing w:after="0"/>
              <w:rPr>
                <w:sz w:val="20"/>
                <w:szCs w:val="20"/>
              </w:rPr>
            </w:pPr>
          </w:p>
        </w:tc>
        <w:tc>
          <w:tcPr>
            <w:tcW w:w="4331" w:type="dxa"/>
            <w:tcBorders>
              <w:top w:val="nil"/>
              <w:left w:val="single" w:sz="4" w:space="0" w:color="auto"/>
              <w:bottom w:val="single" w:sz="4" w:space="0" w:color="auto"/>
              <w:right w:val="single" w:sz="4" w:space="0" w:color="auto"/>
            </w:tcBorders>
            <w:shd w:val="clear" w:color="auto" w:fill="auto"/>
            <w:noWrap/>
            <w:vAlign w:val="center"/>
          </w:tcPr>
          <w:p w14:paraId="142A7D33" w14:textId="77777777" w:rsidR="00CA5D06" w:rsidRPr="00FE2282" w:rsidRDefault="00CA5D06" w:rsidP="00CA5D06">
            <w:pPr>
              <w:spacing w:after="0"/>
              <w:rPr>
                <w:sz w:val="20"/>
                <w:szCs w:val="20"/>
              </w:rPr>
            </w:pPr>
            <w:r w:rsidRPr="00FE2282">
              <w:rPr>
                <w:sz w:val="20"/>
                <w:szCs w:val="20"/>
              </w:rPr>
              <w:t xml:space="preserve">decreased cellular elements in the spleen </w:t>
            </w:r>
          </w:p>
        </w:tc>
        <w:tc>
          <w:tcPr>
            <w:tcW w:w="2551" w:type="dxa"/>
            <w:tcBorders>
              <w:top w:val="nil"/>
              <w:left w:val="single" w:sz="4" w:space="0" w:color="auto"/>
              <w:bottom w:val="single" w:sz="4" w:space="0" w:color="auto"/>
              <w:right w:val="single" w:sz="4" w:space="0" w:color="auto"/>
            </w:tcBorders>
            <w:shd w:val="clear" w:color="auto" w:fill="auto"/>
            <w:noWrap/>
            <w:vAlign w:val="center"/>
          </w:tcPr>
          <w:p w14:paraId="3D11C6EC" w14:textId="77777777" w:rsidR="00CA5D06" w:rsidRPr="00FE2282" w:rsidRDefault="00CA5D06" w:rsidP="00CA5D06">
            <w:pPr>
              <w:spacing w:after="0"/>
              <w:jc w:val="center"/>
              <w:rPr>
                <w:sz w:val="20"/>
                <w:szCs w:val="20"/>
              </w:rPr>
            </w:pPr>
            <w:r w:rsidRPr="00FE2282">
              <w:rPr>
                <w:sz w:val="20"/>
                <w:szCs w:val="20"/>
              </w:rPr>
              <w:t>30</w:t>
            </w:r>
          </w:p>
        </w:tc>
        <w:tc>
          <w:tcPr>
            <w:tcW w:w="2410" w:type="dxa"/>
            <w:tcBorders>
              <w:top w:val="nil"/>
              <w:left w:val="single" w:sz="4" w:space="0" w:color="auto"/>
              <w:bottom w:val="single" w:sz="4" w:space="0" w:color="auto"/>
            </w:tcBorders>
            <w:shd w:val="clear" w:color="auto" w:fill="auto"/>
            <w:noWrap/>
            <w:vAlign w:val="center"/>
          </w:tcPr>
          <w:p w14:paraId="6E092AD1" w14:textId="77777777" w:rsidR="00CA5D06" w:rsidRPr="00FE2282" w:rsidRDefault="00CA5D06" w:rsidP="00CA5D06">
            <w:pPr>
              <w:spacing w:after="0"/>
              <w:jc w:val="center"/>
              <w:rPr>
                <w:sz w:val="20"/>
                <w:szCs w:val="20"/>
              </w:rPr>
            </w:pPr>
          </w:p>
        </w:tc>
      </w:tr>
      <w:tr w:rsidR="00D934F0" w:rsidRPr="00FE2282" w14:paraId="286786A1" w14:textId="77777777" w:rsidTr="00F13DED">
        <w:trPr>
          <w:trHeight w:val="255"/>
        </w:trPr>
        <w:tc>
          <w:tcPr>
            <w:tcW w:w="2503" w:type="dxa"/>
            <w:tcBorders>
              <w:top w:val="single" w:sz="4" w:space="0" w:color="auto"/>
              <w:bottom w:val="nil"/>
              <w:right w:val="single" w:sz="4" w:space="0" w:color="auto"/>
            </w:tcBorders>
            <w:shd w:val="clear" w:color="auto" w:fill="auto"/>
            <w:noWrap/>
            <w:vAlign w:val="center"/>
          </w:tcPr>
          <w:p w14:paraId="64BCBDBD" w14:textId="77777777" w:rsidR="00CA5D06" w:rsidRPr="00FE2282" w:rsidRDefault="00CA5D06" w:rsidP="00CA5D06">
            <w:pPr>
              <w:spacing w:after="0"/>
              <w:rPr>
                <w:sz w:val="20"/>
                <w:szCs w:val="20"/>
              </w:rPr>
            </w:pPr>
            <w:proofErr w:type="spellStart"/>
            <w:r w:rsidRPr="00FE2282">
              <w:rPr>
                <w:sz w:val="20"/>
                <w:szCs w:val="20"/>
              </w:rPr>
              <w:t>Metalaxyl</w:t>
            </w:r>
            <w:proofErr w:type="spellEnd"/>
            <w:r w:rsidRPr="00FE2282">
              <w:rPr>
                <w:sz w:val="20"/>
                <w:szCs w:val="20"/>
              </w:rPr>
              <w:t xml:space="preserve"> (JMPR, 2002)</w:t>
            </w:r>
          </w:p>
        </w:tc>
        <w:tc>
          <w:tcPr>
            <w:tcW w:w="4331" w:type="dxa"/>
            <w:tcBorders>
              <w:top w:val="single" w:sz="4" w:space="0" w:color="auto"/>
              <w:left w:val="single" w:sz="4" w:space="0" w:color="auto"/>
              <w:bottom w:val="nil"/>
              <w:right w:val="single" w:sz="4" w:space="0" w:color="auto"/>
            </w:tcBorders>
            <w:shd w:val="clear" w:color="auto" w:fill="auto"/>
            <w:noWrap/>
            <w:vAlign w:val="center"/>
          </w:tcPr>
          <w:p w14:paraId="37C7E469" w14:textId="77777777" w:rsidR="00CA5D06" w:rsidRPr="00FE2282" w:rsidRDefault="00CA5D06" w:rsidP="00CA5D06">
            <w:pPr>
              <w:spacing w:after="0"/>
              <w:rPr>
                <w:sz w:val="20"/>
                <w:szCs w:val="20"/>
              </w:rPr>
            </w:pPr>
            <w:r w:rsidRPr="00FE2282">
              <w:rPr>
                <w:sz w:val="20"/>
                <w:szCs w:val="20"/>
              </w:rPr>
              <w:t xml:space="preserve">serum alkaline phosphatase activity </w:t>
            </w:r>
          </w:p>
        </w:tc>
        <w:tc>
          <w:tcPr>
            <w:tcW w:w="2551" w:type="dxa"/>
            <w:tcBorders>
              <w:top w:val="single" w:sz="4" w:space="0" w:color="auto"/>
              <w:left w:val="single" w:sz="4" w:space="0" w:color="auto"/>
              <w:bottom w:val="nil"/>
              <w:right w:val="single" w:sz="4" w:space="0" w:color="auto"/>
            </w:tcBorders>
            <w:shd w:val="clear" w:color="auto" w:fill="auto"/>
            <w:noWrap/>
            <w:vAlign w:val="center"/>
          </w:tcPr>
          <w:p w14:paraId="0A926771" w14:textId="77777777" w:rsidR="00CA5D06" w:rsidRPr="00FE2282" w:rsidRDefault="00CA5D06" w:rsidP="00CA5D06">
            <w:pPr>
              <w:spacing w:after="0"/>
              <w:jc w:val="center"/>
              <w:rPr>
                <w:sz w:val="20"/>
                <w:szCs w:val="20"/>
              </w:rPr>
            </w:pPr>
          </w:p>
        </w:tc>
        <w:tc>
          <w:tcPr>
            <w:tcW w:w="2410" w:type="dxa"/>
            <w:tcBorders>
              <w:top w:val="single" w:sz="4" w:space="0" w:color="auto"/>
              <w:left w:val="single" w:sz="4" w:space="0" w:color="auto"/>
              <w:bottom w:val="nil"/>
            </w:tcBorders>
            <w:shd w:val="clear" w:color="auto" w:fill="auto"/>
            <w:noWrap/>
            <w:vAlign w:val="center"/>
          </w:tcPr>
          <w:p w14:paraId="2D96FE9E" w14:textId="77777777" w:rsidR="00CA5D06" w:rsidRPr="00FE2282" w:rsidRDefault="00CA5D06" w:rsidP="00CA5D06">
            <w:pPr>
              <w:spacing w:after="0"/>
              <w:jc w:val="center"/>
              <w:rPr>
                <w:sz w:val="20"/>
                <w:szCs w:val="20"/>
              </w:rPr>
            </w:pPr>
            <w:r w:rsidRPr="00FE2282">
              <w:rPr>
                <w:sz w:val="20"/>
                <w:szCs w:val="20"/>
              </w:rPr>
              <w:t>260</w:t>
            </w:r>
          </w:p>
        </w:tc>
      </w:tr>
      <w:tr w:rsidR="00D934F0" w:rsidRPr="00FE2282" w14:paraId="2A2C8C8F" w14:textId="77777777" w:rsidTr="00F13DED">
        <w:trPr>
          <w:trHeight w:val="255"/>
        </w:trPr>
        <w:tc>
          <w:tcPr>
            <w:tcW w:w="2503" w:type="dxa"/>
            <w:tcBorders>
              <w:top w:val="nil"/>
              <w:bottom w:val="single" w:sz="4" w:space="0" w:color="auto"/>
              <w:right w:val="single" w:sz="4" w:space="0" w:color="auto"/>
            </w:tcBorders>
            <w:shd w:val="clear" w:color="auto" w:fill="auto"/>
            <w:noWrap/>
            <w:vAlign w:val="center"/>
          </w:tcPr>
          <w:p w14:paraId="26A49EE3" w14:textId="77777777" w:rsidR="00CA5D06" w:rsidRPr="00FE2282" w:rsidRDefault="00CA5D06" w:rsidP="00CA5D06">
            <w:pPr>
              <w:spacing w:after="0"/>
              <w:rPr>
                <w:sz w:val="20"/>
                <w:szCs w:val="20"/>
              </w:rPr>
            </w:pPr>
          </w:p>
        </w:tc>
        <w:tc>
          <w:tcPr>
            <w:tcW w:w="4331" w:type="dxa"/>
            <w:tcBorders>
              <w:top w:val="nil"/>
              <w:left w:val="single" w:sz="4" w:space="0" w:color="auto"/>
              <w:bottom w:val="single" w:sz="4" w:space="0" w:color="auto"/>
              <w:right w:val="single" w:sz="4" w:space="0" w:color="auto"/>
            </w:tcBorders>
            <w:shd w:val="clear" w:color="auto" w:fill="auto"/>
            <w:noWrap/>
            <w:vAlign w:val="center"/>
          </w:tcPr>
          <w:p w14:paraId="1470407C" w14:textId="77777777" w:rsidR="00CA5D06" w:rsidRPr="00FE2282" w:rsidRDefault="00CA5D06" w:rsidP="00CA5D06">
            <w:pPr>
              <w:spacing w:after="0"/>
              <w:rPr>
                <w:sz w:val="20"/>
                <w:szCs w:val="20"/>
              </w:rPr>
            </w:pPr>
            <w:r w:rsidRPr="00FE2282">
              <w:rPr>
                <w:sz w:val="20"/>
                <w:szCs w:val="20"/>
              </w:rPr>
              <w:t>serum AST</w:t>
            </w:r>
          </w:p>
        </w:tc>
        <w:tc>
          <w:tcPr>
            <w:tcW w:w="2551" w:type="dxa"/>
            <w:tcBorders>
              <w:top w:val="nil"/>
              <w:left w:val="single" w:sz="4" w:space="0" w:color="auto"/>
              <w:bottom w:val="single" w:sz="4" w:space="0" w:color="auto"/>
              <w:right w:val="single" w:sz="4" w:space="0" w:color="auto"/>
            </w:tcBorders>
            <w:shd w:val="clear" w:color="auto" w:fill="auto"/>
            <w:noWrap/>
            <w:vAlign w:val="center"/>
          </w:tcPr>
          <w:p w14:paraId="31669C9B" w14:textId="77777777" w:rsidR="00CA5D06" w:rsidRPr="00FE2282" w:rsidRDefault="00CA5D06" w:rsidP="00CA5D06">
            <w:pPr>
              <w:spacing w:after="0"/>
              <w:jc w:val="center"/>
              <w:rPr>
                <w:sz w:val="20"/>
                <w:szCs w:val="20"/>
              </w:rPr>
            </w:pPr>
          </w:p>
        </w:tc>
        <w:tc>
          <w:tcPr>
            <w:tcW w:w="2410" w:type="dxa"/>
            <w:tcBorders>
              <w:top w:val="nil"/>
              <w:left w:val="single" w:sz="4" w:space="0" w:color="auto"/>
              <w:bottom w:val="single" w:sz="4" w:space="0" w:color="auto"/>
            </w:tcBorders>
            <w:shd w:val="clear" w:color="auto" w:fill="auto"/>
            <w:noWrap/>
            <w:vAlign w:val="center"/>
          </w:tcPr>
          <w:p w14:paraId="4892ABB1" w14:textId="77777777" w:rsidR="00CA5D06" w:rsidRPr="00FE2282" w:rsidRDefault="00CA5D06" w:rsidP="00CA5D06">
            <w:pPr>
              <w:spacing w:after="0"/>
              <w:jc w:val="center"/>
              <w:rPr>
                <w:sz w:val="20"/>
                <w:szCs w:val="20"/>
              </w:rPr>
            </w:pPr>
            <w:r w:rsidRPr="00FE2282">
              <w:rPr>
                <w:sz w:val="20"/>
                <w:szCs w:val="20"/>
              </w:rPr>
              <w:t>100</w:t>
            </w:r>
          </w:p>
        </w:tc>
      </w:tr>
      <w:tr w:rsidR="00D934F0" w:rsidRPr="00FE2282" w14:paraId="540D15D0" w14:textId="77777777" w:rsidTr="00F13DED">
        <w:trPr>
          <w:trHeight w:val="255"/>
        </w:trPr>
        <w:tc>
          <w:tcPr>
            <w:tcW w:w="2503" w:type="dxa"/>
            <w:tcBorders>
              <w:top w:val="single" w:sz="4" w:space="0" w:color="auto"/>
              <w:bottom w:val="single" w:sz="4" w:space="0" w:color="auto"/>
              <w:right w:val="single" w:sz="4" w:space="0" w:color="auto"/>
            </w:tcBorders>
            <w:shd w:val="clear" w:color="auto" w:fill="auto"/>
            <w:noWrap/>
            <w:vAlign w:val="center"/>
          </w:tcPr>
          <w:p w14:paraId="0A1924FE" w14:textId="77777777" w:rsidR="00CA5D06" w:rsidRPr="00FE2282" w:rsidRDefault="00CA5D06" w:rsidP="00CA5D06">
            <w:pPr>
              <w:spacing w:after="0"/>
              <w:rPr>
                <w:sz w:val="20"/>
                <w:szCs w:val="20"/>
              </w:rPr>
            </w:pPr>
            <w:r w:rsidRPr="00FE2282">
              <w:rPr>
                <w:sz w:val="20"/>
                <w:szCs w:val="20"/>
              </w:rPr>
              <w:t>Cyprodinil (JMPR, 2003)</w:t>
            </w:r>
          </w:p>
        </w:tc>
        <w:tc>
          <w:tcPr>
            <w:tcW w:w="43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ACCBFD" w14:textId="77777777" w:rsidR="00CA5D06" w:rsidRPr="00FE2282" w:rsidRDefault="00CA5D06" w:rsidP="00CA5D06">
            <w:pPr>
              <w:spacing w:after="0"/>
              <w:rPr>
                <w:sz w:val="20"/>
                <w:szCs w:val="20"/>
              </w:rPr>
            </w:pPr>
            <w:r w:rsidRPr="00FE2282">
              <w:rPr>
                <w:sz w:val="20"/>
                <w:szCs w:val="20"/>
              </w:rPr>
              <w:t>spongiosis hepatis</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1A66B9" w14:textId="77777777" w:rsidR="00CA5D06" w:rsidRPr="00FE2282" w:rsidRDefault="00CA5D06" w:rsidP="00CA5D06">
            <w:pPr>
              <w:spacing w:after="0"/>
              <w:jc w:val="center"/>
              <w:rPr>
                <w:sz w:val="20"/>
                <w:szCs w:val="20"/>
              </w:rPr>
            </w:pPr>
            <w:r w:rsidRPr="00FE2282">
              <w:rPr>
                <w:sz w:val="20"/>
                <w:szCs w:val="20"/>
              </w:rPr>
              <w:t>5.1</w:t>
            </w:r>
          </w:p>
        </w:tc>
        <w:tc>
          <w:tcPr>
            <w:tcW w:w="2410" w:type="dxa"/>
            <w:tcBorders>
              <w:top w:val="single" w:sz="4" w:space="0" w:color="auto"/>
              <w:left w:val="single" w:sz="4" w:space="0" w:color="auto"/>
              <w:bottom w:val="single" w:sz="4" w:space="0" w:color="auto"/>
            </w:tcBorders>
            <w:shd w:val="clear" w:color="auto" w:fill="auto"/>
            <w:noWrap/>
            <w:vAlign w:val="center"/>
          </w:tcPr>
          <w:p w14:paraId="58E3C1CA" w14:textId="77777777" w:rsidR="00CA5D06" w:rsidRPr="00FE2282" w:rsidRDefault="00CA5D06" w:rsidP="00CA5D06">
            <w:pPr>
              <w:spacing w:after="0"/>
              <w:jc w:val="center"/>
              <w:rPr>
                <w:sz w:val="20"/>
                <w:szCs w:val="20"/>
              </w:rPr>
            </w:pPr>
          </w:p>
        </w:tc>
      </w:tr>
      <w:tr w:rsidR="00D934F0" w:rsidRPr="00FE2282" w14:paraId="70A1D203" w14:textId="77777777" w:rsidTr="00F13DED">
        <w:trPr>
          <w:trHeight w:val="255"/>
        </w:trPr>
        <w:tc>
          <w:tcPr>
            <w:tcW w:w="2503" w:type="dxa"/>
            <w:tcBorders>
              <w:top w:val="single" w:sz="4" w:space="0" w:color="auto"/>
              <w:bottom w:val="nil"/>
              <w:right w:val="single" w:sz="4" w:space="0" w:color="auto"/>
            </w:tcBorders>
            <w:shd w:val="clear" w:color="auto" w:fill="auto"/>
            <w:noWrap/>
            <w:vAlign w:val="center"/>
          </w:tcPr>
          <w:p w14:paraId="150AA5E1" w14:textId="77777777" w:rsidR="00CA5D06" w:rsidRPr="00FE2282" w:rsidRDefault="00CA5D06" w:rsidP="00CA5D06">
            <w:pPr>
              <w:spacing w:after="0"/>
              <w:rPr>
                <w:sz w:val="20"/>
                <w:szCs w:val="20"/>
              </w:rPr>
            </w:pPr>
            <w:r w:rsidRPr="00FE2282">
              <w:rPr>
                <w:sz w:val="20"/>
                <w:szCs w:val="20"/>
              </w:rPr>
              <w:t>Famoxadone (JMPR, 2003)</w:t>
            </w:r>
          </w:p>
        </w:tc>
        <w:tc>
          <w:tcPr>
            <w:tcW w:w="4331" w:type="dxa"/>
            <w:tcBorders>
              <w:top w:val="single" w:sz="4" w:space="0" w:color="auto"/>
              <w:left w:val="single" w:sz="4" w:space="0" w:color="auto"/>
              <w:bottom w:val="nil"/>
              <w:right w:val="single" w:sz="4" w:space="0" w:color="auto"/>
            </w:tcBorders>
            <w:shd w:val="clear" w:color="auto" w:fill="auto"/>
            <w:noWrap/>
            <w:vAlign w:val="center"/>
          </w:tcPr>
          <w:p w14:paraId="548A6FFF" w14:textId="77777777" w:rsidR="00CA5D06" w:rsidRPr="00FE2282" w:rsidRDefault="00CA5D06" w:rsidP="00CA5D06">
            <w:pPr>
              <w:spacing w:after="0"/>
              <w:rPr>
                <w:sz w:val="20"/>
                <w:szCs w:val="20"/>
              </w:rPr>
            </w:pPr>
            <w:r w:rsidRPr="00FE2282">
              <w:rPr>
                <w:sz w:val="20"/>
                <w:szCs w:val="20"/>
              </w:rPr>
              <w:t>cataracts</w:t>
            </w:r>
          </w:p>
        </w:tc>
        <w:tc>
          <w:tcPr>
            <w:tcW w:w="2551" w:type="dxa"/>
            <w:tcBorders>
              <w:top w:val="single" w:sz="4" w:space="0" w:color="auto"/>
              <w:left w:val="single" w:sz="4" w:space="0" w:color="auto"/>
              <w:bottom w:val="nil"/>
              <w:right w:val="single" w:sz="4" w:space="0" w:color="auto"/>
            </w:tcBorders>
            <w:shd w:val="clear" w:color="auto" w:fill="auto"/>
            <w:noWrap/>
            <w:vAlign w:val="center"/>
          </w:tcPr>
          <w:p w14:paraId="5DF75982" w14:textId="77777777" w:rsidR="00CA5D06" w:rsidRPr="00FE2282" w:rsidRDefault="00CA5D06" w:rsidP="00CA5D06">
            <w:pPr>
              <w:spacing w:after="0"/>
              <w:jc w:val="center"/>
              <w:rPr>
                <w:sz w:val="20"/>
                <w:szCs w:val="20"/>
              </w:rPr>
            </w:pPr>
            <w:r w:rsidRPr="00FE2282">
              <w:rPr>
                <w:sz w:val="20"/>
                <w:szCs w:val="20"/>
              </w:rPr>
              <w:t>29</w:t>
            </w:r>
          </w:p>
        </w:tc>
        <w:tc>
          <w:tcPr>
            <w:tcW w:w="2410" w:type="dxa"/>
            <w:tcBorders>
              <w:top w:val="single" w:sz="4" w:space="0" w:color="auto"/>
              <w:left w:val="single" w:sz="4" w:space="0" w:color="auto"/>
              <w:bottom w:val="nil"/>
            </w:tcBorders>
            <w:shd w:val="clear" w:color="auto" w:fill="auto"/>
            <w:noWrap/>
            <w:vAlign w:val="center"/>
          </w:tcPr>
          <w:p w14:paraId="7531C231" w14:textId="77777777" w:rsidR="00CA5D06" w:rsidRPr="00FE2282" w:rsidRDefault="00CA5D06" w:rsidP="00CA5D06">
            <w:pPr>
              <w:spacing w:after="0"/>
              <w:jc w:val="center"/>
              <w:rPr>
                <w:sz w:val="20"/>
                <w:szCs w:val="20"/>
              </w:rPr>
            </w:pPr>
          </w:p>
        </w:tc>
      </w:tr>
      <w:tr w:rsidR="00D934F0" w:rsidRPr="00FE2282" w14:paraId="6E3B430D" w14:textId="77777777" w:rsidTr="00F13DED">
        <w:trPr>
          <w:trHeight w:val="255"/>
        </w:trPr>
        <w:tc>
          <w:tcPr>
            <w:tcW w:w="2503" w:type="dxa"/>
            <w:tcBorders>
              <w:top w:val="nil"/>
              <w:bottom w:val="single" w:sz="4" w:space="0" w:color="auto"/>
              <w:right w:val="single" w:sz="4" w:space="0" w:color="auto"/>
            </w:tcBorders>
            <w:shd w:val="clear" w:color="auto" w:fill="auto"/>
            <w:noWrap/>
            <w:vAlign w:val="center"/>
          </w:tcPr>
          <w:p w14:paraId="0B02B73A" w14:textId="77777777" w:rsidR="00CA5D06" w:rsidRPr="00FE2282" w:rsidRDefault="00CA5D06" w:rsidP="00CA5D06">
            <w:pPr>
              <w:spacing w:after="0"/>
              <w:rPr>
                <w:sz w:val="20"/>
                <w:szCs w:val="20"/>
              </w:rPr>
            </w:pPr>
          </w:p>
        </w:tc>
        <w:tc>
          <w:tcPr>
            <w:tcW w:w="4331" w:type="dxa"/>
            <w:tcBorders>
              <w:top w:val="nil"/>
              <w:left w:val="single" w:sz="4" w:space="0" w:color="auto"/>
              <w:bottom w:val="single" w:sz="4" w:space="0" w:color="auto"/>
              <w:right w:val="single" w:sz="4" w:space="0" w:color="auto"/>
            </w:tcBorders>
            <w:shd w:val="clear" w:color="auto" w:fill="auto"/>
            <w:noWrap/>
            <w:vAlign w:val="center"/>
          </w:tcPr>
          <w:p w14:paraId="023BE28C" w14:textId="77777777" w:rsidR="00CA5D06" w:rsidRPr="00FE2282" w:rsidRDefault="00CA5D06" w:rsidP="00CA5D06">
            <w:pPr>
              <w:spacing w:after="0"/>
              <w:rPr>
                <w:sz w:val="20"/>
                <w:szCs w:val="20"/>
              </w:rPr>
            </w:pPr>
            <w:r w:rsidRPr="00FE2282">
              <w:rPr>
                <w:sz w:val="20"/>
                <w:szCs w:val="20"/>
              </w:rPr>
              <w:t>microscopic lenticular degeneration</w:t>
            </w:r>
          </w:p>
        </w:tc>
        <w:tc>
          <w:tcPr>
            <w:tcW w:w="2551" w:type="dxa"/>
            <w:tcBorders>
              <w:top w:val="nil"/>
              <w:left w:val="single" w:sz="4" w:space="0" w:color="auto"/>
              <w:bottom w:val="single" w:sz="4" w:space="0" w:color="auto"/>
              <w:right w:val="single" w:sz="4" w:space="0" w:color="auto"/>
            </w:tcBorders>
            <w:shd w:val="clear" w:color="auto" w:fill="auto"/>
            <w:noWrap/>
            <w:vAlign w:val="center"/>
          </w:tcPr>
          <w:p w14:paraId="4E6ECA5C" w14:textId="77777777" w:rsidR="00CA5D06" w:rsidRPr="00FE2282" w:rsidRDefault="00CA5D06" w:rsidP="00CA5D06">
            <w:pPr>
              <w:spacing w:after="0"/>
              <w:jc w:val="center"/>
              <w:rPr>
                <w:sz w:val="20"/>
                <w:szCs w:val="20"/>
              </w:rPr>
            </w:pPr>
            <w:r w:rsidRPr="00FE2282">
              <w:rPr>
                <w:sz w:val="20"/>
                <w:szCs w:val="20"/>
              </w:rPr>
              <w:t>29</w:t>
            </w:r>
          </w:p>
        </w:tc>
        <w:tc>
          <w:tcPr>
            <w:tcW w:w="2410" w:type="dxa"/>
            <w:tcBorders>
              <w:top w:val="nil"/>
              <w:left w:val="single" w:sz="4" w:space="0" w:color="auto"/>
              <w:bottom w:val="single" w:sz="4" w:space="0" w:color="auto"/>
            </w:tcBorders>
            <w:shd w:val="clear" w:color="auto" w:fill="auto"/>
            <w:noWrap/>
            <w:vAlign w:val="center"/>
          </w:tcPr>
          <w:p w14:paraId="0B55F96E" w14:textId="77777777" w:rsidR="00CA5D06" w:rsidRPr="00FE2282" w:rsidRDefault="00CA5D06" w:rsidP="00CA5D06">
            <w:pPr>
              <w:spacing w:after="0"/>
              <w:jc w:val="center"/>
              <w:rPr>
                <w:sz w:val="20"/>
                <w:szCs w:val="20"/>
              </w:rPr>
            </w:pPr>
          </w:p>
        </w:tc>
      </w:tr>
      <w:tr w:rsidR="00D934F0" w:rsidRPr="00FE2282" w14:paraId="18563E2D" w14:textId="77777777" w:rsidTr="00F13DED">
        <w:trPr>
          <w:trHeight w:val="255"/>
        </w:trPr>
        <w:tc>
          <w:tcPr>
            <w:tcW w:w="2503" w:type="dxa"/>
            <w:tcBorders>
              <w:top w:val="single" w:sz="4" w:space="0" w:color="auto"/>
              <w:bottom w:val="single" w:sz="4" w:space="0" w:color="auto"/>
              <w:right w:val="single" w:sz="4" w:space="0" w:color="auto"/>
            </w:tcBorders>
            <w:shd w:val="clear" w:color="auto" w:fill="auto"/>
            <w:noWrap/>
            <w:vAlign w:val="center"/>
          </w:tcPr>
          <w:p w14:paraId="72882A74" w14:textId="77777777" w:rsidR="00CA5D06" w:rsidRPr="00FE2282" w:rsidRDefault="00CA5D06" w:rsidP="00CA5D06">
            <w:pPr>
              <w:spacing w:after="0"/>
              <w:rPr>
                <w:sz w:val="20"/>
                <w:szCs w:val="20"/>
              </w:rPr>
            </w:pPr>
            <w:r w:rsidRPr="00FE2282">
              <w:rPr>
                <w:sz w:val="20"/>
                <w:szCs w:val="20"/>
              </w:rPr>
              <w:t>Tributyltin (EFSA, 2004)</w:t>
            </w:r>
          </w:p>
        </w:tc>
        <w:tc>
          <w:tcPr>
            <w:tcW w:w="43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D19129" w14:textId="77777777" w:rsidR="00CA5D06" w:rsidRPr="00FE2282" w:rsidRDefault="00CA5D06" w:rsidP="00CA5D06">
            <w:pPr>
              <w:spacing w:after="0"/>
              <w:rPr>
                <w:sz w:val="20"/>
                <w:szCs w:val="20"/>
              </w:rPr>
            </w:pPr>
            <w:r w:rsidRPr="00FE2282">
              <w:rPr>
                <w:sz w:val="20"/>
                <w:szCs w:val="20"/>
              </w:rPr>
              <w:t>testis weight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BAB6D3" w14:textId="77777777" w:rsidR="00CA5D06" w:rsidRPr="00FE2282" w:rsidRDefault="00CA5D06" w:rsidP="00CA5D06">
            <w:pPr>
              <w:spacing w:after="0"/>
              <w:jc w:val="center"/>
              <w:rPr>
                <w:sz w:val="20"/>
                <w:szCs w:val="20"/>
              </w:rPr>
            </w:pPr>
          </w:p>
        </w:tc>
        <w:tc>
          <w:tcPr>
            <w:tcW w:w="2410" w:type="dxa"/>
            <w:tcBorders>
              <w:top w:val="single" w:sz="4" w:space="0" w:color="auto"/>
              <w:left w:val="single" w:sz="4" w:space="0" w:color="auto"/>
              <w:bottom w:val="single" w:sz="4" w:space="0" w:color="auto"/>
            </w:tcBorders>
            <w:shd w:val="clear" w:color="auto" w:fill="auto"/>
            <w:noWrap/>
            <w:vAlign w:val="center"/>
          </w:tcPr>
          <w:p w14:paraId="1C0489E8" w14:textId="77777777" w:rsidR="00CA5D06" w:rsidRPr="00FE2282" w:rsidRDefault="00CA5D06" w:rsidP="00CA5D06">
            <w:pPr>
              <w:spacing w:after="0"/>
              <w:jc w:val="center"/>
              <w:rPr>
                <w:sz w:val="20"/>
                <w:szCs w:val="20"/>
              </w:rPr>
            </w:pPr>
            <w:r w:rsidRPr="00FE2282">
              <w:rPr>
                <w:sz w:val="20"/>
                <w:szCs w:val="20"/>
              </w:rPr>
              <w:t>9.1</w:t>
            </w:r>
          </w:p>
        </w:tc>
      </w:tr>
      <w:tr w:rsidR="00D934F0" w:rsidRPr="00FE2282" w14:paraId="4B252E9D" w14:textId="77777777" w:rsidTr="00F13DED">
        <w:trPr>
          <w:trHeight w:val="255"/>
        </w:trPr>
        <w:tc>
          <w:tcPr>
            <w:tcW w:w="2503" w:type="dxa"/>
            <w:tcBorders>
              <w:top w:val="single" w:sz="4" w:space="0" w:color="auto"/>
              <w:bottom w:val="single" w:sz="4" w:space="0" w:color="auto"/>
              <w:right w:val="single" w:sz="4" w:space="0" w:color="auto"/>
            </w:tcBorders>
            <w:shd w:val="clear" w:color="auto" w:fill="auto"/>
            <w:noWrap/>
            <w:vAlign w:val="center"/>
          </w:tcPr>
          <w:p w14:paraId="3F9BFA12" w14:textId="77777777" w:rsidR="00CA5D06" w:rsidRPr="00FE2282" w:rsidRDefault="00CA5D06" w:rsidP="00CA5D06">
            <w:pPr>
              <w:spacing w:after="0"/>
              <w:rPr>
                <w:sz w:val="20"/>
                <w:szCs w:val="20"/>
              </w:rPr>
            </w:pPr>
            <w:proofErr w:type="spellStart"/>
            <w:r w:rsidRPr="00FE2282">
              <w:rPr>
                <w:sz w:val="20"/>
                <w:szCs w:val="20"/>
              </w:rPr>
              <w:t>Fumonisin</w:t>
            </w:r>
            <w:proofErr w:type="spellEnd"/>
            <w:r w:rsidRPr="00FE2282">
              <w:rPr>
                <w:sz w:val="20"/>
                <w:szCs w:val="20"/>
              </w:rPr>
              <w:t xml:space="preserve"> (EFSA, 2005)</w:t>
            </w:r>
          </w:p>
        </w:tc>
        <w:tc>
          <w:tcPr>
            <w:tcW w:w="43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D56771" w14:textId="77777777" w:rsidR="00CA5D06" w:rsidRPr="00FE2282" w:rsidRDefault="00CA5D06" w:rsidP="00CA5D06">
            <w:pPr>
              <w:spacing w:after="0"/>
              <w:rPr>
                <w:sz w:val="20"/>
                <w:szCs w:val="20"/>
              </w:rPr>
            </w:pPr>
            <w:r w:rsidRPr="00FE2282">
              <w:rPr>
                <w:sz w:val="20"/>
                <w:szCs w:val="20"/>
              </w:rPr>
              <w:t>nephrosis</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EE5143" w14:textId="77777777" w:rsidR="00CA5D06" w:rsidRPr="00FE2282" w:rsidRDefault="00CA5D06" w:rsidP="00CA5D06">
            <w:pPr>
              <w:spacing w:after="0"/>
              <w:jc w:val="center"/>
              <w:rPr>
                <w:sz w:val="20"/>
                <w:szCs w:val="20"/>
              </w:rPr>
            </w:pPr>
            <w:r w:rsidRPr="00FE2282">
              <w:rPr>
                <w:sz w:val="20"/>
                <w:szCs w:val="20"/>
              </w:rPr>
              <w:t>8.6</w:t>
            </w:r>
          </w:p>
        </w:tc>
        <w:tc>
          <w:tcPr>
            <w:tcW w:w="2410" w:type="dxa"/>
            <w:tcBorders>
              <w:top w:val="single" w:sz="4" w:space="0" w:color="auto"/>
              <w:left w:val="single" w:sz="4" w:space="0" w:color="auto"/>
              <w:bottom w:val="single" w:sz="4" w:space="0" w:color="auto"/>
            </w:tcBorders>
            <w:shd w:val="clear" w:color="auto" w:fill="auto"/>
            <w:noWrap/>
            <w:vAlign w:val="center"/>
          </w:tcPr>
          <w:p w14:paraId="77B050CD" w14:textId="77777777" w:rsidR="00CA5D06" w:rsidRPr="00FE2282" w:rsidRDefault="00CA5D06" w:rsidP="00CA5D06">
            <w:pPr>
              <w:spacing w:after="0"/>
              <w:jc w:val="center"/>
              <w:rPr>
                <w:sz w:val="20"/>
                <w:szCs w:val="20"/>
              </w:rPr>
            </w:pPr>
          </w:p>
        </w:tc>
      </w:tr>
      <w:tr w:rsidR="00D934F0" w:rsidRPr="00FE2282" w14:paraId="47FB35B9" w14:textId="77777777" w:rsidTr="00F13DED">
        <w:trPr>
          <w:trHeight w:val="255"/>
        </w:trPr>
        <w:tc>
          <w:tcPr>
            <w:tcW w:w="2503" w:type="dxa"/>
            <w:tcBorders>
              <w:top w:val="single" w:sz="4" w:space="0" w:color="auto"/>
              <w:bottom w:val="single" w:sz="4" w:space="0" w:color="auto"/>
              <w:right w:val="single" w:sz="4" w:space="0" w:color="auto"/>
            </w:tcBorders>
            <w:shd w:val="clear" w:color="auto" w:fill="auto"/>
            <w:noWrap/>
            <w:vAlign w:val="center"/>
          </w:tcPr>
          <w:p w14:paraId="6C7A105A" w14:textId="77777777" w:rsidR="00CA5D06" w:rsidRPr="00FE2282" w:rsidRDefault="00CA5D06" w:rsidP="00CA5D06">
            <w:pPr>
              <w:spacing w:after="0"/>
              <w:rPr>
                <w:sz w:val="20"/>
                <w:szCs w:val="20"/>
              </w:rPr>
            </w:pPr>
            <w:r w:rsidRPr="00FE2282">
              <w:rPr>
                <w:sz w:val="20"/>
                <w:szCs w:val="20"/>
              </w:rPr>
              <w:t>Deoxynivalenol (EFSA, 2004)</w:t>
            </w:r>
          </w:p>
        </w:tc>
        <w:tc>
          <w:tcPr>
            <w:tcW w:w="43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D24C4D" w14:textId="77777777" w:rsidR="00CA5D06" w:rsidRPr="00FE2282" w:rsidRDefault="00CA5D06" w:rsidP="00CA5D06">
            <w:pPr>
              <w:spacing w:after="0"/>
              <w:rPr>
                <w:sz w:val="20"/>
                <w:szCs w:val="20"/>
              </w:rPr>
            </w:pPr>
            <w:r w:rsidRPr="00FE2282">
              <w:rPr>
                <w:sz w:val="20"/>
                <w:szCs w:val="20"/>
              </w:rPr>
              <w:t>body weight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C5E657" w14:textId="77777777" w:rsidR="00CA5D06" w:rsidRPr="00FE2282" w:rsidRDefault="00CA5D06" w:rsidP="00CA5D06">
            <w:pPr>
              <w:spacing w:after="0"/>
              <w:jc w:val="center"/>
              <w:rPr>
                <w:sz w:val="20"/>
                <w:szCs w:val="20"/>
              </w:rPr>
            </w:pPr>
          </w:p>
        </w:tc>
        <w:tc>
          <w:tcPr>
            <w:tcW w:w="2410" w:type="dxa"/>
            <w:tcBorders>
              <w:top w:val="single" w:sz="4" w:space="0" w:color="auto"/>
              <w:left w:val="single" w:sz="4" w:space="0" w:color="auto"/>
              <w:bottom w:val="single" w:sz="4" w:space="0" w:color="auto"/>
            </w:tcBorders>
            <w:shd w:val="clear" w:color="auto" w:fill="auto"/>
            <w:noWrap/>
            <w:vAlign w:val="center"/>
          </w:tcPr>
          <w:p w14:paraId="12224C35" w14:textId="77777777" w:rsidR="00CA5D06" w:rsidRPr="00FE2282" w:rsidRDefault="00CA5D06" w:rsidP="00CA5D06">
            <w:pPr>
              <w:spacing w:after="0"/>
              <w:jc w:val="center"/>
              <w:rPr>
                <w:sz w:val="20"/>
                <w:szCs w:val="20"/>
              </w:rPr>
            </w:pPr>
            <w:r w:rsidRPr="00FE2282">
              <w:rPr>
                <w:sz w:val="20"/>
                <w:szCs w:val="20"/>
              </w:rPr>
              <w:t>10.5</w:t>
            </w:r>
          </w:p>
        </w:tc>
      </w:tr>
      <w:tr w:rsidR="00D934F0" w:rsidRPr="00FE2282" w14:paraId="5B2983C4" w14:textId="77777777" w:rsidTr="00F13DED">
        <w:trPr>
          <w:trHeight w:val="255"/>
        </w:trPr>
        <w:tc>
          <w:tcPr>
            <w:tcW w:w="2503" w:type="dxa"/>
            <w:tcBorders>
              <w:top w:val="single" w:sz="4" w:space="0" w:color="auto"/>
              <w:bottom w:val="single" w:sz="4" w:space="0" w:color="auto"/>
              <w:right w:val="single" w:sz="4" w:space="0" w:color="auto"/>
            </w:tcBorders>
            <w:shd w:val="clear" w:color="auto" w:fill="auto"/>
            <w:noWrap/>
            <w:vAlign w:val="center"/>
          </w:tcPr>
          <w:p w14:paraId="0B48CE0E" w14:textId="77777777" w:rsidR="00CA5D06" w:rsidRPr="00FE2282" w:rsidRDefault="00CA5D06" w:rsidP="00CA5D06">
            <w:pPr>
              <w:spacing w:after="0"/>
              <w:rPr>
                <w:sz w:val="20"/>
                <w:szCs w:val="20"/>
              </w:rPr>
            </w:pPr>
            <w:r w:rsidRPr="00FE2282">
              <w:rPr>
                <w:sz w:val="20"/>
                <w:szCs w:val="20"/>
              </w:rPr>
              <w:t xml:space="preserve">Ethyl </w:t>
            </w:r>
            <w:proofErr w:type="spellStart"/>
            <w:r w:rsidRPr="00FE2282">
              <w:rPr>
                <w:sz w:val="20"/>
                <w:szCs w:val="20"/>
              </w:rPr>
              <w:t>lauroyl</w:t>
            </w:r>
            <w:proofErr w:type="spellEnd"/>
            <w:r w:rsidRPr="00FE2282">
              <w:rPr>
                <w:sz w:val="20"/>
                <w:szCs w:val="20"/>
              </w:rPr>
              <w:t xml:space="preserve"> </w:t>
            </w:r>
            <w:proofErr w:type="spellStart"/>
            <w:r w:rsidRPr="00FE2282">
              <w:rPr>
                <w:sz w:val="20"/>
                <w:szCs w:val="20"/>
              </w:rPr>
              <w:t>arginate</w:t>
            </w:r>
            <w:proofErr w:type="spellEnd"/>
            <w:r w:rsidRPr="00FE2282">
              <w:rPr>
                <w:sz w:val="20"/>
                <w:szCs w:val="20"/>
              </w:rPr>
              <w:t xml:space="preserve"> (EFSA, 2007)</w:t>
            </w:r>
          </w:p>
        </w:tc>
        <w:tc>
          <w:tcPr>
            <w:tcW w:w="43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5AC62" w14:textId="77777777" w:rsidR="00CA5D06" w:rsidRPr="00FE2282" w:rsidRDefault="00CA5D06" w:rsidP="00CA5D06">
            <w:pPr>
              <w:spacing w:after="0"/>
              <w:rPr>
                <w:sz w:val="20"/>
                <w:szCs w:val="20"/>
              </w:rPr>
            </w:pPr>
            <w:r w:rsidRPr="00FE2282">
              <w:rPr>
                <w:sz w:val="20"/>
                <w:szCs w:val="20"/>
              </w:rPr>
              <w:t>white blood cell counts</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82CF0A" w14:textId="77777777" w:rsidR="00CA5D06" w:rsidRPr="00FE2282" w:rsidRDefault="00CA5D06" w:rsidP="00CA5D06">
            <w:pPr>
              <w:spacing w:after="0"/>
              <w:jc w:val="center"/>
              <w:rPr>
                <w:sz w:val="20"/>
                <w:szCs w:val="20"/>
              </w:rPr>
            </w:pPr>
          </w:p>
        </w:tc>
        <w:tc>
          <w:tcPr>
            <w:tcW w:w="2410" w:type="dxa"/>
            <w:tcBorders>
              <w:top w:val="single" w:sz="4" w:space="0" w:color="auto"/>
              <w:left w:val="single" w:sz="4" w:space="0" w:color="auto"/>
              <w:bottom w:val="single" w:sz="4" w:space="0" w:color="auto"/>
            </w:tcBorders>
            <w:shd w:val="clear" w:color="auto" w:fill="auto"/>
            <w:noWrap/>
            <w:vAlign w:val="center"/>
          </w:tcPr>
          <w:p w14:paraId="424DAF9E" w14:textId="77777777" w:rsidR="00CA5D06" w:rsidRPr="00FE2282" w:rsidRDefault="00CA5D06" w:rsidP="00CA5D06">
            <w:pPr>
              <w:spacing w:after="0"/>
              <w:jc w:val="center"/>
              <w:rPr>
                <w:sz w:val="20"/>
                <w:szCs w:val="20"/>
              </w:rPr>
            </w:pPr>
            <w:r w:rsidRPr="00FE2282">
              <w:rPr>
                <w:sz w:val="20"/>
                <w:szCs w:val="20"/>
              </w:rPr>
              <w:t>23</w:t>
            </w:r>
          </w:p>
        </w:tc>
      </w:tr>
    </w:tbl>
    <w:p w14:paraId="62B0D762" w14:textId="77777777" w:rsidR="00CA5D06" w:rsidRPr="006D4908" w:rsidRDefault="00CA5D06" w:rsidP="00CA5D06">
      <w:pPr>
        <w:pStyle w:val="ListParagraph"/>
        <w:numPr>
          <w:ilvl w:val="0"/>
          <w:numId w:val="48"/>
        </w:numPr>
        <w:rPr>
          <w:sz w:val="18"/>
          <w:szCs w:val="18"/>
        </w:rPr>
      </w:pPr>
      <w:r w:rsidRPr="006D4908">
        <w:rPr>
          <w:sz w:val="18"/>
          <w:szCs w:val="18"/>
        </w:rPr>
        <w:t>As calculated by the Scientific Committee.</w:t>
      </w:r>
    </w:p>
    <w:p w14:paraId="3543BAFF" w14:textId="77777777" w:rsidR="00CA5D06" w:rsidRPr="006D4908" w:rsidRDefault="00CA5D06" w:rsidP="00CA5D06">
      <w:pPr>
        <w:pStyle w:val="ListParagraph"/>
        <w:numPr>
          <w:ilvl w:val="0"/>
          <w:numId w:val="48"/>
        </w:numPr>
        <w:rPr>
          <w:bCs/>
          <w:sz w:val="18"/>
          <w:szCs w:val="18"/>
        </w:rPr>
      </w:pPr>
      <w:r w:rsidRPr="006D4908">
        <w:rPr>
          <w:bCs/>
          <w:sz w:val="18"/>
          <w:szCs w:val="18"/>
        </w:rPr>
        <w:t>two-sided 90%-confidence interval for extra risk was calculated by the likelihood profile method.</w:t>
      </w:r>
    </w:p>
    <w:p w14:paraId="02698DCD" w14:textId="77777777" w:rsidR="00CA5D06" w:rsidRPr="006D4908" w:rsidRDefault="00CA5D06" w:rsidP="00CA5D06">
      <w:pPr>
        <w:pStyle w:val="ListParagraph"/>
        <w:numPr>
          <w:ilvl w:val="0"/>
          <w:numId w:val="48"/>
        </w:numPr>
        <w:rPr>
          <w:bCs/>
          <w:sz w:val="18"/>
          <w:szCs w:val="18"/>
        </w:rPr>
      </w:pPr>
      <w:r w:rsidRPr="006D4908">
        <w:rPr>
          <w:bCs/>
          <w:sz w:val="18"/>
          <w:szCs w:val="18"/>
        </w:rPr>
        <w:t>Two-sided 90%-confidence interval was calculated for the difference on log-scale, and then transformed back, resulting in the confidence interval for percent change (see Slob (2002) for further statistical assumptions).</w:t>
      </w:r>
    </w:p>
    <w:p w14:paraId="267197B0" w14:textId="77777777" w:rsidR="00CA5D06" w:rsidRDefault="00CA5D06" w:rsidP="00CA5D06"/>
    <w:p w14:paraId="6ED506D7" w14:textId="77777777" w:rsidR="00CA5D06" w:rsidRDefault="00CA5D06" w:rsidP="00CA5D06">
      <w:pPr>
        <w:sectPr w:rsidR="00CA5D06" w:rsidSect="00E07A63">
          <w:pgSz w:w="16838" w:h="11906" w:orient="landscape"/>
          <w:pgMar w:top="1418" w:right="1418" w:bottom="1418" w:left="1418" w:header="709" w:footer="709" w:gutter="0"/>
          <w:lnNumType w:countBy="1" w:restart="continuous"/>
          <w:cols w:space="720"/>
          <w:docGrid w:linePitch="360" w:charSpace="2047"/>
        </w:sectPr>
      </w:pPr>
    </w:p>
    <w:p w14:paraId="70B48521" w14:textId="5AAFBF84" w:rsidR="00EF285F" w:rsidRPr="0018799F" w:rsidRDefault="00EF285F" w:rsidP="00D640A4"/>
    <w:p w14:paraId="459F77AB" w14:textId="40A62CA5" w:rsidR="003A6EE3" w:rsidRDefault="003A6EE3" w:rsidP="00FA4D7F">
      <w:pPr>
        <w:pStyle w:val="EFSAAppendixtitle"/>
        <w:ind w:left="1701" w:hanging="1701"/>
      </w:pPr>
      <w:bookmarkStart w:id="85" w:name="_Ref94101512"/>
      <w:bookmarkStart w:id="86" w:name="_Toc94255352"/>
      <w:r>
        <w:t>Statistical methodology</w:t>
      </w:r>
      <w:bookmarkEnd w:id="85"/>
      <w:bookmarkEnd w:id="86"/>
    </w:p>
    <w:p w14:paraId="51A353C3" w14:textId="0B134350" w:rsidR="00416D31" w:rsidRPr="00D640A4" w:rsidRDefault="007D732B" w:rsidP="00D640A4">
      <w:pPr>
        <w:pStyle w:val="EFSAHeading4"/>
      </w:pPr>
      <w:r>
        <w:t>Interpretation of parameters in terms of characteristics of the median response</w:t>
      </w:r>
    </w:p>
    <w:p w14:paraId="01D14645" w14:textId="312E7FAD" w:rsidR="00416D31" w:rsidRPr="001B2963" w:rsidRDefault="00416D31" w:rsidP="00D85EB0">
      <w:pPr>
        <w:pStyle w:val="EFSABodytext"/>
        <w:rPr>
          <w:rFonts w:eastAsiaTheme="minorEastAsia"/>
        </w:rPr>
      </w:pPr>
      <w:r>
        <w:rPr>
          <w:rFonts w:eastAsiaTheme="minorEastAsia"/>
        </w:rPr>
        <w:t>Table</w:t>
      </w:r>
      <w:r w:rsidDel="00D34C03">
        <w:rPr>
          <w:rFonts w:eastAsiaTheme="minorEastAsia"/>
        </w:rPr>
        <w:t xml:space="preserve"> </w:t>
      </w:r>
      <w:r w:rsidR="00D34C03">
        <w:rPr>
          <w:rFonts w:eastAsiaTheme="minorEastAsia"/>
        </w:rPr>
        <w:t>B</w:t>
      </w:r>
      <w:r w:rsidR="00AD3817">
        <w:rPr>
          <w:rFonts w:eastAsiaTheme="minorEastAsia"/>
        </w:rPr>
        <w:t>.1</w:t>
      </w:r>
      <w:r>
        <w:rPr>
          <w:rFonts w:eastAsiaTheme="minorEastAsia"/>
        </w:rPr>
        <w:t xml:space="preserve"> shows how each of the parameters </w:t>
      </w:r>
      <m:oMath>
        <m:r>
          <w:rPr>
            <w:rFonts w:ascii="Cambria Math" w:eastAsiaTheme="minorEastAsia" w:hAnsi="Cambria Math"/>
          </w:rPr>
          <m:t>a,b, c,d</m:t>
        </m:r>
      </m:oMath>
      <w:r>
        <w:rPr>
          <w:rFonts w:eastAsiaTheme="minorEastAsia"/>
        </w:rPr>
        <w:t xml:space="preserve"> play their role in determining the median response at dose </w:t>
      </w:r>
      <m:oMath>
        <m:r>
          <w:rPr>
            <w:rFonts w:ascii="Cambria Math" w:eastAsiaTheme="minorEastAsia" w:hAnsi="Cambria Math"/>
          </w:rPr>
          <m:t>x</m:t>
        </m:r>
      </m:oMath>
      <w:r>
        <w:rPr>
          <w:rFonts w:eastAsiaTheme="minorEastAsia"/>
        </w:rPr>
        <w:t xml:space="preserve"> for the models of Family 1.</w:t>
      </w:r>
    </w:p>
    <w:p w14:paraId="54818428" w14:textId="77777777" w:rsidR="00416D31" w:rsidRPr="003E7ABB" w:rsidRDefault="00416D31" w:rsidP="00416D31">
      <w:pPr>
        <w:pStyle w:val="EFSABodytext"/>
        <w:jc w:val="left"/>
        <w:rPr>
          <w:rFonts w:eastAsiaTheme="minorEastAsia"/>
          <w:sz w:val="8"/>
          <w:szCs w:val="8"/>
        </w:rPr>
      </w:pPr>
    </w:p>
    <w:p w14:paraId="07B7CA21" w14:textId="0D05D428" w:rsidR="00416D31" w:rsidRPr="00DE30D2" w:rsidRDefault="00416D31" w:rsidP="00416D31">
      <w:pPr>
        <w:pStyle w:val="Caption"/>
        <w:keepNext/>
        <w:rPr>
          <w:rFonts w:ascii="Tahoma" w:hAnsi="Tahoma" w:cs="Tahoma"/>
        </w:rPr>
      </w:pPr>
      <w:r w:rsidRPr="00B55846">
        <w:rPr>
          <w:rFonts w:ascii="Tahoma" w:hAnsi="Tahoma" w:cs="Tahoma"/>
        </w:rPr>
        <w:t>Table</w:t>
      </w:r>
      <w:r w:rsidR="00646D24" w:rsidRPr="00B55846">
        <w:rPr>
          <w:rFonts w:ascii="Tahoma" w:hAnsi="Tahoma" w:cs="Tahoma"/>
        </w:rPr>
        <w:t xml:space="preserve"> </w:t>
      </w:r>
      <w:r w:rsidR="00C54C7B" w:rsidRPr="00B55846">
        <w:rPr>
          <w:rFonts w:ascii="Tahoma" w:hAnsi="Tahoma" w:cs="Tahoma"/>
        </w:rPr>
        <w:t>B</w:t>
      </w:r>
      <w:r w:rsidR="00646D24" w:rsidRPr="00B55846">
        <w:rPr>
          <w:rFonts w:ascii="Tahoma" w:hAnsi="Tahoma" w:cs="Tahoma"/>
        </w:rPr>
        <w:t>.</w:t>
      </w:r>
      <w:r w:rsidR="00AD3817" w:rsidRPr="00B55846">
        <w:rPr>
          <w:rFonts w:ascii="Tahoma" w:hAnsi="Tahoma" w:cs="Tahoma"/>
        </w:rPr>
        <w:t>1</w:t>
      </w:r>
      <w:r w:rsidRPr="00B55846">
        <w:rPr>
          <w:rFonts w:ascii="Tahoma" w:hAnsi="Tahoma" w:cs="Tahoma"/>
        </w:rPr>
        <w:t>:</w:t>
      </w:r>
      <w:r>
        <w:rPr>
          <w:rFonts w:ascii="Tahoma" w:hAnsi="Tahoma" w:cs="Tahoma"/>
        </w:rPr>
        <w:t xml:space="preserve"> </w:t>
      </w:r>
      <w:r>
        <w:rPr>
          <w:rFonts w:ascii="Tahoma" w:hAnsi="Tahoma" w:cs="Tahoma"/>
          <w:b w:val="0"/>
          <w:bCs w:val="0"/>
        </w:rPr>
        <w:t xml:space="preserve">Interpretation of parameters for Family 1: </w:t>
      </w:r>
      <m:oMath>
        <m:r>
          <m:rPr>
            <m:sty m:val="bi"/>
          </m:rPr>
          <w:rPr>
            <w:rFonts w:ascii="Cambria Math" w:eastAsiaTheme="minorEastAsia" w:hAnsi="Cambria Math"/>
          </w:rPr>
          <m:t>a</m:t>
        </m:r>
      </m:oMath>
      <w:r>
        <w:rPr>
          <w:rFonts w:ascii="Tahoma" w:hAnsi="Tahoma" w:cs="Tahoma"/>
          <w:b w:val="0"/>
          <w:bCs w:val="0"/>
        </w:rPr>
        <w:t xml:space="preserve"> determines the median background response; </w:t>
      </w:r>
      <m:oMath>
        <m:r>
          <m:rPr>
            <m:sty m:val="bi"/>
          </m:rPr>
          <w:rPr>
            <w:rFonts w:ascii="Cambria Math" w:hAnsi="Cambria Math" w:cs="Tahoma"/>
          </w:rPr>
          <m:t>c</m:t>
        </m:r>
      </m:oMath>
      <w:r>
        <w:rPr>
          <w:rFonts w:ascii="Tahoma" w:eastAsiaTheme="minorEastAsia" w:hAnsi="Tahoma" w:cs="Tahoma"/>
          <w:b w:val="0"/>
          <w:bCs w:val="0"/>
        </w:rPr>
        <w:t xml:space="preserve"> determines the maximum change in median response,</w:t>
      </w:r>
      <w:r w:rsidRPr="00DE30D2">
        <w:rPr>
          <w:rFonts w:ascii="Tahoma" w:eastAsiaTheme="minorEastAsia" w:hAnsi="Tahoma" w:cs="Tahoma"/>
          <w:b w:val="0"/>
          <w:bCs w:val="0"/>
        </w:rPr>
        <w:t xml:space="preserve"> </w:t>
      </w:r>
      <m:oMath>
        <m:r>
          <m:rPr>
            <m:sty m:val="bi"/>
          </m:rPr>
          <w:rPr>
            <w:rFonts w:ascii="Cambria Math" w:eastAsiaTheme="minorEastAsia" w:hAnsi="Cambria Math" w:cs="Tahoma"/>
          </w:rPr>
          <m:t>b</m:t>
        </m:r>
      </m:oMath>
      <w:r w:rsidRPr="00DE30D2">
        <w:rPr>
          <w:rFonts w:ascii="Tahoma" w:eastAsiaTheme="minorEastAsia" w:hAnsi="Tahoma" w:cs="Tahoma"/>
          <w:b w:val="0"/>
          <w:bCs w:val="0"/>
        </w:rPr>
        <w:t xml:space="preserve"> and </w:t>
      </w:r>
      <m:oMath>
        <m:r>
          <m:rPr>
            <m:sty m:val="bi"/>
          </m:rPr>
          <w:rPr>
            <w:rFonts w:ascii="Cambria Math" w:eastAsiaTheme="minorEastAsia" w:hAnsi="Cambria Math" w:cs="Tahoma"/>
          </w:rPr>
          <m:t>d</m:t>
        </m:r>
      </m:oMath>
      <w:r w:rsidRPr="00DE30D2">
        <w:rPr>
          <w:rFonts w:ascii="Tahoma" w:eastAsiaTheme="minorEastAsia" w:hAnsi="Tahoma" w:cs="Tahoma"/>
          <w:b w:val="0"/>
          <w:bCs w:val="0"/>
        </w:rPr>
        <w:t xml:space="preserve"> characterize the shape of change in median response with changing dose </w:t>
      </w:r>
      <m:oMath>
        <m:r>
          <m:rPr>
            <m:sty m:val="bi"/>
          </m:rPr>
          <w:rPr>
            <w:rFonts w:ascii="Cambria Math" w:eastAsiaTheme="minorEastAsia" w:hAnsi="Cambria Math" w:cs="Tahoma"/>
          </w:rPr>
          <m:t>x</m:t>
        </m:r>
      </m:oMath>
      <w:r w:rsidRPr="00DE30D2">
        <w:rPr>
          <w:rFonts w:ascii="Tahoma" w:eastAsiaTheme="minorEastAsia" w:hAnsi="Tahoma" w:cs="Tahoma"/>
          <w:b w:val="0"/>
          <w:bCs w:val="0"/>
        </w:rPr>
        <w:t>.</w:t>
      </w:r>
    </w:p>
    <w:tbl>
      <w:tblPr>
        <w:tblStyle w:val="TableGrid"/>
        <w:tblW w:w="8280" w:type="dxa"/>
        <w:jc w:val="center"/>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1080"/>
        <w:gridCol w:w="3870"/>
        <w:gridCol w:w="3330"/>
      </w:tblGrid>
      <w:tr w:rsidR="00416D31" w14:paraId="31A75270" w14:textId="77777777" w:rsidTr="00514D10">
        <w:trPr>
          <w:trHeight w:val="504"/>
          <w:jc w:val="center"/>
        </w:trPr>
        <w:tc>
          <w:tcPr>
            <w:tcW w:w="1080" w:type="dxa"/>
            <w:tcBorders>
              <w:bottom w:val="single" w:sz="4" w:space="0" w:color="auto"/>
            </w:tcBorders>
          </w:tcPr>
          <w:p w14:paraId="30D20511" w14:textId="77777777" w:rsidR="00416D31" w:rsidRDefault="00416D31" w:rsidP="00514D10">
            <w:pPr>
              <w:pStyle w:val="EFSABodytext"/>
              <w:jc w:val="center"/>
              <w:rPr>
                <w:rFonts w:eastAsia="Calibri" w:cs="Arial"/>
              </w:rPr>
            </w:pPr>
            <w:r>
              <w:rPr>
                <w:rFonts w:eastAsia="Calibri" w:cs="Arial"/>
              </w:rPr>
              <w:t>median response</w:t>
            </w:r>
          </w:p>
        </w:tc>
        <w:tc>
          <w:tcPr>
            <w:tcW w:w="3870" w:type="dxa"/>
            <w:tcBorders>
              <w:bottom w:val="single" w:sz="4" w:space="0" w:color="auto"/>
            </w:tcBorders>
          </w:tcPr>
          <w:p w14:paraId="0419360B" w14:textId="77777777" w:rsidR="00416D31" w:rsidRDefault="000E01A9" w:rsidP="00514D10">
            <w:pPr>
              <w:pStyle w:val="EFSABodytext"/>
              <w:rPr>
                <w:rFonts w:eastAsiaTheme="minorEastAsia"/>
              </w:rPr>
            </w:pPr>
            <m:oMathPara>
              <m:oMath>
                <m:r>
                  <w:rPr>
                    <w:rFonts w:ascii="Cambria Math" w:eastAsiaTheme="minorEastAsia" w:hAnsi="Cambria Math"/>
                  </w:rPr>
                  <m:t>y|x ~</m:t>
                </m:r>
                <m:r>
                  <m:rPr>
                    <m:sty m:val="p"/>
                  </m:rPr>
                  <w:rPr>
                    <w:rFonts w:ascii="Cambria Math" w:eastAsiaTheme="minorEastAsia" w:hAnsi="Cambria Math"/>
                  </w:rPr>
                  <m:t>N</m:t>
                </m:r>
                <m:d>
                  <m:dPr>
                    <m:ctrlPr>
                      <w:rPr>
                        <w:rFonts w:ascii="Cambria Math" w:eastAsiaTheme="minorEastAsia" w:hAnsi="Cambria Math"/>
                        <w:i/>
                      </w:rPr>
                    </m:ctrlPr>
                  </m:dPr>
                  <m:e>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e>
                </m:d>
              </m:oMath>
            </m:oMathPara>
          </w:p>
        </w:tc>
        <w:tc>
          <w:tcPr>
            <w:tcW w:w="3330" w:type="dxa"/>
            <w:tcBorders>
              <w:bottom w:val="single" w:sz="4" w:space="0" w:color="auto"/>
            </w:tcBorders>
          </w:tcPr>
          <w:p w14:paraId="563B07CE" w14:textId="77777777" w:rsidR="00416D31" w:rsidRDefault="000E01A9" w:rsidP="00514D10">
            <w:pPr>
              <w:pStyle w:val="EFSABodytext"/>
              <w:rPr>
                <w:rFonts w:eastAsiaTheme="minorEastAsia"/>
              </w:rPr>
            </w:pPr>
            <m:oMathPara>
              <m:oMath>
                <m:r>
                  <w:rPr>
                    <w:rFonts w:ascii="Cambria Math" w:eastAsiaTheme="minorEastAsia" w:hAnsi="Cambria Math"/>
                  </w:rPr>
                  <m:t>y|x ~</m:t>
                </m:r>
                <m:r>
                  <m:rPr>
                    <m:sty m:val="p"/>
                  </m:rPr>
                  <w:rPr>
                    <w:rFonts w:ascii="Cambria Math" w:eastAsiaTheme="minorEastAsia" w:hAnsi="Cambria Math"/>
                  </w:rPr>
                  <m:t>LOGN</m:t>
                </m:r>
                <m:d>
                  <m:dPr>
                    <m:ctrlPr>
                      <w:rPr>
                        <w:rFonts w:ascii="Cambria Math" w:eastAsiaTheme="minorEastAsia" w:hAnsi="Cambria Math"/>
                        <w:i/>
                      </w:rPr>
                    </m:ctrlPr>
                  </m:dPr>
                  <m:e>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e>
                </m:d>
              </m:oMath>
            </m:oMathPara>
          </w:p>
        </w:tc>
      </w:tr>
      <w:tr w:rsidR="00416D31" w14:paraId="1408A55F" w14:textId="77777777" w:rsidTr="00514D10">
        <w:trPr>
          <w:trHeight w:val="475"/>
          <w:jc w:val="center"/>
        </w:trPr>
        <w:tc>
          <w:tcPr>
            <w:tcW w:w="1080" w:type="dxa"/>
            <w:tcBorders>
              <w:bottom w:val="nil"/>
            </w:tcBorders>
            <w:vAlign w:val="center"/>
          </w:tcPr>
          <w:p w14:paraId="7B125C0A" w14:textId="77777777" w:rsidR="00416D31" w:rsidRDefault="000E01A9" w:rsidP="00514D10">
            <w:pPr>
              <w:pStyle w:val="EFSABodytext"/>
              <w:rPr>
                <w:rFonts w:eastAsia="Calibri" w:cs="Arial"/>
              </w:rPr>
            </w:pPr>
            <m:oMathPara>
              <m:oMath>
                <m:r>
                  <m:rPr>
                    <m:sty m:val="p"/>
                  </m:rPr>
                  <w:rPr>
                    <w:rFonts w:ascii="Cambria Math" w:eastAsiaTheme="minorEastAsia" w:hAnsi="Cambria Math"/>
                  </w:rPr>
                  <m:t>Med</m:t>
                </m:r>
                <m:d>
                  <m:dPr>
                    <m:ctrlPr>
                      <w:rPr>
                        <w:rFonts w:ascii="Cambria Math" w:eastAsiaTheme="minorEastAsia" w:hAnsi="Cambria Math"/>
                        <w:i/>
                      </w:rPr>
                    </m:ctrlPr>
                  </m:dPr>
                  <m:e>
                    <m:r>
                      <w:rPr>
                        <w:rFonts w:ascii="Cambria Math" w:eastAsiaTheme="minorEastAsia" w:hAnsi="Cambria Math"/>
                      </w:rPr>
                      <m:t>0</m:t>
                    </m:r>
                  </m:e>
                </m:d>
              </m:oMath>
            </m:oMathPara>
          </w:p>
        </w:tc>
        <w:tc>
          <w:tcPr>
            <w:tcW w:w="3870" w:type="dxa"/>
            <w:tcBorders>
              <w:bottom w:val="nil"/>
            </w:tcBorders>
            <w:vAlign w:val="center"/>
          </w:tcPr>
          <w:p w14:paraId="0A61E52C" w14:textId="77777777" w:rsidR="00416D31" w:rsidRDefault="000E01A9" w:rsidP="00514D10">
            <w:pPr>
              <w:pStyle w:val="EFSABodytext"/>
              <w:rPr>
                <w:rFonts w:eastAsiaTheme="minorEastAsia"/>
              </w:rPr>
            </w:pPr>
            <m:oMathPara>
              <m:oMath>
                <m:r>
                  <w:rPr>
                    <w:rFonts w:ascii="Cambria Math" w:eastAsiaTheme="minorEastAsia" w:hAnsi="Cambria Math"/>
                  </w:rPr>
                  <m:t>a</m:t>
                </m:r>
              </m:oMath>
            </m:oMathPara>
          </w:p>
        </w:tc>
        <w:tc>
          <w:tcPr>
            <w:tcW w:w="3330" w:type="dxa"/>
            <w:tcBorders>
              <w:bottom w:val="nil"/>
            </w:tcBorders>
            <w:vAlign w:val="center"/>
          </w:tcPr>
          <w:p w14:paraId="68A16E12" w14:textId="77777777" w:rsidR="00416D31" w:rsidRDefault="009615DC" w:rsidP="00514D10">
            <w:pPr>
              <w:pStyle w:val="EFSABodytext"/>
              <w:ind w:firstLine="720"/>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a</m:t>
                    </m:r>
                  </m:sup>
                </m:sSup>
              </m:oMath>
            </m:oMathPara>
          </w:p>
        </w:tc>
      </w:tr>
      <w:tr w:rsidR="00416D31" w14:paraId="13C4A837" w14:textId="77777777" w:rsidTr="00514D10">
        <w:trPr>
          <w:trHeight w:val="490"/>
          <w:jc w:val="center"/>
        </w:trPr>
        <w:tc>
          <w:tcPr>
            <w:tcW w:w="1080" w:type="dxa"/>
            <w:tcBorders>
              <w:top w:val="nil"/>
              <w:bottom w:val="nil"/>
            </w:tcBorders>
            <w:vAlign w:val="center"/>
          </w:tcPr>
          <w:p w14:paraId="2ABCF884" w14:textId="77777777" w:rsidR="00416D31" w:rsidRDefault="000E01A9" w:rsidP="00514D10">
            <w:pPr>
              <w:pStyle w:val="EFSABodytext"/>
              <w:rPr>
                <w:rFonts w:eastAsia="Calibri" w:cs="Arial"/>
              </w:rPr>
            </w:pPr>
            <m:oMathPara>
              <m:oMath>
                <m:r>
                  <m:rPr>
                    <m:sty m:val="p"/>
                  </m:rPr>
                  <w:rPr>
                    <w:rFonts w:ascii="Cambria Math" w:eastAsiaTheme="minorEastAsia" w:hAnsi="Cambria Math"/>
                  </w:rPr>
                  <m:t>Med</m:t>
                </m:r>
                <m:d>
                  <m:dPr>
                    <m:ctrlPr>
                      <w:rPr>
                        <w:rFonts w:ascii="Cambria Math" w:eastAsiaTheme="minorEastAsia" w:hAnsi="Cambria Math"/>
                        <w:i/>
                      </w:rPr>
                    </m:ctrlPr>
                  </m:dPr>
                  <m:e>
                    <m:r>
                      <w:rPr>
                        <w:rFonts w:ascii="Cambria Math" w:eastAsiaTheme="minorEastAsia" w:hAnsi="Cambria Math"/>
                      </w:rPr>
                      <m:t>∞</m:t>
                    </m:r>
                  </m:e>
                </m:d>
              </m:oMath>
            </m:oMathPara>
          </w:p>
        </w:tc>
        <w:tc>
          <w:tcPr>
            <w:tcW w:w="3870" w:type="dxa"/>
            <w:tcBorders>
              <w:top w:val="nil"/>
              <w:bottom w:val="nil"/>
            </w:tcBorders>
            <w:vAlign w:val="center"/>
          </w:tcPr>
          <w:p w14:paraId="2E96B2FA" w14:textId="77777777" w:rsidR="00416D31" w:rsidRDefault="000E01A9" w:rsidP="00514D10">
            <w:pPr>
              <w:pStyle w:val="EFSABodytext"/>
              <w:rPr>
                <w:rFonts w:eastAsiaTheme="minorEastAsia"/>
              </w:rPr>
            </w:pPr>
            <m:oMathPara>
              <m:oMath>
                <m:r>
                  <w:rPr>
                    <w:rFonts w:ascii="Cambria Math" w:eastAsiaTheme="minorEastAsia" w:hAnsi="Cambria Math"/>
                  </w:rPr>
                  <m:t xml:space="preserve">c </m:t>
                </m:r>
                <m:r>
                  <m:rPr>
                    <m:sty m:val="p"/>
                  </m:rPr>
                  <w:rPr>
                    <w:rFonts w:ascii="Cambria Math" w:eastAsiaTheme="minorEastAsia" w:hAnsi="Cambria Math"/>
                  </w:rPr>
                  <m:t>Med</m:t>
                </m:r>
                <m:d>
                  <m:dPr>
                    <m:ctrlPr>
                      <w:rPr>
                        <w:rFonts w:ascii="Cambria Math" w:eastAsiaTheme="minorEastAsia" w:hAnsi="Cambria Math"/>
                        <w:i/>
                      </w:rPr>
                    </m:ctrlPr>
                  </m:dPr>
                  <m:e>
                    <m:r>
                      <w:rPr>
                        <w:rFonts w:ascii="Cambria Math" w:eastAsiaTheme="minorEastAsia" w:hAnsi="Cambria Math"/>
                      </w:rPr>
                      <m:t>0</m:t>
                    </m:r>
                  </m:e>
                </m:d>
              </m:oMath>
            </m:oMathPara>
          </w:p>
        </w:tc>
        <w:tc>
          <w:tcPr>
            <w:tcW w:w="3330" w:type="dxa"/>
            <w:tcBorders>
              <w:top w:val="nil"/>
              <w:bottom w:val="nil"/>
            </w:tcBorders>
            <w:vAlign w:val="center"/>
          </w:tcPr>
          <w:p w14:paraId="665CDE2F" w14:textId="77777777" w:rsidR="00416D31" w:rsidRDefault="009615DC" w:rsidP="00514D10">
            <w:pPr>
              <w:pStyle w:val="EFSABodytext"/>
              <w:rPr>
                <w:rFonts w:eastAsiaTheme="minorEastAsia"/>
              </w:rPr>
            </w:pPr>
            <m:oMathPara>
              <m:oMath>
                <m:sSup>
                  <m:sSupPr>
                    <m:ctrlPr>
                      <w:rPr>
                        <w:rFonts w:ascii="Cambria Math" w:eastAsiaTheme="minorEastAsia" w:hAnsi="Cambria Math"/>
                        <w:i/>
                      </w:rPr>
                    </m:ctrlPr>
                  </m:sSupPr>
                  <m:e>
                    <m:r>
                      <m:rPr>
                        <m:sty m:val="p"/>
                      </m:rPr>
                      <w:rPr>
                        <w:rFonts w:ascii="Cambria Math" w:eastAsiaTheme="minorEastAsia" w:hAnsi="Cambria Math"/>
                      </w:rPr>
                      <m:t>Med</m:t>
                    </m:r>
                    <m:d>
                      <m:dPr>
                        <m:ctrlPr>
                          <w:rPr>
                            <w:rFonts w:ascii="Cambria Math" w:eastAsiaTheme="minorEastAsia" w:hAnsi="Cambria Math"/>
                            <w:i/>
                          </w:rPr>
                        </m:ctrlPr>
                      </m:dPr>
                      <m:e>
                        <m:r>
                          <w:rPr>
                            <w:rFonts w:ascii="Cambria Math" w:eastAsiaTheme="minorEastAsia" w:hAnsi="Cambria Math"/>
                          </w:rPr>
                          <m:t>0</m:t>
                        </m:r>
                      </m:e>
                    </m:d>
                  </m:e>
                  <m:sup>
                    <m:r>
                      <w:rPr>
                        <w:rFonts w:ascii="Cambria Math" w:eastAsiaTheme="minorEastAsia" w:hAnsi="Cambria Math"/>
                      </w:rPr>
                      <m:t>c</m:t>
                    </m:r>
                  </m:sup>
                </m:sSup>
                <m:r>
                  <w:rPr>
                    <w:rFonts w:ascii="Cambria Math" w:eastAsiaTheme="minorEastAsia" w:hAnsi="Cambria Math"/>
                  </w:rPr>
                  <m:t xml:space="preserve"> </m:t>
                </m:r>
              </m:oMath>
            </m:oMathPara>
          </w:p>
        </w:tc>
      </w:tr>
      <w:tr w:rsidR="00416D31" w14:paraId="3996CF04" w14:textId="77777777" w:rsidTr="00514D10">
        <w:trPr>
          <w:jc w:val="center"/>
        </w:trPr>
        <w:tc>
          <w:tcPr>
            <w:tcW w:w="1080" w:type="dxa"/>
            <w:tcBorders>
              <w:top w:val="nil"/>
            </w:tcBorders>
            <w:vAlign w:val="center"/>
          </w:tcPr>
          <w:p w14:paraId="7A75F21C" w14:textId="77777777" w:rsidR="00416D31" w:rsidRDefault="000E01A9" w:rsidP="00514D10">
            <w:pPr>
              <w:pStyle w:val="EFSABodytext"/>
              <w:rPr>
                <w:rFonts w:eastAsia="Calibri" w:cs="Arial"/>
              </w:rPr>
            </w:pPr>
            <m:oMathPara>
              <m:oMath>
                <m:r>
                  <m:rPr>
                    <m:sty m:val="p"/>
                  </m:rPr>
                  <w:rPr>
                    <w:rFonts w:ascii="Cambria Math" w:eastAsiaTheme="minorEastAsia" w:hAnsi="Cambria Math"/>
                  </w:rPr>
                  <m:t>Med</m:t>
                </m:r>
                <m:d>
                  <m:dPr>
                    <m:ctrlPr>
                      <w:rPr>
                        <w:rFonts w:ascii="Cambria Math" w:eastAsiaTheme="minorEastAsia" w:hAnsi="Cambria Math"/>
                        <w:i/>
                      </w:rPr>
                    </m:ctrlPr>
                  </m:dPr>
                  <m:e>
                    <m:r>
                      <w:rPr>
                        <w:rFonts w:ascii="Cambria Math" w:eastAsiaTheme="minorEastAsia" w:hAnsi="Cambria Math"/>
                      </w:rPr>
                      <m:t>x</m:t>
                    </m:r>
                  </m:e>
                </m:d>
              </m:oMath>
            </m:oMathPara>
          </w:p>
        </w:tc>
        <w:tc>
          <w:tcPr>
            <w:tcW w:w="3870" w:type="dxa"/>
            <w:tcBorders>
              <w:top w:val="nil"/>
            </w:tcBorders>
            <w:vAlign w:val="center"/>
          </w:tcPr>
          <w:p w14:paraId="19D61BDA" w14:textId="77777777" w:rsidR="00416D31" w:rsidRDefault="000E01A9" w:rsidP="00514D10">
            <w:pPr>
              <w:pStyle w:val="EFSABodytext"/>
              <w:rPr>
                <w:rFonts w:eastAsiaTheme="minorEastAsia"/>
              </w:rPr>
            </w:pPr>
            <m:oMathPara>
              <m:oMath>
                <m:r>
                  <m:rPr>
                    <m:sty m:val="p"/>
                  </m:rPr>
                  <w:rPr>
                    <w:rFonts w:ascii="Cambria Math" w:eastAsiaTheme="minorEastAsia" w:hAnsi="Cambria Math"/>
                  </w:rPr>
                  <m:t>Med</m:t>
                </m:r>
                <m:d>
                  <m:dPr>
                    <m:ctrlPr>
                      <w:rPr>
                        <w:rFonts w:ascii="Cambria Math" w:eastAsiaTheme="minorEastAsia" w:hAnsi="Cambria Math"/>
                        <w:i/>
                      </w:rPr>
                    </m:ctrlPr>
                  </m:dPr>
                  <m:e>
                    <m:r>
                      <w:rPr>
                        <w:rFonts w:ascii="Cambria Math" w:eastAsiaTheme="minorEastAsia" w:hAnsi="Cambria Math"/>
                      </w:rPr>
                      <m:t>0</m:t>
                    </m:r>
                  </m:e>
                </m:d>
                <m:r>
                  <w:rPr>
                    <w:rFonts w:ascii="Cambria Math" w:eastAsiaTheme="minorEastAsia" w:hAnsi="Cambria Math"/>
                  </w:rPr>
                  <m:t>+F</m:t>
                </m:r>
                <m:d>
                  <m:dPr>
                    <m:ctrlPr>
                      <w:rPr>
                        <w:rFonts w:ascii="Cambria Math" w:eastAsiaTheme="minorEastAsia" w:hAnsi="Cambria Math"/>
                        <w:i/>
                      </w:rPr>
                    </m:ctrlPr>
                  </m:dPr>
                  <m:e>
                    <m:r>
                      <w:rPr>
                        <w:rFonts w:ascii="Cambria Math" w:eastAsiaTheme="minorEastAsia" w:hAnsi="Cambria Math"/>
                      </w:rPr>
                      <m:t>x;b,d</m:t>
                    </m:r>
                  </m:e>
                </m:d>
                <m:r>
                  <w:rPr>
                    <w:rFonts w:ascii="Cambria Math" w:eastAsiaTheme="minorEastAsia" w:hAnsi="Cambria Math"/>
                  </w:rPr>
                  <m:t xml:space="preserve"> (</m:t>
                </m:r>
                <m:r>
                  <m:rPr>
                    <m:sty m:val="p"/>
                  </m:rPr>
                  <w:rPr>
                    <w:rFonts w:ascii="Cambria Math" w:eastAsiaTheme="minorEastAsia" w:hAnsi="Cambria Math"/>
                  </w:rPr>
                  <m:t>Med</m:t>
                </m:r>
                <m:d>
                  <m:dPr>
                    <m:ctrlPr>
                      <w:rPr>
                        <w:rFonts w:ascii="Cambria Math" w:eastAsiaTheme="minorEastAsia" w:hAnsi="Cambria Math"/>
                        <w:i/>
                      </w:rPr>
                    </m:ctrlPr>
                  </m:dPr>
                  <m:e>
                    <m:r>
                      <w:rPr>
                        <w:rFonts w:ascii="Cambria Math" w:eastAsiaTheme="minorEastAsia" w:hAnsi="Cambria Math"/>
                      </w:rPr>
                      <m:t>∞</m:t>
                    </m:r>
                  </m:e>
                </m:d>
                <m:r>
                  <w:rPr>
                    <w:rFonts w:ascii="Cambria Math" w:eastAsiaTheme="minorEastAsia" w:hAnsi="Cambria Math"/>
                  </w:rPr>
                  <m:t>-</m:t>
                </m:r>
                <m:r>
                  <m:rPr>
                    <m:sty m:val="p"/>
                  </m:rPr>
                  <w:rPr>
                    <w:rFonts w:ascii="Cambria Math" w:eastAsiaTheme="minorEastAsia" w:hAnsi="Cambria Math"/>
                  </w:rPr>
                  <m:t>Med</m:t>
                </m:r>
                <m:d>
                  <m:dPr>
                    <m:ctrlPr>
                      <w:rPr>
                        <w:rFonts w:ascii="Cambria Math" w:eastAsiaTheme="minorEastAsia" w:hAnsi="Cambria Math"/>
                        <w:i/>
                      </w:rPr>
                    </m:ctrlPr>
                  </m:dPr>
                  <m:e>
                    <m:r>
                      <w:rPr>
                        <w:rFonts w:ascii="Cambria Math" w:eastAsiaTheme="minorEastAsia" w:hAnsi="Cambria Math"/>
                      </w:rPr>
                      <m:t>0</m:t>
                    </m:r>
                  </m:e>
                </m:d>
                <m:r>
                  <w:rPr>
                    <w:rFonts w:ascii="Cambria Math" w:eastAsiaTheme="minorEastAsia" w:hAnsi="Cambria Math"/>
                  </w:rPr>
                  <m:t>)</m:t>
                </m:r>
              </m:oMath>
            </m:oMathPara>
          </w:p>
        </w:tc>
        <w:tc>
          <w:tcPr>
            <w:tcW w:w="3330" w:type="dxa"/>
            <w:tcBorders>
              <w:top w:val="nil"/>
            </w:tcBorders>
            <w:vAlign w:val="center"/>
          </w:tcPr>
          <w:p w14:paraId="45F74174" w14:textId="77777777" w:rsidR="00416D31" w:rsidRDefault="000E01A9" w:rsidP="00514D10">
            <w:pPr>
              <w:pStyle w:val="EFSABodytext"/>
              <w:rPr>
                <w:rFonts w:eastAsiaTheme="minorEastAsia"/>
              </w:rPr>
            </w:pPr>
            <m:oMathPara>
              <m:oMath>
                <m:r>
                  <m:rPr>
                    <m:sty m:val="p"/>
                  </m:rPr>
                  <w:rPr>
                    <w:rFonts w:ascii="Cambria Math" w:eastAsiaTheme="minorEastAsia" w:hAnsi="Cambria Math"/>
                  </w:rPr>
                  <m:t>Med</m:t>
                </m:r>
                <m:d>
                  <m:dPr>
                    <m:ctrlPr>
                      <w:rPr>
                        <w:rFonts w:ascii="Cambria Math" w:eastAsiaTheme="minorEastAsia" w:hAnsi="Cambria Math"/>
                        <w:i/>
                      </w:rPr>
                    </m:ctrlPr>
                  </m:dPr>
                  <m:e>
                    <m:r>
                      <w:rPr>
                        <w:rFonts w:ascii="Cambria Math" w:eastAsiaTheme="minorEastAsia" w:hAnsi="Cambria Math"/>
                      </w:rPr>
                      <m:t>0</m:t>
                    </m:r>
                  </m:e>
                </m:d>
                <m:sSup>
                  <m:sSupPr>
                    <m:ctrlPr>
                      <w:rPr>
                        <w:rFonts w:ascii="Cambria Math" w:eastAsiaTheme="minorEastAsia" w:hAnsi="Cambria Math"/>
                        <w:i/>
                      </w:rPr>
                    </m:ctrlPr>
                  </m:sSupPr>
                  <m:e>
                    <m:r>
                      <w:rPr>
                        <w:rFonts w:ascii="Cambria Math" w:eastAsiaTheme="minorEastAsia" w:hAnsi="Cambria Math"/>
                      </w:rPr>
                      <m:t>(</m:t>
                    </m:r>
                    <m:r>
                      <m:rPr>
                        <m:sty m:val="p"/>
                      </m:rPr>
                      <w:rPr>
                        <w:rFonts w:ascii="Cambria Math" w:eastAsiaTheme="minorEastAsia" w:hAnsi="Cambria Math"/>
                      </w:rPr>
                      <m:t>Med</m:t>
                    </m:r>
                    <m:d>
                      <m:dPr>
                        <m:ctrlPr>
                          <w:rPr>
                            <w:rFonts w:ascii="Cambria Math" w:eastAsiaTheme="minorEastAsia" w:hAnsi="Cambria Math"/>
                            <w:i/>
                          </w:rPr>
                        </m:ctrlPr>
                      </m:dPr>
                      <m:e>
                        <m:r>
                          <w:rPr>
                            <w:rFonts w:ascii="Cambria Math" w:eastAsiaTheme="minorEastAsia" w:hAnsi="Cambria Math"/>
                          </w:rPr>
                          <m:t>∞</m:t>
                        </m:r>
                      </m:e>
                    </m:d>
                    <m:r>
                      <w:rPr>
                        <w:rFonts w:ascii="Cambria Math" w:eastAsiaTheme="minorEastAsia" w:hAnsi="Cambria Math"/>
                      </w:rPr>
                      <m:t>-</m:t>
                    </m:r>
                    <m:r>
                      <m:rPr>
                        <m:sty m:val="p"/>
                      </m:rPr>
                      <w:rPr>
                        <w:rFonts w:ascii="Cambria Math" w:eastAsiaTheme="minorEastAsia" w:hAnsi="Cambria Math"/>
                      </w:rPr>
                      <m:t>Med</m:t>
                    </m:r>
                    <m:d>
                      <m:dPr>
                        <m:ctrlPr>
                          <w:rPr>
                            <w:rFonts w:ascii="Cambria Math" w:eastAsiaTheme="minorEastAsia" w:hAnsi="Cambria Math"/>
                            <w:i/>
                          </w:rPr>
                        </m:ctrlPr>
                      </m:dPr>
                      <m:e>
                        <m:r>
                          <w:rPr>
                            <w:rFonts w:ascii="Cambria Math" w:eastAsiaTheme="minorEastAsia" w:hAnsi="Cambria Math"/>
                          </w:rPr>
                          <m:t>0</m:t>
                        </m:r>
                      </m:e>
                    </m:d>
                    <m:r>
                      <w:rPr>
                        <w:rFonts w:ascii="Cambria Math" w:eastAsiaTheme="minorEastAsia" w:hAnsi="Cambria Math"/>
                      </w:rPr>
                      <m:t>)</m:t>
                    </m:r>
                  </m:e>
                  <m:sup>
                    <m:r>
                      <w:rPr>
                        <w:rFonts w:ascii="Cambria Math" w:eastAsiaTheme="minorEastAsia" w:hAnsi="Cambria Math"/>
                      </w:rPr>
                      <m:t>F</m:t>
                    </m:r>
                    <m:d>
                      <m:dPr>
                        <m:ctrlPr>
                          <w:rPr>
                            <w:rFonts w:ascii="Cambria Math" w:eastAsiaTheme="minorEastAsia" w:hAnsi="Cambria Math"/>
                            <w:i/>
                          </w:rPr>
                        </m:ctrlPr>
                      </m:dPr>
                      <m:e>
                        <m:r>
                          <w:rPr>
                            <w:rFonts w:ascii="Cambria Math" w:eastAsiaTheme="minorEastAsia" w:hAnsi="Cambria Math"/>
                          </w:rPr>
                          <m:t>x;b,d</m:t>
                        </m:r>
                      </m:e>
                    </m:d>
                  </m:sup>
                </m:sSup>
                <m:r>
                  <w:rPr>
                    <w:rFonts w:ascii="Cambria Math" w:eastAsiaTheme="minorEastAsia" w:hAnsi="Cambria Math"/>
                  </w:rPr>
                  <m:t xml:space="preserve"> </m:t>
                </m:r>
              </m:oMath>
            </m:oMathPara>
          </w:p>
        </w:tc>
      </w:tr>
    </w:tbl>
    <w:p w14:paraId="5E111D71" w14:textId="2D025AF7" w:rsidR="00416D31" w:rsidRDefault="00416D31" w:rsidP="00416D31">
      <w:pPr>
        <w:pStyle w:val="EFSABodytext"/>
        <w:rPr>
          <w:lang w:eastAsia="en-GB"/>
        </w:rPr>
      </w:pPr>
    </w:p>
    <w:p w14:paraId="3F28C94B" w14:textId="6CFBDE22" w:rsidR="00416D31" w:rsidRDefault="00416D31" w:rsidP="00E46A13">
      <w:pPr>
        <w:pStyle w:val="EFSABodytext"/>
        <w:rPr>
          <w:rFonts w:eastAsiaTheme="minorEastAsia"/>
        </w:rPr>
      </w:pPr>
      <w:r>
        <w:rPr>
          <w:rFonts w:eastAsiaTheme="minorEastAsia"/>
        </w:rPr>
        <w:t>Table</w:t>
      </w:r>
      <w:r w:rsidDel="00AD3817">
        <w:rPr>
          <w:rFonts w:eastAsiaTheme="minorEastAsia"/>
        </w:rPr>
        <w:t xml:space="preserve"> </w:t>
      </w:r>
      <w:r w:rsidR="00AD3817">
        <w:rPr>
          <w:rFonts w:eastAsiaTheme="minorEastAsia"/>
        </w:rPr>
        <w:t>B.2</w:t>
      </w:r>
      <w:r>
        <w:rPr>
          <w:rFonts w:eastAsiaTheme="minorEastAsia"/>
        </w:rPr>
        <w:t xml:space="preserve"> shows how each of the parameters </w:t>
      </w:r>
      <m:oMath>
        <m:r>
          <w:rPr>
            <w:rFonts w:ascii="Cambria Math" w:eastAsiaTheme="minorEastAsia" w:hAnsi="Cambria Math"/>
          </w:rPr>
          <m:t>a,b, c,d</m:t>
        </m:r>
      </m:oMath>
      <w:r>
        <w:rPr>
          <w:rFonts w:eastAsiaTheme="minorEastAsia"/>
        </w:rPr>
        <w:t xml:space="preserve"> play their role in determining the median response at dose </w:t>
      </w:r>
      <m:oMath>
        <m:r>
          <w:rPr>
            <w:rFonts w:ascii="Cambria Math" w:eastAsiaTheme="minorEastAsia" w:hAnsi="Cambria Math"/>
          </w:rPr>
          <m:t>x</m:t>
        </m:r>
      </m:oMath>
      <w:r>
        <w:rPr>
          <w:rFonts w:eastAsiaTheme="minorEastAsia"/>
        </w:rPr>
        <w:t xml:space="preserve"> for the increasing models of Family 2.</w:t>
      </w:r>
    </w:p>
    <w:p w14:paraId="695A9E6D" w14:textId="77777777" w:rsidR="003E7ABB" w:rsidRPr="003E7ABB" w:rsidRDefault="003E7ABB" w:rsidP="003E7ABB">
      <w:pPr>
        <w:pStyle w:val="EFSABodytext"/>
        <w:jc w:val="left"/>
        <w:rPr>
          <w:rFonts w:eastAsiaTheme="minorEastAsia"/>
          <w:sz w:val="8"/>
          <w:szCs w:val="8"/>
        </w:rPr>
      </w:pPr>
    </w:p>
    <w:p w14:paraId="2F7D36FC" w14:textId="1585B8DD" w:rsidR="00416D31" w:rsidRPr="00E81E6E" w:rsidRDefault="00416D31" w:rsidP="00416D31">
      <w:pPr>
        <w:pStyle w:val="Caption"/>
        <w:keepNext/>
        <w:rPr>
          <w:rFonts w:ascii="Tahoma" w:hAnsi="Tahoma" w:cs="Tahoma"/>
        </w:rPr>
      </w:pPr>
      <w:r w:rsidRPr="003704B0">
        <w:rPr>
          <w:rFonts w:ascii="Tahoma" w:hAnsi="Tahoma" w:cs="Tahoma"/>
        </w:rPr>
        <w:t xml:space="preserve">Table </w:t>
      </w:r>
      <w:r w:rsidR="00CB32D0">
        <w:rPr>
          <w:rFonts w:ascii="Tahoma" w:hAnsi="Tahoma" w:cs="Tahoma"/>
        </w:rPr>
        <w:t>B.2</w:t>
      </w:r>
      <w:r w:rsidRPr="003704B0">
        <w:rPr>
          <w:rFonts w:ascii="Tahoma" w:hAnsi="Tahoma" w:cs="Tahoma"/>
        </w:rPr>
        <w:t>:</w:t>
      </w:r>
      <w:r>
        <w:rPr>
          <w:rFonts w:ascii="Tahoma" w:hAnsi="Tahoma" w:cs="Tahoma"/>
        </w:rPr>
        <w:t xml:space="preserve"> </w:t>
      </w:r>
      <w:r>
        <w:rPr>
          <w:rFonts w:ascii="Tahoma" w:hAnsi="Tahoma" w:cs="Tahoma"/>
          <w:b w:val="0"/>
          <w:bCs w:val="0"/>
        </w:rPr>
        <w:t xml:space="preserve">Interpretation of parameters for increasing models of Family 2: </w:t>
      </w:r>
      <m:oMath>
        <m:r>
          <m:rPr>
            <m:sty m:val="bi"/>
          </m:rPr>
          <w:rPr>
            <w:rFonts w:ascii="Cambria Math" w:eastAsiaTheme="minorEastAsia" w:hAnsi="Cambria Math"/>
          </w:rPr>
          <m:t>a</m:t>
        </m:r>
      </m:oMath>
      <w:r>
        <w:rPr>
          <w:rFonts w:ascii="Tahoma" w:hAnsi="Tahoma" w:cs="Tahoma"/>
          <w:b w:val="0"/>
          <w:bCs w:val="0"/>
        </w:rPr>
        <w:t xml:space="preserve"> and </w:t>
      </w:r>
      <m:oMath>
        <m:r>
          <m:rPr>
            <m:sty m:val="bi"/>
          </m:rPr>
          <w:rPr>
            <w:rFonts w:ascii="Cambria Math" w:hAnsi="Cambria Math" w:cs="Tahoma"/>
          </w:rPr>
          <m:t>c</m:t>
        </m:r>
      </m:oMath>
      <w:r>
        <w:rPr>
          <w:rFonts w:ascii="Tahoma" w:hAnsi="Tahoma" w:cs="Tahoma"/>
          <w:b w:val="0"/>
          <w:bCs w:val="0"/>
        </w:rPr>
        <w:t xml:space="preserve"> determine the median background response and</w:t>
      </w:r>
      <w:r>
        <w:rPr>
          <w:rFonts w:ascii="Tahoma" w:eastAsiaTheme="minorEastAsia" w:hAnsi="Tahoma" w:cs="Tahoma"/>
          <w:b w:val="0"/>
          <w:bCs w:val="0"/>
        </w:rPr>
        <w:t xml:space="preserve"> the maximum change in median response, </w:t>
      </w:r>
      <m:oMath>
        <m:r>
          <m:rPr>
            <m:sty m:val="bi"/>
          </m:rPr>
          <w:rPr>
            <w:rFonts w:ascii="Cambria Math" w:eastAsiaTheme="minorEastAsia" w:hAnsi="Cambria Math" w:cs="Tahoma"/>
          </w:rPr>
          <m:t>b</m:t>
        </m:r>
      </m:oMath>
      <w:r w:rsidRPr="00DE30D2">
        <w:rPr>
          <w:rFonts w:ascii="Tahoma" w:eastAsiaTheme="minorEastAsia" w:hAnsi="Tahoma" w:cs="Tahoma"/>
          <w:b w:val="0"/>
          <w:bCs w:val="0"/>
        </w:rPr>
        <w:t xml:space="preserve"> and </w:t>
      </w:r>
      <m:oMath>
        <m:r>
          <m:rPr>
            <m:sty m:val="bi"/>
          </m:rPr>
          <w:rPr>
            <w:rFonts w:ascii="Cambria Math" w:eastAsiaTheme="minorEastAsia" w:hAnsi="Cambria Math" w:cs="Tahoma"/>
          </w:rPr>
          <m:t>d</m:t>
        </m:r>
      </m:oMath>
      <w:r w:rsidRPr="00DE30D2">
        <w:rPr>
          <w:rFonts w:ascii="Tahoma" w:eastAsiaTheme="minorEastAsia" w:hAnsi="Tahoma" w:cs="Tahoma"/>
          <w:b w:val="0"/>
          <w:bCs w:val="0"/>
        </w:rPr>
        <w:t xml:space="preserve"> characterize the shape of change in median response with changing dose </w:t>
      </w:r>
      <m:oMath>
        <m:r>
          <m:rPr>
            <m:sty m:val="bi"/>
          </m:rPr>
          <w:rPr>
            <w:rFonts w:ascii="Cambria Math" w:eastAsiaTheme="minorEastAsia" w:hAnsi="Cambria Math" w:cs="Tahoma"/>
          </w:rPr>
          <m:t>x</m:t>
        </m:r>
      </m:oMath>
      <w:r w:rsidRPr="00DE30D2">
        <w:rPr>
          <w:rFonts w:ascii="Tahoma" w:eastAsiaTheme="minorEastAsia" w:hAnsi="Tahoma" w:cs="Tahoma"/>
          <w:b w:val="0"/>
          <w:bCs w:val="0"/>
        </w:rPr>
        <w:t>.</w:t>
      </w:r>
    </w:p>
    <w:tbl>
      <w:tblPr>
        <w:tblStyle w:val="TableGrid"/>
        <w:tblW w:w="8280" w:type="dxa"/>
        <w:jc w:val="center"/>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1080"/>
        <w:gridCol w:w="90"/>
        <w:gridCol w:w="3780"/>
        <w:gridCol w:w="3330"/>
      </w:tblGrid>
      <w:tr w:rsidR="00416D31" w14:paraId="04BB11E2" w14:textId="77777777" w:rsidTr="00514D10">
        <w:trPr>
          <w:trHeight w:val="504"/>
          <w:jc w:val="center"/>
        </w:trPr>
        <w:tc>
          <w:tcPr>
            <w:tcW w:w="1170" w:type="dxa"/>
            <w:gridSpan w:val="2"/>
            <w:tcBorders>
              <w:bottom w:val="single" w:sz="4" w:space="0" w:color="auto"/>
            </w:tcBorders>
          </w:tcPr>
          <w:p w14:paraId="71B33D68" w14:textId="77777777" w:rsidR="00416D31" w:rsidRDefault="00416D31" w:rsidP="00514D10">
            <w:pPr>
              <w:pStyle w:val="EFSABodytext"/>
              <w:jc w:val="center"/>
              <w:rPr>
                <w:rFonts w:eastAsia="Calibri" w:cs="Arial"/>
              </w:rPr>
            </w:pPr>
            <w:r>
              <w:rPr>
                <w:rFonts w:eastAsia="Calibri" w:cs="Arial"/>
              </w:rPr>
              <w:t>median response</w:t>
            </w:r>
          </w:p>
        </w:tc>
        <w:tc>
          <w:tcPr>
            <w:tcW w:w="3780" w:type="dxa"/>
            <w:tcBorders>
              <w:bottom w:val="single" w:sz="4" w:space="0" w:color="auto"/>
            </w:tcBorders>
          </w:tcPr>
          <w:p w14:paraId="0447B326" w14:textId="77777777" w:rsidR="00416D31" w:rsidRDefault="000E01A9" w:rsidP="00514D10">
            <w:pPr>
              <w:pStyle w:val="EFSABodytext"/>
              <w:rPr>
                <w:rFonts w:eastAsiaTheme="minorEastAsia"/>
              </w:rPr>
            </w:pPr>
            <m:oMathPara>
              <m:oMath>
                <m:r>
                  <w:rPr>
                    <w:rFonts w:ascii="Cambria Math" w:eastAsiaTheme="minorEastAsia" w:hAnsi="Cambria Math"/>
                  </w:rPr>
                  <m:t>y|x ~</m:t>
                </m:r>
                <m:r>
                  <m:rPr>
                    <m:sty m:val="p"/>
                  </m:rPr>
                  <w:rPr>
                    <w:rFonts w:ascii="Cambria Math" w:eastAsiaTheme="minorEastAsia" w:hAnsi="Cambria Math"/>
                  </w:rPr>
                  <m:t>N</m:t>
                </m:r>
                <m:d>
                  <m:dPr>
                    <m:ctrlPr>
                      <w:rPr>
                        <w:rFonts w:ascii="Cambria Math" w:eastAsiaTheme="minorEastAsia" w:hAnsi="Cambria Math"/>
                        <w:i/>
                      </w:rPr>
                    </m:ctrlPr>
                  </m:dPr>
                  <m:e>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e>
                </m:d>
              </m:oMath>
            </m:oMathPara>
          </w:p>
        </w:tc>
        <w:tc>
          <w:tcPr>
            <w:tcW w:w="3330" w:type="dxa"/>
            <w:tcBorders>
              <w:bottom w:val="single" w:sz="4" w:space="0" w:color="auto"/>
            </w:tcBorders>
          </w:tcPr>
          <w:p w14:paraId="4DB06FBA" w14:textId="77777777" w:rsidR="00416D31" w:rsidRDefault="000E01A9" w:rsidP="00514D10">
            <w:pPr>
              <w:pStyle w:val="EFSABodytext"/>
              <w:rPr>
                <w:rFonts w:eastAsiaTheme="minorEastAsia"/>
              </w:rPr>
            </w:pPr>
            <m:oMathPara>
              <m:oMath>
                <m:r>
                  <w:rPr>
                    <w:rFonts w:ascii="Cambria Math" w:eastAsiaTheme="minorEastAsia" w:hAnsi="Cambria Math"/>
                  </w:rPr>
                  <m:t>y|x ~</m:t>
                </m:r>
                <m:r>
                  <m:rPr>
                    <m:sty m:val="p"/>
                  </m:rPr>
                  <w:rPr>
                    <w:rFonts w:ascii="Cambria Math" w:eastAsiaTheme="minorEastAsia" w:hAnsi="Cambria Math"/>
                  </w:rPr>
                  <m:t>LOGN</m:t>
                </m:r>
                <m:d>
                  <m:dPr>
                    <m:ctrlPr>
                      <w:rPr>
                        <w:rFonts w:ascii="Cambria Math" w:eastAsiaTheme="minorEastAsia" w:hAnsi="Cambria Math"/>
                        <w:i/>
                      </w:rPr>
                    </m:ctrlPr>
                  </m:dPr>
                  <m:e>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e>
                </m:d>
              </m:oMath>
            </m:oMathPara>
          </w:p>
        </w:tc>
      </w:tr>
      <w:tr w:rsidR="00416D31" w14:paraId="3424B1B4" w14:textId="77777777" w:rsidTr="00514D10">
        <w:trPr>
          <w:trHeight w:val="490"/>
          <w:jc w:val="center"/>
        </w:trPr>
        <w:tc>
          <w:tcPr>
            <w:tcW w:w="1080" w:type="dxa"/>
            <w:tcBorders>
              <w:top w:val="nil"/>
              <w:bottom w:val="nil"/>
            </w:tcBorders>
            <w:vAlign w:val="center"/>
          </w:tcPr>
          <w:p w14:paraId="592AA261" w14:textId="77777777" w:rsidR="00416D31" w:rsidRPr="008318C8" w:rsidRDefault="000E01A9" w:rsidP="00514D10">
            <w:pPr>
              <w:pStyle w:val="EFSABodytext"/>
              <w:rPr>
                <w:rFonts w:ascii="Calibri" w:eastAsia="Calibri" w:hAnsi="Calibri" w:cs="Arial"/>
                <w:iCs/>
              </w:rPr>
            </w:pPr>
            <m:oMathPara>
              <m:oMath>
                <m:r>
                  <m:rPr>
                    <m:sty m:val="p"/>
                  </m:rPr>
                  <w:rPr>
                    <w:rFonts w:ascii="Cambria Math" w:eastAsiaTheme="minorEastAsia" w:hAnsi="Cambria Math"/>
                  </w:rPr>
                  <m:t>Med</m:t>
                </m:r>
                <m:d>
                  <m:dPr>
                    <m:ctrlPr>
                      <w:rPr>
                        <w:rFonts w:ascii="Cambria Math" w:eastAsiaTheme="minorEastAsia" w:hAnsi="Cambria Math"/>
                        <w:i/>
                      </w:rPr>
                    </m:ctrlPr>
                  </m:dPr>
                  <m:e>
                    <m:r>
                      <w:rPr>
                        <w:rFonts w:ascii="Cambria Math" w:eastAsiaTheme="minorEastAsia" w:hAnsi="Cambria Math"/>
                      </w:rPr>
                      <m:t>0</m:t>
                    </m:r>
                  </m:e>
                </m:d>
              </m:oMath>
            </m:oMathPara>
          </w:p>
        </w:tc>
        <w:tc>
          <w:tcPr>
            <w:tcW w:w="3870" w:type="dxa"/>
            <w:gridSpan w:val="2"/>
            <w:tcBorders>
              <w:top w:val="nil"/>
              <w:bottom w:val="nil"/>
            </w:tcBorders>
            <w:vAlign w:val="center"/>
          </w:tcPr>
          <w:p w14:paraId="53A459C6" w14:textId="42304FE3" w:rsidR="00416D31" w:rsidRDefault="000070F6" w:rsidP="00514D10">
            <w:pPr>
              <w:pStyle w:val="EFSABodytext"/>
              <w:rPr>
                <w:rFonts w:eastAsia="Calibri" w:cs="Arial"/>
              </w:rPr>
            </w:pPr>
            <m:oMathPara>
              <m:oMath>
                <m:r>
                  <w:rPr>
                    <w:rFonts w:ascii="Cambria Math" w:eastAsiaTheme="minorEastAsia" w:hAnsi="Cambria Math"/>
                  </w:rPr>
                  <m:t>Med(∞)F(a)</m:t>
                </m:r>
              </m:oMath>
            </m:oMathPara>
          </w:p>
        </w:tc>
        <w:tc>
          <w:tcPr>
            <w:tcW w:w="3330" w:type="dxa"/>
            <w:tcBorders>
              <w:top w:val="nil"/>
              <w:bottom w:val="nil"/>
            </w:tcBorders>
            <w:vAlign w:val="center"/>
          </w:tcPr>
          <w:p w14:paraId="6314E867" w14:textId="30658AD4" w:rsidR="00416D31" w:rsidRPr="00DA1D3A" w:rsidRDefault="009615DC" w:rsidP="00514D10">
            <w:pPr>
              <w:pStyle w:val="EFSABodytext"/>
              <w:rPr>
                <w:rFonts w:eastAsia="PMingLiU"/>
              </w:rPr>
            </w:pPr>
            <m:oMathPara>
              <m:oMath>
                <m:sSup>
                  <m:sSupPr>
                    <m:ctrlPr>
                      <w:rPr>
                        <w:rFonts w:ascii="Cambria Math" w:eastAsiaTheme="minorEastAsia" w:hAnsi="Cambria Math"/>
                        <w:i/>
                      </w:rPr>
                    </m:ctrlPr>
                  </m:sSupPr>
                  <m:e>
                    <m:r>
                      <w:rPr>
                        <w:rFonts w:ascii="Cambria Math" w:eastAsiaTheme="minorEastAsia" w:hAnsi="Cambria Math"/>
                      </w:rPr>
                      <m:t>Med(∞)</m:t>
                    </m:r>
                  </m:e>
                  <m:sup>
                    <m:r>
                      <w:rPr>
                        <w:rFonts w:ascii="Cambria Math" w:eastAsiaTheme="minorEastAsia" w:hAnsi="Cambria Math"/>
                      </w:rPr>
                      <m:t>F(a)</m:t>
                    </m:r>
                  </m:sup>
                </m:sSup>
              </m:oMath>
            </m:oMathPara>
          </w:p>
        </w:tc>
      </w:tr>
      <w:tr w:rsidR="0016498E" w:rsidRPr="0042004D" w14:paraId="746B322A" w14:textId="77777777" w:rsidTr="00754719">
        <w:trPr>
          <w:trHeight w:val="490"/>
          <w:jc w:val="center"/>
        </w:trPr>
        <w:tc>
          <w:tcPr>
            <w:tcW w:w="1170" w:type="dxa"/>
            <w:gridSpan w:val="2"/>
            <w:tcBorders>
              <w:top w:val="nil"/>
              <w:bottom w:val="nil"/>
            </w:tcBorders>
            <w:vAlign w:val="center"/>
          </w:tcPr>
          <w:p w14:paraId="3D1C68C2" w14:textId="77777777" w:rsidR="0016498E" w:rsidRDefault="0016498E" w:rsidP="00754719">
            <w:pPr>
              <w:pStyle w:val="EFSABodytext"/>
              <w:rPr>
                <w:rFonts w:eastAsia="Calibri" w:cs="Arial"/>
              </w:rPr>
            </w:pPr>
            <m:oMathPara>
              <m:oMath>
                <m:r>
                  <m:rPr>
                    <m:sty m:val="p"/>
                  </m:rPr>
                  <w:rPr>
                    <w:rFonts w:ascii="Cambria Math" w:eastAsiaTheme="minorEastAsia" w:hAnsi="Cambria Math"/>
                  </w:rPr>
                  <m:t>Med</m:t>
                </m:r>
                <m:d>
                  <m:dPr>
                    <m:ctrlPr>
                      <w:rPr>
                        <w:rFonts w:ascii="Cambria Math" w:eastAsiaTheme="minorEastAsia" w:hAnsi="Cambria Math"/>
                        <w:i/>
                      </w:rPr>
                    </m:ctrlPr>
                  </m:dPr>
                  <m:e>
                    <m:r>
                      <w:rPr>
                        <w:rFonts w:ascii="Cambria Math" w:eastAsiaTheme="minorEastAsia" w:hAnsi="Cambria Math"/>
                      </w:rPr>
                      <m:t>∞</m:t>
                    </m:r>
                  </m:e>
                </m:d>
              </m:oMath>
            </m:oMathPara>
          </w:p>
        </w:tc>
        <w:tc>
          <w:tcPr>
            <w:tcW w:w="3780" w:type="dxa"/>
            <w:tcBorders>
              <w:top w:val="nil"/>
              <w:bottom w:val="nil"/>
            </w:tcBorders>
            <w:vAlign w:val="center"/>
          </w:tcPr>
          <w:p w14:paraId="05EBA782" w14:textId="77777777" w:rsidR="0016498E" w:rsidRPr="00DE30D2" w:rsidRDefault="0016498E" w:rsidP="00754719">
            <w:pPr>
              <w:pStyle w:val="EFSABodytext"/>
              <w:rPr>
                <w:rFonts w:eastAsiaTheme="minorEastAsia"/>
                <w:i/>
              </w:rPr>
            </w:pPr>
            <m:oMathPara>
              <m:oMath>
                <m:r>
                  <w:rPr>
                    <w:rFonts w:ascii="Cambria Math" w:eastAsiaTheme="minorEastAsia" w:hAnsi="Cambria Math"/>
                  </w:rPr>
                  <m:t>c</m:t>
                </m:r>
              </m:oMath>
            </m:oMathPara>
          </w:p>
        </w:tc>
        <w:tc>
          <w:tcPr>
            <w:tcW w:w="3330" w:type="dxa"/>
            <w:tcBorders>
              <w:top w:val="nil"/>
              <w:bottom w:val="nil"/>
            </w:tcBorders>
            <w:vAlign w:val="center"/>
          </w:tcPr>
          <w:p w14:paraId="3C85CF36" w14:textId="77777777" w:rsidR="0016498E" w:rsidRPr="0042004D" w:rsidRDefault="009615DC" w:rsidP="00754719">
            <w:pPr>
              <w:pStyle w:val="EFSABodytext"/>
              <w:rPr>
                <w:rFonts w:eastAsiaTheme="minorEastAsia"/>
                <w:i/>
              </w:rPr>
            </w:pPr>
            <m:oMathPara>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c</m:t>
                    </m:r>
                  </m:sup>
                </m:sSup>
                <m:r>
                  <w:rPr>
                    <w:rFonts w:ascii="Cambria Math" w:eastAsiaTheme="minorEastAsia" w:hAnsi="Cambria Math"/>
                  </w:rPr>
                  <m:t xml:space="preserve"> </m:t>
                </m:r>
              </m:oMath>
            </m:oMathPara>
          </w:p>
        </w:tc>
      </w:tr>
    </w:tbl>
    <w:tbl>
      <w:tblPr>
        <w:tblW w:w="8280" w:type="dxa"/>
        <w:jc w:val="center"/>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080"/>
        <w:gridCol w:w="3870"/>
        <w:gridCol w:w="3330"/>
      </w:tblGrid>
      <w:tr w:rsidR="00416D31" w14:paraId="17F27A2D" w14:textId="77777777" w:rsidTr="00514D10">
        <w:trPr>
          <w:jc w:val="center"/>
        </w:trPr>
        <w:tc>
          <w:tcPr>
            <w:tcW w:w="1080" w:type="dxa"/>
            <w:tcBorders>
              <w:top w:val="nil"/>
            </w:tcBorders>
            <w:vAlign w:val="center"/>
          </w:tcPr>
          <w:p w14:paraId="7EC20AA6" w14:textId="3C2CF6FC" w:rsidR="00416D31" w:rsidRDefault="00131931" w:rsidP="00514D10">
            <w:pPr>
              <w:pStyle w:val="EFSABodytext"/>
              <w:rPr>
                <w:rFonts w:eastAsia="Calibri" w:cs="Arial"/>
              </w:rPr>
            </w:pPr>
            <m:oMathPara>
              <m:oMath>
                <m:r>
                  <m:rPr>
                    <m:sty m:val="p"/>
                  </m:rPr>
                  <w:rPr>
                    <w:rFonts w:ascii="Cambria Math" w:eastAsiaTheme="minorEastAsia" w:hAnsi="Cambria Math"/>
                  </w:rPr>
                  <m:t>Med</m:t>
                </m:r>
                <m:d>
                  <m:dPr>
                    <m:ctrlPr>
                      <w:rPr>
                        <w:rFonts w:ascii="Cambria Math" w:eastAsiaTheme="minorEastAsia" w:hAnsi="Cambria Math"/>
                        <w:bCs/>
                        <w:i/>
                      </w:rPr>
                    </m:ctrlPr>
                  </m:dPr>
                  <m:e>
                    <m:r>
                      <w:rPr>
                        <w:rFonts w:ascii="Cambria Math" w:eastAsiaTheme="minorEastAsia" w:hAnsi="Cambria Math"/>
                      </w:rPr>
                      <m:t>x</m:t>
                    </m:r>
                  </m:e>
                </m:d>
              </m:oMath>
            </m:oMathPara>
          </w:p>
        </w:tc>
        <w:tc>
          <w:tcPr>
            <w:tcW w:w="3870" w:type="dxa"/>
            <w:tcBorders>
              <w:top w:val="nil"/>
            </w:tcBorders>
            <w:vAlign w:val="center"/>
          </w:tcPr>
          <w:p w14:paraId="751F6E59" w14:textId="0FC618A9" w:rsidR="00416D31" w:rsidRDefault="00131931" w:rsidP="00514D10">
            <w:pPr>
              <w:pStyle w:val="EFSABodytext"/>
              <w:rPr>
                <w:rFonts w:eastAsiaTheme="minorEastAsia"/>
              </w:rPr>
            </w:pPr>
            <m:oMathPara>
              <m:oMath>
                <m:r>
                  <m:rPr>
                    <m:sty m:val="p"/>
                  </m:rPr>
                  <w:rPr>
                    <w:rFonts w:ascii="Cambria Math" w:eastAsiaTheme="minorEastAsia" w:hAnsi="Cambria Math"/>
                  </w:rPr>
                  <m:t>Med</m:t>
                </m:r>
                <m:d>
                  <m:dPr>
                    <m:ctrlPr>
                      <w:rPr>
                        <w:rFonts w:ascii="Cambria Math" w:eastAsiaTheme="minorEastAsia" w:hAnsi="Cambria Math"/>
                        <w:bCs/>
                        <w:i/>
                      </w:rPr>
                    </m:ctrlPr>
                  </m:dPr>
                  <m:e>
                    <m:r>
                      <w:rPr>
                        <w:rFonts w:ascii="Cambria Math" w:eastAsiaTheme="minorEastAsia" w:hAnsi="Cambria Math"/>
                      </w:rPr>
                      <m:t>∞</m:t>
                    </m:r>
                  </m:e>
                </m:d>
                <m:r>
                  <w:rPr>
                    <w:rFonts w:ascii="Cambria Math" w:eastAsiaTheme="minorEastAsia" w:hAnsi="Cambria Math"/>
                  </w:rPr>
                  <m:t>F(</m:t>
                </m:r>
                <m:sSup>
                  <m:sSupPr>
                    <m:ctrlPr>
                      <w:rPr>
                        <w:rFonts w:ascii="Cambria Math" w:eastAsiaTheme="minorEastAsia" w:hAnsi="Cambria Math" w:cs="Times New Roman"/>
                        <w:bCs/>
                        <w:i/>
                        <w:lang w:eastAsia="en-GB"/>
                      </w:rPr>
                    </m:ctrlPr>
                  </m:sSupPr>
                  <m:e>
                    <m:r>
                      <w:rPr>
                        <w:rFonts w:ascii="Cambria Math" w:eastAsiaTheme="minorEastAsia" w:hAnsi="Cambria Math"/>
                      </w:rPr>
                      <m:t>F</m:t>
                    </m:r>
                  </m:e>
                  <m:sup>
                    <m:r>
                      <w:rPr>
                        <w:rFonts w:ascii="Cambria Math" w:eastAsiaTheme="minorEastAsia" w:hAnsi="Cambria Math"/>
                      </w:rPr>
                      <m:t>-1</m:t>
                    </m:r>
                  </m:sup>
                </m:sSup>
                <m:r>
                  <w:rPr>
                    <w:rFonts w:ascii="Cambria Math" w:eastAsiaTheme="minorEastAsia" w:hAnsi="Cambria Math"/>
                  </w:rPr>
                  <m:t>(</m:t>
                </m:r>
                <m:f>
                  <m:fPr>
                    <m:ctrlPr>
                      <w:rPr>
                        <w:rFonts w:ascii="Cambria Math" w:eastAsiaTheme="minorEastAsia" w:hAnsi="Cambria Math" w:cs="Times New Roman"/>
                        <w:bCs/>
                        <w:i/>
                        <w:lang w:eastAsia="en-GB"/>
                      </w:rPr>
                    </m:ctrlPr>
                  </m:fPr>
                  <m:num>
                    <m:r>
                      <m:rPr>
                        <m:sty m:val="p"/>
                      </m:rPr>
                      <w:rPr>
                        <w:rFonts w:ascii="Cambria Math" w:eastAsiaTheme="minorEastAsia" w:hAnsi="Cambria Math"/>
                      </w:rPr>
                      <m:t>Med</m:t>
                    </m:r>
                    <m:d>
                      <m:dPr>
                        <m:ctrlPr>
                          <w:rPr>
                            <w:rFonts w:ascii="Cambria Math" w:eastAsiaTheme="minorEastAsia" w:hAnsi="Cambria Math"/>
                            <w:bCs/>
                            <w:i/>
                          </w:rPr>
                        </m:ctrlPr>
                      </m:dPr>
                      <m:e>
                        <m:r>
                          <w:rPr>
                            <w:rFonts w:ascii="Cambria Math" w:eastAsiaTheme="minorEastAsia" w:hAnsi="Cambria Math"/>
                          </w:rPr>
                          <m:t>0</m:t>
                        </m:r>
                      </m:e>
                    </m:d>
                  </m:num>
                  <m:den>
                    <m:r>
                      <m:rPr>
                        <m:sty m:val="p"/>
                      </m:rPr>
                      <w:rPr>
                        <w:rFonts w:ascii="Cambria Math" w:eastAsiaTheme="minorEastAsia" w:hAnsi="Cambria Math"/>
                      </w:rPr>
                      <m:t>Med</m:t>
                    </m:r>
                    <m:d>
                      <m:dPr>
                        <m:ctrlPr>
                          <w:rPr>
                            <w:rFonts w:ascii="Cambria Math" w:eastAsiaTheme="minorEastAsia" w:hAnsi="Cambria Math"/>
                            <w:bCs/>
                            <w:i/>
                          </w:rPr>
                        </m:ctrlPr>
                      </m:dPr>
                      <m:e>
                        <m:r>
                          <w:rPr>
                            <w:rFonts w:ascii="Cambria Math" w:eastAsiaTheme="minorEastAsia" w:hAnsi="Cambria Math"/>
                          </w:rPr>
                          <m:t>∞</m:t>
                        </m:r>
                      </m:e>
                    </m:d>
                  </m:den>
                </m:f>
                <m:r>
                  <w:rPr>
                    <w:rFonts w:ascii="Cambria Math" w:eastAsiaTheme="minorEastAsia" w:hAnsi="Cambria Math"/>
                  </w:rPr>
                  <m:t>)+b</m:t>
                </m:r>
                <m:sSup>
                  <m:sSupPr>
                    <m:ctrlPr>
                      <w:rPr>
                        <w:rFonts w:ascii="Cambria Math" w:eastAsiaTheme="minorEastAsia" w:hAnsi="Cambria Math"/>
                        <w:bCs/>
                        <w:i/>
                      </w:rPr>
                    </m:ctrlPr>
                  </m:sSupPr>
                  <m:e>
                    <m:r>
                      <w:rPr>
                        <w:rFonts w:ascii="Cambria Math" w:eastAsiaTheme="minorEastAsia" w:hAnsi="Cambria Math"/>
                      </w:rPr>
                      <m:t>x</m:t>
                    </m:r>
                  </m:e>
                  <m:sup>
                    <m:r>
                      <w:rPr>
                        <w:rFonts w:ascii="Cambria Math" w:eastAsiaTheme="minorEastAsia" w:hAnsi="Cambria Math"/>
                      </w:rPr>
                      <m:t>d</m:t>
                    </m:r>
                  </m:sup>
                </m:sSup>
                <m:r>
                  <w:rPr>
                    <w:rFonts w:ascii="Cambria Math" w:eastAsiaTheme="minorEastAsia" w:hAnsi="Cambria Math"/>
                  </w:rPr>
                  <m:t>)</m:t>
                </m:r>
              </m:oMath>
            </m:oMathPara>
          </w:p>
        </w:tc>
        <w:tc>
          <w:tcPr>
            <w:tcW w:w="3330" w:type="dxa"/>
            <w:tcBorders>
              <w:top w:val="nil"/>
            </w:tcBorders>
            <w:vAlign w:val="center"/>
          </w:tcPr>
          <w:p w14:paraId="51D949D6" w14:textId="6F760668" w:rsidR="00416D31" w:rsidRDefault="009615DC" w:rsidP="00514D10">
            <w:pPr>
              <w:pStyle w:val="EFSABodytext"/>
              <w:rPr>
                <w:rFonts w:eastAsiaTheme="minorEastAsia"/>
              </w:rPr>
            </w:pPr>
            <m:oMathPara>
              <m:oMath>
                <m:sSup>
                  <m:sSupPr>
                    <m:ctrlPr>
                      <w:rPr>
                        <w:rFonts w:ascii="Cambria Math" w:eastAsiaTheme="minorEastAsia" w:hAnsi="Cambria Math" w:cs="Times New Roman"/>
                        <w:bCs/>
                        <w:lang w:eastAsia="en-GB"/>
                      </w:rPr>
                    </m:ctrlPr>
                  </m:sSupPr>
                  <m:e>
                    <m:r>
                      <m:rPr>
                        <m:sty m:val="p"/>
                      </m:rPr>
                      <w:rPr>
                        <w:rFonts w:ascii="Cambria Math" w:eastAsiaTheme="minorEastAsia" w:hAnsi="Cambria Math"/>
                      </w:rPr>
                      <m:t>Med</m:t>
                    </m:r>
                    <m:d>
                      <m:dPr>
                        <m:ctrlPr>
                          <w:rPr>
                            <w:rFonts w:ascii="Cambria Math" w:eastAsiaTheme="minorEastAsia" w:hAnsi="Cambria Math"/>
                            <w:bCs/>
                            <w:i/>
                          </w:rPr>
                        </m:ctrlPr>
                      </m:dPr>
                      <m:e>
                        <m:r>
                          <w:rPr>
                            <w:rFonts w:ascii="Cambria Math" w:eastAsiaTheme="minorEastAsia" w:hAnsi="Cambria Math"/>
                          </w:rPr>
                          <m:t>∞</m:t>
                        </m:r>
                      </m:e>
                    </m:d>
                  </m:e>
                  <m:sup>
                    <m:r>
                      <w:rPr>
                        <w:rFonts w:ascii="Cambria Math" w:eastAsiaTheme="minorEastAsia" w:hAnsi="Cambria Math"/>
                      </w:rPr>
                      <m:t>F(</m:t>
                    </m:r>
                    <m:sSup>
                      <m:sSupPr>
                        <m:ctrlPr>
                          <w:rPr>
                            <w:rFonts w:ascii="Cambria Math" w:eastAsiaTheme="minorEastAsia" w:hAnsi="Cambria Math" w:cs="Times New Roman"/>
                            <w:bCs/>
                            <w:i/>
                            <w:lang w:eastAsia="en-GB"/>
                          </w:rPr>
                        </m:ctrlPr>
                      </m:sSupPr>
                      <m:e>
                        <m:r>
                          <w:rPr>
                            <w:rFonts w:ascii="Cambria Math" w:eastAsiaTheme="minorEastAsia" w:hAnsi="Cambria Math"/>
                          </w:rPr>
                          <m:t>F</m:t>
                        </m:r>
                      </m:e>
                      <m:sup>
                        <m:r>
                          <w:rPr>
                            <w:rFonts w:ascii="Cambria Math" w:eastAsiaTheme="minorEastAsia" w:hAnsi="Cambria Math"/>
                          </w:rPr>
                          <m:t>-1</m:t>
                        </m:r>
                      </m:sup>
                    </m:sSup>
                    <m:r>
                      <w:rPr>
                        <w:rFonts w:ascii="Cambria Math" w:eastAsiaTheme="minorEastAsia" w:hAnsi="Cambria Math"/>
                      </w:rPr>
                      <m:t>(</m:t>
                    </m:r>
                    <m:f>
                      <m:fPr>
                        <m:ctrlPr>
                          <w:rPr>
                            <w:rFonts w:ascii="Cambria Math" w:eastAsiaTheme="minorEastAsia" w:hAnsi="Cambria Math" w:cs="Times New Roman"/>
                            <w:bCs/>
                            <w:i/>
                            <w:lang w:eastAsia="en-GB"/>
                          </w:rPr>
                        </m:ctrlPr>
                      </m:fPr>
                      <m:num>
                        <m:r>
                          <m:rPr>
                            <m:sty m:val="p"/>
                          </m:rPr>
                          <w:rPr>
                            <w:rFonts w:ascii="Cambria Math" w:eastAsiaTheme="minorEastAsia" w:hAnsi="Cambria Math"/>
                          </w:rPr>
                          <m:t>log Med</m:t>
                        </m:r>
                        <m:d>
                          <m:dPr>
                            <m:ctrlPr>
                              <w:rPr>
                                <w:rFonts w:ascii="Cambria Math" w:eastAsiaTheme="minorEastAsia" w:hAnsi="Cambria Math"/>
                                <w:bCs/>
                                <w:i/>
                              </w:rPr>
                            </m:ctrlPr>
                          </m:dPr>
                          <m:e>
                            <m:r>
                              <w:rPr>
                                <w:rFonts w:ascii="Cambria Math" w:eastAsiaTheme="minorEastAsia" w:hAnsi="Cambria Math"/>
                              </w:rPr>
                              <m:t>0</m:t>
                            </m:r>
                          </m:e>
                        </m:d>
                      </m:num>
                      <m:den>
                        <m:r>
                          <m:rPr>
                            <m:sty m:val="p"/>
                          </m:rPr>
                          <w:rPr>
                            <w:rFonts w:ascii="Cambria Math" w:eastAsiaTheme="minorEastAsia" w:hAnsi="Cambria Math"/>
                          </w:rPr>
                          <m:t>log Med</m:t>
                        </m:r>
                        <m:d>
                          <m:dPr>
                            <m:ctrlPr>
                              <w:rPr>
                                <w:rFonts w:ascii="Cambria Math" w:eastAsiaTheme="minorEastAsia" w:hAnsi="Cambria Math"/>
                                <w:bCs/>
                                <w:i/>
                              </w:rPr>
                            </m:ctrlPr>
                          </m:dPr>
                          <m:e>
                            <m:r>
                              <w:rPr>
                                <w:rFonts w:ascii="Cambria Math" w:eastAsiaTheme="minorEastAsia" w:hAnsi="Cambria Math"/>
                              </w:rPr>
                              <m:t>∞</m:t>
                            </m:r>
                          </m:e>
                        </m:d>
                      </m:den>
                    </m:f>
                    <m:r>
                      <w:rPr>
                        <w:rFonts w:ascii="Cambria Math" w:eastAsiaTheme="minorEastAsia" w:hAnsi="Cambria Math"/>
                      </w:rPr>
                      <m:t>)+b</m:t>
                    </m:r>
                    <m:sSup>
                      <m:sSupPr>
                        <m:ctrlPr>
                          <w:rPr>
                            <w:rFonts w:ascii="Cambria Math" w:eastAsiaTheme="minorEastAsia" w:hAnsi="Cambria Math"/>
                            <w:bCs/>
                            <w:i/>
                          </w:rPr>
                        </m:ctrlPr>
                      </m:sSupPr>
                      <m:e>
                        <m:r>
                          <w:rPr>
                            <w:rFonts w:ascii="Cambria Math" w:eastAsiaTheme="minorEastAsia" w:hAnsi="Cambria Math"/>
                          </w:rPr>
                          <m:t>x</m:t>
                        </m:r>
                      </m:e>
                      <m:sup>
                        <m:r>
                          <w:rPr>
                            <w:rFonts w:ascii="Cambria Math" w:eastAsiaTheme="minorEastAsia" w:hAnsi="Cambria Math"/>
                          </w:rPr>
                          <m:t>d</m:t>
                        </m:r>
                      </m:sup>
                    </m:sSup>
                    <m:r>
                      <w:rPr>
                        <w:rFonts w:ascii="Cambria Math" w:eastAsiaTheme="minorEastAsia" w:hAnsi="Cambria Math"/>
                      </w:rPr>
                      <m:t xml:space="preserve">) </m:t>
                    </m:r>
                  </m:sup>
                </m:sSup>
              </m:oMath>
            </m:oMathPara>
          </w:p>
        </w:tc>
      </w:tr>
    </w:tbl>
    <w:p w14:paraId="4C45C53F" w14:textId="30E08636" w:rsidR="00416D31" w:rsidRDefault="00416D31" w:rsidP="00416D31">
      <w:pPr>
        <w:pStyle w:val="EFSABodytext"/>
        <w:jc w:val="left"/>
        <w:rPr>
          <w:rFonts w:eastAsiaTheme="minorEastAsia"/>
        </w:rPr>
      </w:pPr>
    </w:p>
    <w:p w14:paraId="11C852A4" w14:textId="4AA24BC3" w:rsidR="00A8208D" w:rsidRDefault="00A8208D" w:rsidP="00E46A13">
      <w:pPr>
        <w:pStyle w:val="EFSABodytext"/>
        <w:rPr>
          <w:rFonts w:eastAsiaTheme="minorEastAsia"/>
        </w:rPr>
      </w:pPr>
      <w:r>
        <w:rPr>
          <w:rFonts w:eastAsiaTheme="minorEastAsia"/>
        </w:rPr>
        <w:t>Table</w:t>
      </w:r>
      <w:r w:rsidDel="00D541CC">
        <w:rPr>
          <w:rFonts w:eastAsiaTheme="minorEastAsia"/>
        </w:rPr>
        <w:t xml:space="preserve"> </w:t>
      </w:r>
      <w:r w:rsidR="00D541CC">
        <w:rPr>
          <w:rFonts w:eastAsiaTheme="minorEastAsia"/>
        </w:rPr>
        <w:t>B.3</w:t>
      </w:r>
      <w:r>
        <w:rPr>
          <w:rFonts w:eastAsiaTheme="minorEastAsia"/>
        </w:rPr>
        <w:t xml:space="preserve"> shows how each of the parameters </w:t>
      </w:r>
      <m:oMath>
        <m:r>
          <w:rPr>
            <w:rFonts w:ascii="Cambria Math" w:eastAsiaTheme="minorEastAsia" w:hAnsi="Cambria Math"/>
          </w:rPr>
          <m:t>a,b, c,d</m:t>
        </m:r>
      </m:oMath>
      <w:r>
        <w:rPr>
          <w:rFonts w:eastAsiaTheme="minorEastAsia"/>
        </w:rPr>
        <w:t xml:space="preserve"> play their role in determining the median response at dose </w:t>
      </w:r>
      <m:oMath>
        <m:r>
          <w:rPr>
            <w:rFonts w:ascii="Cambria Math" w:eastAsiaTheme="minorEastAsia" w:hAnsi="Cambria Math"/>
          </w:rPr>
          <m:t>x</m:t>
        </m:r>
      </m:oMath>
      <w:r>
        <w:rPr>
          <w:rFonts w:eastAsiaTheme="minorEastAsia"/>
        </w:rPr>
        <w:t xml:space="preserve"> for the </w:t>
      </w:r>
      <w:r w:rsidR="00253094">
        <w:rPr>
          <w:rFonts w:eastAsiaTheme="minorEastAsia"/>
        </w:rPr>
        <w:t>de</w:t>
      </w:r>
      <w:r>
        <w:rPr>
          <w:rFonts w:eastAsiaTheme="minorEastAsia"/>
        </w:rPr>
        <w:t>creasing models of Family 2.</w:t>
      </w:r>
    </w:p>
    <w:p w14:paraId="4D9DC28D" w14:textId="77777777" w:rsidR="003E7ABB" w:rsidRPr="003E7ABB" w:rsidRDefault="003E7ABB" w:rsidP="003E7ABB">
      <w:pPr>
        <w:pStyle w:val="EFSABodytext"/>
        <w:jc w:val="left"/>
        <w:rPr>
          <w:rFonts w:eastAsiaTheme="minorEastAsia"/>
          <w:sz w:val="8"/>
          <w:szCs w:val="8"/>
        </w:rPr>
      </w:pPr>
    </w:p>
    <w:p w14:paraId="073B6BAE" w14:textId="4F4143F7" w:rsidR="00A8208D" w:rsidRPr="00E81E6E" w:rsidRDefault="00A8208D" w:rsidP="00A8208D">
      <w:pPr>
        <w:pStyle w:val="Caption"/>
        <w:keepNext/>
        <w:rPr>
          <w:rFonts w:ascii="Tahoma" w:hAnsi="Tahoma" w:cs="Tahoma"/>
        </w:rPr>
      </w:pPr>
      <w:r w:rsidRPr="003704B0">
        <w:rPr>
          <w:rFonts w:ascii="Tahoma" w:hAnsi="Tahoma" w:cs="Tahoma"/>
        </w:rPr>
        <w:t xml:space="preserve">Table </w:t>
      </w:r>
      <w:r w:rsidR="00D541CC">
        <w:rPr>
          <w:rFonts w:ascii="Tahoma" w:hAnsi="Tahoma" w:cs="Tahoma"/>
        </w:rPr>
        <w:t>B.3</w:t>
      </w:r>
      <w:r w:rsidRPr="003704B0">
        <w:rPr>
          <w:rFonts w:ascii="Tahoma" w:hAnsi="Tahoma" w:cs="Tahoma"/>
        </w:rPr>
        <w:t>:</w:t>
      </w:r>
      <w:r>
        <w:rPr>
          <w:rFonts w:ascii="Tahoma" w:hAnsi="Tahoma" w:cs="Tahoma"/>
        </w:rPr>
        <w:t xml:space="preserve"> </w:t>
      </w:r>
      <w:r>
        <w:rPr>
          <w:rFonts w:ascii="Tahoma" w:hAnsi="Tahoma" w:cs="Tahoma"/>
          <w:b w:val="0"/>
          <w:bCs w:val="0"/>
        </w:rPr>
        <w:t xml:space="preserve">Interpretation of parameters for </w:t>
      </w:r>
      <w:r w:rsidR="00253094">
        <w:rPr>
          <w:rFonts w:ascii="Tahoma" w:hAnsi="Tahoma" w:cs="Tahoma"/>
          <w:b w:val="0"/>
          <w:bCs w:val="0"/>
        </w:rPr>
        <w:t>de</w:t>
      </w:r>
      <w:r>
        <w:rPr>
          <w:rFonts w:ascii="Tahoma" w:hAnsi="Tahoma" w:cs="Tahoma"/>
          <w:b w:val="0"/>
          <w:bCs w:val="0"/>
        </w:rPr>
        <w:t xml:space="preserve">creasing models of Family 2: </w:t>
      </w:r>
      <m:oMath>
        <m:r>
          <m:rPr>
            <m:sty m:val="bi"/>
          </m:rPr>
          <w:rPr>
            <w:rFonts w:ascii="Cambria Math" w:eastAsiaTheme="minorEastAsia" w:hAnsi="Cambria Math"/>
          </w:rPr>
          <m:t>a</m:t>
        </m:r>
      </m:oMath>
      <w:r>
        <w:rPr>
          <w:rFonts w:ascii="Tahoma" w:hAnsi="Tahoma" w:cs="Tahoma"/>
          <w:b w:val="0"/>
          <w:bCs w:val="0"/>
        </w:rPr>
        <w:t xml:space="preserve"> and </w:t>
      </w:r>
      <m:oMath>
        <m:r>
          <m:rPr>
            <m:sty m:val="bi"/>
          </m:rPr>
          <w:rPr>
            <w:rFonts w:ascii="Cambria Math" w:hAnsi="Cambria Math" w:cs="Tahoma"/>
          </w:rPr>
          <m:t>c</m:t>
        </m:r>
      </m:oMath>
      <w:r>
        <w:rPr>
          <w:rFonts w:ascii="Tahoma" w:hAnsi="Tahoma" w:cs="Tahoma"/>
          <w:b w:val="0"/>
          <w:bCs w:val="0"/>
        </w:rPr>
        <w:t xml:space="preserve"> determine the median background response and</w:t>
      </w:r>
      <w:r>
        <w:rPr>
          <w:rFonts w:ascii="Tahoma" w:eastAsiaTheme="minorEastAsia" w:hAnsi="Tahoma" w:cs="Tahoma"/>
          <w:b w:val="0"/>
          <w:bCs w:val="0"/>
        </w:rPr>
        <w:t xml:space="preserve"> the maximum change in median response, </w:t>
      </w:r>
      <m:oMath>
        <m:r>
          <m:rPr>
            <m:sty m:val="bi"/>
          </m:rPr>
          <w:rPr>
            <w:rFonts w:ascii="Cambria Math" w:eastAsiaTheme="minorEastAsia" w:hAnsi="Cambria Math" w:cs="Tahoma"/>
          </w:rPr>
          <m:t>b</m:t>
        </m:r>
      </m:oMath>
      <w:r w:rsidRPr="003704B0">
        <w:rPr>
          <w:rFonts w:ascii="Tahoma" w:eastAsiaTheme="minorEastAsia" w:hAnsi="Tahoma" w:cs="Tahoma"/>
          <w:b w:val="0"/>
          <w:bCs w:val="0"/>
        </w:rPr>
        <w:t xml:space="preserve"> and </w:t>
      </w:r>
      <m:oMath>
        <m:r>
          <m:rPr>
            <m:sty m:val="bi"/>
          </m:rPr>
          <w:rPr>
            <w:rFonts w:ascii="Cambria Math" w:eastAsiaTheme="minorEastAsia" w:hAnsi="Cambria Math" w:cs="Tahoma"/>
          </w:rPr>
          <m:t>d</m:t>
        </m:r>
      </m:oMath>
      <w:r w:rsidRPr="003704B0">
        <w:rPr>
          <w:rFonts w:ascii="Tahoma" w:eastAsiaTheme="minorEastAsia" w:hAnsi="Tahoma" w:cs="Tahoma"/>
          <w:b w:val="0"/>
          <w:bCs w:val="0"/>
        </w:rPr>
        <w:t xml:space="preserve"> characterize the shape of change in median response with changing dose </w:t>
      </w:r>
      <m:oMath>
        <m:r>
          <m:rPr>
            <m:sty m:val="bi"/>
          </m:rPr>
          <w:rPr>
            <w:rFonts w:ascii="Cambria Math" w:eastAsiaTheme="minorEastAsia" w:hAnsi="Cambria Math" w:cs="Tahoma"/>
          </w:rPr>
          <m:t>x</m:t>
        </m:r>
      </m:oMath>
      <w:r w:rsidRPr="003704B0">
        <w:rPr>
          <w:rFonts w:ascii="Tahoma" w:eastAsiaTheme="minorEastAsia" w:hAnsi="Tahoma" w:cs="Tahoma"/>
          <w:b w:val="0"/>
          <w:bCs w:val="0"/>
        </w:rPr>
        <w:t>.</w:t>
      </w:r>
    </w:p>
    <w:tbl>
      <w:tblPr>
        <w:tblStyle w:val="TableGrid"/>
        <w:tblW w:w="8280" w:type="dxa"/>
        <w:jc w:val="center"/>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1080"/>
        <w:gridCol w:w="90"/>
        <w:gridCol w:w="3780"/>
        <w:gridCol w:w="3330"/>
      </w:tblGrid>
      <w:tr w:rsidR="00A8208D" w14:paraId="443CC760" w14:textId="77777777" w:rsidTr="00514D10">
        <w:trPr>
          <w:trHeight w:val="504"/>
          <w:jc w:val="center"/>
        </w:trPr>
        <w:tc>
          <w:tcPr>
            <w:tcW w:w="1170" w:type="dxa"/>
            <w:gridSpan w:val="2"/>
            <w:tcBorders>
              <w:bottom w:val="single" w:sz="4" w:space="0" w:color="auto"/>
            </w:tcBorders>
          </w:tcPr>
          <w:p w14:paraId="0D9E93B5" w14:textId="77777777" w:rsidR="00A8208D" w:rsidRDefault="00A8208D" w:rsidP="00514D10">
            <w:pPr>
              <w:pStyle w:val="EFSABodytext"/>
              <w:jc w:val="center"/>
              <w:rPr>
                <w:rFonts w:eastAsia="Calibri" w:cs="Arial"/>
              </w:rPr>
            </w:pPr>
            <w:r>
              <w:rPr>
                <w:rFonts w:eastAsia="Calibri" w:cs="Arial"/>
              </w:rPr>
              <w:t>median response</w:t>
            </w:r>
          </w:p>
        </w:tc>
        <w:tc>
          <w:tcPr>
            <w:tcW w:w="3780" w:type="dxa"/>
            <w:tcBorders>
              <w:bottom w:val="single" w:sz="4" w:space="0" w:color="auto"/>
            </w:tcBorders>
          </w:tcPr>
          <w:p w14:paraId="179541A6" w14:textId="77777777" w:rsidR="00A8208D" w:rsidRDefault="000E01A9" w:rsidP="00514D10">
            <w:pPr>
              <w:pStyle w:val="EFSABodytext"/>
              <w:rPr>
                <w:rFonts w:eastAsiaTheme="minorEastAsia"/>
              </w:rPr>
            </w:pPr>
            <m:oMathPara>
              <m:oMath>
                <m:r>
                  <w:rPr>
                    <w:rFonts w:ascii="Cambria Math" w:eastAsiaTheme="minorEastAsia" w:hAnsi="Cambria Math"/>
                  </w:rPr>
                  <m:t>y|x ~</m:t>
                </m:r>
                <m:r>
                  <m:rPr>
                    <m:sty m:val="p"/>
                  </m:rPr>
                  <w:rPr>
                    <w:rFonts w:ascii="Cambria Math" w:eastAsiaTheme="minorEastAsia" w:hAnsi="Cambria Math"/>
                  </w:rPr>
                  <m:t>N</m:t>
                </m:r>
                <m:d>
                  <m:dPr>
                    <m:ctrlPr>
                      <w:rPr>
                        <w:rFonts w:ascii="Cambria Math" w:eastAsiaTheme="minorEastAsia" w:hAnsi="Cambria Math"/>
                        <w:i/>
                      </w:rPr>
                    </m:ctrlPr>
                  </m:dPr>
                  <m:e>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e>
                </m:d>
              </m:oMath>
            </m:oMathPara>
          </w:p>
        </w:tc>
        <w:tc>
          <w:tcPr>
            <w:tcW w:w="3330" w:type="dxa"/>
            <w:tcBorders>
              <w:bottom w:val="single" w:sz="4" w:space="0" w:color="auto"/>
            </w:tcBorders>
          </w:tcPr>
          <w:p w14:paraId="54044E4D" w14:textId="77777777" w:rsidR="00A8208D" w:rsidRDefault="000E01A9" w:rsidP="00514D10">
            <w:pPr>
              <w:pStyle w:val="EFSABodytext"/>
              <w:rPr>
                <w:rFonts w:eastAsiaTheme="minorEastAsia"/>
              </w:rPr>
            </w:pPr>
            <m:oMathPara>
              <m:oMath>
                <m:r>
                  <w:rPr>
                    <w:rFonts w:ascii="Cambria Math" w:eastAsiaTheme="minorEastAsia" w:hAnsi="Cambria Math"/>
                  </w:rPr>
                  <m:t>y|x ~</m:t>
                </m:r>
                <m:r>
                  <m:rPr>
                    <m:sty m:val="p"/>
                  </m:rPr>
                  <w:rPr>
                    <w:rFonts w:ascii="Cambria Math" w:eastAsiaTheme="minorEastAsia" w:hAnsi="Cambria Math"/>
                  </w:rPr>
                  <m:t>LOGN</m:t>
                </m:r>
                <m:d>
                  <m:dPr>
                    <m:ctrlPr>
                      <w:rPr>
                        <w:rFonts w:ascii="Cambria Math" w:eastAsiaTheme="minorEastAsia" w:hAnsi="Cambria Math"/>
                        <w:i/>
                      </w:rPr>
                    </m:ctrlPr>
                  </m:dPr>
                  <m:e>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e>
                </m:d>
              </m:oMath>
            </m:oMathPara>
          </w:p>
        </w:tc>
      </w:tr>
      <w:tr w:rsidR="00A8208D" w14:paraId="1662F74D" w14:textId="77777777" w:rsidTr="00514D10">
        <w:trPr>
          <w:trHeight w:val="490"/>
          <w:jc w:val="center"/>
        </w:trPr>
        <w:tc>
          <w:tcPr>
            <w:tcW w:w="1170" w:type="dxa"/>
            <w:gridSpan w:val="2"/>
            <w:tcBorders>
              <w:top w:val="nil"/>
              <w:bottom w:val="nil"/>
            </w:tcBorders>
            <w:vAlign w:val="center"/>
          </w:tcPr>
          <w:p w14:paraId="6AB97AD3" w14:textId="77777777" w:rsidR="00A8208D" w:rsidRDefault="000E01A9" w:rsidP="00514D10">
            <w:pPr>
              <w:pStyle w:val="EFSABodytext"/>
              <w:rPr>
                <w:rFonts w:eastAsia="Calibri" w:cs="Arial"/>
              </w:rPr>
            </w:pPr>
            <m:oMathPara>
              <m:oMath>
                <m:r>
                  <m:rPr>
                    <m:sty m:val="p"/>
                  </m:rPr>
                  <w:rPr>
                    <w:rFonts w:ascii="Cambria Math" w:eastAsiaTheme="minorEastAsia" w:hAnsi="Cambria Math"/>
                  </w:rPr>
                  <m:t>Med</m:t>
                </m:r>
                <m:d>
                  <m:dPr>
                    <m:ctrlPr>
                      <w:rPr>
                        <w:rFonts w:ascii="Cambria Math" w:eastAsiaTheme="minorEastAsia" w:hAnsi="Cambria Math"/>
                        <w:i/>
                      </w:rPr>
                    </m:ctrlPr>
                  </m:dPr>
                  <m:e>
                    <m:r>
                      <w:rPr>
                        <w:rFonts w:ascii="Cambria Math" w:eastAsiaTheme="minorEastAsia" w:hAnsi="Cambria Math"/>
                      </w:rPr>
                      <m:t>0</m:t>
                    </m:r>
                  </m:e>
                </m:d>
              </m:oMath>
            </m:oMathPara>
          </w:p>
        </w:tc>
        <w:tc>
          <w:tcPr>
            <w:tcW w:w="3780" w:type="dxa"/>
            <w:tcBorders>
              <w:top w:val="nil"/>
              <w:bottom w:val="nil"/>
            </w:tcBorders>
            <w:vAlign w:val="center"/>
          </w:tcPr>
          <w:p w14:paraId="68A9DF65" w14:textId="77777777" w:rsidR="00A8208D" w:rsidRPr="00DE30D2" w:rsidRDefault="000E01A9" w:rsidP="00514D10">
            <w:pPr>
              <w:pStyle w:val="EFSABodytext"/>
              <w:rPr>
                <w:rFonts w:eastAsiaTheme="minorEastAsia"/>
                <w:i/>
              </w:rPr>
            </w:pPr>
            <m:oMathPara>
              <m:oMath>
                <m:r>
                  <w:rPr>
                    <w:rFonts w:ascii="Cambria Math" w:eastAsiaTheme="minorEastAsia" w:hAnsi="Cambria Math"/>
                  </w:rPr>
                  <m:t>a</m:t>
                </m:r>
              </m:oMath>
            </m:oMathPara>
          </w:p>
        </w:tc>
        <w:tc>
          <w:tcPr>
            <w:tcW w:w="3330" w:type="dxa"/>
            <w:tcBorders>
              <w:top w:val="nil"/>
              <w:bottom w:val="nil"/>
            </w:tcBorders>
            <w:vAlign w:val="center"/>
          </w:tcPr>
          <w:p w14:paraId="57EC115D" w14:textId="77777777" w:rsidR="00A8208D" w:rsidRPr="00DA1D3A" w:rsidRDefault="009615DC" w:rsidP="00514D10">
            <w:pPr>
              <w:pStyle w:val="EFSABodytext"/>
              <w:rPr>
                <w:rFonts w:eastAsiaTheme="minorEastAsia"/>
                <w:i/>
              </w:rPr>
            </w:pPr>
            <m:oMathPara>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a</m:t>
                    </m:r>
                  </m:sup>
                </m:sSup>
                <m:r>
                  <w:rPr>
                    <w:rFonts w:ascii="Cambria Math" w:eastAsiaTheme="minorEastAsia" w:hAnsi="Cambria Math"/>
                  </w:rPr>
                  <m:t xml:space="preserve"> </m:t>
                </m:r>
              </m:oMath>
            </m:oMathPara>
          </w:p>
        </w:tc>
      </w:tr>
      <w:tr w:rsidR="00A8208D" w14:paraId="18075976" w14:textId="77777777" w:rsidTr="00514D10">
        <w:trPr>
          <w:trHeight w:val="490"/>
          <w:jc w:val="center"/>
        </w:trPr>
        <w:tc>
          <w:tcPr>
            <w:tcW w:w="1080" w:type="dxa"/>
            <w:tcBorders>
              <w:top w:val="nil"/>
              <w:bottom w:val="nil"/>
            </w:tcBorders>
            <w:vAlign w:val="center"/>
          </w:tcPr>
          <w:p w14:paraId="6DB608A1" w14:textId="77777777" w:rsidR="00A8208D" w:rsidRPr="008318C8" w:rsidRDefault="000E01A9" w:rsidP="00514D10">
            <w:pPr>
              <w:pStyle w:val="EFSABodytext"/>
              <w:rPr>
                <w:rFonts w:ascii="Calibri" w:eastAsia="Calibri" w:hAnsi="Calibri" w:cs="Arial"/>
                <w:iCs/>
              </w:rPr>
            </w:pPr>
            <m:oMathPara>
              <m:oMath>
                <m:r>
                  <m:rPr>
                    <m:sty m:val="p"/>
                  </m:rPr>
                  <w:rPr>
                    <w:rFonts w:ascii="Cambria Math" w:eastAsiaTheme="minorEastAsia" w:hAnsi="Cambria Math"/>
                  </w:rPr>
                  <m:t>Med</m:t>
                </m:r>
                <m:d>
                  <m:dPr>
                    <m:ctrlPr>
                      <w:rPr>
                        <w:rFonts w:ascii="Cambria Math" w:eastAsiaTheme="minorEastAsia" w:hAnsi="Cambria Math"/>
                        <w:i/>
                      </w:rPr>
                    </m:ctrlPr>
                  </m:dPr>
                  <m:e>
                    <m:r>
                      <w:rPr>
                        <w:rFonts w:ascii="Cambria Math" w:eastAsiaTheme="minorEastAsia" w:hAnsi="Cambria Math"/>
                      </w:rPr>
                      <m:t>∞</m:t>
                    </m:r>
                  </m:e>
                </m:d>
              </m:oMath>
            </m:oMathPara>
          </w:p>
        </w:tc>
        <w:tc>
          <w:tcPr>
            <w:tcW w:w="3870" w:type="dxa"/>
            <w:gridSpan w:val="2"/>
            <w:tcBorders>
              <w:top w:val="nil"/>
              <w:bottom w:val="nil"/>
            </w:tcBorders>
            <w:vAlign w:val="center"/>
          </w:tcPr>
          <w:p w14:paraId="7B760983" w14:textId="77777777" w:rsidR="00A8208D" w:rsidRDefault="000E01A9" w:rsidP="00514D10">
            <w:pPr>
              <w:pStyle w:val="EFSABodytext"/>
              <w:rPr>
                <w:rFonts w:eastAsia="Calibri" w:cs="Arial"/>
              </w:rPr>
            </w:pPr>
            <m:oMathPara>
              <m:oMath>
                <m:r>
                  <w:rPr>
                    <w:rFonts w:ascii="Cambria Math" w:eastAsiaTheme="minorEastAsia" w:hAnsi="Cambria Math"/>
                  </w:rPr>
                  <m:t>Med(0)F(c)</m:t>
                </m:r>
              </m:oMath>
            </m:oMathPara>
          </w:p>
        </w:tc>
        <w:tc>
          <w:tcPr>
            <w:tcW w:w="3330" w:type="dxa"/>
            <w:tcBorders>
              <w:top w:val="nil"/>
              <w:bottom w:val="nil"/>
            </w:tcBorders>
            <w:vAlign w:val="center"/>
          </w:tcPr>
          <w:p w14:paraId="7A57DEB2" w14:textId="77777777" w:rsidR="00A8208D" w:rsidRPr="00DA1D3A" w:rsidRDefault="009615DC" w:rsidP="00514D10">
            <w:pPr>
              <w:pStyle w:val="EFSABodytext"/>
              <w:rPr>
                <w:rFonts w:eastAsia="PMingLiU"/>
              </w:rPr>
            </w:pPr>
            <m:oMathPara>
              <m:oMath>
                <m:sSup>
                  <m:sSupPr>
                    <m:ctrlPr>
                      <w:rPr>
                        <w:rFonts w:ascii="Cambria Math" w:eastAsiaTheme="minorEastAsia" w:hAnsi="Cambria Math"/>
                        <w:i/>
                      </w:rPr>
                    </m:ctrlPr>
                  </m:sSupPr>
                  <m:e>
                    <m:r>
                      <w:rPr>
                        <w:rFonts w:ascii="Cambria Math" w:eastAsiaTheme="minorEastAsia" w:hAnsi="Cambria Math"/>
                      </w:rPr>
                      <m:t>Med(0)</m:t>
                    </m:r>
                  </m:e>
                  <m:sup>
                    <m:r>
                      <w:rPr>
                        <w:rFonts w:ascii="Cambria Math" w:eastAsiaTheme="minorEastAsia" w:hAnsi="Cambria Math"/>
                      </w:rPr>
                      <m:t>F(c)</m:t>
                    </m:r>
                  </m:sup>
                </m:sSup>
                <m:r>
                  <w:rPr>
                    <w:rFonts w:ascii="Cambria Math" w:eastAsiaTheme="minorEastAsia" w:hAnsi="Cambria Math"/>
                  </w:rPr>
                  <m:t xml:space="preserve"> </m:t>
                </m:r>
              </m:oMath>
            </m:oMathPara>
          </w:p>
        </w:tc>
      </w:tr>
    </w:tbl>
    <w:tbl>
      <w:tblPr>
        <w:tblW w:w="8280" w:type="dxa"/>
        <w:jc w:val="center"/>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080"/>
        <w:gridCol w:w="3870"/>
        <w:gridCol w:w="3330"/>
      </w:tblGrid>
      <w:tr w:rsidR="00A8208D" w14:paraId="1602605C" w14:textId="77777777" w:rsidTr="00514D10">
        <w:trPr>
          <w:jc w:val="center"/>
        </w:trPr>
        <w:tc>
          <w:tcPr>
            <w:tcW w:w="1080" w:type="dxa"/>
            <w:tcBorders>
              <w:top w:val="nil"/>
            </w:tcBorders>
            <w:vAlign w:val="center"/>
          </w:tcPr>
          <w:p w14:paraId="6CFFD503" w14:textId="77777777" w:rsidR="00A8208D" w:rsidRDefault="000E01A9" w:rsidP="00514D10">
            <w:pPr>
              <w:pStyle w:val="EFSABodytext"/>
              <w:rPr>
                <w:rFonts w:eastAsia="Calibri" w:cs="Arial"/>
              </w:rPr>
            </w:pPr>
            <m:oMathPara>
              <m:oMath>
                <m:r>
                  <m:rPr>
                    <m:sty m:val="p"/>
                  </m:rPr>
                  <w:rPr>
                    <w:rFonts w:ascii="Cambria Math" w:eastAsiaTheme="minorEastAsia" w:hAnsi="Cambria Math"/>
                  </w:rPr>
                  <m:t>Med</m:t>
                </m:r>
                <m:d>
                  <m:dPr>
                    <m:ctrlPr>
                      <w:rPr>
                        <w:rFonts w:ascii="Cambria Math" w:eastAsiaTheme="minorEastAsia" w:hAnsi="Cambria Math"/>
                        <w:i/>
                      </w:rPr>
                    </m:ctrlPr>
                  </m:dPr>
                  <m:e>
                    <m:r>
                      <w:rPr>
                        <w:rFonts w:ascii="Cambria Math" w:eastAsiaTheme="minorEastAsia" w:hAnsi="Cambria Math"/>
                      </w:rPr>
                      <m:t>x</m:t>
                    </m:r>
                  </m:e>
                </m:d>
              </m:oMath>
            </m:oMathPara>
          </w:p>
        </w:tc>
        <w:tc>
          <w:tcPr>
            <w:tcW w:w="3870" w:type="dxa"/>
            <w:tcBorders>
              <w:top w:val="nil"/>
            </w:tcBorders>
            <w:vAlign w:val="center"/>
          </w:tcPr>
          <w:p w14:paraId="63CC0F17" w14:textId="25FD3E41" w:rsidR="00FF4A01" w:rsidRPr="00FF4A01" w:rsidRDefault="009615DC" w:rsidP="00514D10">
            <w:pPr>
              <w:pStyle w:val="EFSABodytext"/>
              <w:rPr>
                <w:rFonts w:eastAsia="Calibri" w:cs="Arial"/>
                <w:bCs/>
              </w:rPr>
            </w:pPr>
            <m:oMathPara>
              <m:oMath>
                <m:d>
                  <m:dPr>
                    <m:begChr m:val="{"/>
                    <m:endChr m:val=""/>
                    <m:ctrlPr>
                      <w:rPr>
                        <w:rFonts w:ascii="Cambria Math" w:eastAsiaTheme="minorEastAsia" w:hAnsi="Cambria Math"/>
                        <w:i/>
                      </w:rPr>
                    </m:ctrlPr>
                  </m:dPr>
                  <m:e>
                    <m:eqArr>
                      <m:eqArrPr>
                        <m:ctrlPr>
                          <w:rPr>
                            <w:rFonts w:ascii="Cambria Math" w:eastAsiaTheme="minorEastAsia" w:hAnsi="Cambria Math"/>
                            <w:i/>
                          </w:rPr>
                        </m:ctrlPr>
                      </m:eqArrPr>
                      <m:e>
                        <m:r>
                          <w:rPr>
                            <w:rFonts w:ascii="Cambria Math" w:eastAsiaTheme="minorEastAsia" w:hAnsi="Cambria Math"/>
                          </w:rPr>
                          <m:t>Med</m:t>
                        </m:r>
                        <m:d>
                          <m:dPr>
                            <m:ctrlPr>
                              <w:rPr>
                                <w:rFonts w:ascii="Cambria Math" w:eastAsiaTheme="minorEastAsia" w:hAnsi="Cambria Math"/>
                                <w:bCs/>
                                <w:i/>
                              </w:rPr>
                            </m:ctrlPr>
                          </m:dPr>
                          <m:e>
                            <m:r>
                              <w:rPr>
                                <w:rFonts w:ascii="Cambria Math" w:eastAsiaTheme="minorEastAsia" w:hAnsi="Cambria Math"/>
                              </w:rPr>
                              <m:t>0</m:t>
                            </m:r>
                          </m:e>
                        </m:d>
                        <m:d>
                          <m:dPr>
                            <m:ctrlPr>
                              <w:rPr>
                                <w:rFonts w:ascii="Cambria Math" w:eastAsiaTheme="minorEastAsia" w:hAnsi="Cambria Math"/>
                                <w:bCs/>
                                <w:i/>
                              </w:rPr>
                            </m:ctrlPr>
                          </m:dPr>
                          <m:e>
                            <m:r>
                              <w:rPr>
                                <w:rFonts w:ascii="Cambria Math" w:eastAsiaTheme="minorEastAsia" w:hAnsi="Cambria Math"/>
                              </w:rPr>
                              <m:t>1+F</m:t>
                            </m:r>
                            <m:d>
                              <m:dPr>
                                <m:ctrlPr>
                                  <w:rPr>
                                    <w:rFonts w:ascii="Cambria Math" w:eastAsiaTheme="minorEastAsia" w:hAnsi="Cambria Math"/>
                                    <w:bCs/>
                                    <w:i/>
                                  </w:rPr>
                                </m:ctrlPr>
                              </m:dPr>
                              <m:e>
                                <m:sSup>
                                  <m:sSupPr>
                                    <m:ctrlPr>
                                      <w:rPr>
                                        <w:rFonts w:ascii="Cambria Math" w:eastAsiaTheme="minorEastAsia" w:hAnsi="Cambria Math" w:cs="Times New Roman"/>
                                        <w:bCs/>
                                        <w:i/>
                                        <w:lang w:eastAsia="en-GB"/>
                                      </w:rPr>
                                    </m:ctrlPr>
                                  </m:sSupPr>
                                  <m:e>
                                    <m:r>
                                      <w:rPr>
                                        <w:rFonts w:ascii="Cambria Math" w:eastAsiaTheme="minorEastAsia" w:hAnsi="Cambria Math"/>
                                      </w:rPr>
                                      <m:t>F</m:t>
                                    </m:r>
                                  </m:e>
                                  <m:sup>
                                    <m:r>
                                      <w:rPr>
                                        <w:rFonts w:ascii="Cambria Math" w:eastAsiaTheme="minorEastAsia" w:hAnsi="Cambria Math"/>
                                      </w:rPr>
                                      <m:t>-1</m:t>
                                    </m:r>
                                  </m:sup>
                                </m:sSup>
                                <m:d>
                                  <m:dPr>
                                    <m:ctrlPr>
                                      <w:rPr>
                                        <w:rFonts w:ascii="Cambria Math" w:eastAsiaTheme="minorEastAsia" w:hAnsi="Cambria Math"/>
                                        <w:bCs/>
                                        <w:i/>
                                      </w:rPr>
                                    </m:ctrlPr>
                                  </m:dPr>
                                  <m:e>
                                    <m:f>
                                      <m:fPr>
                                        <m:ctrlPr>
                                          <w:rPr>
                                            <w:rFonts w:ascii="Cambria Math" w:eastAsiaTheme="minorEastAsia" w:hAnsi="Cambria Math" w:cs="Times New Roman"/>
                                            <w:bCs/>
                                            <w:i/>
                                            <w:lang w:eastAsia="en-GB"/>
                                          </w:rPr>
                                        </m:ctrlPr>
                                      </m:fPr>
                                      <m:num>
                                        <m:r>
                                          <w:rPr>
                                            <w:rFonts w:ascii="Cambria Math" w:eastAsiaTheme="minorEastAsia" w:hAnsi="Cambria Math"/>
                                          </w:rPr>
                                          <m:t>Med</m:t>
                                        </m:r>
                                        <m:d>
                                          <m:dPr>
                                            <m:ctrlPr>
                                              <w:rPr>
                                                <w:rFonts w:ascii="Cambria Math" w:eastAsiaTheme="minorEastAsia" w:hAnsi="Cambria Math"/>
                                                <w:bCs/>
                                                <w:i/>
                                              </w:rPr>
                                            </m:ctrlPr>
                                          </m:dPr>
                                          <m:e>
                                            <m:r>
                                              <w:rPr>
                                                <w:rFonts w:ascii="Cambria Math" w:eastAsiaTheme="minorEastAsia" w:hAnsi="Cambria Math"/>
                                              </w:rPr>
                                              <m:t>∞</m:t>
                                            </m:r>
                                          </m:e>
                                        </m:d>
                                      </m:num>
                                      <m:den>
                                        <m:r>
                                          <w:rPr>
                                            <w:rFonts w:ascii="Cambria Math" w:eastAsiaTheme="minorEastAsia" w:hAnsi="Cambria Math"/>
                                          </w:rPr>
                                          <m:t>Med</m:t>
                                        </m:r>
                                        <m:d>
                                          <m:dPr>
                                            <m:ctrlPr>
                                              <w:rPr>
                                                <w:rFonts w:ascii="Cambria Math" w:eastAsiaTheme="minorEastAsia" w:hAnsi="Cambria Math"/>
                                                <w:bCs/>
                                                <w:i/>
                                              </w:rPr>
                                            </m:ctrlPr>
                                          </m:dPr>
                                          <m:e>
                                            <m:r>
                                              <w:rPr>
                                                <w:rFonts w:ascii="Cambria Math" w:eastAsiaTheme="minorEastAsia" w:hAnsi="Cambria Math"/>
                                              </w:rPr>
                                              <m:t>0</m:t>
                                            </m:r>
                                          </m:e>
                                        </m:d>
                                      </m:den>
                                    </m:f>
                                  </m:e>
                                </m:d>
                              </m:e>
                            </m:d>
                          </m:e>
                        </m:d>
                        <m:r>
                          <w:rPr>
                            <w:rFonts w:ascii="Cambria Math" w:eastAsiaTheme="minorEastAsia" w:hAnsi="Cambria Math"/>
                          </w:rPr>
                          <m:t>-</m:t>
                        </m:r>
                      </m:e>
                      <m:e>
                        <m:r>
                          <w:rPr>
                            <w:rFonts w:ascii="Cambria Math" w:eastAsiaTheme="minorEastAsia" w:hAnsi="Cambria Math"/>
                          </w:rPr>
                          <m:t>Med</m:t>
                        </m:r>
                        <m:d>
                          <m:dPr>
                            <m:ctrlPr>
                              <w:rPr>
                                <w:rFonts w:ascii="Cambria Math" w:eastAsiaTheme="minorEastAsia" w:hAnsi="Cambria Math"/>
                                <w:bCs/>
                                <w:i/>
                              </w:rPr>
                            </m:ctrlPr>
                          </m:dPr>
                          <m:e>
                            <m:r>
                              <w:rPr>
                                <w:rFonts w:ascii="Cambria Math" w:eastAsiaTheme="minorEastAsia" w:hAnsi="Cambria Math"/>
                              </w:rPr>
                              <m:t>0</m:t>
                            </m:r>
                          </m:e>
                        </m:d>
                        <m:r>
                          <w:rPr>
                            <w:rFonts w:ascii="Cambria Math" w:eastAsiaTheme="minorEastAsia" w:hAnsi="Cambria Math"/>
                          </w:rPr>
                          <m:t>F</m:t>
                        </m:r>
                        <m:d>
                          <m:dPr>
                            <m:ctrlPr>
                              <w:rPr>
                                <w:rFonts w:ascii="Cambria Math" w:eastAsiaTheme="minorEastAsia" w:hAnsi="Cambria Math"/>
                                <w:bCs/>
                                <w:i/>
                              </w:rPr>
                            </m:ctrlPr>
                          </m:dPr>
                          <m:e>
                            <m:sSup>
                              <m:sSupPr>
                                <m:ctrlPr>
                                  <w:rPr>
                                    <w:rFonts w:ascii="Cambria Math" w:eastAsiaTheme="minorEastAsia" w:hAnsi="Cambria Math" w:cs="Times New Roman"/>
                                    <w:bCs/>
                                    <w:i/>
                                    <w:lang w:eastAsia="en-GB"/>
                                  </w:rPr>
                                </m:ctrlPr>
                              </m:sSupPr>
                              <m:e>
                                <m:r>
                                  <w:rPr>
                                    <w:rFonts w:ascii="Cambria Math" w:eastAsiaTheme="minorEastAsia" w:hAnsi="Cambria Math"/>
                                  </w:rPr>
                                  <m:t>F</m:t>
                                </m:r>
                              </m:e>
                              <m:sup>
                                <m:r>
                                  <w:rPr>
                                    <w:rFonts w:ascii="Cambria Math" w:eastAsiaTheme="minorEastAsia" w:hAnsi="Cambria Math"/>
                                  </w:rPr>
                                  <m:t>-1</m:t>
                                </m:r>
                              </m:sup>
                            </m:sSup>
                            <m:d>
                              <m:dPr>
                                <m:ctrlPr>
                                  <w:rPr>
                                    <w:rFonts w:ascii="Cambria Math" w:eastAsiaTheme="minorEastAsia" w:hAnsi="Cambria Math"/>
                                    <w:bCs/>
                                    <w:i/>
                                  </w:rPr>
                                </m:ctrlPr>
                              </m:dPr>
                              <m:e>
                                <m:f>
                                  <m:fPr>
                                    <m:ctrlPr>
                                      <w:rPr>
                                        <w:rFonts w:ascii="Cambria Math" w:eastAsiaTheme="minorEastAsia" w:hAnsi="Cambria Math" w:cs="Times New Roman"/>
                                        <w:bCs/>
                                        <w:i/>
                                        <w:lang w:eastAsia="en-GB"/>
                                      </w:rPr>
                                    </m:ctrlPr>
                                  </m:fPr>
                                  <m:num>
                                    <m:r>
                                      <w:rPr>
                                        <w:rFonts w:ascii="Cambria Math" w:eastAsiaTheme="minorEastAsia" w:hAnsi="Cambria Math"/>
                                      </w:rPr>
                                      <m:t>Med</m:t>
                                    </m:r>
                                    <m:d>
                                      <m:dPr>
                                        <m:ctrlPr>
                                          <w:rPr>
                                            <w:rFonts w:ascii="Cambria Math" w:eastAsiaTheme="minorEastAsia" w:hAnsi="Cambria Math"/>
                                            <w:bCs/>
                                            <w:i/>
                                          </w:rPr>
                                        </m:ctrlPr>
                                      </m:dPr>
                                      <m:e>
                                        <m:r>
                                          <w:rPr>
                                            <w:rFonts w:ascii="Cambria Math" w:eastAsiaTheme="minorEastAsia" w:hAnsi="Cambria Math"/>
                                          </w:rPr>
                                          <m:t>∞</m:t>
                                        </m:r>
                                      </m:e>
                                    </m:d>
                                  </m:num>
                                  <m:den>
                                    <m:r>
                                      <w:rPr>
                                        <w:rFonts w:ascii="Cambria Math" w:eastAsiaTheme="minorEastAsia" w:hAnsi="Cambria Math"/>
                                      </w:rPr>
                                      <m:t>Med</m:t>
                                    </m:r>
                                    <m:d>
                                      <m:dPr>
                                        <m:ctrlPr>
                                          <w:rPr>
                                            <w:rFonts w:ascii="Cambria Math" w:eastAsiaTheme="minorEastAsia" w:hAnsi="Cambria Math"/>
                                            <w:bCs/>
                                            <w:i/>
                                          </w:rPr>
                                        </m:ctrlPr>
                                      </m:dPr>
                                      <m:e>
                                        <m:r>
                                          <w:rPr>
                                            <w:rFonts w:ascii="Cambria Math" w:eastAsiaTheme="minorEastAsia" w:hAnsi="Cambria Math"/>
                                          </w:rPr>
                                          <m:t>0</m:t>
                                        </m:r>
                                      </m:e>
                                    </m:d>
                                  </m:den>
                                </m:f>
                              </m:e>
                            </m:d>
                            <m:r>
                              <w:rPr>
                                <w:rFonts w:ascii="Cambria Math" w:eastAsiaTheme="minorEastAsia" w:hAnsi="Cambria Math"/>
                              </w:rPr>
                              <m:t>+b</m:t>
                            </m:r>
                            <m:sSup>
                              <m:sSupPr>
                                <m:ctrlPr>
                                  <w:rPr>
                                    <w:rFonts w:ascii="Cambria Math" w:eastAsiaTheme="minorEastAsia" w:hAnsi="Cambria Math"/>
                                    <w:bCs/>
                                    <w:i/>
                                  </w:rPr>
                                </m:ctrlPr>
                              </m:sSupPr>
                              <m:e>
                                <m:r>
                                  <w:rPr>
                                    <w:rFonts w:ascii="Cambria Math" w:eastAsiaTheme="minorEastAsia" w:hAnsi="Cambria Math"/>
                                  </w:rPr>
                                  <m:t>x</m:t>
                                </m:r>
                              </m:e>
                              <m:sup>
                                <m:r>
                                  <w:rPr>
                                    <w:rFonts w:ascii="Cambria Math" w:eastAsiaTheme="minorEastAsia" w:hAnsi="Cambria Math"/>
                                  </w:rPr>
                                  <m:t>d</m:t>
                                </m:r>
                              </m:sup>
                            </m:sSup>
                          </m:e>
                        </m:d>
                      </m:e>
                    </m:eqArr>
                  </m:e>
                </m:d>
              </m:oMath>
            </m:oMathPara>
          </w:p>
          <w:p w14:paraId="2D9BC96E" w14:textId="144C27F9" w:rsidR="00A8208D" w:rsidRDefault="00A8208D" w:rsidP="00514D10">
            <w:pPr>
              <w:pStyle w:val="EFSABodytext"/>
              <w:rPr>
                <w:rFonts w:eastAsiaTheme="minorEastAsia"/>
              </w:rPr>
            </w:pPr>
          </w:p>
        </w:tc>
        <w:tc>
          <w:tcPr>
            <w:tcW w:w="3330" w:type="dxa"/>
            <w:tcBorders>
              <w:top w:val="nil"/>
            </w:tcBorders>
            <w:vAlign w:val="center"/>
          </w:tcPr>
          <w:p w14:paraId="4C8B45D2" w14:textId="09BD31EC" w:rsidR="00A8208D" w:rsidRDefault="009615DC" w:rsidP="00514D10">
            <w:pPr>
              <w:pStyle w:val="EFSABodytext"/>
              <w:rPr>
                <w:rFonts w:eastAsiaTheme="minorEastAsia"/>
              </w:rPr>
            </w:pPr>
            <m:oMathPara>
              <m:oMath>
                <m:f>
                  <m:fPr>
                    <m:ctrlPr>
                      <w:rPr>
                        <w:rFonts w:ascii="Cambria Math" w:eastAsiaTheme="minorEastAsia" w:hAnsi="Cambria Math"/>
                        <w:bCs/>
                        <w:i/>
                        <w:iCs/>
                      </w:rPr>
                    </m:ctrlPr>
                  </m:fPr>
                  <m:num>
                    <m:sSup>
                      <m:sSupPr>
                        <m:ctrlPr>
                          <w:rPr>
                            <w:rFonts w:ascii="Cambria Math" w:eastAsiaTheme="minorEastAsia" w:hAnsi="Cambria Math"/>
                            <w:bCs/>
                            <w:i/>
                            <w:iCs/>
                          </w:rPr>
                        </m:ctrlPr>
                      </m:sSupPr>
                      <m:e>
                        <m:r>
                          <w:rPr>
                            <w:rFonts w:ascii="Cambria Math" w:eastAsiaTheme="minorEastAsia" w:hAnsi="Cambria Math"/>
                          </w:rPr>
                          <m:t>Med</m:t>
                        </m:r>
                        <m:d>
                          <m:dPr>
                            <m:ctrlPr>
                              <w:rPr>
                                <w:rFonts w:ascii="Cambria Math" w:eastAsiaTheme="minorEastAsia" w:hAnsi="Cambria Math"/>
                                <w:bCs/>
                                <w:i/>
                              </w:rPr>
                            </m:ctrlPr>
                          </m:dPr>
                          <m:e>
                            <m:r>
                              <w:rPr>
                                <w:rFonts w:ascii="Cambria Math" w:eastAsiaTheme="minorEastAsia" w:hAnsi="Cambria Math"/>
                              </w:rPr>
                              <m:t>0</m:t>
                            </m:r>
                          </m:e>
                        </m:d>
                      </m:e>
                      <m:sup>
                        <m:d>
                          <m:dPr>
                            <m:ctrlPr>
                              <w:rPr>
                                <w:rFonts w:ascii="Cambria Math" w:eastAsiaTheme="minorEastAsia" w:hAnsi="Cambria Math"/>
                                <w:bCs/>
                                <w:i/>
                              </w:rPr>
                            </m:ctrlPr>
                          </m:dPr>
                          <m:e>
                            <m:r>
                              <w:rPr>
                                <w:rFonts w:ascii="Cambria Math" w:eastAsiaTheme="minorEastAsia" w:hAnsi="Cambria Math"/>
                              </w:rPr>
                              <m:t>1+F</m:t>
                            </m:r>
                            <m:d>
                              <m:dPr>
                                <m:ctrlPr>
                                  <w:rPr>
                                    <w:rFonts w:ascii="Cambria Math" w:eastAsiaTheme="minorEastAsia" w:hAnsi="Cambria Math"/>
                                    <w:bCs/>
                                    <w:i/>
                                  </w:rPr>
                                </m:ctrlPr>
                              </m:dPr>
                              <m:e>
                                <m:sSup>
                                  <m:sSupPr>
                                    <m:ctrlPr>
                                      <w:rPr>
                                        <w:rFonts w:ascii="Cambria Math" w:eastAsiaTheme="minorEastAsia" w:hAnsi="Cambria Math" w:cs="Times New Roman"/>
                                        <w:bCs/>
                                        <w:i/>
                                        <w:lang w:eastAsia="en-GB"/>
                                      </w:rPr>
                                    </m:ctrlPr>
                                  </m:sSupPr>
                                  <m:e>
                                    <m:r>
                                      <w:rPr>
                                        <w:rFonts w:ascii="Cambria Math" w:eastAsiaTheme="minorEastAsia" w:hAnsi="Cambria Math"/>
                                      </w:rPr>
                                      <m:t>F</m:t>
                                    </m:r>
                                  </m:e>
                                  <m:sup>
                                    <m:r>
                                      <w:rPr>
                                        <w:rFonts w:ascii="Cambria Math" w:eastAsiaTheme="minorEastAsia" w:hAnsi="Cambria Math"/>
                                      </w:rPr>
                                      <m:t>-1</m:t>
                                    </m:r>
                                  </m:sup>
                                </m:sSup>
                                <m:d>
                                  <m:dPr>
                                    <m:ctrlPr>
                                      <w:rPr>
                                        <w:rFonts w:ascii="Cambria Math" w:eastAsiaTheme="minorEastAsia" w:hAnsi="Cambria Math"/>
                                        <w:bCs/>
                                        <w:i/>
                                      </w:rPr>
                                    </m:ctrlPr>
                                  </m:dPr>
                                  <m:e>
                                    <m:f>
                                      <m:fPr>
                                        <m:ctrlPr>
                                          <w:rPr>
                                            <w:rFonts w:ascii="Cambria Math" w:eastAsiaTheme="minorEastAsia" w:hAnsi="Cambria Math" w:cs="Times New Roman"/>
                                            <w:bCs/>
                                            <w:i/>
                                            <w:lang w:eastAsia="en-GB"/>
                                          </w:rPr>
                                        </m:ctrlPr>
                                      </m:fPr>
                                      <m:num>
                                        <m:r>
                                          <w:rPr>
                                            <w:rFonts w:ascii="Cambria Math" w:eastAsiaTheme="minorEastAsia" w:hAnsi="Cambria Math"/>
                                          </w:rPr>
                                          <m:t>Med</m:t>
                                        </m:r>
                                        <m:d>
                                          <m:dPr>
                                            <m:ctrlPr>
                                              <w:rPr>
                                                <w:rFonts w:ascii="Cambria Math" w:eastAsiaTheme="minorEastAsia" w:hAnsi="Cambria Math"/>
                                                <w:bCs/>
                                                <w:i/>
                                              </w:rPr>
                                            </m:ctrlPr>
                                          </m:dPr>
                                          <m:e>
                                            <m:r>
                                              <w:rPr>
                                                <w:rFonts w:ascii="Cambria Math" w:eastAsiaTheme="minorEastAsia" w:hAnsi="Cambria Math"/>
                                              </w:rPr>
                                              <m:t>∞</m:t>
                                            </m:r>
                                          </m:e>
                                        </m:d>
                                      </m:num>
                                      <m:den>
                                        <m:r>
                                          <w:rPr>
                                            <w:rFonts w:ascii="Cambria Math" w:eastAsiaTheme="minorEastAsia" w:hAnsi="Cambria Math"/>
                                          </w:rPr>
                                          <m:t>Med</m:t>
                                        </m:r>
                                        <m:d>
                                          <m:dPr>
                                            <m:ctrlPr>
                                              <w:rPr>
                                                <w:rFonts w:ascii="Cambria Math" w:eastAsiaTheme="minorEastAsia" w:hAnsi="Cambria Math"/>
                                                <w:bCs/>
                                                <w:i/>
                                              </w:rPr>
                                            </m:ctrlPr>
                                          </m:dPr>
                                          <m:e>
                                            <m:r>
                                              <w:rPr>
                                                <w:rFonts w:ascii="Cambria Math" w:eastAsiaTheme="minorEastAsia" w:hAnsi="Cambria Math"/>
                                              </w:rPr>
                                              <m:t>0</m:t>
                                            </m:r>
                                          </m:e>
                                        </m:d>
                                      </m:den>
                                    </m:f>
                                  </m:e>
                                </m:d>
                              </m:e>
                            </m:d>
                          </m:e>
                        </m:d>
                      </m:sup>
                    </m:sSup>
                  </m:num>
                  <m:den>
                    <m:sSup>
                      <m:sSupPr>
                        <m:ctrlPr>
                          <w:rPr>
                            <w:rFonts w:ascii="Cambria Math" w:eastAsiaTheme="minorEastAsia" w:hAnsi="Cambria Math"/>
                            <w:bCs/>
                            <w:i/>
                            <w:iCs/>
                          </w:rPr>
                        </m:ctrlPr>
                      </m:sSupPr>
                      <m:e>
                        <m:r>
                          <w:rPr>
                            <w:rFonts w:ascii="Cambria Math" w:eastAsiaTheme="minorEastAsia" w:hAnsi="Cambria Math"/>
                          </w:rPr>
                          <m:t>Med</m:t>
                        </m:r>
                        <m:d>
                          <m:dPr>
                            <m:ctrlPr>
                              <w:rPr>
                                <w:rFonts w:ascii="Cambria Math" w:eastAsiaTheme="minorEastAsia" w:hAnsi="Cambria Math"/>
                                <w:bCs/>
                                <w:i/>
                              </w:rPr>
                            </m:ctrlPr>
                          </m:dPr>
                          <m:e>
                            <m:r>
                              <w:rPr>
                                <w:rFonts w:ascii="Cambria Math" w:eastAsiaTheme="minorEastAsia" w:hAnsi="Cambria Math"/>
                              </w:rPr>
                              <m:t>0</m:t>
                            </m:r>
                          </m:e>
                        </m:d>
                      </m:e>
                      <m:sup>
                        <m:r>
                          <w:rPr>
                            <w:rFonts w:ascii="Cambria Math" w:eastAsiaTheme="minorEastAsia" w:hAnsi="Cambria Math"/>
                          </w:rPr>
                          <m:t>F</m:t>
                        </m:r>
                        <m:d>
                          <m:dPr>
                            <m:ctrlPr>
                              <w:rPr>
                                <w:rFonts w:ascii="Cambria Math" w:eastAsiaTheme="minorEastAsia" w:hAnsi="Cambria Math"/>
                                <w:bCs/>
                                <w:i/>
                              </w:rPr>
                            </m:ctrlPr>
                          </m:dPr>
                          <m:e>
                            <m:sSup>
                              <m:sSupPr>
                                <m:ctrlPr>
                                  <w:rPr>
                                    <w:rFonts w:ascii="Cambria Math" w:eastAsiaTheme="minorEastAsia" w:hAnsi="Cambria Math" w:cs="Times New Roman"/>
                                    <w:bCs/>
                                    <w:i/>
                                    <w:lang w:eastAsia="en-GB"/>
                                  </w:rPr>
                                </m:ctrlPr>
                              </m:sSupPr>
                              <m:e>
                                <m:r>
                                  <w:rPr>
                                    <w:rFonts w:ascii="Cambria Math" w:eastAsiaTheme="minorEastAsia" w:hAnsi="Cambria Math"/>
                                  </w:rPr>
                                  <m:t>F</m:t>
                                </m:r>
                              </m:e>
                              <m:sup>
                                <m:r>
                                  <w:rPr>
                                    <w:rFonts w:ascii="Cambria Math" w:eastAsiaTheme="minorEastAsia" w:hAnsi="Cambria Math"/>
                                  </w:rPr>
                                  <m:t>-1</m:t>
                                </m:r>
                              </m:sup>
                            </m:sSup>
                            <m:d>
                              <m:dPr>
                                <m:ctrlPr>
                                  <w:rPr>
                                    <w:rFonts w:ascii="Cambria Math" w:eastAsiaTheme="minorEastAsia" w:hAnsi="Cambria Math"/>
                                    <w:bCs/>
                                    <w:i/>
                                  </w:rPr>
                                </m:ctrlPr>
                              </m:dPr>
                              <m:e>
                                <m:f>
                                  <m:fPr>
                                    <m:ctrlPr>
                                      <w:rPr>
                                        <w:rFonts w:ascii="Cambria Math" w:eastAsiaTheme="minorEastAsia" w:hAnsi="Cambria Math" w:cs="Times New Roman"/>
                                        <w:bCs/>
                                        <w:i/>
                                        <w:lang w:eastAsia="en-GB"/>
                                      </w:rPr>
                                    </m:ctrlPr>
                                  </m:fPr>
                                  <m:num>
                                    <m:r>
                                      <w:rPr>
                                        <w:rFonts w:ascii="Cambria Math" w:eastAsiaTheme="minorEastAsia" w:hAnsi="Cambria Math"/>
                                      </w:rPr>
                                      <m:t>Med</m:t>
                                    </m:r>
                                    <m:d>
                                      <m:dPr>
                                        <m:ctrlPr>
                                          <w:rPr>
                                            <w:rFonts w:ascii="Cambria Math" w:eastAsiaTheme="minorEastAsia" w:hAnsi="Cambria Math"/>
                                            <w:bCs/>
                                            <w:i/>
                                          </w:rPr>
                                        </m:ctrlPr>
                                      </m:dPr>
                                      <m:e>
                                        <m:r>
                                          <w:rPr>
                                            <w:rFonts w:ascii="Cambria Math" w:eastAsiaTheme="minorEastAsia" w:hAnsi="Cambria Math"/>
                                          </w:rPr>
                                          <m:t>∞</m:t>
                                        </m:r>
                                      </m:e>
                                    </m:d>
                                  </m:num>
                                  <m:den>
                                    <m:r>
                                      <w:rPr>
                                        <w:rFonts w:ascii="Cambria Math" w:eastAsiaTheme="minorEastAsia" w:hAnsi="Cambria Math"/>
                                      </w:rPr>
                                      <m:t>Med</m:t>
                                    </m:r>
                                    <m:d>
                                      <m:dPr>
                                        <m:ctrlPr>
                                          <w:rPr>
                                            <w:rFonts w:ascii="Cambria Math" w:eastAsiaTheme="minorEastAsia" w:hAnsi="Cambria Math"/>
                                            <w:bCs/>
                                            <w:i/>
                                          </w:rPr>
                                        </m:ctrlPr>
                                      </m:dPr>
                                      <m:e>
                                        <m:r>
                                          <w:rPr>
                                            <w:rFonts w:ascii="Cambria Math" w:eastAsiaTheme="minorEastAsia" w:hAnsi="Cambria Math"/>
                                          </w:rPr>
                                          <m:t>0</m:t>
                                        </m:r>
                                      </m:e>
                                    </m:d>
                                  </m:den>
                                </m:f>
                              </m:e>
                            </m:d>
                            <m:r>
                              <w:rPr>
                                <w:rFonts w:ascii="Cambria Math" w:eastAsiaTheme="minorEastAsia" w:hAnsi="Cambria Math"/>
                              </w:rPr>
                              <m:t>+b</m:t>
                            </m:r>
                            <m:sSup>
                              <m:sSupPr>
                                <m:ctrlPr>
                                  <w:rPr>
                                    <w:rFonts w:ascii="Cambria Math" w:eastAsiaTheme="minorEastAsia" w:hAnsi="Cambria Math"/>
                                    <w:bCs/>
                                    <w:i/>
                                  </w:rPr>
                                </m:ctrlPr>
                              </m:sSupPr>
                              <m:e>
                                <m:r>
                                  <w:rPr>
                                    <w:rFonts w:ascii="Cambria Math" w:eastAsiaTheme="minorEastAsia" w:hAnsi="Cambria Math"/>
                                  </w:rPr>
                                  <m:t>x</m:t>
                                </m:r>
                              </m:e>
                              <m:sup>
                                <m:r>
                                  <w:rPr>
                                    <w:rFonts w:ascii="Cambria Math" w:eastAsiaTheme="minorEastAsia" w:hAnsi="Cambria Math"/>
                                  </w:rPr>
                                  <m:t>d</m:t>
                                </m:r>
                              </m:sup>
                            </m:sSup>
                          </m:e>
                        </m:d>
                      </m:sup>
                    </m:sSup>
                  </m:den>
                </m:f>
              </m:oMath>
            </m:oMathPara>
          </w:p>
        </w:tc>
      </w:tr>
    </w:tbl>
    <w:p w14:paraId="74375F71" w14:textId="30898F0C" w:rsidR="00A8208D" w:rsidRPr="001B2963" w:rsidRDefault="00A8208D" w:rsidP="00A8208D">
      <w:pPr>
        <w:pStyle w:val="EFSABodytext"/>
        <w:jc w:val="left"/>
        <w:rPr>
          <w:rFonts w:eastAsiaTheme="minorEastAsia"/>
        </w:rPr>
      </w:pPr>
    </w:p>
    <w:p w14:paraId="48707631" w14:textId="28419980" w:rsidR="002057C4" w:rsidRDefault="002057C4" w:rsidP="002057C4">
      <w:pPr>
        <w:pStyle w:val="EFSAHeading4"/>
      </w:pPr>
      <w:r>
        <w:t>Visualisation of the models</w:t>
      </w:r>
    </w:p>
    <w:p w14:paraId="1D731B55" w14:textId="77777777" w:rsidR="002057C4" w:rsidRDefault="002057C4" w:rsidP="001B25DE">
      <w:pPr>
        <w:pStyle w:val="EFSABodytext"/>
        <w:rPr>
          <w:rFonts w:eastAsiaTheme="minorEastAsia"/>
        </w:rPr>
      </w:pPr>
      <w:r>
        <w:t xml:space="preserve">Considering the models </w:t>
      </w:r>
      <m:oMath>
        <m:r>
          <w:rPr>
            <w:rFonts w:ascii="Cambria Math" w:eastAsiaTheme="minorEastAsia" w:hAnsi="Cambria Math"/>
          </w:rPr>
          <m:t>y|x ~</m:t>
        </m:r>
        <m:r>
          <m:rPr>
            <m:sty m:val="p"/>
          </m:rPr>
          <w:rPr>
            <w:rFonts w:ascii="Cambria Math" w:eastAsiaTheme="minorEastAsia" w:hAnsi="Cambria Math"/>
          </w:rPr>
          <m:t>N</m:t>
        </m:r>
        <m:d>
          <m:dPr>
            <m:ctrlPr>
              <w:rPr>
                <w:rFonts w:ascii="Cambria Math" w:eastAsiaTheme="minorEastAsia" w:hAnsi="Cambria Math"/>
                <w:i/>
              </w:rPr>
            </m:ctrlPr>
          </m:dPr>
          <m:e>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e>
        </m:d>
      </m:oMath>
      <w:r>
        <w:rPr>
          <w:rFonts w:eastAsiaTheme="minorEastAsia"/>
        </w:rPr>
        <w:t xml:space="preserve"> for a normally distributed response and with increasing median response </w:t>
      </w: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w:r>
        <w:rPr>
          <w:rFonts w:eastAsiaTheme="minorEastAsia"/>
        </w:rPr>
        <w:t xml:space="preserve"> from Family 1a, Figure 1 shows four panels with graphs of </w:t>
      </w: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w:r>
        <w:rPr>
          <w:rFonts w:eastAsiaTheme="minorEastAsia"/>
        </w:rPr>
        <w:t xml:space="preserve"> </w:t>
      </w:r>
    </w:p>
    <w:p w14:paraId="63EC4413" w14:textId="77777777" w:rsidR="002057C4" w:rsidRDefault="002057C4" w:rsidP="001B25DE">
      <w:pPr>
        <w:pStyle w:val="EFSABodytext"/>
        <w:numPr>
          <w:ilvl w:val="0"/>
          <w:numId w:val="72"/>
        </w:numPr>
        <w:rPr>
          <w:rFonts w:eastAsiaTheme="minorEastAsia"/>
        </w:rPr>
      </w:pPr>
      <w:r>
        <w:rPr>
          <w:rFonts w:eastAsiaTheme="minorEastAsia"/>
        </w:rPr>
        <w:t>for the exponential model (solid curve) and the Hill model (dashed curve),</w:t>
      </w:r>
    </w:p>
    <w:p w14:paraId="79FC6F94" w14:textId="77777777" w:rsidR="002057C4" w:rsidRDefault="002057C4" w:rsidP="001B25DE">
      <w:pPr>
        <w:pStyle w:val="EFSABodytext"/>
        <w:numPr>
          <w:ilvl w:val="0"/>
          <w:numId w:val="72"/>
        </w:numPr>
        <w:rPr>
          <w:rFonts w:eastAsiaTheme="minorEastAsia"/>
        </w:rPr>
      </w:pPr>
      <w:r>
        <w:rPr>
          <w:rFonts w:eastAsiaTheme="minorEastAsia"/>
        </w:rPr>
        <w:t xml:space="preserve">with always </w:t>
      </w:r>
      <m:oMath>
        <m:r>
          <w:rPr>
            <w:rFonts w:ascii="Cambria Math" w:eastAsiaTheme="minorEastAsia" w:hAnsi="Cambria Math"/>
          </w:rPr>
          <m:t>a=10</m:t>
        </m:r>
      </m:oMath>
      <w:r>
        <w:rPr>
          <w:rFonts w:eastAsiaTheme="minorEastAsia"/>
        </w:rPr>
        <w:t xml:space="preserve"> and </w:t>
      </w:r>
      <m:oMath>
        <m:r>
          <w:rPr>
            <w:rFonts w:ascii="Cambria Math" w:eastAsiaTheme="minorEastAsia" w:hAnsi="Cambria Math"/>
          </w:rPr>
          <m:t>c=2</m:t>
        </m:r>
      </m:oMath>
      <w:r>
        <w:rPr>
          <w:rFonts w:eastAsiaTheme="minorEastAsia"/>
        </w:rPr>
        <w:t>, implying a background response of 10 and a maximum response of 20,</w:t>
      </w:r>
    </w:p>
    <w:p w14:paraId="6451896F" w14:textId="77777777" w:rsidR="002057C4" w:rsidRDefault="002057C4" w:rsidP="001B25DE">
      <w:pPr>
        <w:pStyle w:val="EFSABodytext"/>
        <w:numPr>
          <w:ilvl w:val="0"/>
          <w:numId w:val="72"/>
        </w:numPr>
        <w:rPr>
          <w:rFonts w:eastAsiaTheme="minorEastAsia"/>
        </w:rPr>
      </w:pPr>
      <w:r>
        <w:rPr>
          <w:rFonts w:eastAsiaTheme="minorEastAsia"/>
        </w:rPr>
        <w:t xml:space="preserve">with two choices for </w:t>
      </w:r>
      <m:oMath>
        <m:r>
          <w:rPr>
            <w:rFonts w:ascii="Cambria Math" w:eastAsiaTheme="minorEastAsia" w:hAnsi="Cambria Math"/>
          </w:rPr>
          <m:t xml:space="preserve">b=0.25 </m:t>
        </m:r>
        <m:r>
          <m:rPr>
            <m:sty m:val="p"/>
          </m:rPr>
          <w:rPr>
            <w:rFonts w:ascii="Cambria Math" w:eastAsiaTheme="minorEastAsia" w:hAnsi="Cambria Math"/>
          </w:rPr>
          <m:t>or</m:t>
        </m:r>
        <m:r>
          <w:rPr>
            <w:rFonts w:ascii="Cambria Math" w:eastAsiaTheme="minorEastAsia" w:hAnsi="Cambria Math"/>
          </w:rPr>
          <m:t xml:space="preserve"> 2</m:t>
        </m:r>
      </m:oMath>
      <w:r>
        <w:rPr>
          <w:rFonts w:eastAsiaTheme="minorEastAsia"/>
        </w:rPr>
        <w:t xml:space="preserve"> and two choices for </w:t>
      </w:r>
      <m:oMath>
        <m:r>
          <w:rPr>
            <w:rFonts w:ascii="Cambria Math" w:eastAsiaTheme="minorEastAsia" w:hAnsi="Cambria Math"/>
          </w:rPr>
          <m:t xml:space="preserve">d=1 </m:t>
        </m:r>
        <m:r>
          <m:rPr>
            <m:sty m:val="p"/>
          </m:rPr>
          <w:rPr>
            <w:rFonts w:ascii="Cambria Math" w:eastAsiaTheme="minorEastAsia" w:hAnsi="Cambria Math"/>
          </w:rPr>
          <m:t>or</m:t>
        </m:r>
        <m:r>
          <w:rPr>
            <w:rFonts w:ascii="Cambria Math" w:eastAsiaTheme="minorEastAsia" w:hAnsi="Cambria Math"/>
          </w:rPr>
          <m:t xml:space="preserve"> 2</m:t>
        </m:r>
      </m:oMath>
      <w:r>
        <w:rPr>
          <w:rFonts w:eastAsiaTheme="minorEastAsia"/>
        </w:rPr>
        <w:t>; each panel referring to one of the four combinations.</w:t>
      </w:r>
    </w:p>
    <w:p w14:paraId="27124D27" w14:textId="007813D7" w:rsidR="002057C4" w:rsidRPr="00E83958" w:rsidRDefault="002057C4" w:rsidP="001B25DE">
      <w:pPr>
        <w:pStyle w:val="EFSABodytext"/>
        <w:rPr>
          <w:rFonts w:eastAsiaTheme="minorEastAsia"/>
        </w:rPr>
      </w:pPr>
      <w:r>
        <w:rPr>
          <w:rFonts w:eastAsiaTheme="minorEastAsia"/>
        </w:rPr>
        <w:t xml:space="preserve">As shown in </w:t>
      </w:r>
      <w:r w:rsidRPr="267526ED">
        <w:rPr>
          <w:rFonts w:eastAsiaTheme="minorEastAsia"/>
        </w:rPr>
        <w:t xml:space="preserve">Figure </w:t>
      </w:r>
      <w:r w:rsidR="00CB30F1">
        <w:rPr>
          <w:rFonts w:eastAsiaTheme="minorEastAsia"/>
        </w:rPr>
        <w:t>B.1</w:t>
      </w:r>
      <w:r>
        <w:rPr>
          <w:rFonts w:eastAsiaTheme="minorEastAsia"/>
        </w:rPr>
        <w:t>,</w:t>
      </w:r>
      <w:r w:rsidRPr="267526ED">
        <w:rPr>
          <w:rFonts w:eastAsiaTheme="minorEastAsia"/>
        </w:rPr>
        <w:t xml:space="preserve"> even if all parameters </w:t>
      </w:r>
      <m:oMath>
        <m:r>
          <w:rPr>
            <w:rFonts w:ascii="Cambria Math" w:eastAsiaTheme="minorEastAsia" w:hAnsi="Cambria Math"/>
          </w:rPr>
          <m:t>a,b,c,d</m:t>
        </m:r>
      </m:oMath>
      <w:r w:rsidRPr="267526ED">
        <w:rPr>
          <w:rFonts w:eastAsiaTheme="minorEastAsia"/>
        </w:rPr>
        <w:t xml:space="preserve"> are identical, the functional form of the exponential and the Hill model are different, as are the corresponding BMD values corresponding to </w:t>
      </w:r>
      <w:r>
        <w:rPr>
          <w:rFonts w:eastAsiaTheme="minorEastAsia"/>
        </w:rPr>
        <w:t xml:space="preserve">the same </w:t>
      </w:r>
      <w:r w:rsidRPr="267526ED">
        <w:rPr>
          <w:rFonts w:eastAsiaTheme="minorEastAsia"/>
        </w:rPr>
        <w:t xml:space="preserve">BMR.  </w:t>
      </w:r>
    </w:p>
    <w:p w14:paraId="0426A53E" w14:textId="77777777" w:rsidR="002057C4" w:rsidRDefault="002057C4" w:rsidP="002057C4">
      <w:pPr>
        <w:pStyle w:val="EFSABodytext"/>
        <w:keepNext/>
        <w:jc w:val="center"/>
      </w:pPr>
      <w:r>
        <w:rPr>
          <w:noProof/>
          <w:color w:val="2B579A"/>
          <w:shd w:val="clear" w:color="auto" w:fill="E6E6E6"/>
        </w:rPr>
        <w:drawing>
          <wp:inline distT="0" distB="0" distL="0" distR="0" wp14:anchorId="27D03321" wp14:editId="7946312E">
            <wp:extent cx="4750555" cy="360665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0">
                      <a:extLst>
                        <a:ext uri="{28A0092B-C50C-407E-A947-70E740481C1C}">
                          <a14:useLocalDpi xmlns:a14="http://schemas.microsoft.com/office/drawing/2010/main" val="0"/>
                        </a:ext>
                      </a:extLst>
                    </a:blip>
                    <a:stretch>
                      <a:fillRect/>
                    </a:stretch>
                  </pic:blipFill>
                  <pic:spPr>
                    <a:xfrm>
                      <a:off x="0" y="0"/>
                      <a:ext cx="4750555" cy="3606651"/>
                    </a:xfrm>
                    <a:prstGeom prst="rect">
                      <a:avLst/>
                    </a:prstGeom>
                  </pic:spPr>
                </pic:pic>
              </a:graphicData>
            </a:graphic>
          </wp:inline>
        </w:drawing>
      </w:r>
    </w:p>
    <w:p w14:paraId="599DE75B" w14:textId="2CC26A89" w:rsidR="002057C4" w:rsidRDefault="002057C4" w:rsidP="002057C4">
      <w:pPr>
        <w:pStyle w:val="Caption"/>
        <w:jc w:val="center"/>
      </w:pPr>
      <w:r>
        <w:t xml:space="preserve">Figure </w:t>
      </w:r>
      <w:r w:rsidR="000202C4">
        <w:t>B.</w:t>
      </w:r>
      <w:r>
        <w:rPr>
          <w:color w:val="2B579A"/>
          <w:shd w:val="clear" w:color="auto" w:fill="E6E6E6"/>
        </w:rPr>
        <w:fldChar w:fldCharType="begin"/>
      </w:r>
      <w:r>
        <w:instrText>SEQ Figure \* ARABIC</w:instrText>
      </w:r>
      <w:r>
        <w:rPr>
          <w:color w:val="2B579A"/>
          <w:shd w:val="clear" w:color="auto" w:fill="E6E6E6"/>
        </w:rPr>
        <w:fldChar w:fldCharType="separate"/>
      </w:r>
      <w:r>
        <w:rPr>
          <w:noProof/>
        </w:rPr>
        <w:t>1</w:t>
      </w:r>
      <w:r>
        <w:rPr>
          <w:color w:val="2B579A"/>
          <w:shd w:val="clear" w:color="auto" w:fill="E6E6E6"/>
        </w:rPr>
        <w:fldChar w:fldCharType="end"/>
      </w:r>
    </w:p>
    <w:p w14:paraId="19C171DE" w14:textId="77777777" w:rsidR="002057C4" w:rsidRDefault="002057C4" w:rsidP="002057C4">
      <w:pPr>
        <w:keepNext/>
        <w:jc w:val="center"/>
      </w:pPr>
      <w:r>
        <w:rPr>
          <w:noProof/>
          <w:color w:val="2B579A"/>
          <w:shd w:val="clear" w:color="auto" w:fill="E6E6E6"/>
        </w:rPr>
        <w:drawing>
          <wp:inline distT="0" distB="0" distL="0" distR="0" wp14:anchorId="14D9BAC2" wp14:editId="7FDE607E">
            <wp:extent cx="4346369" cy="3299791"/>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1">
                      <a:extLst>
                        <a:ext uri="{28A0092B-C50C-407E-A947-70E740481C1C}">
                          <a14:useLocalDpi xmlns:a14="http://schemas.microsoft.com/office/drawing/2010/main" val="0"/>
                        </a:ext>
                      </a:extLst>
                    </a:blip>
                    <a:stretch>
                      <a:fillRect/>
                    </a:stretch>
                  </pic:blipFill>
                  <pic:spPr>
                    <a:xfrm>
                      <a:off x="0" y="0"/>
                      <a:ext cx="4346369" cy="3299791"/>
                    </a:xfrm>
                    <a:prstGeom prst="rect">
                      <a:avLst/>
                    </a:prstGeom>
                  </pic:spPr>
                </pic:pic>
              </a:graphicData>
            </a:graphic>
          </wp:inline>
        </w:drawing>
      </w:r>
    </w:p>
    <w:p w14:paraId="2D3A0307" w14:textId="2C191A49" w:rsidR="002057C4" w:rsidRDefault="002057C4" w:rsidP="002057C4">
      <w:pPr>
        <w:pStyle w:val="Caption"/>
        <w:jc w:val="center"/>
      </w:pPr>
      <w:r>
        <w:t xml:space="preserve">Figure </w:t>
      </w:r>
      <w:r w:rsidR="000202C4">
        <w:t>B.</w:t>
      </w:r>
      <w:r>
        <w:rPr>
          <w:color w:val="2B579A"/>
          <w:shd w:val="clear" w:color="auto" w:fill="E6E6E6"/>
        </w:rPr>
        <w:fldChar w:fldCharType="begin"/>
      </w:r>
      <w:r>
        <w:instrText>SEQ Figure \* ARABIC</w:instrText>
      </w:r>
      <w:r>
        <w:rPr>
          <w:color w:val="2B579A"/>
          <w:shd w:val="clear" w:color="auto" w:fill="E6E6E6"/>
        </w:rPr>
        <w:fldChar w:fldCharType="separate"/>
      </w:r>
      <w:r>
        <w:rPr>
          <w:noProof/>
        </w:rPr>
        <w:t>2</w:t>
      </w:r>
      <w:r>
        <w:rPr>
          <w:color w:val="2B579A"/>
          <w:shd w:val="clear" w:color="auto" w:fill="E6E6E6"/>
        </w:rPr>
        <w:fldChar w:fldCharType="end"/>
      </w:r>
    </w:p>
    <w:p w14:paraId="2592F1EB" w14:textId="4DC1FFAF" w:rsidR="002057C4" w:rsidRPr="00E83958" w:rsidRDefault="002057C4" w:rsidP="0005321F">
      <w:pPr>
        <w:pStyle w:val="EFSABodytext"/>
        <w:rPr>
          <w:rFonts w:eastAsiaTheme="minorEastAsia"/>
        </w:rPr>
      </w:pPr>
      <w:r>
        <w:rPr>
          <w:rFonts w:eastAsiaTheme="minorEastAsia"/>
        </w:rPr>
        <w:t xml:space="preserve">Figure </w:t>
      </w:r>
      <w:r w:rsidR="000202C4">
        <w:rPr>
          <w:rFonts w:eastAsiaTheme="minorEastAsia"/>
        </w:rPr>
        <w:t>B.</w:t>
      </w:r>
      <w:r>
        <w:rPr>
          <w:rFonts w:eastAsiaTheme="minorEastAsia"/>
        </w:rPr>
        <w:t xml:space="preserve">2 </w:t>
      </w:r>
      <w:r w:rsidRPr="7EBCF9D8">
        <w:rPr>
          <w:rFonts w:eastAsiaTheme="minorEastAsia"/>
        </w:rPr>
        <w:t>provides</w:t>
      </w:r>
      <w:r>
        <w:rPr>
          <w:rFonts w:eastAsiaTheme="minorEastAsia"/>
        </w:rPr>
        <w:t xml:space="preserve"> some further insights in the exponential and the Hill model after reparameterization in terms of the parameters </w:t>
      </w:r>
      <m:oMath>
        <m:r>
          <w:rPr>
            <w:rFonts w:ascii="Cambria Math" w:eastAsiaTheme="minorEastAsia" w:hAnsi="Cambria Math"/>
          </w:rPr>
          <m:t>a,BMD,c,d</m:t>
        </m:r>
      </m:oMath>
      <w:r>
        <w:rPr>
          <w:rFonts w:eastAsiaTheme="minorEastAsia"/>
        </w:rPr>
        <w:t xml:space="preserve"> (parameter </w:t>
      </w:r>
      <m:oMath>
        <m:r>
          <w:rPr>
            <w:rFonts w:ascii="Cambria Math" w:eastAsiaTheme="minorEastAsia" w:hAnsi="Cambria Math"/>
          </w:rPr>
          <m:t>b</m:t>
        </m:r>
      </m:oMath>
      <w:r>
        <w:rPr>
          <w:rFonts w:eastAsiaTheme="minorEastAsia"/>
        </w:rPr>
        <w:t xml:space="preserve"> interchanged with potency parameter </w:t>
      </w:r>
      <m:oMath>
        <m:r>
          <w:rPr>
            <w:rFonts w:ascii="Cambria Math" w:eastAsiaTheme="minorEastAsia" w:hAnsi="Cambria Math"/>
          </w:rPr>
          <m:t>BMD</m:t>
        </m:r>
      </m:oMath>
      <w:r>
        <w:rPr>
          <w:rFonts w:eastAsiaTheme="minorEastAsia"/>
        </w:rPr>
        <w:t xml:space="preserve">). Again, for all models, </w:t>
      </w:r>
      <m:oMath>
        <m:r>
          <w:rPr>
            <w:rFonts w:ascii="Cambria Math" w:eastAsiaTheme="minorEastAsia" w:hAnsi="Cambria Math"/>
          </w:rPr>
          <m:t>a=10</m:t>
        </m:r>
      </m:oMath>
      <w:r>
        <w:rPr>
          <w:rFonts w:eastAsiaTheme="minorEastAsia"/>
        </w:rPr>
        <w:t xml:space="preserve"> and </w:t>
      </w:r>
      <m:oMath>
        <m:r>
          <w:rPr>
            <w:rFonts w:ascii="Cambria Math" w:eastAsiaTheme="minorEastAsia" w:hAnsi="Cambria Math"/>
          </w:rPr>
          <m:t>c=2</m:t>
        </m:r>
      </m:oMath>
      <w:r>
        <w:rPr>
          <w:rFonts w:eastAsiaTheme="minorEastAsia"/>
        </w:rPr>
        <w:t xml:space="preserve">. The BMR was chosen to be 0.05, so that the BMD corresponds to a response of 10.5 (5% above the background response of 10). For the black curves BMD=25 and for the dark red curves BMD=50. All solid curves refer to the exponential model, and the dashed ones to the Hill model. For each choice of the BMD, two choices  </w:t>
      </w:r>
      <m:oMath>
        <m:r>
          <w:rPr>
            <w:rFonts w:ascii="Cambria Math" w:eastAsiaTheme="minorEastAsia" w:hAnsi="Cambria Math"/>
          </w:rPr>
          <m:t>d =1 or 2</m:t>
        </m:r>
      </m:oMath>
      <w:r>
        <w:rPr>
          <w:rFonts w:eastAsiaTheme="minorEastAsia"/>
        </w:rPr>
        <w:t xml:space="preserve"> were considered. Figure </w:t>
      </w:r>
      <w:r w:rsidR="000202C4">
        <w:rPr>
          <w:rFonts w:eastAsiaTheme="minorEastAsia"/>
        </w:rPr>
        <w:t>B.</w:t>
      </w:r>
      <w:r>
        <w:rPr>
          <w:rFonts w:eastAsiaTheme="minorEastAsia"/>
        </w:rPr>
        <w:t xml:space="preserve">2 shows again the difference between the exponential and the Hill model with identical parameters  </w:t>
      </w:r>
      <m:oMath>
        <m:r>
          <w:rPr>
            <w:rFonts w:ascii="Cambria Math" w:eastAsiaTheme="minorEastAsia" w:hAnsi="Cambria Math"/>
          </w:rPr>
          <m:t>a,BMD,c,d</m:t>
        </m:r>
      </m:oMath>
      <w:r>
        <w:rPr>
          <w:rFonts w:eastAsiaTheme="minorEastAsia"/>
        </w:rPr>
        <w:t xml:space="preserve">, and the impact of changing only parameter </w:t>
      </w:r>
      <m:oMath>
        <m:r>
          <w:rPr>
            <w:rFonts w:ascii="Cambria Math" w:eastAsiaTheme="minorEastAsia" w:hAnsi="Cambria Math"/>
          </w:rPr>
          <m:t>d</m:t>
        </m:r>
      </m:oMath>
      <w:r>
        <w:rPr>
          <w:rFonts w:eastAsiaTheme="minorEastAsia"/>
        </w:rPr>
        <w:t>.</w:t>
      </w:r>
    </w:p>
    <w:p w14:paraId="11579E10" w14:textId="6D1B2DA9" w:rsidR="002057C4" w:rsidRDefault="002057C4" w:rsidP="0005321F">
      <w:pPr>
        <w:jc w:val="both"/>
        <w:rPr>
          <w:rFonts w:eastAsiaTheme="minorEastAsia"/>
          <w:iCs/>
          <w:u w:val="single"/>
        </w:rPr>
      </w:pPr>
      <w:r>
        <w:t xml:space="preserve">Figure </w:t>
      </w:r>
      <w:r w:rsidR="00275A2D">
        <w:t>B.</w:t>
      </w:r>
      <w:r>
        <w:t xml:space="preserve">3 depicts the dose response curves for all members of Family 1a, 1b and 2, with identical values for the background response, maximum </w:t>
      </w:r>
      <w:proofErr w:type="gramStart"/>
      <w:r>
        <w:t>response</w:t>
      </w:r>
      <w:proofErr w:type="gramEnd"/>
      <w:r>
        <w:t xml:space="preserve"> and the BMD, and all with the fourth parameter </w:t>
      </w:r>
      <m:oMath>
        <m:r>
          <w:rPr>
            <w:rFonts w:ascii="Cambria Math" w:eastAsiaTheme="minorEastAsia" w:hAnsi="Cambria Math"/>
          </w:rPr>
          <m:t>d</m:t>
        </m:r>
      </m:oMath>
      <w:r w:rsidRPr="00DE30D2">
        <w:rPr>
          <w:rFonts w:eastAsiaTheme="minorEastAsia"/>
          <w:i/>
        </w:rPr>
        <w:t>=</w:t>
      </w:r>
      <w:r>
        <w:rPr>
          <w:rFonts w:eastAsiaTheme="minorEastAsia"/>
          <w:i/>
        </w:rPr>
        <w:t xml:space="preserve">2.  </w:t>
      </w:r>
      <w:r>
        <w:rPr>
          <w:rFonts w:eastAsiaTheme="minorEastAsia"/>
          <w:iCs/>
          <w:u w:val="single"/>
        </w:rPr>
        <w:t>The precise parameter values are:</w:t>
      </w:r>
    </w:p>
    <w:p w14:paraId="69578F8C" w14:textId="77777777" w:rsidR="002057C4" w:rsidRPr="00DE30D2" w:rsidRDefault="002057C4" w:rsidP="0005321F">
      <w:pPr>
        <w:pStyle w:val="ListParagraph"/>
        <w:numPr>
          <w:ilvl w:val="0"/>
          <w:numId w:val="73"/>
        </w:numPr>
        <w:jc w:val="both"/>
      </w:pPr>
      <w:r>
        <w:t>Family 1a &amp; b</w:t>
      </w:r>
      <w:r w:rsidRPr="00DE30D2">
        <w:rPr>
          <w:i/>
          <w:iCs/>
        </w:rPr>
        <w:t xml:space="preserve">:  a=10, c=2, BMD=50, </w:t>
      </w:r>
      <m:oMath>
        <m:r>
          <w:rPr>
            <w:rFonts w:ascii="Cambria Math" w:eastAsiaTheme="minorEastAsia" w:hAnsi="Cambria Math"/>
          </w:rPr>
          <m:t>d=2</m:t>
        </m:r>
      </m:oMath>
    </w:p>
    <w:p w14:paraId="5F2ACF7D" w14:textId="77777777" w:rsidR="002057C4" w:rsidRDefault="002057C4" w:rsidP="0005321F">
      <w:pPr>
        <w:pStyle w:val="ListParagraph"/>
        <w:numPr>
          <w:ilvl w:val="0"/>
          <w:numId w:val="73"/>
        </w:numPr>
        <w:jc w:val="both"/>
      </w:pPr>
      <w:r>
        <w:t>Family 2</w:t>
      </w:r>
      <w:r w:rsidRPr="00B82903">
        <w:rPr>
          <w:i/>
          <w:iCs/>
        </w:rPr>
        <w:t>:  a=0, c=</w:t>
      </w:r>
      <w:r>
        <w:rPr>
          <w:i/>
          <w:iCs/>
        </w:rPr>
        <w:t>20</w:t>
      </w:r>
      <w:r w:rsidRPr="00B82903">
        <w:rPr>
          <w:i/>
          <w:iCs/>
        </w:rPr>
        <w:t xml:space="preserve">, BMD=50, </w:t>
      </w:r>
      <m:oMath>
        <m:r>
          <w:rPr>
            <w:rFonts w:ascii="Cambria Math" w:eastAsiaTheme="minorEastAsia" w:hAnsi="Cambria Math"/>
          </w:rPr>
          <m:t>d=2</m:t>
        </m:r>
      </m:oMath>
    </w:p>
    <w:p w14:paraId="0866E241" w14:textId="4B7B8047" w:rsidR="002057C4" w:rsidRDefault="002057C4" w:rsidP="0005321F">
      <w:pPr>
        <w:jc w:val="both"/>
      </w:pPr>
      <w:r>
        <w:t xml:space="preserve">Parameters </w:t>
      </w:r>
      <w:r w:rsidRPr="00B82903">
        <w:rPr>
          <w:i/>
          <w:iCs/>
        </w:rPr>
        <w:t>a</w:t>
      </w:r>
      <w:r>
        <w:rPr>
          <w:i/>
          <w:iCs/>
        </w:rPr>
        <w:t xml:space="preserve"> </w:t>
      </w:r>
      <w:r>
        <w:t xml:space="preserve">and </w:t>
      </w:r>
      <w:r>
        <w:rPr>
          <w:i/>
          <w:iCs/>
        </w:rPr>
        <w:t xml:space="preserve">c </w:t>
      </w:r>
      <w:r>
        <w:t xml:space="preserve">are linked to background and maximum response in a different way, and parameter </w:t>
      </w:r>
      <w:r>
        <w:rPr>
          <w:i/>
          <w:iCs/>
        </w:rPr>
        <w:t xml:space="preserve">d </w:t>
      </w:r>
      <w:r>
        <w:t xml:space="preserve">is playing its own role in each model (see Figure </w:t>
      </w:r>
      <w:r w:rsidR="000202C4">
        <w:t>B.</w:t>
      </w:r>
      <w:r>
        <w:t>2).  The corresponding values for the parameter b are:</w:t>
      </w:r>
    </w:p>
    <w:p w14:paraId="6E02840B" w14:textId="77777777" w:rsidR="002057C4" w:rsidRDefault="002057C4" w:rsidP="002057C4">
      <w:pPr>
        <w:pStyle w:val="SourceCode"/>
        <w:jc w:val="center"/>
      </w:pPr>
      <w:r>
        <w:rPr>
          <w:rStyle w:val="VerbatimChar"/>
        </w:rPr>
        <w:t xml:space="preserve">                        a </w:t>
      </w:r>
      <w:proofErr w:type="gramStart"/>
      <w:r>
        <w:rPr>
          <w:rStyle w:val="VerbatimChar"/>
        </w:rPr>
        <w:t>BMD  c</w:t>
      </w:r>
      <w:proofErr w:type="gramEnd"/>
      <w:r>
        <w:rPr>
          <w:rStyle w:val="VerbatimChar"/>
        </w:rPr>
        <w:t xml:space="preserve"> d            b</w:t>
      </w:r>
      <w:r>
        <w:br/>
      </w:r>
      <w:r>
        <w:rPr>
          <w:rStyle w:val="VerbatimChar"/>
        </w:rPr>
        <w:t xml:space="preserve"> Exponential           10  50  2 2     0.000021</w:t>
      </w:r>
      <w:r>
        <w:br/>
      </w:r>
      <w:r>
        <w:rPr>
          <w:rStyle w:val="VerbatimChar"/>
        </w:rPr>
        <w:t xml:space="preserve"> Inverse exponential   10  50  2 2  7489.330684</w:t>
      </w:r>
      <w:r>
        <w:br/>
      </w:r>
      <w:r>
        <w:rPr>
          <w:rStyle w:val="VerbatimChar"/>
        </w:rPr>
        <w:t xml:space="preserve"> Hill                  10  50  2 2 47500.000000</w:t>
      </w:r>
      <w:r>
        <w:br/>
      </w:r>
      <w:r>
        <w:rPr>
          <w:rStyle w:val="VerbatimChar"/>
        </w:rPr>
        <w:t xml:space="preserve"> Log-normal            10  50  2 2     0.000077</w:t>
      </w:r>
      <w:r>
        <w:br/>
      </w:r>
      <w:r>
        <w:rPr>
          <w:rStyle w:val="VerbatimChar"/>
        </w:rPr>
        <w:t xml:space="preserve"> Gamma                 10  50  2 2     0.007084</w:t>
      </w:r>
      <w:r>
        <w:br/>
      </w:r>
      <w:r>
        <w:rPr>
          <w:rStyle w:val="VerbatimChar"/>
        </w:rPr>
        <w:t xml:space="preserve"> Quadratic exponential 10  50  2 2     0.000134</w:t>
      </w:r>
      <w:r>
        <w:br/>
      </w:r>
      <w:r>
        <w:rPr>
          <w:rStyle w:val="VerbatimChar"/>
        </w:rPr>
        <w:t xml:space="preserve"> </w:t>
      </w:r>
      <w:proofErr w:type="spellStart"/>
      <w:r>
        <w:rPr>
          <w:rStyle w:val="VerbatimChar"/>
        </w:rPr>
        <w:t>Probit</w:t>
      </w:r>
      <w:proofErr w:type="spellEnd"/>
      <w:r>
        <w:rPr>
          <w:rStyle w:val="VerbatimChar"/>
        </w:rPr>
        <w:t xml:space="preserve">                 0  50 20 2     0.000025</w:t>
      </w:r>
      <w:r>
        <w:br/>
      </w:r>
      <w:r>
        <w:rPr>
          <w:rStyle w:val="VerbatimChar"/>
        </w:rPr>
        <w:t xml:space="preserve"> Logit                  0  50 20 2     0.000040</w:t>
      </w:r>
    </w:p>
    <w:p w14:paraId="71908F2E" w14:textId="77777777" w:rsidR="002057C4" w:rsidRDefault="002057C4" w:rsidP="002057C4">
      <w:pPr>
        <w:jc w:val="center"/>
      </w:pPr>
    </w:p>
    <w:p w14:paraId="51D1DB36" w14:textId="504D9A34" w:rsidR="002057C4" w:rsidRPr="00021E07" w:rsidRDefault="002057C4" w:rsidP="00E07A63">
      <w:pPr>
        <w:spacing w:line="240" w:lineRule="auto"/>
        <w:jc w:val="both"/>
      </w:pPr>
      <w:r>
        <w:t xml:space="preserve">Figure </w:t>
      </w:r>
      <w:r w:rsidR="003F5E9D">
        <w:t>B.</w:t>
      </w:r>
      <w:r>
        <w:t xml:space="preserve">4 provides further insight in the comparison of the different models.  Supposing “perfect” data generated by the exponential model with </w:t>
      </w:r>
      <w:r w:rsidRPr="00E1398D">
        <w:rPr>
          <w:i/>
          <w:iCs/>
        </w:rPr>
        <w:t xml:space="preserve">a=10, c=2, BMD=50, </w:t>
      </w:r>
      <m:oMath>
        <m:r>
          <w:rPr>
            <w:rFonts w:ascii="Cambria Math" w:eastAsiaTheme="minorEastAsia" w:hAnsi="Cambria Math"/>
          </w:rPr>
          <m:t>d=2</m:t>
        </m:r>
      </m:oMath>
      <w:r>
        <w:t xml:space="preserve">, with a very dense design of dose levels according to a grid [0, max dose] in steps of 0.01, and with no noise (normal distribution with variance equal to 0.  All other models are fitted to those “perfect exponential data”, shown in Figure </w:t>
      </w:r>
      <w:r w:rsidR="003F5E9D">
        <w:t>B.</w:t>
      </w:r>
      <w:r>
        <w:t xml:space="preserve">4 by the green solid curve.  These other models were informed with a perfect prior (exact correct </w:t>
      </w:r>
      <w:proofErr w:type="spellStart"/>
      <w:r>
        <w:t>center</w:t>
      </w:r>
      <w:proofErr w:type="spellEnd"/>
      <w:r>
        <w:t xml:space="preserve">, and variance equal to 0) on the parameters </w:t>
      </w:r>
      <w:r w:rsidRPr="00E1398D">
        <w:rPr>
          <w:i/>
          <w:iCs/>
        </w:rPr>
        <w:t>a, c, BMD</w:t>
      </w:r>
      <w:r>
        <w:rPr>
          <w:i/>
          <w:iCs/>
        </w:rPr>
        <w:t xml:space="preserve">, </w:t>
      </w:r>
      <w:r>
        <w:t xml:space="preserve">and only the parameter </w:t>
      </w:r>
      <m:oMath>
        <m:r>
          <w:rPr>
            <w:rFonts w:ascii="Cambria Math" w:eastAsiaTheme="minorEastAsia" w:hAnsi="Cambria Math"/>
          </w:rPr>
          <m:t>d</m:t>
        </m:r>
      </m:oMath>
      <w:r>
        <w:rPr>
          <w:rFonts w:eastAsiaTheme="minorEastAsia"/>
        </w:rPr>
        <w:t xml:space="preserve"> is optimized to approximate the exponential model as close as possible, but optimization is depending on the choice of the maximum dose in the design. These choices 100, 250, 500 a</w:t>
      </w:r>
      <w:proofErr w:type="spellStart"/>
      <w:r>
        <w:rPr>
          <w:rFonts w:eastAsiaTheme="minorEastAsia"/>
        </w:rPr>
        <w:t>nd</w:t>
      </w:r>
      <w:proofErr w:type="spellEnd"/>
      <w:r>
        <w:rPr>
          <w:rFonts w:eastAsiaTheme="minorEastAsia"/>
        </w:rPr>
        <w:t xml:space="preserve"> 10000 correspond to the four panels of Figure </w:t>
      </w:r>
      <w:r w:rsidR="003F5E9D">
        <w:rPr>
          <w:rFonts w:eastAsiaTheme="minorEastAsia"/>
        </w:rPr>
        <w:t>B.</w:t>
      </w:r>
      <w:r>
        <w:rPr>
          <w:rFonts w:eastAsiaTheme="minorEastAsia"/>
        </w:rPr>
        <w:t xml:space="preserve">4.  The four panels show that the other models deviate more from the exponential model with increasing maximum dose.  This shows the impact of the maximum dose or the dose range. The higher the maximum dose, the more the different models will deviate, the more likely the correct model gets the higher weights for model averaging, and the more accurately the BMD(L/U) can be determined.  </w:t>
      </w:r>
    </w:p>
    <w:p w14:paraId="7AD37810" w14:textId="77777777" w:rsidR="002057C4" w:rsidRDefault="002057C4" w:rsidP="002057C4">
      <w:pPr>
        <w:pStyle w:val="EFSABodytext"/>
        <w:jc w:val="center"/>
      </w:pPr>
    </w:p>
    <w:p w14:paraId="1DB1E8AA" w14:textId="77777777" w:rsidR="002057C4" w:rsidRDefault="002057C4" w:rsidP="002057C4">
      <w:pPr>
        <w:pStyle w:val="EFSABodytext"/>
        <w:jc w:val="center"/>
      </w:pPr>
    </w:p>
    <w:p w14:paraId="4D377622" w14:textId="77777777" w:rsidR="002057C4" w:rsidRDefault="002057C4" w:rsidP="002057C4">
      <w:pPr>
        <w:pStyle w:val="EFSABodytext"/>
        <w:keepNext/>
        <w:jc w:val="center"/>
      </w:pPr>
      <w:r>
        <w:rPr>
          <w:noProof/>
          <w:color w:val="2B579A"/>
          <w:shd w:val="clear" w:color="auto" w:fill="E6E6E6"/>
        </w:rPr>
        <w:drawing>
          <wp:inline distT="0" distB="0" distL="0" distR="0" wp14:anchorId="1128AE93" wp14:editId="60BDE6FC">
            <wp:extent cx="4637316" cy="3525279"/>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42">
                      <a:extLst>
                        <a:ext uri="{28A0092B-C50C-407E-A947-70E740481C1C}">
                          <a14:useLocalDpi xmlns:a14="http://schemas.microsoft.com/office/drawing/2010/main" val="0"/>
                        </a:ext>
                      </a:extLst>
                    </a:blip>
                    <a:stretch>
                      <a:fillRect/>
                    </a:stretch>
                  </pic:blipFill>
                  <pic:spPr>
                    <a:xfrm>
                      <a:off x="0" y="0"/>
                      <a:ext cx="4637316" cy="3525279"/>
                    </a:xfrm>
                    <a:prstGeom prst="rect">
                      <a:avLst/>
                    </a:prstGeom>
                  </pic:spPr>
                </pic:pic>
              </a:graphicData>
            </a:graphic>
          </wp:inline>
        </w:drawing>
      </w:r>
    </w:p>
    <w:p w14:paraId="63BBCEEA" w14:textId="76D144FB" w:rsidR="002057C4" w:rsidRDefault="002057C4" w:rsidP="002057C4">
      <w:pPr>
        <w:pStyle w:val="Caption"/>
        <w:jc w:val="center"/>
      </w:pPr>
      <w:r>
        <w:t xml:space="preserve">Figure </w:t>
      </w:r>
      <w:r w:rsidR="005E7F12">
        <w:t>B.</w:t>
      </w:r>
      <w:r>
        <w:rPr>
          <w:color w:val="2B579A"/>
          <w:shd w:val="clear" w:color="auto" w:fill="E6E6E6"/>
        </w:rPr>
        <w:fldChar w:fldCharType="begin"/>
      </w:r>
      <w:r>
        <w:instrText>SEQ Figure \* ARABIC</w:instrText>
      </w:r>
      <w:r>
        <w:rPr>
          <w:color w:val="2B579A"/>
          <w:shd w:val="clear" w:color="auto" w:fill="E6E6E6"/>
        </w:rPr>
        <w:fldChar w:fldCharType="separate"/>
      </w:r>
      <w:r>
        <w:rPr>
          <w:noProof/>
        </w:rPr>
        <w:t>3</w:t>
      </w:r>
      <w:r>
        <w:rPr>
          <w:color w:val="2B579A"/>
          <w:shd w:val="clear" w:color="auto" w:fill="E6E6E6"/>
        </w:rPr>
        <w:fldChar w:fldCharType="end"/>
      </w:r>
    </w:p>
    <w:p w14:paraId="36FDDBAC" w14:textId="77777777" w:rsidR="002057C4" w:rsidRDefault="002057C4" w:rsidP="002057C4">
      <w:pPr>
        <w:pStyle w:val="EFSABodytext"/>
      </w:pPr>
    </w:p>
    <w:p w14:paraId="43E12835" w14:textId="77777777" w:rsidR="002057C4" w:rsidRDefault="002057C4" w:rsidP="002057C4">
      <w:pPr>
        <w:pStyle w:val="EFSABodytext"/>
        <w:keepNext/>
      </w:pPr>
      <w:r>
        <w:rPr>
          <w:noProof/>
          <w:color w:val="2B579A"/>
          <w:shd w:val="clear" w:color="auto" w:fill="E6E6E6"/>
        </w:rPr>
        <w:drawing>
          <wp:inline distT="0" distB="0" distL="0" distR="0" wp14:anchorId="70534A7A" wp14:editId="465D30F7">
            <wp:extent cx="5759449" cy="3802380"/>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43">
                      <a:extLst>
                        <a:ext uri="{28A0092B-C50C-407E-A947-70E740481C1C}">
                          <a14:useLocalDpi xmlns:a14="http://schemas.microsoft.com/office/drawing/2010/main" val="0"/>
                        </a:ext>
                      </a:extLst>
                    </a:blip>
                    <a:stretch>
                      <a:fillRect/>
                    </a:stretch>
                  </pic:blipFill>
                  <pic:spPr>
                    <a:xfrm>
                      <a:off x="0" y="0"/>
                      <a:ext cx="5759449" cy="3802380"/>
                    </a:xfrm>
                    <a:prstGeom prst="rect">
                      <a:avLst/>
                    </a:prstGeom>
                  </pic:spPr>
                </pic:pic>
              </a:graphicData>
            </a:graphic>
          </wp:inline>
        </w:drawing>
      </w:r>
    </w:p>
    <w:p w14:paraId="2FD0411D" w14:textId="062C6AAF" w:rsidR="002057C4" w:rsidRDefault="002057C4" w:rsidP="002057C4">
      <w:pPr>
        <w:pStyle w:val="Caption"/>
        <w:jc w:val="center"/>
      </w:pPr>
      <w:r>
        <w:t xml:space="preserve">Figure </w:t>
      </w:r>
      <w:r w:rsidR="005E7F12">
        <w:t>B.</w:t>
      </w:r>
      <w:r>
        <w:rPr>
          <w:color w:val="2B579A"/>
          <w:shd w:val="clear" w:color="auto" w:fill="E6E6E6"/>
        </w:rPr>
        <w:fldChar w:fldCharType="begin"/>
      </w:r>
      <w:r>
        <w:instrText>SEQ Figure \* ARABIC</w:instrText>
      </w:r>
      <w:r>
        <w:rPr>
          <w:color w:val="2B579A"/>
          <w:shd w:val="clear" w:color="auto" w:fill="E6E6E6"/>
        </w:rPr>
        <w:fldChar w:fldCharType="separate"/>
      </w:r>
      <w:r>
        <w:rPr>
          <w:noProof/>
        </w:rPr>
        <w:t>4</w:t>
      </w:r>
      <w:r>
        <w:rPr>
          <w:color w:val="2B579A"/>
          <w:shd w:val="clear" w:color="auto" w:fill="E6E6E6"/>
        </w:rPr>
        <w:fldChar w:fldCharType="end"/>
      </w:r>
    </w:p>
    <w:p w14:paraId="635EB06D" w14:textId="77777777" w:rsidR="002057C4" w:rsidRDefault="002057C4" w:rsidP="002057C4"/>
    <w:p w14:paraId="42A33CF5" w14:textId="77777777" w:rsidR="002057C4" w:rsidRDefault="002057C4" w:rsidP="002057C4">
      <w:r>
        <w:rPr>
          <w:rFonts w:eastAsiaTheme="minorEastAsia"/>
        </w:rPr>
        <w:t xml:space="preserve">The values of the parameter </w:t>
      </w:r>
      <m:oMath>
        <m:r>
          <w:rPr>
            <w:rFonts w:ascii="Cambria Math" w:eastAsiaTheme="minorEastAsia" w:hAnsi="Cambria Math"/>
          </w:rPr>
          <m:t>d</m:t>
        </m:r>
      </m:oMath>
      <w:r>
        <w:rPr>
          <w:rFonts w:eastAsiaTheme="minorEastAsia"/>
        </w:rPr>
        <w:t xml:space="preserve"> bringing a particular model as close as possible to the exponential model over the range </w:t>
      </w:r>
      <w:r>
        <w:t xml:space="preserve">[0, max dose] are given by: </w:t>
      </w:r>
    </w:p>
    <w:p w14:paraId="0B666A69" w14:textId="77777777" w:rsidR="002057C4" w:rsidRPr="00DE30D2" w:rsidRDefault="002057C4" w:rsidP="002057C4">
      <w:pPr>
        <w:spacing w:after="0" w:line="240" w:lineRule="auto"/>
        <w:rPr>
          <w:rFonts w:ascii="Courier New" w:hAnsi="Courier New" w:cs="Courier New"/>
          <w:b/>
          <w:bCs/>
          <w:sz w:val="18"/>
          <w:szCs w:val="18"/>
          <w:lang w:val="es-ES"/>
        </w:rPr>
      </w:pPr>
      <w:r w:rsidRPr="00DE30D2">
        <w:rPr>
          <w:rFonts w:ascii="Courier New" w:hAnsi="Courier New" w:cs="Courier New"/>
          <w:b/>
          <w:bCs/>
          <w:sz w:val="18"/>
          <w:szCs w:val="18"/>
        </w:rPr>
        <w:t xml:space="preserve">                     </w:t>
      </w:r>
      <w:proofErr w:type="spellStart"/>
      <w:r w:rsidRPr="00DE30D2">
        <w:rPr>
          <w:rFonts w:ascii="Courier New" w:hAnsi="Courier New" w:cs="Courier New"/>
          <w:b/>
          <w:bCs/>
          <w:sz w:val="18"/>
          <w:szCs w:val="18"/>
          <w:lang w:val="es-ES"/>
        </w:rPr>
        <w:t>max</w:t>
      </w:r>
      <w:proofErr w:type="spellEnd"/>
      <w:r w:rsidRPr="00DE30D2">
        <w:rPr>
          <w:rFonts w:ascii="Courier New" w:hAnsi="Courier New" w:cs="Courier New"/>
          <w:b/>
          <w:bCs/>
          <w:sz w:val="18"/>
          <w:szCs w:val="18"/>
          <w:lang w:val="es-ES"/>
        </w:rPr>
        <w:t xml:space="preserve"> </w:t>
      </w:r>
      <w:proofErr w:type="spellStart"/>
      <w:proofErr w:type="gramStart"/>
      <w:r w:rsidRPr="00DE30D2">
        <w:rPr>
          <w:rFonts w:ascii="Courier New" w:hAnsi="Courier New" w:cs="Courier New"/>
          <w:b/>
          <w:bCs/>
          <w:sz w:val="18"/>
          <w:szCs w:val="18"/>
          <w:lang w:val="es-ES"/>
        </w:rPr>
        <w:t>dose</w:t>
      </w:r>
      <w:proofErr w:type="spellEnd"/>
      <w:r w:rsidRPr="00DE30D2">
        <w:rPr>
          <w:rFonts w:ascii="Courier New" w:hAnsi="Courier New" w:cs="Courier New"/>
          <w:b/>
          <w:bCs/>
          <w:sz w:val="18"/>
          <w:szCs w:val="18"/>
          <w:lang w:val="es-ES"/>
        </w:rPr>
        <w:t xml:space="preserve">  a</w:t>
      </w:r>
      <w:proofErr w:type="gramEnd"/>
      <w:r w:rsidRPr="00DE30D2">
        <w:rPr>
          <w:rFonts w:ascii="Courier New" w:hAnsi="Courier New" w:cs="Courier New"/>
          <w:b/>
          <w:bCs/>
          <w:sz w:val="18"/>
          <w:szCs w:val="18"/>
          <w:lang w:val="es-ES"/>
        </w:rPr>
        <w:t xml:space="preserve"> BMD c          d</w:t>
      </w:r>
    </w:p>
    <w:p w14:paraId="730CE4BB" w14:textId="77777777" w:rsidR="002057C4" w:rsidRPr="00DE30D2" w:rsidRDefault="002057C4" w:rsidP="002057C4">
      <w:pPr>
        <w:spacing w:after="0" w:line="240" w:lineRule="auto"/>
        <w:rPr>
          <w:rFonts w:ascii="Courier New" w:hAnsi="Courier New" w:cs="Courier New"/>
          <w:sz w:val="18"/>
          <w:szCs w:val="18"/>
        </w:rPr>
      </w:pPr>
      <w:r w:rsidRPr="00DE30D2">
        <w:rPr>
          <w:rFonts w:ascii="Courier New" w:hAnsi="Courier New" w:cs="Courier New"/>
          <w:sz w:val="18"/>
          <w:szCs w:val="18"/>
        </w:rPr>
        <w:t xml:space="preserve">Exponential                100 </w:t>
      </w:r>
      <w:proofErr w:type="gramStart"/>
      <w:r w:rsidRPr="00DE30D2">
        <w:rPr>
          <w:rFonts w:ascii="Courier New" w:hAnsi="Courier New" w:cs="Courier New"/>
          <w:sz w:val="18"/>
          <w:szCs w:val="18"/>
        </w:rPr>
        <w:t>10  50</w:t>
      </w:r>
      <w:proofErr w:type="gramEnd"/>
      <w:r w:rsidRPr="00DE30D2">
        <w:rPr>
          <w:rFonts w:ascii="Courier New" w:hAnsi="Courier New" w:cs="Courier New"/>
          <w:sz w:val="18"/>
          <w:szCs w:val="18"/>
        </w:rPr>
        <w:t xml:space="preserve"> 2   2.000000</w:t>
      </w:r>
    </w:p>
    <w:p w14:paraId="50AFC8AD" w14:textId="77777777" w:rsidR="002057C4" w:rsidRPr="00DE30D2" w:rsidRDefault="002057C4" w:rsidP="002057C4">
      <w:pPr>
        <w:spacing w:after="0" w:line="240" w:lineRule="auto"/>
        <w:rPr>
          <w:rFonts w:ascii="Courier New" w:hAnsi="Courier New" w:cs="Courier New"/>
          <w:sz w:val="18"/>
          <w:szCs w:val="18"/>
        </w:rPr>
      </w:pPr>
      <w:r w:rsidRPr="00DE30D2">
        <w:rPr>
          <w:rFonts w:ascii="Courier New" w:hAnsi="Courier New" w:cs="Courier New"/>
          <w:sz w:val="18"/>
          <w:szCs w:val="18"/>
        </w:rPr>
        <w:t xml:space="preserve">Inverse exponential        100 </w:t>
      </w:r>
      <w:proofErr w:type="gramStart"/>
      <w:r w:rsidRPr="00DE30D2">
        <w:rPr>
          <w:rFonts w:ascii="Courier New" w:hAnsi="Courier New" w:cs="Courier New"/>
          <w:sz w:val="18"/>
          <w:szCs w:val="18"/>
        </w:rPr>
        <w:t>10  50</w:t>
      </w:r>
      <w:proofErr w:type="gramEnd"/>
      <w:r w:rsidRPr="00DE30D2">
        <w:rPr>
          <w:rFonts w:ascii="Courier New" w:hAnsi="Courier New" w:cs="Courier New"/>
          <w:sz w:val="18"/>
          <w:szCs w:val="18"/>
        </w:rPr>
        <w:t xml:space="preserve"> 2   0.784360</w:t>
      </w:r>
    </w:p>
    <w:p w14:paraId="02B280AC" w14:textId="77777777" w:rsidR="002057C4" w:rsidRPr="00DE30D2" w:rsidRDefault="002057C4" w:rsidP="002057C4">
      <w:pPr>
        <w:spacing w:after="0" w:line="240" w:lineRule="auto"/>
        <w:rPr>
          <w:rFonts w:ascii="Courier New" w:hAnsi="Courier New" w:cs="Courier New"/>
          <w:sz w:val="18"/>
          <w:szCs w:val="18"/>
        </w:rPr>
      </w:pPr>
      <w:r w:rsidRPr="00DE30D2">
        <w:rPr>
          <w:rFonts w:ascii="Courier New" w:hAnsi="Courier New" w:cs="Courier New"/>
          <w:sz w:val="18"/>
          <w:szCs w:val="18"/>
        </w:rPr>
        <w:t xml:space="preserve">Hill                       100 </w:t>
      </w:r>
      <w:proofErr w:type="gramStart"/>
      <w:r w:rsidRPr="00DE30D2">
        <w:rPr>
          <w:rFonts w:ascii="Courier New" w:hAnsi="Courier New" w:cs="Courier New"/>
          <w:sz w:val="18"/>
          <w:szCs w:val="18"/>
        </w:rPr>
        <w:t>10  50</w:t>
      </w:r>
      <w:proofErr w:type="gramEnd"/>
      <w:r w:rsidRPr="00DE30D2">
        <w:rPr>
          <w:rFonts w:ascii="Courier New" w:hAnsi="Courier New" w:cs="Courier New"/>
          <w:sz w:val="18"/>
          <w:szCs w:val="18"/>
        </w:rPr>
        <w:t xml:space="preserve"> 2   2.098259</w:t>
      </w:r>
    </w:p>
    <w:p w14:paraId="14FF0893" w14:textId="77777777" w:rsidR="002057C4" w:rsidRPr="00DE30D2" w:rsidRDefault="002057C4" w:rsidP="002057C4">
      <w:pPr>
        <w:spacing w:after="0" w:line="240" w:lineRule="auto"/>
        <w:rPr>
          <w:rFonts w:ascii="Courier New" w:hAnsi="Courier New" w:cs="Courier New"/>
          <w:sz w:val="18"/>
          <w:szCs w:val="18"/>
        </w:rPr>
      </w:pPr>
      <w:r w:rsidRPr="00DE30D2">
        <w:rPr>
          <w:rFonts w:ascii="Courier New" w:hAnsi="Courier New" w:cs="Courier New"/>
          <w:sz w:val="18"/>
          <w:szCs w:val="18"/>
        </w:rPr>
        <w:t xml:space="preserve">Log-normal                 100 </w:t>
      </w:r>
      <w:proofErr w:type="gramStart"/>
      <w:r w:rsidRPr="00DE30D2">
        <w:rPr>
          <w:rFonts w:ascii="Courier New" w:hAnsi="Courier New" w:cs="Courier New"/>
          <w:sz w:val="18"/>
          <w:szCs w:val="18"/>
        </w:rPr>
        <w:t>10  50</w:t>
      </w:r>
      <w:proofErr w:type="gramEnd"/>
      <w:r w:rsidRPr="00DE30D2">
        <w:rPr>
          <w:rFonts w:ascii="Courier New" w:hAnsi="Courier New" w:cs="Courier New"/>
          <w:sz w:val="18"/>
          <w:szCs w:val="18"/>
        </w:rPr>
        <w:t xml:space="preserve"> 2   1.051192</w:t>
      </w:r>
    </w:p>
    <w:p w14:paraId="16F8AAD3" w14:textId="77777777" w:rsidR="002057C4" w:rsidRPr="00DE30D2" w:rsidRDefault="002057C4" w:rsidP="002057C4">
      <w:pPr>
        <w:spacing w:after="0" w:line="240" w:lineRule="auto"/>
        <w:rPr>
          <w:rFonts w:ascii="Courier New" w:hAnsi="Courier New" w:cs="Courier New"/>
          <w:sz w:val="18"/>
          <w:szCs w:val="18"/>
        </w:rPr>
      </w:pPr>
      <w:r w:rsidRPr="00DE30D2">
        <w:rPr>
          <w:rFonts w:ascii="Courier New" w:hAnsi="Courier New" w:cs="Courier New"/>
          <w:sz w:val="18"/>
          <w:szCs w:val="18"/>
        </w:rPr>
        <w:t xml:space="preserve">Gamma                      100 </w:t>
      </w:r>
      <w:proofErr w:type="gramStart"/>
      <w:r w:rsidRPr="00DE30D2">
        <w:rPr>
          <w:rFonts w:ascii="Courier New" w:hAnsi="Courier New" w:cs="Courier New"/>
          <w:sz w:val="18"/>
          <w:szCs w:val="18"/>
        </w:rPr>
        <w:t>10  50</w:t>
      </w:r>
      <w:proofErr w:type="gramEnd"/>
      <w:r w:rsidRPr="00DE30D2">
        <w:rPr>
          <w:rFonts w:ascii="Courier New" w:hAnsi="Courier New" w:cs="Courier New"/>
          <w:sz w:val="18"/>
          <w:szCs w:val="18"/>
        </w:rPr>
        <w:t xml:space="preserve"> 2   2.364008</w:t>
      </w:r>
    </w:p>
    <w:p w14:paraId="5CBE2CB4" w14:textId="77777777" w:rsidR="002057C4" w:rsidRPr="00DE30D2" w:rsidRDefault="002057C4" w:rsidP="002057C4">
      <w:pPr>
        <w:spacing w:after="0" w:line="240" w:lineRule="auto"/>
        <w:rPr>
          <w:rFonts w:ascii="Courier New" w:hAnsi="Courier New" w:cs="Courier New"/>
          <w:sz w:val="18"/>
          <w:szCs w:val="18"/>
        </w:rPr>
      </w:pPr>
      <w:r w:rsidRPr="00DE30D2">
        <w:rPr>
          <w:rFonts w:ascii="Courier New" w:hAnsi="Courier New" w:cs="Courier New"/>
          <w:sz w:val="18"/>
          <w:szCs w:val="18"/>
        </w:rPr>
        <w:t xml:space="preserve">Quadratic exponential      100 </w:t>
      </w:r>
      <w:proofErr w:type="gramStart"/>
      <w:r w:rsidRPr="00DE30D2">
        <w:rPr>
          <w:rFonts w:ascii="Courier New" w:hAnsi="Courier New" w:cs="Courier New"/>
          <w:sz w:val="18"/>
          <w:szCs w:val="18"/>
        </w:rPr>
        <w:t>10  50</w:t>
      </w:r>
      <w:proofErr w:type="gramEnd"/>
      <w:r w:rsidRPr="00DE30D2">
        <w:rPr>
          <w:rFonts w:ascii="Courier New" w:hAnsi="Courier New" w:cs="Courier New"/>
          <w:sz w:val="18"/>
          <w:szCs w:val="18"/>
        </w:rPr>
        <w:t xml:space="preserve"> 2 -25.179574</w:t>
      </w:r>
    </w:p>
    <w:p w14:paraId="06C5DD3F" w14:textId="77777777" w:rsidR="002057C4" w:rsidRPr="00DE30D2" w:rsidRDefault="002057C4" w:rsidP="002057C4">
      <w:pPr>
        <w:spacing w:after="0" w:line="240" w:lineRule="auto"/>
        <w:rPr>
          <w:rFonts w:ascii="Courier New" w:hAnsi="Courier New" w:cs="Courier New"/>
          <w:sz w:val="18"/>
          <w:szCs w:val="18"/>
        </w:rPr>
      </w:pPr>
      <w:proofErr w:type="spellStart"/>
      <w:r w:rsidRPr="00DE30D2">
        <w:rPr>
          <w:rFonts w:ascii="Courier New" w:hAnsi="Courier New" w:cs="Courier New"/>
          <w:sz w:val="18"/>
          <w:szCs w:val="18"/>
        </w:rPr>
        <w:t>Probit</w:t>
      </w:r>
      <w:proofErr w:type="spellEnd"/>
      <w:r w:rsidRPr="00DE30D2">
        <w:rPr>
          <w:rFonts w:ascii="Courier New" w:hAnsi="Courier New" w:cs="Courier New"/>
          <w:sz w:val="18"/>
          <w:szCs w:val="18"/>
        </w:rPr>
        <w:t xml:space="preserve">                     100 </w:t>
      </w:r>
      <w:proofErr w:type="gramStart"/>
      <w:r w:rsidRPr="00DE30D2">
        <w:rPr>
          <w:rFonts w:ascii="Courier New" w:hAnsi="Courier New" w:cs="Courier New"/>
          <w:sz w:val="18"/>
          <w:szCs w:val="18"/>
        </w:rPr>
        <w:t>20  50</w:t>
      </w:r>
      <w:proofErr w:type="gramEnd"/>
      <w:r w:rsidRPr="00DE30D2">
        <w:rPr>
          <w:rFonts w:ascii="Courier New" w:hAnsi="Courier New" w:cs="Courier New"/>
          <w:sz w:val="18"/>
          <w:szCs w:val="18"/>
        </w:rPr>
        <w:t xml:space="preserve"> 0   1.914032</w:t>
      </w:r>
    </w:p>
    <w:p w14:paraId="6FC563EB" w14:textId="77777777" w:rsidR="002057C4" w:rsidRPr="00DE30D2" w:rsidRDefault="002057C4" w:rsidP="002057C4">
      <w:pPr>
        <w:spacing w:after="0" w:line="240" w:lineRule="auto"/>
        <w:rPr>
          <w:rFonts w:ascii="Courier New" w:hAnsi="Courier New" w:cs="Courier New"/>
          <w:sz w:val="18"/>
          <w:szCs w:val="18"/>
        </w:rPr>
      </w:pPr>
      <w:r w:rsidRPr="00DE30D2">
        <w:rPr>
          <w:rFonts w:ascii="Courier New" w:hAnsi="Courier New" w:cs="Courier New"/>
          <w:sz w:val="18"/>
          <w:szCs w:val="18"/>
        </w:rPr>
        <w:t xml:space="preserve">Logit                      100 </w:t>
      </w:r>
      <w:proofErr w:type="gramStart"/>
      <w:r w:rsidRPr="00DE30D2">
        <w:rPr>
          <w:rFonts w:ascii="Courier New" w:hAnsi="Courier New" w:cs="Courier New"/>
          <w:sz w:val="18"/>
          <w:szCs w:val="18"/>
        </w:rPr>
        <w:t>20  50</w:t>
      </w:r>
      <w:proofErr w:type="gramEnd"/>
      <w:r w:rsidRPr="00DE30D2">
        <w:rPr>
          <w:rFonts w:ascii="Courier New" w:hAnsi="Courier New" w:cs="Courier New"/>
          <w:sz w:val="18"/>
          <w:szCs w:val="18"/>
        </w:rPr>
        <w:t xml:space="preserve"> 0   1.916656</w:t>
      </w:r>
    </w:p>
    <w:p w14:paraId="02972AC2" w14:textId="77777777" w:rsidR="002057C4" w:rsidRPr="00DE30D2" w:rsidRDefault="002057C4" w:rsidP="002057C4">
      <w:pPr>
        <w:spacing w:after="0" w:line="240" w:lineRule="auto"/>
        <w:rPr>
          <w:rFonts w:ascii="Courier New" w:hAnsi="Courier New" w:cs="Courier New"/>
          <w:b/>
          <w:bCs/>
          <w:sz w:val="18"/>
          <w:szCs w:val="18"/>
        </w:rPr>
      </w:pPr>
      <w:r w:rsidRPr="00DE30D2">
        <w:rPr>
          <w:rFonts w:ascii="Courier New" w:hAnsi="Courier New" w:cs="Courier New"/>
          <w:b/>
          <w:bCs/>
          <w:sz w:val="18"/>
          <w:szCs w:val="18"/>
        </w:rPr>
        <w:t xml:space="preserve">                      max </w:t>
      </w:r>
      <w:proofErr w:type="gramStart"/>
      <w:r w:rsidRPr="00DE30D2">
        <w:rPr>
          <w:rFonts w:ascii="Courier New" w:hAnsi="Courier New" w:cs="Courier New"/>
          <w:b/>
          <w:bCs/>
          <w:sz w:val="18"/>
          <w:szCs w:val="18"/>
        </w:rPr>
        <w:t>dose  a</w:t>
      </w:r>
      <w:proofErr w:type="gramEnd"/>
      <w:r w:rsidRPr="00DE30D2">
        <w:rPr>
          <w:rFonts w:ascii="Courier New" w:hAnsi="Courier New" w:cs="Courier New"/>
          <w:b/>
          <w:bCs/>
          <w:sz w:val="18"/>
          <w:szCs w:val="18"/>
        </w:rPr>
        <w:t xml:space="preserve"> BMD c           d</w:t>
      </w:r>
    </w:p>
    <w:p w14:paraId="7C4FF5AB" w14:textId="77777777" w:rsidR="002057C4" w:rsidRPr="00DE30D2" w:rsidRDefault="002057C4" w:rsidP="002057C4">
      <w:pPr>
        <w:spacing w:after="0" w:line="240" w:lineRule="auto"/>
        <w:rPr>
          <w:rFonts w:ascii="Courier New" w:hAnsi="Courier New" w:cs="Courier New"/>
          <w:sz w:val="18"/>
          <w:szCs w:val="18"/>
        </w:rPr>
      </w:pPr>
      <w:r w:rsidRPr="00DE30D2">
        <w:rPr>
          <w:rFonts w:ascii="Courier New" w:hAnsi="Courier New" w:cs="Courier New"/>
          <w:sz w:val="18"/>
          <w:szCs w:val="18"/>
        </w:rPr>
        <w:t xml:space="preserve">Exponential                250 </w:t>
      </w:r>
      <w:proofErr w:type="gramStart"/>
      <w:r w:rsidRPr="00DE30D2">
        <w:rPr>
          <w:rFonts w:ascii="Courier New" w:hAnsi="Courier New" w:cs="Courier New"/>
          <w:sz w:val="18"/>
          <w:szCs w:val="18"/>
        </w:rPr>
        <w:t>10  50</w:t>
      </w:r>
      <w:proofErr w:type="gramEnd"/>
      <w:r w:rsidRPr="00DE30D2">
        <w:rPr>
          <w:rFonts w:ascii="Courier New" w:hAnsi="Courier New" w:cs="Courier New"/>
          <w:sz w:val="18"/>
          <w:szCs w:val="18"/>
        </w:rPr>
        <w:t xml:space="preserve"> 2    2.000000</w:t>
      </w:r>
    </w:p>
    <w:p w14:paraId="22908CDF" w14:textId="77777777" w:rsidR="002057C4" w:rsidRPr="00DE30D2" w:rsidRDefault="002057C4" w:rsidP="002057C4">
      <w:pPr>
        <w:spacing w:after="0" w:line="240" w:lineRule="auto"/>
        <w:rPr>
          <w:rFonts w:ascii="Courier New" w:hAnsi="Courier New" w:cs="Courier New"/>
          <w:sz w:val="18"/>
          <w:szCs w:val="18"/>
        </w:rPr>
      </w:pPr>
      <w:r w:rsidRPr="00DE30D2">
        <w:rPr>
          <w:rFonts w:ascii="Courier New" w:hAnsi="Courier New" w:cs="Courier New"/>
          <w:sz w:val="18"/>
          <w:szCs w:val="18"/>
        </w:rPr>
        <w:t xml:space="preserve">Inverse exponential        250 </w:t>
      </w:r>
      <w:proofErr w:type="gramStart"/>
      <w:r w:rsidRPr="00DE30D2">
        <w:rPr>
          <w:rFonts w:ascii="Courier New" w:hAnsi="Courier New" w:cs="Courier New"/>
          <w:sz w:val="18"/>
          <w:szCs w:val="18"/>
        </w:rPr>
        <w:t>10  50</w:t>
      </w:r>
      <w:proofErr w:type="gramEnd"/>
      <w:r w:rsidRPr="00DE30D2">
        <w:rPr>
          <w:rFonts w:ascii="Courier New" w:hAnsi="Courier New" w:cs="Courier New"/>
          <w:sz w:val="18"/>
          <w:szCs w:val="18"/>
        </w:rPr>
        <w:t xml:space="preserve"> 2    1.125619</w:t>
      </w:r>
    </w:p>
    <w:p w14:paraId="1E791936" w14:textId="77777777" w:rsidR="002057C4" w:rsidRPr="00DE30D2" w:rsidRDefault="002057C4" w:rsidP="002057C4">
      <w:pPr>
        <w:spacing w:after="0" w:line="240" w:lineRule="auto"/>
        <w:rPr>
          <w:rFonts w:ascii="Courier New" w:hAnsi="Courier New" w:cs="Courier New"/>
          <w:sz w:val="18"/>
          <w:szCs w:val="18"/>
        </w:rPr>
      </w:pPr>
      <w:r w:rsidRPr="00DE30D2">
        <w:rPr>
          <w:rFonts w:ascii="Courier New" w:hAnsi="Courier New" w:cs="Courier New"/>
          <w:sz w:val="18"/>
          <w:szCs w:val="18"/>
        </w:rPr>
        <w:t xml:space="preserve">Hill                       250 </w:t>
      </w:r>
      <w:proofErr w:type="gramStart"/>
      <w:r w:rsidRPr="00DE30D2">
        <w:rPr>
          <w:rFonts w:ascii="Courier New" w:hAnsi="Courier New" w:cs="Courier New"/>
          <w:sz w:val="18"/>
          <w:szCs w:val="18"/>
        </w:rPr>
        <w:t>10  50</w:t>
      </w:r>
      <w:proofErr w:type="gramEnd"/>
      <w:r w:rsidRPr="00DE30D2">
        <w:rPr>
          <w:rFonts w:ascii="Courier New" w:hAnsi="Courier New" w:cs="Courier New"/>
          <w:sz w:val="18"/>
          <w:szCs w:val="18"/>
        </w:rPr>
        <w:t xml:space="preserve"> 2    2.286339</w:t>
      </w:r>
    </w:p>
    <w:p w14:paraId="26C8EA0F" w14:textId="77777777" w:rsidR="002057C4" w:rsidRPr="00DE30D2" w:rsidRDefault="002057C4" w:rsidP="002057C4">
      <w:pPr>
        <w:spacing w:after="0" w:line="240" w:lineRule="auto"/>
        <w:rPr>
          <w:rFonts w:ascii="Courier New" w:hAnsi="Courier New" w:cs="Courier New"/>
          <w:sz w:val="18"/>
          <w:szCs w:val="18"/>
        </w:rPr>
      </w:pPr>
      <w:r w:rsidRPr="00DE30D2">
        <w:rPr>
          <w:rFonts w:ascii="Courier New" w:hAnsi="Courier New" w:cs="Courier New"/>
          <w:sz w:val="18"/>
          <w:szCs w:val="18"/>
        </w:rPr>
        <w:t xml:space="preserve">Log-normal                 250 </w:t>
      </w:r>
      <w:proofErr w:type="gramStart"/>
      <w:r w:rsidRPr="00DE30D2">
        <w:rPr>
          <w:rFonts w:ascii="Courier New" w:hAnsi="Courier New" w:cs="Courier New"/>
          <w:sz w:val="18"/>
          <w:szCs w:val="18"/>
        </w:rPr>
        <w:t>10  50</w:t>
      </w:r>
      <w:proofErr w:type="gramEnd"/>
      <w:r w:rsidRPr="00DE30D2">
        <w:rPr>
          <w:rFonts w:ascii="Courier New" w:hAnsi="Courier New" w:cs="Courier New"/>
          <w:sz w:val="18"/>
          <w:szCs w:val="18"/>
        </w:rPr>
        <w:t xml:space="preserve"> 2    1.275715</w:t>
      </w:r>
    </w:p>
    <w:p w14:paraId="04C81932" w14:textId="77777777" w:rsidR="002057C4" w:rsidRPr="00DE30D2" w:rsidRDefault="002057C4" w:rsidP="002057C4">
      <w:pPr>
        <w:spacing w:after="0" w:line="240" w:lineRule="auto"/>
        <w:rPr>
          <w:rFonts w:ascii="Courier New" w:hAnsi="Courier New" w:cs="Courier New"/>
          <w:sz w:val="18"/>
          <w:szCs w:val="18"/>
        </w:rPr>
      </w:pPr>
      <w:r w:rsidRPr="00DE30D2">
        <w:rPr>
          <w:rFonts w:ascii="Courier New" w:hAnsi="Courier New" w:cs="Courier New"/>
          <w:sz w:val="18"/>
          <w:szCs w:val="18"/>
        </w:rPr>
        <w:t xml:space="preserve">Gamma                      250 </w:t>
      </w:r>
      <w:proofErr w:type="gramStart"/>
      <w:r w:rsidRPr="00DE30D2">
        <w:rPr>
          <w:rFonts w:ascii="Courier New" w:hAnsi="Courier New" w:cs="Courier New"/>
          <w:sz w:val="18"/>
          <w:szCs w:val="18"/>
        </w:rPr>
        <w:t>10  50</w:t>
      </w:r>
      <w:proofErr w:type="gramEnd"/>
      <w:r w:rsidRPr="00DE30D2">
        <w:rPr>
          <w:rFonts w:ascii="Courier New" w:hAnsi="Courier New" w:cs="Courier New"/>
          <w:sz w:val="18"/>
          <w:szCs w:val="18"/>
        </w:rPr>
        <w:t xml:space="preserve"> 2    2.616310</w:t>
      </w:r>
    </w:p>
    <w:p w14:paraId="0B7B3B2E" w14:textId="77777777" w:rsidR="002057C4" w:rsidRPr="00DE30D2" w:rsidRDefault="002057C4" w:rsidP="002057C4">
      <w:pPr>
        <w:spacing w:after="0" w:line="240" w:lineRule="auto"/>
        <w:rPr>
          <w:rFonts w:ascii="Courier New" w:hAnsi="Courier New" w:cs="Courier New"/>
          <w:sz w:val="18"/>
          <w:szCs w:val="18"/>
        </w:rPr>
      </w:pPr>
      <w:r w:rsidRPr="00DE30D2">
        <w:rPr>
          <w:rFonts w:ascii="Courier New" w:hAnsi="Courier New" w:cs="Courier New"/>
          <w:sz w:val="18"/>
          <w:szCs w:val="18"/>
        </w:rPr>
        <w:t xml:space="preserve">Quadratic exponential      250 </w:t>
      </w:r>
      <w:proofErr w:type="gramStart"/>
      <w:r w:rsidRPr="00DE30D2">
        <w:rPr>
          <w:rFonts w:ascii="Courier New" w:hAnsi="Courier New" w:cs="Courier New"/>
          <w:sz w:val="18"/>
          <w:szCs w:val="18"/>
        </w:rPr>
        <w:t>10  50</w:t>
      </w:r>
      <w:proofErr w:type="gramEnd"/>
      <w:r w:rsidRPr="00DE30D2">
        <w:rPr>
          <w:rFonts w:ascii="Courier New" w:hAnsi="Courier New" w:cs="Courier New"/>
          <w:sz w:val="18"/>
          <w:szCs w:val="18"/>
        </w:rPr>
        <w:t xml:space="preserve"> 2 -198.000000</w:t>
      </w:r>
    </w:p>
    <w:p w14:paraId="119A070A" w14:textId="77777777" w:rsidR="002057C4" w:rsidRPr="00DE30D2" w:rsidRDefault="002057C4" w:rsidP="002057C4">
      <w:pPr>
        <w:spacing w:after="0" w:line="240" w:lineRule="auto"/>
        <w:rPr>
          <w:rFonts w:ascii="Courier New" w:hAnsi="Courier New" w:cs="Courier New"/>
          <w:sz w:val="18"/>
          <w:szCs w:val="18"/>
        </w:rPr>
      </w:pPr>
      <w:proofErr w:type="spellStart"/>
      <w:r w:rsidRPr="00DE30D2">
        <w:rPr>
          <w:rFonts w:ascii="Courier New" w:hAnsi="Courier New" w:cs="Courier New"/>
          <w:sz w:val="18"/>
          <w:szCs w:val="18"/>
        </w:rPr>
        <w:t>Probit</w:t>
      </w:r>
      <w:proofErr w:type="spellEnd"/>
      <w:r w:rsidRPr="00DE30D2">
        <w:rPr>
          <w:rFonts w:ascii="Courier New" w:hAnsi="Courier New" w:cs="Courier New"/>
          <w:sz w:val="18"/>
          <w:szCs w:val="18"/>
        </w:rPr>
        <w:t xml:space="preserve">                     250 </w:t>
      </w:r>
      <w:proofErr w:type="gramStart"/>
      <w:r w:rsidRPr="00DE30D2">
        <w:rPr>
          <w:rFonts w:ascii="Courier New" w:hAnsi="Courier New" w:cs="Courier New"/>
          <w:sz w:val="18"/>
          <w:szCs w:val="18"/>
        </w:rPr>
        <w:t>20  50</w:t>
      </w:r>
      <w:proofErr w:type="gramEnd"/>
      <w:r w:rsidRPr="00DE30D2">
        <w:rPr>
          <w:rFonts w:ascii="Courier New" w:hAnsi="Courier New" w:cs="Courier New"/>
          <w:sz w:val="18"/>
          <w:szCs w:val="18"/>
        </w:rPr>
        <w:t xml:space="preserve"> 0    1.808274</w:t>
      </w:r>
    </w:p>
    <w:p w14:paraId="5D0CCE5E" w14:textId="77777777" w:rsidR="002057C4" w:rsidRPr="00DE30D2" w:rsidRDefault="002057C4" w:rsidP="002057C4">
      <w:pPr>
        <w:spacing w:after="0" w:line="240" w:lineRule="auto"/>
        <w:rPr>
          <w:rFonts w:ascii="Courier New" w:hAnsi="Courier New" w:cs="Courier New"/>
          <w:sz w:val="18"/>
          <w:szCs w:val="18"/>
        </w:rPr>
      </w:pPr>
      <w:r w:rsidRPr="00DE30D2">
        <w:rPr>
          <w:rFonts w:ascii="Courier New" w:hAnsi="Courier New" w:cs="Courier New"/>
          <w:sz w:val="18"/>
          <w:szCs w:val="18"/>
        </w:rPr>
        <w:t xml:space="preserve">Logit                      250 </w:t>
      </w:r>
      <w:proofErr w:type="gramStart"/>
      <w:r w:rsidRPr="00DE30D2">
        <w:rPr>
          <w:rFonts w:ascii="Courier New" w:hAnsi="Courier New" w:cs="Courier New"/>
          <w:sz w:val="18"/>
          <w:szCs w:val="18"/>
        </w:rPr>
        <w:t>20  50</w:t>
      </w:r>
      <w:proofErr w:type="gramEnd"/>
      <w:r w:rsidRPr="00DE30D2">
        <w:rPr>
          <w:rFonts w:ascii="Courier New" w:hAnsi="Courier New" w:cs="Courier New"/>
          <w:sz w:val="18"/>
          <w:szCs w:val="18"/>
        </w:rPr>
        <w:t xml:space="preserve"> 0    1.830456</w:t>
      </w:r>
    </w:p>
    <w:p w14:paraId="4F55CDC8" w14:textId="77777777" w:rsidR="002057C4" w:rsidRPr="00DE30D2" w:rsidRDefault="002057C4" w:rsidP="002057C4">
      <w:pPr>
        <w:spacing w:after="0" w:line="240" w:lineRule="auto"/>
        <w:rPr>
          <w:rFonts w:ascii="Courier New" w:hAnsi="Courier New" w:cs="Courier New"/>
          <w:b/>
          <w:bCs/>
          <w:sz w:val="18"/>
          <w:szCs w:val="18"/>
        </w:rPr>
      </w:pPr>
      <w:r w:rsidRPr="00DE30D2">
        <w:rPr>
          <w:rFonts w:ascii="Courier New" w:hAnsi="Courier New" w:cs="Courier New"/>
          <w:b/>
          <w:bCs/>
          <w:sz w:val="18"/>
          <w:szCs w:val="18"/>
        </w:rPr>
        <w:t xml:space="preserve">                      max </w:t>
      </w:r>
      <w:proofErr w:type="gramStart"/>
      <w:r w:rsidRPr="00DE30D2">
        <w:rPr>
          <w:rFonts w:ascii="Courier New" w:hAnsi="Courier New" w:cs="Courier New"/>
          <w:b/>
          <w:bCs/>
          <w:sz w:val="18"/>
          <w:szCs w:val="18"/>
        </w:rPr>
        <w:t>dose  a</w:t>
      </w:r>
      <w:proofErr w:type="gramEnd"/>
      <w:r w:rsidRPr="00DE30D2">
        <w:rPr>
          <w:rFonts w:ascii="Courier New" w:hAnsi="Courier New" w:cs="Courier New"/>
          <w:b/>
          <w:bCs/>
          <w:sz w:val="18"/>
          <w:szCs w:val="18"/>
        </w:rPr>
        <w:t xml:space="preserve"> BMD c           d</w:t>
      </w:r>
    </w:p>
    <w:p w14:paraId="29C43F22" w14:textId="77777777" w:rsidR="002057C4" w:rsidRPr="00DE30D2" w:rsidRDefault="002057C4" w:rsidP="002057C4">
      <w:pPr>
        <w:spacing w:after="0" w:line="240" w:lineRule="auto"/>
        <w:rPr>
          <w:rFonts w:ascii="Courier New" w:hAnsi="Courier New" w:cs="Courier New"/>
          <w:sz w:val="18"/>
          <w:szCs w:val="18"/>
        </w:rPr>
      </w:pPr>
      <w:r w:rsidRPr="00DE30D2">
        <w:rPr>
          <w:rFonts w:ascii="Courier New" w:hAnsi="Courier New" w:cs="Courier New"/>
          <w:sz w:val="18"/>
          <w:szCs w:val="18"/>
        </w:rPr>
        <w:t xml:space="preserve">Exponential                500 </w:t>
      </w:r>
      <w:proofErr w:type="gramStart"/>
      <w:r w:rsidRPr="00DE30D2">
        <w:rPr>
          <w:rFonts w:ascii="Courier New" w:hAnsi="Courier New" w:cs="Courier New"/>
          <w:sz w:val="18"/>
          <w:szCs w:val="18"/>
        </w:rPr>
        <w:t>10  50</w:t>
      </w:r>
      <w:proofErr w:type="gramEnd"/>
      <w:r w:rsidRPr="00DE30D2">
        <w:rPr>
          <w:rFonts w:ascii="Courier New" w:hAnsi="Courier New" w:cs="Courier New"/>
          <w:sz w:val="18"/>
          <w:szCs w:val="18"/>
        </w:rPr>
        <w:t xml:space="preserve"> 2    2.000000</w:t>
      </w:r>
    </w:p>
    <w:p w14:paraId="68B6CE25" w14:textId="77777777" w:rsidR="002057C4" w:rsidRPr="00DE30D2" w:rsidRDefault="002057C4" w:rsidP="002057C4">
      <w:pPr>
        <w:spacing w:after="0" w:line="240" w:lineRule="auto"/>
        <w:rPr>
          <w:rFonts w:ascii="Courier New" w:hAnsi="Courier New" w:cs="Courier New"/>
          <w:sz w:val="18"/>
          <w:szCs w:val="18"/>
        </w:rPr>
      </w:pPr>
      <w:r w:rsidRPr="00DE30D2">
        <w:rPr>
          <w:rFonts w:ascii="Courier New" w:hAnsi="Courier New" w:cs="Courier New"/>
          <w:sz w:val="18"/>
          <w:szCs w:val="18"/>
        </w:rPr>
        <w:t xml:space="preserve">Inverse exponential        500 </w:t>
      </w:r>
      <w:proofErr w:type="gramStart"/>
      <w:r w:rsidRPr="00DE30D2">
        <w:rPr>
          <w:rFonts w:ascii="Courier New" w:hAnsi="Courier New" w:cs="Courier New"/>
          <w:sz w:val="18"/>
          <w:szCs w:val="18"/>
        </w:rPr>
        <w:t>10  50</w:t>
      </w:r>
      <w:proofErr w:type="gramEnd"/>
      <w:r w:rsidRPr="00DE30D2">
        <w:rPr>
          <w:rFonts w:ascii="Courier New" w:hAnsi="Courier New" w:cs="Courier New"/>
          <w:sz w:val="18"/>
          <w:szCs w:val="18"/>
        </w:rPr>
        <w:t xml:space="preserve"> 2    1.397181</w:t>
      </w:r>
    </w:p>
    <w:p w14:paraId="480F56A1" w14:textId="77777777" w:rsidR="002057C4" w:rsidRPr="00DE30D2" w:rsidRDefault="002057C4" w:rsidP="002057C4">
      <w:pPr>
        <w:spacing w:after="0" w:line="240" w:lineRule="auto"/>
        <w:rPr>
          <w:rFonts w:ascii="Courier New" w:hAnsi="Courier New" w:cs="Courier New"/>
          <w:sz w:val="18"/>
          <w:szCs w:val="18"/>
        </w:rPr>
      </w:pPr>
      <w:r w:rsidRPr="00DE30D2">
        <w:rPr>
          <w:rFonts w:ascii="Courier New" w:hAnsi="Courier New" w:cs="Courier New"/>
          <w:sz w:val="18"/>
          <w:szCs w:val="18"/>
        </w:rPr>
        <w:t xml:space="preserve">Hill                       500 </w:t>
      </w:r>
      <w:proofErr w:type="gramStart"/>
      <w:r w:rsidRPr="00DE30D2">
        <w:rPr>
          <w:rFonts w:ascii="Courier New" w:hAnsi="Courier New" w:cs="Courier New"/>
          <w:sz w:val="18"/>
          <w:szCs w:val="18"/>
        </w:rPr>
        <w:t>10  50</w:t>
      </w:r>
      <w:proofErr w:type="gramEnd"/>
      <w:r w:rsidRPr="00DE30D2">
        <w:rPr>
          <w:rFonts w:ascii="Courier New" w:hAnsi="Courier New" w:cs="Courier New"/>
          <w:sz w:val="18"/>
          <w:szCs w:val="18"/>
        </w:rPr>
        <w:t xml:space="preserve"> 2    2.464058</w:t>
      </w:r>
    </w:p>
    <w:p w14:paraId="0F7B3BA1" w14:textId="77777777" w:rsidR="002057C4" w:rsidRPr="00DE30D2" w:rsidRDefault="002057C4" w:rsidP="002057C4">
      <w:pPr>
        <w:spacing w:after="0" w:line="240" w:lineRule="auto"/>
        <w:rPr>
          <w:rFonts w:ascii="Courier New" w:hAnsi="Courier New" w:cs="Courier New"/>
          <w:sz w:val="18"/>
          <w:szCs w:val="18"/>
        </w:rPr>
      </w:pPr>
      <w:r w:rsidRPr="00DE30D2">
        <w:rPr>
          <w:rFonts w:ascii="Courier New" w:hAnsi="Courier New" w:cs="Courier New"/>
          <w:sz w:val="18"/>
          <w:szCs w:val="18"/>
        </w:rPr>
        <w:t xml:space="preserve">Log-normal                 500 </w:t>
      </w:r>
      <w:proofErr w:type="gramStart"/>
      <w:r w:rsidRPr="00DE30D2">
        <w:rPr>
          <w:rFonts w:ascii="Courier New" w:hAnsi="Courier New" w:cs="Courier New"/>
          <w:sz w:val="18"/>
          <w:szCs w:val="18"/>
        </w:rPr>
        <w:t>10  50</w:t>
      </w:r>
      <w:proofErr w:type="gramEnd"/>
      <w:r w:rsidRPr="00DE30D2">
        <w:rPr>
          <w:rFonts w:ascii="Courier New" w:hAnsi="Courier New" w:cs="Courier New"/>
          <w:sz w:val="18"/>
          <w:szCs w:val="18"/>
        </w:rPr>
        <w:t xml:space="preserve"> 2    1.404980</w:t>
      </w:r>
    </w:p>
    <w:p w14:paraId="05AB3A80" w14:textId="77777777" w:rsidR="002057C4" w:rsidRPr="00DE30D2" w:rsidRDefault="002057C4" w:rsidP="002057C4">
      <w:pPr>
        <w:spacing w:after="0" w:line="240" w:lineRule="auto"/>
        <w:rPr>
          <w:rFonts w:ascii="Courier New" w:hAnsi="Courier New" w:cs="Courier New"/>
          <w:sz w:val="18"/>
          <w:szCs w:val="18"/>
        </w:rPr>
      </w:pPr>
      <w:r w:rsidRPr="00DE30D2">
        <w:rPr>
          <w:rFonts w:ascii="Courier New" w:hAnsi="Courier New" w:cs="Courier New"/>
          <w:sz w:val="18"/>
          <w:szCs w:val="18"/>
        </w:rPr>
        <w:t xml:space="preserve">Gamma                      500 </w:t>
      </w:r>
      <w:proofErr w:type="gramStart"/>
      <w:r w:rsidRPr="00DE30D2">
        <w:rPr>
          <w:rFonts w:ascii="Courier New" w:hAnsi="Courier New" w:cs="Courier New"/>
          <w:sz w:val="18"/>
          <w:szCs w:val="18"/>
        </w:rPr>
        <w:t>10  50</w:t>
      </w:r>
      <w:proofErr w:type="gramEnd"/>
      <w:r w:rsidRPr="00DE30D2">
        <w:rPr>
          <w:rFonts w:ascii="Courier New" w:hAnsi="Courier New" w:cs="Courier New"/>
          <w:sz w:val="18"/>
          <w:szCs w:val="18"/>
        </w:rPr>
        <w:t xml:space="preserve"> 2    2.753478</w:t>
      </w:r>
    </w:p>
    <w:p w14:paraId="14EFFE05" w14:textId="77777777" w:rsidR="002057C4" w:rsidRPr="00DE30D2" w:rsidRDefault="002057C4" w:rsidP="002057C4">
      <w:pPr>
        <w:spacing w:after="0" w:line="240" w:lineRule="auto"/>
        <w:rPr>
          <w:rFonts w:ascii="Courier New" w:hAnsi="Courier New" w:cs="Courier New"/>
          <w:sz w:val="18"/>
          <w:szCs w:val="18"/>
        </w:rPr>
      </w:pPr>
      <w:r w:rsidRPr="00DE30D2">
        <w:rPr>
          <w:rFonts w:ascii="Courier New" w:hAnsi="Courier New" w:cs="Courier New"/>
          <w:sz w:val="18"/>
          <w:szCs w:val="18"/>
        </w:rPr>
        <w:t xml:space="preserve">Quadratic exponential      500 </w:t>
      </w:r>
      <w:proofErr w:type="gramStart"/>
      <w:r w:rsidRPr="00DE30D2">
        <w:rPr>
          <w:rFonts w:ascii="Courier New" w:hAnsi="Courier New" w:cs="Courier New"/>
          <w:sz w:val="18"/>
          <w:szCs w:val="18"/>
        </w:rPr>
        <w:t>10  50</w:t>
      </w:r>
      <w:proofErr w:type="gramEnd"/>
      <w:r w:rsidRPr="00DE30D2">
        <w:rPr>
          <w:rFonts w:ascii="Courier New" w:hAnsi="Courier New" w:cs="Courier New"/>
          <w:sz w:val="18"/>
          <w:szCs w:val="18"/>
        </w:rPr>
        <w:t xml:space="preserve"> 2 -198.000000</w:t>
      </w:r>
    </w:p>
    <w:p w14:paraId="55F0BE29" w14:textId="77777777" w:rsidR="002057C4" w:rsidRPr="00087C16" w:rsidRDefault="002057C4" w:rsidP="002057C4">
      <w:pPr>
        <w:spacing w:after="0" w:line="240" w:lineRule="auto"/>
        <w:rPr>
          <w:rFonts w:ascii="Courier New" w:hAnsi="Courier New" w:cs="Courier New"/>
          <w:sz w:val="18"/>
          <w:szCs w:val="18"/>
          <w:lang w:val="en-US"/>
        </w:rPr>
      </w:pPr>
      <w:proofErr w:type="spellStart"/>
      <w:r w:rsidRPr="00087C16">
        <w:rPr>
          <w:rFonts w:ascii="Courier New" w:hAnsi="Courier New" w:cs="Courier New"/>
          <w:color w:val="2B579A"/>
          <w:sz w:val="18"/>
          <w:szCs w:val="18"/>
          <w:shd w:val="clear" w:color="auto" w:fill="E6E6E6"/>
          <w:lang w:val="en-US"/>
        </w:rPr>
        <w:t>Probit</w:t>
      </w:r>
      <w:proofErr w:type="spellEnd"/>
      <w:r w:rsidRPr="00087C16">
        <w:rPr>
          <w:rFonts w:ascii="Courier New" w:hAnsi="Courier New" w:cs="Courier New"/>
          <w:color w:val="2B579A"/>
          <w:sz w:val="18"/>
          <w:szCs w:val="18"/>
          <w:shd w:val="clear" w:color="auto" w:fill="E6E6E6"/>
          <w:lang w:val="en-US"/>
        </w:rPr>
        <w:t xml:space="preserve">                     500 </w:t>
      </w:r>
      <w:proofErr w:type="gramStart"/>
      <w:r w:rsidRPr="00087C16">
        <w:rPr>
          <w:rFonts w:ascii="Courier New" w:hAnsi="Courier New" w:cs="Courier New"/>
          <w:color w:val="2B579A"/>
          <w:sz w:val="18"/>
          <w:szCs w:val="18"/>
          <w:shd w:val="clear" w:color="auto" w:fill="E6E6E6"/>
          <w:lang w:val="en-US"/>
        </w:rPr>
        <w:t>20  50</w:t>
      </w:r>
      <w:proofErr w:type="gramEnd"/>
      <w:r w:rsidRPr="00087C16">
        <w:rPr>
          <w:rFonts w:ascii="Courier New" w:hAnsi="Courier New" w:cs="Courier New"/>
          <w:color w:val="2B579A"/>
          <w:sz w:val="18"/>
          <w:szCs w:val="18"/>
          <w:shd w:val="clear" w:color="auto" w:fill="E6E6E6"/>
          <w:lang w:val="en-US"/>
        </w:rPr>
        <w:t xml:space="preserve"> 0    1.766660</w:t>
      </w:r>
    </w:p>
    <w:p w14:paraId="0FBC1B84" w14:textId="77777777" w:rsidR="002057C4" w:rsidRPr="00087C16" w:rsidRDefault="002057C4" w:rsidP="002057C4">
      <w:pPr>
        <w:spacing w:after="0" w:line="240" w:lineRule="auto"/>
        <w:rPr>
          <w:rFonts w:ascii="Courier New" w:hAnsi="Courier New" w:cs="Courier New"/>
          <w:sz w:val="18"/>
          <w:szCs w:val="18"/>
          <w:lang w:val="en-US"/>
        </w:rPr>
      </w:pPr>
      <w:r w:rsidRPr="00087C16">
        <w:rPr>
          <w:rFonts w:ascii="Courier New" w:hAnsi="Courier New" w:cs="Courier New"/>
          <w:color w:val="2B579A"/>
          <w:sz w:val="18"/>
          <w:szCs w:val="18"/>
          <w:shd w:val="clear" w:color="auto" w:fill="E6E6E6"/>
          <w:lang w:val="en-US"/>
        </w:rPr>
        <w:t xml:space="preserve">Logit                      500 </w:t>
      </w:r>
      <w:proofErr w:type="gramStart"/>
      <w:r w:rsidRPr="00087C16">
        <w:rPr>
          <w:rFonts w:ascii="Courier New" w:hAnsi="Courier New" w:cs="Courier New"/>
          <w:color w:val="2B579A"/>
          <w:sz w:val="18"/>
          <w:szCs w:val="18"/>
          <w:shd w:val="clear" w:color="auto" w:fill="E6E6E6"/>
          <w:lang w:val="en-US"/>
        </w:rPr>
        <w:t>20  50</w:t>
      </w:r>
      <w:proofErr w:type="gramEnd"/>
      <w:r w:rsidRPr="00087C16">
        <w:rPr>
          <w:rFonts w:ascii="Courier New" w:hAnsi="Courier New" w:cs="Courier New"/>
          <w:color w:val="2B579A"/>
          <w:sz w:val="18"/>
          <w:szCs w:val="18"/>
          <w:shd w:val="clear" w:color="auto" w:fill="E6E6E6"/>
          <w:lang w:val="en-US"/>
        </w:rPr>
        <w:t xml:space="preserve"> 0    1.805983</w:t>
      </w:r>
    </w:p>
    <w:p w14:paraId="3E784AA7" w14:textId="77777777" w:rsidR="002057C4" w:rsidRPr="00087C16" w:rsidRDefault="002057C4" w:rsidP="002057C4">
      <w:pPr>
        <w:spacing w:after="0" w:line="240" w:lineRule="auto"/>
        <w:rPr>
          <w:rFonts w:ascii="Courier New" w:hAnsi="Courier New" w:cs="Courier New"/>
          <w:b/>
          <w:sz w:val="18"/>
          <w:szCs w:val="18"/>
          <w:lang w:val="en-US"/>
        </w:rPr>
      </w:pPr>
      <w:r w:rsidRPr="00087C16">
        <w:rPr>
          <w:rFonts w:ascii="Courier New" w:hAnsi="Courier New" w:cs="Courier New"/>
          <w:b/>
          <w:color w:val="2B579A"/>
          <w:sz w:val="18"/>
          <w:szCs w:val="18"/>
          <w:shd w:val="clear" w:color="auto" w:fill="E6E6E6"/>
          <w:lang w:val="en-US"/>
        </w:rPr>
        <w:t xml:space="preserve">                      max </w:t>
      </w:r>
      <w:proofErr w:type="gramStart"/>
      <w:r w:rsidRPr="00087C16">
        <w:rPr>
          <w:rFonts w:ascii="Courier New" w:hAnsi="Courier New" w:cs="Courier New"/>
          <w:b/>
          <w:color w:val="2B579A"/>
          <w:sz w:val="18"/>
          <w:szCs w:val="18"/>
          <w:shd w:val="clear" w:color="auto" w:fill="E6E6E6"/>
          <w:lang w:val="en-US"/>
        </w:rPr>
        <w:t>dose  a</w:t>
      </w:r>
      <w:proofErr w:type="gramEnd"/>
      <w:r w:rsidRPr="00087C16">
        <w:rPr>
          <w:rFonts w:ascii="Courier New" w:hAnsi="Courier New" w:cs="Courier New"/>
          <w:b/>
          <w:color w:val="2B579A"/>
          <w:sz w:val="18"/>
          <w:szCs w:val="18"/>
          <w:shd w:val="clear" w:color="auto" w:fill="E6E6E6"/>
          <w:lang w:val="en-US"/>
        </w:rPr>
        <w:t xml:space="preserve"> BMD c           d</w:t>
      </w:r>
    </w:p>
    <w:p w14:paraId="27D4CF3F" w14:textId="77777777" w:rsidR="002057C4" w:rsidRPr="00DE30D2" w:rsidRDefault="002057C4" w:rsidP="002057C4">
      <w:pPr>
        <w:spacing w:after="0" w:line="240" w:lineRule="auto"/>
        <w:rPr>
          <w:rFonts w:ascii="Courier New" w:hAnsi="Courier New" w:cs="Courier New"/>
          <w:sz w:val="18"/>
          <w:szCs w:val="18"/>
        </w:rPr>
      </w:pPr>
      <w:r w:rsidRPr="00DE30D2">
        <w:rPr>
          <w:rFonts w:ascii="Courier New" w:hAnsi="Courier New" w:cs="Courier New"/>
          <w:sz w:val="18"/>
          <w:szCs w:val="18"/>
        </w:rPr>
        <w:t xml:space="preserve">Exponential              10000 </w:t>
      </w:r>
      <w:proofErr w:type="gramStart"/>
      <w:r w:rsidRPr="00DE30D2">
        <w:rPr>
          <w:rFonts w:ascii="Courier New" w:hAnsi="Courier New" w:cs="Courier New"/>
          <w:sz w:val="18"/>
          <w:szCs w:val="18"/>
        </w:rPr>
        <w:t>10  50</w:t>
      </w:r>
      <w:proofErr w:type="gramEnd"/>
      <w:r w:rsidRPr="00DE30D2">
        <w:rPr>
          <w:rFonts w:ascii="Courier New" w:hAnsi="Courier New" w:cs="Courier New"/>
          <w:sz w:val="18"/>
          <w:szCs w:val="18"/>
        </w:rPr>
        <w:t xml:space="preserve"> 2    2.000000</w:t>
      </w:r>
    </w:p>
    <w:p w14:paraId="2A1F70EA" w14:textId="77777777" w:rsidR="002057C4" w:rsidRPr="00DE30D2" w:rsidRDefault="002057C4" w:rsidP="002057C4">
      <w:pPr>
        <w:spacing w:after="0" w:line="240" w:lineRule="auto"/>
        <w:rPr>
          <w:rFonts w:ascii="Courier New" w:hAnsi="Courier New" w:cs="Courier New"/>
          <w:sz w:val="18"/>
          <w:szCs w:val="18"/>
        </w:rPr>
      </w:pPr>
      <w:r w:rsidRPr="00DE30D2">
        <w:rPr>
          <w:rFonts w:ascii="Courier New" w:hAnsi="Courier New" w:cs="Courier New"/>
          <w:sz w:val="18"/>
          <w:szCs w:val="18"/>
        </w:rPr>
        <w:t xml:space="preserve">Inverse exponential      10000 </w:t>
      </w:r>
      <w:proofErr w:type="gramStart"/>
      <w:r w:rsidRPr="00DE30D2">
        <w:rPr>
          <w:rFonts w:ascii="Courier New" w:hAnsi="Courier New" w:cs="Courier New"/>
          <w:sz w:val="18"/>
          <w:szCs w:val="18"/>
        </w:rPr>
        <w:t>10  50</w:t>
      </w:r>
      <w:proofErr w:type="gramEnd"/>
      <w:r w:rsidRPr="00DE30D2">
        <w:rPr>
          <w:rFonts w:ascii="Courier New" w:hAnsi="Courier New" w:cs="Courier New"/>
          <w:sz w:val="18"/>
          <w:szCs w:val="18"/>
        </w:rPr>
        <w:t xml:space="preserve"> 2    1.516266</w:t>
      </w:r>
    </w:p>
    <w:p w14:paraId="133B905C" w14:textId="77777777" w:rsidR="002057C4" w:rsidRPr="00DE30D2" w:rsidRDefault="002057C4" w:rsidP="002057C4">
      <w:pPr>
        <w:spacing w:after="0" w:line="240" w:lineRule="auto"/>
        <w:rPr>
          <w:rFonts w:ascii="Courier New" w:hAnsi="Courier New" w:cs="Courier New"/>
          <w:sz w:val="18"/>
          <w:szCs w:val="18"/>
        </w:rPr>
      </w:pPr>
      <w:r w:rsidRPr="00DE30D2">
        <w:rPr>
          <w:rFonts w:ascii="Courier New" w:hAnsi="Courier New" w:cs="Courier New"/>
          <w:sz w:val="18"/>
          <w:szCs w:val="18"/>
        </w:rPr>
        <w:t xml:space="preserve">Hill                     10000 </w:t>
      </w:r>
      <w:proofErr w:type="gramStart"/>
      <w:r w:rsidRPr="00DE30D2">
        <w:rPr>
          <w:rFonts w:ascii="Courier New" w:hAnsi="Courier New" w:cs="Courier New"/>
          <w:sz w:val="18"/>
          <w:szCs w:val="18"/>
        </w:rPr>
        <w:t>10  50</w:t>
      </w:r>
      <w:proofErr w:type="gramEnd"/>
      <w:r w:rsidRPr="00DE30D2">
        <w:rPr>
          <w:rFonts w:ascii="Courier New" w:hAnsi="Courier New" w:cs="Courier New"/>
          <w:sz w:val="18"/>
          <w:szCs w:val="18"/>
        </w:rPr>
        <w:t xml:space="preserve"> 2    2.501481</w:t>
      </w:r>
    </w:p>
    <w:p w14:paraId="6F1DDA9B" w14:textId="77777777" w:rsidR="002057C4" w:rsidRPr="00DE30D2" w:rsidRDefault="002057C4" w:rsidP="002057C4">
      <w:pPr>
        <w:spacing w:after="0" w:line="240" w:lineRule="auto"/>
        <w:rPr>
          <w:rFonts w:ascii="Courier New" w:hAnsi="Courier New" w:cs="Courier New"/>
          <w:sz w:val="18"/>
          <w:szCs w:val="18"/>
        </w:rPr>
      </w:pPr>
      <w:r w:rsidRPr="00DE30D2">
        <w:rPr>
          <w:rFonts w:ascii="Courier New" w:hAnsi="Courier New" w:cs="Courier New"/>
          <w:sz w:val="18"/>
          <w:szCs w:val="18"/>
        </w:rPr>
        <w:t xml:space="preserve">Log-normal               10000 </w:t>
      </w:r>
      <w:proofErr w:type="gramStart"/>
      <w:r w:rsidRPr="00DE30D2">
        <w:rPr>
          <w:rFonts w:ascii="Courier New" w:hAnsi="Courier New" w:cs="Courier New"/>
          <w:sz w:val="18"/>
          <w:szCs w:val="18"/>
        </w:rPr>
        <w:t>10  50</w:t>
      </w:r>
      <w:proofErr w:type="gramEnd"/>
      <w:r w:rsidRPr="00DE30D2">
        <w:rPr>
          <w:rFonts w:ascii="Courier New" w:hAnsi="Courier New" w:cs="Courier New"/>
          <w:sz w:val="18"/>
          <w:szCs w:val="18"/>
        </w:rPr>
        <w:t xml:space="preserve"> 2    1.421107</w:t>
      </w:r>
    </w:p>
    <w:p w14:paraId="67586D8F" w14:textId="77777777" w:rsidR="002057C4" w:rsidRPr="00DE30D2" w:rsidRDefault="002057C4" w:rsidP="002057C4">
      <w:pPr>
        <w:spacing w:after="0" w:line="240" w:lineRule="auto"/>
        <w:rPr>
          <w:rFonts w:ascii="Courier New" w:hAnsi="Courier New" w:cs="Courier New"/>
          <w:sz w:val="18"/>
          <w:szCs w:val="18"/>
        </w:rPr>
      </w:pPr>
      <w:r w:rsidRPr="00DE30D2">
        <w:rPr>
          <w:rFonts w:ascii="Courier New" w:hAnsi="Courier New" w:cs="Courier New"/>
          <w:sz w:val="18"/>
          <w:szCs w:val="18"/>
        </w:rPr>
        <w:t xml:space="preserve">Gamma                    10000 </w:t>
      </w:r>
      <w:proofErr w:type="gramStart"/>
      <w:r w:rsidRPr="00DE30D2">
        <w:rPr>
          <w:rFonts w:ascii="Courier New" w:hAnsi="Courier New" w:cs="Courier New"/>
          <w:sz w:val="18"/>
          <w:szCs w:val="18"/>
        </w:rPr>
        <w:t>10  50</w:t>
      </w:r>
      <w:proofErr w:type="gramEnd"/>
      <w:r w:rsidRPr="00DE30D2">
        <w:rPr>
          <w:rFonts w:ascii="Courier New" w:hAnsi="Courier New" w:cs="Courier New"/>
          <w:sz w:val="18"/>
          <w:szCs w:val="18"/>
        </w:rPr>
        <w:t xml:space="preserve"> 2    2.758485</w:t>
      </w:r>
    </w:p>
    <w:p w14:paraId="466FED87" w14:textId="77777777" w:rsidR="002057C4" w:rsidRPr="00DE30D2" w:rsidRDefault="002057C4" w:rsidP="002057C4">
      <w:pPr>
        <w:spacing w:after="0" w:line="240" w:lineRule="auto"/>
        <w:rPr>
          <w:rFonts w:ascii="Courier New" w:hAnsi="Courier New" w:cs="Courier New"/>
          <w:sz w:val="18"/>
          <w:szCs w:val="18"/>
        </w:rPr>
      </w:pPr>
      <w:r w:rsidRPr="00DE30D2">
        <w:rPr>
          <w:rFonts w:ascii="Courier New" w:hAnsi="Courier New" w:cs="Courier New"/>
          <w:sz w:val="18"/>
          <w:szCs w:val="18"/>
        </w:rPr>
        <w:t xml:space="preserve">Quadratic exponential    10000 </w:t>
      </w:r>
      <w:proofErr w:type="gramStart"/>
      <w:r w:rsidRPr="00DE30D2">
        <w:rPr>
          <w:rFonts w:ascii="Courier New" w:hAnsi="Courier New" w:cs="Courier New"/>
          <w:sz w:val="18"/>
          <w:szCs w:val="18"/>
        </w:rPr>
        <w:t>10  50</w:t>
      </w:r>
      <w:proofErr w:type="gramEnd"/>
      <w:r w:rsidRPr="00DE30D2">
        <w:rPr>
          <w:rFonts w:ascii="Courier New" w:hAnsi="Courier New" w:cs="Courier New"/>
          <w:sz w:val="18"/>
          <w:szCs w:val="18"/>
        </w:rPr>
        <w:t xml:space="preserve"> 2 -198.000000</w:t>
      </w:r>
    </w:p>
    <w:p w14:paraId="4EF82112" w14:textId="77777777" w:rsidR="002057C4" w:rsidRPr="00DE30D2" w:rsidRDefault="002057C4" w:rsidP="002057C4">
      <w:pPr>
        <w:spacing w:after="0" w:line="240" w:lineRule="auto"/>
        <w:rPr>
          <w:rFonts w:ascii="Courier New" w:hAnsi="Courier New" w:cs="Courier New"/>
          <w:sz w:val="18"/>
          <w:szCs w:val="18"/>
        </w:rPr>
      </w:pPr>
      <w:proofErr w:type="spellStart"/>
      <w:r w:rsidRPr="00DE30D2">
        <w:rPr>
          <w:rFonts w:ascii="Courier New" w:hAnsi="Courier New" w:cs="Courier New"/>
          <w:sz w:val="18"/>
          <w:szCs w:val="18"/>
        </w:rPr>
        <w:t>Probit</w:t>
      </w:r>
      <w:proofErr w:type="spellEnd"/>
      <w:r w:rsidRPr="00DE30D2">
        <w:rPr>
          <w:rFonts w:ascii="Courier New" w:hAnsi="Courier New" w:cs="Courier New"/>
          <w:sz w:val="18"/>
          <w:szCs w:val="18"/>
        </w:rPr>
        <w:t xml:space="preserve">                   10000 </w:t>
      </w:r>
      <w:proofErr w:type="gramStart"/>
      <w:r w:rsidRPr="00DE30D2">
        <w:rPr>
          <w:rFonts w:ascii="Courier New" w:hAnsi="Courier New" w:cs="Courier New"/>
          <w:sz w:val="18"/>
          <w:szCs w:val="18"/>
        </w:rPr>
        <w:t>20  50</w:t>
      </w:r>
      <w:proofErr w:type="gramEnd"/>
      <w:r w:rsidRPr="00DE30D2">
        <w:rPr>
          <w:rFonts w:ascii="Courier New" w:hAnsi="Courier New" w:cs="Courier New"/>
          <w:sz w:val="18"/>
          <w:szCs w:val="18"/>
        </w:rPr>
        <w:t xml:space="preserve"> 0    1.766652</w:t>
      </w:r>
    </w:p>
    <w:p w14:paraId="20197EE4" w14:textId="77777777" w:rsidR="002057C4" w:rsidRPr="00DE30D2" w:rsidRDefault="002057C4" w:rsidP="002057C4">
      <w:pPr>
        <w:spacing w:after="0" w:line="240" w:lineRule="auto"/>
        <w:rPr>
          <w:rFonts w:ascii="Courier New" w:hAnsi="Courier New" w:cs="Courier New"/>
          <w:sz w:val="18"/>
          <w:szCs w:val="18"/>
        </w:rPr>
      </w:pPr>
      <w:r w:rsidRPr="00DE30D2">
        <w:rPr>
          <w:rFonts w:ascii="Courier New" w:hAnsi="Courier New" w:cs="Courier New"/>
          <w:sz w:val="18"/>
          <w:szCs w:val="18"/>
        </w:rPr>
        <w:t xml:space="preserve">Logit                    10000 </w:t>
      </w:r>
      <w:proofErr w:type="gramStart"/>
      <w:r w:rsidRPr="00DE30D2">
        <w:rPr>
          <w:rFonts w:ascii="Courier New" w:hAnsi="Courier New" w:cs="Courier New"/>
          <w:sz w:val="18"/>
          <w:szCs w:val="18"/>
        </w:rPr>
        <w:t>20  50</w:t>
      </w:r>
      <w:proofErr w:type="gramEnd"/>
      <w:r w:rsidRPr="00DE30D2">
        <w:rPr>
          <w:rFonts w:ascii="Courier New" w:hAnsi="Courier New" w:cs="Courier New"/>
          <w:sz w:val="18"/>
          <w:szCs w:val="18"/>
        </w:rPr>
        <w:t xml:space="preserve"> 0    1.805941 </w:t>
      </w:r>
      <w:r w:rsidRPr="00DE30D2">
        <w:rPr>
          <w:rFonts w:ascii="Courier New" w:eastAsiaTheme="minorEastAsia" w:hAnsi="Courier New" w:cs="Courier New"/>
          <w:sz w:val="18"/>
          <w:szCs w:val="18"/>
        </w:rPr>
        <w:t xml:space="preserve"> </w:t>
      </w:r>
    </w:p>
    <w:p w14:paraId="0D25B205" w14:textId="77777777" w:rsidR="002057C4" w:rsidRPr="00123468" w:rsidRDefault="002057C4" w:rsidP="002057C4"/>
    <w:p w14:paraId="7A2B1E57" w14:textId="77777777" w:rsidR="002057C4" w:rsidRDefault="002057C4" w:rsidP="002057C4">
      <w:pPr>
        <w:pStyle w:val="EFSABodytext"/>
      </w:pPr>
      <w:r>
        <w:t xml:space="preserve">This table show that, while the </w:t>
      </w:r>
      <w:proofErr w:type="gramStart"/>
      <w:r>
        <w:t xml:space="preserve">parameters  </w:t>
      </w:r>
      <w:r w:rsidRPr="00E1398D">
        <w:rPr>
          <w:i/>
          <w:iCs/>
        </w:rPr>
        <w:t>a</w:t>
      </w:r>
      <w:proofErr w:type="gramEnd"/>
      <w:r w:rsidRPr="00E1398D">
        <w:rPr>
          <w:i/>
          <w:iCs/>
        </w:rPr>
        <w:t>, c, BMD</w:t>
      </w:r>
      <w:r>
        <w:rPr>
          <w:i/>
          <w:iCs/>
        </w:rPr>
        <w:t xml:space="preserve"> </w:t>
      </w:r>
      <w:r>
        <w:t xml:space="preserve"> are fixed to make sure that background response, maximum response and BMD are 10, 20, and 50 respectively, the value of the parameter </w:t>
      </w:r>
      <w:r w:rsidRPr="00DE30D2">
        <w:rPr>
          <w:i/>
          <w:iCs/>
        </w:rPr>
        <w:t>d</w:t>
      </w:r>
      <w:r>
        <w:rPr>
          <w:i/>
          <w:iCs/>
        </w:rPr>
        <w:t xml:space="preserve">  </w:t>
      </w:r>
      <w:r>
        <w:t>that brings the models closest to each other, varies across the different models, and depends on the experimental dose range.</w:t>
      </w:r>
    </w:p>
    <w:p w14:paraId="6337D61B" w14:textId="418B12E0" w:rsidR="002057C4" w:rsidRDefault="002057C4" w:rsidP="002057C4">
      <w:pPr>
        <w:pStyle w:val="EFSABodytext"/>
      </w:pPr>
      <w:r>
        <w:t xml:space="preserve">Addressing finally the question of </w:t>
      </w:r>
      <w:r>
        <w:rPr>
          <w:rFonts w:eastAsiaTheme="minorEastAsia"/>
        </w:rPr>
        <w:t xml:space="preserve">how different or how similar are the median responses </w:t>
      </w: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w:r>
        <w:rPr>
          <w:rFonts w:eastAsiaTheme="minorEastAsia"/>
        </w:rPr>
        <w:t xml:space="preserve"> and </w:t>
      </w:r>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sup>
        </m:sSup>
      </m:oMath>
      <w:r>
        <w:rPr>
          <w:rFonts w:eastAsiaTheme="minorEastAsia"/>
        </w:rPr>
        <w:t xml:space="preserve"> for a same endpoint, but assuming different distributions (normal and log-normal respectively)</w:t>
      </w:r>
      <w:r>
        <w:t xml:space="preserve">; </w:t>
      </w:r>
      <w:r>
        <w:rPr>
          <w:rFonts w:eastAsiaTheme="minorEastAsia"/>
        </w:rPr>
        <w:t xml:space="preserve">Figure </w:t>
      </w:r>
      <w:r w:rsidR="00EC6727">
        <w:rPr>
          <w:rFonts w:eastAsiaTheme="minorEastAsia"/>
        </w:rPr>
        <w:t>B.</w:t>
      </w:r>
      <w:r>
        <w:rPr>
          <w:rFonts w:eastAsiaTheme="minorEastAsia"/>
        </w:rPr>
        <w:t xml:space="preserve">5 shows a matrix plot with, for all 8 models, the median responses </w:t>
      </w: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w:r>
        <w:rPr>
          <w:rFonts w:eastAsiaTheme="minorEastAsia"/>
        </w:rPr>
        <w:t xml:space="preserve"> (type and colour according to legend in right lower figure) and </w:t>
      </w:r>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sup>
        </m:sSup>
      </m:oMath>
      <w:r>
        <w:rPr>
          <w:rFonts w:eastAsiaTheme="minorEastAsia"/>
        </w:rPr>
        <w:t xml:space="preserve"> (solid line in orange) overlaid, with</w:t>
      </w:r>
    </w:p>
    <w:p w14:paraId="701DB63A" w14:textId="77777777" w:rsidR="002057C4" w:rsidRDefault="002057C4" w:rsidP="002057C4">
      <w:pPr>
        <w:pStyle w:val="EFSABodytext"/>
        <w:numPr>
          <w:ilvl w:val="0"/>
          <w:numId w:val="74"/>
        </w:numPr>
      </w:pPr>
      <w:r>
        <w:t xml:space="preserve">All parameters </w:t>
      </w:r>
      <w:r w:rsidRPr="00201BD0">
        <w:rPr>
          <w:i/>
          <w:iCs/>
        </w:rPr>
        <w:t>a</w:t>
      </w:r>
      <w:r>
        <w:t xml:space="preserve"> and </w:t>
      </w:r>
      <w:r w:rsidRPr="00201BD0">
        <w:rPr>
          <w:i/>
          <w:iCs/>
        </w:rPr>
        <w:t>c</w:t>
      </w:r>
      <w:r>
        <w:t xml:space="preserve"> such that the</w:t>
      </w:r>
    </w:p>
    <w:p w14:paraId="3EE4C8E7" w14:textId="77777777" w:rsidR="002057C4" w:rsidRDefault="002057C4" w:rsidP="002057C4">
      <w:pPr>
        <w:pStyle w:val="EFSABodytext"/>
        <w:numPr>
          <w:ilvl w:val="1"/>
          <w:numId w:val="74"/>
        </w:numPr>
      </w:pPr>
      <w:r>
        <w:t xml:space="preserve">background response equals </w:t>
      </w:r>
      <w:proofErr w:type="gramStart"/>
      <w:r>
        <w:t>10;</w:t>
      </w:r>
      <w:proofErr w:type="gramEnd"/>
    </w:p>
    <w:p w14:paraId="69FC2D3E" w14:textId="77777777" w:rsidR="002057C4" w:rsidRDefault="002057C4" w:rsidP="002057C4">
      <w:pPr>
        <w:pStyle w:val="EFSABodytext"/>
        <w:numPr>
          <w:ilvl w:val="1"/>
          <w:numId w:val="74"/>
        </w:numPr>
      </w:pPr>
      <w:r>
        <w:t xml:space="preserve">maximum response equals </w:t>
      </w:r>
      <w:proofErr w:type="gramStart"/>
      <w:r>
        <w:t>20;</w:t>
      </w:r>
      <w:proofErr w:type="gramEnd"/>
    </w:p>
    <w:p w14:paraId="0A608FE0" w14:textId="77777777" w:rsidR="002057C4" w:rsidRDefault="002057C4" w:rsidP="002057C4">
      <w:pPr>
        <w:pStyle w:val="EFSABodytext"/>
        <w:numPr>
          <w:ilvl w:val="0"/>
          <w:numId w:val="74"/>
        </w:numPr>
      </w:pPr>
      <w:r>
        <w:t xml:space="preserve">The parameter </w:t>
      </w:r>
      <w:r w:rsidRPr="00201BD0">
        <w:rPr>
          <w:i/>
          <w:iCs/>
        </w:rPr>
        <w:t>b</w:t>
      </w:r>
      <w:r>
        <w:t xml:space="preserve"> always such that BMD equals </w:t>
      </w:r>
      <w:proofErr w:type="gramStart"/>
      <w:r>
        <w:t>50;</w:t>
      </w:r>
      <w:proofErr w:type="gramEnd"/>
    </w:p>
    <w:p w14:paraId="357C2A84" w14:textId="77777777" w:rsidR="002057C4" w:rsidRDefault="002057C4" w:rsidP="002057C4">
      <w:pPr>
        <w:pStyle w:val="EFSABodytext"/>
        <w:numPr>
          <w:ilvl w:val="0"/>
          <w:numId w:val="74"/>
        </w:numPr>
      </w:pPr>
      <w:r>
        <w:t xml:space="preserve">The model-specific parameter </w:t>
      </w:r>
      <w:proofErr w:type="gramStart"/>
      <w:r w:rsidRPr="00201BD0">
        <w:rPr>
          <w:i/>
          <w:iCs/>
        </w:rPr>
        <w:t>d</w:t>
      </w:r>
      <w:r>
        <w:rPr>
          <w:i/>
          <w:iCs/>
        </w:rPr>
        <w:t xml:space="preserve"> </w:t>
      </w:r>
      <w:r>
        <w:t xml:space="preserve"> such</w:t>
      </w:r>
      <w:proofErr w:type="gramEnd"/>
      <w:r>
        <w:t xml:space="preserve"> that</w:t>
      </w:r>
    </w:p>
    <w:p w14:paraId="7777CEE2" w14:textId="77777777" w:rsidR="002057C4" w:rsidRPr="00C55E17" w:rsidRDefault="002057C4" w:rsidP="002057C4">
      <w:pPr>
        <w:pStyle w:val="EFSABodytext"/>
        <w:numPr>
          <w:ilvl w:val="1"/>
          <w:numId w:val="74"/>
        </w:numPr>
      </w:pPr>
      <w:r>
        <w:t xml:space="preserve">the models </w:t>
      </w: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w:r>
        <w:rPr>
          <w:rFonts w:eastAsiaTheme="minorEastAsia"/>
        </w:rPr>
        <w:t xml:space="preserve"> for the normal case </w:t>
      </w:r>
      <m:oMath>
        <m:r>
          <w:rPr>
            <w:rFonts w:ascii="Cambria Math" w:eastAsiaTheme="minorEastAsia" w:hAnsi="Cambria Math"/>
          </w:rPr>
          <m:t>y|x ~</m:t>
        </m:r>
        <m:r>
          <m:rPr>
            <m:sty m:val="p"/>
          </m:rPr>
          <w:rPr>
            <w:rFonts w:ascii="Cambria Math" w:eastAsiaTheme="minorEastAsia" w:hAnsi="Cambria Math"/>
          </w:rPr>
          <m:t>N</m:t>
        </m:r>
        <m:d>
          <m:dPr>
            <m:ctrlPr>
              <w:rPr>
                <w:rFonts w:ascii="Cambria Math" w:eastAsiaTheme="minorEastAsia" w:hAnsi="Cambria Math"/>
                <w:i/>
              </w:rPr>
            </m:ctrlPr>
          </m:dPr>
          <m:e>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e>
        </m:d>
      </m:oMath>
      <w:r>
        <w:rPr>
          <w:rFonts w:eastAsiaTheme="minorEastAsia"/>
        </w:rPr>
        <w:t xml:space="preserve"> are closest to the exponential model with </w:t>
      </w:r>
      <w:r w:rsidRPr="00C55E17">
        <w:rPr>
          <w:rFonts w:eastAsiaTheme="minorEastAsia"/>
          <w:i/>
          <w:iCs/>
        </w:rPr>
        <w:t>d=2</w:t>
      </w:r>
      <w:r>
        <w:rPr>
          <w:rFonts w:eastAsiaTheme="minorEastAsia"/>
          <w:i/>
          <w:iCs/>
        </w:rPr>
        <w:t xml:space="preserve"> </w:t>
      </w:r>
      <w:r w:rsidRPr="00C55E17">
        <w:rPr>
          <w:rFonts w:eastAsiaTheme="minorEastAsia"/>
        </w:rPr>
        <w:t>(</w:t>
      </w:r>
      <w:r>
        <w:rPr>
          <w:rFonts w:eastAsiaTheme="minorEastAsia"/>
        </w:rPr>
        <w:t>left upper panel in Figure 5</w:t>
      </w:r>
      <w:r w:rsidRPr="00C55E17">
        <w:rPr>
          <w:rFonts w:eastAsiaTheme="minorEastAsia"/>
        </w:rPr>
        <w:t>)</w:t>
      </w:r>
      <w:r w:rsidRPr="00C55E17">
        <w:rPr>
          <w:rFonts w:eastAsiaTheme="minorEastAsia"/>
          <w:i/>
          <w:iCs/>
        </w:rPr>
        <w:t>.</w:t>
      </w:r>
    </w:p>
    <w:p w14:paraId="4A48B880" w14:textId="77777777" w:rsidR="002057C4" w:rsidRDefault="002057C4" w:rsidP="002057C4">
      <w:pPr>
        <w:pStyle w:val="EFSABodytext"/>
        <w:numPr>
          <w:ilvl w:val="1"/>
          <w:numId w:val="74"/>
        </w:numPr>
      </w:pPr>
      <w:r>
        <w:t xml:space="preserve">the models </w:t>
      </w:r>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sup>
        </m:sSup>
      </m:oMath>
      <w:r>
        <w:rPr>
          <w:rFonts w:eastAsiaTheme="minorEastAsia"/>
        </w:rPr>
        <w:t xml:space="preserve"> for the log-normal case </w:t>
      </w:r>
      <m:oMath>
        <m:r>
          <w:rPr>
            <w:rFonts w:ascii="Cambria Math" w:eastAsiaTheme="minorEastAsia" w:hAnsi="Cambria Math"/>
          </w:rPr>
          <m:t>y|x ~</m:t>
        </m:r>
        <m:r>
          <m:rPr>
            <m:sty m:val="p"/>
          </m:rPr>
          <w:rPr>
            <w:rFonts w:ascii="Cambria Math" w:eastAsiaTheme="minorEastAsia" w:hAnsi="Cambria Math"/>
          </w:rPr>
          <m:t>LOGN</m:t>
        </m:r>
        <m:d>
          <m:dPr>
            <m:ctrlPr>
              <w:rPr>
                <w:rFonts w:ascii="Cambria Math" w:eastAsiaTheme="minorEastAsia" w:hAnsi="Cambria Math"/>
                <w:i/>
              </w:rPr>
            </m:ctrlPr>
          </m:dPr>
          <m:e>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e>
        </m:d>
      </m:oMath>
      <w:r>
        <w:rPr>
          <w:rFonts w:eastAsiaTheme="minorEastAsia"/>
        </w:rPr>
        <w:t xml:space="preserve"> are closest to their normal counterpart </w:t>
      </w: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w:r w:rsidRPr="00C93CC5">
        <w:rPr>
          <w:rFonts w:eastAsiaTheme="minorEastAsia"/>
          <w:i/>
          <w:iCs/>
        </w:rPr>
        <w:t>.</w:t>
      </w:r>
    </w:p>
    <w:p w14:paraId="62DADED7" w14:textId="6D6C2660" w:rsidR="002057C4" w:rsidRDefault="002057C4" w:rsidP="002057C4">
      <w:pPr>
        <w:pStyle w:val="EFSABodytext"/>
      </w:pPr>
      <w:r>
        <w:t xml:space="preserve">Figure </w:t>
      </w:r>
      <w:r w:rsidR="00EC6727">
        <w:t>B.</w:t>
      </w:r>
      <w:r>
        <w:t xml:space="preserve">5 shows that, although the functional form of the two median responses </w:t>
      </w: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w:r>
        <w:rPr>
          <w:rFonts w:eastAsiaTheme="minorEastAsia"/>
        </w:rPr>
        <w:t xml:space="preserve"> and </w:t>
      </w:r>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sup>
        </m:sSup>
      </m:oMath>
      <w:r>
        <w:rPr>
          <w:rFonts w:eastAsiaTheme="minorEastAsia"/>
        </w:rPr>
        <w:t xml:space="preserve"> is different, the resulting curves with the model-specific choices of </w:t>
      </w:r>
      <w:r w:rsidRPr="00C55E17">
        <w:rPr>
          <w:rFonts w:eastAsiaTheme="minorEastAsia"/>
          <w:i/>
          <w:iCs/>
        </w:rPr>
        <w:t>d</w:t>
      </w:r>
      <w:r>
        <w:rPr>
          <w:rFonts w:eastAsiaTheme="minorEastAsia"/>
          <w:i/>
          <w:iCs/>
        </w:rPr>
        <w:t xml:space="preserve"> </w:t>
      </w:r>
      <w:r>
        <w:rPr>
          <w:rFonts w:eastAsiaTheme="minorEastAsia"/>
        </w:rPr>
        <w:t xml:space="preserve">are essentially identical. </w:t>
      </w:r>
      <w:r>
        <w:t xml:space="preserve">The model-specific values of </w:t>
      </w:r>
      <w:r w:rsidRPr="00C55E17">
        <w:rPr>
          <w:i/>
          <w:iCs/>
        </w:rPr>
        <w:t>d</w:t>
      </w:r>
      <w:r>
        <w:t xml:space="preserve"> are shown in the following table</w:t>
      </w:r>
    </w:p>
    <w:p w14:paraId="01A3BDDE" w14:textId="77777777" w:rsidR="002057C4" w:rsidRPr="00C55E17" w:rsidRDefault="002057C4" w:rsidP="002057C4">
      <w:pPr>
        <w:pStyle w:val="EFSABodytext"/>
        <w:spacing w:after="0"/>
        <w:rPr>
          <w:rFonts w:ascii="Courier New" w:hAnsi="Courier New" w:cs="Courier New"/>
          <w:b/>
          <w:bCs/>
        </w:rPr>
      </w:pPr>
      <w:r w:rsidRPr="00C55E17">
        <w:rPr>
          <w:rFonts w:ascii="Courier New" w:hAnsi="Courier New" w:cs="Courier New"/>
        </w:rPr>
        <w:t xml:space="preserve">                         </w:t>
      </w:r>
      <w:r w:rsidRPr="00C55E17">
        <w:rPr>
          <w:rFonts w:ascii="Courier New" w:hAnsi="Courier New" w:cs="Courier New"/>
          <w:b/>
          <w:bCs/>
        </w:rPr>
        <w:t xml:space="preserve">d normal </w:t>
      </w:r>
      <w:r>
        <w:rPr>
          <w:rFonts w:ascii="Courier New" w:hAnsi="Courier New" w:cs="Courier New"/>
          <w:b/>
          <w:bCs/>
        </w:rPr>
        <w:t xml:space="preserve">  </w:t>
      </w:r>
      <w:r w:rsidRPr="00C55E17">
        <w:rPr>
          <w:rFonts w:ascii="Courier New" w:hAnsi="Courier New" w:cs="Courier New"/>
          <w:b/>
          <w:bCs/>
        </w:rPr>
        <w:t>d log-normal</w:t>
      </w:r>
    </w:p>
    <w:p w14:paraId="01B7A660" w14:textId="77777777" w:rsidR="002057C4" w:rsidRPr="00C55E17" w:rsidRDefault="002057C4" w:rsidP="002057C4">
      <w:pPr>
        <w:pStyle w:val="EFSABodytext"/>
        <w:spacing w:after="0"/>
        <w:rPr>
          <w:rFonts w:ascii="Courier New" w:hAnsi="Courier New" w:cs="Courier New"/>
        </w:rPr>
      </w:pPr>
      <w:r w:rsidRPr="00C55E17">
        <w:rPr>
          <w:rFonts w:ascii="Courier New" w:hAnsi="Courier New" w:cs="Courier New"/>
        </w:rPr>
        <w:t>Exponential              2.000000     1.893664</w:t>
      </w:r>
    </w:p>
    <w:p w14:paraId="7D76513E" w14:textId="77777777" w:rsidR="002057C4" w:rsidRPr="00C55E17" w:rsidRDefault="002057C4" w:rsidP="002057C4">
      <w:pPr>
        <w:pStyle w:val="EFSABodytext"/>
        <w:spacing w:after="0"/>
        <w:rPr>
          <w:rFonts w:ascii="Courier New" w:hAnsi="Courier New" w:cs="Courier New"/>
        </w:rPr>
      </w:pPr>
      <w:r w:rsidRPr="00C55E17">
        <w:rPr>
          <w:rFonts w:ascii="Courier New" w:hAnsi="Courier New" w:cs="Courier New"/>
        </w:rPr>
        <w:t>Inverse exponential      1.397181     1.504560</w:t>
      </w:r>
    </w:p>
    <w:p w14:paraId="3F17AED8" w14:textId="77777777" w:rsidR="002057C4" w:rsidRPr="00C55E17" w:rsidRDefault="002057C4" w:rsidP="002057C4">
      <w:pPr>
        <w:pStyle w:val="EFSABodytext"/>
        <w:spacing w:after="0"/>
        <w:rPr>
          <w:rFonts w:ascii="Courier New" w:hAnsi="Courier New" w:cs="Courier New"/>
        </w:rPr>
      </w:pPr>
      <w:r w:rsidRPr="00C55E17">
        <w:rPr>
          <w:rFonts w:ascii="Courier New" w:hAnsi="Courier New" w:cs="Courier New"/>
        </w:rPr>
        <w:t>Hill                     2.464058     2.446903</w:t>
      </w:r>
    </w:p>
    <w:p w14:paraId="0A9B749B" w14:textId="77777777" w:rsidR="002057C4" w:rsidRPr="00C55E17" w:rsidRDefault="002057C4" w:rsidP="002057C4">
      <w:pPr>
        <w:pStyle w:val="EFSABodytext"/>
        <w:spacing w:after="0"/>
        <w:rPr>
          <w:rFonts w:ascii="Courier New" w:hAnsi="Courier New" w:cs="Courier New"/>
        </w:rPr>
      </w:pPr>
      <w:r w:rsidRPr="00C55E17">
        <w:rPr>
          <w:rFonts w:ascii="Courier New" w:hAnsi="Courier New" w:cs="Courier New"/>
        </w:rPr>
        <w:t>Log-normal               1.404980     1.419891</w:t>
      </w:r>
    </w:p>
    <w:p w14:paraId="08D51383" w14:textId="77777777" w:rsidR="002057C4" w:rsidRPr="00C55E17" w:rsidRDefault="002057C4" w:rsidP="002057C4">
      <w:pPr>
        <w:pStyle w:val="EFSABodytext"/>
        <w:spacing w:after="0"/>
        <w:rPr>
          <w:rFonts w:ascii="Courier New" w:hAnsi="Courier New" w:cs="Courier New"/>
        </w:rPr>
      </w:pPr>
      <w:r w:rsidRPr="00C55E17">
        <w:rPr>
          <w:rFonts w:ascii="Courier New" w:hAnsi="Courier New" w:cs="Courier New"/>
        </w:rPr>
        <w:t>Gamma                    2.753478     2.636557</w:t>
      </w:r>
    </w:p>
    <w:p w14:paraId="715A3AB7" w14:textId="77777777" w:rsidR="002057C4" w:rsidRPr="00C55E17" w:rsidRDefault="002057C4" w:rsidP="002057C4">
      <w:pPr>
        <w:pStyle w:val="EFSABodytext"/>
        <w:spacing w:after="0"/>
        <w:rPr>
          <w:rFonts w:ascii="Courier New" w:hAnsi="Courier New" w:cs="Courier New"/>
        </w:rPr>
      </w:pPr>
      <w:r w:rsidRPr="00C55E17">
        <w:rPr>
          <w:rFonts w:ascii="Courier New" w:hAnsi="Courier New" w:cs="Courier New"/>
        </w:rPr>
        <w:t>Quadratic exponential -198.000000     2.448653</w:t>
      </w:r>
    </w:p>
    <w:p w14:paraId="2D8B6C2D" w14:textId="77777777" w:rsidR="002057C4" w:rsidRPr="00C55E17" w:rsidRDefault="002057C4" w:rsidP="002057C4">
      <w:pPr>
        <w:pStyle w:val="EFSABodytext"/>
        <w:spacing w:after="0"/>
        <w:rPr>
          <w:rFonts w:ascii="Courier New" w:hAnsi="Courier New" w:cs="Courier New"/>
        </w:rPr>
      </w:pPr>
      <w:proofErr w:type="spellStart"/>
      <w:r w:rsidRPr="00C55E17">
        <w:rPr>
          <w:rFonts w:ascii="Courier New" w:hAnsi="Courier New" w:cs="Courier New"/>
        </w:rPr>
        <w:t>Probit</w:t>
      </w:r>
      <w:proofErr w:type="spellEnd"/>
      <w:r w:rsidRPr="00C55E17">
        <w:rPr>
          <w:rFonts w:ascii="Courier New" w:hAnsi="Courier New" w:cs="Courier New"/>
        </w:rPr>
        <w:t xml:space="preserve">                   1.766660     1.746467</w:t>
      </w:r>
    </w:p>
    <w:p w14:paraId="58C1D130" w14:textId="77777777" w:rsidR="002057C4" w:rsidRPr="00C55E17" w:rsidRDefault="002057C4" w:rsidP="002057C4">
      <w:pPr>
        <w:pStyle w:val="EFSABodytext"/>
        <w:spacing w:after="0"/>
        <w:rPr>
          <w:rFonts w:ascii="Courier New" w:hAnsi="Courier New" w:cs="Courier New"/>
        </w:rPr>
      </w:pPr>
      <w:r w:rsidRPr="00C55E17">
        <w:rPr>
          <w:rFonts w:ascii="Courier New" w:hAnsi="Courier New" w:cs="Courier New"/>
        </w:rPr>
        <w:t>Logit                    1.805983     1.818089</w:t>
      </w:r>
    </w:p>
    <w:p w14:paraId="1E830C49" w14:textId="77777777" w:rsidR="002057C4" w:rsidRPr="00C870B2" w:rsidRDefault="002057C4" w:rsidP="002057C4">
      <w:pPr>
        <w:pStyle w:val="EFSABodytext"/>
      </w:pPr>
    </w:p>
    <w:p w14:paraId="247B0AF0" w14:textId="77777777" w:rsidR="002057C4" w:rsidRDefault="002057C4" w:rsidP="002057C4">
      <w:pPr>
        <w:pStyle w:val="EFSABodytext"/>
        <w:keepNext/>
        <w:jc w:val="center"/>
      </w:pPr>
      <w:r>
        <w:rPr>
          <w:noProof/>
          <w:color w:val="2B579A"/>
          <w:shd w:val="clear" w:color="auto" w:fill="E6E6E6"/>
        </w:rPr>
        <w:drawing>
          <wp:inline distT="0" distB="0" distL="0" distR="0" wp14:anchorId="002C5D4F" wp14:editId="4104508D">
            <wp:extent cx="5759449" cy="4130675"/>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44">
                      <a:extLst>
                        <a:ext uri="{28A0092B-C50C-407E-A947-70E740481C1C}">
                          <a14:useLocalDpi xmlns:a14="http://schemas.microsoft.com/office/drawing/2010/main" val="0"/>
                        </a:ext>
                      </a:extLst>
                    </a:blip>
                    <a:stretch>
                      <a:fillRect/>
                    </a:stretch>
                  </pic:blipFill>
                  <pic:spPr>
                    <a:xfrm>
                      <a:off x="0" y="0"/>
                      <a:ext cx="5759449" cy="4130675"/>
                    </a:xfrm>
                    <a:prstGeom prst="rect">
                      <a:avLst/>
                    </a:prstGeom>
                  </pic:spPr>
                </pic:pic>
              </a:graphicData>
            </a:graphic>
          </wp:inline>
        </w:drawing>
      </w:r>
    </w:p>
    <w:p w14:paraId="1F5F586E" w14:textId="6DC82682" w:rsidR="002057C4" w:rsidRPr="00C870B2" w:rsidRDefault="002057C4" w:rsidP="002057C4">
      <w:pPr>
        <w:pStyle w:val="Caption"/>
        <w:jc w:val="center"/>
      </w:pPr>
      <w:r>
        <w:t xml:space="preserve">Figure </w:t>
      </w:r>
      <w:r w:rsidR="00EC6727">
        <w:t>B.</w:t>
      </w:r>
      <w:fldSimple w:instr=" SEQ Figure \* ARABIC ">
        <w:r>
          <w:t>5</w:t>
        </w:r>
      </w:fldSimple>
    </w:p>
    <w:p w14:paraId="4E6884DB" w14:textId="4ECBDF74" w:rsidR="00416D31" w:rsidRDefault="00416D31" w:rsidP="00416D31">
      <w:pPr>
        <w:pStyle w:val="EFSABodytext"/>
        <w:rPr>
          <w:lang w:eastAsia="en-GB"/>
        </w:rPr>
      </w:pPr>
    </w:p>
    <w:p w14:paraId="27A5C357" w14:textId="04EC23AF" w:rsidR="0048142C" w:rsidRPr="008E5421" w:rsidRDefault="0048142C" w:rsidP="0048142C">
      <w:pPr>
        <w:pStyle w:val="EFSAHeading4"/>
        <w:rPr>
          <w:lang w:val="en-US"/>
        </w:rPr>
      </w:pPr>
      <w:r w:rsidRPr="008E5421">
        <w:rPr>
          <w:lang w:val="en-US"/>
        </w:rPr>
        <w:t>Non-linear models</w:t>
      </w:r>
    </w:p>
    <w:p w14:paraId="1D439FEC" w14:textId="6AA3C7FE" w:rsidR="0048142C" w:rsidRDefault="0048142C" w:rsidP="0048142C">
      <w:pPr>
        <w:pStyle w:val="EFSABodytext"/>
      </w:pPr>
      <w:r>
        <w:t xml:space="preserve">Nonlinear models need more attention during the implementation and estimation process, as compared to linear models. </w:t>
      </w:r>
      <w:proofErr w:type="gramStart"/>
      <w:r>
        <w:t>Nonlinear model components typically complicate identifiability,</w:t>
      </w:r>
      <w:proofErr w:type="gramEnd"/>
      <w:r>
        <w:t xml:space="preserve"> reduce precision of parameter estimation and lead to delayed convergence in iterative frequentist estimation procedures and Bayesian MCMC sampling. Estimates of nonlinear parameters may be highly correlated with each other, hindering simultaneous estimation of the parameters. It needs careful selection of starting values and it might be required to use particular constraints in the frequentist setting and (weakly) informative priors to stabilize the estimation process in a Bayesian application setting (see </w:t>
      </w:r>
      <w:proofErr w:type="gramStart"/>
      <w:r>
        <w:t>e.g.</w:t>
      </w:r>
      <w:proofErr w:type="gramEnd"/>
      <w:r>
        <w:t xml:space="preserve"> Chapter 10 in Congdon</w:t>
      </w:r>
      <w:r w:rsidR="00787A56">
        <w:t>,</w:t>
      </w:r>
      <w:r>
        <w:t xml:space="preserve"> 2006). </w:t>
      </w:r>
    </w:p>
    <w:p w14:paraId="465AE6DE" w14:textId="207DE1BF" w:rsidR="0048142C" w:rsidRPr="008E5421" w:rsidRDefault="0048142C" w:rsidP="0048142C">
      <w:pPr>
        <w:pStyle w:val="EFSABodytext"/>
        <w:rPr>
          <w:rFonts w:eastAsiaTheme="minorEastAsia"/>
        </w:rPr>
      </w:pPr>
      <w:r>
        <w:t xml:space="preserve">All 16 candidate models for the mean function </w:t>
      </w:r>
      <m:oMath>
        <m:r>
          <w:rPr>
            <w:rFonts w:ascii="Cambria Math" w:eastAsiaTheme="minorEastAsia" w:hAnsi="Cambria Math"/>
          </w:rPr>
          <m:t>μ</m:t>
        </m:r>
        <m:d>
          <m:dPr>
            <m:ctrlPr>
              <w:rPr>
                <w:rFonts w:ascii="Cambria Math" w:eastAsiaTheme="minorEastAsia" w:hAnsi="Cambria Math"/>
                <w:i/>
              </w:rPr>
            </m:ctrlPr>
          </m:dPr>
          <m:e>
            <m:r>
              <w:rPr>
                <w:rFonts w:ascii="Cambria Math" w:eastAsiaTheme="minorEastAsia" w:hAnsi="Cambria Math"/>
              </w:rPr>
              <m:t>x</m:t>
            </m:r>
          </m:e>
        </m:d>
      </m:oMath>
      <w:r>
        <w:rPr>
          <w:rFonts w:eastAsiaTheme="minorEastAsia"/>
        </w:rPr>
        <w:t xml:space="preserve"> in case of a continuous endpoint, and all 8 candidate models for the probability function </w:t>
      </w:r>
      <m:oMath>
        <m:r>
          <w:rPr>
            <w:rFonts w:ascii="Cambria Math" w:eastAsiaTheme="minorEastAsia" w:hAnsi="Cambria Math"/>
          </w:rPr>
          <m:t>π(x)</m:t>
        </m:r>
      </m:oMath>
      <w:r>
        <w:rPr>
          <w:rFonts w:eastAsiaTheme="minorEastAsia"/>
        </w:rPr>
        <w:t xml:space="preserve"> are non-linear models.</w:t>
      </w:r>
    </w:p>
    <w:p w14:paraId="7E484F3C" w14:textId="3714B8CB" w:rsidR="00416D31" w:rsidRDefault="00416D31" w:rsidP="00416D31">
      <w:pPr>
        <w:pStyle w:val="EFSABodytext"/>
        <w:rPr>
          <w:lang w:eastAsia="en-GB"/>
        </w:rPr>
      </w:pPr>
    </w:p>
    <w:p w14:paraId="03F828E4" w14:textId="2995AD8F" w:rsidR="0040421A" w:rsidRDefault="0040421A"/>
    <w:p w14:paraId="173CD6DB" w14:textId="140B5AF1" w:rsidR="00543DA7" w:rsidRDefault="00543DA7">
      <w:r>
        <w:br w:type="page"/>
      </w:r>
    </w:p>
    <w:p w14:paraId="5F4AAF11" w14:textId="0C3E6E6C" w:rsidR="00DD4243" w:rsidRPr="001651DA" w:rsidRDefault="00CF1F11" w:rsidP="00FA4D7F">
      <w:pPr>
        <w:pStyle w:val="EFSAAppendixtitle"/>
        <w:ind w:left="1701" w:hanging="1701"/>
      </w:pPr>
      <w:bookmarkStart w:id="87" w:name="_Ref94100866"/>
      <w:bookmarkStart w:id="88" w:name="_Ref94101211"/>
      <w:bookmarkStart w:id="89" w:name="_Ref94103049"/>
      <w:bookmarkStart w:id="90" w:name="_Ref94103517"/>
      <w:bookmarkStart w:id="91" w:name="_Toc94255353"/>
      <w:r w:rsidRPr="001651DA">
        <w:t>Data Examples</w:t>
      </w:r>
      <w:r w:rsidR="00DB0692">
        <w:t>: Continuous Endpoints</w:t>
      </w:r>
      <w:bookmarkEnd w:id="87"/>
      <w:bookmarkEnd w:id="88"/>
      <w:bookmarkEnd w:id="89"/>
      <w:bookmarkEnd w:id="90"/>
      <w:bookmarkEnd w:id="91"/>
    </w:p>
    <w:p w14:paraId="5CE6F6ED" w14:textId="77777777" w:rsidR="00802A58" w:rsidRDefault="00802A58" w:rsidP="00802A58">
      <w:pPr>
        <w:tabs>
          <w:tab w:val="left" w:pos="426"/>
        </w:tabs>
        <w:autoSpaceDE w:val="0"/>
        <w:autoSpaceDN w:val="0"/>
        <w:adjustRightInd w:val="0"/>
        <w:spacing w:after="0"/>
        <w:rPr>
          <w:rFonts w:ascii="Tahoma" w:hAnsi="Tahoma" w:cs="Arial"/>
          <w:sz w:val="16"/>
          <w:szCs w:val="18"/>
        </w:rPr>
      </w:pPr>
    </w:p>
    <w:p w14:paraId="72EB19AB" w14:textId="2DC96AAB" w:rsidR="007820AC" w:rsidRDefault="00DD3F2B" w:rsidP="005317EB">
      <w:pPr>
        <w:tabs>
          <w:tab w:val="left" w:pos="426"/>
        </w:tabs>
        <w:autoSpaceDE w:val="0"/>
        <w:autoSpaceDN w:val="0"/>
        <w:adjustRightInd w:val="0"/>
        <w:spacing w:after="0"/>
        <w:jc w:val="both"/>
        <w:rPr>
          <w:rFonts w:ascii="Tahoma" w:hAnsi="Tahoma" w:cs="Arial"/>
          <w:sz w:val="20"/>
          <w:szCs w:val="20"/>
        </w:rPr>
      </w:pPr>
      <w:r w:rsidRPr="00DD3F2B">
        <w:rPr>
          <w:rFonts w:ascii="Tahoma" w:hAnsi="Tahoma" w:cs="Arial"/>
          <w:sz w:val="20"/>
          <w:szCs w:val="20"/>
        </w:rPr>
        <w:t>The appendix contain</w:t>
      </w:r>
      <w:r>
        <w:rPr>
          <w:rFonts w:ascii="Tahoma" w:hAnsi="Tahoma" w:cs="Arial"/>
          <w:sz w:val="20"/>
          <w:szCs w:val="20"/>
        </w:rPr>
        <w:t>s</w:t>
      </w:r>
      <w:r w:rsidRPr="00DD3F2B">
        <w:rPr>
          <w:rFonts w:ascii="Tahoma" w:hAnsi="Tahoma" w:cs="Arial"/>
          <w:sz w:val="20"/>
          <w:szCs w:val="20"/>
        </w:rPr>
        <w:t xml:space="preserve"> </w:t>
      </w:r>
      <w:r>
        <w:rPr>
          <w:rFonts w:ascii="Tahoma" w:hAnsi="Tahoma" w:cs="Arial"/>
          <w:sz w:val="20"/>
          <w:szCs w:val="20"/>
        </w:rPr>
        <w:t xml:space="preserve">simulated examples based on the description </w:t>
      </w:r>
      <w:r w:rsidR="001578DE">
        <w:rPr>
          <w:rFonts w:ascii="Tahoma" w:hAnsi="Tahoma" w:cs="Arial"/>
          <w:sz w:val="20"/>
          <w:szCs w:val="20"/>
        </w:rPr>
        <w:t xml:space="preserve">in Section </w:t>
      </w:r>
      <w:r w:rsidR="001578DE">
        <w:rPr>
          <w:rFonts w:ascii="Tahoma" w:hAnsi="Tahoma" w:cs="Arial"/>
          <w:sz w:val="20"/>
          <w:szCs w:val="20"/>
        </w:rPr>
        <w:fldChar w:fldCharType="begin"/>
      </w:r>
      <w:r w:rsidR="001578DE">
        <w:rPr>
          <w:rFonts w:ascii="Tahoma" w:hAnsi="Tahoma" w:cs="Arial"/>
          <w:sz w:val="20"/>
          <w:szCs w:val="20"/>
        </w:rPr>
        <w:instrText xml:space="preserve"> REF _Ref94090639 \r \h </w:instrText>
      </w:r>
      <w:r w:rsidR="001578DE">
        <w:rPr>
          <w:rFonts w:ascii="Tahoma" w:hAnsi="Tahoma" w:cs="Arial"/>
          <w:sz w:val="20"/>
          <w:szCs w:val="20"/>
        </w:rPr>
      </w:r>
      <w:r w:rsidR="001578DE">
        <w:rPr>
          <w:rFonts w:ascii="Tahoma" w:hAnsi="Tahoma" w:cs="Arial"/>
          <w:sz w:val="20"/>
          <w:szCs w:val="20"/>
        </w:rPr>
        <w:fldChar w:fldCharType="separate"/>
      </w:r>
      <w:r w:rsidR="001578DE">
        <w:rPr>
          <w:rFonts w:ascii="Tahoma" w:hAnsi="Tahoma" w:cs="Arial"/>
          <w:sz w:val="20"/>
          <w:szCs w:val="20"/>
        </w:rPr>
        <w:t>2.6.3</w:t>
      </w:r>
      <w:r w:rsidR="001578DE">
        <w:rPr>
          <w:rFonts w:ascii="Tahoma" w:hAnsi="Tahoma" w:cs="Arial"/>
          <w:sz w:val="20"/>
          <w:szCs w:val="20"/>
        </w:rPr>
        <w:fldChar w:fldCharType="end"/>
      </w:r>
      <w:r w:rsidR="005317EB">
        <w:rPr>
          <w:rFonts w:ascii="Tahoma" w:hAnsi="Tahoma" w:cs="Arial"/>
          <w:sz w:val="20"/>
          <w:szCs w:val="20"/>
        </w:rPr>
        <w:t xml:space="preserve"> to produce the generic figures </w:t>
      </w:r>
      <w:r w:rsidR="0042426C">
        <w:rPr>
          <w:rFonts w:ascii="Tahoma" w:hAnsi="Tahoma" w:cs="Arial"/>
          <w:sz w:val="20"/>
          <w:szCs w:val="20"/>
        </w:rPr>
        <w:t>3.1</w:t>
      </w:r>
      <w:r w:rsidR="005317EB">
        <w:rPr>
          <w:rFonts w:ascii="Tahoma" w:hAnsi="Tahoma" w:cs="Arial"/>
          <w:sz w:val="20"/>
          <w:szCs w:val="20"/>
        </w:rPr>
        <w:t xml:space="preserve">, </w:t>
      </w:r>
      <w:r w:rsidR="0042426C">
        <w:rPr>
          <w:rFonts w:ascii="Tahoma" w:hAnsi="Tahoma" w:cs="Arial"/>
          <w:sz w:val="20"/>
          <w:szCs w:val="20"/>
        </w:rPr>
        <w:t xml:space="preserve">3.2 </w:t>
      </w:r>
      <w:r w:rsidR="005317EB">
        <w:rPr>
          <w:rFonts w:ascii="Tahoma" w:hAnsi="Tahoma" w:cs="Arial"/>
          <w:sz w:val="20"/>
          <w:szCs w:val="20"/>
        </w:rPr>
        <w:t xml:space="preserve">and </w:t>
      </w:r>
      <w:r w:rsidR="0042426C">
        <w:rPr>
          <w:rFonts w:ascii="Tahoma" w:hAnsi="Tahoma" w:cs="Arial"/>
          <w:sz w:val="20"/>
          <w:szCs w:val="20"/>
        </w:rPr>
        <w:t>3.3</w:t>
      </w:r>
      <w:r w:rsidR="005317EB">
        <w:rPr>
          <w:rFonts w:ascii="Tahoma" w:hAnsi="Tahoma" w:cs="Arial"/>
          <w:sz w:val="20"/>
          <w:szCs w:val="20"/>
        </w:rPr>
        <w:t xml:space="preserve"> as well as the example analysed in the previous update of the guidance.</w:t>
      </w:r>
    </w:p>
    <w:p w14:paraId="0DD41A87" w14:textId="1E1A52E7" w:rsidR="00DD3F2B" w:rsidRPr="00802A58" w:rsidRDefault="005317EB" w:rsidP="005317EB">
      <w:pPr>
        <w:tabs>
          <w:tab w:val="left" w:pos="426"/>
        </w:tabs>
        <w:autoSpaceDE w:val="0"/>
        <w:autoSpaceDN w:val="0"/>
        <w:adjustRightInd w:val="0"/>
        <w:spacing w:after="0"/>
        <w:jc w:val="both"/>
        <w:rPr>
          <w:rFonts w:ascii="Tahoma" w:hAnsi="Tahoma" w:cs="Arial"/>
          <w:sz w:val="20"/>
          <w:szCs w:val="20"/>
        </w:rPr>
      </w:pPr>
      <w:r>
        <w:rPr>
          <w:rFonts w:ascii="Tahoma" w:hAnsi="Tahoma" w:cs="Arial"/>
          <w:sz w:val="20"/>
          <w:szCs w:val="20"/>
        </w:rPr>
        <w:t xml:space="preserve"> </w:t>
      </w:r>
    </w:p>
    <w:p w14:paraId="239BDAF6" w14:textId="224A7226" w:rsidR="00802A58" w:rsidRPr="000D0828" w:rsidRDefault="00802A58" w:rsidP="00E056C4">
      <w:pPr>
        <w:pStyle w:val="EFSAHeading1nonumber"/>
      </w:pPr>
      <w:bookmarkStart w:id="92" w:name="_Toc94255354"/>
      <w:r w:rsidRPr="00802A58">
        <w:t xml:space="preserve">Example </w:t>
      </w:r>
      <w:r w:rsidR="005273AD" w:rsidRPr="000D0828">
        <w:t>g</w:t>
      </w:r>
      <w:r w:rsidR="007820AC" w:rsidRPr="000D0828">
        <w:t xml:space="preserve">enerated based on </w:t>
      </w:r>
      <w:r w:rsidR="0042426C">
        <w:t>F</w:t>
      </w:r>
      <w:r w:rsidR="0042426C" w:rsidRPr="000D0828">
        <w:t xml:space="preserve">igure </w:t>
      </w:r>
      <w:r w:rsidR="0042426C">
        <w:t>3.</w:t>
      </w:r>
      <w:r w:rsidR="0042426C" w:rsidRPr="000D0828">
        <w:t>1</w:t>
      </w:r>
      <w:bookmarkEnd w:id="92"/>
    </w:p>
    <w:p w14:paraId="2D2BC252" w14:textId="77777777" w:rsidR="00802A58" w:rsidRPr="00802A58" w:rsidRDefault="00802A58" w:rsidP="00802A58">
      <w:pPr>
        <w:keepNext/>
        <w:numPr>
          <w:ilvl w:val="3"/>
          <w:numId w:val="0"/>
        </w:numPr>
        <w:spacing w:before="240" w:after="120" w:line="240" w:lineRule="auto"/>
        <w:ind w:left="1021" w:hanging="1021"/>
        <w:outlineLvl w:val="3"/>
        <w:rPr>
          <w:rFonts w:ascii="Tahoma" w:hAnsi="Tahoma"/>
          <w:b/>
          <w:sz w:val="20"/>
          <w:szCs w:val="20"/>
        </w:rPr>
      </w:pPr>
      <w:r w:rsidRPr="00802A58">
        <w:rPr>
          <w:rFonts w:ascii="Tahoma" w:hAnsi="Tahoma"/>
          <w:b/>
          <w:sz w:val="20"/>
          <w:szCs w:val="20"/>
        </w:rPr>
        <w:t>The Data</w:t>
      </w:r>
    </w:p>
    <w:p w14:paraId="02CA8B0D" w14:textId="77777777" w:rsidR="00802A58" w:rsidRPr="00802A58" w:rsidRDefault="00802A58" w:rsidP="00802A58">
      <w:pPr>
        <w:spacing w:after="120" w:line="240" w:lineRule="auto"/>
        <w:jc w:val="both"/>
        <w:rPr>
          <w:rFonts w:ascii="Times New Roman" w:hAnsi="Times New Roman"/>
          <w:sz w:val="24"/>
          <w:szCs w:val="24"/>
          <w:lang w:val="en-US" w:eastAsia="en-GB"/>
        </w:rPr>
      </w:pPr>
      <w:r w:rsidRPr="00802A58">
        <w:rPr>
          <w:rFonts w:ascii="Tahoma" w:hAnsi="Tahoma"/>
          <w:sz w:val="20"/>
          <w:szCs w:val="20"/>
          <w:lang w:eastAsia="en-GB"/>
        </w:rPr>
        <w:t>Th</w:t>
      </w:r>
      <w:r w:rsidRPr="00802A58">
        <w:rPr>
          <w:rFonts w:ascii="Tahoma" w:hAnsi="Tahoma"/>
          <w:sz w:val="20"/>
          <w:szCs w:val="20"/>
          <w:lang w:val="en-US" w:eastAsia="en-GB"/>
        </w:rPr>
        <w:t>is</w:t>
      </w:r>
      <w:r w:rsidRPr="00802A58">
        <w:rPr>
          <w:rFonts w:ascii="Tahoma" w:hAnsi="Tahoma"/>
          <w:sz w:val="20"/>
          <w:szCs w:val="20"/>
          <w:lang w:eastAsia="en-GB"/>
        </w:rPr>
        <w:t xml:space="preserve"> example </w:t>
      </w:r>
      <w:r w:rsidRPr="00802A58">
        <w:rPr>
          <w:rFonts w:ascii="Tahoma" w:hAnsi="Tahoma"/>
          <w:sz w:val="20"/>
          <w:szCs w:val="20"/>
          <w:lang w:val="en-US" w:eastAsia="en-GB"/>
        </w:rPr>
        <w:t>concerns a simulated dataset, generated as a log-normal exponential models with parameters a=2.015, b=1.5, c=1.344 and d=1.8, with dose levels 0,0.5,1,2,</w:t>
      </w:r>
      <w:proofErr w:type="gramStart"/>
      <w:r w:rsidRPr="00802A58">
        <w:rPr>
          <w:rFonts w:ascii="Tahoma" w:hAnsi="Tahoma"/>
          <w:sz w:val="20"/>
          <w:szCs w:val="20"/>
          <w:lang w:val="en-US" w:eastAsia="en-GB"/>
        </w:rPr>
        <w:t>3</w:t>
      </w:r>
      <w:proofErr w:type="gramEnd"/>
      <w:r w:rsidRPr="00802A58">
        <w:rPr>
          <w:rFonts w:ascii="Tahoma" w:hAnsi="Tahoma"/>
          <w:sz w:val="20"/>
          <w:szCs w:val="20"/>
          <w:lang w:val="en-US" w:eastAsia="en-GB"/>
        </w:rPr>
        <w:t xml:space="preserve"> and a constant group size of 20.  With a BMR=0.10, the true BMD equals 0.2287.</w:t>
      </w:r>
    </w:p>
    <w:p w14:paraId="2F451B3C" w14:textId="77777777" w:rsidR="00802A58" w:rsidRPr="00802A58" w:rsidRDefault="00802A58" w:rsidP="00802A58">
      <w:pPr>
        <w:spacing w:after="120" w:line="240" w:lineRule="auto"/>
        <w:jc w:val="center"/>
        <w:rPr>
          <w:rFonts w:ascii="Tahoma" w:hAnsi="Tahoma"/>
          <w:sz w:val="20"/>
          <w:szCs w:val="20"/>
        </w:rPr>
      </w:pPr>
      <w:r w:rsidRPr="00802A58">
        <w:rPr>
          <w:rFonts w:ascii="Tahoma" w:hAnsi="Tahoma"/>
          <w:noProof/>
          <w:sz w:val="20"/>
          <w:szCs w:val="20"/>
        </w:rPr>
        <w:drawing>
          <wp:inline distT="0" distB="0" distL="0" distR="0" wp14:anchorId="2C9F75C4" wp14:editId="7C75A462">
            <wp:extent cx="2700866" cy="1499300"/>
            <wp:effectExtent l="0" t="0" r="444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713462" cy="1506292"/>
                    </a:xfrm>
                    <a:prstGeom prst="rect">
                      <a:avLst/>
                    </a:prstGeom>
                  </pic:spPr>
                </pic:pic>
              </a:graphicData>
            </a:graphic>
          </wp:inline>
        </w:drawing>
      </w:r>
    </w:p>
    <w:p w14:paraId="09329868" w14:textId="77777777" w:rsidR="00802A58" w:rsidRPr="00802A58" w:rsidRDefault="00802A58" w:rsidP="00330689">
      <w:pPr>
        <w:spacing w:after="120" w:line="240" w:lineRule="auto"/>
        <w:jc w:val="both"/>
        <w:rPr>
          <w:rFonts w:ascii="Tahoma" w:hAnsi="Tahoma"/>
          <w:b/>
          <w:bCs/>
          <w:sz w:val="20"/>
          <w:szCs w:val="20"/>
        </w:rPr>
      </w:pPr>
      <w:r w:rsidRPr="00802A58">
        <w:rPr>
          <w:rFonts w:ascii="Tahoma" w:hAnsi="Tahoma"/>
          <w:sz w:val="20"/>
          <w:szCs w:val="20"/>
        </w:rPr>
        <w:t>The Bartlett test did reject the assumption of constant variance (normal distribution) with a p-value of 0.00; and did not the assumption of constant coefficient of variation (lognormal distribution), with p-values 0.46. These findings are to be expected as the data are generated according to the log-normal distribution.</w:t>
      </w:r>
    </w:p>
    <w:p w14:paraId="750D7C75" w14:textId="77777777" w:rsidR="00802A58" w:rsidRPr="00802A58" w:rsidRDefault="00802A58" w:rsidP="00802A58">
      <w:pPr>
        <w:keepNext/>
        <w:numPr>
          <w:ilvl w:val="3"/>
          <w:numId w:val="0"/>
        </w:numPr>
        <w:spacing w:before="240" w:after="120" w:line="240" w:lineRule="auto"/>
        <w:ind w:left="1021" w:hanging="1021"/>
        <w:outlineLvl w:val="3"/>
        <w:rPr>
          <w:rFonts w:ascii="Tahoma" w:hAnsi="Tahoma"/>
          <w:b/>
          <w:sz w:val="20"/>
          <w:szCs w:val="20"/>
        </w:rPr>
      </w:pPr>
      <w:r w:rsidRPr="00802A58">
        <w:rPr>
          <w:rFonts w:ascii="Tahoma" w:hAnsi="Tahoma"/>
          <w:b/>
          <w:sz w:val="20"/>
          <w:szCs w:val="20"/>
        </w:rPr>
        <w:t>Results</w:t>
      </w:r>
    </w:p>
    <w:p w14:paraId="5E804AD7" w14:textId="77777777" w:rsidR="00802A58" w:rsidRPr="00802A58" w:rsidRDefault="00802A58" w:rsidP="00802A58">
      <w:pPr>
        <w:spacing w:before="100" w:beforeAutospacing="1" w:after="100" w:afterAutospacing="1" w:line="240" w:lineRule="auto"/>
        <w:jc w:val="both"/>
        <w:rPr>
          <w:rFonts w:ascii="Tahoma" w:eastAsia="Times New Roman" w:hAnsi="Tahoma" w:cs="Tahoma"/>
          <w:sz w:val="20"/>
          <w:szCs w:val="20"/>
          <w:lang w:val="en-US" w:eastAsia="en-GB"/>
        </w:rPr>
      </w:pPr>
      <w:r w:rsidRPr="00802A58">
        <w:rPr>
          <w:rFonts w:ascii="Tahoma" w:eastAsia="Times New Roman" w:hAnsi="Tahoma" w:cs="Tahoma"/>
          <w:b/>
          <w:bCs/>
          <w:sz w:val="20"/>
          <w:szCs w:val="20"/>
          <w:lang w:val="en-US" w:eastAsia="en-GB"/>
        </w:rPr>
        <w:t xml:space="preserve">PROAST. </w:t>
      </w:r>
      <w:r w:rsidRPr="00802A58">
        <w:rPr>
          <w:rFonts w:ascii="Tahoma" w:eastAsia="Times New Roman" w:hAnsi="Tahoma" w:cs="Tahoma"/>
          <w:sz w:val="20"/>
          <w:szCs w:val="20"/>
          <w:lang w:eastAsia="en-GB"/>
        </w:rPr>
        <w:t xml:space="preserve">The EFSA BMD WEB app produce the following results of BMD modelling, using the exponential, inverse exponential, </w:t>
      </w:r>
      <w:proofErr w:type="gramStart"/>
      <w:r w:rsidRPr="00802A58">
        <w:rPr>
          <w:rFonts w:ascii="Tahoma" w:eastAsia="Times New Roman" w:hAnsi="Tahoma" w:cs="Tahoma"/>
          <w:sz w:val="20"/>
          <w:szCs w:val="20"/>
          <w:lang w:eastAsia="en-GB"/>
        </w:rPr>
        <w:t>Hill</w:t>
      </w:r>
      <w:proofErr w:type="gramEnd"/>
      <w:r w:rsidRPr="00802A58">
        <w:rPr>
          <w:rFonts w:ascii="Tahoma" w:eastAsia="Times New Roman" w:hAnsi="Tahoma" w:cs="Tahoma"/>
          <w:sz w:val="20"/>
          <w:szCs w:val="20"/>
          <w:lang w:eastAsia="en-GB"/>
        </w:rPr>
        <w:t xml:space="preserve"> and lognormal model, considering model averaging based on 1000 bootstraps, by means of PROAST 70.0.  </w:t>
      </w:r>
      <w:r w:rsidRPr="00802A58">
        <w:rPr>
          <w:rFonts w:ascii="Tahoma" w:eastAsia="Times New Roman" w:hAnsi="Tahoma" w:cs="Tahoma"/>
          <w:sz w:val="20"/>
          <w:szCs w:val="20"/>
          <w:lang w:val="en-US" w:eastAsia="en-GB"/>
        </w:rPr>
        <w:t>T</w:t>
      </w:r>
      <w:r w:rsidRPr="00802A58">
        <w:rPr>
          <w:rFonts w:ascii="Tahoma" w:eastAsia="Times New Roman" w:hAnsi="Tahoma" w:cs="Tahoma"/>
          <w:sz w:val="20"/>
          <w:szCs w:val="20"/>
          <w:lang w:eastAsia="en-GB"/>
        </w:rPr>
        <w:t xml:space="preserve">he BMR was selected at 10 %. </w:t>
      </w:r>
      <w:r w:rsidRPr="00802A58">
        <w:rPr>
          <w:rFonts w:ascii="Tahoma" w:eastAsia="Times New Roman" w:hAnsi="Tahoma" w:cs="Tahoma"/>
          <w:sz w:val="20"/>
          <w:szCs w:val="20"/>
          <w:lang w:val="en-US" w:eastAsia="en-GB"/>
        </w:rPr>
        <w:t xml:space="preserve">For the exponential model the BMD was estimated as 0.184 with BMDL=0.149 and BMDU=0.220; for the inverse exponential model the BMD estimate was 0.103 with BMDL=0.085 and BMDU=0.121; for the Hill model the BMD estimate was 0.241 with BMDL=0.203 and BMDU=0.277 and for the lognormal model the BMD estimate was 0.171 with BMDL=0.156 and BMDU=0.185. The model averaging results produced BMDL=0.172 and BMDU=0.253. The ratio </w:t>
      </w:r>
      <m:oMath>
        <m:f>
          <m:fPr>
            <m:ctrlPr>
              <w:rPr>
                <w:rFonts w:ascii="Cambria Math" w:eastAsia="Times New Roman" w:hAnsi="Cambria Math" w:cs="Tahoma"/>
                <w:i/>
                <w:sz w:val="20"/>
                <w:szCs w:val="20"/>
                <w:lang w:val="en-US" w:eastAsia="en-GB"/>
              </w:rPr>
            </m:ctrlPr>
          </m:fPr>
          <m:num>
            <m:r>
              <w:rPr>
                <w:rFonts w:ascii="Cambria Math" w:eastAsia="Times New Roman" w:hAnsi="Cambria Math" w:cs="Tahoma"/>
                <w:sz w:val="20"/>
                <w:szCs w:val="20"/>
                <w:lang w:val="en-US" w:eastAsia="en-GB"/>
              </w:rPr>
              <m:t>BMDU</m:t>
            </m:r>
          </m:num>
          <m:den>
            <m:r>
              <w:rPr>
                <w:rFonts w:ascii="Cambria Math" w:eastAsia="Times New Roman" w:hAnsi="Cambria Math" w:cs="Tahoma"/>
                <w:sz w:val="20"/>
                <w:szCs w:val="20"/>
                <w:lang w:val="en-US" w:eastAsia="en-GB"/>
              </w:rPr>
              <m:t>BMDL</m:t>
            </m:r>
          </m:den>
        </m:f>
        <m:r>
          <w:rPr>
            <w:rFonts w:ascii="Cambria Math" w:eastAsia="Times New Roman" w:hAnsi="Cambria Math" w:cs="Tahoma"/>
            <w:sz w:val="20"/>
            <w:szCs w:val="20"/>
            <w:lang w:val="en-US" w:eastAsia="en-GB"/>
          </w:rPr>
          <m:t>=1.47</m:t>
        </m:r>
      </m:oMath>
      <w:r w:rsidRPr="00802A58">
        <w:rPr>
          <w:rFonts w:ascii="Tahoma" w:eastAsia="Times New Roman" w:hAnsi="Tahoma" w:cs="Tahoma"/>
          <w:sz w:val="20"/>
          <w:szCs w:val="20"/>
          <w:lang w:val="en-US" w:eastAsia="en-GB"/>
        </w:rPr>
        <w:t>, indicating the precision of the estimation of the BMD.</w:t>
      </w:r>
    </w:p>
    <w:p w14:paraId="7AC404A6" w14:textId="7BEBFC38" w:rsidR="00802A58" w:rsidRPr="00802A58" w:rsidRDefault="00802A58" w:rsidP="00802A58">
      <w:pPr>
        <w:spacing w:after="120" w:line="240" w:lineRule="auto"/>
        <w:jc w:val="both"/>
        <w:rPr>
          <w:rFonts w:ascii="Tahoma" w:hAnsi="Tahoma"/>
          <w:b/>
          <w:bCs/>
          <w:sz w:val="20"/>
          <w:szCs w:val="20"/>
        </w:rPr>
      </w:pPr>
      <w:r w:rsidRPr="00802A58">
        <w:rPr>
          <w:rFonts w:ascii="Tahoma" w:hAnsi="Tahoma"/>
          <w:b/>
          <w:bCs/>
          <w:sz w:val="20"/>
          <w:szCs w:val="20"/>
        </w:rPr>
        <w:t xml:space="preserve">Using Laplace approximation. </w:t>
      </w:r>
      <w:r w:rsidRPr="00802A58">
        <w:rPr>
          <w:rFonts w:ascii="Tahoma" w:hAnsi="Tahoma"/>
          <w:sz w:val="20"/>
          <w:szCs w:val="20"/>
        </w:rPr>
        <w:t>The model specific results (</w:t>
      </w:r>
      <w:proofErr w:type="spellStart"/>
      <w:proofErr w:type="gramStart"/>
      <w:r w:rsidRPr="00802A58">
        <w:rPr>
          <w:rFonts w:ascii="Tahoma" w:hAnsi="Tahoma"/>
          <w:sz w:val="20"/>
          <w:szCs w:val="20"/>
        </w:rPr>
        <w:t>BML,BMD</w:t>
      </w:r>
      <w:proofErr w:type="gramEnd"/>
      <w:r w:rsidRPr="00802A58">
        <w:rPr>
          <w:rFonts w:ascii="Tahoma" w:hAnsi="Tahoma"/>
          <w:sz w:val="20"/>
          <w:szCs w:val="20"/>
        </w:rPr>
        <w:t>,BMDU,weight</w:t>
      </w:r>
      <w:proofErr w:type="spellEnd"/>
      <w:r w:rsidRPr="00802A58">
        <w:rPr>
          <w:rFonts w:ascii="Tahoma" w:hAnsi="Tahoma"/>
          <w:sz w:val="20"/>
          <w:szCs w:val="20"/>
        </w:rPr>
        <w:t xml:space="preserve">) are given in Table </w:t>
      </w:r>
      <w:r w:rsidR="00A7623F">
        <w:rPr>
          <w:rFonts w:ascii="Tahoma" w:hAnsi="Tahoma"/>
          <w:sz w:val="20"/>
          <w:szCs w:val="20"/>
        </w:rPr>
        <w:t>C1</w:t>
      </w:r>
      <w:r w:rsidRPr="00802A58">
        <w:rPr>
          <w:rFonts w:ascii="Tahoma" w:hAnsi="Tahoma"/>
          <w:sz w:val="20"/>
          <w:szCs w:val="20"/>
        </w:rPr>
        <w:t>.</w:t>
      </w:r>
      <w:r w:rsidRPr="00802A58">
        <w:rPr>
          <w:rFonts w:ascii="Tahoma" w:hAnsi="Tahoma"/>
          <w:b/>
          <w:bCs/>
          <w:sz w:val="20"/>
          <w:szCs w:val="20"/>
        </w:rPr>
        <w:t xml:space="preserve"> </w:t>
      </w:r>
      <w:r w:rsidRPr="00802A58">
        <w:rPr>
          <w:rFonts w:ascii="Tahoma" w:hAnsi="Tahoma"/>
          <w:sz w:val="20"/>
          <w:szCs w:val="20"/>
        </w:rPr>
        <w:t xml:space="preserve">This table shows that </w:t>
      </w:r>
      <w:proofErr w:type="spellStart"/>
      <w:r w:rsidRPr="00802A58">
        <w:rPr>
          <w:rFonts w:ascii="Tahoma" w:hAnsi="Tahoma"/>
          <w:sz w:val="20"/>
          <w:szCs w:val="20"/>
        </w:rPr>
        <w:t>i</w:t>
      </w:r>
      <w:proofErr w:type="spellEnd"/>
      <w:r w:rsidRPr="00802A58">
        <w:rPr>
          <w:rFonts w:ascii="Tahoma" w:hAnsi="Tahoma"/>
          <w:sz w:val="20"/>
          <w:szCs w:val="20"/>
        </w:rPr>
        <w:t>) the model specific BMDL’s vary from 0.11 to 0.29</w:t>
      </w:r>
      <w:proofErr w:type="gramStart"/>
      <w:r w:rsidRPr="00802A58">
        <w:rPr>
          <w:rFonts w:ascii="Tahoma" w:hAnsi="Tahoma"/>
          <w:sz w:val="20"/>
          <w:szCs w:val="20"/>
        </w:rPr>
        <w:t>,  ii</w:t>
      </w:r>
      <w:proofErr w:type="gramEnd"/>
      <w:r w:rsidRPr="00802A58">
        <w:rPr>
          <w:rFonts w:ascii="Tahoma" w:hAnsi="Tahoma"/>
          <w:sz w:val="20"/>
          <w:szCs w:val="20"/>
        </w:rPr>
        <w:t xml:space="preserve">) all normal models get weight 0.0000 (as to be expected), iii) the weights for the log-normal models vary from 0.10 to 0.17, with the highest weight 0.17 for the gamma model, and weight 0.11 for the true exponential model, and iv) the model-specific CI’s do differ substantially; some of them are even not overlapping.  </w:t>
      </w:r>
    </w:p>
    <w:p w14:paraId="4CF35FBF" w14:textId="16D2EB3C" w:rsidR="00802A58" w:rsidRPr="00802A58" w:rsidRDefault="00802A58" w:rsidP="00802A58">
      <w:pPr>
        <w:spacing w:after="120" w:line="240" w:lineRule="auto"/>
        <w:jc w:val="both"/>
        <w:rPr>
          <w:rFonts w:ascii="Tahoma" w:hAnsi="Tahoma"/>
          <w:b/>
          <w:bCs/>
          <w:sz w:val="20"/>
          <w:szCs w:val="20"/>
        </w:rPr>
      </w:pPr>
      <w:r w:rsidRPr="00802A58">
        <w:rPr>
          <w:rFonts w:ascii="Tahoma" w:hAnsi="Tahoma"/>
          <w:sz w:val="20"/>
          <w:szCs w:val="20"/>
        </w:rPr>
        <w:t xml:space="preserve">More information for the log-normal gamma model is depicted in Figure </w:t>
      </w:r>
      <w:r w:rsidR="00E85C1B">
        <w:rPr>
          <w:rFonts w:ascii="Tahoma" w:hAnsi="Tahoma"/>
          <w:sz w:val="20"/>
          <w:szCs w:val="20"/>
        </w:rPr>
        <w:t>C1</w:t>
      </w:r>
      <w:r w:rsidRPr="00802A58">
        <w:rPr>
          <w:rFonts w:ascii="Tahoma" w:hAnsi="Tahoma"/>
          <w:sz w:val="20"/>
          <w:szCs w:val="20"/>
        </w:rPr>
        <w:t xml:space="preserve">, with, for the background and minimum median response, and the BMD, the flat uninformative PERT prior distributions (in blue) and the final posterior distributions (in orange).  The fourth parameter </w:t>
      </w:r>
      <w:r w:rsidRPr="00802A58">
        <w:rPr>
          <w:rFonts w:ascii="Tahoma" w:hAnsi="Tahoma"/>
          <w:i/>
          <w:iCs/>
          <w:sz w:val="20"/>
          <w:szCs w:val="20"/>
        </w:rPr>
        <w:t xml:space="preserve">d </w:t>
      </w:r>
      <w:r w:rsidRPr="00802A58">
        <w:rPr>
          <w:rFonts w:ascii="Tahoma" w:hAnsi="Tahoma"/>
          <w:sz w:val="20"/>
          <w:szCs w:val="20"/>
        </w:rPr>
        <w:t xml:space="preserve">(left lower panel) gets a log-normal prior distribution (in blue), which is moderately informative with median at 1, </w:t>
      </w:r>
      <w:proofErr w:type="gramStart"/>
      <w:r w:rsidRPr="00802A58">
        <w:rPr>
          <w:rFonts w:ascii="Tahoma" w:hAnsi="Tahoma"/>
          <w:sz w:val="20"/>
          <w:szCs w:val="20"/>
        </w:rPr>
        <w:t>in order to</w:t>
      </w:r>
      <w:proofErr w:type="gramEnd"/>
      <w:r w:rsidRPr="00802A58">
        <w:rPr>
          <w:rFonts w:ascii="Tahoma" w:hAnsi="Tahoma"/>
          <w:sz w:val="20"/>
          <w:szCs w:val="20"/>
        </w:rPr>
        <w:t xml:space="preserve"> stabilize the fitting computationally. Similar plots can be made for all other 15 models.</w:t>
      </w:r>
    </w:p>
    <w:p w14:paraId="2FACFD93" w14:textId="77777777" w:rsidR="00802A58" w:rsidRPr="00802A58" w:rsidRDefault="00802A58" w:rsidP="00802A58">
      <w:pPr>
        <w:spacing w:after="0" w:line="240" w:lineRule="auto"/>
        <w:rPr>
          <w:rFonts w:ascii="Tahoma" w:hAnsi="Tahoma"/>
          <w:bCs/>
          <w:sz w:val="18"/>
          <w:szCs w:val="20"/>
        </w:rPr>
      </w:pPr>
    </w:p>
    <w:p w14:paraId="1A88CC6B" w14:textId="77777777" w:rsidR="00802A58" w:rsidRPr="00802A58" w:rsidRDefault="00802A58" w:rsidP="00802A58">
      <w:pPr>
        <w:spacing w:after="0" w:line="240" w:lineRule="auto"/>
        <w:rPr>
          <w:rFonts w:ascii="Tahoma" w:hAnsi="Tahoma"/>
          <w:bCs/>
          <w:sz w:val="18"/>
          <w:szCs w:val="20"/>
        </w:rPr>
      </w:pPr>
    </w:p>
    <w:p w14:paraId="0D16DA73" w14:textId="77777777" w:rsidR="00802A58" w:rsidRPr="00802A58" w:rsidRDefault="00802A58" w:rsidP="00802A58">
      <w:pPr>
        <w:spacing w:after="0" w:line="240" w:lineRule="auto"/>
        <w:rPr>
          <w:rFonts w:ascii="Tahoma" w:hAnsi="Tahoma"/>
          <w:bCs/>
          <w:sz w:val="18"/>
          <w:szCs w:val="20"/>
        </w:rPr>
      </w:pPr>
    </w:p>
    <w:p w14:paraId="40C71C62" w14:textId="77777777" w:rsidR="00802A58" w:rsidRPr="00802A58" w:rsidRDefault="00802A58" w:rsidP="00802A58">
      <w:pPr>
        <w:spacing w:after="0" w:line="240" w:lineRule="auto"/>
        <w:rPr>
          <w:rFonts w:ascii="Tahoma" w:hAnsi="Tahoma"/>
          <w:bCs/>
          <w:sz w:val="18"/>
          <w:szCs w:val="20"/>
        </w:rPr>
      </w:pPr>
    </w:p>
    <w:p w14:paraId="3198B4B1" w14:textId="77777777" w:rsidR="00802A58" w:rsidRPr="00802A58" w:rsidRDefault="00802A58" w:rsidP="00802A58">
      <w:pPr>
        <w:spacing w:after="0" w:line="240" w:lineRule="auto"/>
        <w:rPr>
          <w:rFonts w:ascii="Tahoma" w:hAnsi="Tahoma"/>
          <w:bCs/>
          <w:sz w:val="18"/>
          <w:szCs w:val="20"/>
        </w:rPr>
      </w:pPr>
    </w:p>
    <w:p w14:paraId="4A58C304" w14:textId="77777777" w:rsidR="00802A58" w:rsidRPr="00802A58" w:rsidRDefault="00802A58" w:rsidP="00802A58">
      <w:pPr>
        <w:spacing w:after="0" w:line="240" w:lineRule="auto"/>
        <w:rPr>
          <w:rFonts w:ascii="Tahoma" w:hAnsi="Tahoma"/>
          <w:bCs/>
          <w:sz w:val="18"/>
          <w:szCs w:val="20"/>
        </w:rPr>
      </w:pPr>
    </w:p>
    <w:p w14:paraId="4A3E4CB1" w14:textId="77777777" w:rsidR="00802A58" w:rsidRPr="00802A58" w:rsidRDefault="00802A58" w:rsidP="00802A58">
      <w:pPr>
        <w:spacing w:after="0" w:line="240" w:lineRule="auto"/>
        <w:rPr>
          <w:rFonts w:ascii="Tahoma" w:hAnsi="Tahoma"/>
          <w:bCs/>
          <w:sz w:val="18"/>
          <w:szCs w:val="20"/>
        </w:rPr>
      </w:pPr>
    </w:p>
    <w:p w14:paraId="5310ECC7" w14:textId="77777777" w:rsidR="00802A58" w:rsidRPr="00802A58" w:rsidRDefault="00802A58" w:rsidP="00802A58">
      <w:pPr>
        <w:spacing w:after="0" w:line="240" w:lineRule="auto"/>
        <w:rPr>
          <w:rFonts w:ascii="Tahoma" w:hAnsi="Tahoma"/>
          <w:bCs/>
          <w:sz w:val="18"/>
          <w:szCs w:val="20"/>
        </w:rPr>
      </w:pPr>
    </w:p>
    <w:p w14:paraId="4B587D43" w14:textId="77777777" w:rsidR="00802A58" w:rsidRPr="00802A58" w:rsidRDefault="00802A58" w:rsidP="00802A58">
      <w:pPr>
        <w:spacing w:after="0" w:line="240" w:lineRule="auto"/>
        <w:rPr>
          <w:rFonts w:ascii="Tahoma" w:hAnsi="Tahoma"/>
          <w:bCs/>
          <w:sz w:val="18"/>
          <w:szCs w:val="20"/>
        </w:rPr>
      </w:pPr>
    </w:p>
    <w:p w14:paraId="1CCA4D8E" w14:textId="158CE7CC" w:rsidR="00802A58" w:rsidRDefault="00802A58" w:rsidP="009268B3">
      <w:pPr>
        <w:spacing w:after="0" w:line="240" w:lineRule="auto"/>
        <w:ind w:left="851" w:hanging="851"/>
        <w:rPr>
          <w:rFonts w:ascii="Tahoma" w:hAnsi="Tahoma"/>
          <w:bCs/>
          <w:sz w:val="18"/>
          <w:szCs w:val="20"/>
        </w:rPr>
      </w:pPr>
      <w:r w:rsidRPr="00802A58">
        <w:rPr>
          <w:rFonts w:ascii="Tahoma" w:hAnsi="Tahoma"/>
          <w:bCs/>
          <w:sz w:val="18"/>
          <w:szCs w:val="20"/>
        </w:rPr>
        <w:t xml:space="preserve">Table </w:t>
      </w:r>
      <w:r w:rsidR="00963CD2">
        <w:rPr>
          <w:rFonts w:ascii="Tahoma" w:hAnsi="Tahoma"/>
          <w:bCs/>
          <w:sz w:val="18"/>
          <w:szCs w:val="20"/>
        </w:rPr>
        <w:t>C1</w:t>
      </w:r>
      <w:r w:rsidRPr="00802A58">
        <w:rPr>
          <w:rFonts w:ascii="Tahoma" w:hAnsi="Tahoma"/>
          <w:bCs/>
          <w:sz w:val="18"/>
          <w:szCs w:val="20"/>
        </w:rPr>
        <w:t xml:space="preserve">. </w:t>
      </w:r>
      <w:r w:rsidR="009268B3">
        <w:rPr>
          <w:rFonts w:ascii="Tahoma" w:hAnsi="Tahoma"/>
          <w:bCs/>
          <w:sz w:val="18"/>
          <w:szCs w:val="20"/>
        </w:rPr>
        <w:tab/>
      </w:r>
      <w:r w:rsidRPr="00802A58">
        <w:rPr>
          <w:rFonts w:ascii="Tahoma" w:hAnsi="Tahoma"/>
          <w:bCs/>
          <w:sz w:val="18"/>
          <w:szCs w:val="20"/>
        </w:rPr>
        <w:t xml:space="preserve">The </w:t>
      </w:r>
      <w:r w:rsidR="004A2F1E">
        <w:rPr>
          <w:rFonts w:ascii="Tahoma" w:hAnsi="Tahoma"/>
          <w:bCs/>
          <w:sz w:val="18"/>
          <w:szCs w:val="20"/>
        </w:rPr>
        <w:t>3.</w:t>
      </w:r>
      <w:r w:rsidR="004A2F1E" w:rsidRPr="00802A58">
        <w:rPr>
          <w:rFonts w:ascii="Tahoma" w:hAnsi="Tahoma"/>
          <w:bCs/>
          <w:sz w:val="18"/>
          <w:szCs w:val="20"/>
        </w:rPr>
        <w:t>1</w:t>
      </w:r>
      <w:r w:rsidR="004A2F1E" w:rsidRPr="00802A58">
        <w:rPr>
          <w:rFonts w:ascii="Tahoma" w:hAnsi="Tahoma"/>
          <w:b/>
          <w:sz w:val="18"/>
          <w:szCs w:val="20"/>
        </w:rPr>
        <w:t xml:space="preserve"> </w:t>
      </w:r>
      <w:r w:rsidRPr="00802A58">
        <w:rPr>
          <w:rFonts w:ascii="Tahoma" w:hAnsi="Tahoma"/>
          <w:bCs/>
          <w:sz w:val="18"/>
          <w:szCs w:val="20"/>
        </w:rPr>
        <w:t>Example. Model specific values for BMDL, BMD, and BMDU; and the posterior weights of each model (used for constructing the model average).</w:t>
      </w:r>
    </w:p>
    <w:p w14:paraId="3B654CF0" w14:textId="77777777" w:rsidR="009268B3" w:rsidRPr="00802A58" w:rsidRDefault="009268B3" w:rsidP="00802A58">
      <w:pPr>
        <w:spacing w:after="0" w:line="240" w:lineRule="auto"/>
        <w:rPr>
          <w:rFonts w:ascii="Tahoma" w:hAnsi="Tahoma"/>
          <w:bCs/>
          <w:sz w:val="18"/>
          <w:szCs w:val="20"/>
        </w:rPr>
      </w:pPr>
    </w:p>
    <w:p w14:paraId="180E0EBD" w14:textId="77777777" w:rsidR="00802A58" w:rsidRPr="00802A58" w:rsidRDefault="00802A58" w:rsidP="00802A58">
      <w:pPr>
        <w:spacing w:after="0" w:line="240" w:lineRule="auto"/>
        <w:jc w:val="center"/>
        <w:rPr>
          <w:rFonts w:ascii="Tahoma" w:hAnsi="Tahoma"/>
          <w:bCs/>
          <w:sz w:val="18"/>
          <w:szCs w:val="20"/>
        </w:rPr>
      </w:pPr>
      <w:r w:rsidRPr="00802A58">
        <w:rPr>
          <w:rFonts w:ascii="Tahoma" w:hAnsi="Tahoma"/>
          <w:bCs/>
          <w:noProof/>
          <w:sz w:val="18"/>
          <w:szCs w:val="20"/>
        </w:rPr>
        <w:drawing>
          <wp:inline distT="0" distB="0" distL="0" distR="0" wp14:anchorId="48304F0B" wp14:editId="00553430">
            <wp:extent cx="3090333" cy="2468518"/>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101123" cy="2477137"/>
                    </a:xfrm>
                    <a:prstGeom prst="rect">
                      <a:avLst/>
                    </a:prstGeom>
                  </pic:spPr>
                </pic:pic>
              </a:graphicData>
            </a:graphic>
          </wp:inline>
        </w:drawing>
      </w:r>
    </w:p>
    <w:p w14:paraId="6E582D71" w14:textId="77777777" w:rsidR="00802A58" w:rsidRPr="00802A58" w:rsidRDefault="00802A58" w:rsidP="00802A58">
      <w:pPr>
        <w:spacing w:after="0" w:line="240" w:lineRule="auto"/>
        <w:jc w:val="center"/>
        <w:rPr>
          <w:rFonts w:ascii="Tahoma" w:hAnsi="Tahoma"/>
          <w:bCs/>
          <w:sz w:val="18"/>
          <w:szCs w:val="20"/>
        </w:rPr>
      </w:pPr>
    </w:p>
    <w:p w14:paraId="22995EFF" w14:textId="77777777" w:rsidR="00802A58" w:rsidRPr="00802A58" w:rsidRDefault="00802A58" w:rsidP="00802A58">
      <w:pPr>
        <w:spacing w:after="120" w:line="240" w:lineRule="auto"/>
        <w:jc w:val="center"/>
        <w:rPr>
          <w:rFonts w:ascii="Tahoma" w:hAnsi="Tahoma"/>
          <w:sz w:val="20"/>
          <w:szCs w:val="20"/>
        </w:rPr>
      </w:pPr>
      <w:r w:rsidRPr="00802A58">
        <w:rPr>
          <w:rFonts w:ascii="Tahoma" w:hAnsi="Tahoma"/>
          <w:noProof/>
          <w:sz w:val="20"/>
          <w:szCs w:val="20"/>
        </w:rPr>
        <w:drawing>
          <wp:inline distT="0" distB="0" distL="0" distR="0" wp14:anchorId="5FBFCB16" wp14:editId="5BDEE6EE">
            <wp:extent cx="5759450" cy="3465195"/>
            <wp:effectExtent l="0" t="0" r="6350" b="19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59450" cy="3465195"/>
                    </a:xfrm>
                    <a:prstGeom prst="rect">
                      <a:avLst/>
                    </a:prstGeom>
                  </pic:spPr>
                </pic:pic>
              </a:graphicData>
            </a:graphic>
          </wp:inline>
        </w:drawing>
      </w:r>
    </w:p>
    <w:p w14:paraId="70DE1C66" w14:textId="34DF6EB0" w:rsidR="00802A58" w:rsidRPr="00802A58" w:rsidRDefault="00802A58" w:rsidP="00026CAF">
      <w:pPr>
        <w:tabs>
          <w:tab w:val="left" w:pos="426"/>
        </w:tabs>
        <w:autoSpaceDE w:val="0"/>
        <w:autoSpaceDN w:val="0"/>
        <w:adjustRightInd w:val="0"/>
        <w:spacing w:after="0"/>
        <w:jc w:val="both"/>
        <w:rPr>
          <w:rFonts w:ascii="Tahoma" w:hAnsi="Tahoma" w:cs="Arial"/>
          <w:sz w:val="16"/>
          <w:szCs w:val="18"/>
        </w:rPr>
      </w:pPr>
      <w:r w:rsidRPr="00802A58">
        <w:rPr>
          <w:rFonts w:ascii="Tahoma" w:hAnsi="Tahoma" w:cs="Arial"/>
          <w:sz w:val="16"/>
          <w:szCs w:val="18"/>
        </w:rPr>
        <w:t>Fig</w:t>
      </w:r>
      <w:r w:rsidR="004A2F1E">
        <w:rPr>
          <w:rFonts w:ascii="Tahoma" w:hAnsi="Tahoma" w:cs="Arial"/>
          <w:sz w:val="16"/>
          <w:szCs w:val="18"/>
        </w:rPr>
        <w:t>ure</w:t>
      </w:r>
      <w:r w:rsidRPr="00802A58">
        <w:rPr>
          <w:rFonts w:ascii="Tahoma" w:hAnsi="Tahoma" w:cs="Arial"/>
          <w:sz w:val="16"/>
          <w:szCs w:val="18"/>
        </w:rPr>
        <w:t xml:space="preserve"> </w:t>
      </w:r>
      <w:r w:rsidR="006F7C34">
        <w:rPr>
          <w:rFonts w:ascii="Tahoma" w:hAnsi="Tahoma" w:cs="Arial"/>
          <w:sz w:val="16"/>
          <w:szCs w:val="18"/>
        </w:rPr>
        <w:t>C1</w:t>
      </w:r>
      <w:r w:rsidRPr="00802A58">
        <w:rPr>
          <w:rFonts w:ascii="Tahoma" w:hAnsi="Tahoma" w:cs="Arial"/>
          <w:sz w:val="16"/>
          <w:szCs w:val="18"/>
        </w:rPr>
        <w:t>: The</w:t>
      </w:r>
      <w:r w:rsidRPr="00802A58" w:rsidDel="004A2F1E">
        <w:rPr>
          <w:rFonts w:ascii="Tahoma" w:hAnsi="Tahoma" w:cs="Arial"/>
          <w:sz w:val="16"/>
          <w:szCs w:val="18"/>
        </w:rPr>
        <w:t xml:space="preserve"> </w:t>
      </w:r>
      <w:r w:rsidR="004A2F1E">
        <w:rPr>
          <w:rFonts w:ascii="Tahoma" w:hAnsi="Tahoma" w:cs="Arial"/>
          <w:sz w:val="16"/>
          <w:szCs w:val="18"/>
        </w:rPr>
        <w:t>3.</w:t>
      </w:r>
      <w:r w:rsidR="004A2F1E" w:rsidRPr="00802A58">
        <w:rPr>
          <w:rFonts w:ascii="Tahoma" w:hAnsi="Tahoma" w:cs="Arial"/>
          <w:sz w:val="16"/>
          <w:szCs w:val="18"/>
        </w:rPr>
        <w:t>1</w:t>
      </w:r>
      <w:r w:rsidRPr="00802A58">
        <w:rPr>
          <w:rFonts w:ascii="Tahoma" w:hAnsi="Tahoma" w:cs="Arial"/>
          <w:sz w:val="16"/>
          <w:szCs w:val="18"/>
        </w:rPr>
        <w:t xml:space="preserve"> Example: prior and posterior densities (pink and orange coloured respectively) for the background response, the maximum response, the BMD, and the parameter </w:t>
      </w:r>
      <w:r w:rsidRPr="00802A58">
        <w:rPr>
          <w:rFonts w:ascii="Tahoma" w:hAnsi="Tahoma" w:cs="Arial"/>
          <w:i/>
          <w:iCs/>
          <w:sz w:val="16"/>
          <w:szCs w:val="18"/>
        </w:rPr>
        <w:t>d</w:t>
      </w:r>
      <w:r w:rsidRPr="00802A58">
        <w:rPr>
          <w:rFonts w:ascii="Tahoma" w:hAnsi="Tahoma" w:cs="Arial"/>
          <w:sz w:val="16"/>
          <w:szCs w:val="18"/>
        </w:rPr>
        <w:t>, for the normal-quadratic exponential model. The vertical dashed lines in the upper panels are the observed values for the background and maximum response.</w:t>
      </w:r>
    </w:p>
    <w:p w14:paraId="13F46500" w14:textId="77777777" w:rsidR="00802A58" w:rsidRPr="00802A58" w:rsidRDefault="00802A58" w:rsidP="00802A58">
      <w:pPr>
        <w:spacing w:after="120" w:line="240" w:lineRule="auto"/>
        <w:jc w:val="both"/>
        <w:rPr>
          <w:rFonts w:ascii="Tahoma" w:hAnsi="Tahoma"/>
          <w:sz w:val="20"/>
          <w:szCs w:val="20"/>
        </w:rPr>
      </w:pPr>
    </w:p>
    <w:p w14:paraId="21D372DD" w14:textId="49152BB6" w:rsidR="00802A58" w:rsidRPr="00802A58" w:rsidRDefault="00802A58" w:rsidP="00802A58">
      <w:pPr>
        <w:spacing w:after="120" w:line="240" w:lineRule="auto"/>
        <w:jc w:val="both"/>
        <w:rPr>
          <w:rFonts w:ascii="Tahoma" w:hAnsi="Tahoma"/>
          <w:sz w:val="20"/>
          <w:szCs w:val="20"/>
        </w:rPr>
      </w:pPr>
      <w:r w:rsidRPr="00802A58">
        <w:rPr>
          <w:rFonts w:ascii="Tahoma" w:hAnsi="Tahoma"/>
          <w:sz w:val="20"/>
          <w:szCs w:val="20"/>
        </w:rPr>
        <w:t xml:space="preserve">Using the weights of Table </w:t>
      </w:r>
      <w:r w:rsidR="002539BD">
        <w:rPr>
          <w:rFonts w:ascii="Tahoma" w:hAnsi="Tahoma"/>
          <w:sz w:val="20"/>
          <w:szCs w:val="20"/>
        </w:rPr>
        <w:t>C1</w:t>
      </w:r>
      <w:r w:rsidRPr="00802A58">
        <w:rPr>
          <w:rFonts w:ascii="Tahoma" w:hAnsi="Tahoma"/>
          <w:sz w:val="20"/>
          <w:szCs w:val="20"/>
        </w:rPr>
        <w:t xml:space="preserve"> (last column), the final model averaged BMD estimate equals 0.224, very close to the true value of 0.2288, with 90% CI (0.154,0.329). Based on the Laplace approximation results, the ratio </w:t>
      </w:r>
      <m:oMath>
        <m:f>
          <m:fPr>
            <m:ctrlPr>
              <w:rPr>
                <w:rFonts w:ascii="Cambria Math" w:eastAsia="Times New Roman" w:hAnsi="Cambria Math" w:cs="Tahoma"/>
                <w:i/>
                <w:sz w:val="20"/>
                <w:szCs w:val="20"/>
                <w:lang w:val="en-US" w:eastAsia="en-GB"/>
              </w:rPr>
            </m:ctrlPr>
          </m:fPr>
          <m:num>
            <m:r>
              <w:rPr>
                <w:rFonts w:ascii="Cambria Math" w:hAnsi="Cambria Math" w:cs="Tahoma"/>
                <w:sz w:val="20"/>
                <w:szCs w:val="20"/>
                <w:lang w:val="en-US"/>
              </w:rPr>
              <m:t>BMDU</m:t>
            </m:r>
          </m:num>
          <m:den>
            <m:r>
              <w:rPr>
                <w:rFonts w:ascii="Cambria Math" w:hAnsi="Cambria Math" w:cs="Tahoma"/>
                <w:sz w:val="20"/>
                <w:szCs w:val="20"/>
                <w:lang w:val="en-US"/>
              </w:rPr>
              <m:t>BMDL</m:t>
            </m:r>
          </m:den>
        </m:f>
      </m:oMath>
      <w:r w:rsidRPr="00802A58">
        <w:rPr>
          <w:rFonts w:ascii="Tahoma" w:hAnsi="Tahoma" w:cs="Tahoma"/>
          <w:sz w:val="20"/>
          <w:szCs w:val="20"/>
          <w:lang w:val="en-US"/>
        </w:rPr>
        <w:t xml:space="preserve"> is slightly larger (2.1), the estimation of the BMD is slightly more uncertain.</w:t>
      </w:r>
      <w:r w:rsidRPr="00802A58">
        <w:rPr>
          <w:rFonts w:ascii="Tahoma" w:hAnsi="Tahoma"/>
          <w:sz w:val="20"/>
          <w:szCs w:val="20"/>
        </w:rPr>
        <w:t xml:space="preserve"> Figure </w:t>
      </w:r>
      <w:r w:rsidR="00E85C1B">
        <w:rPr>
          <w:rFonts w:ascii="Tahoma" w:hAnsi="Tahoma"/>
          <w:sz w:val="20"/>
          <w:szCs w:val="20"/>
        </w:rPr>
        <w:t>C2</w:t>
      </w:r>
      <w:r w:rsidRPr="00802A58">
        <w:rPr>
          <w:rFonts w:ascii="Tahoma" w:hAnsi="Tahoma"/>
          <w:sz w:val="20"/>
          <w:szCs w:val="20"/>
        </w:rPr>
        <w:t xml:space="preserve"> shows, on the log-scale, the summary data together with the model-specific fitted dose-response models, together with the CI (in green), the BMD estimate (red bullet point), and the posterior distribution of the BMD, with the 90 % CI (in green) and the BMD estimate (red bullet point). Note how the fitted models vary substantially in the range from dose 0 to the first dose level; also, the posterior density of the BMD (in the lower right panel) shows some different peaks coming from mixing quite different posterior densities of the individual models (see also the quite different </w:t>
      </w:r>
      <w:proofErr w:type="gramStart"/>
      <w:r w:rsidRPr="00802A58">
        <w:rPr>
          <w:rFonts w:ascii="Tahoma" w:hAnsi="Tahoma"/>
          <w:sz w:val="20"/>
          <w:szCs w:val="20"/>
        </w:rPr>
        <w:t>CI’s</w:t>
      </w:r>
      <w:proofErr w:type="gramEnd"/>
      <w:r w:rsidRPr="00802A58">
        <w:rPr>
          <w:rFonts w:ascii="Tahoma" w:hAnsi="Tahoma"/>
          <w:sz w:val="20"/>
          <w:szCs w:val="20"/>
        </w:rPr>
        <w:t xml:space="preserve"> in Table </w:t>
      </w:r>
      <w:r w:rsidR="00F92203">
        <w:rPr>
          <w:rFonts w:ascii="Tahoma" w:hAnsi="Tahoma"/>
          <w:sz w:val="20"/>
          <w:szCs w:val="20"/>
        </w:rPr>
        <w:t>C1</w:t>
      </w:r>
      <w:r w:rsidRPr="00802A58">
        <w:rPr>
          <w:rFonts w:ascii="Tahoma" w:hAnsi="Tahoma"/>
          <w:sz w:val="20"/>
          <w:szCs w:val="20"/>
        </w:rPr>
        <w:t xml:space="preserve">). </w:t>
      </w:r>
    </w:p>
    <w:p w14:paraId="47EA5529" w14:textId="77777777" w:rsidR="00802A58" w:rsidRPr="00802A58" w:rsidRDefault="00802A58" w:rsidP="00802A58">
      <w:pPr>
        <w:spacing w:after="120" w:line="240" w:lineRule="auto"/>
        <w:jc w:val="both"/>
        <w:rPr>
          <w:rFonts w:ascii="Tahoma" w:hAnsi="Tahoma"/>
          <w:sz w:val="20"/>
          <w:szCs w:val="20"/>
        </w:rPr>
      </w:pPr>
      <w:r w:rsidRPr="00802A58">
        <w:rPr>
          <w:rFonts w:ascii="Tahoma" w:hAnsi="Tahoma"/>
          <w:b/>
          <w:bCs/>
          <w:sz w:val="20"/>
          <w:szCs w:val="20"/>
        </w:rPr>
        <w:t>Using MCMC.</w:t>
      </w:r>
      <w:r w:rsidRPr="00802A58">
        <w:rPr>
          <w:rFonts w:ascii="Tahoma" w:hAnsi="Tahoma"/>
          <w:sz w:val="20"/>
          <w:szCs w:val="20"/>
        </w:rPr>
        <w:t xml:space="preserve"> Using MCMC (hybrid and Bridge sampling), the results are quite similar. The final model averaged BMD estimate, obtained with Bridge sampling, equals 0.238 with 90% CI (0.158,0.334).  The estimates for the hybrid method are 0.223 for the point estimate, and (0.154,0,327) for the credible interval.</w:t>
      </w:r>
    </w:p>
    <w:p w14:paraId="03D1EDAD" w14:textId="77777777" w:rsidR="00802A58" w:rsidRPr="00802A58" w:rsidRDefault="00802A58" w:rsidP="00802A58">
      <w:pPr>
        <w:spacing w:after="120" w:line="240" w:lineRule="auto"/>
        <w:jc w:val="both"/>
        <w:rPr>
          <w:rFonts w:ascii="Tahoma" w:hAnsi="Tahoma"/>
          <w:sz w:val="20"/>
          <w:szCs w:val="20"/>
        </w:rPr>
      </w:pPr>
    </w:p>
    <w:tbl>
      <w:tblPr>
        <w:tblStyle w:val="TableGrid"/>
        <w:tblW w:w="0" w:type="auto"/>
        <w:tblLook w:val="04A0" w:firstRow="1" w:lastRow="0" w:firstColumn="1" w:lastColumn="0" w:noHBand="0" w:noVBand="1"/>
      </w:tblPr>
      <w:tblGrid>
        <w:gridCol w:w="4535"/>
        <w:gridCol w:w="4525"/>
      </w:tblGrid>
      <w:tr w:rsidR="00802A58" w:rsidRPr="00802A58" w14:paraId="7D77BFFC" w14:textId="77777777" w:rsidTr="00754719">
        <w:tc>
          <w:tcPr>
            <w:tcW w:w="0" w:type="auto"/>
          </w:tcPr>
          <w:p w14:paraId="2797A8EA" w14:textId="77777777" w:rsidR="00802A58" w:rsidRPr="00802A58" w:rsidRDefault="00802A58" w:rsidP="00802A58">
            <w:pPr>
              <w:spacing w:after="120"/>
              <w:jc w:val="both"/>
            </w:pPr>
            <w:r w:rsidRPr="00802A58">
              <w:rPr>
                <w:noProof/>
              </w:rPr>
              <w:drawing>
                <wp:inline distT="0" distB="0" distL="0" distR="0" wp14:anchorId="114E1BD2" wp14:editId="7C8DF537">
                  <wp:extent cx="2790189" cy="1678728"/>
                  <wp:effectExtent l="0" t="0" r="444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810061" cy="1690684"/>
                          </a:xfrm>
                          <a:prstGeom prst="rect">
                            <a:avLst/>
                          </a:prstGeom>
                        </pic:spPr>
                      </pic:pic>
                    </a:graphicData>
                  </a:graphic>
                </wp:inline>
              </w:drawing>
            </w:r>
          </w:p>
        </w:tc>
        <w:tc>
          <w:tcPr>
            <w:tcW w:w="0" w:type="auto"/>
          </w:tcPr>
          <w:p w14:paraId="0037F327" w14:textId="77777777" w:rsidR="00802A58" w:rsidRPr="00802A58" w:rsidRDefault="00802A58" w:rsidP="00802A58">
            <w:pPr>
              <w:spacing w:after="120"/>
              <w:jc w:val="both"/>
            </w:pPr>
            <w:r w:rsidRPr="00802A58">
              <w:rPr>
                <w:noProof/>
              </w:rPr>
              <w:drawing>
                <wp:inline distT="0" distB="0" distL="0" distR="0" wp14:anchorId="6D054C71" wp14:editId="7F5288DA">
                  <wp:extent cx="2813473" cy="1692737"/>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862583" cy="1722284"/>
                          </a:xfrm>
                          <a:prstGeom prst="rect">
                            <a:avLst/>
                          </a:prstGeom>
                        </pic:spPr>
                      </pic:pic>
                    </a:graphicData>
                  </a:graphic>
                </wp:inline>
              </w:drawing>
            </w:r>
          </w:p>
        </w:tc>
      </w:tr>
      <w:tr w:rsidR="00802A58" w:rsidRPr="00802A58" w14:paraId="0D050574" w14:textId="77777777" w:rsidTr="00754719">
        <w:tc>
          <w:tcPr>
            <w:tcW w:w="0" w:type="auto"/>
          </w:tcPr>
          <w:p w14:paraId="760D15D0" w14:textId="77777777" w:rsidR="00802A58" w:rsidRPr="00802A58" w:rsidRDefault="00802A58" w:rsidP="00802A58">
            <w:pPr>
              <w:spacing w:after="120"/>
              <w:jc w:val="both"/>
            </w:pPr>
            <w:r w:rsidRPr="00802A58">
              <w:rPr>
                <w:noProof/>
              </w:rPr>
              <w:drawing>
                <wp:inline distT="0" distB="0" distL="0" distR="0" wp14:anchorId="1C591280" wp14:editId="2027835B">
                  <wp:extent cx="2819236" cy="1696205"/>
                  <wp:effectExtent l="0" t="0" r="635" b="571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851940" cy="1715882"/>
                          </a:xfrm>
                          <a:prstGeom prst="rect">
                            <a:avLst/>
                          </a:prstGeom>
                        </pic:spPr>
                      </pic:pic>
                    </a:graphicData>
                  </a:graphic>
                </wp:inline>
              </w:drawing>
            </w:r>
          </w:p>
        </w:tc>
        <w:tc>
          <w:tcPr>
            <w:tcW w:w="0" w:type="auto"/>
          </w:tcPr>
          <w:p w14:paraId="6F0AD11C" w14:textId="77777777" w:rsidR="00802A58" w:rsidRPr="00802A58" w:rsidRDefault="00802A58" w:rsidP="00802A58">
            <w:pPr>
              <w:spacing w:after="120"/>
              <w:jc w:val="both"/>
            </w:pPr>
            <w:r w:rsidRPr="00802A58">
              <w:rPr>
                <w:noProof/>
              </w:rPr>
              <w:drawing>
                <wp:inline distT="0" distB="0" distL="0" distR="0" wp14:anchorId="26E6FF25" wp14:editId="06D6F40E">
                  <wp:extent cx="2743200" cy="1650456"/>
                  <wp:effectExtent l="0" t="0" r="0" b="63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780542" cy="1672923"/>
                          </a:xfrm>
                          <a:prstGeom prst="rect">
                            <a:avLst/>
                          </a:prstGeom>
                        </pic:spPr>
                      </pic:pic>
                    </a:graphicData>
                  </a:graphic>
                </wp:inline>
              </w:drawing>
            </w:r>
          </w:p>
        </w:tc>
      </w:tr>
    </w:tbl>
    <w:p w14:paraId="14AEE45F" w14:textId="7AB472FE" w:rsidR="00802A58" w:rsidRPr="00802A58" w:rsidRDefault="00802A58" w:rsidP="004A0313">
      <w:pPr>
        <w:tabs>
          <w:tab w:val="left" w:pos="426"/>
        </w:tabs>
        <w:autoSpaceDE w:val="0"/>
        <w:autoSpaceDN w:val="0"/>
        <w:adjustRightInd w:val="0"/>
        <w:spacing w:after="0"/>
        <w:jc w:val="both"/>
        <w:rPr>
          <w:rFonts w:ascii="Tahoma" w:hAnsi="Tahoma" w:cs="Arial"/>
          <w:sz w:val="16"/>
          <w:szCs w:val="18"/>
        </w:rPr>
      </w:pPr>
      <w:r w:rsidRPr="00802A58">
        <w:rPr>
          <w:rFonts w:ascii="Tahoma" w:hAnsi="Tahoma" w:cs="Arial"/>
          <w:sz w:val="16"/>
          <w:szCs w:val="18"/>
        </w:rPr>
        <w:t>Fig</w:t>
      </w:r>
      <w:r w:rsidR="00BB6A42">
        <w:rPr>
          <w:rFonts w:ascii="Tahoma" w:hAnsi="Tahoma" w:cs="Arial"/>
          <w:sz w:val="16"/>
          <w:szCs w:val="18"/>
        </w:rPr>
        <w:t>ure</w:t>
      </w:r>
      <w:r w:rsidRPr="00802A58">
        <w:rPr>
          <w:rFonts w:ascii="Tahoma" w:hAnsi="Tahoma" w:cs="Arial"/>
          <w:sz w:val="16"/>
          <w:szCs w:val="18"/>
        </w:rPr>
        <w:t xml:space="preserve"> </w:t>
      </w:r>
      <w:r w:rsidR="004A0313">
        <w:rPr>
          <w:rFonts w:ascii="Tahoma" w:hAnsi="Tahoma" w:cs="Arial"/>
          <w:sz w:val="16"/>
          <w:szCs w:val="18"/>
        </w:rPr>
        <w:t>C2</w:t>
      </w:r>
      <w:r w:rsidRPr="00802A58">
        <w:rPr>
          <w:rFonts w:ascii="Tahoma" w:hAnsi="Tahoma" w:cs="Arial"/>
          <w:sz w:val="16"/>
          <w:szCs w:val="18"/>
        </w:rPr>
        <w:t xml:space="preserve">. The </w:t>
      </w:r>
      <w:r w:rsidR="00BB6A42">
        <w:rPr>
          <w:rFonts w:ascii="Tahoma" w:hAnsi="Tahoma" w:cs="Arial"/>
          <w:sz w:val="16"/>
          <w:szCs w:val="18"/>
        </w:rPr>
        <w:t>3.</w:t>
      </w:r>
      <w:r w:rsidRPr="00802A58">
        <w:rPr>
          <w:rFonts w:ascii="Tahoma" w:hAnsi="Tahoma" w:cs="Arial"/>
          <w:sz w:val="16"/>
          <w:szCs w:val="18"/>
        </w:rPr>
        <w:t>1 Example: based on the Laplace approximation: fitted normal dose-response models (upper left), fitted log-normal dose-response models (upper right), all fitted models (lower left), averaged model with posterior density of the BMD, with 90% confidence interval (in green) and BMD point estimate (in red).</w:t>
      </w:r>
    </w:p>
    <w:p w14:paraId="147BD0F4" w14:textId="77777777" w:rsidR="00802A58" w:rsidRPr="00802A58" w:rsidRDefault="00802A58" w:rsidP="00802A58">
      <w:pPr>
        <w:tabs>
          <w:tab w:val="left" w:pos="426"/>
        </w:tabs>
        <w:autoSpaceDE w:val="0"/>
        <w:autoSpaceDN w:val="0"/>
        <w:adjustRightInd w:val="0"/>
        <w:spacing w:after="0"/>
        <w:rPr>
          <w:rFonts w:ascii="Tahoma" w:hAnsi="Tahoma" w:cs="Arial"/>
          <w:sz w:val="16"/>
          <w:szCs w:val="18"/>
        </w:rPr>
      </w:pPr>
    </w:p>
    <w:p w14:paraId="00966D43" w14:textId="1AFC012C" w:rsidR="00FB127F" w:rsidRPr="000D0828" w:rsidRDefault="00962A7E" w:rsidP="00E056C4">
      <w:pPr>
        <w:pStyle w:val="EFSAHeading1nonumber"/>
      </w:pPr>
      <w:bookmarkStart w:id="93" w:name="_Toc94255355"/>
      <w:r w:rsidRPr="00E056C4">
        <w:t xml:space="preserve">Example </w:t>
      </w:r>
      <w:r w:rsidRPr="000D0828">
        <w:t xml:space="preserve">generated based on </w:t>
      </w:r>
      <w:r w:rsidR="00BB6A42">
        <w:t>F</w:t>
      </w:r>
      <w:r w:rsidR="00BB6A42" w:rsidRPr="000D0828">
        <w:t xml:space="preserve">igure </w:t>
      </w:r>
      <w:r w:rsidR="00BB6A42">
        <w:t>3.</w:t>
      </w:r>
      <w:r w:rsidR="00BB6A42" w:rsidRPr="000D0828">
        <w:t>2</w:t>
      </w:r>
      <w:bookmarkEnd w:id="93"/>
    </w:p>
    <w:p w14:paraId="116B069E" w14:textId="4DD1B195" w:rsidR="00802A58" w:rsidRPr="00802A58" w:rsidRDefault="00802A58" w:rsidP="00802A58">
      <w:pPr>
        <w:keepNext/>
        <w:numPr>
          <w:ilvl w:val="3"/>
          <w:numId w:val="0"/>
        </w:numPr>
        <w:spacing w:before="240" w:after="120" w:line="240" w:lineRule="auto"/>
        <w:ind w:left="1021" w:hanging="1021"/>
        <w:outlineLvl w:val="3"/>
        <w:rPr>
          <w:rFonts w:ascii="Tahoma" w:hAnsi="Tahoma"/>
          <w:b/>
          <w:sz w:val="20"/>
          <w:szCs w:val="20"/>
        </w:rPr>
      </w:pPr>
      <w:r w:rsidRPr="00802A58">
        <w:rPr>
          <w:rFonts w:ascii="Tahoma" w:hAnsi="Tahoma"/>
          <w:b/>
          <w:sz w:val="20"/>
          <w:szCs w:val="20"/>
        </w:rPr>
        <w:t>The Data</w:t>
      </w:r>
    </w:p>
    <w:p w14:paraId="51E99A90" w14:textId="77777777" w:rsidR="00802A58" w:rsidRPr="00802A58" w:rsidRDefault="00802A58" w:rsidP="00802A58">
      <w:pPr>
        <w:spacing w:after="120" w:line="240" w:lineRule="auto"/>
        <w:jc w:val="both"/>
        <w:rPr>
          <w:rFonts w:ascii="Times New Roman" w:hAnsi="Times New Roman"/>
          <w:sz w:val="24"/>
          <w:szCs w:val="24"/>
          <w:lang w:val="en-US" w:eastAsia="en-GB"/>
        </w:rPr>
      </w:pPr>
      <w:r w:rsidRPr="00802A58">
        <w:rPr>
          <w:rFonts w:ascii="Tahoma" w:hAnsi="Tahoma"/>
          <w:sz w:val="20"/>
          <w:szCs w:val="20"/>
          <w:lang w:eastAsia="en-GB"/>
        </w:rPr>
        <w:t>Th</w:t>
      </w:r>
      <w:r w:rsidRPr="00802A58">
        <w:rPr>
          <w:rFonts w:ascii="Tahoma" w:hAnsi="Tahoma"/>
          <w:sz w:val="20"/>
          <w:szCs w:val="20"/>
          <w:lang w:val="en-US" w:eastAsia="en-GB"/>
        </w:rPr>
        <w:t>is</w:t>
      </w:r>
      <w:r w:rsidRPr="00802A58">
        <w:rPr>
          <w:rFonts w:ascii="Tahoma" w:hAnsi="Tahoma"/>
          <w:sz w:val="20"/>
          <w:szCs w:val="20"/>
          <w:lang w:eastAsia="en-GB"/>
        </w:rPr>
        <w:t xml:space="preserve"> example </w:t>
      </w:r>
      <w:r w:rsidRPr="00802A58">
        <w:rPr>
          <w:rFonts w:ascii="Tahoma" w:hAnsi="Tahoma"/>
          <w:sz w:val="20"/>
          <w:szCs w:val="20"/>
          <w:lang w:val="en-US" w:eastAsia="en-GB"/>
        </w:rPr>
        <w:t>concerns a simulated dataset, generated as a log-normal exponential models with parameters a=2.015, b=1.5, c=1.344 and d=1.8, with dose levels 0,3,6,8,</w:t>
      </w:r>
      <w:proofErr w:type="gramStart"/>
      <w:r w:rsidRPr="00802A58">
        <w:rPr>
          <w:rFonts w:ascii="Tahoma" w:hAnsi="Tahoma"/>
          <w:sz w:val="20"/>
          <w:szCs w:val="20"/>
          <w:lang w:val="en-US" w:eastAsia="en-GB"/>
        </w:rPr>
        <w:t>10</w:t>
      </w:r>
      <w:proofErr w:type="gramEnd"/>
      <w:r w:rsidRPr="00802A58">
        <w:rPr>
          <w:rFonts w:ascii="Tahoma" w:hAnsi="Tahoma"/>
          <w:sz w:val="20"/>
          <w:szCs w:val="20"/>
          <w:lang w:val="en-US" w:eastAsia="en-GB"/>
        </w:rPr>
        <w:t xml:space="preserve"> and a constant group size of 20.  With a BMR=0.10, the true BMD equals 0.2287.</w:t>
      </w:r>
    </w:p>
    <w:p w14:paraId="09DB64E0" w14:textId="77777777" w:rsidR="00802A58" w:rsidRPr="00802A58" w:rsidRDefault="00802A58" w:rsidP="00802A58">
      <w:pPr>
        <w:spacing w:after="120" w:line="240" w:lineRule="auto"/>
        <w:jc w:val="center"/>
        <w:rPr>
          <w:rFonts w:ascii="Tahoma" w:hAnsi="Tahoma"/>
          <w:sz w:val="20"/>
          <w:szCs w:val="20"/>
        </w:rPr>
      </w:pPr>
      <w:r w:rsidRPr="00802A58">
        <w:rPr>
          <w:rFonts w:ascii="Tahoma" w:hAnsi="Tahoma"/>
          <w:noProof/>
          <w:sz w:val="20"/>
          <w:szCs w:val="20"/>
        </w:rPr>
        <w:drawing>
          <wp:inline distT="0" distB="0" distL="0" distR="0" wp14:anchorId="7F5D66BE" wp14:editId="3D3B86ED">
            <wp:extent cx="2297927" cy="1286484"/>
            <wp:effectExtent l="0" t="0" r="127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313037" cy="1294943"/>
                    </a:xfrm>
                    <a:prstGeom prst="rect">
                      <a:avLst/>
                    </a:prstGeom>
                  </pic:spPr>
                </pic:pic>
              </a:graphicData>
            </a:graphic>
          </wp:inline>
        </w:drawing>
      </w:r>
    </w:p>
    <w:p w14:paraId="40B9A1B1" w14:textId="77777777" w:rsidR="00802A58" w:rsidRPr="00802A58" w:rsidRDefault="00802A58" w:rsidP="00C44441">
      <w:pPr>
        <w:spacing w:after="120" w:line="240" w:lineRule="auto"/>
        <w:jc w:val="both"/>
        <w:rPr>
          <w:rFonts w:ascii="Tahoma" w:hAnsi="Tahoma"/>
          <w:b/>
          <w:bCs/>
          <w:sz w:val="20"/>
          <w:szCs w:val="20"/>
        </w:rPr>
      </w:pPr>
      <w:r w:rsidRPr="00802A58">
        <w:rPr>
          <w:rFonts w:ascii="Tahoma" w:hAnsi="Tahoma"/>
          <w:sz w:val="20"/>
          <w:szCs w:val="20"/>
        </w:rPr>
        <w:t>The Bartlett test did reject the assumption of constant variance (normal distribution) with a p-value of 0.00; and did not reject the assumption of constant coefficient of variation (lognormal distribution), with p-values 0.46. These findings are to be expected as the data are generated according to the log-normal distribution.</w:t>
      </w:r>
    </w:p>
    <w:p w14:paraId="2C7CE59C" w14:textId="77777777" w:rsidR="00802A58" w:rsidRPr="00802A58" w:rsidRDefault="00802A58" w:rsidP="00802A58">
      <w:pPr>
        <w:keepNext/>
        <w:numPr>
          <w:ilvl w:val="3"/>
          <w:numId w:val="0"/>
        </w:numPr>
        <w:spacing w:before="240" w:after="120" w:line="240" w:lineRule="auto"/>
        <w:ind w:left="1021" w:hanging="1021"/>
        <w:outlineLvl w:val="3"/>
        <w:rPr>
          <w:rFonts w:ascii="Tahoma" w:hAnsi="Tahoma"/>
          <w:b/>
          <w:sz w:val="20"/>
          <w:szCs w:val="20"/>
        </w:rPr>
      </w:pPr>
      <w:r w:rsidRPr="00802A58">
        <w:rPr>
          <w:rFonts w:ascii="Tahoma" w:hAnsi="Tahoma"/>
          <w:b/>
          <w:sz w:val="20"/>
          <w:szCs w:val="20"/>
        </w:rPr>
        <w:t>Results</w:t>
      </w:r>
    </w:p>
    <w:p w14:paraId="52127FC9" w14:textId="77777777" w:rsidR="00802A58" w:rsidRPr="00802A58" w:rsidRDefault="00802A58" w:rsidP="00802A58">
      <w:pPr>
        <w:spacing w:before="100" w:beforeAutospacing="1" w:after="100" w:afterAutospacing="1" w:line="240" w:lineRule="auto"/>
        <w:jc w:val="both"/>
        <w:rPr>
          <w:rFonts w:ascii="Tahoma" w:eastAsia="Times New Roman" w:hAnsi="Tahoma" w:cs="Tahoma"/>
          <w:sz w:val="20"/>
          <w:szCs w:val="20"/>
          <w:lang w:val="en-US" w:eastAsia="en-GB"/>
        </w:rPr>
      </w:pPr>
      <w:r w:rsidRPr="00802A58">
        <w:rPr>
          <w:rFonts w:ascii="Tahoma" w:eastAsia="Times New Roman" w:hAnsi="Tahoma" w:cs="Tahoma"/>
          <w:b/>
          <w:bCs/>
          <w:sz w:val="20"/>
          <w:szCs w:val="20"/>
          <w:lang w:val="en-US" w:eastAsia="en-GB"/>
        </w:rPr>
        <w:t xml:space="preserve">PROAST. </w:t>
      </w:r>
      <w:r w:rsidRPr="00802A58">
        <w:rPr>
          <w:rFonts w:ascii="Tahoma" w:eastAsia="Times New Roman" w:hAnsi="Tahoma" w:cs="Tahoma"/>
          <w:sz w:val="20"/>
          <w:szCs w:val="20"/>
          <w:lang w:eastAsia="en-GB"/>
        </w:rPr>
        <w:t xml:space="preserve">The EFSA BMD WEB app produce the following results of BMD modelling, using the exponential, inverse exponential, </w:t>
      </w:r>
      <w:proofErr w:type="gramStart"/>
      <w:r w:rsidRPr="00802A58">
        <w:rPr>
          <w:rFonts w:ascii="Tahoma" w:eastAsia="Times New Roman" w:hAnsi="Tahoma" w:cs="Tahoma"/>
          <w:sz w:val="20"/>
          <w:szCs w:val="20"/>
          <w:lang w:eastAsia="en-GB"/>
        </w:rPr>
        <w:t>Hill</w:t>
      </w:r>
      <w:proofErr w:type="gramEnd"/>
      <w:r w:rsidRPr="00802A58">
        <w:rPr>
          <w:rFonts w:ascii="Tahoma" w:eastAsia="Times New Roman" w:hAnsi="Tahoma" w:cs="Tahoma"/>
          <w:sz w:val="20"/>
          <w:szCs w:val="20"/>
          <w:lang w:eastAsia="en-GB"/>
        </w:rPr>
        <w:t xml:space="preserve"> and lognormal model, considering model averaging based on 1000 bootstraps, by means of PROAST 70.0.  </w:t>
      </w:r>
      <w:r w:rsidRPr="00802A58">
        <w:rPr>
          <w:rFonts w:ascii="Tahoma" w:eastAsia="Times New Roman" w:hAnsi="Tahoma" w:cs="Tahoma"/>
          <w:sz w:val="20"/>
          <w:szCs w:val="20"/>
          <w:lang w:val="en-US" w:eastAsia="en-GB"/>
        </w:rPr>
        <w:t>T</w:t>
      </w:r>
      <w:r w:rsidRPr="00802A58">
        <w:rPr>
          <w:rFonts w:ascii="Tahoma" w:eastAsia="Times New Roman" w:hAnsi="Tahoma" w:cs="Tahoma"/>
          <w:sz w:val="20"/>
          <w:szCs w:val="20"/>
          <w:lang w:eastAsia="en-GB"/>
        </w:rPr>
        <w:t xml:space="preserve">he BMR was selected at 10 %. </w:t>
      </w:r>
      <w:r w:rsidRPr="00802A58">
        <w:rPr>
          <w:rFonts w:ascii="Tahoma" w:eastAsia="Times New Roman" w:hAnsi="Tahoma" w:cs="Tahoma"/>
          <w:sz w:val="20"/>
          <w:szCs w:val="20"/>
          <w:lang w:val="en-US" w:eastAsia="en-GB"/>
        </w:rPr>
        <w:t xml:space="preserve">For the exponential model the BMD was estimated as 0.04, not providing confidence limits; for the inverse exponential model the BMD estimate was 0.000001, not providing confidence limits; for the Hill model the BMD estimate was 0.000001, not providing confidence limits and for the lognormal model the BMD estimate was 0.002, not providing confidence limits. The model averaging results produced BMDL=0.000001 and BMDU=0.018. The ratio </w:t>
      </w:r>
      <m:oMath>
        <m:f>
          <m:fPr>
            <m:ctrlPr>
              <w:rPr>
                <w:rFonts w:ascii="Cambria Math" w:eastAsia="Times New Roman" w:hAnsi="Cambria Math" w:cs="Tahoma"/>
                <w:i/>
                <w:sz w:val="20"/>
                <w:szCs w:val="20"/>
                <w:lang w:val="en-US" w:eastAsia="en-GB"/>
              </w:rPr>
            </m:ctrlPr>
          </m:fPr>
          <m:num>
            <m:r>
              <w:rPr>
                <w:rFonts w:ascii="Cambria Math" w:eastAsia="Times New Roman" w:hAnsi="Cambria Math" w:cs="Tahoma"/>
                <w:sz w:val="20"/>
                <w:szCs w:val="20"/>
                <w:lang w:val="en-US" w:eastAsia="en-GB"/>
              </w:rPr>
              <m:t>BMDU</m:t>
            </m:r>
          </m:num>
          <m:den>
            <m:r>
              <w:rPr>
                <w:rFonts w:ascii="Cambria Math" w:eastAsia="Times New Roman" w:hAnsi="Cambria Math" w:cs="Tahoma"/>
                <w:sz w:val="20"/>
                <w:szCs w:val="20"/>
                <w:lang w:val="en-US" w:eastAsia="en-GB"/>
              </w:rPr>
              <m:t>BMDL</m:t>
            </m:r>
          </m:den>
        </m:f>
        <m:r>
          <w:rPr>
            <w:rFonts w:ascii="Cambria Math" w:eastAsia="Times New Roman" w:hAnsi="Cambria Math" w:cs="Tahoma"/>
            <w:sz w:val="20"/>
            <w:szCs w:val="20"/>
            <w:lang w:val="en-US" w:eastAsia="en-GB"/>
          </w:rPr>
          <m:t>=18000</m:t>
        </m:r>
      </m:oMath>
      <w:r w:rsidRPr="00802A58">
        <w:rPr>
          <w:rFonts w:ascii="Tahoma" w:eastAsia="Times New Roman" w:hAnsi="Tahoma" w:cs="Tahoma"/>
          <w:sz w:val="20"/>
          <w:szCs w:val="20"/>
          <w:lang w:val="en-US" w:eastAsia="en-GB"/>
        </w:rPr>
        <w:t>, indicating the uncertai</w:t>
      </w:r>
      <w:proofErr w:type="spellStart"/>
      <w:r w:rsidRPr="00802A58">
        <w:rPr>
          <w:rFonts w:ascii="Tahoma" w:eastAsia="Times New Roman" w:hAnsi="Tahoma" w:cs="Tahoma"/>
          <w:sz w:val="20"/>
          <w:szCs w:val="20"/>
          <w:lang w:val="en-US" w:eastAsia="en-GB"/>
        </w:rPr>
        <w:t>nty</w:t>
      </w:r>
      <w:proofErr w:type="spellEnd"/>
      <w:r w:rsidRPr="00802A58">
        <w:rPr>
          <w:rFonts w:ascii="Tahoma" w:eastAsia="Times New Roman" w:hAnsi="Tahoma" w:cs="Tahoma"/>
          <w:sz w:val="20"/>
          <w:szCs w:val="20"/>
          <w:lang w:val="en-US" w:eastAsia="en-GB"/>
        </w:rPr>
        <w:t xml:space="preserve"> range of the estimation of the BMD.</w:t>
      </w:r>
    </w:p>
    <w:p w14:paraId="2ABD1438" w14:textId="77777777" w:rsidR="00802A58" w:rsidRPr="00802A58" w:rsidRDefault="00802A58" w:rsidP="00802A58">
      <w:pPr>
        <w:spacing w:before="100" w:beforeAutospacing="1" w:after="100" w:afterAutospacing="1" w:line="240" w:lineRule="auto"/>
        <w:jc w:val="both"/>
        <w:rPr>
          <w:rFonts w:ascii="Tahoma" w:eastAsia="Times New Roman" w:hAnsi="Tahoma" w:cs="Tahoma"/>
          <w:sz w:val="20"/>
          <w:szCs w:val="20"/>
          <w:lang w:val="en-US" w:eastAsia="en-GB"/>
        </w:rPr>
      </w:pPr>
      <w:r w:rsidRPr="00802A58">
        <w:rPr>
          <w:rFonts w:ascii="Tahoma" w:eastAsia="Times New Roman" w:hAnsi="Tahoma" w:cs="Tahoma"/>
          <w:b/>
          <w:sz w:val="20"/>
          <w:szCs w:val="20"/>
          <w:lang w:eastAsia="en-GB"/>
        </w:rPr>
        <w:t>Using Laplace approximation.</w:t>
      </w:r>
      <w:r w:rsidRPr="00802A58">
        <w:rPr>
          <w:rFonts w:ascii="Tahoma" w:eastAsia="Times New Roman" w:hAnsi="Tahoma" w:cs="Tahoma"/>
          <w:b/>
          <w:bCs/>
          <w:sz w:val="20"/>
          <w:szCs w:val="20"/>
          <w:lang w:val="en-US" w:eastAsia="en-GB"/>
        </w:rPr>
        <w:t xml:space="preserve">  </w:t>
      </w:r>
      <w:r w:rsidRPr="00802A58">
        <w:rPr>
          <w:rFonts w:ascii="Tahoma" w:eastAsia="Times New Roman" w:hAnsi="Tahoma" w:cs="Tahoma"/>
          <w:sz w:val="20"/>
          <w:szCs w:val="20"/>
          <w:lang w:val="en-US" w:eastAsia="en-GB"/>
        </w:rPr>
        <w:t>Not unexpectedly, as the response at the first active dose is already at its maximum and consequently the data contain no information about the dose-response pattern from the background to the maximum response, the model individual and the model averaged intervals are very wide and the BMDL are all essentially equal to or very close to 0. The model averaged BMD estimate is 0.0033, and the CI is (0.0000,10).  The CI is the full experimental dose range, turning the BMDL not useful. As the MCMC results are more precise and useful, we report more details about this approach.</w:t>
      </w:r>
    </w:p>
    <w:p w14:paraId="32BD65C9" w14:textId="099A3773" w:rsidR="00802A58" w:rsidRPr="00802A58" w:rsidRDefault="00802A58" w:rsidP="00802A58">
      <w:pPr>
        <w:spacing w:after="120" w:line="240" w:lineRule="auto"/>
        <w:jc w:val="both"/>
        <w:rPr>
          <w:rFonts w:ascii="Tahoma" w:hAnsi="Tahoma"/>
          <w:b/>
          <w:bCs/>
          <w:sz w:val="20"/>
          <w:szCs w:val="20"/>
        </w:rPr>
      </w:pPr>
      <w:r w:rsidRPr="00802A58">
        <w:rPr>
          <w:rFonts w:ascii="Tahoma" w:hAnsi="Tahoma"/>
          <w:b/>
          <w:bCs/>
          <w:sz w:val="20"/>
          <w:szCs w:val="20"/>
        </w:rPr>
        <w:t xml:space="preserve">Using MCM. </w:t>
      </w:r>
      <w:r w:rsidRPr="00802A58">
        <w:rPr>
          <w:rFonts w:ascii="Tahoma" w:hAnsi="Tahoma"/>
          <w:sz w:val="20"/>
          <w:szCs w:val="20"/>
        </w:rPr>
        <w:t>All models converged. The model specific results (</w:t>
      </w:r>
      <w:proofErr w:type="spellStart"/>
      <w:proofErr w:type="gramStart"/>
      <w:r w:rsidRPr="00802A58">
        <w:rPr>
          <w:rFonts w:ascii="Tahoma" w:hAnsi="Tahoma"/>
          <w:sz w:val="20"/>
          <w:szCs w:val="20"/>
        </w:rPr>
        <w:t>BML,BMD</w:t>
      </w:r>
      <w:proofErr w:type="gramEnd"/>
      <w:r w:rsidRPr="00802A58">
        <w:rPr>
          <w:rFonts w:ascii="Tahoma" w:hAnsi="Tahoma"/>
          <w:sz w:val="20"/>
          <w:szCs w:val="20"/>
        </w:rPr>
        <w:t>,BMDU,weight</w:t>
      </w:r>
      <w:proofErr w:type="spellEnd"/>
      <w:r w:rsidRPr="00802A58">
        <w:rPr>
          <w:rFonts w:ascii="Tahoma" w:hAnsi="Tahoma"/>
          <w:sz w:val="20"/>
          <w:szCs w:val="20"/>
        </w:rPr>
        <w:t xml:space="preserve">) are given in Table </w:t>
      </w:r>
      <w:r w:rsidR="00445445">
        <w:rPr>
          <w:rFonts w:ascii="Tahoma" w:hAnsi="Tahoma"/>
          <w:sz w:val="20"/>
          <w:szCs w:val="20"/>
        </w:rPr>
        <w:t>C2</w:t>
      </w:r>
      <w:r w:rsidRPr="00802A58">
        <w:rPr>
          <w:rFonts w:ascii="Tahoma" w:hAnsi="Tahoma"/>
          <w:sz w:val="20"/>
          <w:szCs w:val="20"/>
        </w:rPr>
        <w:t>, showing a quite large difference between the Laplace and the MCMC based weights (see last two columns), indicating instability and/or inappropriateness of the Laplace approximation.</w:t>
      </w:r>
      <w:r w:rsidRPr="00802A58">
        <w:rPr>
          <w:rFonts w:ascii="Tahoma" w:hAnsi="Tahoma"/>
          <w:b/>
          <w:bCs/>
          <w:sz w:val="20"/>
          <w:szCs w:val="20"/>
        </w:rPr>
        <w:t xml:space="preserve"> </w:t>
      </w:r>
      <w:r w:rsidRPr="00802A58">
        <w:rPr>
          <w:rFonts w:ascii="Tahoma" w:hAnsi="Tahoma"/>
          <w:sz w:val="20"/>
          <w:szCs w:val="20"/>
        </w:rPr>
        <w:t xml:space="preserve">This table shows that </w:t>
      </w:r>
      <w:proofErr w:type="spellStart"/>
      <w:r w:rsidRPr="00802A58">
        <w:rPr>
          <w:rFonts w:ascii="Tahoma" w:hAnsi="Tahoma"/>
          <w:sz w:val="20"/>
          <w:szCs w:val="20"/>
        </w:rPr>
        <w:t>i</w:t>
      </w:r>
      <w:proofErr w:type="spellEnd"/>
      <w:r w:rsidRPr="00802A58">
        <w:rPr>
          <w:rFonts w:ascii="Tahoma" w:hAnsi="Tahoma"/>
          <w:sz w:val="20"/>
          <w:szCs w:val="20"/>
        </w:rPr>
        <w:t xml:space="preserve">) the model specific BMDL’s vary from 0.007 to 0.033, ii) all normal models get weight 0.0000 (as to be expected as the data are log-normal), iii) the weights for the log-normal models vary from 0.07 to 0.19, with the highest weight 0.19 for the </w:t>
      </w:r>
      <w:proofErr w:type="spellStart"/>
      <w:r w:rsidRPr="00802A58">
        <w:rPr>
          <w:rFonts w:ascii="Tahoma" w:hAnsi="Tahoma"/>
          <w:sz w:val="20"/>
          <w:szCs w:val="20"/>
        </w:rPr>
        <w:t>probit</w:t>
      </w:r>
      <w:proofErr w:type="spellEnd"/>
      <w:r w:rsidRPr="00802A58">
        <w:rPr>
          <w:rFonts w:ascii="Tahoma" w:hAnsi="Tahoma"/>
          <w:sz w:val="20"/>
          <w:szCs w:val="20"/>
        </w:rPr>
        <w:t xml:space="preserve"> model, followed by the logit model and the log-normal model (weight 0.17), and the true exponential model (weight 0.16), and iv) the model-specific CI’s do differ substantially and are quite wide.  In general, there is an overestimation of the true BMD=0.229 (model-specific point estimates tend to be larger than this true value).</w:t>
      </w:r>
    </w:p>
    <w:p w14:paraId="26F6A7C3" w14:textId="43B4A635" w:rsidR="00802A58" w:rsidRPr="00802A58" w:rsidRDefault="00802A58" w:rsidP="00802A58">
      <w:pPr>
        <w:spacing w:after="120" w:line="240" w:lineRule="auto"/>
        <w:jc w:val="both"/>
        <w:rPr>
          <w:rFonts w:ascii="Tahoma" w:hAnsi="Tahoma"/>
          <w:sz w:val="20"/>
          <w:szCs w:val="20"/>
        </w:rPr>
      </w:pPr>
      <w:r w:rsidRPr="00802A58">
        <w:rPr>
          <w:rFonts w:ascii="Tahoma" w:hAnsi="Tahoma"/>
          <w:sz w:val="20"/>
          <w:szCs w:val="20"/>
        </w:rPr>
        <w:t xml:space="preserve">More information for the </w:t>
      </w:r>
      <w:proofErr w:type="spellStart"/>
      <w:r w:rsidRPr="00802A58">
        <w:rPr>
          <w:rFonts w:ascii="Tahoma" w:hAnsi="Tahoma"/>
          <w:sz w:val="20"/>
          <w:szCs w:val="20"/>
        </w:rPr>
        <w:t>probit</w:t>
      </w:r>
      <w:proofErr w:type="spellEnd"/>
      <w:r w:rsidRPr="00802A58">
        <w:rPr>
          <w:rFonts w:ascii="Tahoma" w:hAnsi="Tahoma"/>
          <w:sz w:val="20"/>
          <w:szCs w:val="20"/>
        </w:rPr>
        <w:t xml:space="preserve"> model is depicted in Figure </w:t>
      </w:r>
      <w:r w:rsidR="00843958">
        <w:rPr>
          <w:rFonts w:ascii="Tahoma" w:hAnsi="Tahoma"/>
          <w:sz w:val="20"/>
          <w:szCs w:val="20"/>
        </w:rPr>
        <w:t>C3</w:t>
      </w:r>
      <w:r w:rsidRPr="00802A58">
        <w:rPr>
          <w:rFonts w:ascii="Tahoma" w:hAnsi="Tahoma"/>
          <w:sz w:val="20"/>
          <w:szCs w:val="20"/>
        </w:rPr>
        <w:t xml:space="preserve">, with, for the background and minimum median response, and the BMD, the flat uninformative PERT prior distributions (in blue) and the final posterior distributions (in orange).  The fourth parameter </w:t>
      </w:r>
      <w:r w:rsidRPr="00802A58">
        <w:rPr>
          <w:rFonts w:ascii="Tahoma" w:hAnsi="Tahoma"/>
          <w:i/>
          <w:iCs/>
          <w:sz w:val="20"/>
          <w:szCs w:val="20"/>
        </w:rPr>
        <w:t xml:space="preserve">d </w:t>
      </w:r>
      <w:r w:rsidRPr="00802A58">
        <w:rPr>
          <w:rFonts w:ascii="Tahoma" w:hAnsi="Tahoma"/>
          <w:sz w:val="20"/>
          <w:szCs w:val="20"/>
        </w:rPr>
        <w:t xml:space="preserve">(left lower panel) gets a log-normal prior distribution (in blue), which is moderately informative with median at 1, </w:t>
      </w:r>
      <w:proofErr w:type="gramStart"/>
      <w:r w:rsidRPr="00802A58">
        <w:rPr>
          <w:rFonts w:ascii="Tahoma" w:hAnsi="Tahoma"/>
          <w:sz w:val="20"/>
          <w:szCs w:val="20"/>
        </w:rPr>
        <w:t>in order to</w:t>
      </w:r>
      <w:proofErr w:type="gramEnd"/>
      <w:r w:rsidRPr="00802A58">
        <w:rPr>
          <w:rFonts w:ascii="Tahoma" w:hAnsi="Tahoma"/>
          <w:sz w:val="20"/>
          <w:szCs w:val="20"/>
        </w:rPr>
        <w:t xml:space="preserve"> stabilize the fitting computationally. Similar plots can be made for all other 15 models.</w:t>
      </w:r>
    </w:p>
    <w:p w14:paraId="0057C1AD" w14:textId="416970E3" w:rsidR="00802A58" w:rsidRDefault="00802A58" w:rsidP="00552538">
      <w:pPr>
        <w:spacing w:after="0" w:line="240" w:lineRule="auto"/>
        <w:ind w:left="851" w:hanging="851"/>
        <w:rPr>
          <w:rFonts w:ascii="Tahoma" w:hAnsi="Tahoma"/>
          <w:bCs/>
          <w:sz w:val="18"/>
          <w:szCs w:val="20"/>
        </w:rPr>
      </w:pPr>
      <w:r w:rsidRPr="00802A58">
        <w:rPr>
          <w:rFonts w:ascii="Tahoma" w:hAnsi="Tahoma"/>
          <w:bCs/>
          <w:sz w:val="18"/>
          <w:szCs w:val="20"/>
        </w:rPr>
        <w:t xml:space="preserve">Table </w:t>
      </w:r>
      <w:r w:rsidR="00963CD2">
        <w:rPr>
          <w:rFonts w:ascii="Tahoma" w:hAnsi="Tahoma"/>
          <w:bCs/>
          <w:sz w:val="18"/>
          <w:szCs w:val="20"/>
        </w:rPr>
        <w:t>C2</w:t>
      </w:r>
      <w:r w:rsidRPr="00802A58">
        <w:rPr>
          <w:rFonts w:ascii="Tahoma" w:hAnsi="Tahoma"/>
          <w:bCs/>
          <w:sz w:val="18"/>
          <w:szCs w:val="20"/>
        </w:rPr>
        <w:t xml:space="preserve">. </w:t>
      </w:r>
      <w:r w:rsidR="00552538">
        <w:rPr>
          <w:rFonts w:ascii="Tahoma" w:hAnsi="Tahoma"/>
          <w:bCs/>
          <w:sz w:val="18"/>
          <w:szCs w:val="20"/>
        </w:rPr>
        <w:tab/>
      </w:r>
      <w:r w:rsidRPr="00802A58">
        <w:rPr>
          <w:rFonts w:ascii="Tahoma" w:hAnsi="Tahoma"/>
          <w:bCs/>
          <w:sz w:val="18"/>
          <w:szCs w:val="20"/>
        </w:rPr>
        <w:t>The X2</w:t>
      </w:r>
      <w:r w:rsidRPr="00802A58">
        <w:rPr>
          <w:rFonts w:ascii="Tahoma" w:hAnsi="Tahoma"/>
          <w:b/>
          <w:sz w:val="18"/>
          <w:szCs w:val="20"/>
        </w:rPr>
        <w:t xml:space="preserve"> </w:t>
      </w:r>
      <w:r w:rsidRPr="00802A58">
        <w:rPr>
          <w:rFonts w:ascii="Tahoma" w:hAnsi="Tahoma"/>
          <w:bCs/>
          <w:sz w:val="18"/>
          <w:szCs w:val="20"/>
        </w:rPr>
        <w:t>Example. Model specific values for BMDL, BMD, and BMDU; and the posterior weights of each model (used for constructing the model average).</w:t>
      </w:r>
    </w:p>
    <w:p w14:paraId="42A1FE36" w14:textId="77777777" w:rsidR="00552538" w:rsidRPr="00802A58" w:rsidRDefault="00552538" w:rsidP="00802A58">
      <w:pPr>
        <w:spacing w:after="0" w:line="240" w:lineRule="auto"/>
        <w:rPr>
          <w:rFonts w:ascii="Tahoma" w:hAnsi="Tahoma"/>
          <w:bCs/>
          <w:sz w:val="18"/>
          <w:szCs w:val="20"/>
        </w:rPr>
      </w:pPr>
    </w:p>
    <w:p w14:paraId="41ADA738" w14:textId="77777777" w:rsidR="00802A58" w:rsidRPr="00802A58" w:rsidRDefault="00802A58" w:rsidP="00802A58">
      <w:pPr>
        <w:spacing w:after="0" w:line="240" w:lineRule="auto"/>
        <w:jc w:val="center"/>
        <w:rPr>
          <w:rFonts w:ascii="Tahoma" w:hAnsi="Tahoma"/>
          <w:bCs/>
          <w:sz w:val="18"/>
          <w:szCs w:val="20"/>
        </w:rPr>
      </w:pPr>
      <w:r w:rsidRPr="00802A58">
        <w:rPr>
          <w:rFonts w:ascii="Tahoma" w:hAnsi="Tahoma"/>
          <w:bCs/>
          <w:noProof/>
          <w:sz w:val="18"/>
          <w:szCs w:val="20"/>
        </w:rPr>
        <w:drawing>
          <wp:inline distT="0" distB="0" distL="0" distR="0" wp14:anchorId="2FB40E56" wp14:editId="2996C3B9">
            <wp:extent cx="4667416" cy="3032534"/>
            <wp:effectExtent l="0" t="0" r="0" b="3175"/>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679572" cy="3040432"/>
                    </a:xfrm>
                    <a:prstGeom prst="rect">
                      <a:avLst/>
                    </a:prstGeom>
                  </pic:spPr>
                </pic:pic>
              </a:graphicData>
            </a:graphic>
          </wp:inline>
        </w:drawing>
      </w:r>
    </w:p>
    <w:p w14:paraId="3DF4F0FA" w14:textId="77777777" w:rsidR="00802A58" w:rsidRPr="00802A58" w:rsidRDefault="00802A58" w:rsidP="00802A58">
      <w:pPr>
        <w:spacing w:after="0" w:line="240" w:lineRule="auto"/>
        <w:jc w:val="center"/>
        <w:rPr>
          <w:rFonts w:ascii="Tahoma" w:hAnsi="Tahoma"/>
          <w:bCs/>
          <w:sz w:val="18"/>
          <w:szCs w:val="20"/>
        </w:rPr>
      </w:pPr>
    </w:p>
    <w:p w14:paraId="78CD82AE" w14:textId="77777777" w:rsidR="00802A58" w:rsidRPr="00802A58" w:rsidRDefault="00802A58" w:rsidP="00802A58">
      <w:pPr>
        <w:spacing w:after="120" w:line="240" w:lineRule="auto"/>
        <w:jc w:val="both"/>
        <w:rPr>
          <w:rFonts w:ascii="Tahoma" w:hAnsi="Tahoma"/>
          <w:sz w:val="20"/>
          <w:szCs w:val="20"/>
        </w:rPr>
      </w:pPr>
    </w:p>
    <w:p w14:paraId="7F1B4192" w14:textId="77777777" w:rsidR="00802A58" w:rsidRPr="00802A58" w:rsidRDefault="00802A58" w:rsidP="00802A58">
      <w:pPr>
        <w:spacing w:after="120" w:line="240" w:lineRule="auto"/>
        <w:jc w:val="center"/>
        <w:rPr>
          <w:rFonts w:ascii="Tahoma" w:hAnsi="Tahoma"/>
          <w:sz w:val="20"/>
          <w:szCs w:val="20"/>
        </w:rPr>
      </w:pPr>
    </w:p>
    <w:p w14:paraId="53AF81B0" w14:textId="77777777" w:rsidR="00802A58" w:rsidRPr="00802A58" w:rsidRDefault="00802A58" w:rsidP="00802A58">
      <w:pPr>
        <w:spacing w:after="120" w:line="240" w:lineRule="auto"/>
        <w:jc w:val="center"/>
        <w:rPr>
          <w:rFonts w:ascii="Tahoma" w:hAnsi="Tahoma"/>
          <w:sz w:val="20"/>
          <w:szCs w:val="20"/>
        </w:rPr>
      </w:pPr>
      <w:r w:rsidRPr="00802A58">
        <w:rPr>
          <w:rFonts w:ascii="Tahoma" w:hAnsi="Tahoma"/>
          <w:noProof/>
          <w:sz w:val="20"/>
          <w:szCs w:val="20"/>
        </w:rPr>
        <w:drawing>
          <wp:inline distT="0" distB="0" distL="0" distR="0" wp14:anchorId="17DF58D1" wp14:editId="6E5EFDC6">
            <wp:extent cx="5759450" cy="3465195"/>
            <wp:effectExtent l="0" t="0" r="6350" b="1905"/>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59450" cy="3465195"/>
                    </a:xfrm>
                    <a:prstGeom prst="rect">
                      <a:avLst/>
                    </a:prstGeom>
                  </pic:spPr>
                </pic:pic>
              </a:graphicData>
            </a:graphic>
          </wp:inline>
        </w:drawing>
      </w:r>
    </w:p>
    <w:p w14:paraId="0F0F1C53" w14:textId="5E2578F7" w:rsidR="00802A58" w:rsidRPr="00802A58" w:rsidRDefault="00802A58" w:rsidP="00026CAF">
      <w:pPr>
        <w:tabs>
          <w:tab w:val="left" w:pos="426"/>
        </w:tabs>
        <w:autoSpaceDE w:val="0"/>
        <w:autoSpaceDN w:val="0"/>
        <w:adjustRightInd w:val="0"/>
        <w:spacing w:after="0"/>
        <w:jc w:val="both"/>
        <w:rPr>
          <w:rFonts w:ascii="Tahoma" w:hAnsi="Tahoma" w:cs="Arial"/>
          <w:sz w:val="16"/>
          <w:szCs w:val="18"/>
        </w:rPr>
      </w:pPr>
      <w:r w:rsidRPr="00802A58">
        <w:rPr>
          <w:rFonts w:ascii="Tahoma" w:hAnsi="Tahoma" w:cs="Arial"/>
          <w:sz w:val="16"/>
          <w:szCs w:val="18"/>
        </w:rPr>
        <w:t>Fig</w:t>
      </w:r>
      <w:r w:rsidR="00BB6A42">
        <w:rPr>
          <w:rFonts w:ascii="Tahoma" w:hAnsi="Tahoma" w:cs="Arial"/>
          <w:sz w:val="16"/>
          <w:szCs w:val="18"/>
        </w:rPr>
        <w:t>ure</w:t>
      </w:r>
      <w:r w:rsidRPr="00802A58">
        <w:rPr>
          <w:rFonts w:ascii="Tahoma" w:hAnsi="Tahoma" w:cs="Arial"/>
          <w:sz w:val="16"/>
          <w:szCs w:val="18"/>
        </w:rPr>
        <w:t xml:space="preserve"> </w:t>
      </w:r>
      <w:r w:rsidR="00843958">
        <w:rPr>
          <w:rFonts w:ascii="Tahoma" w:hAnsi="Tahoma" w:cs="Arial"/>
          <w:sz w:val="16"/>
          <w:szCs w:val="18"/>
        </w:rPr>
        <w:t>C3</w:t>
      </w:r>
      <w:r w:rsidRPr="00802A58">
        <w:rPr>
          <w:rFonts w:ascii="Tahoma" w:hAnsi="Tahoma" w:cs="Arial"/>
          <w:sz w:val="16"/>
          <w:szCs w:val="18"/>
        </w:rPr>
        <w:t>: The</w:t>
      </w:r>
      <w:r w:rsidRPr="00802A58" w:rsidDel="00BB6A42">
        <w:rPr>
          <w:rFonts w:ascii="Tahoma" w:hAnsi="Tahoma" w:cs="Arial"/>
          <w:sz w:val="16"/>
          <w:szCs w:val="18"/>
        </w:rPr>
        <w:t xml:space="preserve"> </w:t>
      </w:r>
      <w:r w:rsidR="00BB6A42">
        <w:rPr>
          <w:rFonts w:ascii="Tahoma" w:hAnsi="Tahoma" w:cs="Arial"/>
          <w:sz w:val="16"/>
          <w:szCs w:val="18"/>
        </w:rPr>
        <w:t>3.</w:t>
      </w:r>
      <w:r w:rsidR="00BB6A42" w:rsidRPr="00802A58">
        <w:rPr>
          <w:rFonts w:ascii="Tahoma" w:hAnsi="Tahoma" w:cs="Arial"/>
          <w:sz w:val="16"/>
          <w:szCs w:val="18"/>
        </w:rPr>
        <w:t>2</w:t>
      </w:r>
      <w:r w:rsidRPr="00802A58">
        <w:rPr>
          <w:rFonts w:ascii="Tahoma" w:hAnsi="Tahoma" w:cs="Arial"/>
          <w:sz w:val="16"/>
          <w:szCs w:val="18"/>
        </w:rPr>
        <w:t xml:space="preserve"> Example: prior and posterior densities (pink and orange coloured respectively) for the background response, the maximum response, the BMD, and the parameter </w:t>
      </w:r>
      <w:r w:rsidRPr="00802A58">
        <w:rPr>
          <w:rFonts w:ascii="Tahoma" w:hAnsi="Tahoma" w:cs="Arial"/>
          <w:i/>
          <w:iCs/>
          <w:sz w:val="16"/>
          <w:szCs w:val="18"/>
        </w:rPr>
        <w:t>d</w:t>
      </w:r>
      <w:r w:rsidRPr="00802A58">
        <w:rPr>
          <w:rFonts w:ascii="Tahoma" w:hAnsi="Tahoma" w:cs="Arial"/>
          <w:sz w:val="16"/>
          <w:szCs w:val="18"/>
        </w:rPr>
        <w:t>, for the normal-quadratic exponential model. The vertical dashed lines in the upper panels are the observed values for the background and maximum response.</w:t>
      </w:r>
    </w:p>
    <w:p w14:paraId="51BE5865" w14:textId="77777777" w:rsidR="00802A58" w:rsidRPr="00802A58" w:rsidRDefault="00802A58" w:rsidP="00802A58">
      <w:pPr>
        <w:spacing w:after="120" w:line="240" w:lineRule="auto"/>
        <w:jc w:val="both"/>
        <w:rPr>
          <w:rFonts w:ascii="Tahoma" w:hAnsi="Tahoma"/>
          <w:sz w:val="20"/>
          <w:szCs w:val="20"/>
        </w:rPr>
      </w:pPr>
    </w:p>
    <w:p w14:paraId="0E51F608" w14:textId="6B9304A6" w:rsidR="00802A58" w:rsidRPr="00802A58" w:rsidRDefault="00802A58" w:rsidP="00802A58">
      <w:pPr>
        <w:spacing w:after="120" w:line="240" w:lineRule="auto"/>
        <w:jc w:val="both"/>
        <w:rPr>
          <w:rFonts w:ascii="Tahoma" w:hAnsi="Tahoma"/>
          <w:sz w:val="20"/>
          <w:szCs w:val="20"/>
        </w:rPr>
      </w:pPr>
      <w:r w:rsidRPr="00802A58">
        <w:rPr>
          <w:rFonts w:ascii="Tahoma" w:hAnsi="Tahoma"/>
          <w:sz w:val="20"/>
          <w:szCs w:val="20"/>
        </w:rPr>
        <w:t xml:space="preserve">Using the weights of Table </w:t>
      </w:r>
      <w:r w:rsidR="00843958">
        <w:rPr>
          <w:rFonts w:ascii="Tahoma" w:hAnsi="Tahoma"/>
          <w:sz w:val="20"/>
          <w:szCs w:val="20"/>
        </w:rPr>
        <w:t>C2</w:t>
      </w:r>
      <w:r w:rsidRPr="00802A58">
        <w:rPr>
          <w:rFonts w:ascii="Tahoma" w:hAnsi="Tahoma"/>
          <w:sz w:val="20"/>
          <w:szCs w:val="20"/>
        </w:rPr>
        <w:t xml:space="preserve"> (last column) and based on Bridge sampling, the final model averaged BMD estimate equals 0.353, somewhat larger than the true value of 0.229, with 90% CI (0.021, 1.487). The ratio of </w:t>
      </w:r>
      <m:oMath>
        <m:f>
          <m:fPr>
            <m:ctrlPr>
              <w:rPr>
                <w:rFonts w:ascii="Cambria Math" w:eastAsia="Times New Roman" w:hAnsi="Cambria Math" w:cs="Tahoma"/>
                <w:i/>
                <w:sz w:val="20"/>
                <w:szCs w:val="20"/>
                <w:lang w:val="en-US" w:eastAsia="en-GB"/>
              </w:rPr>
            </m:ctrlPr>
          </m:fPr>
          <m:num>
            <m:r>
              <w:rPr>
                <w:rFonts w:ascii="Cambria Math" w:hAnsi="Cambria Math" w:cs="Tahoma"/>
                <w:sz w:val="20"/>
                <w:szCs w:val="20"/>
                <w:lang w:val="en-US"/>
              </w:rPr>
              <m:t>BMD</m:t>
            </m:r>
          </m:num>
          <m:den>
            <m:r>
              <w:rPr>
                <w:rFonts w:ascii="Cambria Math" w:hAnsi="Cambria Math" w:cs="Tahoma"/>
                <w:sz w:val="20"/>
                <w:szCs w:val="20"/>
                <w:lang w:val="en-US"/>
              </w:rPr>
              <m:t>BMDL</m:t>
            </m:r>
          </m:den>
        </m:f>
      </m:oMath>
      <w:r w:rsidRPr="00802A58">
        <w:rPr>
          <w:rFonts w:ascii="Tahoma" w:eastAsiaTheme="minorEastAsia" w:hAnsi="Tahoma"/>
          <w:sz w:val="20"/>
          <w:szCs w:val="20"/>
          <w:lang w:val="en-US" w:eastAsia="en-GB"/>
        </w:rPr>
        <w:t xml:space="preserve"> is equal to 16.8</w:t>
      </w:r>
      <w:r w:rsidRPr="00802A58">
        <w:rPr>
          <w:rFonts w:ascii="Tahoma" w:eastAsiaTheme="minorEastAsia" w:hAnsi="Tahoma"/>
          <w:sz w:val="20"/>
          <w:szCs w:val="20"/>
          <w:lang w:val="en-US"/>
        </w:rPr>
        <w:t xml:space="preserve"> and for </w:t>
      </w:r>
      <m:oMath>
        <m:f>
          <m:fPr>
            <m:ctrlPr>
              <w:rPr>
                <w:rFonts w:ascii="Cambria Math" w:eastAsia="Times New Roman" w:hAnsi="Cambria Math" w:cs="Tahoma"/>
                <w:i/>
                <w:sz w:val="20"/>
                <w:szCs w:val="20"/>
                <w:lang w:val="en-US" w:eastAsia="en-GB"/>
              </w:rPr>
            </m:ctrlPr>
          </m:fPr>
          <m:num>
            <m:r>
              <w:rPr>
                <w:rFonts w:ascii="Cambria Math" w:hAnsi="Cambria Math" w:cs="Tahoma"/>
                <w:sz w:val="20"/>
                <w:szCs w:val="20"/>
                <w:lang w:val="en-US"/>
              </w:rPr>
              <m:t>BMDU</m:t>
            </m:r>
          </m:num>
          <m:den>
            <m:r>
              <w:rPr>
                <w:rFonts w:ascii="Cambria Math" w:hAnsi="Cambria Math" w:cs="Tahoma"/>
                <w:sz w:val="20"/>
                <w:szCs w:val="20"/>
                <w:lang w:val="en-US"/>
              </w:rPr>
              <m:t>BMDL</m:t>
            </m:r>
          </m:den>
        </m:f>
      </m:oMath>
      <w:r w:rsidRPr="00802A58">
        <w:rPr>
          <w:rFonts w:ascii="Tahoma" w:eastAsiaTheme="minorEastAsia" w:hAnsi="Tahoma"/>
          <w:sz w:val="20"/>
          <w:szCs w:val="20"/>
          <w:lang w:val="en-US" w:eastAsia="en-GB"/>
        </w:rPr>
        <w:t xml:space="preserve"> is around 74, indicating uncertainty in the estimation of the BMD, but it is already improved in comparison to the results obtained when using the frequentist</w:t>
      </w:r>
      <w:r w:rsidRPr="00802A58">
        <w:rPr>
          <w:rFonts w:ascii="Tahoma" w:hAnsi="Tahoma"/>
          <w:sz w:val="20"/>
          <w:szCs w:val="20"/>
        </w:rPr>
        <w:t xml:space="preserve"> approach (PROAST). Note that the BMDL is about 10 times smaller than the true BMD and that the </w:t>
      </w:r>
      <w:proofErr w:type="spellStart"/>
      <w:r w:rsidRPr="00802A58">
        <w:rPr>
          <w:rFonts w:ascii="Tahoma" w:hAnsi="Tahoma"/>
          <w:sz w:val="20"/>
          <w:szCs w:val="20"/>
        </w:rPr>
        <w:t>CrI</w:t>
      </w:r>
      <w:proofErr w:type="spellEnd"/>
      <w:r w:rsidRPr="00802A58">
        <w:rPr>
          <w:rFonts w:ascii="Tahoma" w:hAnsi="Tahoma"/>
          <w:sz w:val="20"/>
          <w:szCs w:val="20"/>
        </w:rPr>
        <w:t xml:space="preserve"> covers almost have of the range (0,3) (3 being the first active dose). Figure </w:t>
      </w:r>
      <w:r w:rsidR="00DD1290">
        <w:rPr>
          <w:rFonts w:ascii="Tahoma" w:hAnsi="Tahoma"/>
          <w:sz w:val="20"/>
          <w:szCs w:val="20"/>
        </w:rPr>
        <w:t>C4</w:t>
      </w:r>
      <w:r w:rsidRPr="00802A58">
        <w:rPr>
          <w:rFonts w:ascii="Tahoma" w:hAnsi="Tahoma"/>
          <w:sz w:val="20"/>
          <w:szCs w:val="20"/>
        </w:rPr>
        <w:t xml:space="preserve"> shows, on the log-scale, the summary data together with the model-specific fitted dose-response models, together with the </w:t>
      </w:r>
      <w:proofErr w:type="spellStart"/>
      <w:r w:rsidRPr="00802A58">
        <w:rPr>
          <w:rFonts w:ascii="Tahoma" w:hAnsi="Tahoma"/>
          <w:sz w:val="20"/>
          <w:szCs w:val="20"/>
        </w:rPr>
        <w:t>CrI</w:t>
      </w:r>
      <w:proofErr w:type="spellEnd"/>
      <w:r w:rsidRPr="00802A58">
        <w:rPr>
          <w:rFonts w:ascii="Tahoma" w:hAnsi="Tahoma"/>
          <w:sz w:val="20"/>
          <w:szCs w:val="20"/>
        </w:rPr>
        <w:t xml:space="preserve"> (in green), the BMD estimate (red bullet point), and the posterior distribution of the BMD, with the 90 % </w:t>
      </w:r>
      <w:proofErr w:type="spellStart"/>
      <w:r w:rsidRPr="00802A58">
        <w:rPr>
          <w:rFonts w:ascii="Tahoma" w:hAnsi="Tahoma"/>
          <w:sz w:val="20"/>
          <w:szCs w:val="20"/>
        </w:rPr>
        <w:t>CrI</w:t>
      </w:r>
      <w:proofErr w:type="spellEnd"/>
      <w:r w:rsidRPr="00802A58">
        <w:rPr>
          <w:rFonts w:ascii="Tahoma" w:hAnsi="Tahoma"/>
          <w:sz w:val="20"/>
          <w:szCs w:val="20"/>
        </w:rPr>
        <w:t xml:space="preserve"> (in green) and the BMD estimate (red bullet point). Note how the fitted models vary substantially in the range from dose 0 to the first dose level, resulting in very different BMD estimates. As no data are available in the range (0,3) (covering the range 0 to more than 10 times the true BMD), no model can be informed by such data, and the different models adapt optimally to the available data on the higher dose levels, with the consequence that the fits deviate a lot in the dose range of interest.</w:t>
      </w:r>
    </w:p>
    <w:p w14:paraId="7958547D" w14:textId="77777777" w:rsidR="00802A58" w:rsidRPr="00802A58" w:rsidRDefault="00802A58" w:rsidP="00802A58">
      <w:pPr>
        <w:spacing w:after="120" w:line="240" w:lineRule="auto"/>
        <w:jc w:val="both"/>
        <w:rPr>
          <w:rFonts w:ascii="Tahoma" w:hAnsi="Tahoma"/>
          <w:sz w:val="20"/>
          <w:szCs w:val="20"/>
        </w:rPr>
      </w:pPr>
    </w:p>
    <w:tbl>
      <w:tblPr>
        <w:tblStyle w:val="TableGrid"/>
        <w:tblW w:w="0" w:type="auto"/>
        <w:tblLook w:val="04A0" w:firstRow="1" w:lastRow="0" w:firstColumn="1" w:lastColumn="0" w:noHBand="0" w:noVBand="1"/>
      </w:tblPr>
      <w:tblGrid>
        <w:gridCol w:w="4516"/>
        <w:gridCol w:w="4544"/>
      </w:tblGrid>
      <w:tr w:rsidR="00802A58" w:rsidRPr="00802A58" w14:paraId="64335CFA" w14:textId="77777777" w:rsidTr="00754719">
        <w:tc>
          <w:tcPr>
            <w:tcW w:w="0" w:type="auto"/>
          </w:tcPr>
          <w:p w14:paraId="4CAE3978" w14:textId="77777777" w:rsidR="00802A58" w:rsidRPr="00802A58" w:rsidRDefault="00802A58" w:rsidP="00802A58">
            <w:pPr>
              <w:spacing w:after="120"/>
              <w:jc w:val="both"/>
            </w:pPr>
            <w:r w:rsidRPr="00802A58">
              <w:rPr>
                <w:noProof/>
              </w:rPr>
              <w:drawing>
                <wp:inline distT="0" distB="0" distL="0" distR="0" wp14:anchorId="4D3A8971" wp14:editId="59B79F46">
                  <wp:extent cx="2751151" cy="1655239"/>
                  <wp:effectExtent l="0" t="0" r="508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786345" cy="1676413"/>
                          </a:xfrm>
                          <a:prstGeom prst="rect">
                            <a:avLst/>
                          </a:prstGeom>
                        </pic:spPr>
                      </pic:pic>
                    </a:graphicData>
                  </a:graphic>
                </wp:inline>
              </w:drawing>
            </w:r>
          </w:p>
        </w:tc>
        <w:tc>
          <w:tcPr>
            <w:tcW w:w="0" w:type="auto"/>
          </w:tcPr>
          <w:p w14:paraId="52DF8663" w14:textId="77777777" w:rsidR="00802A58" w:rsidRPr="00802A58" w:rsidRDefault="00802A58" w:rsidP="00802A58">
            <w:pPr>
              <w:spacing w:after="120"/>
              <w:jc w:val="both"/>
            </w:pPr>
            <w:r w:rsidRPr="00802A58">
              <w:rPr>
                <w:noProof/>
              </w:rPr>
              <w:drawing>
                <wp:inline distT="0" distB="0" distL="0" distR="0" wp14:anchorId="7466177E" wp14:editId="0BA03F87">
                  <wp:extent cx="2751152" cy="1655241"/>
                  <wp:effectExtent l="0" t="0" r="508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816356" cy="1694471"/>
                          </a:xfrm>
                          <a:prstGeom prst="rect">
                            <a:avLst/>
                          </a:prstGeom>
                        </pic:spPr>
                      </pic:pic>
                    </a:graphicData>
                  </a:graphic>
                </wp:inline>
              </w:drawing>
            </w:r>
          </w:p>
        </w:tc>
      </w:tr>
      <w:tr w:rsidR="00802A58" w:rsidRPr="00802A58" w14:paraId="40F98E65" w14:textId="77777777" w:rsidTr="00754719">
        <w:tc>
          <w:tcPr>
            <w:tcW w:w="0" w:type="auto"/>
          </w:tcPr>
          <w:p w14:paraId="2182DAEF" w14:textId="77777777" w:rsidR="00802A58" w:rsidRPr="00802A58" w:rsidRDefault="00802A58" w:rsidP="00802A58">
            <w:pPr>
              <w:spacing w:after="120"/>
              <w:jc w:val="both"/>
            </w:pPr>
            <w:r w:rsidRPr="00802A58">
              <w:rPr>
                <w:noProof/>
              </w:rPr>
              <w:drawing>
                <wp:inline distT="0" distB="0" distL="0" distR="0" wp14:anchorId="1DB1D02C" wp14:editId="498BEF51">
                  <wp:extent cx="2839122" cy="1708169"/>
                  <wp:effectExtent l="0" t="0" r="5715"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874568" cy="1729496"/>
                          </a:xfrm>
                          <a:prstGeom prst="rect">
                            <a:avLst/>
                          </a:prstGeom>
                        </pic:spPr>
                      </pic:pic>
                    </a:graphicData>
                  </a:graphic>
                </wp:inline>
              </w:drawing>
            </w:r>
          </w:p>
        </w:tc>
        <w:tc>
          <w:tcPr>
            <w:tcW w:w="0" w:type="auto"/>
          </w:tcPr>
          <w:p w14:paraId="3415BCD2" w14:textId="77777777" w:rsidR="00802A58" w:rsidRPr="00802A58" w:rsidRDefault="00802A58" w:rsidP="00802A58">
            <w:pPr>
              <w:spacing w:after="120"/>
              <w:jc w:val="both"/>
            </w:pPr>
            <w:r w:rsidRPr="00802A58">
              <w:rPr>
                <w:noProof/>
              </w:rPr>
              <w:drawing>
                <wp:inline distT="0" distB="0" distL="0" distR="0" wp14:anchorId="1868CD45" wp14:editId="0797978D">
                  <wp:extent cx="2863243" cy="1722681"/>
                  <wp:effectExtent l="0" t="0" r="0" b="508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940314" cy="1769051"/>
                          </a:xfrm>
                          <a:prstGeom prst="rect">
                            <a:avLst/>
                          </a:prstGeom>
                        </pic:spPr>
                      </pic:pic>
                    </a:graphicData>
                  </a:graphic>
                </wp:inline>
              </w:drawing>
            </w:r>
          </w:p>
        </w:tc>
      </w:tr>
    </w:tbl>
    <w:p w14:paraId="40D884D2" w14:textId="5787AD4E" w:rsidR="00802A58" w:rsidRPr="00802A58" w:rsidRDefault="00802A58" w:rsidP="00026CAF">
      <w:pPr>
        <w:tabs>
          <w:tab w:val="left" w:pos="426"/>
        </w:tabs>
        <w:autoSpaceDE w:val="0"/>
        <w:autoSpaceDN w:val="0"/>
        <w:adjustRightInd w:val="0"/>
        <w:spacing w:after="0"/>
        <w:jc w:val="both"/>
        <w:rPr>
          <w:rFonts w:ascii="Tahoma" w:hAnsi="Tahoma" w:cs="Arial"/>
          <w:sz w:val="16"/>
          <w:szCs w:val="18"/>
        </w:rPr>
      </w:pPr>
      <w:r w:rsidRPr="00802A58">
        <w:rPr>
          <w:rFonts w:ascii="Tahoma" w:hAnsi="Tahoma" w:cs="Arial"/>
          <w:sz w:val="16"/>
          <w:szCs w:val="18"/>
        </w:rPr>
        <w:t>Fig</w:t>
      </w:r>
      <w:r w:rsidR="00BB6A42">
        <w:rPr>
          <w:rFonts w:ascii="Tahoma" w:hAnsi="Tahoma" w:cs="Arial"/>
          <w:sz w:val="16"/>
          <w:szCs w:val="18"/>
        </w:rPr>
        <w:t>ure</w:t>
      </w:r>
      <w:r w:rsidRPr="00802A58">
        <w:rPr>
          <w:rFonts w:ascii="Tahoma" w:hAnsi="Tahoma" w:cs="Arial"/>
          <w:sz w:val="16"/>
          <w:szCs w:val="18"/>
        </w:rPr>
        <w:t xml:space="preserve"> </w:t>
      </w:r>
      <w:r w:rsidR="00DD1290">
        <w:rPr>
          <w:rFonts w:ascii="Tahoma" w:hAnsi="Tahoma" w:cs="Arial"/>
          <w:sz w:val="16"/>
          <w:szCs w:val="18"/>
        </w:rPr>
        <w:t>C4</w:t>
      </w:r>
      <w:r w:rsidRPr="00802A58">
        <w:rPr>
          <w:rFonts w:ascii="Tahoma" w:hAnsi="Tahoma" w:cs="Arial"/>
          <w:sz w:val="16"/>
          <w:szCs w:val="18"/>
        </w:rPr>
        <w:t>. The</w:t>
      </w:r>
      <w:r w:rsidRPr="00802A58" w:rsidDel="00BB6A42">
        <w:rPr>
          <w:rFonts w:ascii="Tahoma" w:hAnsi="Tahoma" w:cs="Arial"/>
          <w:sz w:val="16"/>
          <w:szCs w:val="18"/>
        </w:rPr>
        <w:t xml:space="preserve"> </w:t>
      </w:r>
      <w:r w:rsidR="00BB6A42">
        <w:rPr>
          <w:rFonts w:ascii="Tahoma" w:hAnsi="Tahoma" w:cs="Arial"/>
          <w:sz w:val="16"/>
          <w:szCs w:val="18"/>
        </w:rPr>
        <w:t>3.</w:t>
      </w:r>
      <w:r w:rsidR="00BB6A42" w:rsidRPr="00802A58">
        <w:rPr>
          <w:rFonts w:ascii="Tahoma" w:hAnsi="Tahoma" w:cs="Arial"/>
          <w:sz w:val="16"/>
          <w:szCs w:val="18"/>
        </w:rPr>
        <w:t>2</w:t>
      </w:r>
      <w:r w:rsidRPr="00802A58">
        <w:rPr>
          <w:rFonts w:ascii="Tahoma" w:hAnsi="Tahoma" w:cs="Arial"/>
          <w:sz w:val="16"/>
          <w:szCs w:val="18"/>
        </w:rPr>
        <w:t xml:space="preserve"> Example: based on the Bridge sampling: fitted normal dose-response models (upper left), fitted log-normal dose-response models (upper right), all fitted models (lower left), averaged model with posterior density of the BMD, with 90% confidence interval (in green) and BMD point estimate (in red).</w:t>
      </w:r>
    </w:p>
    <w:p w14:paraId="4D6C34BF" w14:textId="77777777" w:rsidR="00802A58" w:rsidRPr="00802A58" w:rsidRDefault="00802A58" w:rsidP="00802A58">
      <w:pPr>
        <w:tabs>
          <w:tab w:val="left" w:pos="426"/>
        </w:tabs>
        <w:autoSpaceDE w:val="0"/>
        <w:autoSpaceDN w:val="0"/>
        <w:adjustRightInd w:val="0"/>
        <w:spacing w:after="0"/>
        <w:rPr>
          <w:rFonts w:ascii="Tahoma" w:hAnsi="Tahoma" w:cs="Arial"/>
          <w:sz w:val="16"/>
          <w:szCs w:val="18"/>
        </w:rPr>
      </w:pPr>
    </w:p>
    <w:p w14:paraId="4B304FAA" w14:textId="7FF3A69B" w:rsidR="00802A58" w:rsidRPr="00802A58" w:rsidRDefault="00802A58" w:rsidP="00D533C0">
      <w:pPr>
        <w:tabs>
          <w:tab w:val="left" w:pos="426"/>
        </w:tabs>
        <w:autoSpaceDE w:val="0"/>
        <w:autoSpaceDN w:val="0"/>
        <w:adjustRightInd w:val="0"/>
        <w:spacing w:after="0"/>
        <w:jc w:val="both"/>
        <w:rPr>
          <w:rFonts w:ascii="Tahoma" w:hAnsi="Tahoma" w:cs="Arial"/>
          <w:sz w:val="20"/>
          <w:szCs w:val="20"/>
        </w:rPr>
      </w:pPr>
      <w:r w:rsidRPr="00802A58">
        <w:rPr>
          <w:rFonts w:ascii="Tahoma" w:hAnsi="Tahoma" w:cs="Arial"/>
          <w:b/>
          <w:bCs/>
          <w:sz w:val="20"/>
          <w:szCs w:val="20"/>
        </w:rPr>
        <w:t xml:space="preserve">Using informative priors. </w:t>
      </w:r>
      <w:r w:rsidRPr="00802A58">
        <w:rPr>
          <w:rFonts w:ascii="Tahoma" w:hAnsi="Tahoma" w:cs="Arial"/>
          <w:sz w:val="20"/>
          <w:szCs w:val="20"/>
        </w:rPr>
        <w:t>We fit the same data again but with different informative priors on the BMD. Remember that the true value of the BMD=0.229.</w:t>
      </w:r>
      <w:r w:rsidR="007E76BE">
        <w:rPr>
          <w:rFonts w:ascii="Tahoma" w:hAnsi="Tahoma" w:cs="Arial"/>
          <w:sz w:val="20"/>
          <w:szCs w:val="20"/>
        </w:rPr>
        <w:t xml:space="preserve"> The table below shows the impact of </w:t>
      </w:r>
      <w:r w:rsidR="002A5E93">
        <w:rPr>
          <w:rFonts w:ascii="Tahoma" w:hAnsi="Tahoma" w:cs="Arial"/>
          <w:sz w:val="20"/>
          <w:szCs w:val="20"/>
        </w:rPr>
        <w:t xml:space="preserve">using informative priors in comparison to </w:t>
      </w:r>
      <w:r w:rsidR="00CF0091">
        <w:rPr>
          <w:rFonts w:ascii="Tahoma" w:hAnsi="Tahoma" w:cs="Arial"/>
          <w:sz w:val="20"/>
          <w:szCs w:val="20"/>
        </w:rPr>
        <w:t xml:space="preserve">uninformative ones. </w:t>
      </w:r>
      <w:r w:rsidR="00B91BB2">
        <w:rPr>
          <w:rFonts w:ascii="Tahoma" w:hAnsi="Tahoma" w:cs="Arial"/>
          <w:sz w:val="20"/>
          <w:szCs w:val="20"/>
        </w:rPr>
        <w:t>When</w:t>
      </w:r>
      <w:r w:rsidR="00C41C62">
        <w:rPr>
          <w:rFonts w:ascii="Tahoma" w:hAnsi="Tahoma" w:cs="Arial"/>
          <w:sz w:val="20"/>
          <w:szCs w:val="20"/>
        </w:rPr>
        <w:t xml:space="preserve"> no mode is used to inform the prior distribution of the </w:t>
      </w:r>
      <w:r w:rsidR="009E1ECC">
        <w:rPr>
          <w:rFonts w:ascii="Tahoma" w:hAnsi="Tahoma" w:cs="Arial"/>
          <w:sz w:val="20"/>
          <w:szCs w:val="20"/>
        </w:rPr>
        <w:t>BMD</w:t>
      </w:r>
      <w:r w:rsidR="0093094D">
        <w:rPr>
          <w:rFonts w:ascii="Tahoma" w:hAnsi="Tahoma" w:cs="Arial"/>
          <w:sz w:val="20"/>
          <w:szCs w:val="20"/>
        </w:rPr>
        <w:t xml:space="preserve">, the estimation procedures does not </w:t>
      </w:r>
      <w:r w:rsidR="007D1339">
        <w:rPr>
          <w:rFonts w:ascii="Tahoma" w:hAnsi="Tahoma" w:cs="Arial"/>
          <w:sz w:val="20"/>
          <w:szCs w:val="20"/>
        </w:rPr>
        <w:t>improve</w:t>
      </w:r>
      <w:r w:rsidR="007002DE">
        <w:rPr>
          <w:rFonts w:ascii="Tahoma" w:hAnsi="Tahoma" w:cs="Arial"/>
          <w:sz w:val="20"/>
          <w:szCs w:val="20"/>
        </w:rPr>
        <w:t xml:space="preserve"> the </w:t>
      </w:r>
      <w:r w:rsidR="00FB06D7">
        <w:rPr>
          <w:rFonts w:ascii="Tahoma" w:hAnsi="Tahoma" w:cs="Arial"/>
          <w:sz w:val="20"/>
          <w:szCs w:val="20"/>
        </w:rPr>
        <w:t xml:space="preserve">precision in estimation, being very large if Laplace approximation is used and </w:t>
      </w:r>
      <w:r w:rsidR="002139CD">
        <w:rPr>
          <w:rFonts w:ascii="Tahoma" w:hAnsi="Tahoma" w:cs="Arial"/>
          <w:sz w:val="20"/>
          <w:szCs w:val="20"/>
        </w:rPr>
        <w:t>larger</w:t>
      </w:r>
      <w:r w:rsidR="00FB06D7">
        <w:rPr>
          <w:rFonts w:ascii="Tahoma" w:hAnsi="Tahoma" w:cs="Arial"/>
          <w:sz w:val="20"/>
          <w:szCs w:val="20"/>
        </w:rPr>
        <w:t xml:space="preserve"> </w:t>
      </w:r>
      <w:r w:rsidR="002139CD">
        <w:rPr>
          <w:rFonts w:ascii="Tahoma" w:hAnsi="Tahoma" w:cs="Arial"/>
          <w:sz w:val="20"/>
          <w:szCs w:val="20"/>
        </w:rPr>
        <w:t xml:space="preserve">than </w:t>
      </w:r>
      <w:r w:rsidR="004C75B9">
        <w:rPr>
          <w:rFonts w:ascii="Tahoma" w:hAnsi="Tahoma" w:cs="Arial"/>
          <w:sz w:val="20"/>
          <w:szCs w:val="20"/>
        </w:rPr>
        <w:t>7</w:t>
      </w:r>
      <w:r w:rsidR="00FB06D7">
        <w:rPr>
          <w:rFonts w:ascii="Tahoma" w:hAnsi="Tahoma" w:cs="Arial"/>
          <w:sz w:val="20"/>
          <w:szCs w:val="20"/>
        </w:rPr>
        <w:t xml:space="preserve">0 </w:t>
      </w:r>
      <w:r w:rsidR="002139CD">
        <w:rPr>
          <w:rFonts w:ascii="Tahoma" w:hAnsi="Tahoma" w:cs="Arial"/>
          <w:sz w:val="20"/>
          <w:szCs w:val="20"/>
        </w:rPr>
        <w:t xml:space="preserve">when Bridge sampling is used. </w:t>
      </w:r>
      <w:proofErr w:type="gramStart"/>
      <w:r w:rsidR="002139CD">
        <w:rPr>
          <w:rFonts w:ascii="Tahoma" w:hAnsi="Tahoma" w:cs="Arial"/>
          <w:sz w:val="20"/>
          <w:szCs w:val="20"/>
        </w:rPr>
        <w:t>It is clear that</w:t>
      </w:r>
      <w:r w:rsidR="00E660B7">
        <w:rPr>
          <w:rFonts w:ascii="Tahoma" w:hAnsi="Tahoma" w:cs="Arial"/>
          <w:sz w:val="20"/>
          <w:szCs w:val="20"/>
        </w:rPr>
        <w:t xml:space="preserve"> if</w:t>
      </w:r>
      <w:proofErr w:type="gramEnd"/>
      <w:r w:rsidR="00FD2B3D">
        <w:rPr>
          <w:rFonts w:ascii="Tahoma" w:hAnsi="Tahoma" w:cs="Arial"/>
          <w:sz w:val="20"/>
          <w:szCs w:val="20"/>
        </w:rPr>
        <w:t xml:space="preserve"> the range in which the BMD should be located</w:t>
      </w:r>
      <w:r w:rsidR="00E660B7">
        <w:rPr>
          <w:rFonts w:ascii="Tahoma" w:hAnsi="Tahoma" w:cs="Arial"/>
          <w:sz w:val="20"/>
          <w:szCs w:val="20"/>
        </w:rPr>
        <w:t xml:space="preserve"> is restricted </w:t>
      </w:r>
      <w:r w:rsidR="00BC4EF6">
        <w:rPr>
          <w:rFonts w:ascii="Tahoma" w:hAnsi="Tahoma" w:cs="Arial"/>
          <w:sz w:val="20"/>
          <w:szCs w:val="20"/>
        </w:rPr>
        <w:t>and a mo</w:t>
      </w:r>
      <w:r w:rsidR="007C7D8E">
        <w:rPr>
          <w:rFonts w:ascii="Tahoma" w:hAnsi="Tahoma" w:cs="Arial"/>
          <w:sz w:val="20"/>
          <w:szCs w:val="20"/>
        </w:rPr>
        <w:t xml:space="preserve">st likely value is provided, the estimation </w:t>
      </w:r>
      <w:r w:rsidR="002C5A8C">
        <w:rPr>
          <w:rFonts w:ascii="Tahoma" w:hAnsi="Tahoma" w:cs="Arial"/>
          <w:sz w:val="20"/>
          <w:szCs w:val="20"/>
        </w:rPr>
        <w:t>precision</w:t>
      </w:r>
      <w:r w:rsidR="00601C57">
        <w:rPr>
          <w:rFonts w:ascii="Tahoma" w:hAnsi="Tahoma" w:cs="Arial"/>
          <w:sz w:val="20"/>
          <w:szCs w:val="20"/>
        </w:rPr>
        <w:t xml:space="preserve"> improves drasticall</w:t>
      </w:r>
      <w:r w:rsidR="002C5A8C">
        <w:rPr>
          <w:rFonts w:ascii="Tahoma" w:hAnsi="Tahoma" w:cs="Arial"/>
          <w:sz w:val="20"/>
          <w:szCs w:val="20"/>
        </w:rPr>
        <w:t>y</w:t>
      </w:r>
      <w:r w:rsidR="00FA37D5">
        <w:rPr>
          <w:rFonts w:ascii="Tahoma" w:hAnsi="Tahoma" w:cs="Arial"/>
          <w:sz w:val="20"/>
          <w:szCs w:val="20"/>
        </w:rPr>
        <w:t xml:space="preserve"> with a ratio for Laplace</w:t>
      </w:r>
      <w:r w:rsidR="000021D3">
        <w:rPr>
          <w:rFonts w:ascii="Tahoma" w:hAnsi="Tahoma" w:cs="Arial"/>
          <w:sz w:val="20"/>
          <w:szCs w:val="20"/>
        </w:rPr>
        <w:t xml:space="preserve"> approximation</w:t>
      </w:r>
      <w:r w:rsidR="00FA37D5">
        <w:rPr>
          <w:rFonts w:ascii="Tahoma" w:hAnsi="Tahoma" w:cs="Arial"/>
          <w:sz w:val="20"/>
          <w:szCs w:val="20"/>
        </w:rPr>
        <w:t xml:space="preserve"> smaller than </w:t>
      </w:r>
      <w:r w:rsidR="00E71DFF">
        <w:rPr>
          <w:rFonts w:ascii="Tahoma" w:hAnsi="Tahoma" w:cs="Arial"/>
          <w:sz w:val="20"/>
          <w:szCs w:val="20"/>
        </w:rPr>
        <w:t>20 for Laplace and less than 10 for Bridge sampling</w:t>
      </w:r>
      <w:r w:rsidR="000351C8">
        <w:rPr>
          <w:rFonts w:ascii="Tahoma" w:hAnsi="Tahoma" w:cs="Arial"/>
          <w:sz w:val="20"/>
          <w:szCs w:val="20"/>
        </w:rPr>
        <w:t xml:space="preserve">. It is also worth noting that </w:t>
      </w:r>
      <w:r w:rsidR="00F6460C">
        <w:rPr>
          <w:rFonts w:ascii="Tahoma" w:hAnsi="Tahoma" w:cs="Arial"/>
          <w:sz w:val="20"/>
          <w:szCs w:val="20"/>
        </w:rPr>
        <w:t xml:space="preserve">if the </w:t>
      </w:r>
      <w:r w:rsidR="008B15F4">
        <w:rPr>
          <w:rFonts w:ascii="Tahoma" w:hAnsi="Tahoma" w:cs="Arial"/>
          <w:sz w:val="20"/>
          <w:szCs w:val="20"/>
        </w:rPr>
        <w:t xml:space="preserve">informative prior is </w:t>
      </w:r>
      <w:r w:rsidR="00CC5749">
        <w:rPr>
          <w:rFonts w:ascii="Tahoma" w:hAnsi="Tahoma" w:cs="Arial"/>
          <w:sz w:val="20"/>
          <w:szCs w:val="20"/>
        </w:rPr>
        <w:t>misspecified</w:t>
      </w:r>
      <w:r w:rsidR="00E615A4">
        <w:rPr>
          <w:rFonts w:ascii="Tahoma" w:hAnsi="Tahoma" w:cs="Arial"/>
          <w:sz w:val="20"/>
          <w:szCs w:val="20"/>
        </w:rPr>
        <w:t xml:space="preserve">, then the </w:t>
      </w:r>
      <w:r w:rsidR="00DC2130">
        <w:rPr>
          <w:rFonts w:ascii="Tahoma" w:hAnsi="Tahoma" w:cs="Arial"/>
          <w:sz w:val="20"/>
          <w:szCs w:val="20"/>
        </w:rPr>
        <w:t xml:space="preserve">resulting BMD estimation </w:t>
      </w:r>
      <w:r w:rsidR="008150C4">
        <w:rPr>
          <w:rFonts w:ascii="Tahoma" w:hAnsi="Tahoma" w:cs="Arial"/>
          <w:sz w:val="20"/>
          <w:szCs w:val="20"/>
        </w:rPr>
        <w:t>might be as well biased.</w:t>
      </w:r>
    </w:p>
    <w:p w14:paraId="176D0327" w14:textId="77777777" w:rsidR="00802A58" w:rsidRPr="00802A58" w:rsidRDefault="00802A58" w:rsidP="00802A58">
      <w:pPr>
        <w:tabs>
          <w:tab w:val="left" w:pos="426"/>
        </w:tabs>
        <w:autoSpaceDE w:val="0"/>
        <w:autoSpaceDN w:val="0"/>
        <w:adjustRightInd w:val="0"/>
        <w:spacing w:after="0"/>
        <w:rPr>
          <w:rFonts w:ascii="Tahoma" w:hAnsi="Tahoma" w:cs="Arial"/>
          <w:sz w:val="20"/>
          <w:szCs w:val="20"/>
        </w:rPr>
      </w:pPr>
    </w:p>
    <w:tbl>
      <w:tblPr>
        <w:tblStyle w:val="TableGrid"/>
        <w:tblW w:w="0" w:type="auto"/>
        <w:jc w:val="center"/>
        <w:tblLook w:val="04A0" w:firstRow="1" w:lastRow="0" w:firstColumn="1" w:lastColumn="0" w:noHBand="0" w:noVBand="1"/>
      </w:tblPr>
      <w:tblGrid>
        <w:gridCol w:w="4395"/>
        <w:gridCol w:w="2121"/>
        <w:gridCol w:w="2268"/>
      </w:tblGrid>
      <w:tr w:rsidR="00802A58" w:rsidRPr="00802A58" w14:paraId="469A55F4" w14:textId="77777777" w:rsidTr="00754719">
        <w:trPr>
          <w:jc w:val="center"/>
        </w:trPr>
        <w:tc>
          <w:tcPr>
            <w:tcW w:w="4395" w:type="dxa"/>
            <w:tcBorders>
              <w:left w:val="nil"/>
              <w:bottom w:val="single" w:sz="4" w:space="0" w:color="auto"/>
              <w:right w:val="nil"/>
            </w:tcBorders>
          </w:tcPr>
          <w:p w14:paraId="4C1EB334" w14:textId="77777777" w:rsidR="00802A58" w:rsidRPr="00802A58" w:rsidRDefault="00802A58" w:rsidP="00802A58">
            <w:pPr>
              <w:tabs>
                <w:tab w:val="left" w:pos="426"/>
              </w:tabs>
              <w:autoSpaceDE w:val="0"/>
              <w:autoSpaceDN w:val="0"/>
              <w:adjustRightInd w:val="0"/>
              <w:rPr>
                <w:rFonts w:cs="Arial"/>
                <w:b/>
                <w:bCs/>
              </w:rPr>
            </w:pPr>
            <w:r w:rsidRPr="00802A58">
              <w:rPr>
                <w:rFonts w:cs="Arial"/>
                <w:b/>
                <w:bCs/>
              </w:rPr>
              <w:t>Informative prior on BMD</w:t>
            </w:r>
          </w:p>
        </w:tc>
        <w:tc>
          <w:tcPr>
            <w:tcW w:w="2121" w:type="dxa"/>
            <w:tcBorders>
              <w:left w:val="nil"/>
              <w:bottom w:val="single" w:sz="4" w:space="0" w:color="auto"/>
              <w:right w:val="nil"/>
            </w:tcBorders>
          </w:tcPr>
          <w:p w14:paraId="50CDA908" w14:textId="77777777" w:rsidR="00802A58" w:rsidRPr="00802A58" w:rsidRDefault="00802A58" w:rsidP="00802A58">
            <w:pPr>
              <w:tabs>
                <w:tab w:val="left" w:pos="426"/>
              </w:tabs>
              <w:autoSpaceDE w:val="0"/>
              <w:autoSpaceDN w:val="0"/>
              <w:adjustRightInd w:val="0"/>
              <w:rPr>
                <w:rFonts w:cs="Arial"/>
                <w:b/>
                <w:bCs/>
              </w:rPr>
            </w:pPr>
            <w:r w:rsidRPr="00802A58">
              <w:rPr>
                <w:rFonts w:cs="Arial"/>
                <w:b/>
                <w:bCs/>
              </w:rPr>
              <w:t>Laplace approximation</w:t>
            </w:r>
          </w:p>
          <w:p w14:paraId="7CDA7B42" w14:textId="77777777" w:rsidR="00802A58" w:rsidRPr="00802A58" w:rsidRDefault="00802A58" w:rsidP="00802A58">
            <w:pPr>
              <w:tabs>
                <w:tab w:val="left" w:pos="426"/>
              </w:tabs>
              <w:autoSpaceDE w:val="0"/>
              <w:autoSpaceDN w:val="0"/>
              <w:adjustRightInd w:val="0"/>
              <w:rPr>
                <w:rFonts w:cs="Arial"/>
                <w:b/>
                <w:bCs/>
              </w:rPr>
            </w:pPr>
            <w:r w:rsidRPr="00802A58">
              <w:rPr>
                <w:rFonts w:cs="Arial"/>
                <w:b/>
                <w:bCs/>
              </w:rPr>
              <w:t xml:space="preserve">BMD and </w:t>
            </w:r>
            <w:proofErr w:type="spellStart"/>
            <w:r w:rsidRPr="00802A58">
              <w:rPr>
                <w:rFonts w:cs="Arial"/>
                <w:b/>
                <w:bCs/>
              </w:rPr>
              <w:t>CrI</w:t>
            </w:r>
            <w:proofErr w:type="spellEnd"/>
          </w:p>
        </w:tc>
        <w:tc>
          <w:tcPr>
            <w:tcW w:w="2268" w:type="dxa"/>
            <w:tcBorders>
              <w:left w:val="nil"/>
              <w:bottom w:val="single" w:sz="4" w:space="0" w:color="auto"/>
              <w:right w:val="nil"/>
            </w:tcBorders>
          </w:tcPr>
          <w:p w14:paraId="64B78DA2" w14:textId="77777777" w:rsidR="00802A58" w:rsidRPr="00802A58" w:rsidRDefault="00802A58" w:rsidP="00802A58">
            <w:pPr>
              <w:tabs>
                <w:tab w:val="left" w:pos="426"/>
              </w:tabs>
              <w:autoSpaceDE w:val="0"/>
              <w:autoSpaceDN w:val="0"/>
              <w:adjustRightInd w:val="0"/>
              <w:rPr>
                <w:rFonts w:cs="Arial"/>
                <w:b/>
                <w:bCs/>
              </w:rPr>
            </w:pPr>
            <w:r w:rsidRPr="00802A58">
              <w:rPr>
                <w:rFonts w:cs="Arial"/>
                <w:b/>
                <w:bCs/>
              </w:rPr>
              <w:t>Bridge sampling</w:t>
            </w:r>
          </w:p>
          <w:p w14:paraId="70C16706" w14:textId="77777777" w:rsidR="00802A58" w:rsidRPr="00802A58" w:rsidRDefault="00802A58" w:rsidP="00802A58">
            <w:pPr>
              <w:tabs>
                <w:tab w:val="left" w:pos="426"/>
              </w:tabs>
              <w:autoSpaceDE w:val="0"/>
              <w:autoSpaceDN w:val="0"/>
              <w:adjustRightInd w:val="0"/>
              <w:rPr>
                <w:rFonts w:cs="Arial"/>
                <w:b/>
                <w:bCs/>
              </w:rPr>
            </w:pPr>
            <w:r w:rsidRPr="00802A58">
              <w:rPr>
                <w:rFonts w:cs="Arial"/>
                <w:b/>
                <w:bCs/>
              </w:rPr>
              <w:t xml:space="preserve">BMD and </w:t>
            </w:r>
            <w:proofErr w:type="spellStart"/>
            <w:r w:rsidRPr="00802A58">
              <w:rPr>
                <w:rFonts w:cs="Arial"/>
                <w:b/>
                <w:bCs/>
              </w:rPr>
              <w:t>CrI</w:t>
            </w:r>
            <w:proofErr w:type="spellEnd"/>
          </w:p>
        </w:tc>
      </w:tr>
      <w:tr w:rsidR="00802A58" w:rsidRPr="00802A58" w14:paraId="7CA27F36" w14:textId="77777777" w:rsidTr="00754719">
        <w:trPr>
          <w:jc w:val="center"/>
        </w:trPr>
        <w:tc>
          <w:tcPr>
            <w:tcW w:w="4395" w:type="dxa"/>
            <w:tcBorders>
              <w:left w:val="nil"/>
              <w:bottom w:val="nil"/>
              <w:right w:val="nil"/>
            </w:tcBorders>
          </w:tcPr>
          <w:p w14:paraId="29E04663" w14:textId="77777777" w:rsidR="00802A58" w:rsidRPr="00802A58" w:rsidRDefault="00802A58" w:rsidP="00802A58">
            <w:pPr>
              <w:tabs>
                <w:tab w:val="left" w:pos="426"/>
              </w:tabs>
              <w:autoSpaceDE w:val="0"/>
              <w:autoSpaceDN w:val="0"/>
              <w:adjustRightInd w:val="0"/>
              <w:rPr>
                <w:rFonts w:cs="Arial"/>
              </w:rPr>
            </w:pPr>
            <w:r w:rsidRPr="00802A58">
              <w:rPr>
                <w:rFonts w:cs="Arial"/>
              </w:rPr>
              <w:t xml:space="preserve">Uninformative prior </w:t>
            </w:r>
          </w:p>
        </w:tc>
        <w:tc>
          <w:tcPr>
            <w:tcW w:w="2121" w:type="dxa"/>
            <w:tcBorders>
              <w:left w:val="nil"/>
              <w:bottom w:val="nil"/>
              <w:right w:val="nil"/>
            </w:tcBorders>
          </w:tcPr>
          <w:p w14:paraId="1BF90827" w14:textId="77777777" w:rsidR="00802A58" w:rsidRPr="00802A58" w:rsidRDefault="00802A58" w:rsidP="00802A58">
            <w:pPr>
              <w:tabs>
                <w:tab w:val="left" w:pos="426"/>
              </w:tabs>
              <w:autoSpaceDE w:val="0"/>
              <w:autoSpaceDN w:val="0"/>
              <w:adjustRightInd w:val="0"/>
              <w:rPr>
                <w:rFonts w:cs="Arial"/>
              </w:rPr>
            </w:pPr>
            <w:proofErr w:type="gramStart"/>
            <w:r w:rsidRPr="00802A58">
              <w:rPr>
                <w:rFonts w:cs="Tahoma"/>
                <w:lang w:val="en-US"/>
              </w:rPr>
              <w:t>0.003  (</w:t>
            </w:r>
            <w:proofErr w:type="gramEnd"/>
            <w:r w:rsidRPr="00802A58">
              <w:rPr>
                <w:rFonts w:cs="Tahoma"/>
                <w:lang w:val="en-US"/>
              </w:rPr>
              <w:t>0.000, 10)</w:t>
            </w:r>
          </w:p>
        </w:tc>
        <w:tc>
          <w:tcPr>
            <w:tcW w:w="2268" w:type="dxa"/>
            <w:tcBorders>
              <w:left w:val="nil"/>
              <w:bottom w:val="nil"/>
              <w:right w:val="nil"/>
            </w:tcBorders>
          </w:tcPr>
          <w:p w14:paraId="3BBA7EE2" w14:textId="77777777" w:rsidR="00802A58" w:rsidRPr="00802A58" w:rsidRDefault="00802A58" w:rsidP="00802A58">
            <w:pPr>
              <w:tabs>
                <w:tab w:val="left" w:pos="426"/>
              </w:tabs>
              <w:autoSpaceDE w:val="0"/>
              <w:autoSpaceDN w:val="0"/>
              <w:adjustRightInd w:val="0"/>
              <w:rPr>
                <w:rFonts w:cs="Arial"/>
              </w:rPr>
            </w:pPr>
            <w:proofErr w:type="gramStart"/>
            <w:r w:rsidRPr="00802A58">
              <w:rPr>
                <w:rFonts w:cs="Arial"/>
              </w:rPr>
              <w:t>0.229  (</w:t>
            </w:r>
            <w:proofErr w:type="gramEnd"/>
            <w:r w:rsidRPr="00802A58">
              <w:rPr>
                <w:rFonts w:cs="Arial"/>
              </w:rPr>
              <w:t>0.021, 1.487)</w:t>
            </w:r>
          </w:p>
        </w:tc>
      </w:tr>
      <w:tr w:rsidR="00802A58" w:rsidRPr="00802A58" w14:paraId="6F3DDA1D" w14:textId="77777777" w:rsidTr="00754719">
        <w:trPr>
          <w:jc w:val="center"/>
        </w:trPr>
        <w:tc>
          <w:tcPr>
            <w:tcW w:w="4395" w:type="dxa"/>
            <w:tcBorders>
              <w:top w:val="nil"/>
              <w:left w:val="nil"/>
              <w:bottom w:val="nil"/>
              <w:right w:val="nil"/>
            </w:tcBorders>
          </w:tcPr>
          <w:p w14:paraId="00F73607" w14:textId="77777777" w:rsidR="00802A58" w:rsidRPr="00802A58" w:rsidRDefault="00802A58" w:rsidP="00802A58">
            <w:pPr>
              <w:tabs>
                <w:tab w:val="left" w:pos="426"/>
              </w:tabs>
              <w:autoSpaceDE w:val="0"/>
              <w:autoSpaceDN w:val="0"/>
              <w:adjustRightInd w:val="0"/>
              <w:rPr>
                <w:rFonts w:cs="Arial"/>
              </w:rPr>
            </w:pPr>
            <w:r w:rsidRPr="00802A58">
              <w:rPr>
                <w:rFonts w:cs="Arial"/>
              </w:rPr>
              <w:t>Uniform PERT prior on (0,3)</w:t>
            </w:r>
          </w:p>
        </w:tc>
        <w:tc>
          <w:tcPr>
            <w:tcW w:w="2121" w:type="dxa"/>
            <w:tcBorders>
              <w:top w:val="nil"/>
              <w:left w:val="nil"/>
              <w:bottom w:val="nil"/>
              <w:right w:val="nil"/>
            </w:tcBorders>
          </w:tcPr>
          <w:p w14:paraId="26E06451" w14:textId="77777777" w:rsidR="00802A58" w:rsidRPr="00802A58" w:rsidRDefault="00802A58" w:rsidP="00802A58">
            <w:pPr>
              <w:tabs>
                <w:tab w:val="left" w:pos="426"/>
              </w:tabs>
              <w:autoSpaceDE w:val="0"/>
              <w:autoSpaceDN w:val="0"/>
              <w:adjustRightInd w:val="0"/>
              <w:rPr>
                <w:rFonts w:cs="Tahoma"/>
                <w:lang w:val="en-US"/>
              </w:rPr>
            </w:pPr>
            <w:proofErr w:type="gramStart"/>
            <w:r w:rsidRPr="00802A58">
              <w:rPr>
                <w:rFonts w:cs="Tahoma"/>
                <w:lang w:val="en-US"/>
              </w:rPr>
              <w:t>0.000  (</w:t>
            </w:r>
            <w:proofErr w:type="gramEnd"/>
            <w:r w:rsidRPr="00802A58">
              <w:rPr>
                <w:rFonts w:cs="Tahoma"/>
                <w:lang w:val="en-US"/>
              </w:rPr>
              <w:t>0.000, 10)</w:t>
            </w:r>
          </w:p>
        </w:tc>
        <w:tc>
          <w:tcPr>
            <w:tcW w:w="2268" w:type="dxa"/>
            <w:tcBorders>
              <w:top w:val="nil"/>
              <w:left w:val="nil"/>
              <w:bottom w:val="nil"/>
              <w:right w:val="nil"/>
            </w:tcBorders>
          </w:tcPr>
          <w:p w14:paraId="09752CA1" w14:textId="77777777" w:rsidR="00802A58" w:rsidRPr="00802A58" w:rsidRDefault="00802A58" w:rsidP="00802A58">
            <w:pPr>
              <w:tabs>
                <w:tab w:val="left" w:pos="426"/>
              </w:tabs>
              <w:autoSpaceDE w:val="0"/>
              <w:autoSpaceDN w:val="0"/>
              <w:adjustRightInd w:val="0"/>
              <w:rPr>
                <w:rFonts w:cs="Arial"/>
              </w:rPr>
            </w:pPr>
            <w:proofErr w:type="gramStart"/>
            <w:r w:rsidRPr="00802A58">
              <w:rPr>
                <w:rFonts w:cs="Arial"/>
              </w:rPr>
              <w:t>0.345  (</w:t>
            </w:r>
            <w:proofErr w:type="gramEnd"/>
            <w:r w:rsidRPr="00802A58">
              <w:rPr>
                <w:rFonts w:cs="Arial"/>
              </w:rPr>
              <w:t>0.020, 1.481)</w:t>
            </w:r>
          </w:p>
        </w:tc>
      </w:tr>
      <w:tr w:rsidR="00802A58" w:rsidRPr="00802A58" w14:paraId="2C1CABCC" w14:textId="77777777" w:rsidTr="00754719">
        <w:trPr>
          <w:jc w:val="center"/>
        </w:trPr>
        <w:tc>
          <w:tcPr>
            <w:tcW w:w="4395" w:type="dxa"/>
            <w:tcBorders>
              <w:top w:val="nil"/>
              <w:left w:val="nil"/>
              <w:bottom w:val="nil"/>
              <w:right w:val="nil"/>
            </w:tcBorders>
          </w:tcPr>
          <w:p w14:paraId="32E586E1" w14:textId="77777777" w:rsidR="00802A58" w:rsidRPr="00802A58" w:rsidRDefault="00802A58" w:rsidP="00802A58">
            <w:pPr>
              <w:tabs>
                <w:tab w:val="left" w:pos="426"/>
              </w:tabs>
              <w:autoSpaceDE w:val="0"/>
              <w:autoSpaceDN w:val="0"/>
              <w:adjustRightInd w:val="0"/>
              <w:rPr>
                <w:rFonts w:cs="Arial"/>
              </w:rPr>
            </w:pPr>
            <w:r w:rsidRPr="00802A58">
              <w:rPr>
                <w:rFonts w:cs="Arial"/>
              </w:rPr>
              <w:t>PERT prior on (0,3) with mode 1</w:t>
            </w:r>
          </w:p>
        </w:tc>
        <w:tc>
          <w:tcPr>
            <w:tcW w:w="2121" w:type="dxa"/>
            <w:tcBorders>
              <w:top w:val="nil"/>
              <w:left w:val="nil"/>
              <w:bottom w:val="nil"/>
              <w:right w:val="nil"/>
            </w:tcBorders>
          </w:tcPr>
          <w:p w14:paraId="2A743D08" w14:textId="77777777" w:rsidR="00802A58" w:rsidRPr="00802A58" w:rsidRDefault="00802A58" w:rsidP="00802A58">
            <w:pPr>
              <w:tabs>
                <w:tab w:val="left" w:pos="426"/>
              </w:tabs>
              <w:autoSpaceDE w:val="0"/>
              <w:autoSpaceDN w:val="0"/>
              <w:adjustRightInd w:val="0"/>
              <w:rPr>
                <w:rFonts w:cs="Tahoma"/>
                <w:lang w:val="en-US"/>
              </w:rPr>
            </w:pPr>
            <w:proofErr w:type="gramStart"/>
            <w:r w:rsidRPr="00802A58">
              <w:rPr>
                <w:rFonts w:cs="Tahoma"/>
                <w:lang w:val="en-US"/>
              </w:rPr>
              <w:t>0.552  (</w:t>
            </w:r>
            <w:proofErr w:type="gramEnd"/>
            <w:r w:rsidRPr="00802A58">
              <w:rPr>
                <w:rFonts w:cs="Tahoma"/>
                <w:lang w:val="en-US"/>
              </w:rPr>
              <w:t xml:space="preserve">0.104, 1.952)  </w:t>
            </w:r>
          </w:p>
        </w:tc>
        <w:tc>
          <w:tcPr>
            <w:tcW w:w="2268" w:type="dxa"/>
            <w:tcBorders>
              <w:top w:val="nil"/>
              <w:left w:val="nil"/>
              <w:bottom w:val="nil"/>
              <w:right w:val="nil"/>
            </w:tcBorders>
          </w:tcPr>
          <w:p w14:paraId="485626D6" w14:textId="77777777" w:rsidR="00802A58" w:rsidRPr="00802A58" w:rsidRDefault="00802A58" w:rsidP="00802A58">
            <w:pPr>
              <w:tabs>
                <w:tab w:val="left" w:pos="426"/>
              </w:tabs>
              <w:autoSpaceDE w:val="0"/>
              <w:autoSpaceDN w:val="0"/>
              <w:adjustRightInd w:val="0"/>
              <w:rPr>
                <w:rFonts w:cs="Arial"/>
              </w:rPr>
            </w:pPr>
            <w:proofErr w:type="gramStart"/>
            <w:r w:rsidRPr="00802A58">
              <w:rPr>
                <w:rFonts w:cs="Arial"/>
              </w:rPr>
              <w:t>0.669  (</w:t>
            </w:r>
            <w:proofErr w:type="gramEnd"/>
            <w:r w:rsidRPr="00802A58">
              <w:rPr>
                <w:rFonts w:cs="Arial"/>
              </w:rPr>
              <w:t>0.151, 1.533)</w:t>
            </w:r>
          </w:p>
        </w:tc>
      </w:tr>
      <w:tr w:rsidR="00802A58" w:rsidRPr="00802A58" w14:paraId="63F7F872" w14:textId="77777777" w:rsidTr="00754719">
        <w:trPr>
          <w:jc w:val="center"/>
        </w:trPr>
        <w:tc>
          <w:tcPr>
            <w:tcW w:w="4395" w:type="dxa"/>
            <w:tcBorders>
              <w:top w:val="nil"/>
              <w:left w:val="nil"/>
              <w:bottom w:val="nil"/>
              <w:right w:val="nil"/>
            </w:tcBorders>
          </w:tcPr>
          <w:p w14:paraId="62F77298" w14:textId="77777777" w:rsidR="00802A58" w:rsidRPr="00802A58" w:rsidRDefault="00802A58" w:rsidP="00802A58">
            <w:pPr>
              <w:tabs>
                <w:tab w:val="left" w:pos="426"/>
              </w:tabs>
              <w:autoSpaceDE w:val="0"/>
              <w:autoSpaceDN w:val="0"/>
              <w:adjustRightInd w:val="0"/>
              <w:rPr>
                <w:rFonts w:cs="Arial"/>
              </w:rPr>
            </w:pPr>
            <w:r w:rsidRPr="00802A58">
              <w:rPr>
                <w:rFonts w:cs="Arial"/>
              </w:rPr>
              <w:t>PERT prior on (0,0.5) with mode 0.2</w:t>
            </w:r>
          </w:p>
        </w:tc>
        <w:tc>
          <w:tcPr>
            <w:tcW w:w="2121" w:type="dxa"/>
            <w:tcBorders>
              <w:top w:val="nil"/>
              <w:left w:val="nil"/>
              <w:bottom w:val="nil"/>
              <w:right w:val="nil"/>
            </w:tcBorders>
          </w:tcPr>
          <w:p w14:paraId="49F427FB" w14:textId="77777777" w:rsidR="00802A58" w:rsidRPr="00802A58" w:rsidRDefault="00802A58" w:rsidP="00802A58">
            <w:pPr>
              <w:tabs>
                <w:tab w:val="left" w:pos="426"/>
              </w:tabs>
              <w:autoSpaceDE w:val="0"/>
              <w:autoSpaceDN w:val="0"/>
              <w:adjustRightInd w:val="0"/>
              <w:rPr>
                <w:rFonts w:cs="Arial"/>
              </w:rPr>
            </w:pPr>
            <w:proofErr w:type="gramStart"/>
            <w:r w:rsidRPr="00802A58">
              <w:rPr>
                <w:rFonts w:cs="Arial"/>
              </w:rPr>
              <w:t>0.166  (</w:t>
            </w:r>
            <w:proofErr w:type="gramEnd"/>
            <w:r w:rsidRPr="00802A58">
              <w:rPr>
                <w:rFonts w:cs="Arial"/>
              </w:rPr>
              <w:t>0.058, 0.488)</w:t>
            </w:r>
          </w:p>
        </w:tc>
        <w:tc>
          <w:tcPr>
            <w:tcW w:w="2268" w:type="dxa"/>
            <w:tcBorders>
              <w:top w:val="nil"/>
              <w:left w:val="nil"/>
              <w:bottom w:val="nil"/>
              <w:right w:val="nil"/>
            </w:tcBorders>
          </w:tcPr>
          <w:p w14:paraId="36AE9E34" w14:textId="77777777" w:rsidR="00802A58" w:rsidRPr="00802A58" w:rsidRDefault="00802A58" w:rsidP="00802A58">
            <w:pPr>
              <w:tabs>
                <w:tab w:val="left" w:pos="426"/>
              </w:tabs>
              <w:autoSpaceDE w:val="0"/>
              <w:autoSpaceDN w:val="0"/>
              <w:adjustRightInd w:val="0"/>
              <w:rPr>
                <w:rFonts w:cs="Arial"/>
              </w:rPr>
            </w:pPr>
            <w:proofErr w:type="gramStart"/>
            <w:r w:rsidRPr="00802A58">
              <w:rPr>
                <w:rFonts w:cs="Arial"/>
              </w:rPr>
              <w:t>0.053  (</w:t>
            </w:r>
            <w:proofErr w:type="gramEnd"/>
            <w:r w:rsidRPr="00802A58">
              <w:rPr>
                <w:rFonts w:cs="Arial"/>
              </w:rPr>
              <w:t>0.173, 0.352)</w:t>
            </w:r>
          </w:p>
        </w:tc>
      </w:tr>
      <w:tr w:rsidR="00802A58" w:rsidRPr="00802A58" w14:paraId="75B90854" w14:textId="77777777" w:rsidTr="00754719">
        <w:trPr>
          <w:jc w:val="center"/>
        </w:trPr>
        <w:tc>
          <w:tcPr>
            <w:tcW w:w="4395" w:type="dxa"/>
            <w:tcBorders>
              <w:top w:val="nil"/>
              <w:left w:val="nil"/>
              <w:bottom w:val="nil"/>
              <w:right w:val="nil"/>
            </w:tcBorders>
          </w:tcPr>
          <w:p w14:paraId="3B031929" w14:textId="77777777" w:rsidR="00802A58" w:rsidRPr="00802A58" w:rsidRDefault="00802A58" w:rsidP="00802A58">
            <w:pPr>
              <w:tabs>
                <w:tab w:val="left" w:pos="426"/>
              </w:tabs>
              <w:autoSpaceDE w:val="0"/>
              <w:autoSpaceDN w:val="0"/>
              <w:adjustRightInd w:val="0"/>
              <w:rPr>
                <w:rFonts w:cs="Arial"/>
              </w:rPr>
            </w:pPr>
            <w:r w:rsidRPr="00802A58">
              <w:rPr>
                <w:rFonts w:cs="Arial"/>
              </w:rPr>
              <w:t>PERT prior on (0.199,0.259) with mode 0.229</w:t>
            </w:r>
          </w:p>
        </w:tc>
        <w:tc>
          <w:tcPr>
            <w:tcW w:w="2121" w:type="dxa"/>
            <w:tcBorders>
              <w:top w:val="nil"/>
              <w:left w:val="nil"/>
              <w:bottom w:val="nil"/>
              <w:right w:val="nil"/>
            </w:tcBorders>
          </w:tcPr>
          <w:p w14:paraId="00E91B61" w14:textId="77777777" w:rsidR="00802A58" w:rsidRPr="00802A58" w:rsidRDefault="00802A58" w:rsidP="00802A58">
            <w:pPr>
              <w:tabs>
                <w:tab w:val="left" w:pos="426"/>
              </w:tabs>
              <w:autoSpaceDE w:val="0"/>
              <w:autoSpaceDN w:val="0"/>
              <w:adjustRightInd w:val="0"/>
              <w:rPr>
                <w:rFonts w:cs="Arial"/>
              </w:rPr>
            </w:pPr>
            <w:proofErr w:type="gramStart"/>
            <w:r w:rsidRPr="00802A58">
              <w:rPr>
                <w:rFonts w:cs="Arial"/>
              </w:rPr>
              <w:t>0.228  (</w:t>
            </w:r>
            <w:proofErr w:type="gramEnd"/>
            <w:r w:rsidRPr="00802A58">
              <w:rPr>
                <w:rFonts w:cs="Arial"/>
              </w:rPr>
              <w:t>0.205, 0.254)</w:t>
            </w:r>
          </w:p>
        </w:tc>
        <w:tc>
          <w:tcPr>
            <w:tcW w:w="2268" w:type="dxa"/>
            <w:tcBorders>
              <w:top w:val="nil"/>
              <w:left w:val="nil"/>
              <w:bottom w:val="nil"/>
              <w:right w:val="nil"/>
            </w:tcBorders>
          </w:tcPr>
          <w:p w14:paraId="09CC17C8" w14:textId="77777777" w:rsidR="00802A58" w:rsidRPr="00802A58" w:rsidRDefault="00802A58" w:rsidP="00802A58">
            <w:pPr>
              <w:tabs>
                <w:tab w:val="left" w:pos="426"/>
              </w:tabs>
              <w:autoSpaceDE w:val="0"/>
              <w:autoSpaceDN w:val="0"/>
              <w:adjustRightInd w:val="0"/>
              <w:rPr>
                <w:rFonts w:cs="Arial"/>
              </w:rPr>
            </w:pPr>
            <w:proofErr w:type="gramStart"/>
            <w:r w:rsidRPr="00802A58">
              <w:rPr>
                <w:rFonts w:cs="Arial"/>
              </w:rPr>
              <w:t>0.228  (</w:t>
            </w:r>
            <w:proofErr w:type="gramEnd"/>
            <w:r w:rsidRPr="00802A58">
              <w:rPr>
                <w:rFonts w:cs="Arial"/>
              </w:rPr>
              <w:t>0.210, 0.247)</w:t>
            </w:r>
          </w:p>
        </w:tc>
      </w:tr>
      <w:tr w:rsidR="00802A58" w:rsidRPr="00802A58" w14:paraId="2EF4916E" w14:textId="77777777" w:rsidTr="00754719">
        <w:trPr>
          <w:jc w:val="center"/>
        </w:trPr>
        <w:tc>
          <w:tcPr>
            <w:tcW w:w="4395" w:type="dxa"/>
            <w:tcBorders>
              <w:top w:val="nil"/>
              <w:left w:val="nil"/>
              <w:right w:val="nil"/>
            </w:tcBorders>
          </w:tcPr>
          <w:p w14:paraId="56817E74" w14:textId="77777777" w:rsidR="00802A58" w:rsidRPr="00802A58" w:rsidRDefault="00802A58" w:rsidP="00802A58">
            <w:pPr>
              <w:tabs>
                <w:tab w:val="left" w:pos="426"/>
              </w:tabs>
              <w:autoSpaceDE w:val="0"/>
              <w:autoSpaceDN w:val="0"/>
              <w:adjustRightInd w:val="0"/>
              <w:rPr>
                <w:rFonts w:cs="Arial"/>
              </w:rPr>
            </w:pPr>
            <w:r w:rsidRPr="00802A58">
              <w:rPr>
                <w:rFonts w:cs="Arial"/>
              </w:rPr>
              <w:t>PERT prior on (0.109,0.169) with mode 0.139</w:t>
            </w:r>
          </w:p>
        </w:tc>
        <w:tc>
          <w:tcPr>
            <w:tcW w:w="2121" w:type="dxa"/>
            <w:tcBorders>
              <w:top w:val="nil"/>
              <w:left w:val="nil"/>
              <w:right w:val="nil"/>
            </w:tcBorders>
          </w:tcPr>
          <w:p w14:paraId="40DD1B02" w14:textId="77777777" w:rsidR="00802A58" w:rsidRPr="00802A58" w:rsidRDefault="00802A58" w:rsidP="00802A58">
            <w:pPr>
              <w:tabs>
                <w:tab w:val="left" w:pos="426"/>
              </w:tabs>
              <w:autoSpaceDE w:val="0"/>
              <w:autoSpaceDN w:val="0"/>
              <w:adjustRightInd w:val="0"/>
              <w:rPr>
                <w:rFonts w:cs="Arial"/>
              </w:rPr>
            </w:pPr>
            <w:proofErr w:type="gramStart"/>
            <w:r w:rsidRPr="00802A58">
              <w:rPr>
                <w:rFonts w:cs="Arial"/>
              </w:rPr>
              <w:t>0.138  (</w:t>
            </w:r>
            <w:proofErr w:type="gramEnd"/>
            <w:r w:rsidRPr="00802A58">
              <w:rPr>
                <w:rFonts w:cs="Arial"/>
              </w:rPr>
              <w:t>0.115, 0.165)</w:t>
            </w:r>
          </w:p>
        </w:tc>
        <w:tc>
          <w:tcPr>
            <w:tcW w:w="2268" w:type="dxa"/>
            <w:tcBorders>
              <w:top w:val="nil"/>
              <w:left w:val="nil"/>
              <w:right w:val="nil"/>
            </w:tcBorders>
          </w:tcPr>
          <w:p w14:paraId="7D61E0A8" w14:textId="77777777" w:rsidR="00802A58" w:rsidRPr="00802A58" w:rsidRDefault="00802A58" w:rsidP="00802A58">
            <w:pPr>
              <w:tabs>
                <w:tab w:val="left" w:pos="426"/>
              </w:tabs>
              <w:autoSpaceDE w:val="0"/>
              <w:autoSpaceDN w:val="0"/>
              <w:adjustRightInd w:val="0"/>
              <w:rPr>
                <w:rFonts w:cs="Arial"/>
              </w:rPr>
            </w:pPr>
            <w:proofErr w:type="gramStart"/>
            <w:r w:rsidRPr="00802A58">
              <w:rPr>
                <w:rFonts w:cs="Arial"/>
              </w:rPr>
              <w:t>0.138  (</w:t>
            </w:r>
            <w:proofErr w:type="gramEnd"/>
            <w:r w:rsidRPr="00802A58">
              <w:rPr>
                <w:rFonts w:cs="Arial"/>
              </w:rPr>
              <w:t>0.120,0.157)</w:t>
            </w:r>
          </w:p>
        </w:tc>
      </w:tr>
    </w:tbl>
    <w:p w14:paraId="777C014C" w14:textId="77777777" w:rsidR="00802A58" w:rsidRPr="00802A58" w:rsidRDefault="00802A58" w:rsidP="00802A58">
      <w:pPr>
        <w:tabs>
          <w:tab w:val="left" w:pos="426"/>
        </w:tabs>
        <w:autoSpaceDE w:val="0"/>
        <w:autoSpaceDN w:val="0"/>
        <w:adjustRightInd w:val="0"/>
        <w:spacing w:after="0"/>
        <w:rPr>
          <w:rFonts w:ascii="Tahoma" w:hAnsi="Tahoma" w:cs="Arial"/>
          <w:sz w:val="20"/>
          <w:szCs w:val="20"/>
        </w:rPr>
      </w:pPr>
    </w:p>
    <w:p w14:paraId="6B4AC6BB" w14:textId="77777777" w:rsidR="00802A58" w:rsidRPr="00802A58" w:rsidRDefault="00802A58" w:rsidP="00802A58">
      <w:pPr>
        <w:tabs>
          <w:tab w:val="left" w:pos="426"/>
        </w:tabs>
        <w:autoSpaceDE w:val="0"/>
        <w:autoSpaceDN w:val="0"/>
        <w:adjustRightInd w:val="0"/>
        <w:spacing w:after="0"/>
        <w:rPr>
          <w:rFonts w:ascii="Tahoma" w:hAnsi="Tahoma" w:cs="Arial"/>
          <w:sz w:val="20"/>
          <w:szCs w:val="20"/>
        </w:rPr>
      </w:pPr>
      <w:r w:rsidRPr="00802A58">
        <w:rPr>
          <w:rFonts w:ascii="Tahoma" w:hAnsi="Tahoma" w:cs="Arial"/>
          <w:sz w:val="20"/>
          <w:szCs w:val="20"/>
        </w:rPr>
        <w:t xml:space="preserve">We observe that, </w:t>
      </w:r>
      <w:r w:rsidRPr="00802A58">
        <w:rPr>
          <w:rFonts w:ascii="Tahoma" w:hAnsi="Tahoma" w:cs="Arial"/>
          <w:b/>
          <w:bCs/>
          <w:sz w:val="20"/>
          <w:szCs w:val="20"/>
        </w:rPr>
        <w:t>for this dataset</w:t>
      </w:r>
      <w:r w:rsidRPr="00802A58">
        <w:rPr>
          <w:rFonts w:ascii="Tahoma" w:hAnsi="Tahoma" w:cs="Arial"/>
          <w:sz w:val="20"/>
          <w:szCs w:val="20"/>
        </w:rPr>
        <w:t>:</w:t>
      </w:r>
    </w:p>
    <w:p w14:paraId="2EB6D32B" w14:textId="77777777" w:rsidR="00802A58" w:rsidRPr="00802A58" w:rsidRDefault="00802A58" w:rsidP="00802A58">
      <w:pPr>
        <w:numPr>
          <w:ilvl w:val="0"/>
          <w:numId w:val="89"/>
        </w:numPr>
        <w:tabs>
          <w:tab w:val="left" w:pos="426"/>
        </w:tabs>
        <w:autoSpaceDE w:val="0"/>
        <w:autoSpaceDN w:val="0"/>
        <w:adjustRightInd w:val="0"/>
        <w:spacing w:after="0"/>
        <w:rPr>
          <w:rFonts w:ascii="Tahoma" w:hAnsi="Tahoma" w:cs="Arial"/>
          <w:sz w:val="20"/>
          <w:szCs w:val="20"/>
        </w:rPr>
      </w:pPr>
      <w:r w:rsidRPr="00802A58">
        <w:rPr>
          <w:rFonts w:ascii="Tahoma" w:hAnsi="Tahoma" w:cs="Arial"/>
          <w:sz w:val="20"/>
          <w:szCs w:val="20"/>
        </w:rPr>
        <w:t>The Laplace approximation acts poorly unless the BMD priors is informative enough.</w:t>
      </w:r>
    </w:p>
    <w:p w14:paraId="36CFED5E" w14:textId="77777777" w:rsidR="00802A58" w:rsidRPr="00802A58" w:rsidRDefault="00802A58" w:rsidP="00802A58">
      <w:pPr>
        <w:numPr>
          <w:ilvl w:val="0"/>
          <w:numId w:val="89"/>
        </w:numPr>
        <w:tabs>
          <w:tab w:val="left" w:pos="426"/>
        </w:tabs>
        <w:autoSpaceDE w:val="0"/>
        <w:autoSpaceDN w:val="0"/>
        <w:adjustRightInd w:val="0"/>
        <w:spacing w:after="0"/>
        <w:rPr>
          <w:rFonts w:ascii="Tahoma" w:hAnsi="Tahoma" w:cs="Arial"/>
          <w:sz w:val="20"/>
          <w:szCs w:val="20"/>
        </w:rPr>
      </w:pPr>
      <w:r w:rsidRPr="00802A58">
        <w:rPr>
          <w:rFonts w:ascii="Tahoma" w:hAnsi="Tahoma" w:cs="Arial"/>
          <w:sz w:val="20"/>
          <w:szCs w:val="20"/>
        </w:rPr>
        <w:t>Bridge sampling outperforms the Laplace approximation, especially for less informative priors.</w:t>
      </w:r>
    </w:p>
    <w:p w14:paraId="61D1F355" w14:textId="77777777" w:rsidR="00802A58" w:rsidRPr="00802A58" w:rsidRDefault="00802A58" w:rsidP="00802A58">
      <w:pPr>
        <w:numPr>
          <w:ilvl w:val="0"/>
          <w:numId w:val="89"/>
        </w:numPr>
        <w:tabs>
          <w:tab w:val="left" w:pos="426"/>
        </w:tabs>
        <w:autoSpaceDE w:val="0"/>
        <w:autoSpaceDN w:val="0"/>
        <w:adjustRightInd w:val="0"/>
        <w:spacing w:after="0"/>
        <w:rPr>
          <w:rFonts w:ascii="Tahoma" w:hAnsi="Tahoma" w:cs="Arial"/>
          <w:sz w:val="20"/>
          <w:szCs w:val="20"/>
        </w:rPr>
      </w:pPr>
      <w:r w:rsidRPr="00802A58">
        <w:rPr>
          <w:rFonts w:ascii="Tahoma" w:hAnsi="Tahoma" w:cs="Arial"/>
          <w:sz w:val="20"/>
          <w:szCs w:val="20"/>
        </w:rPr>
        <w:t xml:space="preserve">The Bridge </w:t>
      </w:r>
      <w:proofErr w:type="spellStart"/>
      <w:r w:rsidRPr="00802A58">
        <w:rPr>
          <w:rFonts w:ascii="Tahoma" w:hAnsi="Tahoma" w:cs="Arial"/>
          <w:sz w:val="20"/>
          <w:szCs w:val="20"/>
        </w:rPr>
        <w:t>CrI’s</w:t>
      </w:r>
      <w:proofErr w:type="spellEnd"/>
      <w:r w:rsidRPr="00802A58">
        <w:rPr>
          <w:rFonts w:ascii="Tahoma" w:hAnsi="Tahoma" w:cs="Arial"/>
          <w:sz w:val="20"/>
          <w:szCs w:val="20"/>
        </w:rPr>
        <w:t xml:space="preserve"> are narrower than the Laplace </w:t>
      </w:r>
      <w:proofErr w:type="spellStart"/>
      <w:r w:rsidRPr="00802A58">
        <w:rPr>
          <w:rFonts w:ascii="Tahoma" w:hAnsi="Tahoma" w:cs="Arial"/>
          <w:sz w:val="20"/>
          <w:szCs w:val="20"/>
        </w:rPr>
        <w:t>CrI’s</w:t>
      </w:r>
      <w:proofErr w:type="spellEnd"/>
      <w:r w:rsidRPr="00802A58">
        <w:rPr>
          <w:rFonts w:ascii="Tahoma" w:hAnsi="Tahoma" w:cs="Arial"/>
          <w:sz w:val="20"/>
          <w:szCs w:val="20"/>
        </w:rPr>
        <w:t>.</w:t>
      </w:r>
    </w:p>
    <w:p w14:paraId="4E70E8F5" w14:textId="77777777" w:rsidR="00802A58" w:rsidRPr="00802A58" w:rsidRDefault="00802A58" w:rsidP="00802A58">
      <w:pPr>
        <w:numPr>
          <w:ilvl w:val="0"/>
          <w:numId w:val="89"/>
        </w:numPr>
        <w:tabs>
          <w:tab w:val="left" w:pos="426"/>
        </w:tabs>
        <w:autoSpaceDE w:val="0"/>
        <w:autoSpaceDN w:val="0"/>
        <w:adjustRightInd w:val="0"/>
        <w:spacing w:after="0"/>
        <w:rPr>
          <w:rFonts w:ascii="Tahoma" w:hAnsi="Tahoma" w:cs="Arial"/>
          <w:sz w:val="20"/>
          <w:szCs w:val="20"/>
        </w:rPr>
      </w:pPr>
      <w:r w:rsidRPr="00802A58">
        <w:rPr>
          <w:rFonts w:ascii="Tahoma" w:hAnsi="Tahoma" w:cs="Arial"/>
          <w:sz w:val="20"/>
          <w:szCs w:val="20"/>
        </w:rPr>
        <w:t>An informative prior affects the BMDU more than the BMDL (reflecting the gain in accuracy).</w:t>
      </w:r>
    </w:p>
    <w:p w14:paraId="5CA5DA1E" w14:textId="77777777" w:rsidR="00802A58" w:rsidRPr="00802A58" w:rsidRDefault="00802A58" w:rsidP="00802A58">
      <w:pPr>
        <w:numPr>
          <w:ilvl w:val="0"/>
          <w:numId w:val="89"/>
        </w:numPr>
        <w:tabs>
          <w:tab w:val="left" w:pos="426"/>
        </w:tabs>
        <w:autoSpaceDE w:val="0"/>
        <w:autoSpaceDN w:val="0"/>
        <w:adjustRightInd w:val="0"/>
        <w:spacing w:after="0"/>
        <w:rPr>
          <w:rFonts w:ascii="Tahoma" w:hAnsi="Tahoma" w:cs="Arial"/>
          <w:sz w:val="20"/>
          <w:szCs w:val="20"/>
        </w:rPr>
      </w:pPr>
      <w:r w:rsidRPr="00802A58">
        <w:rPr>
          <w:rFonts w:ascii="Tahoma" w:hAnsi="Tahoma" w:cs="Arial"/>
          <w:sz w:val="20"/>
          <w:szCs w:val="20"/>
        </w:rPr>
        <w:t>Flat informative priors have less effect than focused priors on the same range (as expected).</w:t>
      </w:r>
    </w:p>
    <w:p w14:paraId="61AD85F1" w14:textId="77777777" w:rsidR="00802A58" w:rsidRPr="00802A58" w:rsidRDefault="00802A58" w:rsidP="00802A58">
      <w:pPr>
        <w:numPr>
          <w:ilvl w:val="0"/>
          <w:numId w:val="89"/>
        </w:numPr>
        <w:tabs>
          <w:tab w:val="left" w:pos="426"/>
        </w:tabs>
        <w:autoSpaceDE w:val="0"/>
        <w:autoSpaceDN w:val="0"/>
        <w:adjustRightInd w:val="0"/>
        <w:spacing w:after="0"/>
        <w:rPr>
          <w:rFonts w:ascii="Tahoma" w:hAnsi="Tahoma" w:cs="Arial"/>
          <w:sz w:val="20"/>
          <w:szCs w:val="20"/>
        </w:rPr>
      </w:pPr>
      <w:r w:rsidRPr="00802A58">
        <w:rPr>
          <w:rFonts w:ascii="Tahoma" w:hAnsi="Tahoma" w:cs="Arial"/>
          <w:sz w:val="20"/>
          <w:szCs w:val="20"/>
        </w:rPr>
        <w:t>A very informative incorrect prior affects the BMD adversely.</w:t>
      </w:r>
    </w:p>
    <w:p w14:paraId="58F84E9C" w14:textId="77777777" w:rsidR="00802A58" w:rsidRPr="00802A58" w:rsidRDefault="00802A58" w:rsidP="00802A58">
      <w:pPr>
        <w:tabs>
          <w:tab w:val="left" w:pos="426"/>
        </w:tabs>
        <w:autoSpaceDE w:val="0"/>
        <w:autoSpaceDN w:val="0"/>
        <w:adjustRightInd w:val="0"/>
        <w:spacing w:after="0"/>
        <w:rPr>
          <w:rFonts w:ascii="Tahoma" w:hAnsi="Tahoma" w:cs="Arial"/>
          <w:sz w:val="16"/>
          <w:szCs w:val="18"/>
        </w:rPr>
      </w:pPr>
    </w:p>
    <w:p w14:paraId="4917E67A" w14:textId="08C4DA4C" w:rsidR="00465D72" w:rsidRPr="000D0828" w:rsidRDefault="00465D72" w:rsidP="00E056C4">
      <w:pPr>
        <w:pStyle w:val="EFSAHeading1nonumber"/>
      </w:pPr>
      <w:bookmarkStart w:id="94" w:name="_Toc94255356"/>
      <w:r w:rsidRPr="00E056C4">
        <w:t xml:space="preserve">Example </w:t>
      </w:r>
      <w:r w:rsidRPr="000D0828">
        <w:t xml:space="preserve">generated based on </w:t>
      </w:r>
      <w:r w:rsidR="002C184C">
        <w:t>F</w:t>
      </w:r>
      <w:r w:rsidRPr="000D0828">
        <w:t>igure 3</w:t>
      </w:r>
      <w:r w:rsidR="002C184C">
        <w:t>.</w:t>
      </w:r>
      <w:r w:rsidRPr="000D0828">
        <w:t>3</w:t>
      </w:r>
      <w:bookmarkEnd w:id="94"/>
    </w:p>
    <w:p w14:paraId="35A78C51" w14:textId="77777777" w:rsidR="00802A58" w:rsidRPr="00802A58" w:rsidRDefault="00802A58" w:rsidP="00802A58">
      <w:pPr>
        <w:keepNext/>
        <w:numPr>
          <w:ilvl w:val="3"/>
          <w:numId w:val="0"/>
        </w:numPr>
        <w:spacing w:before="240" w:after="120" w:line="240" w:lineRule="auto"/>
        <w:ind w:left="1021" w:hanging="1021"/>
        <w:outlineLvl w:val="3"/>
        <w:rPr>
          <w:rFonts w:ascii="Tahoma" w:hAnsi="Tahoma"/>
          <w:b/>
          <w:sz w:val="20"/>
          <w:szCs w:val="20"/>
        </w:rPr>
      </w:pPr>
      <w:r w:rsidRPr="00802A58">
        <w:rPr>
          <w:rFonts w:ascii="Tahoma" w:hAnsi="Tahoma"/>
          <w:b/>
          <w:sz w:val="20"/>
          <w:szCs w:val="20"/>
        </w:rPr>
        <w:t>The Data</w:t>
      </w:r>
    </w:p>
    <w:p w14:paraId="77BEC661" w14:textId="77777777" w:rsidR="00802A58" w:rsidRPr="00802A58" w:rsidRDefault="00802A58" w:rsidP="00802A58">
      <w:pPr>
        <w:spacing w:after="120" w:line="240" w:lineRule="auto"/>
        <w:jc w:val="both"/>
        <w:rPr>
          <w:rFonts w:ascii="Times New Roman" w:hAnsi="Times New Roman"/>
          <w:sz w:val="24"/>
          <w:szCs w:val="24"/>
          <w:lang w:val="en-US" w:eastAsia="en-GB"/>
        </w:rPr>
      </w:pPr>
      <w:r w:rsidRPr="00802A58">
        <w:rPr>
          <w:rFonts w:ascii="Tahoma" w:hAnsi="Tahoma"/>
          <w:sz w:val="20"/>
          <w:szCs w:val="20"/>
          <w:lang w:eastAsia="en-GB"/>
        </w:rPr>
        <w:t>Th</w:t>
      </w:r>
      <w:r w:rsidRPr="00802A58">
        <w:rPr>
          <w:rFonts w:ascii="Tahoma" w:hAnsi="Tahoma"/>
          <w:sz w:val="20"/>
          <w:szCs w:val="20"/>
          <w:lang w:val="en-US" w:eastAsia="en-GB"/>
        </w:rPr>
        <w:t>is</w:t>
      </w:r>
      <w:r w:rsidRPr="00802A58">
        <w:rPr>
          <w:rFonts w:ascii="Tahoma" w:hAnsi="Tahoma"/>
          <w:sz w:val="20"/>
          <w:szCs w:val="20"/>
          <w:lang w:eastAsia="en-GB"/>
        </w:rPr>
        <w:t xml:space="preserve"> example </w:t>
      </w:r>
      <w:r w:rsidRPr="00802A58">
        <w:rPr>
          <w:rFonts w:ascii="Tahoma" w:hAnsi="Tahoma"/>
          <w:sz w:val="20"/>
          <w:szCs w:val="20"/>
          <w:lang w:val="en-US" w:eastAsia="en-GB"/>
        </w:rPr>
        <w:t>concerns a simulated dataset, generated as a log-normal exponential models with parameters a=2.015, b=1.5, c=1.344 and d=1.8, with dose levels 0,0.025,0.05,0.15,0.4 and a constant group size of 20.  With a BMR=0.10, the true BMD equals 0.2287.</w:t>
      </w:r>
    </w:p>
    <w:p w14:paraId="6CCD77F6" w14:textId="77777777" w:rsidR="00802A58" w:rsidRPr="00802A58" w:rsidRDefault="00802A58" w:rsidP="00802A58">
      <w:pPr>
        <w:spacing w:after="120" w:line="240" w:lineRule="auto"/>
        <w:jc w:val="center"/>
        <w:rPr>
          <w:rFonts w:ascii="Tahoma" w:hAnsi="Tahoma"/>
          <w:sz w:val="20"/>
          <w:szCs w:val="20"/>
        </w:rPr>
      </w:pPr>
      <w:r w:rsidRPr="00802A58">
        <w:rPr>
          <w:rFonts w:ascii="Tahoma" w:hAnsi="Tahoma"/>
          <w:noProof/>
          <w:sz w:val="20"/>
          <w:szCs w:val="20"/>
        </w:rPr>
        <w:drawing>
          <wp:inline distT="0" distB="0" distL="0" distR="0" wp14:anchorId="5D9DBAA3" wp14:editId="070DE4D2">
            <wp:extent cx="2130949" cy="1205557"/>
            <wp:effectExtent l="0" t="0" r="3175" b="127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146031" cy="1214089"/>
                    </a:xfrm>
                    <a:prstGeom prst="rect">
                      <a:avLst/>
                    </a:prstGeom>
                  </pic:spPr>
                </pic:pic>
              </a:graphicData>
            </a:graphic>
          </wp:inline>
        </w:drawing>
      </w:r>
    </w:p>
    <w:p w14:paraId="21801AF8" w14:textId="77777777" w:rsidR="00802A58" w:rsidRPr="00802A58" w:rsidRDefault="00802A58" w:rsidP="00C44441">
      <w:pPr>
        <w:spacing w:after="120" w:line="240" w:lineRule="auto"/>
        <w:jc w:val="both"/>
        <w:rPr>
          <w:rFonts w:ascii="Tahoma" w:hAnsi="Tahoma"/>
          <w:b/>
          <w:bCs/>
          <w:sz w:val="20"/>
          <w:szCs w:val="20"/>
        </w:rPr>
      </w:pPr>
      <w:r w:rsidRPr="00802A58">
        <w:rPr>
          <w:rFonts w:ascii="Tahoma" w:hAnsi="Tahoma"/>
          <w:sz w:val="20"/>
          <w:szCs w:val="20"/>
        </w:rPr>
        <w:t>The Bartlett test did not reject the assumption of constant variance (normal distribution) with a p-value of 0.25; and did not reject the assumption of constant coefficient of variation (lognormal distribution), with p-values 0.46.</w:t>
      </w:r>
    </w:p>
    <w:p w14:paraId="4A9766A6" w14:textId="77777777" w:rsidR="00802A58" w:rsidRPr="00802A58" w:rsidRDefault="00802A58" w:rsidP="00802A58">
      <w:pPr>
        <w:keepNext/>
        <w:numPr>
          <w:ilvl w:val="3"/>
          <w:numId w:val="0"/>
        </w:numPr>
        <w:spacing w:before="240" w:after="120" w:line="240" w:lineRule="auto"/>
        <w:ind w:left="1021" w:hanging="1021"/>
        <w:outlineLvl w:val="3"/>
        <w:rPr>
          <w:rFonts w:ascii="Tahoma" w:hAnsi="Tahoma"/>
          <w:b/>
          <w:sz w:val="20"/>
          <w:szCs w:val="20"/>
        </w:rPr>
      </w:pPr>
      <w:r w:rsidRPr="00802A58">
        <w:rPr>
          <w:rFonts w:ascii="Tahoma" w:hAnsi="Tahoma"/>
          <w:b/>
          <w:sz w:val="20"/>
          <w:szCs w:val="20"/>
        </w:rPr>
        <w:t>Results</w:t>
      </w:r>
    </w:p>
    <w:p w14:paraId="010636D6" w14:textId="77777777" w:rsidR="00802A58" w:rsidRPr="00802A58" w:rsidRDefault="00802A58" w:rsidP="00802A58">
      <w:pPr>
        <w:spacing w:before="100" w:beforeAutospacing="1" w:after="100" w:afterAutospacing="1" w:line="240" w:lineRule="auto"/>
        <w:jc w:val="both"/>
        <w:rPr>
          <w:rFonts w:ascii="Tahoma" w:eastAsia="Times New Roman" w:hAnsi="Tahoma" w:cs="Tahoma"/>
          <w:sz w:val="20"/>
          <w:szCs w:val="20"/>
          <w:lang w:val="en-US" w:eastAsia="en-GB"/>
        </w:rPr>
      </w:pPr>
      <w:r w:rsidRPr="00802A58">
        <w:rPr>
          <w:rFonts w:ascii="Tahoma" w:eastAsia="Times New Roman" w:hAnsi="Tahoma" w:cs="Tahoma"/>
          <w:b/>
          <w:bCs/>
          <w:sz w:val="20"/>
          <w:szCs w:val="20"/>
          <w:lang w:val="en-US" w:eastAsia="en-GB"/>
        </w:rPr>
        <w:t xml:space="preserve">PROAST. </w:t>
      </w:r>
      <w:r w:rsidRPr="00802A58">
        <w:rPr>
          <w:rFonts w:ascii="Tahoma" w:eastAsia="Times New Roman" w:hAnsi="Tahoma" w:cs="Tahoma"/>
          <w:sz w:val="20"/>
          <w:szCs w:val="20"/>
          <w:lang w:eastAsia="en-GB"/>
        </w:rPr>
        <w:t xml:space="preserve">The EFSA BMD WEB app produce the following results of BMD modelling, using the exponential, inverse exponential, </w:t>
      </w:r>
      <w:proofErr w:type="gramStart"/>
      <w:r w:rsidRPr="00802A58">
        <w:rPr>
          <w:rFonts w:ascii="Tahoma" w:eastAsia="Times New Roman" w:hAnsi="Tahoma" w:cs="Tahoma"/>
          <w:sz w:val="20"/>
          <w:szCs w:val="20"/>
          <w:lang w:eastAsia="en-GB"/>
        </w:rPr>
        <w:t>Hill</w:t>
      </w:r>
      <w:proofErr w:type="gramEnd"/>
      <w:r w:rsidRPr="00802A58">
        <w:rPr>
          <w:rFonts w:ascii="Tahoma" w:eastAsia="Times New Roman" w:hAnsi="Tahoma" w:cs="Tahoma"/>
          <w:sz w:val="20"/>
          <w:szCs w:val="20"/>
          <w:lang w:eastAsia="en-GB"/>
        </w:rPr>
        <w:t xml:space="preserve"> and lognormal model, considering model averaging based on 1000 bootstraps, by means of PROAST 70.0.  </w:t>
      </w:r>
      <w:r w:rsidRPr="00802A58">
        <w:rPr>
          <w:rFonts w:ascii="Tahoma" w:eastAsia="Times New Roman" w:hAnsi="Tahoma" w:cs="Tahoma"/>
          <w:sz w:val="20"/>
          <w:szCs w:val="20"/>
          <w:lang w:val="en-US" w:eastAsia="en-GB"/>
        </w:rPr>
        <w:t>T</w:t>
      </w:r>
      <w:r w:rsidRPr="00802A58">
        <w:rPr>
          <w:rFonts w:ascii="Tahoma" w:eastAsia="Times New Roman" w:hAnsi="Tahoma" w:cs="Tahoma"/>
          <w:sz w:val="20"/>
          <w:szCs w:val="20"/>
          <w:lang w:eastAsia="en-GB"/>
        </w:rPr>
        <w:t xml:space="preserve">he BMR was selected at 10 %. </w:t>
      </w:r>
      <w:r w:rsidRPr="00802A58">
        <w:rPr>
          <w:rFonts w:ascii="Tahoma" w:eastAsia="Times New Roman" w:hAnsi="Tahoma" w:cs="Tahoma"/>
          <w:sz w:val="20"/>
          <w:szCs w:val="20"/>
          <w:lang w:val="en-US" w:eastAsia="en-GB"/>
        </w:rPr>
        <w:t xml:space="preserve">For the exponential model the BMD was estimated as 0.226 with BMDL=0.18 and BMDU=0.275; for the inverse exponential model the BMD estimate was 0.223 with BMDL=0.182 and BMDU=0.265; for the Hill model the BMD estimate was 0.226 with BMDL=0.18 and BMDU=0.275 and for the lognormal model the BMD estimate was 0.225 with BMDL=0.181 and BMDU=0.269. The model averaging results produced BMDL=0.175 and BMDU=0.272. The ratio </w:t>
      </w:r>
      <m:oMath>
        <m:f>
          <m:fPr>
            <m:ctrlPr>
              <w:rPr>
                <w:rFonts w:ascii="Cambria Math" w:eastAsia="Times New Roman" w:hAnsi="Cambria Math" w:cs="Tahoma"/>
                <w:i/>
                <w:sz w:val="20"/>
                <w:szCs w:val="20"/>
                <w:lang w:val="en-US" w:eastAsia="en-GB"/>
              </w:rPr>
            </m:ctrlPr>
          </m:fPr>
          <m:num>
            <m:r>
              <w:rPr>
                <w:rFonts w:ascii="Cambria Math" w:eastAsia="Times New Roman" w:hAnsi="Cambria Math" w:cs="Tahoma"/>
                <w:sz w:val="20"/>
                <w:szCs w:val="20"/>
                <w:lang w:val="en-US" w:eastAsia="en-GB"/>
              </w:rPr>
              <m:t>BMDU</m:t>
            </m:r>
          </m:num>
          <m:den>
            <m:r>
              <w:rPr>
                <w:rFonts w:ascii="Cambria Math" w:eastAsia="Times New Roman" w:hAnsi="Cambria Math" w:cs="Tahoma"/>
                <w:sz w:val="20"/>
                <w:szCs w:val="20"/>
                <w:lang w:val="en-US" w:eastAsia="en-GB"/>
              </w:rPr>
              <m:t>BMDL</m:t>
            </m:r>
          </m:den>
        </m:f>
        <m:r>
          <w:rPr>
            <w:rFonts w:ascii="Cambria Math" w:eastAsia="Times New Roman" w:hAnsi="Cambria Math" w:cs="Tahoma"/>
            <w:sz w:val="20"/>
            <w:szCs w:val="20"/>
            <w:lang w:val="en-US" w:eastAsia="en-GB"/>
          </w:rPr>
          <m:t>=1.55</m:t>
        </m:r>
      </m:oMath>
      <w:r w:rsidRPr="00802A58">
        <w:rPr>
          <w:rFonts w:ascii="Tahoma" w:eastAsia="Times New Roman" w:hAnsi="Tahoma" w:cs="Tahoma"/>
          <w:sz w:val="20"/>
          <w:szCs w:val="20"/>
          <w:lang w:val="en-US" w:eastAsia="en-GB"/>
        </w:rPr>
        <w:t>, indicating the precision of the estimation of the BMD.</w:t>
      </w:r>
    </w:p>
    <w:p w14:paraId="667257E7" w14:textId="77777777" w:rsidR="00802A58" w:rsidRPr="00802A58" w:rsidRDefault="00802A58" w:rsidP="00802A58">
      <w:pPr>
        <w:spacing w:before="100" w:beforeAutospacing="1" w:after="100" w:afterAutospacing="1" w:line="240" w:lineRule="auto"/>
        <w:jc w:val="both"/>
        <w:rPr>
          <w:rFonts w:ascii="Tahoma" w:eastAsia="Times New Roman" w:hAnsi="Tahoma" w:cs="Tahoma"/>
          <w:b/>
          <w:bCs/>
          <w:sz w:val="20"/>
          <w:szCs w:val="20"/>
          <w:lang w:val="en-US" w:eastAsia="en-GB"/>
        </w:rPr>
      </w:pPr>
      <w:r w:rsidRPr="00802A58">
        <w:rPr>
          <w:rFonts w:ascii="Tahoma" w:eastAsia="Times New Roman" w:hAnsi="Tahoma" w:cs="Tahoma"/>
          <w:b/>
          <w:sz w:val="20"/>
          <w:szCs w:val="20"/>
          <w:lang w:eastAsia="en-GB"/>
        </w:rPr>
        <w:t>Using Laplace approximation.</w:t>
      </w:r>
      <w:r w:rsidRPr="00802A58">
        <w:rPr>
          <w:rFonts w:ascii="Tahoma" w:eastAsia="Times New Roman" w:hAnsi="Tahoma" w:cs="Tahoma"/>
          <w:b/>
          <w:bCs/>
          <w:sz w:val="20"/>
          <w:szCs w:val="20"/>
          <w:lang w:val="en-US" w:eastAsia="en-GB"/>
        </w:rPr>
        <w:t xml:space="preserve">  </w:t>
      </w:r>
      <w:r w:rsidRPr="00802A58">
        <w:rPr>
          <w:rFonts w:ascii="Tahoma" w:eastAsia="Times New Roman" w:hAnsi="Tahoma" w:cs="Tahoma"/>
          <w:sz w:val="20"/>
          <w:szCs w:val="20"/>
          <w:lang w:eastAsia="en-GB"/>
        </w:rPr>
        <w:t>The model specific results (</w:t>
      </w:r>
      <w:proofErr w:type="spellStart"/>
      <w:proofErr w:type="gramStart"/>
      <w:r w:rsidRPr="00802A58">
        <w:rPr>
          <w:rFonts w:ascii="Tahoma" w:eastAsia="Times New Roman" w:hAnsi="Tahoma" w:cs="Tahoma"/>
          <w:sz w:val="20"/>
          <w:szCs w:val="20"/>
          <w:lang w:eastAsia="en-GB"/>
        </w:rPr>
        <w:t>BML,BMD</w:t>
      </w:r>
      <w:proofErr w:type="gramEnd"/>
      <w:r w:rsidRPr="00802A58">
        <w:rPr>
          <w:rFonts w:ascii="Tahoma" w:eastAsia="Times New Roman" w:hAnsi="Tahoma" w:cs="Tahoma"/>
          <w:sz w:val="20"/>
          <w:szCs w:val="20"/>
          <w:lang w:eastAsia="en-GB"/>
        </w:rPr>
        <w:t>,BMDU,weight</w:t>
      </w:r>
      <w:proofErr w:type="spellEnd"/>
      <w:r w:rsidRPr="00802A58">
        <w:rPr>
          <w:rFonts w:ascii="Tahoma" w:eastAsia="Times New Roman" w:hAnsi="Tahoma" w:cs="Tahoma"/>
          <w:sz w:val="20"/>
          <w:szCs w:val="20"/>
          <w:lang w:eastAsia="en-GB"/>
        </w:rPr>
        <w:t xml:space="preserve">) are given in Table </w:t>
      </w:r>
      <w:r w:rsidRPr="00802A58">
        <w:rPr>
          <w:rFonts w:ascii="Tahoma" w:eastAsia="Times New Roman" w:hAnsi="Tahoma" w:cs="Tahoma"/>
          <w:sz w:val="20"/>
          <w:szCs w:val="20"/>
          <w:lang w:val="en-US" w:eastAsia="en-GB"/>
        </w:rPr>
        <w:t>6,</w:t>
      </w:r>
      <w:r w:rsidRPr="00802A58">
        <w:rPr>
          <w:rFonts w:ascii="Tahoma" w:eastAsia="Times New Roman" w:hAnsi="Tahoma" w:cs="Tahoma"/>
          <w:sz w:val="20"/>
          <w:szCs w:val="20"/>
          <w:lang w:eastAsia="en-GB"/>
        </w:rPr>
        <w:t xml:space="preserve"> show</w:t>
      </w:r>
      <w:proofErr w:type="spellStart"/>
      <w:r w:rsidRPr="00802A58">
        <w:rPr>
          <w:rFonts w:ascii="Tahoma" w:eastAsia="Times New Roman" w:hAnsi="Tahoma" w:cs="Tahoma"/>
          <w:sz w:val="20"/>
          <w:szCs w:val="20"/>
          <w:lang w:val="en-US" w:eastAsia="en-GB"/>
        </w:rPr>
        <w:t>ing</w:t>
      </w:r>
      <w:proofErr w:type="spellEnd"/>
      <w:r w:rsidRPr="00802A58">
        <w:rPr>
          <w:rFonts w:ascii="Tahoma" w:eastAsia="Times New Roman" w:hAnsi="Tahoma" w:cs="Tahoma"/>
          <w:sz w:val="20"/>
          <w:szCs w:val="20"/>
          <w:lang w:eastAsia="en-GB"/>
        </w:rPr>
        <w:t xml:space="preserve"> that </w:t>
      </w:r>
      <w:proofErr w:type="spellStart"/>
      <w:r w:rsidRPr="00802A58">
        <w:rPr>
          <w:rFonts w:ascii="Tahoma" w:eastAsia="Times New Roman" w:hAnsi="Tahoma" w:cs="Tahoma"/>
          <w:sz w:val="20"/>
          <w:szCs w:val="20"/>
          <w:lang w:eastAsia="en-GB"/>
        </w:rPr>
        <w:t>i</w:t>
      </w:r>
      <w:proofErr w:type="spellEnd"/>
      <w:r w:rsidRPr="00802A58">
        <w:rPr>
          <w:rFonts w:ascii="Tahoma" w:eastAsia="Times New Roman" w:hAnsi="Tahoma" w:cs="Tahoma"/>
          <w:sz w:val="20"/>
          <w:szCs w:val="20"/>
          <w:lang w:eastAsia="en-GB"/>
        </w:rPr>
        <w:t xml:space="preserve">) the model specific BMDL’s vary from </w:t>
      </w:r>
      <w:r w:rsidRPr="00802A58">
        <w:rPr>
          <w:rFonts w:ascii="Tahoma" w:eastAsia="Times New Roman" w:hAnsi="Tahoma" w:cs="Tahoma"/>
          <w:sz w:val="20"/>
          <w:szCs w:val="20"/>
          <w:lang w:val="en-US" w:eastAsia="en-GB"/>
        </w:rPr>
        <w:t>0.170</w:t>
      </w:r>
      <w:r w:rsidRPr="00802A58">
        <w:rPr>
          <w:rFonts w:ascii="Tahoma" w:eastAsia="Times New Roman" w:hAnsi="Tahoma" w:cs="Tahoma"/>
          <w:sz w:val="20"/>
          <w:szCs w:val="20"/>
          <w:lang w:eastAsia="en-GB"/>
        </w:rPr>
        <w:t xml:space="preserve"> to </w:t>
      </w:r>
      <w:r w:rsidRPr="00802A58">
        <w:rPr>
          <w:rFonts w:ascii="Tahoma" w:eastAsia="Times New Roman" w:hAnsi="Tahoma" w:cs="Tahoma"/>
          <w:sz w:val="20"/>
          <w:szCs w:val="20"/>
          <w:lang w:val="en-US" w:eastAsia="en-GB"/>
        </w:rPr>
        <w:t>0.182</w:t>
      </w:r>
      <w:r w:rsidRPr="00802A58">
        <w:rPr>
          <w:rFonts w:ascii="Tahoma" w:eastAsia="Times New Roman" w:hAnsi="Tahoma" w:cs="Tahoma"/>
          <w:sz w:val="20"/>
          <w:szCs w:val="20"/>
          <w:lang w:eastAsia="en-GB"/>
        </w:rPr>
        <w:t xml:space="preserve">,  ii) </w:t>
      </w:r>
      <w:r w:rsidRPr="00802A58">
        <w:rPr>
          <w:rFonts w:ascii="Tahoma" w:eastAsia="Times New Roman" w:hAnsi="Tahoma" w:cs="Tahoma"/>
          <w:sz w:val="20"/>
          <w:szCs w:val="20"/>
          <w:lang w:val="en-US" w:eastAsia="en-GB"/>
        </w:rPr>
        <w:t>the weights vary across all 16 models, but with higher weights for the log-normal models</w:t>
      </w:r>
      <w:r w:rsidRPr="00802A58">
        <w:rPr>
          <w:rFonts w:ascii="Tahoma" w:eastAsia="Times New Roman" w:hAnsi="Tahoma" w:cs="Tahoma"/>
          <w:sz w:val="20"/>
          <w:szCs w:val="20"/>
          <w:lang w:eastAsia="en-GB"/>
        </w:rPr>
        <w:t xml:space="preserve"> iii)</w:t>
      </w:r>
      <w:r w:rsidRPr="00802A58">
        <w:rPr>
          <w:rFonts w:ascii="Tahoma" w:eastAsia="Times New Roman" w:hAnsi="Tahoma" w:cs="Tahoma"/>
          <w:sz w:val="20"/>
          <w:szCs w:val="20"/>
          <w:lang w:val="en-US" w:eastAsia="en-GB"/>
        </w:rPr>
        <w:t xml:space="preserve"> the highest weight is for the log-normal quadratic exponential model (0.19), and </w:t>
      </w:r>
      <w:proofErr w:type="spellStart"/>
      <w:r w:rsidRPr="00802A58">
        <w:rPr>
          <w:rFonts w:ascii="Tahoma" w:eastAsia="Times New Roman" w:hAnsi="Tahoma" w:cs="Tahoma"/>
          <w:sz w:val="20"/>
          <w:szCs w:val="20"/>
          <w:lang w:val="en-US" w:eastAsia="en-GB"/>
        </w:rPr>
        <w:t>weights</w:t>
      </w:r>
      <w:proofErr w:type="spellEnd"/>
      <w:r w:rsidRPr="00802A58">
        <w:rPr>
          <w:rFonts w:ascii="Tahoma" w:eastAsia="Times New Roman" w:hAnsi="Tahoma" w:cs="Tahoma"/>
          <w:sz w:val="20"/>
          <w:szCs w:val="20"/>
          <w:lang w:val="en-US" w:eastAsia="en-GB"/>
        </w:rPr>
        <w:t xml:space="preserve"> about 0.08 for all other log-normal models.  The normal models have weights about 0.02, except for the normal quadratic exponential model with weight 0.05.</w:t>
      </w:r>
    </w:p>
    <w:p w14:paraId="4BA3208B" w14:textId="4A3E7FCC" w:rsidR="00802A58" w:rsidRPr="00802A58" w:rsidRDefault="00802A58" w:rsidP="00802A58">
      <w:pPr>
        <w:spacing w:after="120" w:line="240" w:lineRule="auto"/>
        <w:jc w:val="both"/>
        <w:rPr>
          <w:rFonts w:ascii="Tahoma" w:hAnsi="Tahoma"/>
          <w:sz w:val="20"/>
          <w:szCs w:val="20"/>
        </w:rPr>
      </w:pPr>
      <w:r w:rsidRPr="00802A58">
        <w:rPr>
          <w:rFonts w:ascii="Tahoma" w:hAnsi="Tahoma"/>
          <w:sz w:val="20"/>
          <w:szCs w:val="20"/>
        </w:rPr>
        <w:t xml:space="preserve">More information for the log-normal quadratic exponential model is depicted in Figure </w:t>
      </w:r>
      <w:r w:rsidR="001B1AAC">
        <w:rPr>
          <w:rFonts w:ascii="Tahoma" w:hAnsi="Tahoma"/>
          <w:sz w:val="20"/>
          <w:szCs w:val="20"/>
        </w:rPr>
        <w:t>C5</w:t>
      </w:r>
      <w:r w:rsidRPr="00802A58">
        <w:rPr>
          <w:rFonts w:ascii="Tahoma" w:hAnsi="Tahoma"/>
          <w:sz w:val="20"/>
          <w:szCs w:val="20"/>
        </w:rPr>
        <w:t xml:space="preserve">, with, for the background and minimum median response, and the BMD, the flat uninformative PERT prior distributions (in blue) and the final posterior distributions (in orange).  The fourth parameter </w:t>
      </w:r>
      <w:r w:rsidRPr="00802A58">
        <w:rPr>
          <w:rFonts w:ascii="Tahoma" w:hAnsi="Tahoma"/>
          <w:i/>
          <w:iCs/>
          <w:sz w:val="20"/>
          <w:szCs w:val="20"/>
        </w:rPr>
        <w:t xml:space="preserve">d </w:t>
      </w:r>
      <w:r w:rsidRPr="00802A58">
        <w:rPr>
          <w:rFonts w:ascii="Tahoma" w:hAnsi="Tahoma"/>
          <w:sz w:val="20"/>
          <w:szCs w:val="20"/>
        </w:rPr>
        <w:t xml:space="preserve">(left lower panel) gets a log-normal prior distribution (in blue), which is moderately informative with median at 1, </w:t>
      </w:r>
      <w:proofErr w:type="gramStart"/>
      <w:r w:rsidRPr="00802A58">
        <w:rPr>
          <w:rFonts w:ascii="Tahoma" w:hAnsi="Tahoma"/>
          <w:sz w:val="20"/>
          <w:szCs w:val="20"/>
        </w:rPr>
        <w:t>in order to</w:t>
      </w:r>
      <w:proofErr w:type="gramEnd"/>
      <w:r w:rsidRPr="00802A58">
        <w:rPr>
          <w:rFonts w:ascii="Tahoma" w:hAnsi="Tahoma"/>
          <w:sz w:val="20"/>
          <w:szCs w:val="20"/>
        </w:rPr>
        <w:t xml:space="preserve"> stabilize the fitting computationally. Similar plots can be made for all other 15 models.</w:t>
      </w:r>
    </w:p>
    <w:p w14:paraId="269798D9" w14:textId="7635C1ED" w:rsidR="00802A58" w:rsidRDefault="00026CAF" w:rsidP="00E07A63">
      <w:pPr>
        <w:rPr>
          <w:rFonts w:ascii="Tahoma" w:hAnsi="Tahoma"/>
          <w:bCs/>
          <w:sz w:val="18"/>
          <w:szCs w:val="20"/>
        </w:rPr>
      </w:pPr>
      <w:r>
        <w:rPr>
          <w:rFonts w:ascii="Tahoma" w:hAnsi="Tahoma"/>
          <w:bCs/>
          <w:sz w:val="18"/>
          <w:szCs w:val="20"/>
        </w:rPr>
        <w:br w:type="page"/>
      </w:r>
      <w:r w:rsidR="00802A58" w:rsidRPr="00802A58">
        <w:rPr>
          <w:rFonts w:ascii="Tahoma" w:hAnsi="Tahoma"/>
          <w:bCs/>
          <w:sz w:val="18"/>
          <w:szCs w:val="20"/>
        </w:rPr>
        <w:t xml:space="preserve">Table </w:t>
      </w:r>
      <w:r w:rsidR="000B17CF">
        <w:rPr>
          <w:rFonts w:ascii="Tahoma" w:hAnsi="Tahoma"/>
          <w:bCs/>
          <w:sz w:val="18"/>
          <w:szCs w:val="20"/>
        </w:rPr>
        <w:t>C3</w:t>
      </w:r>
      <w:r w:rsidR="00802A58" w:rsidRPr="00802A58">
        <w:rPr>
          <w:rFonts w:ascii="Tahoma" w:hAnsi="Tahoma"/>
          <w:bCs/>
          <w:sz w:val="18"/>
          <w:szCs w:val="20"/>
        </w:rPr>
        <w:t xml:space="preserve">. </w:t>
      </w:r>
      <w:r w:rsidR="00552538">
        <w:rPr>
          <w:rFonts w:ascii="Tahoma" w:hAnsi="Tahoma"/>
          <w:bCs/>
          <w:sz w:val="18"/>
          <w:szCs w:val="20"/>
        </w:rPr>
        <w:tab/>
      </w:r>
      <w:r w:rsidR="00802A58" w:rsidRPr="00802A58">
        <w:rPr>
          <w:rFonts w:ascii="Tahoma" w:hAnsi="Tahoma"/>
          <w:bCs/>
          <w:sz w:val="18"/>
          <w:szCs w:val="20"/>
        </w:rPr>
        <w:t xml:space="preserve">The </w:t>
      </w:r>
      <w:r w:rsidR="002C184C">
        <w:rPr>
          <w:rFonts w:ascii="Tahoma" w:hAnsi="Tahoma"/>
          <w:bCs/>
          <w:sz w:val="18"/>
          <w:szCs w:val="20"/>
        </w:rPr>
        <w:t>3.</w:t>
      </w:r>
      <w:r w:rsidR="00802A58" w:rsidRPr="00802A58">
        <w:rPr>
          <w:rFonts w:ascii="Tahoma" w:hAnsi="Tahoma"/>
          <w:bCs/>
          <w:sz w:val="18"/>
          <w:szCs w:val="20"/>
        </w:rPr>
        <w:t>3</w:t>
      </w:r>
      <w:r w:rsidR="00802A58" w:rsidRPr="00802A58">
        <w:rPr>
          <w:rFonts w:ascii="Tahoma" w:hAnsi="Tahoma"/>
          <w:b/>
          <w:sz w:val="18"/>
          <w:szCs w:val="20"/>
        </w:rPr>
        <w:t xml:space="preserve"> </w:t>
      </w:r>
      <w:r w:rsidR="00802A58" w:rsidRPr="00802A58">
        <w:rPr>
          <w:rFonts w:ascii="Tahoma" w:hAnsi="Tahoma"/>
          <w:bCs/>
          <w:sz w:val="18"/>
          <w:szCs w:val="20"/>
        </w:rPr>
        <w:t>Example. Model specific values for BMDL, BMD, and BMDU; and the posterior weights of each model (used for constructing the model average).</w:t>
      </w:r>
    </w:p>
    <w:p w14:paraId="220D4569" w14:textId="77777777" w:rsidR="00552538" w:rsidRPr="00802A58" w:rsidRDefault="00552538" w:rsidP="00802A58">
      <w:pPr>
        <w:spacing w:after="0" w:line="240" w:lineRule="auto"/>
        <w:rPr>
          <w:rFonts w:ascii="Tahoma" w:hAnsi="Tahoma"/>
          <w:bCs/>
          <w:sz w:val="18"/>
          <w:szCs w:val="20"/>
        </w:rPr>
      </w:pPr>
    </w:p>
    <w:p w14:paraId="20CF964C" w14:textId="77777777" w:rsidR="00802A58" w:rsidRPr="00802A58" w:rsidRDefault="00802A58" w:rsidP="00802A58">
      <w:pPr>
        <w:spacing w:after="0" w:line="240" w:lineRule="auto"/>
        <w:jc w:val="center"/>
        <w:rPr>
          <w:rFonts w:ascii="Tahoma" w:hAnsi="Tahoma"/>
          <w:bCs/>
          <w:sz w:val="18"/>
          <w:szCs w:val="20"/>
        </w:rPr>
      </w:pPr>
      <w:r w:rsidRPr="00802A58">
        <w:rPr>
          <w:rFonts w:ascii="Tahoma" w:hAnsi="Tahoma"/>
          <w:bCs/>
          <w:noProof/>
          <w:sz w:val="18"/>
          <w:szCs w:val="20"/>
        </w:rPr>
        <w:drawing>
          <wp:inline distT="0" distB="0" distL="0" distR="0" wp14:anchorId="3B100B74" wp14:editId="71943FB3">
            <wp:extent cx="3005593" cy="2400829"/>
            <wp:effectExtent l="0" t="0" r="4445"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035343" cy="2424593"/>
                    </a:xfrm>
                    <a:prstGeom prst="rect">
                      <a:avLst/>
                    </a:prstGeom>
                  </pic:spPr>
                </pic:pic>
              </a:graphicData>
            </a:graphic>
          </wp:inline>
        </w:drawing>
      </w:r>
    </w:p>
    <w:p w14:paraId="56C5B6CD" w14:textId="77777777" w:rsidR="00802A58" w:rsidRPr="00802A58" w:rsidRDefault="00802A58" w:rsidP="00802A58">
      <w:pPr>
        <w:spacing w:after="0" w:line="240" w:lineRule="auto"/>
        <w:jc w:val="center"/>
        <w:rPr>
          <w:rFonts w:ascii="Tahoma" w:hAnsi="Tahoma"/>
          <w:bCs/>
          <w:sz w:val="18"/>
          <w:szCs w:val="20"/>
        </w:rPr>
      </w:pPr>
    </w:p>
    <w:p w14:paraId="19C9505A" w14:textId="77777777" w:rsidR="00802A58" w:rsidRPr="00802A58" w:rsidRDefault="00802A58" w:rsidP="00802A58">
      <w:pPr>
        <w:spacing w:after="120" w:line="240" w:lineRule="auto"/>
        <w:jc w:val="center"/>
        <w:rPr>
          <w:rFonts w:ascii="Tahoma" w:hAnsi="Tahoma"/>
          <w:sz w:val="20"/>
          <w:szCs w:val="20"/>
        </w:rPr>
      </w:pPr>
    </w:p>
    <w:p w14:paraId="5B1C5393" w14:textId="77777777" w:rsidR="00802A58" w:rsidRPr="00802A58" w:rsidRDefault="00802A58" w:rsidP="00802A58">
      <w:pPr>
        <w:spacing w:after="120" w:line="240" w:lineRule="auto"/>
        <w:jc w:val="center"/>
        <w:rPr>
          <w:rFonts w:ascii="Tahoma" w:hAnsi="Tahoma"/>
          <w:sz w:val="20"/>
          <w:szCs w:val="20"/>
        </w:rPr>
      </w:pPr>
      <w:r w:rsidRPr="00802A58">
        <w:rPr>
          <w:rFonts w:ascii="Tahoma" w:hAnsi="Tahoma"/>
          <w:noProof/>
          <w:sz w:val="20"/>
          <w:szCs w:val="20"/>
        </w:rPr>
        <w:drawing>
          <wp:inline distT="0" distB="0" distL="0" distR="0" wp14:anchorId="5F5C98B5" wp14:editId="7E5B3A22">
            <wp:extent cx="5759450" cy="3465195"/>
            <wp:effectExtent l="0" t="0" r="6350" b="1905"/>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59450" cy="3465195"/>
                    </a:xfrm>
                    <a:prstGeom prst="rect">
                      <a:avLst/>
                    </a:prstGeom>
                  </pic:spPr>
                </pic:pic>
              </a:graphicData>
            </a:graphic>
          </wp:inline>
        </w:drawing>
      </w:r>
    </w:p>
    <w:p w14:paraId="68BF2829" w14:textId="2C845117" w:rsidR="00802A58" w:rsidRPr="00802A58" w:rsidRDefault="00802A58" w:rsidP="00026CAF">
      <w:pPr>
        <w:tabs>
          <w:tab w:val="left" w:pos="426"/>
        </w:tabs>
        <w:autoSpaceDE w:val="0"/>
        <w:autoSpaceDN w:val="0"/>
        <w:adjustRightInd w:val="0"/>
        <w:spacing w:after="0"/>
        <w:jc w:val="both"/>
        <w:rPr>
          <w:rFonts w:ascii="Tahoma" w:hAnsi="Tahoma" w:cs="Arial"/>
          <w:sz w:val="16"/>
          <w:szCs w:val="18"/>
        </w:rPr>
      </w:pPr>
      <w:r w:rsidRPr="00802A58">
        <w:rPr>
          <w:rFonts w:ascii="Tahoma" w:hAnsi="Tahoma" w:cs="Arial"/>
          <w:sz w:val="16"/>
          <w:szCs w:val="18"/>
        </w:rPr>
        <w:t>Fig</w:t>
      </w:r>
      <w:r w:rsidR="002C184C">
        <w:rPr>
          <w:rFonts w:ascii="Tahoma" w:hAnsi="Tahoma" w:cs="Arial"/>
          <w:sz w:val="16"/>
          <w:szCs w:val="18"/>
        </w:rPr>
        <w:t>ure</w:t>
      </w:r>
      <w:r w:rsidRPr="00802A58">
        <w:rPr>
          <w:rFonts w:ascii="Tahoma" w:hAnsi="Tahoma" w:cs="Arial"/>
          <w:sz w:val="16"/>
          <w:szCs w:val="18"/>
        </w:rPr>
        <w:t xml:space="preserve"> </w:t>
      </w:r>
      <w:r w:rsidR="00026CAF">
        <w:rPr>
          <w:rFonts w:ascii="Tahoma" w:hAnsi="Tahoma" w:cs="Arial"/>
          <w:sz w:val="16"/>
          <w:szCs w:val="18"/>
        </w:rPr>
        <w:t>C5</w:t>
      </w:r>
      <w:r w:rsidRPr="00802A58">
        <w:rPr>
          <w:rFonts w:ascii="Tahoma" w:hAnsi="Tahoma" w:cs="Arial"/>
          <w:sz w:val="16"/>
          <w:szCs w:val="18"/>
        </w:rPr>
        <w:t xml:space="preserve">: The </w:t>
      </w:r>
      <w:r w:rsidR="002C184C">
        <w:rPr>
          <w:rFonts w:ascii="Tahoma" w:hAnsi="Tahoma" w:cs="Arial"/>
          <w:sz w:val="16"/>
          <w:szCs w:val="18"/>
        </w:rPr>
        <w:t>3.</w:t>
      </w:r>
      <w:r w:rsidRPr="00802A58">
        <w:rPr>
          <w:rFonts w:ascii="Tahoma" w:hAnsi="Tahoma" w:cs="Arial"/>
          <w:sz w:val="16"/>
          <w:szCs w:val="18"/>
        </w:rPr>
        <w:t xml:space="preserve">3 Example: prior and posterior densities (pink and orange coloured respectively) for the background response, the maximum response, the BMD, and the parameter </w:t>
      </w:r>
      <w:r w:rsidRPr="00802A58">
        <w:rPr>
          <w:rFonts w:ascii="Tahoma" w:hAnsi="Tahoma" w:cs="Arial"/>
          <w:i/>
          <w:iCs/>
          <w:sz w:val="16"/>
          <w:szCs w:val="18"/>
        </w:rPr>
        <w:t>d</w:t>
      </w:r>
      <w:r w:rsidRPr="00802A58">
        <w:rPr>
          <w:rFonts w:ascii="Tahoma" w:hAnsi="Tahoma" w:cs="Arial"/>
          <w:sz w:val="16"/>
          <w:szCs w:val="18"/>
        </w:rPr>
        <w:t>, for the normal-quadratic exponential model. The vertical dashed lines in the upper panels are the observed values for the background and maximum response.</w:t>
      </w:r>
    </w:p>
    <w:p w14:paraId="08748D1B" w14:textId="77777777" w:rsidR="00802A58" w:rsidRPr="00802A58" w:rsidRDefault="00802A58" w:rsidP="00802A58">
      <w:pPr>
        <w:spacing w:after="120" w:line="240" w:lineRule="auto"/>
        <w:jc w:val="both"/>
        <w:rPr>
          <w:rFonts w:ascii="Tahoma" w:hAnsi="Tahoma"/>
          <w:sz w:val="20"/>
          <w:szCs w:val="20"/>
        </w:rPr>
      </w:pPr>
    </w:p>
    <w:p w14:paraId="7A5600F9" w14:textId="1D1B86E6" w:rsidR="00802A58" w:rsidRPr="00802A58" w:rsidRDefault="00802A58" w:rsidP="00802A58">
      <w:pPr>
        <w:spacing w:after="120" w:line="240" w:lineRule="auto"/>
        <w:jc w:val="both"/>
        <w:rPr>
          <w:rFonts w:ascii="Tahoma" w:hAnsi="Tahoma"/>
          <w:sz w:val="20"/>
          <w:szCs w:val="20"/>
        </w:rPr>
      </w:pPr>
      <w:r w:rsidRPr="00802A58">
        <w:rPr>
          <w:rFonts w:ascii="Tahoma" w:hAnsi="Tahoma"/>
          <w:sz w:val="20"/>
          <w:szCs w:val="20"/>
        </w:rPr>
        <w:t xml:space="preserve">Using the weights of Table </w:t>
      </w:r>
      <w:r w:rsidR="00026CAF">
        <w:rPr>
          <w:rFonts w:ascii="Tahoma" w:hAnsi="Tahoma"/>
          <w:sz w:val="20"/>
          <w:szCs w:val="20"/>
        </w:rPr>
        <w:t>C3</w:t>
      </w:r>
      <w:r w:rsidRPr="00802A58">
        <w:rPr>
          <w:rFonts w:ascii="Tahoma" w:hAnsi="Tahoma"/>
          <w:sz w:val="20"/>
          <w:szCs w:val="20"/>
        </w:rPr>
        <w:t xml:space="preserve"> (last column), the final model averaged BMD estimate equals 0.217, quite close to the true value of 0.229, with 90% </w:t>
      </w:r>
      <w:proofErr w:type="spellStart"/>
      <w:r w:rsidRPr="00802A58">
        <w:rPr>
          <w:rFonts w:ascii="Tahoma" w:hAnsi="Tahoma"/>
          <w:sz w:val="20"/>
          <w:szCs w:val="20"/>
        </w:rPr>
        <w:t>CrI</w:t>
      </w:r>
      <w:proofErr w:type="spellEnd"/>
      <w:r w:rsidRPr="00802A58">
        <w:rPr>
          <w:rFonts w:ascii="Tahoma" w:hAnsi="Tahoma"/>
          <w:sz w:val="20"/>
          <w:szCs w:val="20"/>
        </w:rPr>
        <w:t xml:space="preserve"> (0.176,0. 259). Note that this </w:t>
      </w:r>
      <w:proofErr w:type="spellStart"/>
      <w:r w:rsidRPr="00802A58">
        <w:rPr>
          <w:rFonts w:ascii="Tahoma" w:hAnsi="Tahoma"/>
          <w:sz w:val="20"/>
          <w:szCs w:val="20"/>
        </w:rPr>
        <w:t>CrI</w:t>
      </w:r>
      <w:proofErr w:type="spellEnd"/>
      <w:r w:rsidRPr="00802A58">
        <w:rPr>
          <w:rFonts w:ascii="Tahoma" w:hAnsi="Tahoma"/>
          <w:sz w:val="20"/>
          <w:szCs w:val="20"/>
        </w:rPr>
        <w:t xml:space="preserve"> includes the true value 0.229. Based on the Laplace approximation results, the ratio </w:t>
      </w:r>
      <m:oMath>
        <m:f>
          <m:fPr>
            <m:ctrlPr>
              <w:rPr>
                <w:rFonts w:ascii="Cambria Math" w:eastAsia="Times New Roman" w:hAnsi="Cambria Math" w:cs="Tahoma"/>
                <w:i/>
                <w:sz w:val="20"/>
                <w:szCs w:val="20"/>
                <w:lang w:val="en-US" w:eastAsia="en-GB"/>
              </w:rPr>
            </m:ctrlPr>
          </m:fPr>
          <m:num>
            <m:r>
              <w:rPr>
                <w:rFonts w:ascii="Cambria Math" w:hAnsi="Cambria Math" w:cs="Tahoma"/>
                <w:sz w:val="20"/>
                <w:szCs w:val="20"/>
                <w:lang w:val="en-US"/>
              </w:rPr>
              <m:t>BMDU</m:t>
            </m:r>
          </m:num>
          <m:den>
            <m:r>
              <w:rPr>
                <w:rFonts w:ascii="Cambria Math" w:hAnsi="Cambria Math" w:cs="Tahoma"/>
                <w:sz w:val="20"/>
                <w:szCs w:val="20"/>
                <w:lang w:val="en-US"/>
              </w:rPr>
              <m:t>BMDL</m:t>
            </m:r>
          </m:den>
        </m:f>
      </m:oMath>
      <w:r w:rsidRPr="00802A58">
        <w:rPr>
          <w:rFonts w:ascii="Tahoma" w:hAnsi="Tahoma" w:cs="Tahoma"/>
          <w:sz w:val="20"/>
          <w:szCs w:val="20"/>
          <w:lang w:val="en-US"/>
        </w:rPr>
        <w:t xml:space="preserve"> is slightly smaller (1.47), the estimation of the BMD is slightly more precise. </w:t>
      </w:r>
      <w:r w:rsidRPr="00802A58">
        <w:rPr>
          <w:rFonts w:ascii="Tahoma" w:hAnsi="Tahoma"/>
          <w:sz w:val="20"/>
          <w:szCs w:val="20"/>
        </w:rPr>
        <w:t xml:space="preserve">Figure </w:t>
      </w:r>
      <w:r w:rsidR="00026CAF">
        <w:rPr>
          <w:rFonts w:ascii="Tahoma" w:hAnsi="Tahoma"/>
          <w:sz w:val="20"/>
          <w:szCs w:val="20"/>
        </w:rPr>
        <w:t>C6</w:t>
      </w:r>
      <w:r w:rsidRPr="00802A58">
        <w:rPr>
          <w:rFonts w:ascii="Tahoma" w:hAnsi="Tahoma"/>
          <w:sz w:val="20"/>
          <w:szCs w:val="20"/>
        </w:rPr>
        <w:t xml:space="preserve"> shows, on the log-scale, the summary data together with the model-specific fitted dose-response models, together with the </w:t>
      </w:r>
      <w:proofErr w:type="spellStart"/>
      <w:r w:rsidRPr="00802A58">
        <w:rPr>
          <w:rFonts w:ascii="Tahoma" w:hAnsi="Tahoma"/>
          <w:sz w:val="20"/>
          <w:szCs w:val="20"/>
        </w:rPr>
        <w:t>CrI</w:t>
      </w:r>
      <w:proofErr w:type="spellEnd"/>
      <w:r w:rsidRPr="00802A58">
        <w:rPr>
          <w:rFonts w:ascii="Tahoma" w:hAnsi="Tahoma"/>
          <w:sz w:val="20"/>
          <w:szCs w:val="20"/>
        </w:rPr>
        <w:t xml:space="preserve"> (in green), the BMD estimate (red bullet point), and the posterior distribution of the BMD, with the 90 % </w:t>
      </w:r>
      <w:proofErr w:type="spellStart"/>
      <w:r w:rsidRPr="00802A58">
        <w:rPr>
          <w:rFonts w:ascii="Tahoma" w:hAnsi="Tahoma"/>
          <w:sz w:val="20"/>
          <w:szCs w:val="20"/>
        </w:rPr>
        <w:t>CrI</w:t>
      </w:r>
      <w:proofErr w:type="spellEnd"/>
      <w:r w:rsidRPr="00802A58">
        <w:rPr>
          <w:rFonts w:ascii="Tahoma" w:hAnsi="Tahoma"/>
          <w:sz w:val="20"/>
          <w:szCs w:val="20"/>
        </w:rPr>
        <w:t xml:space="preserve"> (in green) and the BMD estimate (red bullet point). Note how the fitted models vary substantially in the range from dose 0 to the first dose level, resulting in very different BMD estimates. </w:t>
      </w:r>
    </w:p>
    <w:p w14:paraId="50704B30" w14:textId="77777777" w:rsidR="00802A58" w:rsidRPr="00802A58" w:rsidRDefault="00802A58" w:rsidP="00802A58">
      <w:pPr>
        <w:spacing w:after="120" w:line="240" w:lineRule="auto"/>
        <w:jc w:val="both"/>
        <w:rPr>
          <w:rFonts w:ascii="Tahoma" w:hAnsi="Tahoma"/>
          <w:sz w:val="20"/>
          <w:szCs w:val="20"/>
        </w:rPr>
      </w:pPr>
    </w:p>
    <w:tbl>
      <w:tblPr>
        <w:tblStyle w:val="TableGrid"/>
        <w:tblW w:w="0" w:type="auto"/>
        <w:tblLook w:val="04A0" w:firstRow="1" w:lastRow="0" w:firstColumn="1" w:lastColumn="0" w:noHBand="0" w:noVBand="1"/>
      </w:tblPr>
      <w:tblGrid>
        <w:gridCol w:w="4465"/>
        <w:gridCol w:w="4595"/>
      </w:tblGrid>
      <w:tr w:rsidR="00802A58" w:rsidRPr="00802A58" w14:paraId="7A77CC07" w14:textId="77777777" w:rsidTr="00754719">
        <w:tc>
          <w:tcPr>
            <w:tcW w:w="0" w:type="auto"/>
          </w:tcPr>
          <w:p w14:paraId="7F015EA7" w14:textId="77777777" w:rsidR="00802A58" w:rsidRPr="00802A58" w:rsidRDefault="00802A58" w:rsidP="00802A58">
            <w:pPr>
              <w:spacing w:after="120"/>
              <w:jc w:val="both"/>
            </w:pPr>
            <w:r w:rsidRPr="00802A58">
              <w:rPr>
                <w:noProof/>
              </w:rPr>
              <w:drawing>
                <wp:inline distT="0" distB="0" distL="0" distR="0" wp14:anchorId="0CD21727" wp14:editId="72CEDCC0">
                  <wp:extent cx="2749256" cy="165410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892144" cy="1740069"/>
                          </a:xfrm>
                          <a:prstGeom prst="rect">
                            <a:avLst/>
                          </a:prstGeom>
                        </pic:spPr>
                      </pic:pic>
                    </a:graphicData>
                  </a:graphic>
                </wp:inline>
              </w:drawing>
            </w:r>
          </w:p>
        </w:tc>
        <w:tc>
          <w:tcPr>
            <w:tcW w:w="0" w:type="auto"/>
          </w:tcPr>
          <w:p w14:paraId="72993449" w14:textId="77777777" w:rsidR="00802A58" w:rsidRPr="00802A58" w:rsidRDefault="00802A58" w:rsidP="00802A58">
            <w:pPr>
              <w:spacing w:after="120"/>
              <w:jc w:val="both"/>
            </w:pPr>
            <w:r w:rsidRPr="00802A58">
              <w:rPr>
                <w:noProof/>
              </w:rPr>
              <w:drawing>
                <wp:inline distT="0" distB="0" distL="0" distR="0" wp14:anchorId="04F7AAB0" wp14:editId="2C5BDC02">
                  <wp:extent cx="2808129" cy="1689521"/>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848903" cy="1714053"/>
                          </a:xfrm>
                          <a:prstGeom prst="rect">
                            <a:avLst/>
                          </a:prstGeom>
                        </pic:spPr>
                      </pic:pic>
                    </a:graphicData>
                  </a:graphic>
                </wp:inline>
              </w:drawing>
            </w:r>
          </w:p>
        </w:tc>
      </w:tr>
      <w:tr w:rsidR="00802A58" w:rsidRPr="00802A58" w14:paraId="48E4DD74" w14:textId="77777777" w:rsidTr="00754719">
        <w:tc>
          <w:tcPr>
            <w:tcW w:w="0" w:type="auto"/>
          </w:tcPr>
          <w:p w14:paraId="60DB1DF4" w14:textId="77777777" w:rsidR="00802A58" w:rsidRPr="00802A58" w:rsidRDefault="00802A58" w:rsidP="00802A58">
            <w:pPr>
              <w:spacing w:after="120"/>
              <w:jc w:val="both"/>
            </w:pPr>
            <w:r w:rsidRPr="00802A58">
              <w:rPr>
                <w:noProof/>
              </w:rPr>
              <w:drawing>
                <wp:inline distT="0" distB="0" distL="0" distR="0" wp14:anchorId="5B1409CC" wp14:editId="2AC8C57B">
                  <wp:extent cx="2810414" cy="1690896"/>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857692" cy="1719341"/>
                          </a:xfrm>
                          <a:prstGeom prst="rect">
                            <a:avLst/>
                          </a:prstGeom>
                        </pic:spPr>
                      </pic:pic>
                    </a:graphicData>
                  </a:graphic>
                </wp:inline>
              </w:drawing>
            </w:r>
          </w:p>
        </w:tc>
        <w:tc>
          <w:tcPr>
            <w:tcW w:w="0" w:type="auto"/>
          </w:tcPr>
          <w:p w14:paraId="51190BC1" w14:textId="77777777" w:rsidR="00802A58" w:rsidRPr="00802A58" w:rsidRDefault="00802A58" w:rsidP="00802A58">
            <w:pPr>
              <w:spacing w:after="120"/>
              <w:jc w:val="both"/>
            </w:pPr>
            <w:r w:rsidRPr="00802A58">
              <w:rPr>
                <w:noProof/>
              </w:rPr>
              <w:drawing>
                <wp:inline distT="0" distB="0" distL="0" distR="0" wp14:anchorId="734CC883" wp14:editId="63B538B5">
                  <wp:extent cx="2893206" cy="1740708"/>
                  <wp:effectExtent l="0" t="0" r="254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937660" cy="1767454"/>
                          </a:xfrm>
                          <a:prstGeom prst="rect">
                            <a:avLst/>
                          </a:prstGeom>
                        </pic:spPr>
                      </pic:pic>
                    </a:graphicData>
                  </a:graphic>
                </wp:inline>
              </w:drawing>
            </w:r>
          </w:p>
        </w:tc>
      </w:tr>
    </w:tbl>
    <w:p w14:paraId="0F108C07" w14:textId="2B60D8B7" w:rsidR="00802A58" w:rsidRPr="00802A58" w:rsidRDefault="00802A58" w:rsidP="00026CAF">
      <w:pPr>
        <w:tabs>
          <w:tab w:val="left" w:pos="426"/>
        </w:tabs>
        <w:autoSpaceDE w:val="0"/>
        <w:autoSpaceDN w:val="0"/>
        <w:adjustRightInd w:val="0"/>
        <w:spacing w:after="0"/>
        <w:jc w:val="both"/>
        <w:rPr>
          <w:rFonts w:ascii="Tahoma" w:hAnsi="Tahoma" w:cs="Arial"/>
          <w:sz w:val="16"/>
          <w:szCs w:val="18"/>
        </w:rPr>
      </w:pPr>
      <w:r w:rsidRPr="00802A58">
        <w:rPr>
          <w:rFonts w:ascii="Tahoma" w:hAnsi="Tahoma" w:cs="Arial"/>
          <w:sz w:val="16"/>
          <w:szCs w:val="18"/>
        </w:rPr>
        <w:t>Fig</w:t>
      </w:r>
      <w:r w:rsidR="00C45EA5">
        <w:rPr>
          <w:rFonts w:ascii="Tahoma" w:hAnsi="Tahoma" w:cs="Arial"/>
          <w:sz w:val="16"/>
          <w:szCs w:val="18"/>
        </w:rPr>
        <w:t>ure</w:t>
      </w:r>
      <w:r w:rsidRPr="00802A58">
        <w:rPr>
          <w:rFonts w:ascii="Tahoma" w:hAnsi="Tahoma" w:cs="Arial"/>
          <w:sz w:val="16"/>
          <w:szCs w:val="18"/>
        </w:rPr>
        <w:t xml:space="preserve"> </w:t>
      </w:r>
      <w:r w:rsidR="00026CAF">
        <w:rPr>
          <w:rFonts w:ascii="Tahoma" w:hAnsi="Tahoma" w:cs="Arial"/>
          <w:sz w:val="16"/>
          <w:szCs w:val="18"/>
        </w:rPr>
        <w:t>C6</w:t>
      </w:r>
      <w:r w:rsidRPr="00802A58">
        <w:rPr>
          <w:rFonts w:ascii="Tahoma" w:hAnsi="Tahoma" w:cs="Arial"/>
          <w:sz w:val="16"/>
          <w:szCs w:val="18"/>
        </w:rPr>
        <w:t xml:space="preserve">. The </w:t>
      </w:r>
      <w:r w:rsidR="00C45EA5">
        <w:rPr>
          <w:rFonts w:ascii="Tahoma" w:hAnsi="Tahoma" w:cs="Arial"/>
          <w:sz w:val="16"/>
          <w:szCs w:val="18"/>
        </w:rPr>
        <w:t>3.</w:t>
      </w:r>
      <w:r w:rsidRPr="00802A58">
        <w:rPr>
          <w:rFonts w:ascii="Tahoma" w:hAnsi="Tahoma" w:cs="Arial"/>
          <w:sz w:val="16"/>
          <w:szCs w:val="18"/>
        </w:rPr>
        <w:t>3 Example: based on the Bridge sampling: fitted normal dose-response models (upper left), fitted log-normal dose-response models (upper right), all fitted models (lower left), averaged model with posterior density of the BMD, with 90% confidence interval (in green) and BMD point estimate (in red).</w:t>
      </w:r>
    </w:p>
    <w:p w14:paraId="12AC78B1" w14:textId="77777777" w:rsidR="00543DA7" w:rsidRDefault="00543DA7"/>
    <w:p w14:paraId="0F3A4F0C" w14:textId="38588F1B" w:rsidR="007D56EC" w:rsidRPr="00E056C4" w:rsidRDefault="007D56EC" w:rsidP="00E056C4">
      <w:pPr>
        <w:pStyle w:val="EFSAHeading1nonumber"/>
      </w:pPr>
      <w:bookmarkStart w:id="95" w:name="_Toc92785207"/>
      <w:bookmarkStart w:id="96" w:name="_Toc94255357"/>
      <w:r w:rsidRPr="00E056C4">
        <w:t>The Body Weight Example in the 2017 EFSA Guidance Update</w:t>
      </w:r>
      <w:bookmarkEnd w:id="95"/>
      <w:bookmarkEnd w:id="96"/>
    </w:p>
    <w:p w14:paraId="4AF73502" w14:textId="77777777" w:rsidR="007D56EC" w:rsidRPr="00802A58" w:rsidRDefault="007D56EC" w:rsidP="007D56EC">
      <w:pPr>
        <w:keepNext/>
        <w:numPr>
          <w:ilvl w:val="3"/>
          <w:numId w:val="0"/>
        </w:numPr>
        <w:spacing w:before="240" w:after="120" w:line="240" w:lineRule="auto"/>
        <w:ind w:left="1021" w:hanging="1021"/>
        <w:outlineLvl w:val="3"/>
        <w:rPr>
          <w:rFonts w:ascii="Tahoma" w:hAnsi="Tahoma"/>
          <w:b/>
          <w:sz w:val="20"/>
          <w:szCs w:val="20"/>
        </w:rPr>
      </w:pPr>
      <w:r w:rsidRPr="00802A58">
        <w:rPr>
          <w:rFonts w:ascii="Tahoma" w:hAnsi="Tahoma"/>
          <w:b/>
          <w:sz w:val="20"/>
          <w:szCs w:val="20"/>
        </w:rPr>
        <w:t>The Data</w:t>
      </w:r>
    </w:p>
    <w:p w14:paraId="08B969AB" w14:textId="7B8ED3C8" w:rsidR="007D56EC" w:rsidRPr="00802A58" w:rsidRDefault="007D56EC" w:rsidP="007D56EC">
      <w:pPr>
        <w:spacing w:after="120" w:line="240" w:lineRule="auto"/>
        <w:jc w:val="both"/>
        <w:rPr>
          <w:rFonts w:ascii="Tahoma" w:hAnsi="Tahoma"/>
          <w:sz w:val="20"/>
          <w:szCs w:val="20"/>
        </w:rPr>
      </w:pPr>
      <w:r w:rsidRPr="00802A58">
        <w:rPr>
          <w:rFonts w:ascii="Tahoma" w:hAnsi="Tahoma"/>
          <w:sz w:val="20"/>
          <w:szCs w:val="20"/>
        </w:rPr>
        <w:t>See Example 1 in Section 2.5.9 of EFSA SC (2017). The data in this example relate to a 2-year study in male mice. A dose-related decrease in body weight was observed. This endpoint is assumed to be the critical effect</w:t>
      </w:r>
      <w:r w:rsidR="00446810">
        <w:rPr>
          <w:rFonts w:ascii="Tahoma" w:hAnsi="Tahoma"/>
          <w:sz w:val="20"/>
          <w:szCs w:val="20"/>
        </w:rPr>
        <w:t xml:space="preserve"> and the </w:t>
      </w:r>
      <w:r w:rsidR="00F40725">
        <w:rPr>
          <w:rFonts w:ascii="Tahoma" w:hAnsi="Tahoma"/>
          <w:sz w:val="20"/>
          <w:szCs w:val="20"/>
        </w:rPr>
        <w:t>BMR considered is 5%</w:t>
      </w:r>
      <w:r w:rsidRPr="00802A58">
        <w:rPr>
          <w:rFonts w:ascii="Tahoma" w:hAnsi="Tahoma"/>
          <w:sz w:val="20"/>
          <w:szCs w:val="20"/>
        </w:rPr>
        <w:t xml:space="preserve">.  </w:t>
      </w:r>
    </w:p>
    <w:p w14:paraId="4C1773BA" w14:textId="77777777" w:rsidR="007D56EC" w:rsidRPr="00802A58" w:rsidRDefault="007D56EC" w:rsidP="007D56EC">
      <w:pPr>
        <w:spacing w:after="120" w:line="240" w:lineRule="auto"/>
        <w:jc w:val="center"/>
        <w:rPr>
          <w:rFonts w:ascii="Tahoma" w:hAnsi="Tahoma"/>
          <w:sz w:val="20"/>
          <w:szCs w:val="20"/>
        </w:rPr>
      </w:pPr>
      <w:r w:rsidRPr="00802A58">
        <w:rPr>
          <w:rFonts w:ascii="Tahoma" w:hAnsi="Tahoma"/>
          <w:noProof/>
          <w:sz w:val="20"/>
          <w:szCs w:val="20"/>
        </w:rPr>
        <w:drawing>
          <wp:inline distT="0" distB="0" distL="0" distR="0" wp14:anchorId="00ADF7D5" wp14:editId="2D094C5E">
            <wp:extent cx="5252085" cy="1178390"/>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312037" cy="1191841"/>
                    </a:xfrm>
                    <a:prstGeom prst="rect">
                      <a:avLst/>
                    </a:prstGeom>
                  </pic:spPr>
                </pic:pic>
              </a:graphicData>
            </a:graphic>
          </wp:inline>
        </w:drawing>
      </w:r>
    </w:p>
    <w:p w14:paraId="3ABF7FA9" w14:textId="77777777" w:rsidR="007D56EC" w:rsidRPr="00802A58" w:rsidRDefault="007D56EC" w:rsidP="005F480B">
      <w:pPr>
        <w:spacing w:after="120" w:line="240" w:lineRule="auto"/>
        <w:jc w:val="both"/>
        <w:rPr>
          <w:rFonts w:ascii="Tahoma" w:hAnsi="Tahoma"/>
          <w:sz w:val="20"/>
          <w:szCs w:val="20"/>
        </w:rPr>
      </w:pPr>
      <w:bookmarkStart w:id="97" w:name="OLE_LINK1"/>
      <w:bookmarkStart w:id="98" w:name="OLE_LINK2"/>
      <w:r w:rsidRPr="00802A58">
        <w:rPr>
          <w:rFonts w:ascii="Tahoma" w:hAnsi="Tahoma"/>
          <w:sz w:val="20"/>
          <w:szCs w:val="20"/>
        </w:rPr>
        <w:t>The Bartlett test did not reject the assumption of constant variance (normal distribution) nor the assumption of constant coefficient of variation (lognormal distribution), with p-values 0.76 and 0.59 respectively.</w:t>
      </w:r>
      <w:bookmarkEnd w:id="97"/>
      <w:bookmarkEnd w:id="98"/>
    </w:p>
    <w:p w14:paraId="6494C168" w14:textId="77777777" w:rsidR="007D56EC" w:rsidRPr="00802A58" w:rsidRDefault="007D56EC" w:rsidP="007D56EC">
      <w:pPr>
        <w:keepNext/>
        <w:numPr>
          <w:ilvl w:val="3"/>
          <w:numId w:val="0"/>
        </w:numPr>
        <w:spacing w:before="240" w:after="120" w:line="240" w:lineRule="auto"/>
        <w:ind w:left="1021" w:hanging="1021"/>
        <w:outlineLvl w:val="3"/>
        <w:rPr>
          <w:rFonts w:ascii="Tahoma" w:hAnsi="Tahoma"/>
          <w:b/>
          <w:sz w:val="20"/>
          <w:szCs w:val="20"/>
        </w:rPr>
      </w:pPr>
      <w:r w:rsidRPr="00802A58">
        <w:rPr>
          <w:rFonts w:ascii="Tahoma" w:hAnsi="Tahoma"/>
          <w:b/>
          <w:sz w:val="20"/>
          <w:szCs w:val="20"/>
        </w:rPr>
        <w:t>Results</w:t>
      </w:r>
    </w:p>
    <w:p w14:paraId="18A83F67" w14:textId="1BAC895B" w:rsidR="00851C8A" w:rsidRPr="00802A58" w:rsidRDefault="007D56EC" w:rsidP="00851C8A">
      <w:pPr>
        <w:spacing w:before="100" w:beforeAutospacing="1" w:after="100" w:afterAutospacing="1" w:line="240" w:lineRule="auto"/>
        <w:jc w:val="both"/>
        <w:rPr>
          <w:rFonts w:ascii="Tahoma" w:eastAsia="Times New Roman" w:hAnsi="Tahoma" w:cs="Tahoma"/>
          <w:sz w:val="20"/>
          <w:szCs w:val="20"/>
          <w:lang w:val="en-US" w:eastAsia="en-GB"/>
        </w:rPr>
      </w:pPr>
      <w:r w:rsidRPr="00802A58">
        <w:rPr>
          <w:rFonts w:ascii="Tahoma" w:eastAsia="Times New Roman" w:hAnsi="Tahoma" w:cs="Tahoma"/>
          <w:b/>
          <w:bCs/>
          <w:sz w:val="20"/>
          <w:szCs w:val="20"/>
          <w:lang w:val="en-US" w:eastAsia="en-GB"/>
        </w:rPr>
        <w:t xml:space="preserve">PROAST. </w:t>
      </w:r>
      <w:r w:rsidRPr="00802A58">
        <w:rPr>
          <w:rFonts w:ascii="Tahoma" w:eastAsia="Times New Roman" w:hAnsi="Tahoma" w:cs="Tahoma"/>
          <w:sz w:val="20"/>
          <w:szCs w:val="20"/>
          <w:lang w:eastAsia="en-GB"/>
        </w:rPr>
        <w:t>Using PROAST v. 61.6</w:t>
      </w:r>
      <w:r w:rsidRPr="00802A58">
        <w:rPr>
          <w:rFonts w:ascii="Tahoma" w:eastAsia="Times New Roman" w:hAnsi="Tahoma" w:cs="Tahoma"/>
          <w:sz w:val="20"/>
          <w:szCs w:val="20"/>
          <w:lang w:val="en-US" w:eastAsia="en-GB"/>
        </w:rPr>
        <w:t xml:space="preserve"> with </w:t>
      </w:r>
      <w:r w:rsidRPr="00802A58">
        <w:rPr>
          <w:rFonts w:ascii="Tahoma" w:eastAsia="Times New Roman" w:hAnsi="Tahoma" w:cs="Tahoma"/>
          <w:sz w:val="20"/>
          <w:szCs w:val="20"/>
          <w:lang w:eastAsia="en-GB"/>
        </w:rPr>
        <w:t xml:space="preserve">the default BMR of 5% and </w:t>
      </w:r>
      <w:r w:rsidRPr="00802A58">
        <w:rPr>
          <w:rFonts w:ascii="Tahoma" w:eastAsia="Times New Roman" w:hAnsi="Tahoma" w:cs="Tahoma"/>
          <w:sz w:val="20"/>
          <w:szCs w:val="20"/>
          <w:lang w:val="en-US" w:eastAsia="en-GB"/>
        </w:rPr>
        <w:t xml:space="preserve">applying </w:t>
      </w:r>
      <w:r w:rsidRPr="00802A58">
        <w:rPr>
          <w:rFonts w:ascii="Tahoma" w:eastAsia="Times New Roman" w:hAnsi="Tahoma" w:cs="Tahoma"/>
          <w:sz w:val="20"/>
          <w:szCs w:val="20"/>
          <w:lang w:eastAsia="en-GB"/>
        </w:rPr>
        <w:t>the Exponential and the Hill model, the BMDL in EFSA SC (2017) was determined to be 0.20 mg/kg, with BMDU=0.41 mg/kg.</w:t>
      </w:r>
      <w:r w:rsidR="00851C8A">
        <w:rPr>
          <w:rFonts w:ascii="Tahoma" w:eastAsia="Times New Roman" w:hAnsi="Tahoma" w:cs="Tahoma"/>
          <w:sz w:val="20"/>
          <w:szCs w:val="20"/>
          <w:lang w:eastAsia="en-GB"/>
        </w:rPr>
        <w:t xml:space="preserve"> </w:t>
      </w:r>
      <w:r w:rsidR="00851C8A" w:rsidRPr="00802A58">
        <w:rPr>
          <w:rFonts w:ascii="Tahoma" w:eastAsia="Times New Roman" w:hAnsi="Tahoma" w:cs="Tahoma"/>
          <w:sz w:val="20"/>
          <w:szCs w:val="20"/>
          <w:lang w:eastAsia="en-GB"/>
        </w:rPr>
        <w:t xml:space="preserve">The EFSA BMD WEB app produce the following results of BMD modelling, using the exponential, inverse exponential, </w:t>
      </w:r>
      <w:proofErr w:type="gramStart"/>
      <w:r w:rsidR="00851C8A" w:rsidRPr="00802A58">
        <w:rPr>
          <w:rFonts w:ascii="Tahoma" w:eastAsia="Times New Roman" w:hAnsi="Tahoma" w:cs="Tahoma"/>
          <w:sz w:val="20"/>
          <w:szCs w:val="20"/>
          <w:lang w:eastAsia="en-GB"/>
        </w:rPr>
        <w:t>Hill</w:t>
      </w:r>
      <w:proofErr w:type="gramEnd"/>
      <w:r w:rsidR="00851C8A" w:rsidRPr="00802A58">
        <w:rPr>
          <w:rFonts w:ascii="Tahoma" w:eastAsia="Times New Roman" w:hAnsi="Tahoma" w:cs="Tahoma"/>
          <w:sz w:val="20"/>
          <w:szCs w:val="20"/>
          <w:lang w:eastAsia="en-GB"/>
        </w:rPr>
        <w:t xml:space="preserve"> and lognormal model, considering model averaging based on 1000 bootstraps, by means of PROAST 70.0.  </w:t>
      </w:r>
      <w:r w:rsidR="00851C8A" w:rsidRPr="00802A58">
        <w:rPr>
          <w:rFonts w:ascii="Tahoma" w:eastAsia="Times New Roman" w:hAnsi="Tahoma" w:cs="Tahoma"/>
          <w:sz w:val="20"/>
          <w:szCs w:val="20"/>
          <w:lang w:val="en-US" w:eastAsia="en-GB"/>
        </w:rPr>
        <w:t>T</w:t>
      </w:r>
      <w:r w:rsidR="00851C8A" w:rsidRPr="00802A58">
        <w:rPr>
          <w:rFonts w:ascii="Tahoma" w:eastAsia="Times New Roman" w:hAnsi="Tahoma" w:cs="Tahoma"/>
          <w:sz w:val="20"/>
          <w:szCs w:val="20"/>
          <w:lang w:eastAsia="en-GB"/>
        </w:rPr>
        <w:t xml:space="preserve">he BMR was selected at </w:t>
      </w:r>
      <w:r w:rsidR="009753E3">
        <w:rPr>
          <w:rFonts w:ascii="Tahoma" w:eastAsia="Times New Roman" w:hAnsi="Tahoma" w:cs="Tahoma"/>
          <w:sz w:val="20"/>
          <w:szCs w:val="20"/>
          <w:lang w:eastAsia="en-GB"/>
        </w:rPr>
        <w:t>5</w:t>
      </w:r>
      <w:r w:rsidR="00851C8A" w:rsidRPr="00802A58">
        <w:rPr>
          <w:rFonts w:ascii="Tahoma" w:eastAsia="Times New Roman" w:hAnsi="Tahoma" w:cs="Tahoma"/>
          <w:sz w:val="20"/>
          <w:szCs w:val="20"/>
          <w:lang w:eastAsia="en-GB"/>
        </w:rPr>
        <w:t xml:space="preserve"> %. </w:t>
      </w:r>
      <w:r w:rsidR="00851C8A" w:rsidRPr="00802A58">
        <w:rPr>
          <w:rFonts w:ascii="Tahoma" w:eastAsia="Times New Roman" w:hAnsi="Tahoma" w:cs="Tahoma"/>
          <w:sz w:val="20"/>
          <w:szCs w:val="20"/>
          <w:lang w:val="en-US" w:eastAsia="en-GB"/>
        </w:rPr>
        <w:t>For the exponential model the BMD was estimated as 0.2</w:t>
      </w:r>
      <w:r w:rsidR="005074D9">
        <w:rPr>
          <w:rFonts w:ascii="Tahoma" w:eastAsia="Times New Roman" w:hAnsi="Tahoma" w:cs="Tahoma"/>
          <w:sz w:val="20"/>
          <w:szCs w:val="20"/>
          <w:lang w:val="en-US" w:eastAsia="en-GB"/>
        </w:rPr>
        <w:t>97</w:t>
      </w:r>
      <w:r w:rsidR="00851C8A" w:rsidRPr="00802A58">
        <w:rPr>
          <w:rFonts w:ascii="Tahoma" w:eastAsia="Times New Roman" w:hAnsi="Tahoma" w:cs="Tahoma"/>
          <w:sz w:val="20"/>
          <w:szCs w:val="20"/>
          <w:lang w:val="en-US" w:eastAsia="en-GB"/>
        </w:rPr>
        <w:t xml:space="preserve"> with BMDL=0.1</w:t>
      </w:r>
      <w:r w:rsidR="00E55E07">
        <w:rPr>
          <w:rFonts w:ascii="Tahoma" w:eastAsia="Times New Roman" w:hAnsi="Tahoma" w:cs="Tahoma"/>
          <w:sz w:val="20"/>
          <w:szCs w:val="20"/>
          <w:lang w:val="en-US" w:eastAsia="en-GB"/>
        </w:rPr>
        <w:t>9</w:t>
      </w:r>
      <w:r w:rsidR="00851C8A" w:rsidRPr="00802A58">
        <w:rPr>
          <w:rFonts w:ascii="Tahoma" w:eastAsia="Times New Roman" w:hAnsi="Tahoma" w:cs="Tahoma"/>
          <w:sz w:val="20"/>
          <w:szCs w:val="20"/>
          <w:lang w:val="en-US" w:eastAsia="en-GB"/>
        </w:rPr>
        <w:t>8 and BMDU=0.</w:t>
      </w:r>
      <w:r w:rsidR="00E55E07">
        <w:rPr>
          <w:rFonts w:ascii="Tahoma" w:eastAsia="Times New Roman" w:hAnsi="Tahoma" w:cs="Tahoma"/>
          <w:sz w:val="20"/>
          <w:szCs w:val="20"/>
          <w:lang w:val="en-US" w:eastAsia="en-GB"/>
        </w:rPr>
        <w:t>41</w:t>
      </w:r>
      <w:r w:rsidR="00851C8A" w:rsidRPr="00802A58">
        <w:rPr>
          <w:rFonts w:ascii="Tahoma" w:eastAsia="Times New Roman" w:hAnsi="Tahoma" w:cs="Tahoma"/>
          <w:sz w:val="20"/>
          <w:szCs w:val="20"/>
          <w:lang w:val="en-US" w:eastAsia="en-GB"/>
        </w:rPr>
        <w:t>; for the inverse exponential model the BMD estimate was 0.3</w:t>
      </w:r>
      <w:r w:rsidR="00C0043C">
        <w:rPr>
          <w:rFonts w:ascii="Tahoma" w:eastAsia="Times New Roman" w:hAnsi="Tahoma" w:cs="Tahoma"/>
          <w:sz w:val="20"/>
          <w:szCs w:val="20"/>
          <w:lang w:val="en-US" w:eastAsia="en-GB"/>
        </w:rPr>
        <w:t>16</w:t>
      </w:r>
      <w:r w:rsidR="00851C8A" w:rsidRPr="00802A58">
        <w:rPr>
          <w:rFonts w:ascii="Tahoma" w:eastAsia="Times New Roman" w:hAnsi="Tahoma" w:cs="Tahoma"/>
          <w:sz w:val="20"/>
          <w:szCs w:val="20"/>
          <w:lang w:val="en-US" w:eastAsia="en-GB"/>
        </w:rPr>
        <w:t xml:space="preserve"> with BMDL=0.</w:t>
      </w:r>
      <w:r w:rsidR="00234611">
        <w:rPr>
          <w:rFonts w:ascii="Tahoma" w:eastAsia="Times New Roman" w:hAnsi="Tahoma" w:cs="Tahoma"/>
          <w:sz w:val="20"/>
          <w:szCs w:val="20"/>
          <w:lang w:val="en-US" w:eastAsia="en-GB"/>
        </w:rPr>
        <w:t>219</w:t>
      </w:r>
      <w:r w:rsidR="00851C8A" w:rsidRPr="00802A58">
        <w:rPr>
          <w:rFonts w:ascii="Tahoma" w:eastAsia="Times New Roman" w:hAnsi="Tahoma" w:cs="Tahoma"/>
          <w:sz w:val="20"/>
          <w:szCs w:val="20"/>
          <w:lang w:val="en-US" w:eastAsia="en-GB"/>
        </w:rPr>
        <w:t xml:space="preserve"> and BMDU=0.</w:t>
      </w:r>
      <w:r w:rsidR="00234611">
        <w:rPr>
          <w:rFonts w:ascii="Tahoma" w:eastAsia="Times New Roman" w:hAnsi="Tahoma" w:cs="Tahoma"/>
          <w:sz w:val="20"/>
          <w:szCs w:val="20"/>
          <w:lang w:val="en-US" w:eastAsia="en-GB"/>
        </w:rPr>
        <w:t>4</w:t>
      </w:r>
      <w:r w:rsidR="00851C8A" w:rsidRPr="00802A58">
        <w:rPr>
          <w:rFonts w:ascii="Tahoma" w:eastAsia="Times New Roman" w:hAnsi="Tahoma" w:cs="Tahoma"/>
          <w:sz w:val="20"/>
          <w:szCs w:val="20"/>
          <w:lang w:val="en-US" w:eastAsia="en-GB"/>
        </w:rPr>
        <w:t>2</w:t>
      </w:r>
      <w:r w:rsidR="00234611">
        <w:rPr>
          <w:rFonts w:ascii="Tahoma" w:eastAsia="Times New Roman" w:hAnsi="Tahoma" w:cs="Tahoma"/>
          <w:sz w:val="20"/>
          <w:szCs w:val="20"/>
          <w:lang w:val="en-US" w:eastAsia="en-GB"/>
        </w:rPr>
        <w:t>2</w:t>
      </w:r>
      <w:r w:rsidR="00851C8A" w:rsidRPr="00802A58">
        <w:rPr>
          <w:rFonts w:ascii="Tahoma" w:eastAsia="Times New Roman" w:hAnsi="Tahoma" w:cs="Tahoma"/>
          <w:sz w:val="20"/>
          <w:szCs w:val="20"/>
          <w:lang w:val="en-US" w:eastAsia="en-GB"/>
        </w:rPr>
        <w:t>; for the Hill model the BMD estimate was 0.2</w:t>
      </w:r>
      <w:r w:rsidR="00E55E07">
        <w:rPr>
          <w:rFonts w:ascii="Tahoma" w:eastAsia="Times New Roman" w:hAnsi="Tahoma" w:cs="Tahoma"/>
          <w:sz w:val="20"/>
          <w:szCs w:val="20"/>
          <w:lang w:val="en-US" w:eastAsia="en-GB"/>
        </w:rPr>
        <w:t>97</w:t>
      </w:r>
      <w:r w:rsidR="00851C8A" w:rsidRPr="00802A58">
        <w:rPr>
          <w:rFonts w:ascii="Tahoma" w:eastAsia="Times New Roman" w:hAnsi="Tahoma" w:cs="Tahoma"/>
          <w:sz w:val="20"/>
          <w:szCs w:val="20"/>
          <w:lang w:val="en-US" w:eastAsia="en-GB"/>
        </w:rPr>
        <w:t xml:space="preserve"> with BMDL=0.1</w:t>
      </w:r>
      <w:r w:rsidR="00E55E07">
        <w:rPr>
          <w:rFonts w:ascii="Tahoma" w:eastAsia="Times New Roman" w:hAnsi="Tahoma" w:cs="Tahoma"/>
          <w:sz w:val="20"/>
          <w:szCs w:val="20"/>
          <w:lang w:val="en-US" w:eastAsia="en-GB"/>
        </w:rPr>
        <w:t>9</w:t>
      </w:r>
      <w:r w:rsidR="00851C8A" w:rsidRPr="00802A58">
        <w:rPr>
          <w:rFonts w:ascii="Tahoma" w:eastAsia="Times New Roman" w:hAnsi="Tahoma" w:cs="Tahoma"/>
          <w:sz w:val="20"/>
          <w:szCs w:val="20"/>
          <w:lang w:val="en-US" w:eastAsia="en-GB"/>
        </w:rPr>
        <w:t>8 and BMDU=0.</w:t>
      </w:r>
      <w:r w:rsidR="00E55E07">
        <w:rPr>
          <w:rFonts w:ascii="Tahoma" w:eastAsia="Times New Roman" w:hAnsi="Tahoma" w:cs="Tahoma"/>
          <w:sz w:val="20"/>
          <w:szCs w:val="20"/>
          <w:lang w:val="en-US" w:eastAsia="en-GB"/>
        </w:rPr>
        <w:t>41</w:t>
      </w:r>
      <w:r w:rsidR="00851C8A" w:rsidRPr="00802A58">
        <w:rPr>
          <w:rFonts w:ascii="Tahoma" w:eastAsia="Times New Roman" w:hAnsi="Tahoma" w:cs="Tahoma"/>
          <w:sz w:val="20"/>
          <w:szCs w:val="20"/>
          <w:lang w:val="en-US" w:eastAsia="en-GB"/>
        </w:rPr>
        <w:t xml:space="preserve"> and for the lognormal model the BMD estimate was 0.</w:t>
      </w:r>
      <w:r w:rsidR="00456EF6">
        <w:rPr>
          <w:rFonts w:ascii="Tahoma" w:eastAsia="Times New Roman" w:hAnsi="Tahoma" w:cs="Tahoma"/>
          <w:sz w:val="20"/>
          <w:szCs w:val="20"/>
          <w:lang w:val="en-US" w:eastAsia="en-GB"/>
        </w:rPr>
        <w:t>308</w:t>
      </w:r>
      <w:r w:rsidR="00851C8A" w:rsidRPr="00802A58">
        <w:rPr>
          <w:rFonts w:ascii="Tahoma" w:eastAsia="Times New Roman" w:hAnsi="Tahoma" w:cs="Tahoma"/>
          <w:sz w:val="20"/>
          <w:szCs w:val="20"/>
          <w:lang w:val="en-US" w:eastAsia="en-GB"/>
        </w:rPr>
        <w:t xml:space="preserve"> with BMDL=0.</w:t>
      </w:r>
      <w:r w:rsidR="0082775F">
        <w:rPr>
          <w:rFonts w:ascii="Tahoma" w:eastAsia="Times New Roman" w:hAnsi="Tahoma" w:cs="Tahoma"/>
          <w:sz w:val="20"/>
          <w:szCs w:val="20"/>
          <w:lang w:val="en-US" w:eastAsia="en-GB"/>
        </w:rPr>
        <w:t>2</w:t>
      </w:r>
      <w:r w:rsidR="00851C8A" w:rsidRPr="00802A58">
        <w:rPr>
          <w:rFonts w:ascii="Tahoma" w:eastAsia="Times New Roman" w:hAnsi="Tahoma" w:cs="Tahoma"/>
          <w:sz w:val="20"/>
          <w:szCs w:val="20"/>
          <w:lang w:val="en-US" w:eastAsia="en-GB"/>
        </w:rPr>
        <w:t>1 and BMDU=0.</w:t>
      </w:r>
      <w:r w:rsidR="0082775F">
        <w:rPr>
          <w:rFonts w:ascii="Tahoma" w:eastAsia="Times New Roman" w:hAnsi="Tahoma" w:cs="Tahoma"/>
          <w:sz w:val="20"/>
          <w:szCs w:val="20"/>
          <w:lang w:val="en-US" w:eastAsia="en-GB"/>
        </w:rPr>
        <w:t>41</w:t>
      </w:r>
      <w:r w:rsidR="00851C8A" w:rsidRPr="00802A58">
        <w:rPr>
          <w:rFonts w:ascii="Tahoma" w:eastAsia="Times New Roman" w:hAnsi="Tahoma" w:cs="Tahoma"/>
          <w:sz w:val="20"/>
          <w:szCs w:val="20"/>
          <w:lang w:val="en-US" w:eastAsia="en-GB"/>
        </w:rPr>
        <w:t>6. The model averaging results produced BMDL=0.</w:t>
      </w:r>
      <w:r w:rsidR="00E86149">
        <w:rPr>
          <w:rFonts w:ascii="Tahoma" w:eastAsia="Times New Roman" w:hAnsi="Tahoma" w:cs="Tahoma"/>
          <w:sz w:val="20"/>
          <w:szCs w:val="20"/>
          <w:lang w:val="en-US" w:eastAsia="en-GB"/>
        </w:rPr>
        <w:t>216</w:t>
      </w:r>
      <w:r w:rsidR="00851C8A" w:rsidRPr="00802A58">
        <w:rPr>
          <w:rFonts w:ascii="Tahoma" w:eastAsia="Times New Roman" w:hAnsi="Tahoma" w:cs="Tahoma"/>
          <w:sz w:val="20"/>
          <w:szCs w:val="20"/>
          <w:lang w:val="en-US" w:eastAsia="en-GB"/>
        </w:rPr>
        <w:t xml:space="preserve"> and BMDU=0.</w:t>
      </w:r>
      <w:r w:rsidR="00D6560C">
        <w:rPr>
          <w:rFonts w:ascii="Tahoma" w:eastAsia="Times New Roman" w:hAnsi="Tahoma" w:cs="Tahoma"/>
          <w:sz w:val="20"/>
          <w:szCs w:val="20"/>
          <w:lang w:val="en-US" w:eastAsia="en-GB"/>
        </w:rPr>
        <w:t>419</w:t>
      </w:r>
      <w:r w:rsidR="00851C8A" w:rsidRPr="00802A58">
        <w:rPr>
          <w:rFonts w:ascii="Tahoma" w:eastAsia="Times New Roman" w:hAnsi="Tahoma" w:cs="Tahoma"/>
          <w:sz w:val="20"/>
          <w:szCs w:val="20"/>
          <w:lang w:val="en-US" w:eastAsia="en-GB"/>
        </w:rPr>
        <w:t xml:space="preserve">. The ratio </w:t>
      </w:r>
      <m:oMath>
        <m:f>
          <m:fPr>
            <m:ctrlPr>
              <w:rPr>
                <w:rFonts w:ascii="Cambria Math" w:eastAsia="Times New Roman" w:hAnsi="Cambria Math" w:cs="Tahoma"/>
                <w:i/>
                <w:sz w:val="20"/>
                <w:szCs w:val="20"/>
                <w:lang w:val="en-US" w:eastAsia="en-GB"/>
              </w:rPr>
            </m:ctrlPr>
          </m:fPr>
          <m:num>
            <m:r>
              <w:rPr>
                <w:rFonts w:ascii="Cambria Math" w:eastAsia="Times New Roman" w:hAnsi="Cambria Math" w:cs="Tahoma"/>
                <w:sz w:val="20"/>
                <w:szCs w:val="20"/>
                <w:lang w:val="en-US" w:eastAsia="en-GB"/>
              </w:rPr>
              <m:t>BMDU</m:t>
            </m:r>
          </m:num>
          <m:den>
            <m:r>
              <w:rPr>
                <w:rFonts w:ascii="Cambria Math" w:eastAsia="Times New Roman" w:hAnsi="Cambria Math" w:cs="Tahoma"/>
                <w:sz w:val="20"/>
                <w:szCs w:val="20"/>
                <w:lang w:val="en-US" w:eastAsia="en-GB"/>
              </w:rPr>
              <m:t>BMDL</m:t>
            </m:r>
          </m:den>
        </m:f>
        <m:r>
          <w:rPr>
            <w:rFonts w:ascii="Cambria Math" w:eastAsia="Times New Roman" w:hAnsi="Cambria Math" w:cs="Tahoma"/>
            <w:sz w:val="20"/>
            <w:szCs w:val="20"/>
            <w:lang w:val="en-US" w:eastAsia="en-GB"/>
          </w:rPr>
          <m:t>=1.94</m:t>
        </m:r>
      </m:oMath>
      <w:r w:rsidR="00851C8A" w:rsidRPr="00802A58">
        <w:rPr>
          <w:rFonts w:ascii="Tahoma" w:eastAsia="Times New Roman" w:hAnsi="Tahoma" w:cs="Tahoma"/>
          <w:sz w:val="20"/>
          <w:szCs w:val="20"/>
          <w:lang w:val="en-US" w:eastAsia="en-GB"/>
        </w:rPr>
        <w:t>, indicating the precision of the estimation of the BMD.</w:t>
      </w:r>
    </w:p>
    <w:p w14:paraId="39CCA3A0" w14:textId="2B7DFF01" w:rsidR="007D56EC" w:rsidRPr="00802A58" w:rsidRDefault="007D56EC" w:rsidP="00495338">
      <w:pPr>
        <w:spacing w:before="100" w:beforeAutospacing="1" w:after="100" w:afterAutospacing="1" w:line="240" w:lineRule="auto"/>
        <w:jc w:val="both"/>
        <w:rPr>
          <w:rFonts w:ascii="Tahoma" w:eastAsia="Times New Roman" w:hAnsi="Tahoma" w:cs="Tahoma"/>
          <w:b/>
          <w:bCs/>
          <w:sz w:val="20"/>
          <w:szCs w:val="20"/>
          <w:lang w:val="en-US" w:eastAsia="en-GB"/>
        </w:rPr>
      </w:pPr>
      <w:r w:rsidRPr="00802A58">
        <w:rPr>
          <w:rFonts w:ascii="Tahoma" w:eastAsia="Times New Roman" w:hAnsi="Tahoma" w:cs="Tahoma"/>
          <w:sz w:val="20"/>
          <w:szCs w:val="20"/>
          <w:lang w:eastAsia="en-GB"/>
        </w:rPr>
        <w:t>Here</w:t>
      </w:r>
      <w:r w:rsidR="00156CD4">
        <w:rPr>
          <w:rFonts w:ascii="Tahoma" w:eastAsia="Times New Roman" w:hAnsi="Tahoma" w:cs="Tahoma"/>
          <w:sz w:val="20"/>
          <w:szCs w:val="20"/>
          <w:lang w:eastAsia="en-GB"/>
        </w:rPr>
        <w:t>,</w:t>
      </w:r>
      <w:r w:rsidRPr="00802A58">
        <w:rPr>
          <w:rFonts w:ascii="Tahoma" w:eastAsia="Times New Roman" w:hAnsi="Tahoma" w:cs="Tahoma"/>
          <w:sz w:val="20"/>
          <w:szCs w:val="20"/>
          <w:lang w:eastAsia="en-GB"/>
        </w:rPr>
        <w:t xml:space="preserve"> all 16 models</w:t>
      </w:r>
      <w:r w:rsidR="00156CD4">
        <w:rPr>
          <w:rFonts w:ascii="Tahoma" w:eastAsia="Times New Roman" w:hAnsi="Tahoma" w:cs="Tahoma"/>
          <w:sz w:val="20"/>
          <w:szCs w:val="20"/>
          <w:lang w:eastAsia="en-GB"/>
        </w:rPr>
        <w:t xml:space="preserve"> are used</w:t>
      </w:r>
      <w:r w:rsidRPr="00802A58">
        <w:rPr>
          <w:rFonts w:ascii="Tahoma" w:eastAsia="Times New Roman" w:hAnsi="Tahoma" w:cs="Tahoma"/>
          <w:sz w:val="20"/>
          <w:szCs w:val="20"/>
          <w:lang w:eastAsia="en-GB"/>
        </w:rPr>
        <w:t>, with equal prior probabilities 1/16 and with uninformative priors on the model parameters, again with BMR=5%.</w:t>
      </w:r>
    </w:p>
    <w:p w14:paraId="7AADF9BA" w14:textId="5CD5CDA8" w:rsidR="007D56EC" w:rsidRPr="00802A58" w:rsidRDefault="007D56EC" w:rsidP="007D56EC">
      <w:pPr>
        <w:spacing w:after="120" w:line="240" w:lineRule="auto"/>
        <w:jc w:val="both"/>
        <w:rPr>
          <w:rFonts w:ascii="Tahoma" w:hAnsi="Tahoma"/>
          <w:b/>
          <w:bCs/>
          <w:sz w:val="20"/>
          <w:szCs w:val="20"/>
        </w:rPr>
      </w:pPr>
      <w:r w:rsidRPr="00802A58">
        <w:rPr>
          <w:rFonts w:ascii="Tahoma" w:hAnsi="Tahoma"/>
          <w:b/>
          <w:bCs/>
          <w:sz w:val="20"/>
          <w:szCs w:val="20"/>
        </w:rPr>
        <w:t xml:space="preserve">Using Laplace approximation. </w:t>
      </w:r>
      <w:r w:rsidRPr="00802A58">
        <w:rPr>
          <w:rFonts w:ascii="Tahoma" w:hAnsi="Tahoma"/>
          <w:sz w:val="20"/>
          <w:szCs w:val="20"/>
        </w:rPr>
        <w:t>The model specific results (</w:t>
      </w:r>
      <w:proofErr w:type="spellStart"/>
      <w:proofErr w:type="gramStart"/>
      <w:r w:rsidRPr="00802A58">
        <w:rPr>
          <w:rFonts w:ascii="Tahoma" w:hAnsi="Tahoma"/>
          <w:sz w:val="20"/>
          <w:szCs w:val="20"/>
        </w:rPr>
        <w:t>BML,BMD</w:t>
      </w:r>
      <w:proofErr w:type="gramEnd"/>
      <w:r w:rsidRPr="00802A58">
        <w:rPr>
          <w:rFonts w:ascii="Tahoma" w:hAnsi="Tahoma"/>
          <w:sz w:val="20"/>
          <w:szCs w:val="20"/>
        </w:rPr>
        <w:t>,BMDU,weight</w:t>
      </w:r>
      <w:proofErr w:type="spellEnd"/>
      <w:r w:rsidRPr="00802A58">
        <w:rPr>
          <w:rFonts w:ascii="Tahoma" w:hAnsi="Tahoma"/>
          <w:sz w:val="20"/>
          <w:szCs w:val="20"/>
        </w:rPr>
        <w:t>) are given in Table</w:t>
      </w:r>
      <w:r w:rsidR="00A360F6">
        <w:rPr>
          <w:rFonts w:ascii="Tahoma" w:hAnsi="Tahoma"/>
          <w:sz w:val="20"/>
          <w:szCs w:val="20"/>
        </w:rPr>
        <w:t xml:space="preserve"> C4</w:t>
      </w:r>
      <w:r w:rsidRPr="00802A58">
        <w:rPr>
          <w:rFonts w:ascii="Tahoma" w:hAnsi="Tahoma"/>
          <w:sz w:val="20"/>
          <w:szCs w:val="20"/>
        </w:rPr>
        <w:t>.</w:t>
      </w:r>
    </w:p>
    <w:p w14:paraId="7F525525" w14:textId="28D66DD9" w:rsidR="007D56EC" w:rsidRPr="00802A58" w:rsidRDefault="007D56EC" w:rsidP="0026272B">
      <w:pPr>
        <w:spacing w:before="240" w:after="0" w:line="240" w:lineRule="auto"/>
        <w:ind w:left="851" w:hanging="851"/>
        <w:jc w:val="both"/>
        <w:rPr>
          <w:rFonts w:ascii="Tahoma" w:hAnsi="Tahoma"/>
          <w:bCs/>
          <w:sz w:val="18"/>
          <w:szCs w:val="20"/>
        </w:rPr>
      </w:pPr>
      <w:r w:rsidRPr="00802A58">
        <w:rPr>
          <w:rFonts w:ascii="Tahoma" w:hAnsi="Tahoma"/>
          <w:bCs/>
          <w:sz w:val="18"/>
          <w:szCs w:val="20"/>
        </w:rPr>
        <w:t xml:space="preserve">Table </w:t>
      </w:r>
      <w:r w:rsidR="000B17CF">
        <w:rPr>
          <w:rFonts w:ascii="Tahoma" w:hAnsi="Tahoma"/>
          <w:bCs/>
          <w:sz w:val="18"/>
          <w:szCs w:val="20"/>
        </w:rPr>
        <w:t>C4</w:t>
      </w:r>
      <w:r w:rsidRPr="00802A58">
        <w:rPr>
          <w:rFonts w:ascii="Tahoma" w:hAnsi="Tahoma"/>
          <w:bCs/>
          <w:sz w:val="18"/>
          <w:szCs w:val="20"/>
        </w:rPr>
        <w:t xml:space="preserve">. </w:t>
      </w:r>
      <w:r w:rsidR="00B73331">
        <w:rPr>
          <w:rFonts w:ascii="Tahoma" w:hAnsi="Tahoma"/>
          <w:bCs/>
          <w:sz w:val="18"/>
          <w:szCs w:val="20"/>
        </w:rPr>
        <w:tab/>
      </w:r>
      <w:r w:rsidRPr="00802A58">
        <w:rPr>
          <w:rFonts w:ascii="Tahoma" w:hAnsi="Tahoma"/>
          <w:bCs/>
          <w:sz w:val="18"/>
          <w:szCs w:val="20"/>
        </w:rPr>
        <w:t>The Body Weight Example in the 2017 EFSA Guidance Update. Model specific values for BMDL, BMD, and BMDU; and the posterior weights of each model (used for constructing the model average).</w:t>
      </w:r>
    </w:p>
    <w:p w14:paraId="149960F5" w14:textId="77777777" w:rsidR="007D56EC" w:rsidRPr="00802A58" w:rsidRDefault="007D56EC" w:rsidP="007D56EC">
      <w:pPr>
        <w:spacing w:after="120" w:line="240" w:lineRule="auto"/>
        <w:jc w:val="center"/>
        <w:rPr>
          <w:rFonts w:ascii="Tahoma" w:hAnsi="Tahoma"/>
          <w:sz w:val="20"/>
          <w:szCs w:val="20"/>
          <w:highlight w:val="yellow"/>
        </w:rPr>
      </w:pPr>
      <w:r w:rsidRPr="00802A58">
        <w:rPr>
          <w:rFonts w:ascii="Tahoma" w:hAnsi="Tahoma"/>
          <w:noProof/>
          <w:sz w:val="20"/>
          <w:szCs w:val="20"/>
        </w:rPr>
        <w:drawing>
          <wp:inline distT="0" distB="0" distL="0" distR="0" wp14:anchorId="58C38F82" wp14:editId="61656001">
            <wp:extent cx="3483659" cy="279652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540208" cy="2841924"/>
                    </a:xfrm>
                    <a:prstGeom prst="rect">
                      <a:avLst/>
                    </a:prstGeom>
                  </pic:spPr>
                </pic:pic>
              </a:graphicData>
            </a:graphic>
          </wp:inline>
        </w:drawing>
      </w:r>
    </w:p>
    <w:p w14:paraId="5B295BDD" w14:textId="77777777" w:rsidR="007D56EC" w:rsidRPr="00802A58" w:rsidRDefault="007D56EC" w:rsidP="007D56EC">
      <w:pPr>
        <w:spacing w:after="120" w:line="240" w:lineRule="auto"/>
        <w:jc w:val="center"/>
        <w:rPr>
          <w:rFonts w:ascii="Tahoma" w:hAnsi="Tahoma"/>
          <w:sz w:val="20"/>
          <w:szCs w:val="20"/>
          <w:highlight w:val="yellow"/>
        </w:rPr>
      </w:pPr>
    </w:p>
    <w:p w14:paraId="5CB6045A" w14:textId="77777777" w:rsidR="007D56EC" w:rsidRPr="00802A58" w:rsidRDefault="007D56EC" w:rsidP="0026272B">
      <w:pPr>
        <w:spacing w:after="0" w:line="240" w:lineRule="auto"/>
        <w:jc w:val="center"/>
        <w:rPr>
          <w:rFonts w:ascii="Tahoma" w:hAnsi="Tahoma"/>
          <w:sz w:val="20"/>
          <w:szCs w:val="20"/>
          <w:highlight w:val="yellow"/>
        </w:rPr>
      </w:pPr>
    </w:p>
    <w:p w14:paraId="04B5770C" w14:textId="70E5971E" w:rsidR="007D56EC" w:rsidRPr="00802A58" w:rsidRDefault="00E42CB3" w:rsidP="007D56EC">
      <w:pPr>
        <w:spacing w:after="120" w:line="240" w:lineRule="auto"/>
        <w:jc w:val="both"/>
        <w:rPr>
          <w:rFonts w:ascii="Tahoma" w:hAnsi="Tahoma"/>
          <w:sz w:val="20"/>
          <w:szCs w:val="20"/>
        </w:rPr>
      </w:pPr>
      <w:r>
        <w:rPr>
          <w:rFonts w:ascii="Tahoma" w:hAnsi="Tahoma"/>
          <w:sz w:val="20"/>
          <w:szCs w:val="20"/>
        </w:rPr>
        <w:t>T</w:t>
      </w:r>
      <w:r w:rsidR="007D56EC" w:rsidRPr="00802A58">
        <w:rPr>
          <w:rFonts w:ascii="Tahoma" w:hAnsi="Tahoma"/>
          <w:sz w:val="20"/>
          <w:szCs w:val="20"/>
        </w:rPr>
        <w:t xml:space="preserve">able </w:t>
      </w:r>
      <w:r w:rsidR="007B66F1">
        <w:rPr>
          <w:rFonts w:ascii="Tahoma" w:hAnsi="Tahoma"/>
          <w:sz w:val="20"/>
          <w:szCs w:val="20"/>
        </w:rPr>
        <w:t xml:space="preserve">C4 </w:t>
      </w:r>
      <w:r w:rsidR="007D56EC" w:rsidRPr="00802A58">
        <w:rPr>
          <w:rFonts w:ascii="Tahoma" w:hAnsi="Tahoma"/>
          <w:sz w:val="20"/>
          <w:szCs w:val="20"/>
        </w:rPr>
        <w:t xml:space="preserve">shows that </w:t>
      </w:r>
      <w:proofErr w:type="spellStart"/>
      <w:r w:rsidR="007D56EC" w:rsidRPr="00802A58">
        <w:rPr>
          <w:rFonts w:ascii="Tahoma" w:hAnsi="Tahoma"/>
          <w:sz w:val="20"/>
          <w:szCs w:val="20"/>
        </w:rPr>
        <w:t>i</w:t>
      </w:r>
      <w:proofErr w:type="spellEnd"/>
      <w:r w:rsidR="007D56EC" w:rsidRPr="00802A58">
        <w:rPr>
          <w:rFonts w:ascii="Tahoma" w:hAnsi="Tahoma"/>
          <w:sz w:val="20"/>
          <w:szCs w:val="20"/>
        </w:rPr>
        <w:t xml:space="preserve">) the model specific BMDL’s vary from 0.205 to 0.282, ii) weights are quite evenly distributed across all models, iii) the highest weights are assigned to the quadratic exponential models, with weight 0.148 and 0.176 for the normal and log-normal version respectively  </w:t>
      </w:r>
    </w:p>
    <w:p w14:paraId="40A4C7B9" w14:textId="3DE1BA46" w:rsidR="007D56EC" w:rsidRPr="00802A58" w:rsidRDefault="007D56EC" w:rsidP="007D56EC">
      <w:pPr>
        <w:spacing w:after="120" w:line="240" w:lineRule="auto"/>
        <w:jc w:val="both"/>
        <w:rPr>
          <w:rFonts w:ascii="Tahoma" w:hAnsi="Tahoma"/>
          <w:sz w:val="20"/>
          <w:szCs w:val="20"/>
        </w:rPr>
      </w:pPr>
      <w:r w:rsidRPr="00802A58">
        <w:rPr>
          <w:rFonts w:ascii="Tahoma" w:hAnsi="Tahoma"/>
          <w:sz w:val="20"/>
          <w:szCs w:val="20"/>
        </w:rPr>
        <w:t xml:space="preserve">More information for the log-normal quadratic exponential model is depicted in Figure </w:t>
      </w:r>
      <w:r w:rsidR="007B66F1">
        <w:rPr>
          <w:rFonts w:ascii="Tahoma" w:hAnsi="Tahoma"/>
          <w:sz w:val="20"/>
          <w:szCs w:val="20"/>
        </w:rPr>
        <w:t>C7</w:t>
      </w:r>
      <w:r w:rsidRPr="00802A58">
        <w:rPr>
          <w:rFonts w:ascii="Tahoma" w:hAnsi="Tahoma"/>
          <w:sz w:val="20"/>
          <w:szCs w:val="20"/>
        </w:rPr>
        <w:t xml:space="preserve">, with, for the background and maximum median response (in this case a negative decreasing response), and the BMD, the flat uninformative PERT prior distributions (in pink) and the final posterior distributions (in orange).  </w:t>
      </w:r>
      <w:proofErr w:type="gramStart"/>
      <w:r w:rsidRPr="00802A58">
        <w:rPr>
          <w:rFonts w:ascii="Tahoma" w:hAnsi="Tahoma"/>
          <w:sz w:val="20"/>
          <w:szCs w:val="20"/>
        </w:rPr>
        <w:t>Actually, the</w:t>
      </w:r>
      <w:proofErr w:type="gramEnd"/>
      <w:r w:rsidRPr="00802A58">
        <w:rPr>
          <w:rFonts w:ascii="Tahoma" w:hAnsi="Tahoma"/>
          <w:sz w:val="20"/>
          <w:szCs w:val="20"/>
        </w:rPr>
        <w:t xml:space="preserve"> prior for the maximum response is weakly informative. Reason for that is that the maximum response is not reached at the end of the experimental dose range (see Figure </w:t>
      </w:r>
      <w:r w:rsidR="007B66F1">
        <w:rPr>
          <w:rFonts w:ascii="Tahoma" w:hAnsi="Tahoma"/>
          <w:sz w:val="20"/>
          <w:szCs w:val="20"/>
        </w:rPr>
        <w:t>C8</w:t>
      </w:r>
      <w:r w:rsidRPr="00802A58">
        <w:rPr>
          <w:rFonts w:ascii="Tahoma" w:hAnsi="Tahoma"/>
          <w:sz w:val="20"/>
          <w:szCs w:val="20"/>
        </w:rPr>
        <w:t xml:space="preserve">). The prior for the maximum response is therefore </w:t>
      </w:r>
      <w:proofErr w:type="spellStart"/>
      <w:r w:rsidRPr="00802A58">
        <w:rPr>
          <w:rFonts w:ascii="Tahoma" w:hAnsi="Tahoma"/>
          <w:sz w:val="20"/>
          <w:szCs w:val="20"/>
        </w:rPr>
        <w:t>centered</w:t>
      </w:r>
      <w:proofErr w:type="spellEnd"/>
      <w:r w:rsidRPr="00802A58">
        <w:rPr>
          <w:rFonts w:ascii="Tahoma" w:hAnsi="Tahoma"/>
          <w:sz w:val="20"/>
          <w:szCs w:val="20"/>
        </w:rPr>
        <w:t xml:space="preserve"> at half of the observed mean response at the highest dose (35.09/2=17.545), with a considerably large uncertainty range. As there is little or no information in the data about this maximum response, the posterior density remains close to the prior density (right upper panel of Figure </w:t>
      </w:r>
      <w:r w:rsidR="00FA0703">
        <w:rPr>
          <w:rFonts w:ascii="Tahoma" w:hAnsi="Tahoma"/>
          <w:sz w:val="20"/>
          <w:szCs w:val="20"/>
        </w:rPr>
        <w:t>C7</w:t>
      </w:r>
      <w:r w:rsidRPr="00802A58">
        <w:rPr>
          <w:rFonts w:ascii="Tahoma" w:hAnsi="Tahoma"/>
          <w:sz w:val="20"/>
          <w:szCs w:val="20"/>
        </w:rPr>
        <w:t xml:space="preserve">). Finally, for the fourth parameter </w:t>
      </w:r>
      <w:r w:rsidRPr="00802A58">
        <w:rPr>
          <w:rFonts w:ascii="Tahoma" w:hAnsi="Tahoma"/>
          <w:i/>
          <w:iCs/>
          <w:sz w:val="20"/>
          <w:szCs w:val="20"/>
        </w:rPr>
        <w:t xml:space="preserve">d </w:t>
      </w:r>
      <w:r w:rsidRPr="00802A58">
        <w:rPr>
          <w:rFonts w:ascii="Tahoma" w:hAnsi="Tahoma"/>
          <w:sz w:val="20"/>
          <w:szCs w:val="20"/>
        </w:rPr>
        <w:t xml:space="preserve">(left lower panel), the log-normal prior distribution (in pink) is moderately informative with median at the value of 1, </w:t>
      </w:r>
      <w:proofErr w:type="gramStart"/>
      <w:r w:rsidRPr="00802A58">
        <w:rPr>
          <w:rFonts w:ascii="Tahoma" w:hAnsi="Tahoma"/>
          <w:sz w:val="20"/>
          <w:szCs w:val="20"/>
        </w:rPr>
        <w:t>in order to</w:t>
      </w:r>
      <w:proofErr w:type="gramEnd"/>
      <w:r w:rsidRPr="00802A58">
        <w:rPr>
          <w:rFonts w:ascii="Tahoma" w:hAnsi="Tahoma"/>
          <w:sz w:val="20"/>
          <w:szCs w:val="20"/>
        </w:rPr>
        <w:t xml:space="preserve"> stabilize the fitting computationally. The orange posterior distribution is shifted somewhat to the left.  Similar plots can be made for all other 15 models.</w:t>
      </w:r>
    </w:p>
    <w:p w14:paraId="0C8EDF2C" w14:textId="77777777" w:rsidR="007D56EC" w:rsidRPr="00802A58" w:rsidRDefault="007D56EC" w:rsidP="007D56EC">
      <w:pPr>
        <w:spacing w:after="120" w:line="240" w:lineRule="auto"/>
        <w:jc w:val="center"/>
        <w:rPr>
          <w:rFonts w:ascii="Tahoma" w:hAnsi="Tahoma"/>
          <w:sz w:val="20"/>
          <w:szCs w:val="20"/>
        </w:rPr>
      </w:pPr>
    </w:p>
    <w:p w14:paraId="60146217" w14:textId="77777777" w:rsidR="007D56EC" w:rsidRPr="00802A58" w:rsidRDefault="007D56EC" w:rsidP="007D56EC">
      <w:pPr>
        <w:spacing w:after="120" w:line="240" w:lineRule="auto"/>
        <w:jc w:val="center"/>
        <w:rPr>
          <w:rFonts w:ascii="Tahoma" w:hAnsi="Tahoma"/>
          <w:sz w:val="20"/>
          <w:szCs w:val="20"/>
        </w:rPr>
      </w:pPr>
    </w:p>
    <w:p w14:paraId="0903F4A9" w14:textId="77777777" w:rsidR="007D56EC" w:rsidRPr="00802A58" w:rsidRDefault="007D56EC" w:rsidP="007D56EC">
      <w:pPr>
        <w:spacing w:after="120" w:line="240" w:lineRule="auto"/>
        <w:jc w:val="center"/>
        <w:rPr>
          <w:rFonts w:ascii="Tahoma" w:hAnsi="Tahoma"/>
          <w:sz w:val="20"/>
          <w:szCs w:val="20"/>
        </w:rPr>
      </w:pPr>
      <w:r w:rsidRPr="00802A58">
        <w:rPr>
          <w:rFonts w:ascii="Tahoma" w:hAnsi="Tahoma"/>
          <w:noProof/>
          <w:sz w:val="20"/>
          <w:szCs w:val="20"/>
        </w:rPr>
        <w:drawing>
          <wp:inline distT="0" distB="0" distL="0" distR="0" wp14:anchorId="0920EC92" wp14:editId="4F204739">
            <wp:extent cx="5759450" cy="345567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59450" cy="3455670"/>
                    </a:xfrm>
                    <a:prstGeom prst="rect">
                      <a:avLst/>
                    </a:prstGeom>
                  </pic:spPr>
                </pic:pic>
              </a:graphicData>
            </a:graphic>
          </wp:inline>
        </w:drawing>
      </w:r>
    </w:p>
    <w:p w14:paraId="77CDA4DF" w14:textId="0C306CC1" w:rsidR="007D56EC" w:rsidRPr="00802A58" w:rsidRDefault="007D56EC" w:rsidP="00D4597D">
      <w:pPr>
        <w:tabs>
          <w:tab w:val="left" w:pos="426"/>
        </w:tabs>
        <w:autoSpaceDE w:val="0"/>
        <w:autoSpaceDN w:val="0"/>
        <w:adjustRightInd w:val="0"/>
        <w:spacing w:after="0"/>
        <w:jc w:val="both"/>
        <w:rPr>
          <w:rFonts w:ascii="Tahoma" w:hAnsi="Tahoma" w:cs="Arial"/>
          <w:sz w:val="16"/>
          <w:szCs w:val="18"/>
        </w:rPr>
      </w:pPr>
      <w:r w:rsidRPr="00802A58">
        <w:rPr>
          <w:rFonts w:ascii="Tahoma" w:hAnsi="Tahoma" w:cs="Arial"/>
          <w:sz w:val="16"/>
          <w:szCs w:val="18"/>
        </w:rPr>
        <w:t>Fig</w:t>
      </w:r>
      <w:r w:rsidR="0069367B">
        <w:rPr>
          <w:rFonts w:ascii="Tahoma" w:hAnsi="Tahoma" w:cs="Arial"/>
          <w:sz w:val="16"/>
          <w:szCs w:val="18"/>
        </w:rPr>
        <w:t>ure</w:t>
      </w:r>
      <w:r w:rsidRPr="00802A58">
        <w:rPr>
          <w:rFonts w:ascii="Tahoma" w:hAnsi="Tahoma" w:cs="Arial"/>
          <w:sz w:val="16"/>
          <w:szCs w:val="18"/>
        </w:rPr>
        <w:t xml:space="preserve"> </w:t>
      </w:r>
      <w:r w:rsidR="00FA0703">
        <w:rPr>
          <w:rFonts w:ascii="Tahoma" w:hAnsi="Tahoma" w:cs="Arial"/>
          <w:sz w:val="16"/>
          <w:szCs w:val="18"/>
        </w:rPr>
        <w:t>C7</w:t>
      </w:r>
      <w:r w:rsidRPr="00802A58">
        <w:rPr>
          <w:rFonts w:ascii="Tahoma" w:hAnsi="Tahoma" w:cs="Arial"/>
          <w:sz w:val="16"/>
          <w:szCs w:val="18"/>
        </w:rPr>
        <w:t xml:space="preserve">: The Body Weight Example in the 2017 EFSA Guidance Update: prior and posterior densities (blue and orange coloured respectively) for the background response, the maximum response, the BMD, and the parameter </w:t>
      </w:r>
      <w:r w:rsidRPr="00802A58">
        <w:rPr>
          <w:rFonts w:ascii="Tahoma" w:hAnsi="Tahoma" w:cs="Arial"/>
          <w:i/>
          <w:iCs/>
          <w:sz w:val="16"/>
          <w:szCs w:val="18"/>
        </w:rPr>
        <w:t>d</w:t>
      </w:r>
      <w:r w:rsidRPr="00802A58">
        <w:rPr>
          <w:rFonts w:ascii="Tahoma" w:hAnsi="Tahoma" w:cs="Arial"/>
          <w:sz w:val="16"/>
          <w:szCs w:val="18"/>
        </w:rPr>
        <w:t>, for the log-normal quadratic exponential model. The vertical dashed lines in the upper panels are the observed values for the background and maximum response.</w:t>
      </w:r>
    </w:p>
    <w:p w14:paraId="273B0908" w14:textId="77777777" w:rsidR="007D56EC" w:rsidRPr="00802A58" w:rsidRDefault="007D56EC" w:rsidP="007D56EC">
      <w:pPr>
        <w:spacing w:after="120" w:line="240" w:lineRule="auto"/>
        <w:jc w:val="both"/>
        <w:rPr>
          <w:rFonts w:ascii="Tahoma" w:hAnsi="Tahoma"/>
          <w:sz w:val="20"/>
          <w:szCs w:val="20"/>
        </w:rPr>
      </w:pPr>
    </w:p>
    <w:p w14:paraId="1ED641DD" w14:textId="454DEB90" w:rsidR="007D56EC" w:rsidRPr="00802A58" w:rsidRDefault="007D56EC" w:rsidP="007D56EC">
      <w:pPr>
        <w:spacing w:after="120" w:line="240" w:lineRule="auto"/>
        <w:jc w:val="both"/>
        <w:rPr>
          <w:rFonts w:ascii="Tahoma" w:hAnsi="Tahoma"/>
          <w:sz w:val="20"/>
          <w:szCs w:val="20"/>
        </w:rPr>
      </w:pPr>
      <w:r w:rsidRPr="00802A58">
        <w:rPr>
          <w:rFonts w:ascii="Tahoma" w:hAnsi="Tahoma"/>
          <w:sz w:val="20"/>
          <w:szCs w:val="20"/>
        </w:rPr>
        <w:t xml:space="preserve">Using the weights of Table </w:t>
      </w:r>
      <w:r w:rsidR="00FA0703">
        <w:rPr>
          <w:rFonts w:ascii="Tahoma" w:hAnsi="Tahoma"/>
          <w:sz w:val="20"/>
          <w:szCs w:val="20"/>
        </w:rPr>
        <w:t>C4</w:t>
      </w:r>
      <w:r w:rsidRPr="00802A58">
        <w:rPr>
          <w:rFonts w:ascii="Tahoma" w:hAnsi="Tahoma"/>
          <w:sz w:val="20"/>
          <w:szCs w:val="20"/>
        </w:rPr>
        <w:t xml:space="preserve"> (last column), the final model averaged BMD estimate equals 0.308 with 90% CI (0.219,0.419). So, the BMDL=0.219 mg/kg, with BMDU=0.419 mg/kg, quite </w:t>
      </w:r>
      <w:proofErr w:type="gramStart"/>
      <w:r w:rsidRPr="00802A58">
        <w:rPr>
          <w:rFonts w:ascii="Tahoma" w:hAnsi="Tahoma"/>
          <w:sz w:val="20"/>
          <w:szCs w:val="20"/>
        </w:rPr>
        <w:t>similar to</w:t>
      </w:r>
      <w:proofErr w:type="gramEnd"/>
      <w:r w:rsidRPr="00802A58">
        <w:rPr>
          <w:rFonts w:ascii="Tahoma" w:hAnsi="Tahoma"/>
          <w:sz w:val="20"/>
          <w:szCs w:val="20"/>
        </w:rPr>
        <w:t xml:space="preserve"> the results in EFSA SC (2017)</w:t>
      </w:r>
      <w:r w:rsidR="00960CDA">
        <w:rPr>
          <w:rFonts w:ascii="Tahoma" w:hAnsi="Tahoma"/>
          <w:sz w:val="20"/>
          <w:szCs w:val="20"/>
        </w:rPr>
        <w:t xml:space="preserve"> and </w:t>
      </w:r>
      <w:r w:rsidR="00D82654">
        <w:rPr>
          <w:rFonts w:ascii="Tahoma" w:hAnsi="Tahoma"/>
          <w:sz w:val="20"/>
          <w:szCs w:val="20"/>
        </w:rPr>
        <w:t xml:space="preserve">the same if we would have analysed it using the </w:t>
      </w:r>
      <w:r w:rsidR="00C21399">
        <w:rPr>
          <w:rFonts w:ascii="Tahoma" w:hAnsi="Tahoma"/>
          <w:sz w:val="20"/>
          <w:szCs w:val="20"/>
        </w:rPr>
        <w:t>EFSA WEB app</w:t>
      </w:r>
      <w:r w:rsidRPr="00802A58">
        <w:rPr>
          <w:rFonts w:ascii="Tahoma" w:hAnsi="Tahoma"/>
          <w:sz w:val="20"/>
          <w:szCs w:val="20"/>
        </w:rPr>
        <w:t>.</w:t>
      </w:r>
    </w:p>
    <w:p w14:paraId="1CA9797A" w14:textId="57D98F59" w:rsidR="007D56EC" w:rsidRPr="00802A58" w:rsidRDefault="007D56EC" w:rsidP="007D56EC">
      <w:pPr>
        <w:spacing w:after="120" w:line="240" w:lineRule="auto"/>
        <w:jc w:val="both"/>
        <w:rPr>
          <w:rFonts w:ascii="Tahoma" w:hAnsi="Tahoma"/>
          <w:sz w:val="20"/>
          <w:szCs w:val="20"/>
        </w:rPr>
      </w:pPr>
      <w:r w:rsidRPr="00802A58">
        <w:rPr>
          <w:rFonts w:ascii="Tahoma" w:hAnsi="Tahoma"/>
          <w:sz w:val="20"/>
          <w:szCs w:val="20"/>
        </w:rPr>
        <w:t xml:space="preserve">Figure </w:t>
      </w:r>
      <w:r w:rsidR="001E1AFF">
        <w:rPr>
          <w:rFonts w:ascii="Tahoma" w:hAnsi="Tahoma"/>
          <w:sz w:val="20"/>
          <w:szCs w:val="20"/>
        </w:rPr>
        <w:t>C8</w:t>
      </w:r>
      <w:r w:rsidRPr="00802A58">
        <w:rPr>
          <w:rFonts w:ascii="Tahoma" w:hAnsi="Tahoma"/>
          <w:sz w:val="20"/>
          <w:szCs w:val="20"/>
        </w:rPr>
        <w:t xml:space="preserve"> shows, on the log-scale, the summary data together with the model-specific fitted dose-response models, together with the CI (in green) and the BMD estimate (red bullet point). The lower right panel shows the posterior density of the BMD.</w:t>
      </w:r>
    </w:p>
    <w:p w14:paraId="2CA60E05" w14:textId="77777777" w:rsidR="007D56EC" w:rsidRPr="00802A58" w:rsidRDefault="007D56EC" w:rsidP="007D56EC">
      <w:pPr>
        <w:spacing w:after="120" w:line="240" w:lineRule="auto"/>
        <w:jc w:val="both"/>
        <w:rPr>
          <w:rFonts w:ascii="Tahoma" w:hAnsi="Tahoma"/>
          <w:sz w:val="20"/>
          <w:szCs w:val="20"/>
        </w:rPr>
      </w:pPr>
      <w:r w:rsidRPr="00802A58">
        <w:rPr>
          <w:rFonts w:ascii="Tahoma" w:hAnsi="Tahoma"/>
          <w:b/>
          <w:bCs/>
          <w:sz w:val="20"/>
          <w:szCs w:val="20"/>
        </w:rPr>
        <w:t xml:space="preserve">Using MCMC. </w:t>
      </w:r>
      <w:bookmarkStart w:id="99" w:name="OLE_LINK13"/>
      <w:bookmarkStart w:id="100" w:name="OLE_LINK14"/>
      <w:r w:rsidRPr="00802A58">
        <w:rPr>
          <w:rFonts w:ascii="Tahoma" w:hAnsi="Tahoma"/>
          <w:sz w:val="20"/>
          <w:szCs w:val="20"/>
        </w:rPr>
        <w:t xml:space="preserve">Using MCMC (hybrid and Bridge sampling), the results are very similar. The final model averaged BMD estimate, obtained with Bridge sampling, equals 0.317 with 90% CI (0.224,0.423). </w:t>
      </w:r>
      <w:bookmarkEnd w:id="99"/>
      <w:bookmarkEnd w:id="100"/>
    </w:p>
    <w:p w14:paraId="7974A157" w14:textId="77777777" w:rsidR="007D56EC" w:rsidRPr="00802A58" w:rsidRDefault="007D56EC" w:rsidP="007D56EC">
      <w:pPr>
        <w:spacing w:after="120" w:line="240" w:lineRule="auto"/>
        <w:jc w:val="both"/>
        <w:rPr>
          <w:rFonts w:ascii="Tahoma" w:hAnsi="Tahoma"/>
          <w:sz w:val="20"/>
          <w:szCs w:val="20"/>
        </w:rPr>
      </w:pPr>
    </w:p>
    <w:tbl>
      <w:tblPr>
        <w:tblStyle w:val="TableGrid"/>
        <w:tblW w:w="4994" w:type="pct"/>
        <w:tblLook w:val="04A0" w:firstRow="1" w:lastRow="0" w:firstColumn="1" w:lastColumn="0" w:noHBand="0" w:noVBand="1"/>
      </w:tblPr>
      <w:tblGrid>
        <w:gridCol w:w="4414"/>
        <w:gridCol w:w="4646"/>
      </w:tblGrid>
      <w:tr w:rsidR="007D56EC" w:rsidRPr="00802A58" w14:paraId="103AF307" w14:textId="77777777" w:rsidTr="00754719">
        <w:tc>
          <w:tcPr>
            <w:tcW w:w="2500" w:type="pct"/>
          </w:tcPr>
          <w:p w14:paraId="0A5E8A68" w14:textId="77777777" w:rsidR="007D56EC" w:rsidRPr="00802A58" w:rsidRDefault="007D56EC" w:rsidP="00754719">
            <w:pPr>
              <w:spacing w:after="120"/>
              <w:jc w:val="both"/>
              <w:rPr>
                <w:b/>
                <w:bCs/>
              </w:rPr>
            </w:pPr>
            <w:r w:rsidRPr="00802A58">
              <w:rPr>
                <w:b/>
                <w:bCs/>
                <w:noProof/>
              </w:rPr>
              <w:drawing>
                <wp:inline distT="0" distB="0" distL="0" distR="0" wp14:anchorId="245939AA" wp14:editId="0E05EE13">
                  <wp:extent cx="2731940" cy="1726514"/>
                  <wp:effectExtent l="0" t="0" r="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792626" cy="1764866"/>
                          </a:xfrm>
                          <a:prstGeom prst="rect">
                            <a:avLst/>
                          </a:prstGeom>
                        </pic:spPr>
                      </pic:pic>
                    </a:graphicData>
                  </a:graphic>
                </wp:inline>
              </w:drawing>
            </w:r>
          </w:p>
        </w:tc>
        <w:tc>
          <w:tcPr>
            <w:tcW w:w="2500" w:type="pct"/>
          </w:tcPr>
          <w:p w14:paraId="67F07EBC" w14:textId="77777777" w:rsidR="007D56EC" w:rsidRPr="00802A58" w:rsidRDefault="007D56EC" w:rsidP="00754719">
            <w:pPr>
              <w:spacing w:after="120"/>
              <w:jc w:val="both"/>
              <w:rPr>
                <w:b/>
                <w:bCs/>
              </w:rPr>
            </w:pPr>
            <w:r w:rsidRPr="00802A58">
              <w:rPr>
                <w:b/>
                <w:bCs/>
                <w:noProof/>
              </w:rPr>
              <w:drawing>
                <wp:inline distT="0" distB="0" distL="0" distR="0" wp14:anchorId="148B150A" wp14:editId="36B2D4B5">
                  <wp:extent cx="2852323" cy="1711394"/>
                  <wp:effectExtent l="0" t="0" r="5715"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918928" cy="1751357"/>
                          </a:xfrm>
                          <a:prstGeom prst="rect">
                            <a:avLst/>
                          </a:prstGeom>
                        </pic:spPr>
                      </pic:pic>
                    </a:graphicData>
                  </a:graphic>
                </wp:inline>
              </w:drawing>
            </w:r>
          </w:p>
        </w:tc>
      </w:tr>
      <w:tr w:rsidR="007D56EC" w:rsidRPr="00802A58" w14:paraId="2B5E2985" w14:textId="77777777" w:rsidTr="00754719">
        <w:tc>
          <w:tcPr>
            <w:tcW w:w="2500" w:type="pct"/>
          </w:tcPr>
          <w:p w14:paraId="408A0944" w14:textId="77777777" w:rsidR="007D56EC" w:rsidRPr="00802A58" w:rsidRDefault="007D56EC" w:rsidP="00754719">
            <w:pPr>
              <w:spacing w:after="120"/>
              <w:jc w:val="both"/>
              <w:rPr>
                <w:b/>
                <w:bCs/>
              </w:rPr>
            </w:pPr>
            <w:r w:rsidRPr="00802A58">
              <w:rPr>
                <w:b/>
                <w:bCs/>
                <w:noProof/>
              </w:rPr>
              <w:drawing>
                <wp:inline distT="0" distB="0" distL="0" distR="0" wp14:anchorId="059706D0" wp14:editId="0DED11FD">
                  <wp:extent cx="2727831" cy="1636699"/>
                  <wp:effectExtent l="0" t="0" r="3175"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786163" cy="1671699"/>
                          </a:xfrm>
                          <a:prstGeom prst="rect">
                            <a:avLst/>
                          </a:prstGeom>
                        </pic:spPr>
                      </pic:pic>
                    </a:graphicData>
                  </a:graphic>
                </wp:inline>
              </w:drawing>
            </w:r>
          </w:p>
        </w:tc>
        <w:tc>
          <w:tcPr>
            <w:tcW w:w="2500" w:type="pct"/>
          </w:tcPr>
          <w:p w14:paraId="0A92589D" w14:textId="77777777" w:rsidR="007D56EC" w:rsidRPr="00802A58" w:rsidRDefault="007D56EC" w:rsidP="00754719">
            <w:pPr>
              <w:spacing w:after="120"/>
              <w:jc w:val="both"/>
              <w:rPr>
                <w:b/>
                <w:bCs/>
              </w:rPr>
            </w:pPr>
            <w:r w:rsidRPr="00802A58">
              <w:rPr>
                <w:b/>
                <w:bCs/>
                <w:noProof/>
              </w:rPr>
              <w:drawing>
                <wp:inline distT="0" distB="0" distL="0" distR="0" wp14:anchorId="5AD7C1C5" wp14:editId="22317883">
                  <wp:extent cx="2881512" cy="1728908"/>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949653" cy="1769792"/>
                          </a:xfrm>
                          <a:prstGeom prst="rect">
                            <a:avLst/>
                          </a:prstGeom>
                        </pic:spPr>
                      </pic:pic>
                    </a:graphicData>
                  </a:graphic>
                </wp:inline>
              </w:drawing>
            </w:r>
          </w:p>
        </w:tc>
      </w:tr>
    </w:tbl>
    <w:p w14:paraId="566BACC8" w14:textId="3115E655" w:rsidR="007D56EC" w:rsidRPr="00802A58" w:rsidRDefault="007D56EC" w:rsidP="00D4597D">
      <w:pPr>
        <w:tabs>
          <w:tab w:val="left" w:pos="426"/>
        </w:tabs>
        <w:autoSpaceDE w:val="0"/>
        <w:autoSpaceDN w:val="0"/>
        <w:adjustRightInd w:val="0"/>
        <w:spacing w:after="0"/>
        <w:jc w:val="both"/>
        <w:rPr>
          <w:rFonts w:ascii="Tahoma" w:hAnsi="Tahoma" w:cs="Arial"/>
          <w:sz w:val="16"/>
          <w:szCs w:val="18"/>
        </w:rPr>
      </w:pPr>
      <w:r w:rsidRPr="00802A58">
        <w:rPr>
          <w:rFonts w:ascii="Tahoma" w:hAnsi="Tahoma" w:cs="Arial"/>
          <w:sz w:val="16"/>
          <w:szCs w:val="18"/>
        </w:rPr>
        <w:t>Fig</w:t>
      </w:r>
      <w:r w:rsidR="00A21CF8">
        <w:rPr>
          <w:rFonts w:ascii="Tahoma" w:hAnsi="Tahoma" w:cs="Arial"/>
          <w:sz w:val="16"/>
          <w:szCs w:val="18"/>
        </w:rPr>
        <w:t>ure</w:t>
      </w:r>
      <w:r w:rsidRPr="00802A58">
        <w:rPr>
          <w:rFonts w:ascii="Tahoma" w:hAnsi="Tahoma" w:cs="Arial"/>
          <w:sz w:val="16"/>
          <w:szCs w:val="18"/>
        </w:rPr>
        <w:t xml:space="preserve"> </w:t>
      </w:r>
      <w:r w:rsidR="00D4597D">
        <w:rPr>
          <w:rFonts w:ascii="Tahoma" w:hAnsi="Tahoma" w:cs="Arial"/>
          <w:sz w:val="16"/>
          <w:szCs w:val="18"/>
        </w:rPr>
        <w:t>C8</w:t>
      </w:r>
      <w:r w:rsidRPr="00802A58">
        <w:rPr>
          <w:rFonts w:ascii="Tahoma" w:hAnsi="Tahoma" w:cs="Arial"/>
          <w:sz w:val="16"/>
          <w:szCs w:val="18"/>
        </w:rPr>
        <w:t>. The Body Weight Example in the 2017 EFSA Guidance Update: based on the Laplace approximation, model-specific fitted dose-response models, together with the CI (in green) and the BMD estimate (red bullet point). Upper left: normal models; upper right: log-normal models; Lower left: all models; Lower right: model-averaged fitted dose-response model, together with the posterior distribution of the BMD.</w:t>
      </w:r>
    </w:p>
    <w:p w14:paraId="7BD049D9" w14:textId="77777777" w:rsidR="007D56EC" w:rsidRPr="00802A58" w:rsidRDefault="007D56EC" w:rsidP="007D56EC">
      <w:pPr>
        <w:tabs>
          <w:tab w:val="left" w:pos="426"/>
        </w:tabs>
        <w:autoSpaceDE w:val="0"/>
        <w:autoSpaceDN w:val="0"/>
        <w:adjustRightInd w:val="0"/>
        <w:spacing w:after="0"/>
        <w:rPr>
          <w:rFonts w:ascii="Tahoma" w:hAnsi="Tahoma" w:cs="Arial"/>
          <w:sz w:val="16"/>
          <w:szCs w:val="18"/>
        </w:rPr>
      </w:pPr>
    </w:p>
    <w:p w14:paraId="057BA88A" w14:textId="77777777" w:rsidR="00AB48DD" w:rsidRDefault="00AB48DD">
      <w:pPr>
        <w:rPr>
          <w:rFonts w:ascii="Tahoma" w:eastAsia="Times New Roman" w:hAnsi="Tahoma" w:cs="Mangal"/>
          <w:b/>
          <w:iCs/>
          <w:sz w:val="24"/>
          <w:szCs w:val="24"/>
          <w:lang w:eastAsia="en-GB"/>
        </w:rPr>
      </w:pPr>
      <w:r>
        <w:br w:type="page"/>
      </w:r>
    </w:p>
    <w:p w14:paraId="40FEEF97" w14:textId="14A7D3F9" w:rsidR="007D56EC" w:rsidRDefault="00CD24CF" w:rsidP="00FA4D7F">
      <w:pPr>
        <w:pStyle w:val="EFSAAppendixtitle"/>
        <w:ind w:left="1701" w:hanging="1701"/>
      </w:pPr>
      <w:bookmarkStart w:id="101" w:name="_Ref94101213"/>
      <w:bookmarkStart w:id="102" w:name="_Toc94255358"/>
      <w:r w:rsidRPr="001651DA">
        <w:t>Data Examples</w:t>
      </w:r>
      <w:r>
        <w:t>: Quantal Endpoints</w:t>
      </w:r>
      <w:bookmarkEnd w:id="101"/>
      <w:bookmarkEnd w:id="102"/>
    </w:p>
    <w:p w14:paraId="0E8D39CD" w14:textId="112FC5E4" w:rsidR="009A5E9E" w:rsidRPr="00463F15" w:rsidRDefault="009A5E9E" w:rsidP="00584491">
      <w:pPr>
        <w:pStyle w:val="EFSAHeading1nonumber"/>
        <w:jc w:val="both"/>
      </w:pPr>
      <w:bookmarkStart w:id="103" w:name="_Toc93951448"/>
      <w:bookmarkStart w:id="104" w:name="_Toc94255359"/>
      <w:r w:rsidRPr="00463F15">
        <w:t>Thyroid epithelial cell vacuolisation data in the 2017 EFSA Guidance Update</w:t>
      </w:r>
      <w:bookmarkEnd w:id="103"/>
      <w:bookmarkEnd w:id="104"/>
    </w:p>
    <w:p w14:paraId="5AEF2AD6" w14:textId="77777777" w:rsidR="009A5E9E" w:rsidRPr="00103DE3" w:rsidRDefault="009A5E9E" w:rsidP="00103DE3">
      <w:pPr>
        <w:keepNext/>
        <w:numPr>
          <w:ilvl w:val="3"/>
          <w:numId w:val="0"/>
        </w:numPr>
        <w:spacing w:before="240" w:after="120" w:line="240" w:lineRule="auto"/>
        <w:ind w:left="1021" w:hanging="1021"/>
        <w:outlineLvl w:val="3"/>
        <w:rPr>
          <w:rFonts w:ascii="Tahoma" w:hAnsi="Tahoma"/>
          <w:b/>
          <w:sz w:val="20"/>
          <w:szCs w:val="20"/>
        </w:rPr>
      </w:pPr>
      <w:r w:rsidRPr="00103DE3">
        <w:rPr>
          <w:rFonts w:ascii="Tahoma" w:hAnsi="Tahoma"/>
          <w:b/>
          <w:sz w:val="20"/>
          <w:szCs w:val="20"/>
        </w:rPr>
        <w:t>The Data</w:t>
      </w:r>
    </w:p>
    <w:p w14:paraId="244B4AE1" w14:textId="77777777" w:rsidR="009A5E9E" w:rsidRPr="00D91CFE" w:rsidRDefault="009A5E9E" w:rsidP="009A5E9E">
      <w:pPr>
        <w:pStyle w:val="EFSABodytext"/>
        <w:rPr>
          <w:rFonts w:ascii="Times New Roman" w:hAnsi="Times New Roman"/>
          <w:sz w:val="24"/>
          <w:szCs w:val="24"/>
          <w:lang w:eastAsia="en-GB"/>
        </w:rPr>
      </w:pPr>
      <w:r w:rsidRPr="00D91CFE">
        <w:rPr>
          <w:lang w:eastAsia="en-GB"/>
        </w:rPr>
        <w:t xml:space="preserve">This example relates to a 2-year study in rats, where three doses of a substance were administered to the animals. Dose-related changes in thyroid epithelial cell vacuolisation were found, and these data were used for a BMD analysis. </w:t>
      </w:r>
    </w:p>
    <w:p w14:paraId="77846C3B" w14:textId="77777777" w:rsidR="009A5E9E" w:rsidRPr="00D91CFE" w:rsidRDefault="009A5E9E" w:rsidP="009A5E9E">
      <w:pPr>
        <w:pStyle w:val="EFSABodytext"/>
        <w:jc w:val="center"/>
        <w:rPr>
          <w:highlight w:val="yellow"/>
        </w:rPr>
      </w:pPr>
      <w:r w:rsidRPr="006769DD">
        <w:rPr>
          <w:noProof/>
        </w:rPr>
        <w:drawing>
          <wp:inline distT="0" distB="0" distL="0" distR="0" wp14:anchorId="27DF2CD1" wp14:editId="37C71A47">
            <wp:extent cx="4892040" cy="113266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961665" cy="1148787"/>
                    </a:xfrm>
                    <a:prstGeom prst="rect">
                      <a:avLst/>
                    </a:prstGeom>
                  </pic:spPr>
                </pic:pic>
              </a:graphicData>
            </a:graphic>
          </wp:inline>
        </w:drawing>
      </w:r>
    </w:p>
    <w:p w14:paraId="2E39131D" w14:textId="77777777" w:rsidR="009A5E9E" w:rsidRPr="00103DE3" w:rsidRDefault="009A5E9E" w:rsidP="00103DE3">
      <w:pPr>
        <w:keepNext/>
        <w:numPr>
          <w:ilvl w:val="3"/>
          <w:numId w:val="0"/>
        </w:numPr>
        <w:spacing w:before="240" w:after="120" w:line="240" w:lineRule="auto"/>
        <w:ind w:left="1021" w:hanging="1021"/>
        <w:outlineLvl w:val="3"/>
        <w:rPr>
          <w:rFonts w:ascii="Tahoma" w:hAnsi="Tahoma"/>
          <w:b/>
          <w:sz w:val="20"/>
          <w:szCs w:val="20"/>
        </w:rPr>
      </w:pPr>
      <w:r w:rsidRPr="00103DE3">
        <w:rPr>
          <w:rFonts w:ascii="Tahoma" w:hAnsi="Tahoma"/>
          <w:b/>
          <w:sz w:val="20"/>
          <w:szCs w:val="20"/>
        </w:rPr>
        <w:t>Results</w:t>
      </w:r>
    </w:p>
    <w:p w14:paraId="5E9F06CA" w14:textId="77777777" w:rsidR="009A5E9E" w:rsidRDefault="009A5E9E" w:rsidP="009A5E9E">
      <w:pPr>
        <w:pStyle w:val="EFSABodytext"/>
      </w:pPr>
      <w:r w:rsidRPr="008F30F2">
        <w:rPr>
          <w:rFonts w:cs="Tahoma"/>
          <w:b/>
          <w:bCs/>
          <w:lang w:val="en-US"/>
        </w:rPr>
        <w:t>PROAST.</w:t>
      </w:r>
      <w:r>
        <w:rPr>
          <w:rFonts w:cs="Tahoma"/>
          <w:b/>
          <w:bCs/>
          <w:lang w:val="en-US"/>
        </w:rPr>
        <w:t xml:space="preserve"> </w:t>
      </w:r>
      <w:r>
        <w:t xml:space="preserve">Using PROAST v 62.3 together with the </w:t>
      </w:r>
      <w:proofErr w:type="spellStart"/>
      <w:r>
        <w:t>MADr</w:t>
      </w:r>
      <w:proofErr w:type="spellEnd"/>
      <w:r>
        <w:t xml:space="preserve">-BMD program, as described in Wheeler and Bailer (2008), using the default BMR of 10% extra risk, using all 8 models except the exponential model, and using the bootstrap, the BMDL in EFSA SC (2017) was determined to be 1.5 mg/kg (a BMDU was not calculated). Using the </w:t>
      </w:r>
      <w:r>
        <w:rPr>
          <w:rFonts w:cs="Tahoma"/>
        </w:rPr>
        <w:t xml:space="preserve">EFSA BMD WEB app (based on PROAST 70.0) the model average </w:t>
      </w:r>
      <w:r>
        <w:rPr>
          <w:rFonts w:cs="Tahoma"/>
          <w:lang w:val="en-US"/>
        </w:rPr>
        <w:t>BMDL=1.65 and BMDU=5.86</w:t>
      </w:r>
      <w:r>
        <w:t xml:space="preserve">. </w:t>
      </w:r>
      <w:r>
        <w:rPr>
          <w:rFonts w:cs="Tahoma"/>
          <w:lang w:val="en-US"/>
        </w:rPr>
        <w:t xml:space="preserve">The ratio </w:t>
      </w:r>
      <m:oMath>
        <m:f>
          <m:fPr>
            <m:ctrlPr>
              <w:rPr>
                <w:rFonts w:ascii="Cambria Math" w:eastAsia="Times New Roman" w:hAnsi="Cambria Math" w:cs="Tahoma"/>
                <w:i/>
                <w:lang w:val="en-US" w:eastAsia="en-GB"/>
              </w:rPr>
            </m:ctrlPr>
          </m:fPr>
          <m:num>
            <m:r>
              <w:rPr>
                <w:rFonts w:ascii="Cambria Math" w:hAnsi="Cambria Math" w:cs="Tahoma"/>
                <w:lang w:val="en-US"/>
              </w:rPr>
              <m:t>BMDU</m:t>
            </m:r>
          </m:num>
          <m:den>
            <m:r>
              <w:rPr>
                <w:rFonts w:ascii="Cambria Math" w:hAnsi="Cambria Math" w:cs="Tahoma"/>
                <w:lang w:val="en-US"/>
              </w:rPr>
              <m:t>BMDL</m:t>
            </m:r>
          </m:den>
        </m:f>
        <m:r>
          <w:rPr>
            <w:rFonts w:ascii="Cambria Math" w:hAnsi="Cambria Math" w:cs="Tahoma"/>
            <w:lang w:val="en-US"/>
          </w:rPr>
          <m:t>=3.55</m:t>
        </m:r>
      </m:oMath>
      <w:r>
        <w:rPr>
          <w:rFonts w:cs="Tahoma"/>
          <w:lang w:val="en-US"/>
        </w:rPr>
        <w:t>, indicating the precision of the estimation of the BMD</w:t>
      </w:r>
    </w:p>
    <w:p w14:paraId="15D4699F" w14:textId="4F45DE60" w:rsidR="009A5E9E" w:rsidRPr="00AD7734" w:rsidRDefault="009A5E9E" w:rsidP="00D4597D">
      <w:pPr>
        <w:pStyle w:val="NormalWeb"/>
        <w:jc w:val="both"/>
        <w:rPr>
          <w:rFonts w:ascii="Tahoma" w:hAnsi="Tahoma" w:cs="Tahoma"/>
          <w:b/>
          <w:bCs/>
          <w:sz w:val="20"/>
          <w:szCs w:val="20"/>
          <w:lang w:val="en-US"/>
        </w:rPr>
      </w:pPr>
      <w:r w:rsidRPr="00626CAA">
        <w:rPr>
          <w:rFonts w:ascii="Tahoma" w:hAnsi="Tahoma" w:cs="Tahoma"/>
          <w:b/>
          <w:bCs/>
          <w:sz w:val="20"/>
          <w:szCs w:val="20"/>
        </w:rPr>
        <w:t>Using Laplace approximation.</w:t>
      </w:r>
      <w:r w:rsidRPr="00626CAA">
        <w:rPr>
          <w:rFonts w:ascii="Tahoma" w:hAnsi="Tahoma" w:cs="Tahoma"/>
          <w:b/>
          <w:bCs/>
          <w:sz w:val="20"/>
          <w:szCs w:val="20"/>
          <w:lang w:val="en-US"/>
        </w:rPr>
        <w:t xml:space="preserve">  </w:t>
      </w:r>
      <w:r w:rsidRPr="00626CAA">
        <w:rPr>
          <w:rFonts w:ascii="Tahoma" w:hAnsi="Tahoma" w:cs="Tahoma"/>
          <w:sz w:val="20"/>
          <w:szCs w:val="20"/>
        </w:rPr>
        <w:t xml:space="preserve">The model specific results (BML,BMD,BMDU,weight) are given in Table </w:t>
      </w:r>
      <w:r w:rsidR="00D4597D">
        <w:rPr>
          <w:rFonts w:ascii="Tahoma" w:hAnsi="Tahoma" w:cs="Tahoma"/>
          <w:sz w:val="20"/>
          <w:szCs w:val="20"/>
          <w:lang w:val="en-US"/>
        </w:rPr>
        <w:t>D1</w:t>
      </w:r>
      <w:r>
        <w:rPr>
          <w:rFonts w:ascii="Tahoma" w:hAnsi="Tahoma" w:cs="Tahoma"/>
          <w:sz w:val="20"/>
          <w:szCs w:val="20"/>
          <w:lang w:val="en-US"/>
        </w:rPr>
        <w:t>,</w:t>
      </w:r>
      <w:r w:rsidRPr="00626CAA">
        <w:rPr>
          <w:rFonts w:ascii="Tahoma" w:hAnsi="Tahoma" w:cs="Tahoma"/>
          <w:sz w:val="20"/>
          <w:szCs w:val="20"/>
        </w:rPr>
        <w:t xml:space="preserve"> show</w:t>
      </w:r>
      <w:proofErr w:type="spellStart"/>
      <w:r>
        <w:rPr>
          <w:rFonts w:ascii="Tahoma" w:hAnsi="Tahoma" w:cs="Tahoma"/>
          <w:sz w:val="20"/>
          <w:szCs w:val="20"/>
          <w:lang w:val="en-US"/>
        </w:rPr>
        <w:t>ing</w:t>
      </w:r>
      <w:proofErr w:type="spellEnd"/>
      <w:r w:rsidRPr="00626CAA">
        <w:rPr>
          <w:rFonts w:ascii="Tahoma" w:hAnsi="Tahoma" w:cs="Tahoma"/>
          <w:sz w:val="20"/>
          <w:szCs w:val="20"/>
        </w:rPr>
        <w:t xml:space="preserve"> that i) the model specific BMDL’s vary from </w:t>
      </w:r>
      <w:r>
        <w:rPr>
          <w:rFonts w:ascii="Tahoma" w:hAnsi="Tahoma" w:cs="Tahoma"/>
          <w:sz w:val="20"/>
          <w:szCs w:val="20"/>
          <w:lang w:val="en-US"/>
        </w:rPr>
        <w:t>0.808</w:t>
      </w:r>
      <w:r w:rsidRPr="00626CAA">
        <w:rPr>
          <w:rFonts w:ascii="Tahoma" w:hAnsi="Tahoma" w:cs="Tahoma"/>
          <w:sz w:val="20"/>
          <w:szCs w:val="20"/>
        </w:rPr>
        <w:t xml:space="preserve"> to </w:t>
      </w:r>
      <w:r>
        <w:rPr>
          <w:rFonts w:ascii="Tahoma" w:hAnsi="Tahoma" w:cs="Tahoma"/>
          <w:sz w:val="20"/>
          <w:szCs w:val="20"/>
          <w:lang w:val="en-US"/>
        </w:rPr>
        <w:t>2.588</w:t>
      </w:r>
      <w:r w:rsidRPr="00626CAA">
        <w:rPr>
          <w:rFonts w:ascii="Tahoma" w:hAnsi="Tahoma" w:cs="Tahoma"/>
          <w:sz w:val="20"/>
          <w:szCs w:val="20"/>
        </w:rPr>
        <w:t xml:space="preserve">,  ii) </w:t>
      </w:r>
      <w:r>
        <w:rPr>
          <w:rFonts w:ascii="Tahoma" w:hAnsi="Tahoma" w:cs="Tahoma"/>
          <w:sz w:val="20"/>
          <w:szCs w:val="20"/>
          <w:lang w:val="en-US"/>
        </w:rPr>
        <w:t>the weights vary substantially across all 8 models</w:t>
      </w:r>
      <w:r w:rsidRPr="00626CAA">
        <w:rPr>
          <w:rFonts w:ascii="Tahoma" w:hAnsi="Tahoma" w:cs="Tahoma"/>
          <w:sz w:val="20"/>
          <w:szCs w:val="20"/>
        </w:rPr>
        <w:t xml:space="preserve"> iii)</w:t>
      </w:r>
      <w:r>
        <w:rPr>
          <w:rFonts w:ascii="Tahoma" w:hAnsi="Tahoma" w:cs="Tahoma"/>
          <w:sz w:val="20"/>
          <w:szCs w:val="20"/>
          <w:lang w:val="en-US"/>
        </w:rPr>
        <w:t xml:space="preserve"> the highest weight 0.65 is for the inverse exponential model, followed by the Hill model with weight 0.14, and all other models with weights below 0.06.</w:t>
      </w:r>
    </w:p>
    <w:p w14:paraId="10E4C45E" w14:textId="1C57C59F" w:rsidR="009A5E9E" w:rsidRDefault="009A5E9E" w:rsidP="009A5E9E">
      <w:pPr>
        <w:pStyle w:val="EFSABodytext"/>
        <w:rPr>
          <w:b/>
          <w:bCs/>
        </w:rPr>
      </w:pPr>
      <w:r>
        <w:t xml:space="preserve">More information for the inverse exponential model is depicted in Figure </w:t>
      </w:r>
      <w:r w:rsidR="00D4597D">
        <w:t>D1</w:t>
      </w:r>
      <w:r>
        <w:t xml:space="preserve">, for the background and the BMD, the flat uninformative PERT prior distributions (in blue) and the final posterior distributions (in orange).  The fourth parameter </w:t>
      </w:r>
      <w:r w:rsidRPr="00C90A30">
        <w:rPr>
          <w:i/>
          <w:iCs/>
        </w:rPr>
        <w:t>d</w:t>
      </w:r>
      <w:r>
        <w:rPr>
          <w:i/>
          <w:iCs/>
        </w:rPr>
        <w:t xml:space="preserve"> </w:t>
      </w:r>
      <w:r>
        <w:t xml:space="preserve">(left lower panel) gets a log-normal prior distribution (in blue), which is moderately informative with median at 1, </w:t>
      </w:r>
      <w:proofErr w:type="gramStart"/>
      <w:r>
        <w:t>in order to</w:t>
      </w:r>
      <w:proofErr w:type="gramEnd"/>
      <w:r>
        <w:t xml:space="preserve"> stabilize the fitting computationally. Similar plots can be made for all other 7 models.</w:t>
      </w:r>
    </w:p>
    <w:p w14:paraId="334E0831" w14:textId="77777777" w:rsidR="009A5E9E" w:rsidRDefault="009A5E9E" w:rsidP="009A5E9E">
      <w:pPr>
        <w:pStyle w:val="EFSATableheadingrow"/>
        <w:rPr>
          <w:b w:val="0"/>
          <w:bCs/>
        </w:rPr>
      </w:pPr>
    </w:p>
    <w:p w14:paraId="2312AD2B" w14:textId="77777777" w:rsidR="009E18F9" w:rsidRDefault="009E18F9">
      <w:pPr>
        <w:rPr>
          <w:rFonts w:ascii="Tahoma" w:hAnsi="Tahoma"/>
          <w:bCs/>
          <w:sz w:val="18"/>
          <w:szCs w:val="20"/>
        </w:rPr>
      </w:pPr>
      <w:r>
        <w:rPr>
          <w:b/>
          <w:bCs/>
        </w:rPr>
        <w:br w:type="page"/>
      </w:r>
    </w:p>
    <w:p w14:paraId="539D0290" w14:textId="393AE291" w:rsidR="009A5E9E" w:rsidRDefault="009A5E9E" w:rsidP="00B73331">
      <w:pPr>
        <w:pStyle w:val="EFSATableheadingrow"/>
        <w:ind w:left="851" w:hanging="851"/>
        <w:jc w:val="both"/>
        <w:rPr>
          <w:b w:val="0"/>
          <w:bCs/>
        </w:rPr>
      </w:pPr>
      <w:r w:rsidRPr="00DC54BB">
        <w:rPr>
          <w:b w:val="0"/>
          <w:bCs/>
        </w:rPr>
        <w:t xml:space="preserve">Table </w:t>
      </w:r>
      <w:r w:rsidR="0010242B">
        <w:rPr>
          <w:b w:val="0"/>
          <w:bCs/>
        </w:rPr>
        <w:t>D1</w:t>
      </w:r>
      <w:r w:rsidRPr="00DC54BB">
        <w:rPr>
          <w:b w:val="0"/>
          <w:bCs/>
        </w:rPr>
        <w:t xml:space="preserve">. </w:t>
      </w:r>
      <w:r w:rsidRPr="00B800EC">
        <w:rPr>
          <w:b w:val="0"/>
          <w:bCs/>
        </w:rPr>
        <w:t xml:space="preserve">The </w:t>
      </w:r>
      <w:r w:rsidRPr="004C1C46">
        <w:rPr>
          <w:b w:val="0"/>
          <w:lang w:eastAsia="en-GB"/>
        </w:rPr>
        <w:t>thyroid epithelial cell vacuolisation</w:t>
      </w:r>
      <w:r w:rsidRPr="004C1C46">
        <w:rPr>
          <w:b w:val="0"/>
          <w:bCs/>
          <w:lang w:val="en-US" w:eastAsia="en-GB"/>
        </w:rPr>
        <w:t xml:space="preserve"> data</w:t>
      </w:r>
      <w:r>
        <w:rPr>
          <w:b w:val="0"/>
          <w:bCs/>
        </w:rPr>
        <w:t>. Model specific values for BMDL, BMD, and BMDU; and the posterior weights of each model (used for constructing the model average).</w:t>
      </w:r>
    </w:p>
    <w:p w14:paraId="31DF947C" w14:textId="77777777" w:rsidR="009E18F9" w:rsidRDefault="009E18F9" w:rsidP="00B73331">
      <w:pPr>
        <w:pStyle w:val="EFSATableheadingrow"/>
        <w:ind w:left="851" w:hanging="851"/>
        <w:jc w:val="both"/>
        <w:rPr>
          <w:b w:val="0"/>
          <w:bCs/>
        </w:rPr>
      </w:pPr>
    </w:p>
    <w:p w14:paraId="49782215" w14:textId="77777777" w:rsidR="009A5E9E" w:rsidRDefault="009A5E9E" w:rsidP="009A5E9E">
      <w:pPr>
        <w:pStyle w:val="EFSATableheadingrow"/>
        <w:rPr>
          <w:b w:val="0"/>
          <w:bCs/>
        </w:rPr>
      </w:pPr>
      <w:r w:rsidRPr="004C1C46">
        <w:rPr>
          <w:b w:val="0"/>
          <w:bCs/>
          <w:noProof/>
        </w:rPr>
        <w:drawing>
          <wp:inline distT="0" distB="0" distL="0" distR="0" wp14:anchorId="6C47F327" wp14:editId="1F480573">
            <wp:extent cx="3570136" cy="1686269"/>
            <wp:effectExtent l="0" t="0" r="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604774" cy="1702629"/>
                    </a:xfrm>
                    <a:prstGeom prst="rect">
                      <a:avLst/>
                    </a:prstGeom>
                  </pic:spPr>
                </pic:pic>
              </a:graphicData>
            </a:graphic>
          </wp:inline>
        </w:drawing>
      </w:r>
    </w:p>
    <w:p w14:paraId="20C05C51" w14:textId="77777777" w:rsidR="009A5E9E" w:rsidRDefault="009A5E9E" w:rsidP="009A5E9E">
      <w:pPr>
        <w:pStyle w:val="EFSATableheadingrow"/>
        <w:rPr>
          <w:b w:val="0"/>
          <w:bCs/>
        </w:rPr>
      </w:pPr>
    </w:p>
    <w:p w14:paraId="1B10A2A7" w14:textId="77777777" w:rsidR="009A5E9E" w:rsidRDefault="009A5E9E" w:rsidP="009A5E9E">
      <w:pPr>
        <w:pStyle w:val="EFSABodytext"/>
        <w:jc w:val="center"/>
      </w:pPr>
      <w:r w:rsidRPr="00930234">
        <w:rPr>
          <w:noProof/>
        </w:rPr>
        <w:drawing>
          <wp:inline distT="0" distB="0" distL="0" distR="0" wp14:anchorId="2905BE02" wp14:editId="5C57132A">
            <wp:extent cx="5759450" cy="345567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59450" cy="3455670"/>
                    </a:xfrm>
                    <a:prstGeom prst="rect">
                      <a:avLst/>
                    </a:prstGeom>
                  </pic:spPr>
                </pic:pic>
              </a:graphicData>
            </a:graphic>
          </wp:inline>
        </w:drawing>
      </w:r>
    </w:p>
    <w:p w14:paraId="683C99B0" w14:textId="66966F11" w:rsidR="009A5E9E" w:rsidRPr="00D83EAF" w:rsidRDefault="009A5E9E" w:rsidP="00552538">
      <w:pPr>
        <w:pStyle w:val="EFSAFigurelegend"/>
        <w:jc w:val="both"/>
      </w:pPr>
      <w:r>
        <w:t>Fig</w:t>
      </w:r>
      <w:r w:rsidR="00912A8B">
        <w:t>ure</w:t>
      </w:r>
      <w:r>
        <w:t xml:space="preserve"> </w:t>
      </w:r>
      <w:r w:rsidR="004C349D">
        <w:t>D1</w:t>
      </w:r>
      <w:r>
        <w:t xml:space="preserve">: </w:t>
      </w:r>
      <w:r w:rsidRPr="002F7B5A">
        <w:t>The</w:t>
      </w:r>
      <w:r w:rsidRPr="00930234">
        <w:t xml:space="preserve"> </w:t>
      </w:r>
      <w:r w:rsidRPr="00930234">
        <w:rPr>
          <w:lang w:eastAsia="en-GB"/>
        </w:rPr>
        <w:t>thyroid epithelial cell vacuolisation</w:t>
      </w:r>
      <w:r w:rsidRPr="00930234">
        <w:rPr>
          <w:lang w:val="en-US" w:eastAsia="en-GB"/>
        </w:rPr>
        <w:t xml:space="preserve"> data</w:t>
      </w:r>
      <w:r w:rsidRPr="002F7B5A">
        <w:t>: prior</w:t>
      </w:r>
      <w:r>
        <w:t xml:space="preserve"> and posterior densities (pink and orange coloured respectively) for the background response, the BMD, and the parameter </w:t>
      </w:r>
      <w:r w:rsidRPr="00D83EAF">
        <w:rPr>
          <w:i/>
          <w:iCs/>
        </w:rPr>
        <w:t>d</w:t>
      </w:r>
      <w:r>
        <w:t>, for the inverse exponential model. The vertical dashed line in the upper right panel is the observed background proportion.</w:t>
      </w:r>
    </w:p>
    <w:p w14:paraId="77E0D78A" w14:textId="77777777" w:rsidR="009A5E9E" w:rsidRDefault="009A5E9E" w:rsidP="009A5E9E">
      <w:pPr>
        <w:pStyle w:val="EFSABodytext"/>
      </w:pPr>
    </w:p>
    <w:p w14:paraId="07B9CAD6" w14:textId="0D8D606A" w:rsidR="009A5E9E" w:rsidRDefault="009A5E9E" w:rsidP="009A5E9E">
      <w:pPr>
        <w:pStyle w:val="EFSABodytext"/>
      </w:pPr>
      <w:r>
        <w:t xml:space="preserve">Using the weights of Table </w:t>
      </w:r>
      <w:r w:rsidR="004C349D">
        <w:t>D1</w:t>
      </w:r>
      <w:r>
        <w:t xml:space="preserve"> (last column), the final model averaged BMD estimate equals 3.567 with 90% </w:t>
      </w:r>
      <w:proofErr w:type="spellStart"/>
      <w:r>
        <w:t>CrI</w:t>
      </w:r>
      <w:proofErr w:type="spellEnd"/>
      <w:r>
        <w:t xml:space="preserve"> (1.832, 5.562). Based on the Laplace approximation results, the ratio </w:t>
      </w:r>
      <m:oMath>
        <m:f>
          <m:fPr>
            <m:ctrlPr>
              <w:rPr>
                <w:rFonts w:ascii="Cambria Math" w:eastAsia="Times New Roman" w:hAnsi="Cambria Math" w:cs="Tahoma"/>
                <w:i/>
                <w:lang w:val="en-US" w:eastAsia="en-GB"/>
              </w:rPr>
            </m:ctrlPr>
          </m:fPr>
          <m:num>
            <m:r>
              <w:rPr>
                <w:rFonts w:ascii="Cambria Math" w:hAnsi="Cambria Math" w:cs="Tahoma"/>
                <w:lang w:val="en-US"/>
              </w:rPr>
              <m:t>BMDU</m:t>
            </m:r>
          </m:num>
          <m:den>
            <m:r>
              <w:rPr>
                <w:rFonts w:ascii="Cambria Math" w:hAnsi="Cambria Math" w:cs="Tahoma"/>
                <w:lang w:val="en-US"/>
              </w:rPr>
              <m:t>BMDL</m:t>
            </m:r>
          </m:den>
        </m:f>
      </m:oMath>
      <w:r>
        <w:rPr>
          <w:rFonts w:cs="Tahoma"/>
          <w:lang w:val="en-US"/>
        </w:rPr>
        <w:t xml:space="preserve"> is slightly smaller (3.04), the estimation of the BMD is sli</w:t>
      </w:r>
      <w:proofErr w:type="spellStart"/>
      <w:r>
        <w:rPr>
          <w:rFonts w:cs="Tahoma"/>
          <w:lang w:val="en-US"/>
        </w:rPr>
        <w:t>ghtly</w:t>
      </w:r>
      <w:proofErr w:type="spellEnd"/>
      <w:r>
        <w:rPr>
          <w:rFonts w:cs="Tahoma"/>
          <w:lang w:val="en-US"/>
        </w:rPr>
        <w:t xml:space="preserve"> more precise.</w:t>
      </w:r>
      <w:r>
        <w:t xml:space="preserve"> Although it can be said that these results are quite close to the PROAST results. Figure </w:t>
      </w:r>
      <w:r w:rsidR="004C349D">
        <w:t>D</w:t>
      </w:r>
      <w:r w:rsidR="00552538">
        <w:t>2</w:t>
      </w:r>
      <w:r>
        <w:t xml:space="preserve"> shows, on the log-scale, the summary data together with the model-specific fitted dose-response models, together with the </w:t>
      </w:r>
      <w:proofErr w:type="spellStart"/>
      <w:r>
        <w:t>CrI</w:t>
      </w:r>
      <w:proofErr w:type="spellEnd"/>
      <w:r>
        <w:t xml:space="preserve"> (in green), the BMD estimate (red bullet point), and the posterior distribution of the BMD, with the 90 % </w:t>
      </w:r>
      <w:proofErr w:type="spellStart"/>
      <w:r>
        <w:t>CrI</w:t>
      </w:r>
      <w:proofErr w:type="spellEnd"/>
      <w:r>
        <w:t xml:space="preserve"> (in green) and the BMD estimate (red bullet point). Note how the fitted models vary substantially close the first active dose level, resulting in quite different BMD estimates. </w:t>
      </w:r>
    </w:p>
    <w:p w14:paraId="7DA73766" w14:textId="53E05A79" w:rsidR="009A5E9E" w:rsidRDefault="009A5E9E" w:rsidP="004C349D">
      <w:pPr>
        <w:jc w:val="both"/>
        <w:rPr>
          <w:rFonts w:ascii="Tahoma" w:hAnsi="Tahoma" w:cs="Tahoma"/>
          <w:sz w:val="20"/>
          <w:szCs w:val="20"/>
          <w:lang w:val="en-US"/>
        </w:rPr>
      </w:pPr>
      <w:r w:rsidRPr="00626CAA">
        <w:rPr>
          <w:rFonts w:ascii="Tahoma" w:hAnsi="Tahoma" w:cs="Tahoma"/>
          <w:b/>
          <w:bCs/>
          <w:sz w:val="20"/>
          <w:szCs w:val="20"/>
        </w:rPr>
        <w:t xml:space="preserve">Using </w:t>
      </w:r>
      <w:r>
        <w:rPr>
          <w:rFonts w:ascii="Tahoma" w:hAnsi="Tahoma" w:cs="Tahoma"/>
          <w:b/>
          <w:bCs/>
          <w:sz w:val="20"/>
          <w:szCs w:val="20"/>
        </w:rPr>
        <w:t>MCMC</w:t>
      </w:r>
      <w:r w:rsidRPr="00626CAA">
        <w:rPr>
          <w:rFonts w:ascii="Tahoma" w:hAnsi="Tahoma" w:cs="Tahoma"/>
          <w:b/>
          <w:bCs/>
          <w:sz w:val="20"/>
          <w:szCs w:val="20"/>
        </w:rPr>
        <w:t>.</w:t>
      </w:r>
      <w:r w:rsidRPr="00626CAA">
        <w:rPr>
          <w:rFonts w:ascii="Tahoma" w:hAnsi="Tahoma" w:cs="Tahoma"/>
          <w:b/>
          <w:bCs/>
          <w:sz w:val="20"/>
          <w:szCs w:val="20"/>
          <w:lang w:val="en-US"/>
        </w:rPr>
        <w:t xml:space="preserve">  </w:t>
      </w:r>
      <w:r>
        <w:rPr>
          <w:rFonts w:ascii="Tahoma" w:hAnsi="Tahoma" w:cs="Tahoma"/>
          <w:sz w:val="20"/>
          <w:szCs w:val="20"/>
          <w:lang w:val="en-US"/>
        </w:rPr>
        <w:t xml:space="preserve">The results are quite </w:t>
      </w:r>
      <w:r w:rsidR="004C349D">
        <w:rPr>
          <w:rFonts w:ascii="Tahoma" w:hAnsi="Tahoma" w:cs="Tahoma"/>
          <w:sz w:val="20"/>
          <w:szCs w:val="20"/>
          <w:lang w:val="en-US"/>
        </w:rPr>
        <w:t>similar,</w:t>
      </w:r>
      <w:r>
        <w:rPr>
          <w:rFonts w:ascii="Tahoma" w:hAnsi="Tahoma" w:cs="Tahoma"/>
          <w:sz w:val="20"/>
          <w:szCs w:val="20"/>
          <w:lang w:val="en-US"/>
        </w:rPr>
        <w:t xml:space="preserve"> but the inverse exponential model receives an even higher weight of 0.784, implying the averaged version to be pulled somewhat in the direction of the model specific values for the inverse exponential. The averaged BMD estimate is 4.008 with </w:t>
      </w:r>
      <w:proofErr w:type="spellStart"/>
      <w:r>
        <w:rPr>
          <w:rFonts w:ascii="Tahoma" w:hAnsi="Tahoma" w:cs="Tahoma"/>
          <w:sz w:val="20"/>
          <w:szCs w:val="20"/>
          <w:lang w:val="en-US"/>
        </w:rPr>
        <w:t>CrI</w:t>
      </w:r>
      <w:proofErr w:type="spellEnd"/>
      <w:r>
        <w:rPr>
          <w:rFonts w:ascii="Tahoma" w:hAnsi="Tahoma" w:cs="Tahoma"/>
          <w:sz w:val="20"/>
          <w:szCs w:val="20"/>
          <w:lang w:val="en-US"/>
        </w:rPr>
        <w:t xml:space="preserve"> (2.180, 6.126), achieving an even higher precision </w:t>
      </w:r>
      <m:oMath>
        <m:d>
          <m:dPr>
            <m:ctrlPr>
              <w:rPr>
                <w:rFonts w:ascii="Cambria Math" w:eastAsia="Times New Roman" w:hAnsi="Cambria Math" w:cs="Tahoma"/>
                <w:i/>
                <w:sz w:val="20"/>
                <w:szCs w:val="20"/>
                <w:lang w:val="en-US" w:eastAsia="en-GB"/>
              </w:rPr>
            </m:ctrlPr>
          </m:dPr>
          <m:e>
            <m:f>
              <m:fPr>
                <m:ctrlPr>
                  <w:rPr>
                    <w:rFonts w:ascii="Cambria Math" w:eastAsia="Times New Roman" w:hAnsi="Cambria Math" w:cs="Tahoma"/>
                    <w:i/>
                    <w:sz w:val="20"/>
                    <w:szCs w:val="20"/>
                    <w:lang w:val="en-US" w:eastAsia="en-GB"/>
                  </w:rPr>
                </m:ctrlPr>
              </m:fPr>
              <m:num>
                <m:r>
                  <w:rPr>
                    <w:rFonts w:ascii="Cambria Math" w:hAnsi="Cambria Math" w:cs="Tahoma"/>
                    <w:sz w:val="20"/>
                    <w:szCs w:val="20"/>
                    <w:lang w:val="en-US"/>
                  </w:rPr>
                  <m:t>BMDU</m:t>
                </m:r>
              </m:num>
              <m:den>
                <m:r>
                  <w:rPr>
                    <w:rFonts w:ascii="Cambria Math" w:hAnsi="Cambria Math" w:cs="Tahoma"/>
                    <w:sz w:val="20"/>
                    <w:szCs w:val="20"/>
                    <w:lang w:val="en-US"/>
                  </w:rPr>
                  <m:t>BMDL</m:t>
                </m:r>
              </m:den>
            </m:f>
            <m:r>
              <w:rPr>
                <w:rFonts w:ascii="Cambria Math" w:eastAsia="Times New Roman" w:hAnsi="Cambria Math" w:cs="Tahoma"/>
                <w:sz w:val="20"/>
                <w:szCs w:val="20"/>
                <w:lang w:val="en-US" w:eastAsia="en-GB"/>
              </w:rPr>
              <m:t>=2.81</m:t>
            </m:r>
          </m:e>
        </m:d>
      </m:oMath>
      <w:r>
        <w:rPr>
          <w:rFonts w:ascii="Tahoma" w:hAnsi="Tahoma" w:cs="Tahoma"/>
          <w:sz w:val="20"/>
          <w:szCs w:val="20"/>
          <w:lang w:val="en-US"/>
        </w:rPr>
        <w:t>.</w:t>
      </w:r>
    </w:p>
    <w:tbl>
      <w:tblPr>
        <w:tblStyle w:val="TableGrid"/>
        <w:tblW w:w="0" w:type="auto"/>
        <w:tblLook w:val="04A0" w:firstRow="1" w:lastRow="0" w:firstColumn="1" w:lastColumn="0" w:noHBand="0" w:noVBand="1"/>
      </w:tblPr>
      <w:tblGrid>
        <w:gridCol w:w="4500"/>
        <w:gridCol w:w="4560"/>
      </w:tblGrid>
      <w:tr w:rsidR="009A5E9E" w14:paraId="1CA62B3C" w14:textId="77777777" w:rsidTr="00754719">
        <w:tc>
          <w:tcPr>
            <w:tcW w:w="0" w:type="auto"/>
          </w:tcPr>
          <w:p w14:paraId="13054516" w14:textId="77777777" w:rsidR="009A5E9E" w:rsidRDefault="009A5E9E" w:rsidP="00754719">
            <w:pPr>
              <w:pStyle w:val="EFSABodytext"/>
            </w:pPr>
            <w:r w:rsidRPr="0054284C">
              <w:rPr>
                <w:noProof/>
              </w:rPr>
              <w:drawing>
                <wp:inline distT="0" distB="0" distL="0" distR="0" wp14:anchorId="13871431" wp14:editId="401E5EC9">
                  <wp:extent cx="2724260" cy="1634556"/>
                  <wp:effectExtent l="0" t="0" r="635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760908" cy="1656545"/>
                          </a:xfrm>
                          <a:prstGeom prst="rect">
                            <a:avLst/>
                          </a:prstGeom>
                        </pic:spPr>
                      </pic:pic>
                    </a:graphicData>
                  </a:graphic>
                </wp:inline>
              </w:drawing>
            </w:r>
          </w:p>
        </w:tc>
        <w:tc>
          <w:tcPr>
            <w:tcW w:w="0" w:type="auto"/>
          </w:tcPr>
          <w:p w14:paraId="4C380860" w14:textId="77777777" w:rsidR="009A5E9E" w:rsidRDefault="009A5E9E" w:rsidP="00754719">
            <w:pPr>
              <w:pStyle w:val="EFSABodytext"/>
            </w:pPr>
            <w:r w:rsidRPr="0054284C">
              <w:rPr>
                <w:noProof/>
              </w:rPr>
              <w:drawing>
                <wp:inline distT="0" distB="0" distL="0" distR="0" wp14:anchorId="68272DB1" wp14:editId="4210D5FD">
                  <wp:extent cx="2764155" cy="1658493"/>
                  <wp:effectExtent l="0" t="0" r="4445"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817316" cy="1690390"/>
                          </a:xfrm>
                          <a:prstGeom prst="rect">
                            <a:avLst/>
                          </a:prstGeom>
                        </pic:spPr>
                      </pic:pic>
                    </a:graphicData>
                  </a:graphic>
                </wp:inline>
              </w:drawing>
            </w:r>
          </w:p>
        </w:tc>
      </w:tr>
    </w:tbl>
    <w:p w14:paraId="2DD566E7" w14:textId="3C739597" w:rsidR="009A5E9E" w:rsidRDefault="009A5E9E" w:rsidP="00552538">
      <w:pPr>
        <w:pStyle w:val="EFSAFigurelegend"/>
        <w:jc w:val="both"/>
      </w:pPr>
      <w:r>
        <w:t>Fig</w:t>
      </w:r>
      <w:r w:rsidR="00E11C1F">
        <w:t>ure</w:t>
      </w:r>
      <w:r>
        <w:t xml:space="preserve"> </w:t>
      </w:r>
      <w:r w:rsidR="00552538">
        <w:t>D2</w:t>
      </w:r>
      <w:r>
        <w:t xml:space="preserve">. </w:t>
      </w:r>
      <w:r w:rsidRPr="002F7B5A">
        <w:t xml:space="preserve">The </w:t>
      </w:r>
      <w:r w:rsidRPr="00930234">
        <w:rPr>
          <w:lang w:eastAsia="en-GB"/>
        </w:rPr>
        <w:t>thyroid epithelial cell vacuolisation</w:t>
      </w:r>
      <w:r w:rsidRPr="00930234">
        <w:rPr>
          <w:lang w:val="en-US" w:eastAsia="en-GB"/>
        </w:rPr>
        <w:t xml:space="preserve"> data</w:t>
      </w:r>
      <w:r>
        <w:t>: based on Laplace: fitted normal dose-response models (left), averaged model with posterior density of the BMD, with 90% confidence interval (in green) and BMD point estimate in red (right).</w:t>
      </w:r>
    </w:p>
    <w:p w14:paraId="6ED9780B" w14:textId="77777777" w:rsidR="009A5E9E" w:rsidRDefault="009A5E9E" w:rsidP="009A5E9E">
      <w:pPr>
        <w:pStyle w:val="EFSAFigurelegend"/>
      </w:pPr>
    </w:p>
    <w:p w14:paraId="65C5D228" w14:textId="77777777" w:rsidR="00FA4D7F" w:rsidRPr="00FA4D7F" w:rsidRDefault="00FA4D7F" w:rsidP="00FA4D7F">
      <w:pPr>
        <w:pStyle w:val="EFSABodytext"/>
        <w:rPr>
          <w:lang w:eastAsia="en-GB"/>
        </w:rPr>
      </w:pPr>
    </w:p>
    <w:p w14:paraId="3165BD3B" w14:textId="77777777" w:rsidR="009E18F9" w:rsidRDefault="009E18F9">
      <w:pPr>
        <w:rPr>
          <w:rFonts w:ascii="Tahoma" w:eastAsia="Times New Roman" w:hAnsi="Tahoma" w:cs="Mangal"/>
          <w:b/>
          <w:iCs/>
          <w:sz w:val="24"/>
          <w:szCs w:val="24"/>
          <w:lang w:eastAsia="en-GB"/>
        </w:rPr>
      </w:pPr>
      <w:r>
        <w:br w:type="page"/>
      </w:r>
    </w:p>
    <w:p w14:paraId="40F5B5E6" w14:textId="1D39119F" w:rsidR="0040421A" w:rsidRPr="001651DA" w:rsidRDefault="153CDAFD" w:rsidP="00FA4D7F">
      <w:pPr>
        <w:pStyle w:val="EFSAAppendixtitle"/>
        <w:ind w:left="1701" w:hanging="1701"/>
      </w:pPr>
      <w:bookmarkStart w:id="105" w:name="_Ref94101325"/>
      <w:bookmarkStart w:id="106" w:name="_Toc94255360"/>
      <w:r w:rsidRPr="001651DA">
        <w:t>Template for reporting a BMD analysis</w:t>
      </w:r>
      <w:bookmarkEnd w:id="105"/>
      <w:bookmarkEnd w:id="106"/>
    </w:p>
    <w:p w14:paraId="770EEE84" w14:textId="77777777" w:rsidR="001F2992" w:rsidRPr="001651DA" w:rsidRDefault="00973931" w:rsidP="001F2992">
      <w:pPr>
        <w:pStyle w:val="EFSABodytext"/>
        <w:ind w:firstLine="720"/>
        <w:rPr>
          <w:b/>
        </w:rPr>
      </w:pPr>
      <w:bookmarkStart w:id="107" w:name="_Toc399503957"/>
      <w:bookmarkStart w:id="108" w:name="_Toc399850644"/>
      <w:bookmarkStart w:id="109" w:name="_Toc405560706"/>
      <w:bookmarkStart w:id="110" w:name="_Toc432599628"/>
      <w:r w:rsidRPr="001651DA">
        <w:rPr>
          <w:b/>
        </w:rPr>
        <w:t>A</w:t>
      </w:r>
      <w:r w:rsidR="001F2992" w:rsidRPr="001651DA">
        <w:rPr>
          <w:b/>
        </w:rPr>
        <w:tab/>
        <w:t>Data</w:t>
      </w:r>
      <w:bookmarkEnd w:id="107"/>
      <w:bookmarkEnd w:id="108"/>
      <w:bookmarkEnd w:id="109"/>
      <w:bookmarkEnd w:id="110"/>
      <w:r w:rsidR="001F2992" w:rsidRPr="001651DA">
        <w:rPr>
          <w:b/>
        </w:rPr>
        <w:t xml:space="preserve"> description</w:t>
      </w:r>
    </w:p>
    <w:p w14:paraId="22312A7B" w14:textId="561F3E2D" w:rsidR="001F2992" w:rsidRPr="001651DA" w:rsidRDefault="001F2992" w:rsidP="001F2992">
      <w:pPr>
        <w:pStyle w:val="EFSABodytext"/>
      </w:pPr>
      <w:r w:rsidRPr="001651DA">
        <w:t>Brief general description of the data. This section should include a table summarizing the data. In</w:t>
      </w:r>
      <w:r w:rsidR="0042443F" w:rsidRPr="001651DA">
        <w:t xml:space="preserve"> case that raw data is </w:t>
      </w:r>
      <w:r w:rsidR="00261E49" w:rsidRPr="001651DA">
        <w:t>available</w:t>
      </w:r>
      <w:r w:rsidRPr="001651DA">
        <w:t>, resulting in a too large table, summary statistics may be given instead</w:t>
      </w:r>
      <w:r w:rsidRPr="001651DA">
        <w:rPr>
          <w:rStyle w:val="FootnoteReference"/>
        </w:rPr>
        <w:footnoteReference w:id="10"/>
      </w:r>
      <w:r w:rsidRPr="001651DA">
        <w:t>. For quantal endpoints both the number of responding animals and the total number of animals should be given for each dose level; for continuous endpoints</w:t>
      </w:r>
      <w:r w:rsidR="00FC552C" w:rsidRPr="001651DA">
        <w:t xml:space="preserve"> either the individual responses or</w:t>
      </w:r>
      <w:r w:rsidRPr="001651DA">
        <w:t xml:space="preserve"> the mean responses and the associated SDs (or SEMs) and sample sizes should be given for each dose level. </w:t>
      </w:r>
    </w:p>
    <w:p w14:paraId="4BF60041" w14:textId="77777777" w:rsidR="001F2992" w:rsidRPr="001651DA" w:rsidRDefault="001F2992" w:rsidP="001F2992">
      <w:pPr>
        <w:pStyle w:val="EFSATabletitle"/>
      </w:pPr>
      <w:r w:rsidRPr="001651DA">
        <w:t>Example of table for continuous dose-response data</w:t>
      </w:r>
    </w:p>
    <w:tbl>
      <w:tblPr>
        <w:tblW w:w="7528" w:type="dxa"/>
        <w:tblInd w:w="93" w:type="dxa"/>
        <w:tblLook w:val="0000" w:firstRow="0" w:lastRow="0" w:firstColumn="0" w:lastColumn="0" w:noHBand="0" w:noVBand="0"/>
      </w:tblPr>
      <w:tblGrid>
        <w:gridCol w:w="840"/>
        <w:gridCol w:w="2152"/>
        <w:gridCol w:w="1134"/>
        <w:gridCol w:w="992"/>
        <w:gridCol w:w="2410"/>
      </w:tblGrid>
      <w:tr w:rsidR="001F2992" w:rsidRPr="001651DA" w14:paraId="552CA61D" w14:textId="77777777" w:rsidTr="00B23CD8">
        <w:trPr>
          <w:trHeight w:val="255"/>
        </w:trPr>
        <w:tc>
          <w:tcPr>
            <w:tcW w:w="840" w:type="dxa"/>
            <w:tcBorders>
              <w:top w:val="single" w:sz="12" w:space="0" w:color="auto"/>
              <w:left w:val="nil"/>
              <w:bottom w:val="single" w:sz="12" w:space="0" w:color="auto"/>
              <w:right w:val="nil"/>
            </w:tcBorders>
            <w:shd w:val="clear" w:color="auto" w:fill="auto"/>
            <w:noWrap/>
            <w:vAlign w:val="center"/>
          </w:tcPr>
          <w:p w14:paraId="73A9AF14" w14:textId="77777777" w:rsidR="001F2992" w:rsidRPr="001651DA" w:rsidRDefault="001F2992" w:rsidP="001F2992">
            <w:pPr>
              <w:spacing w:after="0" w:line="320" w:lineRule="exact"/>
              <w:jc w:val="right"/>
              <w:rPr>
                <w:b/>
                <w:sz w:val="20"/>
              </w:rPr>
            </w:pPr>
            <w:r w:rsidRPr="001651DA">
              <w:rPr>
                <w:b/>
                <w:sz w:val="20"/>
              </w:rPr>
              <w:t>Dose</w:t>
            </w:r>
          </w:p>
        </w:tc>
        <w:tc>
          <w:tcPr>
            <w:tcW w:w="2152" w:type="dxa"/>
            <w:tcBorders>
              <w:top w:val="single" w:sz="12" w:space="0" w:color="auto"/>
              <w:left w:val="nil"/>
              <w:bottom w:val="single" w:sz="12" w:space="0" w:color="auto"/>
              <w:right w:val="nil"/>
            </w:tcBorders>
            <w:shd w:val="clear" w:color="auto" w:fill="auto"/>
            <w:noWrap/>
            <w:vAlign w:val="center"/>
          </w:tcPr>
          <w:p w14:paraId="2E635524" w14:textId="77777777" w:rsidR="001F2992" w:rsidRPr="001651DA" w:rsidRDefault="001F2992" w:rsidP="001F2992">
            <w:pPr>
              <w:spacing w:after="0" w:line="320" w:lineRule="exact"/>
              <w:jc w:val="right"/>
              <w:rPr>
                <w:b/>
                <w:sz w:val="20"/>
              </w:rPr>
            </w:pPr>
            <w:proofErr w:type="gramStart"/>
            <w:r w:rsidRPr="001651DA">
              <w:rPr>
                <w:b/>
                <w:sz w:val="20"/>
              </w:rPr>
              <w:t>Endpoint</w:t>
            </w:r>
            <w:proofErr w:type="gramEnd"/>
            <w:r w:rsidRPr="001651DA">
              <w:rPr>
                <w:b/>
                <w:sz w:val="20"/>
              </w:rPr>
              <w:t xml:space="preserve"> mean</w:t>
            </w:r>
          </w:p>
        </w:tc>
        <w:tc>
          <w:tcPr>
            <w:tcW w:w="1134" w:type="dxa"/>
            <w:tcBorders>
              <w:top w:val="single" w:sz="12" w:space="0" w:color="auto"/>
              <w:left w:val="nil"/>
              <w:bottom w:val="single" w:sz="12" w:space="0" w:color="auto"/>
              <w:right w:val="nil"/>
            </w:tcBorders>
            <w:shd w:val="clear" w:color="auto" w:fill="auto"/>
            <w:noWrap/>
            <w:vAlign w:val="center"/>
          </w:tcPr>
          <w:p w14:paraId="3B9C0176" w14:textId="77777777" w:rsidR="001F2992" w:rsidRPr="001651DA" w:rsidRDefault="001F2992" w:rsidP="001F2992">
            <w:pPr>
              <w:spacing w:after="0" w:line="320" w:lineRule="exact"/>
              <w:jc w:val="right"/>
              <w:rPr>
                <w:b/>
                <w:sz w:val="20"/>
              </w:rPr>
            </w:pPr>
            <w:r w:rsidRPr="001651DA">
              <w:rPr>
                <w:b/>
                <w:sz w:val="20"/>
              </w:rPr>
              <w:t>SD</w:t>
            </w:r>
          </w:p>
        </w:tc>
        <w:tc>
          <w:tcPr>
            <w:tcW w:w="992" w:type="dxa"/>
            <w:tcBorders>
              <w:top w:val="single" w:sz="12" w:space="0" w:color="auto"/>
              <w:left w:val="nil"/>
              <w:bottom w:val="single" w:sz="12" w:space="0" w:color="auto"/>
              <w:right w:val="nil"/>
            </w:tcBorders>
            <w:shd w:val="clear" w:color="auto" w:fill="auto"/>
            <w:noWrap/>
            <w:vAlign w:val="center"/>
          </w:tcPr>
          <w:p w14:paraId="13F9A875" w14:textId="77777777" w:rsidR="001F2992" w:rsidRPr="001651DA" w:rsidRDefault="001F2992" w:rsidP="001F2992">
            <w:pPr>
              <w:spacing w:after="0" w:line="320" w:lineRule="exact"/>
              <w:jc w:val="right"/>
              <w:rPr>
                <w:b/>
                <w:sz w:val="20"/>
              </w:rPr>
            </w:pPr>
            <w:r w:rsidRPr="001651DA">
              <w:rPr>
                <w:b/>
                <w:sz w:val="20"/>
              </w:rPr>
              <w:t>N</w:t>
            </w:r>
          </w:p>
        </w:tc>
        <w:tc>
          <w:tcPr>
            <w:tcW w:w="2410" w:type="dxa"/>
            <w:tcBorders>
              <w:top w:val="single" w:sz="12" w:space="0" w:color="auto"/>
              <w:left w:val="nil"/>
              <w:bottom w:val="single" w:sz="12" w:space="0" w:color="auto"/>
              <w:right w:val="nil"/>
            </w:tcBorders>
            <w:shd w:val="clear" w:color="auto" w:fill="auto"/>
            <w:vAlign w:val="center"/>
          </w:tcPr>
          <w:p w14:paraId="21CFE29E" w14:textId="77777777" w:rsidR="001F2992" w:rsidRPr="001651DA" w:rsidRDefault="001F2992" w:rsidP="001F2992">
            <w:pPr>
              <w:spacing w:after="0" w:line="320" w:lineRule="exact"/>
              <w:jc w:val="right"/>
              <w:rPr>
                <w:b/>
                <w:sz w:val="20"/>
              </w:rPr>
            </w:pPr>
            <w:r w:rsidRPr="001651DA">
              <w:rPr>
                <w:b/>
                <w:sz w:val="20"/>
              </w:rPr>
              <w:t>Covariates (gender)</w:t>
            </w:r>
          </w:p>
        </w:tc>
      </w:tr>
      <w:tr w:rsidR="001F2992" w:rsidRPr="001651DA" w14:paraId="239C44E4" w14:textId="77777777" w:rsidTr="00B23CD8">
        <w:trPr>
          <w:trHeight w:val="255"/>
        </w:trPr>
        <w:tc>
          <w:tcPr>
            <w:tcW w:w="840" w:type="dxa"/>
            <w:tcBorders>
              <w:top w:val="single" w:sz="12" w:space="0" w:color="auto"/>
              <w:left w:val="nil"/>
              <w:bottom w:val="nil"/>
              <w:right w:val="nil"/>
            </w:tcBorders>
            <w:shd w:val="clear" w:color="auto" w:fill="auto"/>
            <w:noWrap/>
            <w:vAlign w:val="bottom"/>
          </w:tcPr>
          <w:p w14:paraId="7B7EFE02" w14:textId="77777777" w:rsidR="001F2992" w:rsidRPr="001651DA" w:rsidRDefault="001F2992" w:rsidP="001F2992">
            <w:pPr>
              <w:spacing w:after="0" w:line="320" w:lineRule="exact"/>
              <w:jc w:val="right"/>
              <w:rPr>
                <w:sz w:val="20"/>
              </w:rPr>
            </w:pPr>
            <w:r w:rsidRPr="001651DA">
              <w:rPr>
                <w:sz w:val="20"/>
              </w:rPr>
              <w:t>0</w:t>
            </w:r>
          </w:p>
        </w:tc>
        <w:tc>
          <w:tcPr>
            <w:tcW w:w="2152" w:type="dxa"/>
            <w:tcBorders>
              <w:top w:val="single" w:sz="12" w:space="0" w:color="auto"/>
              <w:left w:val="nil"/>
              <w:bottom w:val="nil"/>
              <w:right w:val="nil"/>
            </w:tcBorders>
            <w:shd w:val="clear" w:color="auto" w:fill="auto"/>
            <w:noWrap/>
            <w:vAlign w:val="bottom"/>
          </w:tcPr>
          <w:p w14:paraId="7295171D" w14:textId="77777777" w:rsidR="001F2992" w:rsidRPr="001651DA" w:rsidRDefault="001F2992" w:rsidP="001F2992">
            <w:pPr>
              <w:spacing w:after="0" w:line="320" w:lineRule="exact"/>
              <w:jc w:val="right"/>
              <w:rPr>
                <w:sz w:val="20"/>
              </w:rPr>
            </w:pPr>
            <w:r w:rsidRPr="001651DA">
              <w:rPr>
                <w:sz w:val="20"/>
              </w:rPr>
              <w:t>43.85</w:t>
            </w:r>
          </w:p>
        </w:tc>
        <w:tc>
          <w:tcPr>
            <w:tcW w:w="1134" w:type="dxa"/>
            <w:tcBorders>
              <w:top w:val="single" w:sz="12" w:space="0" w:color="auto"/>
              <w:left w:val="nil"/>
              <w:bottom w:val="nil"/>
              <w:right w:val="nil"/>
            </w:tcBorders>
            <w:shd w:val="clear" w:color="auto" w:fill="auto"/>
            <w:noWrap/>
            <w:vAlign w:val="bottom"/>
          </w:tcPr>
          <w:p w14:paraId="5A2F0911" w14:textId="77777777" w:rsidR="001F2992" w:rsidRPr="001651DA" w:rsidRDefault="001F2992" w:rsidP="001F2992">
            <w:pPr>
              <w:spacing w:after="0" w:line="320" w:lineRule="exact"/>
              <w:jc w:val="right"/>
              <w:rPr>
                <w:sz w:val="20"/>
              </w:rPr>
            </w:pPr>
            <w:r w:rsidRPr="001651DA">
              <w:rPr>
                <w:sz w:val="20"/>
              </w:rPr>
              <w:t>2.69</w:t>
            </w:r>
          </w:p>
        </w:tc>
        <w:tc>
          <w:tcPr>
            <w:tcW w:w="992" w:type="dxa"/>
            <w:tcBorders>
              <w:top w:val="single" w:sz="12" w:space="0" w:color="auto"/>
              <w:left w:val="nil"/>
              <w:bottom w:val="nil"/>
              <w:right w:val="nil"/>
            </w:tcBorders>
            <w:shd w:val="clear" w:color="auto" w:fill="auto"/>
            <w:noWrap/>
            <w:vAlign w:val="bottom"/>
          </w:tcPr>
          <w:p w14:paraId="1F392030" w14:textId="77777777" w:rsidR="001F2992" w:rsidRPr="001651DA" w:rsidRDefault="001F2992" w:rsidP="001F2992">
            <w:pPr>
              <w:spacing w:after="0" w:line="320" w:lineRule="exact"/>
              <w:jc w:val="right"/>
              <w:rPr>
                <w:sz w:val="20"/>
              </w:rPr>
            </w:pPr>
            <w:r w:rsidRPr="001651DA">
              <w:rPr>
                <w:sz w:val="20"/>
              </w:rPr>
              <w:t>37</w:t>
            </w:r>
          </w:p>
        </w:tc>
        <w:tc>
          <w:tcPr>
            <w:tcW w:w="2410" w:type="dxa"/>
            <w:tcBorders>
              <w:top w:val="single" w:sz="12" w:space="0" w:color="auto"/>
              <w:left w:val="nil"/>
              <w:bottom w:val="nil"/>
              <w:right w:val="nil"/>
            </w:tcBorders>
          </w:tcPr>
          <w:p w14:paraId="1F0E4D68" w14:textId="77777777" w:rsidR="001F2992" w:rsidRPr="001651DA" w:rsidRDefault="001F2992" w:rsidP="001F2992">
            <w:pPr>
              <w:spacing w:after="0" w:line="320" w:lineRule="exact"/>
              <w:jc w:val="right"/>
              <w:rPr>
                <w:sz w:val="20"/>
              </w:rPr>
            </w:pPr>
            <w:r w:rsidRPr="001651DA">
              <w:rPr>
                <w:sz w:val="20"/>
              </w:rPr>
              <w:t>M</w:t>
            </w:r>
          </w:p>
        </w:tc>
      </w:tr>
      <w:tr w:rsidR="001F2992" w:rsidRPr="001651DA" w14:paraId="5D54B066" w14:textId="77777777" w:rsidTr="00B23CD8">
        <w:trPr>
          <w:trHeight w:val="255"/>
        </w:trPr>
        <w:tc>
          <w:tcPr>
            <w:tcW w:w="840" w:type="dxa"/>
            <w:tcBorders>
              <w:top w:val="nil"/>
              <w:left w:val="nil"/>
              <w:bottom w:val="nil"/>
              <w:right w:val="nil"/>
            </w:tcBorders>
            <w:shd w:val="clear" w:color="auto" w:fill="auto"/>
            <w:noWrap/>
            <w:vAlign w:val="bottom"/>
          </w:tcPr>
          <w:p w14:paraId="719526B8" w14:textId="77777777" w:rsidR="001F2992" w:rsidRPr="001651DA" w:rsidRDefault="001F2992" w:rsidP="001F2992">
            <w:pPr>
              <w:spacing w:after="0" w:line="320" w:lineRule="exact"/>
              <w:jc w:val="right"/>
              <w:rPr>
                <w:sz w:val="20"/>
              </w:rPr>
            </w:pPr>
            <w:r w:rsidRPr="001651DA">
              <w:rPr>
                <w:sz w:val="20"/>
              </w:rPr>
              <w:t>0.1</w:t>
            </w:r>
          </w:p>
        </w:tc>
        <w:tc>
          <w:tcPr>
            <w:tcW w:w="2152" w:type="dxa"/>
            <w:tcBorders>
              <w:top w:val="nil"/>
              <w:left w:val="nil"/>
              <w:bottom w:val="nil"/>
              <w:right w:val="nil"/>
            </w:tcBorders>
            <w:shd w:val="clear" w:color="auto" w:fill="auto"/>
            <w:noWrap/>
            <w:vAlign w:val="bottom"/>
          </w:tcPr>
          <w:p w14:paraId="09FDF2CC" w14:textId="77777777" w:rsidR="001F2992" w:rsidRPr="001651DA" w:rsidRDefault="001F2992" w:rsidP="001F2992">
            <w:pPr>
              <w:spacing w:after="0" w:line="320" w:lineRule="exact"/>
              <w:jc w:val="right"/>
              <w:rPr>
                <w:sz w:val="20"/>
              </w:rPr>
            </w:pPr>
            <w:r w:rsidRPr="001651DA">
              <w:rPr>
                <w:sz w:val="20"/>
              </w:rPr>
              <w:t>43.51</w:t>
            </w:r>
          </w:p>
        </w:tc>
        <w:tc>
          <w:tcPr>
            <w:tcW w:w="1134" w:type="dxa"/>
            <w:tcBorders>
              <w:top w:val="nil"/>
              <w:left w:val="nil"/>
              <w:bottom w:val="nil"/>
              <w:right w:val="nil"/>
            </w:tcBorders>
            <w:shd w:val="clear" w:color="auto" w:fill="auto"/>
            <w:noWrap/>
            <w:vAlign w:val="bottom"/>
          </w:tcPr>
          <w:p w14:paraId="145698D1" w14:textId="77777777" w:rsidR="001F2992" w:rsidRPr="001651DA" w:rsidRDefault="001F2992" w:rsidP="001F2992">
            <w:pPr>
              <w:spacing w:after="0" w:line="320" w:lineRule="exact"/>
              <w:jc w:val="right"/>
              <w:rPr>
                <w:sz w:val="20"/>
              </w:rPr>
            </w:pPr>
            <w:r w:rsidRPr="001651DA">
              <w:rPr>
                <w:sz w:val="20"/>
              </w:rPr>
              <w:t>2.86</w:t>
            </w:r>
          </w:p>
        </w:tc>
        <w:tc>
          <w:tcPr>
            <w:tcW w:w="992" w:type="dxa"/>
            <w:tcBorders>
              <w:top w:val="nil"/>
              <w:left w:val="nil"/>
              <w:bottom w:val="nil"/>
              <w:right w:val="nil"/>
            </w:tcBorders>
            <w:shd w:val="clear" w:color="auto" w:fill="auto"/>
            <w:noWrap/>
            <w:vAlign w:val="bottom"/>
          </w:tcPr>
          <w:p w14:paraId="491C6846" w14:textId="77777777" w:rsidR="001F2992" w:rsidRPr="001651DA" w:rsidRDefault="001F2992" w:rsidP="001F2992">
            <w:pPr>
              <w:spacing w:after="0" w:line="320" w:lineRule="exact"/>
              <w:jc w:val="right"/>
              <w:rPr>
                <w:sz w:val="20"/>
              </w:rPr>
            </w:pPr>
            <w:r w:rsidRPr="001651DA">
              <w:rPr>
                <w:sz w:val="20"/>
              </w:rPr>
              <w:t>35</w:t>
            </w:r>
          </w:p>
        </w:tc>
        <w:tc>
          <w:tcPr>
            <w:tcW w:w="2410" w:type="dxa"/>
            <w:tcBorders>
              <w:top w:val="nil"/>
              <w:left w:val="nil"/>
              <w:bottom w:val="nil"/>
              <w:right w:val="nil"/>
            </w:tcBorders>
          </w:tcPr>
          <w:p w14:paraId="556F2A3E" w14:textId="77777777" w:rsidR="001F2992" w:rsidRPr="001651DA" w:rsidRDefault="001F2992" w:rsidP="001F2992">
            <w:pPr>
              <w:spacing w:after="0" w:line="320" w:lineRule="exact"/>
              <w:jc w:val="right"/>
              <w:rPr>
                <w:sz w:val="20"/>
              </w:rPr>
            </w:pPr>
            <w:r w:rsidRPr="001651DA">
              <w:rPr>
                <w:sz w:val="20"/>
              </w:rPr>
              <w:t>M</w:t>
            </w:r>
          </w:p>
        </w:tc>
      </w:tr>
      <w:tr w:rsidR="001F2992" w:rsidRPr="001651DA" w14:paraId="23103883" w14:textId="77777777" w:rsidTr="00B23CD8">
        <w:trPr>
          <w:trHeight w:val="255"/>
        </w:trPr>
        <w:tc>
          <w:tcPr>
            <w:tcW w:w="840" w:type="dxa"/>
            <w:tcBorders>
              <w:top w:val="nil"/>
              <w:left w:val="nil"/>
              <w:right w:val="nil"/>
            </w:tcBorders>
            <w:shd w:val="clear" w:color="auto" w:fill="auto"/>
            <w:noWrap/>
            <w:vAlign w:val="bottom"/>
          </w:tcPr>
          <w:p w14:paraId="4D74DB76" w14:textId="77777777" w:rsidR="001F2992" w:rsidRPr="001651DA" w:rsidRDefault="001F2992" w:rsidP="001F2992">
            <w:pPr>
              <w:spacing w:after="0" w:line="320" w:lineRule="exact"/>
              <w:jc w:val="right"/>
              <w:rPr>
                <w:sz w:val="20"/>
              </w:rPr>
            </w:pPr>
            <w:r w:rsidRPr="001651DA">
              <w:rPr>
                <w:sz w:val="20"/>
              </w:rPr>
              <w:t>0.5</w:t>
            </w:r>
          </w:p>
        </w:tc>
        <w:tc>
          <w:tcPr>
            <w:tcW w:w="2152" w:type="dxa"/>
            <w:tcBorders>
              <w:top w:val="nil"/>
              <w:left w:val="nil"/>
              <w:right w:val="nil"/>
            </w:tcBorders>
            <w:shd w:val="clear" w:color="auto" w:fill="auto"/>
            <w:noWrap/>
            <w:vAlign w:val="bottom"/>
          </w:tcPr>
          <w:p w14:paraId="1BE5E5BC" w14:textId="77777777" w:rsidR="001F2992" w:rsidRPr="001651DA" w:rsidRDefault="001F2992" w:rsidP="001F2992">
            <w:pPr>
              <w:spacing w:after="0" w:line="320" w:lineRule="exact"/>
              <w:jc w:val="right"/>
              <w:rPr>
                <w:sz w:val="20"/>
              </w:rPr>
            </w:pPr>
            <w:r w:rsidRPr="001651DA">
              <w:rPr>
                <w:sz w:val="20"/>
              </w:rPr>
              <w:t>40.04</w:t>
            </w:r>
          </w:p>
        </w:tc>
        <w:tc>
          <w:tcPr>
            <w:tcW w:w="1134" w:type="dxa"/>
            <w:tcBorders>
              <w:top w:val="nil"/>
              <w:left w:val="nil"/>
              <w:right w:val="nil"/>
            </w:tcBorders>
            <w:shd w:val="clear" w:color="auto" w:fill="auto"/>
            <w:noWrap/>
            <w:vAlign w:val="bottom"/>
          </w:tcPr>
          <w:p w14:paraId="1B9B584E" w14:textId="77777777" w:rsidR="001F2992" w:rsidRPr="001651DA" w:rsidRDefault="001F2992" w:rsidP="001F2992">
            <w:pPr>
              <w:spacing w:after="0" w:line="320" w:lineRule="exact"/>
              <w:jc w:val="right"/>
              <w:rPr>
                <w:sz w:val="20"/>
              </w:rPr>
            </w:pPr>
            <w:r w:rsidRPr="001651DA">
              <w:rPr>
                <w:sz w:val="20"/>
              </w:rPr>
              <w:t>3.00</w:t>
            </w:r>
          </w:p>
        </w:tc>
        <w:tc>
          <w:tcPr>
            <w:tcW w:w="992" w:type="dxa"/>
            <w:tcBorders>
              <w:top w:val="nil"/>
              <w:left w:val="nil"/>
              <w:right w:val="nil"/>
            </w:tcBorders>
            <w:shd w:val="clear" w:color="auto" w:fill="auto"/>
            <w:noWrap/>
            <w:vAlign w:val="bottom"/>
          </w:tcPr>
          <w:p w14:paraId="00C804A8" w14:textId="77777777" w:rsidR="001F2992" w:rsidRPr="001651DA" w:rsidRDefault="001F2992" w:rsidP="001F2992">
            <w:pPr>
              <w:spacing w:after="0" w:line="320" w:lineRule="exact"/>
              <w:jc w:val="right"/>
              <w:rPr>
                <w:sz w:val="20"/>
              </w:rPr>
            </w:pPr>
            <w:r w:rsidRPr="001651DA">
              <w:rPr>
                <w:sz w:val="20"/>
              </w:rPr>
              <w:t>43</w:t>
            </w:r>
          </w:p>
        </w:tc>
        <w:tc>
          <w:tcPr>
            <w:tcW w:w="2410" w:type="dxa"/>
            <w:tcBorders>
              <w:top w:val="nil"/>
              <w:left w:val="nil"/>
              <w:right w:val="nil"/>
            </w:tcBorders>
          </w:tcPr>
          <w:p w14:paraId="0E261B8E" w14:textId="77777777" w:rsidR="001F2992" w:rsidRPr="001651DA" w:rsidRDefault="001F2992" w:rsidP="001F2992">
            <w:pPr>
              <w:spacing w:after="0" w:line="320" w:lineRule="exact"/>
              <w:jc w:val="right"/>
              <w:rPr>
                <w:sz w:val="20"/>
              </w:rPr>
            </w:pPr>
            <w:r w:rsidRPr="001651DA">
              <w:rPr>
                <w:sz w:val="20"/>
              </w:rPr>
              <w:t>M</w:t>
            </w:r>
          </w:p>
        </w:tc>
      </w:tr>
      <w:tr w:rsidR="001F2992" w:rsidRPr="001651DA" w14:paraId="7FCAF52A" w14:textId="77777777" w:rsidTr="00B23CD8">
        <w:trPr>
          <w:trHeight w:val="255"/>
        </w:trPr>
        <w:tc>
          <w:tcPr>
            <w:tcW w:w="840" w:type="dxa"/>
            <w:tcBorders>
              <w:top w:val="nil"/>
              <w:left w:val="nil"/>
              <w:bottom w:val="single" w:sz="12" w:space="0" w:color="auto"/>
              <w:right w:val="nil"/>
            </w:tcBorders>
            <w:shd w:val="clear" w:color="auto" w:fill="auto"/>
            <w:noWrap/>
            <w:vAlign w:val="bottom"/>
          </w:tcPr>
          <w:p w14:paraId="40475724" w14:textId="77777777" w:rsidR="001F2992" w:rsidRPr="001651DA" w:rsidRDefault="001F2992" w:rsidP="001F2992">
            <w:pPr>
              <w:spacing w:after="0" w:line="320" w:lineRule="exact"/>
              <w:jc w:val="right"/>
              <w:rPr>
                <w:sz w:val="20"/>
              </w:rPr>
            </w:pPr>
            <w:r w:rsidRPr="001651DA">
              <w:rPr>
                <w:sz w:val="20"/>
              </w:rPr>
              <w:t>1.1</w:t>
            </w:r>
          </w:p>
        </w:tc>
        <w:tc>
          <w:tcPr>
            <w:tcW w:w="2152" w:type="dxa"/>
            <w:tcBorders>
              <w:top w:val="nil"/>
              <w:left w:val="nil"/>
              <w:bottom w:val="single" w:sz="12" w:space="0" w:color="auto"/>
              <w:right w:val="nil"/>
            </w:tcBorders>
            <w:shd w:val="clear" w:color="auto" w:fill="auto"/>
            <w:noWrap/>
            <w:vAlign w:val="bottom"/>
          </w:tcPr>
          <w:p w14:paraId="4A2D4A5A" w14:textId="77777777" w:rsidR="001F2992" w:rsidRPr="001651DA" w:rsidRDefault="001F2992" w:rsidP="001F2992">
            <w:pPr>
              <w:spacing w:after="0" w:line="320" w:lineRule="exact"/>
              <w:jc w:val="right"/>
              <w:rPr>
                <w:sz w:val="20"/>
              </w:rPr>
            </w:pPr>
            <w:r w:rsidRPr="001651DA">
              <w:rPr>
                <w:sz w:val="20"/>
              </w:rPr>
              <w:t>35.09</w:t>
            </w:r>
          </w:p>
        </w:tc>
        <w:tc>
          <w:tcPr>
            <w:tcW w:w="1134" w:type="dxa"/>
            <w:tcBorders>
              <w:top w:val="nil"/>
              <w:left w:val="nil"/>
              <w:bottom w:val="single" w:sz="12" w:space="0" w:color="auto"/>
              <w:right w:val="nil"/>
            </w:tcBorders>
            <w:shd w:val="clear" w:color="auto" w:fill="auto"/>
            <w:noWrap/>
            <w:vAlign w:val="bottom"/>
          </w:tcPr>
          <w:p w14:paraId="1FB02BD8" w14:textId="77777777" w:rsidR="001F2992" w:rsidRPr="001651DA" w:rsidRDefault="001F2992" w:rsidP="001F2992">
            <w:pPr>
              <w:spacing w:after="0" w:line="320" w:lineRule="exact"/>
              <w:jc w:val="right"/>
              <w:rPr>
                <w:sz w:val="20"/>
              </w:rPr>
            </w:pPr>
            <w:r w:rsidRPr="001651DA">
              <w:rPr>
                <w:sz w:val="20"/>
              </w:rPr>
              <w:t>2.56</w:t>
            </w:r>
          </w:p>
        </w:tc>
        <w:tc>
          <w:tcPr>
            <w:tcW w:w="992" w:type="dxa"/>
            <w:tcBorders>
              <w:top w:val="nil"/>
              <w:left w:val="nil"/>
              <w:bottom w:val="single" w:sz="12" w:space="0" w:color="auto"/>
              <w:right w:val="nil"/>
            </w:tcBorders>
            <w:shd w:val="clear" w:color="auto" w:fill="auto"/>
            <w:noWrap/>
            <w:vAlign w:val="bottom"/>
          </w:tcPr>
          <w:p w14:paraId="541B0740" w14:textId="77777777" w:rsidR="001F2992" w:rsidRPr="001651DA" w:rsidRDefault="001F2992" w:rsidP="001F2992">
            <w:pPr>
              <w:spacing w:after="0" w:line="320" w:lineRule="exact"/>
              <w:jc w:val="right"/>
              <w:rPr>
                <w:sz w:val="20"/>
              </w:rPr>
            </w:pPr>
            <w:r w:rsidRPr="001651DA">
              <w:rPr>
                <w:sz w:val="20"/>
              </w:rPr>
              <w:t>42</w:t>
            </w:r>
          </w:p>
        </w:tc>
        <w:tc>
          <w:tcPr>
            <w:tcW w:w="2410" w:type="dxa"/>
            <w:tcBorders>
              <w:top w:val="nil"/>
              <w:left w:val="nil"/>
              <w:bottom w:val="single" w:sz="12" w:space="0" w:color="auto"/>
              <w:right w:val="nil"/>
            </w:tcBorders>
          </w:tcPr>
          <w:p w14:paraId="6FA8D4AF" w14:textId="77777777" w:rsidR="001F2992" w:rsidRPr="001651DA" w:rsidRDefault="001F2992" w:rsidP="001F2992">
            <w:pPr>
              <w:spacing w:after="0" w:line="320" w:lineRule="exact"/>
              <w:jc w:val="right"/>
              <w:rPr>
                <w:sz w:val="20"/>
              </w:rPr>
            </w:pPr>
            <w:r w:rsidRPr="001651DA">
              <w:rPr>
                <w:sz w:val="20"/>
              </w:rPr>
              <w:t>M</w:t>
            </w:r>
          </w:p>
        </w:tc>
      </w:tr>
      <w:tr w:rsidR="00FC552C" w:rsidRPr="001651DA" w14:paraId="1387DC85" w14:textId="77777777" w:rsidTr="00FC552C">
        <w:trPr>
          <w:trHeight w:val="255"/>
        </w:trPr>
        <w:tc>
          <w:tcPr>
            <w:tcW w:w="840" w:type="dxa"/>
            <w:tcBorders>
              <w:top w:val="nil"/>
              <w:left w:val="nil"/>
              <w:right w:val="nil"/>
            </w:tcBorders>
            <w:shd w:val="clear" w:color="auto" w:fill="auto"/>
            <w:noWrap/>
            <w:vAlign w:val="bottom"/>
          </w:tcPr>
          <w:p w14:paraId="33113584" w14:textId="77777777" w:rsidR="00FC552C" w:rsidRPr="001651DA" w:rsidRDefault="00FC552C" w:rsidP="00123AFB">
            <w:pPr>
              <w:spacing w:after="0" w:line="320" w:lineRule="exact"/>
              <w:jc w:val="right"/>
              <w:rPr>
                <w:sz w:val="20"/>
              </w:rPr>
            </w:pPr>
            <w:r w:rsidRPr="001651DA">
              <w:rPr>
                <w:sz w:val="20"/>
              </w:rPr>
              <w:t>0</w:t>
            </w:r>
          </w:p>
        </w:tc>
        <w:tc>
          <w:tcPr>
            <w:tcW w:w="2152" w:type="dxa"/>
            <w:tcBorders>
              <w:top w:val="nil"/>
              <w:left w:val="nil"/>
              <w:right w:val="nil"/>
            </w:tcBorders>
            <w:shd w:val="clear" w:color="auto" w:fill="auto"/>
            <w:noWrap/>
            <w:vAlign w:val="bottom"/>
          </w:tcPr>
          <w:p w14:paraId="1120C2BE" w14:textId="77777777" w:rsidR="00FC552C" w:rsidRPr="001651DA" w:rsidRDefault="00FC552C" w:rsidP="00123AFB">
            <w:pPr>
              <w:spacing w:after="0" w:line="320" w:lineRule="exact"/>
              <w:jc w:val="right"/>
              <w:rPr>
                <w:sz w:val="20"/>
              </w:rPr>
            </w:pPr>
            <w:r w:rsidRPr="001651DA">
              <w:rPr>
                <w:sz w:val="20"/>
              </w:rPr>
              <w:t>41.54</w:t>
            </w:r>
          </w:p>
        </w:tc>
        <w:tc>
          <w:tcPr>
            <w:tcW w:w="1134" w:type="dxa"/>
            <w:tcBorders>
              <w:top w:val="nil"/>
              <w:left w:val="nil"/>
              <w:right w:val="nil"/>
            </w:tcBorders>
            <w:shd w:val="clear" w:color="auto" w:fill="auto"/>
            <w:noWrap/>
            <w:vAlign w:val="bottom"/>
          </w:tcPr>
          <w:p w14:paraId="50D523A7" w14:textId="77777777" w:rsidR="00FC552C" w:rsidRPr="001651DA" w:rsidRDefault="00FC552C" w:rsidP="00123AFB">
            <w:pPr>
              <w:spacing w:after="0" w:line="320" w:lineRule="exact"/>
              <w:jc w:val="right"/>
              <w:rPr>
                <w:sz w:val="20"/>
              </w:rPr>
            </w:pPr>
            <w:r w:rsidRPr="001651DA">
              <w:rPr>
                <w:sz w:val="20"/>
              </w:rPr>
              <w:t>6.26</w:t>
            </w:r>
          </w:p>
        </w:tc>
        <w:tc>
          <w:tcPr>
            <w:tcW w:w="992" w:type="dxa"/>
            <w:tcBorders>
              <w:top w:val="nil"/>
              <w:left w:val="nil"/>
              <w:right w:val="nil"/>
            </w:tcBorders>
            <w:shd w:val="clear" w:color="auto" w:fill="auto"/>
            <w:noWrap/>
            <w:vAlign w:val="bottom"/>
          </w:tcPr>
          <w:p w14:paraId="5AFB958C" w14:textId="77777777" w:rsidR="00FC552C" w:rsidRPr="001651DA" w:rsidRDefault="00FC552C" w:rsidP="00FC552C">
            <w:pPr>
              <w:spacing w:after="0" w:line="320" w:lineRule="exact"/>
              <w:jc w:val="right"/>
              <w:rPr>
                <w:sz w:val="20"/>
              </w:rPr>
            </w:pPr>
            <w:r w:rsidRPr="001651DA">
              <w:rPr>
                <w:sz w:val="20"/>
              </w:rPr>
              <w:t>36</w:t>
            </w:r>
          </w:p>
        </w:tc>
        <w:tc>
          <w:tcPr>
            <w:tcW w:w="2410" w:type="dxa"/>
            <w:tcBorders>
              <w:top w:val="nil"/>
              <w:left w:val="nil"/>
              <w:right w:val="nil"/>
            </w:tcBorders>
          </w:tcPr>
          <w:p w14:paraId="632692EA" w14:textId="77777777" w:rsidR="00FC552C" w:rsidRPr="001651DA" w:rsidRDefault="00FC552C" w:rsidP="00123AFB">
            <w:pPr>
              <w:spacing w:after="0" w:line="320" w:lineRule="exact"/>
              <w:jc w:val="right"/>
              <w:rPr>
                <w:sz w:val="20"/>
              </w:rPr>
            </w:pPr>
            <w:r w:rsidRPr="001651DA">
              <w:rPr>
                <w:sz w:val="20"/>
              </w:rPr>
              <w:t>F</w:t>
            </w:r>
          </w:p>
        </w:tc>
      </w:tr>
      <w:tr w:rsidR="00FC552C" w:rsidRPr="001651DA" w14:paraId="52F935A9" w14:textId="77777777" w:rsidTr="00FC552C">
        <w:trPr>
          <w:trHeight w:val="255"/>
        </w:trPr>
        <w:tc>
          <w:tcPr>
            <w:tcW w:w="840" w:type="dxa"/>
            <w:tcBorders>
              <w:left w:val="nil"/>
              <w:right w:val="nil"/>
            </w:tcBorders>
            <w:shd w:val="clear" w:color="auto" w:fill="auto"/>
            <w:noWrap/>
            <w:vAlign w:val="bottom"/>
          </w:tcPr>
          <w:p w14:paraId="213353E6" w14:textId="77777777" w:rsidR="00FC552C" w:rsidRPr="001651DA" w:rsidRDefault="00FC552C" w:rsidP="00123AFB">
            <w:pPr>
              <w:spacing w:after="0" w:line="320" w:lineRule="exact"/>
              <w:jc w:val="right"/>
              <w:rPr>
                <w:sz w:val="20"/>
              </w:rPr>
            </w:pPr>
            <w:r w:rsidRPr="001651DA">
              <w:rPr>
                <w:sz w:val="20"/>
              </w:rPr>
              <w:t>0.1</w:t>
            </w:r>
          </w:p>
        </w:tc>
        <w:tc>
          <w:tcPr>
            <w:tcW w:w="2152" w:type="dxa"/>
            <w:tcBorders>
              <w:left w:val="nil"/>
              <w:right w:val="nil"/>
            </w:tcBorders>
            <w:shd w:val="clear" w:color="auto" w:fill="auto"/>
            <w:noWrap/>
            <w:vAlign w:val="bottom"/>
          </w:tcPr>
          <w:p w14:paraId="730ACBAA" w14:textId="77777777" w:rsidR="00FC552C" w:rsidRPr="001651DA" w:rsidRDefault="00FC552C" w:rsidP="00123AFB">
            <w:pPr>
              <w:spacing w:after="0" w:line="320" w:lineRule="exact"/>
              <w:jc w:val="right"/>
              <w:rPr>
                <w:sz w:val="20"/>
              </w:rPr>
            </w:pPr>
            <w:r w:rsidRPr="001651DA">
              <w:rPr>
                <w:sz w:val="20"/>
              </w:rPr>
              <w:t>38.71</w:t>
            </w:r>
          </w:p>
        </w:tc>
        <w:tc>
          <w:tcPr>
            <w:tcW w:w="1134" w:type="dxa"/>
            <w:tcBorders>
              <w:left w:val="nil"/>
              <w:right w:val="nil"/>
            </w:tcBorders>
            <w:shd w:val="clear" w:color="auto" w:fill="auto"/>
            <w:noWrap/>
            <w:vAlign w:val="bottom"/>
          </w:tcPr>
          <w:p w14:paraId="6E9C6AE7" w14:textId="77777777" w:rsidR="00FC552C" w:rsidRPr="001651DA" w:rsidRDefault="00FC552C" w:rsidP="00123AFB">
            <w:pPr>
              <w:spacing w:after="0" w:line="320" w:lineRule="exact"/>
              <w:jc w:val="right"/>
              <w:rPr>
                <w:sz w:val="20"/>
              </w:rPr>
            </w:pPr>
            <w:r w:rsidRPr="001651DA">
              <w:rPr>
                <w:sz w:val="20"/>
              </w:rPr>
              <w:t>4.73</w:t>
            </w:r>
          </w:p>
        </w:tc>
        <w:tc>
          <w:tcPr>
            <w:tcW w:w="992" w:type="dxa"/>
            <w:tcBorders>
              <w:left w:val="nil"/>
              <w:right w:val="nil"/>
            </w:tcBorders>
            <w:shd w:val="clear" w:color="auto" w:fill="auto"/>
            <w:noWrap/>
            <w:vAlign w:val="bottom"/>
          </w:tcPr>
          <w:p w14:paraId="4E5993A2" w14:textId="77777777" w:rsidR="00FC552C" w:rsidRPr="001651DA" w:rsidRDefault="00FC552C" w:rsidP="00123AFB">
            <w:pPr>
              <w:spacing w:after="0" w:line="320" w:lineRule="exact"/>
              <w:jc w:val="right"/>
              <w:rPr>
                <w:sz w:val="20"/>
              </w:rPr>
            </w:pPr>
            <w:r w:rsidRPr="001651DA">
              <w:rPr>
                <w:sz w:val="20"/>
              </w:rPr>
              <w:t>42</w:t>
            </w:r>
          </w:p>
        </w:tc>
        <w:tc>
          <w:tcPr>
            <w:tcW w:w="2410" w:type="dxa"/>
            <w:tcBorders>
              <w:left w:val="nil"/>
              <w:right w:val="nil"/>
            </w:tcBorders>
          </w:tcPr>
          <w:p w14:paraId="6BEC0FE4" w14:textId="77777777" w:rsidR="00FC552C" w:rsidRPr="001651DA" w:rsidRDefault="00FC552C" w:rsidP="00123AFB">
            <w:pPr>
              <w:spacing w:after="0" w:line="320" w:lineRule="exact"/>
              <w:jc w:val="right"/>
              <w:rPr>
                <w:sz w:val="20"/>
              </w:rPr>
            </w:pPr>
            <w:r w:rsidRPr="001651DA">
              <w:rPr>
                <w:sz w:val="20"/>
              </w:rPr>
              <w:t>F</w:t>
            </w:r>
          </w:p>
        </w:tc>
      </w:tr>
      <w:tr w:rsidR="00FC552C" w:rsidRPr="001651DA" w14:paraId="2AE99990" w14:textId="77777777" w:rsidTr="00FC552C">
        <w:trPr>
          <w:trHeight w:val="255"/>
        </w:trPr>
        <w:tc>
          <w:tcPr>
            <w:tcW w:w="840" w:type="dxa"/>
            <w:tcBorders>
              <w:left w:val="nil"/>
              <w:right w:val="nil"/>
            </w:tcBorders>
            <w:shd w:val="clear" w:color="auto" w:fill="auto"/>
            <w:noWrap/>
            <w:vAlign w:val="bottom"/>
          </w:tcPr>
          <w:p w14:paraId="4FB21839" w14:textId="77777777" w:rsidR="00FC552C" w:rsidRPr="001651DA" w:rsidRDefault="00FC552C" w:rsidP="00123AFB">
            <w:pPr>
              <w:spacing w:after="0" w:line="320" w:lineRule="exact"/>
              <w:jc w:val="right"/>
              <w:rPr>
                <w:sz w:val="20"/>
              </w:rPr>
            </w:pPr>
            <w:r w:rsidRPr="001651DA">
              <w:rPr>
                <w:sz w:val="20"/>
              </w:rPr>
              <w:t>0.5</w:t>
            </w:r>
          </w:p>
        </w:tc>
        <w:tc>
          <w:tcPr>
            <w:tcW w:w="2152" w:type="dxa"/>
            <w:tcBorders>
              <w:left w:val="nil"/>
              <w:right w:val="nil"/>
            </w:tcBorders>
            <w:shd w:val="clear" w:color="auto" w:fill="auto"/>
            <w:noWrap/>
            <w:vAlign w:val="bottom"/>
          </w:tcPr>
          <w:p w14:paraId="21619C0D" w14:textId="77777777" w:rsidR="00FC552C" w:rsidRPr="001651DA" w:rsidRDefault="00FC552C" w:rsidP="00123AFB">
            <w:pPr>
              <w:spacing w:after="0" w:line="320" w:lineRule="exact"/>
              <w:jc w:val="right"/>
              <w:rPr>
                <w:sz w:val="20"/>
              </w:rPr>
            </w:pPr>
            <w:r w:rsidRPr="001651DA">
              <w:rPr>
                <w:sz w:val="20"/>
              </w:rPr>
              <w:t>33.76</w:t>
            </w:r>
          </w:p>
        </w:tc>
        <w:tc>
          <w:tcPr>
            <w:tcW w:w="1134" w:type="dxa"/>
            <w:tcBorders>
              <w:left w:val="nil"/>
              <w:right w:val="nil"/>
            </w:tcBorders>
            <w:shd w:val="clear" w:color="auto" w:fill="auto"/>
            <w:noWrap/>
            <w:vAlign w:val="bottom"/>
          </w:tcPr>
          <w:p w14:paraId="60C054FA" w14:textId="77777777" w:rsidR="00FC552C" w:rsidRPr="001651DA" w:rsidRDefault="00FC552C" w:rsidP="00123AFB">
            <w:pPr>
              <w:spacing w:after="0" w:line="320" w:lineRule="exact"/>
              <w:jc w:val="right"/>
              <w:rPr>
                <w:sz w:val="20"/>
              </w:rPr>
            </w:pPr>
            <w:r w:rsidRPr="001651DA">
              <w:rPr>
                <w:sz w:val="20"/>
              </w:rPr>
              <w:t>3.92</w:t>
            </w:r>
          </w:p>
        </w:tc>
        <w:tc>
          <w:tcPr>
            <w:tcW w:w="992" w:type="dxa"/>
            <w:tcBorders>
              <w:left w:val="nil"/>
              <w:right w:val="nil"/>
            </w:tcBorders>
            <w:shd w:val="clear" w:color="auto" w:fill="auto"/>
            <w:noWrap/>
            <w:vAlign w:val="bottom"/>
          </w:tcPr>
          <w:p w14:paraId="375A20F1" w14:textId="77777777" w:rsidR="00FC552C" w:rsidRPr="001651DA" w:rsidRDefault="00FC552C" w:rsidP="00123AFB">
            <w:pPr>
              <w:spacing w:after="0" w:line="320" w:lineRule="exact"/>
              <w:jc w:val="right"/>
              <w:rPr>
                <w:sz w:val="20"/>
              </w:rPr>
            </w:pPr>
            <w:r w:rsidRPr="001651DA">
              <w:rPr>
                <w:sz w:val="20"/>
              </w:rPr>
              <w:t>37</w:t>
            </w:r>
          </w:p>
        </w:tc>
        <w:tc>
          <w:tcPr>
            <w:tcW w:w="2410" w:type="dxa"/>
            <w:tcBorders>
              <w:left w:val="nil"/>
              <w:right w:val="nil"/>
            </w:tcBorders>
          </w:tcPr>
          <w:p w14:paraId="5ED6266F" w14:textId="77777777" w:rsidR="00FC552C" w:rsidRPr="001651DA" w:rsidRDefault="00FC552C" w:rsidP="00123AFB">
            <w:pPr>
              <w:spacing w:after="0" w:line="320" w:lineRule="exact"/>
              <w:jc w:val="right"/>
              <w:rPr>
                <w:sz w:val="20"/>
              </w:rPr>
            </w:pPr>
            <w:r w:rsidRPr="001651DA">
              <w:rPr>
                <w:sz w:val="20"/>
              </w:rPr>
              <w:t>F</w:t>
            </w:r>
          </w:p>
        </w:tc>
      </w:tr>
      <w:tr w:rsidR="00FC552C" w:rsidRPr="001651DA" w14:paraId="04A3C980" w14:textId="77777777" w:rsidTr="00FC552C">
        <w:trPr>
          <w:trHeight w:val="255"/>
        </w:trPr>
        <w:tc>
          <w:tcPr>
            <w:tcW w:w="840" w:type="dxa"/>
            <w:tcBorders>
              <w:left w:val="nil"/>
              <w:bottom w:val="single" w:sz="12" w:space="0" w:color="auto"/>
              <w:right w:val="nil"/>
            </w:tcBorders>
            <w:shd w:val="clear" w:color="auto" w:fill="auto"/>
            <w:noWrap/>
            <w:vAlign w:val="bottom"/>
          </w:tcPr>
          <w:p w14:paraId="0A7565C2" w14:textId="77777777" w:rsidR="00FC552C" w:rsidRPr="001651DA" w:rsidRDefault="00FC552C" w:rsidP="00123AFB">
            <w:pPr>
              <w:spacing w:after="0" w:line="320" w:lineRule="exact"/>
              <w:jc w:val="right"/>
              <w:rPr>
                <w:sz w:val="20"/>
              </w:rPr>
            </w:pPr>
            <w:r w:rsidRPr="001651DA">
              <w:rPr>
                <w:sz w:val="20"/>
              </w:rPr>
              <w:t>1.1</w:t>
            </w:r>
          </w:p>
        </w:tc>
        <w:tc>
          <w:tcPr>
            <w:tcW w:w="2152" w:type="dxa"/>
            <w:tcBorders>
              <w:left w:val="nil"/>
              <w:bottom w:val="single" w:sz="12" w:space="0" w:color="auto"/>
              <w:right w:val="nil"/>
            </w:tcBorders>
            <w:shd w:val="clear" w:color="auto" w:fill="auto"/>
            <w:noWrap/>
            <w:vAlign w:val="bottom"/>
          </w:tcPr>
          <w:p w14:paraId="0C7D0F5E" w14:textId="77777777" w:rsidR="00FC552C" w:rsidRPr="001651DA" w:rsidRDefault="00FC552C" w:rsidP="00123AFB">
            <w:pPr>
              <w:spacing w:after="0" w:line="320" w:lineRule="exact"/>
              <w:jc w:val="right"/>
              <w:rPr>
                <w:sz w:val="20"/>
              </w:rPr>
            </w:pPr>
            <w:r w:rsidRPr="001651DA">
              <w:rPr>
                <w:sz w:val="20"/>
              </w:rPr>
              <w:t>28.55</w:t>
            </w:r>
          </w:p>
        </w:tc>
        <w:tc>
          <w:tcPr>
            <w:tcW w:w="1134" w:type="dxa"/>
            <w:tcBorders>
              <w:left w:val="nil"/>
              <w:bottom w:val="single" w:sz="12" w:space="0" w:color="auto"/>
              <w:right w:val="nil"/>
            </w:tcBorders>
            <w:shd w:val="clear" w:color="auto" w:fill="auto"/>
            <w:noWrap/>
            <w:vAlign w:val="bottom"/>
          </w:tcPr>
          <w:p w14:paraId="3CA49CCB" w14:textId="77777777" w:rsidR="00FC552C" w:rsidRPr="001651DA" w:rsidRDefault="00FC552C" w:rsidP="00123AFB">
            <w:pPr>
              <w:spacing w:after="0" w:line="320" w:lineRule="exact"/>
              <w:jc w:val="right"/>
              <w:rPr>
                <w:sz w:val="20"/>
              </w:rPr>
            </w:pPr>
            <w:r w:rsidRPr="001651DA">
              <w:rPr>
                <w:sz w:val="20"/>
              </w:rPr>
              <w:t>2.08</w:t>
            </w:r>
          </w:p>
        </w:tc>
        <w:tc>
          <w:tcPr>
            <w:tcW w:w="992" w:type="dxa"/>
            <w:tcBorders>
              <w:left w:val="nil"/>
              <w:bottom w:val="single" w:sz="12" w:space="0" w:color="auto"/>
              <w:right w:val="nil"/>
            </w:tcBorders>
            <w:shd w:val="clear" w:color="auto" w:fill="auto"/>
            <w:noWrap/>
            <w:vAlign w:val="bottom"/>
          </w:tcPr>
          <w:p w14:paraId="0CD124DB" w14:textId="77777777" w:rsidR="00FC552C" w:rsidRPr="001651DA" w:rsidRDefault="00FC552C" w:rsidP="00FC552C">
            <w:pPr>
              <w:spacing w:after="0" w:line="320" w:lineRule="exact"/>
              <w:jc w:val="right"/>
              <w:rPr>
                <w:sz w:val="20"/>
              </w:rPr>
            </w:pPr>
            <w:r w:rsidRPr="001651DA">
              <w:rPr>
                <w:sz w:val="20"/>
              </w:rPr>
              <w:t>38</w:t>
            </w:r>
          </w:p>
        </w:tc>
        <w:tc>
          <w:tcPr>
            <w:tcW w:w="2410" w:type="dxa"/>
            <w:tcBorders>
              <w:left w:val="nil"/>
              <w:bottom w:val="single" w:sz="12" w:space="0" w:color="auto"/>
              <w:right w:val="nil"/>
            </w:tcBorders>
          </w:tcPr>
          <w:p w14:paraId="23371C2B" w14:textId="77777777" w:rsidR="00FC552C" w:rsidRPr="001651DA" w:rsidRDefault="00FC552C" w:rsidP="00123AFB">
            <w:pPr>
              <w:spacing w:after="0" w:line="320" w:lineRule="exact"/>
              <w:jc w:val="right"/>
              <w:rPr>
                <w:sz w:val="20"/>
              </w:rPr>
            </w:pPr>
            <w:r w:rsidRPr="001651DA">
              <w:rPr>
                <w:sz w:val="20"/>
              </w:rPr>
              <w:t>F</w:t>
            </w:r>
          </w:p>
        </w:tc>
      </w:tr>
    </w:tbl>
    <w:p w14:paraId="2AC57CB0" w14:textId="77777777" w:rsidR="00B43532" w:rsidRPr="001651DA" w:rsidRDefault="00B43532" w:rsidP="001F2992">
      <w:pPr>
        <w:pStyle w:val="EFSABodytext"/>
      </w:pPr>
    </w:p>
    <w:p w14:paraId="5E56894F" w14:textId="77777777" w:rsidR="0040421A" w:rsidRPr="001651DA" w:rsidRDefault="001F2992" w:rsidP="000663C0">
      <w:pPr>
        <w:pStyle w:val="EFSABodytext"/>
      </w:pPr>
      <w:r w:rsidRPr="001651DA">
        <w:t>In case that several control groups are reported in the publication or provided by the applicant, they should all be presented in the table.</w:t>
      </w:r>
      <w:r w:rsidR="00545B00" w:rsidRPr="001651DA">
        <w:t xml:space="preserve"> How these will be handled in the analysis needs a case-by-case consideration.</w:t>
      </w:r>
    </w:p>
    <w:p w14:paraId="7A7F120B" w14:textId="77777777" w:rsidR="001F2992" w:rsidRPr="001651DA" w:rsidRDefault="001F2992" w:rsidP="001F2992">
      <w:pPr>
        <w:pStyle w:val="EFSATabletitle"/>
      </w:pPr>
      <w:r w:rsidRPr="001651DA">
        <w:t>Example of table for quantal dose-response data</w:t>
      </w:r>
    </w:p>
    <w:tbl>
      <w:tblPr>
        <w:tblW w:w="6961" w:type="dxa"/>
        <w:tblInd w:w="93" w:type="dxa"/>
        <w:tblLook w:val="0000" w:firstRow="0" w:lastRow="0" w:firstColumn="0" w:lastColumn="0" w:noHBand="0" w:noVBand="0"/>
      </w:tblPr>
      <w:tblGrid>
        <w:gridCol w:w="840"/>
        <w:gridCol w:w="2294"/>
        <w:gridCol w:w="1417"/>
        <w:gridCol w:w="2410"/>
      </w:tblGrid>
      <w:tr w:rsidR="001F2992" w:rsidRPr="001651DA" w14:paraId="1A2C4E74" w14:textId="77777777" w:rsidTr="00B23CD8">
        <w:trPr>
          <w:trHeight w:val="255"/>
        </w:trPr>
        <w:tc>
          <w:tcPr>
            <w:tcW w:w="840" w:type="dxa"/>
            <w:tcBorders>
              <w:top w:val="single" w:sz="12" w:space="0" w:color="auto"/>
              <w:left w:val="nil"/>
              <w:bottom w:val="single" w:sz="12" w:space="0" w:color="auto"/>
              <w:right w:val="nil"/>
            </w:tcBorders>
            <w:shd w:val="clear" w:color="auto" w:fill="auto"/>
            <w:noWrap/>
            <w:vAlign w:val="center"/>
          </w:tcPr>
          <w:p w14:paraId="191D9F04" w14:textId="77777777" w:rsidR="001F2992" w:rsidRPr="001651DA" w:rsidRDefault="001F2992" w:rsidP="001F2992">
            <w:pPr>
              <w:spacing w:after="0" w:line="320" w:lineRule="exact"/>
              <w:jc w:val="right"/>
              <w:rPr>
                <w:b/>
                <w:sz w:val="20"/>
              </w:rPr>
            </w:pPr>
            <w:r w:rsidRPr="001651DA">
              <w:rPr>
                <w:b/>
                <w:sz w:val="20"/>
              </w:rPr>
              <w:t>Dose</w:t>
            </w:r>
          </w:p>
        </w:tc>
        <w:tc>
          <w:tcPr>
            <w:tcW w:w="2294" w:type="dxa"/>
            <w:tcBorders>
              <w:top w:val="single" w:sz="12" w:space="0" w:color="auto"/>
              <w:left w:val="nil"/>
              <w:bottom w:val="single" w:sz="12" w:space="0" w:color="auto"/>
              <w:right w:val="nil"/>
            </w:tcBorders>
            <w:shd w:val="clear" w:color="auto" w:fill="auto"/>
            <w:noWrap/>
            <w:vAlign w:val="center"/>
          </w:tcPr>
          <w:p w14:paraId="63272CA2" w14:textId="77777777" w:rsidR="001F2992" w:rsidRPr="001651DA" w:rsidRDefault="001F2992" w:rsidP="001F2992">
            <w:pPr>
              <w:spacing w:after="0" w:line="320" w:lineRule="exact"/>
              <w:jc w:val="right"/>
              <w:rPr>
                <w:b/>
                <w:sz w:val="20"/>
              </w:rPr>
            </w:pPr>
            <w:r w:rsidRPr="001651DA">
              <w:rPr>
                <w:b/>
                <w:sz w:val="20"/>
              </w:rPr>
              <w:t>Number of animals with event of interest</w:t>
            </w:r>
          </w:p>
        </w:tc>
        <w:tc>
          <w:tcPr>
            <w:tcW w:w="1417" w:type="dxa"/>
            <w:tcBorders>
              <w:top w:val="single" w:sz="12" w:space="0" w:color="auto"/>
              <w:left w:val="nil"/>
              <w:bottom w:val="single" w:sz="12" w:space="0" w:color="auto"/>
              <w:right w:val="nil"/>
            </w:tcBorders>
            <w:shd w:val="clear" w:color="auto" w:fill="auto"/>
            <w:noWrap/>
            <w:vAlign w:val="center"/>
          </w:tcPr>
          <w:p w14:paraId="0957B6BD" w14:textId="77777777" w:rsidR="001F2992" w:rsidRPr="001651DA" w:rsidRDefault="001F2992" w:rsidP="001F2992">
            <w:pPr>
              <w:spacing w:after="0" w:line="320" w:lineRule="exact"/>
              <w:jc w:val="right"/>
              <w:rPr>
                <w:b/>
                <w:sz w:val="20"/>
              </w:rPr>
            </w:pPr>
            <w:r w:rsidRPr="001651DA">
              <w:rPr>
                <w:b/>
                <w:sz w:val="20"/>
              </w:rPr>
              <w:t>N</w:t>
            </w:r>
          </w:p>
        </w:tc>
        <w:tc>
          <w:tcPr>
            <w:tcW w:w="2410" w:type="dxa"/>
            <w:tcBorders>
              <w:top w:val="single" w:sz="12" w:space="0" w:color="auto"/>
              <w:left w:val="nil"/>
              <w:bottom w:val="single" w:sz="12" w:space="0" w:color="auto"/>
              <w:right w:val="nil"/>
            </w:tcBorders>
            <w:shd w:val="clear" w:color="auto" w:fill="auto"/>
            <w:vAlign w:val="center"/>
          </w:tcPr>
          <w:p w14:paraId="18B9440A" w14:textId="77777777" w:rsidR="001F2992" w:rsidRPr="001651DA" w:rsidRDefault="001F2992" w:rsidP="001F2992">
            <w:pPr>
              <w:spacing w:after="0" w:line="320" w:lineRule="exact"/>
              <w:jc w:val="right"/>
              <w:rPr>
                <w:b/>
                <w:sz w:val="20"/>
              </w:rPr>
            </w:pPr>
            <w:r w:rsidRPr="001651DA">
              <w:rPr>
                <w:b/>
                <w:sz w:val="20"/>
              </w:rPr>
              <w:t>Covariates (gender)</w:t>
            </w:r>
          </w:p>
        </w:tc>
      </w:tr>
      <w:tr w:rsidR="00FC552C" w:rsidRPr="001651DA" w14:paraId="70954D0F" w14:textId="77777777" w:rsidTr="00123AFB">
        <w:trPr>
          <w:trHeight w:val="255"/>
        </w:trPr>
        <w:tc>
          <w:tcPr>
            <w:tcW w:w="840" w:type="dxa"/>
            <w:tcBorders>
              <w:top w:val="single" w:sz="12" w:space="0" w:color="auto"/>
              <w:left w:val="nil"/>
              <w:bottom w:val="nil"/>
              <w:right w:val="nil"/>
            </w:tcBorders>
            <w:shd w:val="clear" w:color="auto" w:fill="auto"/>
            <w:noWrap/>
            <w:vAlign w:val="bottom"/>
          </w:tcPr>
          <w:p w14:paraId="5531F93F" w14:textId="77777777" w:rsidR="00FC552C" w:rsidRPr="001651DA" w:rsidRDefault="00FC552C" w:rsidP="00123AFB">
            <w:pPr>
              <w:spacing w:after="0" w:line="320" w:lineRule="exact"/>
              <w:jc w:val="right"/>
              <w:rPr>
                <w:sz w:val="20"/>
              </w:rPr>
            </w:pPr>
            <w:r w:rsidRPr="001651DA">
              <w:rPr>
                <w:sz w:val="20"/>
              </w:rPr>
              <w:t>0</w:t>
            </w:r>
          </w:p>
        </w:tc>
        <w:tc>
          <w:tcPr>
            <w:tcW w:w="2294" w:type="dxa"/>
            <w:tcBorders>
              <w:top w:val="single" w:sz="12" w:space="0" w:color="auto"/>
              <w:left w:val="nil"/>
              <w:bottom w:val="nil"/>
              <w:right w:val="nil"/>
            </w:tcBorders>
            <w:shd w:val="clear" w:color="auto" w:fill="auto"/>
            <w:noWrap/>
            <w:vAlign w:val="bottom"/>
          </w:tcPr>
          <w:p w14:paraId="2CC21B90" w14:textId="77777777" w:rsidR="00FC552C" w:rsidRPr="001651DA" w:rsidRDefault="00FC552C" w:rsidP="00123AFB">
            <w:pPr>
              <w:spacing w:after="0" w:line="320" w:lineRule="exact"/>
              <w:jc w:val="right"/>
              <w:rPr>
                <w:sz w:val="20"/>
              </w:rPr>
            </w:pPr>
            <w:r w:rsidRPr="001651DA">
              <w:rPr>
                <w:sz w:val="20"/>
              </w:rPr>
              <w:t>2</w:t>
            </w:r>
          </w:p>
        </w:tc>
        <w:tc>
          <w:tcPr>
            <w:tcW w:w="1417" w:type="dxa"/>
            <w:tcBorders>
              <w:top w:val="single" w:sz="12" w:space="0" w:color="auto"/>
              <w:left w:val="nil"/>
              <w:bottom w:val="nil"/>
              <w:right w:val="nil"/>
            </w:tcBorders>
            <w:shd w:val="clear" w:color="auto" w:fill="auto"/>
            <w:noWrap/>
            <w:vAlign w:val="bottom"/>
          </w:tcPr>
          <w:p w14:paraId="3AED0E94" w14:textId="77777777" w:rsidR="00FC552C" w:rsidRPr="001651DA" w:rsidRDefault="00FC552C" w:rsidP="00123AFB">
            <w:pPr>
              <w:spacing w:after="0" w:line="320" w:lineRule="exact"/>
              <w:jc w:val="right"/>
              <w:rPr>
                <w:sz w:val="20"/>
              </w:rPr>
            </w:pPr>
            <w:r w:rsidRPr="001651DA">
              <w:rPr>
                <w:sz w:val="20"/>
              </w:rPr>
              <w:t>50</w:t>
            </w:r>
          </w:p>
        </w:tc>
        <w:tc>
          <w:tcPr>
            <w:tcW w:w="2410" w:type="dxa"/>
            <w:tcBorders>
              <w:top w:val="single" w:sz="12" w:space="0" w:color="auto"/>
              <w:left w:val="nil"/>
              <w:bottom w:val="nil"/>
              <w:right w:val="nil"/>
            </w:tcBorders>
          </w:tcPr>
          <w:p w14:paraId="755F1112" w14:textId="77777777" w:rsidR="00FC552C" w:rsidRPr="001651DA" w:rsidRDefault="00FC552C" w:rsidP="00123AFB">
            <w:pPr>
              <w:spacing w:after="0" w:line="320" w:lineRule="exact"/>
              <w:jc w:val="right"/>
              <w:rPr>
                <w:sz w:val="20"/>
              </w:rPr>
            </w:pPr>
            <w:r w:rsidRPr="001651DA">
              <w:rPr>
                <w:sz w:val="20"/>
              </w:rPr>
              <w:t>M</w:t>
            </w:r>
          </w:p>
        </w:tc>
      </w:tr>
      <w:tr w:rsidR="00FC552C" w:rsidRPr="001651DA" w14:paraId="3B85E03E" w14:textId="77777777" w:rsidTr="00123AFB">
        <w:trPr>
          <w:trHeight w:val="255"/>
        </w:trPr>
        <w:tc>
          <w:tcPr>
            <w:tcW w:w="840" w:type="dxa"/>
            <w:tcBorders>
              <w:top w:val="nil"/>
              <w:left w:val="nil"/>
              <w:bottom w:val="nil"/>
              <w:right w:val="nil"/>
            </w:tcBorders>
            <w:shd w:val="clear" w:color="auto" w:fill="auto"/>
            <w:noWrap/>
            <w:vAlign w:val="bottom"/>
          </w:tcPr>
          <w:p w14:paraId="51B6E75B" w14:textId="77777777" w:rsidR="00FC552C" w:rsidRPr="001651DA" w:rsidRDefault="00FC552C" w:rsidP="00123AFB">
            <w:pPr>
              <w:spacing w:after="0" w:line="320" w:lineRule="exact"/>
              <w:jc w:val="right"/>
              <w:rPr>
                <w:sz w:val="20"/>
              </w:rPr>
            </w:pPr>
            <w:r w:rsidRPr="001651DA">
              <w:rPr>
                <w:sz w:val="20"/>
              </w:rPr>
              <w:t>3</w:t>
            </w:r>
          </w:p>
        </w:tc>
        <w:tc>
          <w:tcPr>
            <w:tcW w:w="2294" w:type="dxa"/>
            <w:tcBorders>
              <w:top w:val="nil"/>
              <w:left w:val="nil"/>
              <w:bottom w:val="nil"/>
              <w:right w:val="nil"/>
            </w:tcBorders>
            <w:shd w:val="clear" w:color="auto" w:fill="auto"/>
            <w:noWrap/>
            <w:vAlign w:val="bottom"/>
          </w:tcPr>
          <w:p w14:paraId="5055DCC4" w14:textId="77777777" w:rsidR="00FC552C" w:rsidRPr="001651DA" w:rsidRDefault="00FC552C" w:rsidP="00123AFB">
            <w:pPr>
              <w:spacing w:after="0" w:line="320" w:lineRule="exact"/>
              <w:jc w:val="right"/>
              <w:rPr>
                <w:sz w:val="20"/>
              </w:rPr>
            </w:pPr>
            <w:r w:rsidRPr="001651DA">
              <w:rPr>
                <w:sz w:val="20"/>
              </w:rPr>
              <w:t>4</w:t>
            </w:r>
          </w:p>
        </w:tc>
        <w:tc>
          <w:tcPr>
            <w:tcW w:w="1417" w:type="dxa"/>
            <w:tcBorders>
              <w:top w:val="nil"/>
              <w:left w:val="nil"/>
              <w:bottom w:val="nil"/>
              <w:right w:val="nil"/>
            </w:tcBorders>
            <w:shd w:val="clear" w:color="auto" w:fill="auto"/>
            <w:noWrap/>
            <w:vAlign w:val="bottom"/>
          </w:tcPr>
          <w:p w14:paraId="5E431150" w14:textId="77777777" w:rsidR="00FC552C" w:rsidRPr="001651DA" w:rsidRDefault="00FC552C" w:rsidP="00123AFB">
            <w:pPr>
              <w:spacing w:after="0" w:line="320" w:lineRule="exact"/>
              <w:jc w:val="right"/>
              <w:rPr>
                <w:sz w:val="20"/>
              </w:rPr>
            </w:pPr>
            <w:r w:rsidRPr="001651DA">
              <w:rPr>
                <w:sz w:val="20"/>
              </w:rPr>
              <w:t>50</w:t>
            </w:r>
          </w:p>
        </w:tc>
        <w:tc>
          <w:tcPr>
            <w:tcW w:w="2410" w:type="dxa"/>
            <w:tcBorders>
              <w:top w:val="nil"/>
              <w:left w:val="nil"/>
              <w:bottom w:val="nil"/>
              <w:right w:val="nil"/>
            </w:tcBorders>
          </w:tcPr>
          <w:p w14:paraId="383E7029" w14:textId="77777777" w:rsidR="00FC552C" w:rsidRPr="001651DA" w:rsidRDefault="00FC552C" w:rsidP="00123AFB">
            <w:pPr>
              <w:spacing w:after="0" w:line="320" w:lineRule="exact"/>
              <w:jc w:val="right"/>
              <w:rPr>
                <w:sz w:val="20"/>
              </w:rPr>
            </w:pPr>
            <w:r w:rsidRPr="001651DA">
              <w:rPr>
                <w:sz w:val="20"/>
              </w:rPr>
              <w:t>M</w:t>
            </w:r>
          </w:p>
        </w:tc>
      </w:tr>
      <w:tr w:rsidR="00FC552C" w:rsidRPr="001651DA" w14:paraId="49C7BBDA" w14:textId="77777777" w:rsidTr="00123AFB">
        <w:trPr>
          <w:trHeight w:val="255"/>
        </w:trPr>
        <w:tc>
          <w:tcPr>
            <w:tcW w:w="840" w:type="dxa"/>
            <w:tcBorders>
              <w:top w:val="nil"/>
              <w:left w:val="nil"/>
              <w:right w:val="nil"/>
            </w:tcBorders>
            <w:shd w:val="clear" w:color="auto" w:fill="auto"/>
            <w:noWrap/>
            <w:vAlign w:val="bottom"/>
          </w:tcPr>
          <w:p w14:paraId="48DF98D7" w14:textId="77777777" w:rsidR="00FC552C" w:rsidRPr="001651DA" w:rsidRDefault="00FC552C" w:rsidP="00123AFB">
            <w:pPr>
              <w:spacing w:after="0" w:line="320" w:lineRule="exact"/>
              <w:jc w:val="right"/>
              <w:rPr>
                <w:sz w:val="20"/>
              </w:rPr>
            </w:pPr>
            <w:r w:rsidRPr="001651DA">
              <w:rPr>
                <w:sz w:val="20"/>
              </w:rPr>
              <w:t>12</w:t>
            </w:r>
          </w:p>
        </w:tc>
        <w:tc>
          <w:tcPr>
            <w:tcW w:w="2294" w:type="dxa"/>
            <w:tcBorders>
              <w:top w:val="nil"/>
              <w:left w:val="nil"/>
              <w:right w:val="nil"/>
            </w:tcBorders>
            <w:shd w:val="clear" w:color="auto" w:fill="auto"/>
            <w:noWrap/>
            <w:vAlign w:val="bottom"/>
          </w:tcPr>
          <w:p w14:paraId="434292C4" w14:textId="77777777" w:rsidR="00FC552C" w:rsidRPr="001651DA" w:rsidRDefault="00FC552C" w:rsidP="00123AFB">
            <w:pPr>
              <w:spacing w:after="0" w:line="320" w:lineRule="exact"/>
              <w:jc w:val="right"/>
              <w:rPr>
                <w:sz w:val="20"/>
              </w:rPr>
            </w:pPr>
            <w:r w:rsidRPr="001651DA">
              <w:rPr>
                <w:sz w:val="20"/>
              </w:rPr>
              <w:t>32</w:t>
            </w:r>
          </w:p>
        </w:tc>
        <w:tc>
          <w:tcPr>
            <w:tcW w:w="1417" w:type="dxa"/>
            <w:tcBorders>
              <w:top w:val="nil"/>
              <w:left w:val="nil"/>
              <w:right w:val="nil"/>
            </w:tcBorders>
            <w:shd w:val="clear" w:color="auto" w:fill="auto"/>
            <w:noWrap/>
            <w:vAlign w:val="bottom"/>
          </w:tcPr>
          <w:p w14:paraId="54368C02" w14:textId="77777777" w:rsidR="00FC552C" w:rsidRPr="001651DA" w:rsidRDefault="00FC552C" w:rsidP="00123AFB">
            <w:pPr>
              <w:spacing w:after="0" w:line="320" w:lineRule="exact"/>
              <w:jc w:val="right"/>
              <w:rPr>
                <w:sz w:val="20"/>
              </w:rPr>
            </w:pPr>
            <w:r w:rsidRPr="001651DA">
              <w:rPr>
                <w:sz w:val="20"/>
              </w:rPr>
              <w:t>49</w:t>
            </w:r>
          </w:p>
        </w:tc>
        <w:tc>
          <w:tcPr>
            <w:tcW w:w="2410" w:type="dxa"/>
            <w:tcBorders>
              <w:top w:val="nil"/>
              <w:left w:val="nil"/>
              <w:right w:val="nil"/>
            </w:tcBorders>
          </w:tcPr>
          <w:p w14:paraId="64558372" w14:textId="77777777" w:rsidR="00FC552C" w:rsidRPr="001651DA" w:rsidRDefault="00FC552C" w:rsidP="00123AFB">
            <w:pPr>
              <w:spacing w:after="0" w:line="320" w:lineRule="exact"/>
              <w:jc w:val="right"/>
              <w:rPr>
                <w:sz w:val="20"/>
              </w:rPr>
            </w:pPr>
            <w:r w:rsidRPr="001651DA">
              <w:rPr>
                <w:sz w:val="20"/>
              </w:rPr>
              <w:t>M</w:t>
            </w:r>
          </w:p>
        </w:tc>
      </w:tr>
      <w:tr w:rsidR="00FC552C" w:rsidRPr="001651DA" w14:paraId="1084EA78" w14:textId="77777777" w:rsidTr="00123AFB">
        <w:trPr>
          <w:trHeight w:val="255"/>
        </w:trPr>
        <w:tc>
          <w:tcPr>
            <w:tcW w:w="840" w:type="dxa"/>
            <w:tcBorders>
              <w:top w:val="nil"/>
              <w:left w:val="nil"/>
              <w:bottom w:val="single" w:sz="12" w:space="0" w:color="auto"/>
              <w:right w:val="nil"/>
            </w:tcBorders>
            <w:shd w:val="clear" w:color="auto" w:fill="auto"/>
            <w:noWrap/>
            <w:vAlign w:val="bottom"/>
          </w:tcPr>
          <w:p w14:paraId="18E8C380" w14:textId="77777777" w:rsidR="00FC552C" w:rsidRPr="001651DA" w:rsidRDefault="00FC552C" w:rsidP="00123AFB">
            <w:pPr>
              <w:spacing w:after="0" w:line="320" w:lineRule="exact"/>
              <w:jc w:val="right"/>
              <w:rPr>
                <w:sz w:val="20"/>
              </w:rPr>
            </w:pPr>
            <w:r w:rsidRPr="001651DA">
              <w:rPr>
                <w:sz w:val="20"/>
              </w:rPr>
              <w:t>30</w:t>
            </w:r>
          </w:p>
        </w:tc>
        <w:tc>
          <w:tcPr>
            <w:tcW w:w="2294" w:type="dxa"/>
            <w:tcBorders>
              <w:top w:val="nil"/>
              <w:left w:val="nil"/>
              <w:bottom w:val="single" w:sz="12" w:space="0" w:color="auto"/>
              <w:right w:val="nil"/>
            </w:tcBorders>
            <w:shd w:val="clear" w:color="auto" w:fill="auto"/>
            <w:noWrap/>
            <w:vAlign w:val="bottom"/>
          </w:tcPr>
          <w:p w14:paraId="43FBD11F" w14:textId="77777777" w:rsidR="00FC552C" w:rsidRPr="001651DA" w:rsidRDefault="00FC552C" w:rsidP="00123AFB">
            <w:pPr>
              <w:spacing w:after="0" w:line="320" w:lineRule="exact"/>
              <w:jc w:val="right"/>
              <w:rPr>
                <w:sz w:val="20"/>
              </w:rPr>
            </w:pPr>
            <w:r w:rsidRPr="001651DA">
              <w:rPr>
                <w:sz w:val="20"/>
              </w:rPr>
              <w:t>45</w:t>
            </w:r>
          </w:p>
        </w:tc>
        <w:tc>
          <w:tcPr>
            <w:tcW w:w="1417" w:type="dxa"/>
            <w:tcBorders>
              <w:top w:val="nil"/>
              <w:left w:val="nil"/>
              <w:bottom w:val="single" w:sz="12" w:space="0" w:color="auto"/>
              <w:right w:val="nil"/>
            </w:tcBorders>
            <w:shd w:val="clear" w:color="auto" w:fill="auto"/>
            <w:noWrap/>
            <w:vAlign w:val="bottom"/>
          </w:tcPr>
          <w:p w14:paraId="1AB6555B" w14:textId="77777777" w:rsidR="00FC552C" w:rsidRPr="001651DA" w:rsidRDefault="00FC552C" w:rsidP="00123AFB">
            <w:pPr>
              <w:spacing w:after="0" w:line="320" w:lineRule="exact"/>
              <w:jc w:val="right"/>
              <w:rPr>
                <w:sz w:val="20"/>
              </w:rPr>
            </w:pPr>
            <w:r w:rsidRPr="001651DA">
              <w:rPr>
                <w:sz w:val="20"/>
              </w:rPr>
              <w:t>50</w:t>
            </w:r>
          </w:p>
        </w:tc>
        <w:tc>
          <w:tcPr>
            <w:tcW w:w="2410" w:type="dxa"/>
            <w:tcBorders>
              <w:top w:val="nil"/>
              <w:left w:val="nil"/>
              <w:bottom w:val="single" w:sz="12" w:space="0" w:color="auto"/>
              <w:right w:val="nil"/>
            </w:tcBorders>
          </w:tcPr>
          <w:p w14:paraId="1C7B615D" w14:textId="77777777" w:rsidR="00FC552C" w:rsidRPr="001651DA" w:rsidRDefault="00FC552C" w:rsidP="00123AFB">
            <w:pPr>
              <w:spacing w:after="0" w:line="320" w:lineRule="exact"/>
              <w:jc w:val="right"/>
              <w:rPr>
                <w:sz w:val="20"/>
              </w:rPr>
            </w:pPr>
            <w:r w:rsidRPr="001651DA">
              <w:rPr>
                <w:sz w:val="20"/>
              </w:rPr>
              <w:t>M</w:t>
            </w:r>
          </w:p>
        </w:tc>
      </w:tr>
      <w:tr w:rsidR="001F2992" w:rsidRPr="001651DA" w14:paraId="65ABF865" w14:textId="77777777" w:rsidTr="00B23CD8">
        <w:trPr>
          <w:trHeight w:val="255"/>
        </w:trPr>
        <w:tc>
          <w:tcPr>
            <w:tcW w:w="840" w:type="dxa"/>
            <w:tcBorders>
              <w:top w:val="single" w:sz="12" w:space="0" w:color="auto"/>
              <w:left w:val="nil"/>
              <w:right w:val="nil"/>
            </w:tcBorders>
            <w:shd w:val="clear" w:color="auto" w:fill="auto"/>
            <w:noWrap/>
            <w:vAlign w:val="bottom"/>
          </w:tcPr>
          <w:p w14:paraId="0213FF8E" w14:textId="77777777" w:rsidR="001F2992" w:rsidRPr="001651DA" w:rsidRDefault="001F2992" w:rsidP="001F2992">
            <w:pPr>
              <w:spacing w:after="0" w:line="320" w:lineRule="exact"/>
              <w:jc w:val="right"/>
              <w:rPr>
                <w:sz w:val="20"/>
              </w:rPr>
            </w:pPr>
            <w:r w:rsidRPr="001651DA">
              <w:rPr>
                <w:sz w:val="20"/>
              </w:rPr>
              <w:t>0</w:t>
            </w:r>
          </w:p>
        </w:tc>
        <w:tc>
          <w:tcPr>
            <w:tcW w:w="2294" w:type="dxa"/>
            <w:tcBorders>
              <w:top w:val="single" w:sz="12" w:space="0" w:color="auto"/>
              <w:left w:val="nil"/>
              <w:right w:val="nil"/>
            </w:tcBorders>
            <w:shd w:val="clear" w:color="auto" w:fill="auto"/>
            <w:noWrap/>
            <w:vAlign w:val="bottom"/>
          </w:tcPr>
          <w:p w14:paraId="1946A7AE" w14:textId="77777777" w:rsidR="001F2992" w:rsidRPr="001651DA" w:rsidRDefault="001F2992" w:rsidP="001F2992">
            <w:pPr>
              <w:spacing w:after="0" w:line="320" w:lineRule="exact"/>
              <w:jc w:val="right"/>
              <w:rPr>
                <w:sz w:val="20"/>
              </w:rPr>
            </w:pPr>
            <w:r w:rsidRPr="001651DA">
              <w:rPr>
                <w:sz w:val="20"/>
              </w:rPr>
              <w:t>6</w:t>
            </w:r>
          </w:p>
        </w:tc>
        <w:tc>
          <w:tcPr>
            <w:tcW w:w="1417" w:type="dxa"/>
            <w:tcBorders>
              <w:top w:val="single" w:sz="12" w:space="0" w:color="auto"/>
              <w:left w:val="nil"/>
              <w:right w:val="nil"/>
            </w:tcBorders>
            <w:shd w:val="clear" w:color="auto" w:fill="auto"/>
            <w:noWrap/>
            <w:vAlign w:val="bottom"/>
          </w:tcPr>
          <w:p w14:paraId="42A8E4E1" w14:textId="77777777" w:rsidR="001F2992" w:rsidRPr="001651DA" w:rsidRDefault="001F2992" w:rsidP="001F2992">
            <w:pPr>
              <w:spacing w:after="0" w:line="320" w:lineRule="exact"/>
              <w:jc w:val="right"/>
              <w:rPr>
                <w:sz w:val="20"/>
              </w:rPr>
            </w:pPr>
            <w:r w:rsidRPr="001651DA">
              <w:rPr>
                <w:sz w:val="20"/>
              </w:rPr>
              <w:t>50</w:t>
            </w:r>
          </w:p>
        </w:tc>
        <w:tc>
          <w:tcPr>
            <w:tcW w:w="2410" w:type="dxa"/>
            <w:tcBorders>
              <w:top w:val="single" w:sz="12" w:space="0" w:color="auto"/>
              <w:left w:val="nil"/>
              <w:right w:val="nil"/>
            </w:tcBorders>
          </w:tcPr>
          <w:p w14:paraId="4E861224" w14:textId="77777777" w:rsidR="001F2992" w:rsidRPr="001651DA" w:rsidRDefault="001F2992" w:rsidP="001F2992">
            <w:pPr>
              <w:spacing w:after="0" w:line="320" w:lineRule="exact"/>
              <w:jc w:val="right"/>
              <w:rPr>
                <w:sz w:val="20"/>
              </w:rPr>
            </w:pPr>
            <w:r w:rsidRPr="001651DA">
              <w:rPr>
                <w:sz w:val="20"/>
              </w:rPr>
              <w:t>F</w:t>
            </w:r>
          </w:p>
        </w:tc>
      </w:tr>
      <w:tr w:rsidR="001F2992" w:rsidRPr="001651DA" w14:paraId="7519A74E" w14:textId="77777777" w:rsidTr="00B23CD8">
        <w:trPr>
          <w:trHeight w:val="255"/>
        </w:trPr>
        <w:tc>
          <w:tcPr>
            <w:tcW w:w="840" w:type="dxa"/>
            <w:tcBorders>
              <w:top w:val="nil"/>
              <w:left w:val="nil"/>
              <w:right w:val="nil"/>
            </w:tcBorders>
            <w:shd w:val="clear" w:color="auto" w:fill="auto"/>
            <w:noWrap/>
            <w:vAlign w:val="bottom"/>
          </w:tcPr>
          <w:p w14:paraId="16517A15" w14:textId="77777777" w:rsidR="001F2992" w:rsidRPr="001651DA" w:rsidRDefault="001F2992" w:rsidP="001F2992">
            <w:pPr>
              <w:spacing w:after="0" w:line="320" w:lineRule="exact"/>
              <w:jc w:val="right"/>
              <w:rPr>
                <w:sz w:val="20"/>
              </w:rPr>
            </w:pPr>
            <w:r w:rsidRPr="001651DA">
              <w:rPr>
                <w:sz w:val="20"/>
              </w:rPr>
              <w:t>3</w:t>
            </w:r>
          </w:p>
        </w:tc>
        <w:tc>
          <w:tcPr>
            <w:tcW w:w="2294" w:type="dxa"/>
            <w:tcBorders>
              <w:top w:val="nil"/>
              <w:left w:val="nil"/>
              <w:right w:val="nil"/>
            </w:tcBorders>
            <w:shd w:val="clear" w:color="auto" w:fill="auto"/>
            <w:noWrap/>
            <w:vAlign w:val="bottom"/>
          </w:tcPr>
          <w:p w14:paraId="6DDB914C" w14:textId="77777777" w:rsidR="001F2992" w:rsidRPr="001651DA" w:rsidRDefault="001F2992" w:rsidP="001F2992">
            <w:pPr>
              <w:spacing w:after="0" w:line="320" w:lineRule="exact"/>
              <w:jc w:val="right"/>
              <w:rPr>
                <w:sz w:val="20"/>
              </w:rPr>
            </w:pPr>
            <w:r w:rsidRPr="001651DA">
              <w:rPr>
                <w:sz w:val="20"/>
              </w:rPr>
              <w:t>6</w:t>
            </w:r>
          </w:p>
        </w:tc>
        <w:tc>
          <w:tcPr>
            <w:tcW w:w="1417" w:type="dxa"/>
            <w:tcBorders>
              <w:top w:val="nil"/>
              <w:left w:val="nil"/>
              <w:right w:val="nil"/>
            </w:tcBorders>
            <w:shd w:val="clear" w:color="auto" w:fill="auto"/>
            <w:noWrap/>
            <w:vAlign w:val="bottom"/>
          </w:tcPr>
          <w:p w14:paraId="250973CC" w14:textId="77777777" w:rsidR="001F2992" w:rsidRPr="001651DA" w:rsidRDefault="001F2992" w:rsidP="001F2992">
            <w:pPr>
              <w:spacing w:after="0" w:line="320" w:lineRule="exact"/>
              <w:jc w:val="right"/>
              <w:rPr>
                <w:sz w:val="20"/>
              </w:rPr>
            </w:pPr>
            <w:r w:rsidRPr="001651DA">
              <w:rPr>
                <w:sz w:val="20"/>
              </w:rPr>
              <w:t>50</w:t>
            </w:r>
          </w:p>
        </w:tc>
        <w:tc>
          <w:tcPr>
            <w:tcW w:w="2410" w:type="dxa"/>
            <w:tcBorders>
              <w:top w:val="nil"/>
              <w:left w:val="nil"/>
              <w:right w:val="nil"/>
            </w:tcBorders>
          </w:tcPr>
          <w:p w14:paraId="4BABCA05" w14:textId="77777777" w:rsidR="001F2992" w:rsidRPr="001651DA" w:rsidRDefault="001F2992" w:rsidP="001F2992">
            <w:pPr>
              <w:spacing w:after="0" w:line="320" w:lineRule="exact"/>
              <w:jc w:val="right"/>
              <w:rPr>
                <w:sz w:val="20"/>
              </w:rPr>
            </w:pPr>
            <w:r w:rsidRPr="001651DA">
              <w:rPr>
                <w:sz w:val="20"/>
              </w:rPr>
              <w:t>F</w:t>
            </w:r>
          </w:p>
        </w:tc>
      </w:tr>
      <w:tr w:rsidR="001F2992" w:rsidRPr="001651DA" w14:paraId="10E0A790" w14:textId="77777777" w:rsidTr="00B23CD8">
        <w:trPr>
          <w:trHeight w:val="255"/>
        </w:trPr>
        <w:tc>
          <w:tcPr>
            <w:tcW w:w="840" w:type="dxa"/>
            <w:tcBorders>
              <w:top w:val="nil"/>
              <w:left w:val="nil"/>
              <w:right w:val="nil"/>
            </w:tcBorders>
            <w:shd w:val="clear" w:color="auto" w:fill="auto"/>
            <w:noWrap/>
            <w:vAlign w:val="bottom"/>
          </w:tcPr>
          <w:p w14:paraId="394C502F" w14:textId="77777777" w:rsidR="001F2992" w:rsidRPr="001651DA" w:rsidRDefault="001F2992" w:rsidP="001F2992">
            <w:pPr>
              <w:spacing w:after="0" w:line="320" w:lineRule="exact"/>
              <w:jc w:val="right"/>
              <w:rPr>
                <w:sz w:val="20"/>
              </w:rPr>
            </w:pPr>
            <w:r w:rsidRPr="001651DA">
              <w:rPr>
                <w:sz w:val="20"/>
              </w:rPr>
              <w:t>12</w:t>
            </w:r>
          </w:p>
        </w:tc>
        <w:tc>
          <w:tcPr>
            <w:tcW w:w="2294" w:type="dxa"/>
            <w:tcBorders>
              <w:top w:val="nil"/>
              <w:left w:val="nil"/>
              <w:right w:val="nil"/>
            </w:tcBorders>
            <w:shd w:val="clear" w:color="auto" w:fill="auto"/>
            <w:noWrap/>
            <w:vAlign w:val="bottom"/>
          </w:tcPr>
          <w:p w14:paraId="1EA9D8CF" w14:textId="77777777" w:rsidR="001F2992" w:rsidRPr="001651DA" w:rsidRDefault="001F2992" w:rsidP="001F2992">
            <w:pPr>
              <w:spacing w:after="0" w:line="320" w:lineRule="exact"/>
              <w:jc w:val="right"/>
              <w:rPr>
                <w:sz w:val="20"/>
              </w:rPr>
            </w:pPr>
            <w:r w:rsidRPr="001651DA">
              <w:rPr>
                <w:sz w:val="20"/>
              </w:rPr>
              <w:t>34</w:t>
            </w:r>
          </w:p>
        </w:tc>
        <w:tc>
          <w:tcPr>
            <w:tcW w:w="1417" w:type="dxa"/>
            <w:tcBorders>
              <w:top w:val="nil"/>
              <w:left w:val="nil"/>
              <w:right w:val="nil"/>
            </w:tcBorders>
            <w:shd w:val="clear" w:color="auto" w:fill="auto"/>
            <w:noWrap/>
            <w:vAlign w:val="bottom"/>
          </w:tcPr>
          <w:p w14:paraId="664DE06F" w14:textId="77777777" w:rsidR="001F2992" w:rsidRPr="001651DA" w:rsidRDefault="001F2992" w:rsidP="001F2992">
            <w:pPr>
              <w:spacing w:after="0" w:line="320" w:lineRule="exact"/>
              <w:jc w:val="right"/>
              <w:rPr>
                <w:sz w:val="20"/>
              </w:rPr>
            </w:pPr>
            <w:r w:rsidRPr="001651DA">
              <w:rPr>
                <w:sz w:val="20"/>
              </w:rPr>
              <w:t>50</w:t>
            </w:r>
          </w:p>
        </w:tc>
        <w:tc>
          <w:tcPr>
            <w:tcW w:w="2410" w:type="dxa"/>
            <w:tcBorders>
              <w:top w:val="nil"/>
              <w:left w:val="nil"/>
              <w:right w:val="nil"/>
            </w:tcBorders>
          </w:tcPr>
          <w:p w14:paraId="51B1589B" w14:textId="77777777" w:rsidR="001F2992" w:rsidRPr="001651DA" w:rsidRDefault="001F2992" w:rsidP="001F2992">
            <w:pPr>
              <w:spacing w:after="0" w:line="320" w:lineRule="exact"/>
              <w:jc w:val="right"/>
              <w:rPr>
                <w:sz w:val="20"/>
              </w:rPr>
            </w:pPr>
            <w:r w:rsidRPr="001651DA">
              <w:rPr>
                <w:sz w:val="20"/>
              </w:rPr>
              <w:t>F</w:t>
            </w:r>
          </w:p>
        </w:tc>
      </w:tr>
      <w:tr w:rsidR="001F2992" w:rsidRPr="001651DA" w14:paraId="5214F09C" w14:textId="77777777" w:rsidTr="00B23CD8">
        <w:trPr>
          <w:trHeight w:val="255"/>
        </w:trPr>
        <w:tc>
          <w:tcPr>
            <w:tcW w:w="840" w:type="dxa"/>
            <w:tcBorders>
              <w:top w:val="nil"/>
              <w:left w:val="nil"/>
              <w:bottom w:val="single" w:sz="12" w:space="0" w:color="auto"/>
              <w:right w:val="nil"/>
            </w:tcBorders>
            <w:shd w:val="clear" w:color="auto" w:fill="auto"/>
            <w:noWrap/>
            <w:vAlign w:val="bottom"/>
          </w:tcPr>
          <w:p w14:paraId="46B40F80" w14:textId="77777777" w:rsidR="001F2992" w:rsidRPr="001651DA" w:rsidRDefault="001F2992" w:rsidP="001F2992">
            <w:pPr>
              <w:spacing w:after="0" w:line="320" w:lineRule="exact"/>
              <w:jc w:val="right"/>
              <w:rPr>
                <w:sz w:val="20"/>
              </w:rPr>
            </w:pPr>
            <w:r w:rsidRPr="001651DA">
              <w:rPr>
                <w:sz w:val="20"/>
              </w:rPr>
              <w:t>30</w:t>
            </w:r>
          </w:p>
        </w:tc>
        <w:tc>
          <w:tcPr>
            <w:tcW w:w="2294" w:type="dxa"/>
            <w:tcBorders>
              <w:top w:val="nil"/>
              <w:left w:val="nil"/>
              <w:bottom w:val="single" w:sz="12" w:space="0" w:color="auto"/>
              <w:right w:val="nil"/>
            </w:tcBorders>
            <w:shd w:val="clear" w:color="auto" w:fill="auto"/>
            <w:noWrap/>
            <w:vAlign w:val="bottom"/>
          </w:tcPr>
          <w:p w14:paraId="13DF67A9" w14:textId="77777777" w:rsidR="001F2992" w:rsidRPr="001651DA" w:rsidRDefault="001F2992" w:rsidP="001F2992">
            <w:pPr>
              <w:spacing w:after="0" w:line="320" w:lineRule="exact"/>
              <w:jc w:val="right"/>
              <w:rPr>
                <w:sz w:val="20"/>
              </w:rPr>
            </w:pPr>
            <w:r w:rsidRPr="001651DA">
              <w:rPr>
                <w:sz w:val="20"/>
              </w:rPr>
              <w:t>42</w:t>
            </w:r>
          </w:p>
        </w:tc>
        <w:tc>
          <w:tcPr>
            <w:tcW w:w="1417" w:type="dxa"/>
            <w:tcBorders>
              <w:top w:val="nil"/>
              <w:left w:val="nil"/>
              <w:bottom w:val="single" w:sz="12" w:space="0" w:color="auto"/>
              <w:right w:val="nil"/>
            </w:tcBorders>
            <w:shd w:val="clear" w:color="auto" w:fill="auto"/>
            <w:noWrap/>
            <w:vAlign w:val="bottom"/>
          </w:tcPr>
          <w:p w14:paraId="1F2BF9BE" w14:textId="77777777" w:rsidR="001F2992" w:rsidRPr="001651DA" w:rsidRDefault="001F2992" w:rsidP="001F2992">
            <w:pPr>
              <w:spacing w:after="0" w:line="320" w:lineRule="exact"/>
              <w:jc w:val="right"/>
              <w:rPr>
                <w:sz w:val="20"/>
              </w:rPr>
            </w:pPr>
            <w:r w:rsidRPr="001651DA">
              <w:rPr>
                <w:sz w:val="20"/>
              </w:rPr>
              <w:t>50</w:t>
            </w:r>
          </w:p>
        </w:tc>
        <w:tc>
          <w:tcPr>
            <w:tcW w:w="2410" w:type="dxa"/>
            <w:tcBorders>
              <w:top w:val="nil"/>
              <w:left w:val="nil"/>
              <w:bottom w:val="single" w:sz="12" w:space="0" w:color="auto"/>
              <w:right w:val="nil"/>
            </w:tcBorders>
          </w:tcPr>
          <w:p w14:paraId="459D2F4F" w14:textId="77777777" w:rsidR="001F2992" w:rsidRPr="001651DA" w:rsidRDefault="001F2992" w:rsidP="001F2992">
            <w:pPr>
              <w:spacing w:after="0" w:line="320" w:lineRule="exact"/>
              <w:jc w:val="right"/>
              <w:rPr>
                <w:sz w:val="20"/>
              </w:rPr>
            </w:pPr>
            <w:r w:rsidRPr="001651DA">
              <w:rPr>
                <w:sz w:val="20"/>
              </w:rPr>
              <w:t>F</w:t>
            </w:r>
          </w:p>
        </w:tc>
      </w:tr>
    </w:tbl>
    <w:p w14:paraId="5186B13D" w14:textId="77777777" w:rsidR="001F2992" w:rsidRPr="001651DA" w:rsidRDefault="001F2992" w:rsidP="001F2992">
      <w:pPr>
        <w:pStyle w:val="EFSABodytext"/>
      </w:pPr>
    </w:p>
    <w:p w14:paraId="2B81F9AB" w14:textId="77777777" w:rsidR="001F2992" w:rsidRPr="001651DA" w:rsidRDefault="001F2992" w:rsidP="001F2992">
      <w:pPr>
        <w:pStyle w:val="EFSABodytext"/>
      </w:pPr>
      <w:r w:rsidRPr="001651DA">
        <w:t>In case different endpoints are to be analysed, they should be described in different subsections, containing information pertaining to each endpoint.</w:t>
      </w:r>
    </w:p>
    <w:p w14:paraId="6C57C439" w14:textId="77777777" w:rsidR="00B23CD8" w:rsidRPr="001651DA" w:rsidRDefault="00B23CD8" w:rsidP="001F2992">
      <w:pPr>
        <w:pStyle w:val="EFSABodytext"/>
      </w:pPr>
    </w:p>
    <w:p w14:paraId="0E65D6A4" w14:textId="77777777" w:rsidR="001F2992" w:rsidRPr="001651DA" w:rsidRDefault="001F2992" w:rsidP="001F2992">
      <w:pPr>
        <w:pStyle w:val="EFSABodytext"/>
      </w:pPr>
      <w:r w:rsidRPr="001651DA">
        <w:t>The following steps apply for each endpoint considered.</w:t>
      </w:r>
    </w:p>
    <w:p w14:paraId="3D404BC9" w14:textId="77777777" w:rsidR="00B23CD8" w:rsidRPr="001651DA" w:rsidRDefault="00B23CD8" w:rsidP="001F2992">
      <w:pPr>
        <w:pStyle w:val="EFSABodytext"/>
      </w:pPr>
    </w:p>
    <w:p w14:paraId="7FD8ECEA" w14:textId="77777777" w:rsidR="00B23CD8" w:rsidRPr="001651DA" w:rsidRDefault="00973931" w:rsidP="00B23CD8">
      <w:pPr>
        <w:pStyle w:val="EFSABodytext"/>
        <w:ind w:firstLine="720"/>
        <w:rPr>
          <w:b/>
        </w:rPr>
      </w:pPr>
      <w:r w:rsidRPr="001651DA">
        <w:rPr>
          <w:b/>
        </w:rPr>
        <w:t>B</w:t>
      </w:r>
      <w:r w:rsidR="00B23CD8" w:rsidRPr="001651DA">
        <w:rPr>
          <w:b/>
        </w:rPr>
        <w:tab/>
        <w:t>Selection of the BMR</w:t>
      </w:r>
    </w:p>
    <w:p w14:paraId="65E5553F" w14:textId="1DCA1832" w:rsidR="00B23CD8" w:rsidRPr="001651DA" w:rsidRDefault="00CD7C02" w:rsidP="00B23CD8">
      <w:pPr>
        <w:pStyle w:val="Default"/>
        <w:jc w:val="both"/>
        <w:rPr>
          <w:rFonts w:ascii="Tahoma" w:hAnsi="Tahoma" w:cs="Tahoma"/>
          <w:sz w:val="20"/>
          <w:szCs w:val="20"/>
        </w:rPr>
      </w:pPr>
      <w:r w:rsidRPr="001651DA">
        <w:rPr>
          <w:rFonts w:ascii="Tahoma" w:hAnsi="Tahoma" w:cs="Tahoma"/>
          <w:sz w:val="20"/>
          <w:szCs w:val="20"/>
        </w:rPr>
        <w:t>The value of the BMR used in the analysis.</w:t>
      </w:r>
      <w:r w:rsidR="00B23CD8" w:rsidRPr="001651DA">
        <w:rPr>
          <w:rFonts w:ascii="Tahoma" w:hAnsi="Tahoma" w:cs="Tahoma"/>
          <w:sz w:val="20"/>
          <w:szCs w:val="20"/>
        </w:rPr>
        <w:t xml:space="preserve"> The rationale behind the </w:t>
      </w:r>
      <w:r w:rsidR="00973931" w:rsidRPr="001651DA">
        <w:rPr>
          <w:rFonts w:ascii="Tahoma" w:hAnsi="Tahoma" w:cs="Tahoma"/>
          <w:sz w:val="20"/>
          <w:szCs w:val="20"/>
        </w:rPr>
        <w:t xml:space="preserve">choice made </w:t>
      </w:r>
      <w:r w:rsidR="00FC41E6" w:rsidRPr="001651DA">
        <w:rPr>
          <w:rFonts w:ascii="Tahoma" w:hAnsi="Tahoma" w:cs="Tahoma"/>
          <w:sz w:val="20"/>
          <w:szCs w:val="20"/>
        </w:rPr>
        <w:t>(</w:t>
      </w:r>
      <w:r w:rsidR="003263DB" w:rsidRPr="001651DA">
        <w:rPr>
          <w:rFonts w:ascii="Tahoma" w:hAnsi="Tahoma" w:cs="Tahoma"/>
          <w:sz w:val="20"/>
          <w:szCs w:val="20"/>
        </w:rPr>
        <w:t xml:space="preserve">the biological relevance in the case of a continuous </w:t>
      </w:r>
      <w:r w:rsidR="003A274C" w:rsidRPr="001651DA">
        <w:rPr>
          <w:rFonts w:ascii="Tahoma" w:hAnsi="Tahoma" w:cs="Tahoma"/>
          <w:sz w:val="20"/>
          <w:szCs w:val="20"/>
        </w:rPr>
        <w:t xml:space="preserve">endpoint) </w:t>
      </w:r>
      <w:r w:rsidR="00973931" w:rsidRPr="001651DA">
        <w:rPr>
          <w:rFonts w:ascii="Tahoma" w:hAnsi="Tahoma" w:cs="Tahoma"/>
          <w:sz w:val="20"/>
          <w:szCs w:val="20"/>
        </w:rPr>
        <w:t>should be described.</w:t>
      </w:r>
    </w:p>
    <w:p w14:paraId="61319B8A" w14:textId="77777777" w:rsidR="0040421A" w:rsidRPr="001651DA" w:rsidRDefault="0040421A" w:rsidP="00214C6C"/>
    <w:p w14:paraId="3B5331E1" w14:textId="77777777" w:rsidR="00973931" w:rsidRPr="001651DA" w:rsidRDefault="00973931" w:rsidP="00973931">
      <w:pPr>
        <w:pStyle w:val="EFSABodytext"/>
        <w:ind w:firstLine="720"/>
        <w:rPr>
          <w:b/>
        </w:rPr>
      </w:pPr>
      <w:r w:rsidRPr="001651DA">
        <w:rPr>
          <w:b/>
        </w:rPr>
        <w:t>C</w:t>
      </w:r>
      <w:r w:rsidRPr="001651DA">
        <w:rPr>
          <w:b/>
        </w:rPr>
        <w:tab/>
        <w:t>Software used</w:t>
      </w:r>
    </w:p>
    <w:p w14:paraId="775117B6" w14:textId="77777777" w:rsidR="00973931" w:rsidRPr="001651DA" w:rsidRDefault="00973931" w:rsidP="00973931">
      <w:pPr>
        <w:pStyle w:val="EFSABodytext"/>
      </w:pPr>
      <w:r w:rsidRPr="001651DA">
        <w:t xml:space="preserve">The software used, including version number should be reported. In case </w:t>
      </w:r>
      <w:r w:rsidR="009A675E" w:rsidRPr="001651DA">
        <w:t>an</w:t>
      </w:r>
      <w:r w:rsidR="00CD7C02" w:rsidRPr="001651DA">
        <w:t xml:space="preserve">other </w:t>
      </w:r>
      <w:r w:rsidR="009A675E" w:rsidRPr="001651DA">
        <w:t>non-</w:t>
      </w:r>
      <w:r w:rsidR="00CD7C02" w:rsidRPr="001651DA">
        <w:t>publicly available</w:t>
      </w:r>
      <w:r w:rsidRPr="001651DA">
        <w:t xml:space="preserve"> software was used, the script for the BMD analysis should be provided as an appendix.</w:t>
      </w:r>
    </w:p>
    <w:p w14:paraId="31A560F4" w14:textId="77777777" w:rsidR="00973931" w:rsidRPr="001651DA" w:rsidRDefault="00973931" w:rsidP="00214C6C"/>
    <w:p w14:paraId="0D405CC3" w14:textId="736AFAD3" w:rsidR="00B23CD8" w:rsidRPr="001651DA" w:rsidRDefault="00973931" w:rsidP="00B23CD8">
      <w:pPr>
        <w:pStyle w:val="EFSABodytext"/>
        <w:ind w:firstLine="720"/>
        <w:rPr>
          <w:b/>
        </w:rPr>
      </w:pPr>
      <w:r w:rsidRPr="001651DA">
        <w:rPr>
          <w:b/>
        </w:rPr>
        <w:t>D</w:t>
      </w:r>
      <w:r w:rsidR="00B23CD8" w:rsidRPr="001651DA">
        <w:rPr>
          <w:b/>
        </w:rPr>
        <w:tab/>
      </w:r>
      <w:r w:rsidR="005B33CC" w:rsidRPr="001651DA">
        <w:rPr>
          <w:b/>
        </w:rPr>
        <w:t>J</w:t>
      </w:r>
      <w:r w:rsidR="00250F09" w:rsidRPr="001651DA">
        <w:rPr>
          <w:b/>
        </w:rPr>
        <w:t>ustification of any deviation</w:t>
      </w:r>
      <w:r w:rsidR="005B33CC" w:rsidRPr="001651DA">
        <w:rPr>
          <w:b/>
        </w:rPr>
        <w:t xml:space="preserve"> from </w:t>
      </w:r>
      <w:r w:rsidR="009670FA" w:rsidRPr="001651DA">
        <w:rPr>
          <w:b/>
        </w:rPr>
        <w:t xml:space="preserve">the procedure and </w:t>
      </w:r>
      <w:r w:rsidR="005B33CC" w:rsidRPr="001651DA">
        <w:rPr>
          <w:b/>
        </w:rPr>
        <w:t>assumptions</w:t>
      </w:r>
    </w:p>
    <w:p w14:paraId="1F4E2531" w14:textId="010F2E18" w:rsidR="00B23CD8" w:rsidRPr="001651DA" w:rsidRDefault="00B23CD8" w:rsidP="00B23CD8">
      <w:pPr>
        <w:pStyle w:val="EFSABodytext"/>
        <w:numPr>
          <w:ilvl w:val="0"/>
          <w:numId w:val="45"/>
        </w:numPr>
      </w:pPr>
      <w:r w:rsidRPr="001651DA">
        <w:t xml:space="preserve">In case another approach </w:t>
      </w:r>
      <w:r w:rsidR="00980471" w:rsidRPr="001651DA">
        <w:t xml:space="preserve">than Bayesian model averaging </w:t>
      </w:r>
      <w:r w:rsidRPr="001651DA">
        <w:t xml:space="preserve">was used, </w:t>
      </w:r>
      <w:r w:rsidR="00B4541A" w:rsidRPr="001651DA">
        <w:t xml:space="preserve">the </w:t>
      </w:r>
      <w:r w:rsidRPr="001651DA">
        <w:t xml:space="preserve">rationale </w:t>
      </w:r>
      <w:r w:rsidR="006C1742" w:rsidRPr="001651DA">
        <w:t xml:space="preserve">and details </w:t>
      </w:r>
      <w:r w:rsidRPr="001651DA">
        <w:t>for deviating from the recommended approach should be provided.</w:t>
      </w:r>
    </w:p>
    <w:p w14:paraId="34A25637" w14:textId="235B98EE" w:rsidR="00B23CD8" w:rsidRPr="001651DA" w:rsidRDefault="00B23CD8" w:rsidP="00B23CD8">
      <w:pPr>
        <w:pStyle w:val="EFSABodytext"/>
        <w:numPr>
          <w:ilvl w:val="0"/>
          <w:numId w:val="45"/>
        </w:numPr>
      </w:pPr>
      <w:r w:rsidRPr="001651DA">
        <w:t>Assumptions made when deviating from the recommended defaults in this guidance document (</w:t>
      </w:r>
      <w:proofErr w:type="gramStart"/>
      <w:r w:rsidRPr="001651DA">
        <w:t>e.g.</w:t>
      </w:r>
      <w:proofErr w:type="gramEnd"/>
      <w:r w:rsidRPr="001651DA">
        <w:t xml:space="preserve"> gamma distributional assumption instead of </w:t>
      </w:r>
      <w:r w:rsidR="00DF66D3" w:rsidRPr="001651DA">
        <w:t xml:space="preserve">normal and </w:t>
      </w:r>
      <w:r w:rsidRPr="001651DA">
        <w:t xml:space="preserve">log-normal, heteroscedasticity instead of </w:t>
      </w:r>
      <w:r w:rsidR="00973931" w:rsidRPr="001651DA">
        <w:t>homoscedasticity</w:t>
      </w:r>
      <w:r w:rsidRPr="001651DA">
        <w:t xml:space="preserve">). </w:t>
      </w:r>
    </w:p>
    <w:p w14:paraId="5EC39E9A" w14:textId="54F098D5" w:rsidR="00B23CD8" w:rsidRPr="001651DA" w:rsidRDefault="00B23CD8" w:rsidP="00B23CD8">
      <w:pPr>
        <w:pStyle w:val="EFSABodytext"/>
        <w:numPr>
          <w:ilvl w:val="0"/>
          <w:numId w:val="45"/>
        </w:numPr>
      </w:pPr>
      <w:r w:rsidRPr="001651DA">
        <w:t>Other models than the recommended ones listed in Table</w:t>
      </w:r>
      <w:r w:rsidR="00DF66D3" w:rsidRPr="001651DA">
        <w:t xml:space="preserve">s </w:t>
      </w:r>
      <w:r w:rsidR="00254459">
        <w:t>2</w:t>
      </w:r>
      <w:r w:rsidR="00254459" w:rsidRPr="001651DA">
        <w:t xml:space="preserve"> </w:t>
      </w:r>
      <w:r w:rsidR="00DF66D3" w:rsidRPr="001651DA">
        <w:t>and</w:t>
      </w:r>
      <w:r w:rsidDel="00254459">
        <w:t xml:space="preserve"> </w:t>
      </w:r>
      <w:r w:rsidR="00254459">
        <w:t>3</w:t>
      </w:r>
      <w:r w:rsidRPr="001651DA">
        <w:t xml:space="preserve"> of this guidance </w:t>
      </w:r>
      <w:proofErr w:type="gramStart"/>
      <w:r w:rsidRPr="001651DA">
        <w:t>document</w:t>
      </w:r>
      <w:proofErr w:type="gramEnd"/>
      <w:r w:rsidRPr="001651DA">
        <w:t xml:space="preserve"> that were fitted should be listed, with the reasons to include them.</w:t>
      </w:r>
    </w:p>
    <w:p w14:paraId="15D66CE9" w14:textId="5B42A1A8" w:rsidR="00B23CD8" w:rsidRPr="001651DA" w:rsidRDefault="00B23CD8" w:rsidP="00B23CD8">
      <w:pPr>
        <w:pStyle w:val="EFSABodytext"/>
        <w:numPr>
          <w:ilvl w:val="0"/>
          <w:numId w:val="45"/>
        </w:numPr>
      </w:pPr>
      <w:r w:rsidRPr="001651DA">
        <w:t>Description of any deviation from the procedure described in the flow chart (Fig</w:t>
      </w:r>
      <w:r w:rsidR="00254459">
        <w:t>ure</w:t>
      </w:r>
      <w:r>
        <w:t xml:space="preserve"> </w:t>
      </w:r>
      <w:r w:rsidR="00254459">
        <w:t>2</w:t>
      </w:r>
      <w:r w:rsidRPr="001651DA">
        <w:t xml:space="preserve">) to obtain the final BMD </w:t>
      </w:r>
      <w:r w:rsidR="00771B48" w:rsidRPr="001651DA">
        <w:t>credible</w:t>
      </w:r>
      <w:r w:rsidRPr="001651DA">
        <w:t xml:space="preserve"> interval.</w:t>
      </w:r>
    </w:p>
    <w:p w14:paraId="70DF735C" w14:textId="77777777" w:rsidR="00D10A7B" w:rsidRPr="001651DA" w:rsidRDefault="00D10A7B" w:rsidP="00214C6C">
      <w:pPr>
        <w:rPr>
          <w:lang w:val="en-US"/>
        </w:rPr>
      </w:pPr>
    </w:p>
    <w:p w14:paraId="40077AD2" w14:textId="77777777" w:rsidR="00B23CD8" w:rsidRPr="001651DA" w:rsidRDefault="00973931" w:rsidP="00973931">
      <w:pPr>
        <w:pStyle w:val="EFSABodytext"/>
        <w:ind w:firstLine="720"/>
        <w:rPr>
          <w:b/>
        </w:rPr>
      </w:pPr>
      <w:r w:rsidRPr="001651DA">
        <w:rPr>
          <w:b/>
        </w:rPr>
        <w:t>E</w:t>
      </w:r>
      <w:r w:rsidRPr="001651DA">
        <w:rPr>
          <w:b/>
        </w:rPr>
        <w:tab/>
      </w:r>
      <w:r w:rsidR="00B23CD8" w:rsidRPr="001651DA">
        <w:rPr>
          <w:b/>
        </w:rPr>
        <w:t>Results</w:t>
      </w:r>
    </w:p>
    <w:p w14:paraId="5CE60576" w14:textId="77777777" w:rsidR="00B23CD8" w:rsidRPr="001651DA" w:rsidRDefault="00B23CD8" w:rsidP="00B23CD8">
      <w:pPr>
        <w:pStyle w:val="EFSABodytext"/>
      </w:pPr>
      <w:r w:rsidRPr="001651DA">
        <w:t>The results of the BMD analysis should contain:</w:t>
      </w:r>
    </w:p>
    <w:p w14:paraId="348F30CB" w14:textId="31EA622C" w:rsidR="009F3C8C" w:rsidRPr="001651DA" w:rsidRDefault="009F3C8C" w:rsidP="009F3C8C">
      <w:pPr>
        <w:pStyle w:val="EFSABodytext"/>
        <w:numPr>
          <w:ilvl w:val="0"/>
          <w:numId w:val="46"/>
        </w:numPr>
      </w:pPr>
      <w:r w:rsidRPr="001651DA">
        <w:t>In case where individual data are available, the results of the distributional assumption test.</w:t>
      </w:r>
    </w:p>
    <w:p w14:paraId="6428B4E0" w14:textId="26409B06" w:rsidR="007359FA" w:rsidRPr="001651DA" w:rsidRDefault="00B76BB0" w:rsidP="009F3C8C">
      <w:pPr>
        <w:pStyle w:val="EFSABodytext"/>
        <w:numPr>
          <w:ilvl w:val="0"/>
          <w:numId w:val="46"/>
        </w:numPr>
      </w:pPr>
      <w:r w:rsidRPr="001651DA">
        <w:t>Results of the Bartlett test</w:t>
      </w:r>
      <w:r w:rsidR="00506067" w:rsidRPr="001651DA">
        <w:t xml:space="preserve"> (see </w:t>
      </w:r>
      <w:r w:rsidR="00DA5D82">
        <w:t>S</w:t>
      </w:r>
      <w:r w:rsidR="00506067">
        <w:t>ection</w:t>
      </w:r>
      <w:r w:rsidR="00506067" w:rsidRPr="001651DA">
        <w:t xml:space="preserve"> 2.5</w:t>
      </w:r>
      <w:r w:rsidR="00DA5D82">
        <w:t>.1</w:t>
      </w:r>
      <w:r w:rsidR="00506067" w:rsidRPr="001651DA">
        <w:t>)</w:t>
      </w:r>
    </w:p>
    <w:p w14:paraId="7B1ADEFA" w14:textId="29BCC10B" w:rsidR="00B23CD8" w:rsidRPr="001651DA" w:rsidRDefault="00973931" w:rsidP="00B23CD8">
      <w:pPr>
        <w:pStyle w:val="EFSABodytext"/>
        <w:numPr>
          <w:ilvl w:val="0"/>
          <w:numId w:val="46"/>
        </w:numPr>
      </w:pPr>
      <w:r w:rsidRPr="001651DA">
        <w:t>A t</w:t>
      </w:r>
      <w:r w:rsidR="00B23CD8" w:rsidRPr="001651DA">
        <w:t xml:space="preserve">able presenting </w:t>
      </w:r>
      <w:r w:rsidR="00506067" w:rsidRPr="001651DA">
        <w:t xml:space="preserve">the </w:t>
      </w:r>
      <w:r w:rsidR="00B23CD8" w:rsidRPr="001651DA">
        <w:t>results of the models fitted</w:t>
      </w:r>
      <w:r w:rsidRPr="001651DA">
        <w:t xml:space="preserve">, </w:t>
      </w:r>
      <w:r w:rsidR="001B7B55" w:rsidRPr="001651DA">
        <w:t>BMD</w:t>
      </w:r>
      <w:r w:rsidR="00B23CD8" w:rsidRPr="001651DA">
        <w:t>, BMDL</w:t>
      </w:r>
      <w:r w:rsidR="001B7B55" w:rsidRPr="001651DA">
        <w:t>,</w:t>
      </w:r>
      <w:r w:rsidR="00B23CD8" w:rsidRPr="001651DA">
        <w:t xml:space="preserve"> BMDU </w:t>
      </w:r>
      <w:r w:rsidR="001B7B55" w:rsidRPr="001651DA">
        <w:t xml:space="preserve">and </w:t>
      </w:r>
      <w:r w:rsidR="00726A26" w:rsidRPr="001651DA">
        <w:t xml:space="preserve">model </w:t>
      </w:r>
      <w:r w:rsidR="001B7B55" w:rsidRPr="001651DA">
        <w:t>weight</w:t>
      </w:r>
      <w:r w:rsidR="00576248" w:rsidRPr="001651DA">
        <w:t xml:space="preserve"> </w:t>
      </w:r>
      <w:r w:rsidR="00B23CD8" w:rsidRPr="001651DA">
        <w:t xml:space="preserve">(see </w:t>
      </w:r>
      <w:r w:rsidR="00B23CD8" w:rsidRPr="00B97E3A">
        <w:t xml:space="preserve">Table </w:t>
      </w:r>
      <w:r w:rsidR="00B97E3A" w:rsidRPr="00B97E3A">
        <w:t>E</w:t>
      </w:r>
      <w:r w:rsidR="00B97E3A">
        <w:t>.3.</w:t>
      </w:r>
      <w:r w:rsidR="00B23CD8">
        <w:t>)</w:t>
      </w:r>
    </w:p>
    <w:p w14:paraId="245A7099" w14:textId="77777777" w:rsidR="00B23CD8" w:rsidRPr="001651DA" w:rsidRDefault="00B23CD8" w:rsidP="00B23CD8">
      <w:pPr>
        <w:pStyle w:val="EFSABodytext"/>
        <w:numPr>
          <w:ilvl w:val="0"/>
          <w:numId w:val="46"/>
        </w:numPr>
      </w:pPr>
      <w:r w:rsidRPr="001651DA">
        <w:t xml:space="preserve">Report whenever convergence issues were encountered </w:t>
      </w:r>
    </w:p>
    <w:p w14:paraId="0205C99B" w14:textId="6F2AFC5E" w:rsidR="00B23CD8" w:rsidRPr="001651DA" w:rsidRDefault="00B23CD8" w:rsidP="00B23CD8">
      <w:pPr>
        <w:pStyle w:val="EFSABodytext"/>
        <w:numPr>
          <w:ilvl w:val="0"/>
          <w:numId w:val="46"/>
        </w:numPr>
      </w:pPr>
      <w:r w:rsidRPr="001651DA">
        <w:t xml:space="preserve">Report </w:t>
      </w:r>
      <w:r w:rsidR="006F1791" w:rsidRPr="001651DA">
        <w:t>whe</w:t>
      </w:r>
      <w:r w:rsidR="008A36DB" w:rsidRPr="001651DA">
        <w:t>ther</w:t>
      </w:r>
      <w:r w:rsidR="006F1791" w:rsidRPr="001651DA">
        <w:t xml:space="preserve"> none of the candidate</w:t>
      </w:r>
      <w:r w:rsidR="00F632FC" w:rsidRPr="001651DA">
        <w:t xml:space="preserve"> models fit </w:t>
      </w:r>
      <w:r w:rsidR="00A81D40" w:rsidRPr="001651DA">
        <w:t xml:space="preserve">sufficiently well </w:t>
      </w:r>
      <w:r w:rsidR="00590749" w:rsidRPr="001651DA">
        <w:t xml:space="preserve">to </w:t>
      </w:r>
      <w:r w:rsidR="00A81D40" w:rsidRPr="001651DA">
        <w:t xml:space="preserve">the </w:t>
      </w:r>
      <w:r w:rsidR="00590749" w:rsidRPr="001651DA">
        <w:t xml:space="preserve">data (see </w:t>
      </w:r>
      <w:r w:rsidR="00F35772">
        <w:t>S</w:t>
      </w:r>
      <w:r w:rsidR="00590749" w:rsidRPr="001651DA">
        <w:t xml:space="preserve">ection </w:t>
      </w:r>
      <w:r w:rsidR="000C620A">
        <w:t>2.5.3</w:t>
      </w:r>
      <w:r w:rsidR="00DA5BE1" w:rsidRPr="001651DA">
        <w:t>)</w:t>
      </w:r>
      <w:r w:rsidR="00E17E27" w:rsidRPr="001651DA">
        <w:t>.</w:t>
      </w:r>
      <w:r w:rsidR="00DA5BE1" w:rsidRPr="001651DA">
        <w:t xml:space="preserve"> </w:t>
      </w:r>
    </w:p>
    <w:p w14:paraId="632860EB" w14:textId="44AE8F7D" w:rsidR="00B23CD8" w:rsidRPr="001651DA" w:rsidRDefault="00B23CD8" w:rsidP="00B23CD8">
      <w:pPr>
        <w:pStyle w:val="EFSATabletitle"/>
      </w:pPr>
      <w:r w:rsidRPr="001651DA">
        <w:t>Result table</w:t>
      </w:r>
      <w:r w:rsidR="00FC7799" w:rsidRPr="001651DA">
        <w:t xml:space="preserve"> for continuous</w:t>
      </w:r>
      <w:r w:rsidR="00042BFC">
        <w:t>/quantal</w:t>
      </w:r>
      <w:r w:rsidR="00FC7799" w:rsidRPr="001651DA">
        <w:t xml:space="preserve"> data</w:t>
      </w:r>
      <w:r w:rsidRPr="001651DA">
        <w:t>.</w:t>
      </w:r>
    </w:p>
    <w:tbl>
      <w:tblPr>
        <w:tblW w:w="0" w:type="auto"/>
        <w:tblInd w:w="96" w:type="dxa"/>
        <w:tblLook w:val="04A0" w:firstRow="1" w:lastRow="0" w:firstColumn="1" w:lastColumn="0" w:noHBand="0" w:noVBand="1"/>
      </w:tblPr>
      <w:tblGrid>
        <w:gridCol w:w="2431"/>
        <w:gridCol w:w="802"/>
        <w:gridCol w:w="709"/>
        <w:gridCol w:w="851"/>
        <w:gridCol w:w="1580"/>
      </w:tblGrid>
      <w:tr w:rsidR="00767F4C" w:rsidRPr="001651DA" w14:paraId="708B5356" w14:textId="77777777" w:rsidTr="00767F4C">
        <w:trPr>
          <w:trHeight w:val="300"/>
        </w:trPr>
        <w:tc>
          <w:tcPr>
            <w:tcW w:w="0" w:type="auto"/>
            <w:tcBorders>
              <w:top w:val="single" w:sz="12" w:space="0" w:color="auto"/>
              <w:left w:val="nil"/>
              <w:bottom w:val="single" w:sz="12" w:space="0" w:color="auto"/>
              <w:right w:val="nil"/>
            </w:tcBorders>
            <w:shd w:val="clear" w:color="auto" w:fill="auto"/>
            <w:noWrap/>
            <w:vAlign w:val="bottom"/>
            <w:hideMark/>
          </w:tcPr>
          <w:p w14:paraId="1185D163" w14:textId="77777777" w:rsidR="00767F4C" w:rsidRPr="001651DA" w:rsidRDefault="00767F4C" w:rsidP="00767F4C">
            <w:pPr>
              <w:spacing w:after="0"/>
              <w:rPr>
                <w:color w:val="000000"/>
                <w:lang w:eastAsia="en-GB"/>
              </w:rPr>
            </w:pPr>
            <w:r w:rsidRPr="001651DA">
              <w:rPr>
                <w:color w:val="000000"/>
                <w:lang w:eastAsia="en-GB"/>
              </w:rPr>
              <w:t>Model</w:t>
            </w:r>
          </w:p>
        </w:tc>
        <w:tc>
          <w:tcPr>
            <w:tcW w:w="0" w:type="auto"/>
            <w:tcBorders>
              <w:top w:val="single" w:sz="12" w:space="0" w:color="auto"/>
              <w:left w:val="nil"/>
              <w:bottom w:val="single" w:sz="12" w:space="0" w:color="auto"/>
              <w:right w:val="nil"/>
            </w:tcBorders>
            <w:shd w:val="clear" w:color="auto" w:fill="auto"/>
            <w:noWrap/>
            <w:vAlign w:val="bottom"/>
            <w:hideMark/>
          </w:tcPr>
          <w:p w14:paraId="0C68649C" w14:textId="4EB033F2" w:rsidR="00767F4C" w:rsidRPr="001651DA" w:rsidRDefault="00767F4C" w:rsidP="00767F4C">
            <w:pPr>
              <w:spacing w:after="0"/>
              <w:rPr>
                <w:color w:val="000000"/>
                <w:lang w:eastAsia="en-GB"/>
              </w:rPr>
            </w:pPr>
            <w:r w:rsidRPr="001651DA">
              <w:rPr>
                <w:color w:val="000000"/>
                <w:lang w:eastAsia="en-GB"/>
              </w:rPr>
              <w:t xml:space="preserve"> </w:t>
            </w:r>
            <w:r>
              <w:rPr>
                <w:color w:val="000000"/>
                <w:lang w:eastAsia="en-GB"/>
              </w:rPr>
              <w:t>BMDL</w:t>
            </w:r>
            <w:r w:rsidRPr="001651DA">
              <w:rPr>
                <w:color w:val="000000"/>
                <w:lang w:eastAsia="en-GB"/>
              </w:rPr>
              <w:t xml:space="preserve"> </w:t>
            </w:r>
          </w:p>
        </w:tc>
        <w:tc>
          <w:tcPr>
            <w:tcW w:w="0" w:type="auto"/>
            <w:tcBorders>
              <w:top w:val="single" w:sz="12" w:space="0" w:color="auto"/>
              <w:left w:val="nil"/>
              <w:bottom w:val="single" w:sz="12" w:space="0" w:color="auto"/>
              <w:right w:val="nil"/>
            </w:tcBorders>
            <w:shd w:val="clear" w:color="auto" w:fill="auto"/>
            <w:noWrap/>
            <w:vAlign w:val="bottom"/>
            <w:hideMark/>
          </w:tcPr>
          <w:p w14:paraId="6DB0859E" w14:textId="58C5B922" w:rsidR="00767F4C" w:rsidRPr="001651DA" w:rsidRDefault="00767F4C" w:rsidP="00767F4C">
            <w:pPr>
              <w:spacing w:after="0"/>
              <w:rPr>
                <w:color w:val="000000"/>
                <w:lang w:eastAsia="en-GB"/>
              </w:rPr>
            </w:pPr>
            <w:r w:rsidRPr="001651DA">
              <w:rPr>
                <w:color w:val="000000"/>
                <w:lang w:eastAsia="en-GB"/>
              </w:rPr>
              <w:t xml:space="preserve"> BMD </w:t>
            </w:r>
          </w:p>
        </w:tc>
        <w:tc>
          <w:tcPr>
            <w:tcW w:w="0" w:type="auto"/>
            <w:tcBorders>
              <w:top w:val="single" w:sz="12" w:space="0" w:color="auto"/>
              <w:left w:val="nil"/>
              <w:bottom w:val="single" w:sz="12" w:space="0" w:color="auto"/>
              <w:right w:val="nil"/>
            </w:tcBorders>
            <w:shd w:val="clear" w:color="auto" w:fill="auto"/>
            <w:noWrap/>
            <w:vAlign w:val="bottom"/>
            <w:hideMark/>
          </w:tcPr>
          <w:p w14:paraId="7BC7B589" w14:textId="7CD55F14" w:rsidR="00767F4C" w:rsidRPr="001651DA" w:rsidRDefault="00767F4C" w:rsidP="00767F4C">
            <w:pPr>
              <w:spacing w:after="0"/>
              <w:rPr>
                <w:color w:val="000000"/>
                <w:lang w:eastAsia="en-GB"/>
              </w:rPr>
            </w:pPr>
            <w:r w:rsidRPr="001651DA">
              <w:rPr>
                <w:color w:val="000000"/>
                <w:lang w:eastAsia="en-GB"/>
              </w:rPr>
              <w:t xml:space="preserve"> BMDU</w:t>
            </w:r>
          </w:p>
        </w:tc>
        <w:tc>
          <w:tcPr>
            <w:tcW w:w="0" w:type="auto"/>
            <w:tcBorders>
              <w:top w:val="single" w:sz="12" w:space="0" w:color="auto"/>
              <w:left w:val="nil"/>
              <w:bottom w:val="single" w:sz="12" w:space="0" w:color="auto"/>
              <w:right w:val="nil"/>
            </w:tcBorders>
            <w:shd w:val="clear" w:color="auto" w:fill="auto"/>
            <w:noWrap/>
            <w:vAlign w:val="bottom"/>
          </w:tcPr>
          <w:p w14:paraId="4F9435D4" w14:textId="792823D8" w:rsidR="00767F4C" w:rsidRPr="001651DA" w:rsidRDefault="00767F4C" w:rsidP="00767F4C">
            <w:pPr>
              <w:spacing w:after="0"/>
              <w:rPr>
                <w:color w:val="000000"/>
                <w:lang w:eastAsia="en-GB"/>
              </w:rPr>
            </w:pPr>
            <w:r>
              <w:rPr>
                <w:color w:val="000000"/>
                <w:lang w:eastAsia="en-GB"/>
              </w:rPr>
              <w:t>Model Weights</w:t>
            </w:r>
          </w:p>
        </w:tc>
      </w:tr>
      <w:tr w:rsidR="00767F4C" w:rsidRPr="001651DA" w14:paraId="166E9423" w14:textId="77777777" w:rsidTr="00767F4C">
        <w:trPr>
          <w:trHeight w:val="300"/>
        </w:trPr>
        <w:tc>
          <w:tcPr>
            <w:tcW w:w="0" w:type="auto"/>
            <w:tcBorders>
              <w:top w:val="single" w:sz="12" w:space="0" w:color="auto"/>
              <w:left w:val="nil"/>
              <w:bottom w:val="nil"/>
              <w:right w:val="nil"/>
            </w:tcBorders>
            <w:shd w:val="clear" w:color="auto" w:fill="auto"/>
            <w:noWrap/>
            <w:vAlign w:val="bottom"/>
            <w:hideMark/>
          </w:tcPr>
          <w:p w14:paraId="2AE95D51" w14:textId="2C6D6659" w:rsidR="00767F4C" w:rsidRPr="001651DA" w:rsidRDefault="00387D4C" w:rsidP="00767F4C">
            <w:pPr>
              <w:spacing w:after="0"/>
              <w:rPr>
                <w:color w:val="000000"/>
                <w:lang w:eastAsia="en-GB"/>
              </w:rPr>
            </w:pPr>
            <w:r>
              <w:rPr>
                <w:color w:val="000000"/>
                <w:lang w:eastAsia="en-GB"/>
              </w:rPr>
              <w:t>E</w:t>
            </w:r>
            <w:r w:rsidR="00DF6A2D">
              <w:rPr>
                <w:color w:val="000000"/>
                <w:lang w:eastAsia="en-GB"/>
              </w:rPr>
              <w:t>xponential (E4)</w:t>
            </w:r>
          </w:p>
        </w:tc>
        <w:tc>
          <w:tcPr>
            <w:tcW w:w="0" w:type="auto"/>
            <w:tcBorders>
              <w:top w:val="single" w:sz="12" w:space="0" w:color="auto"/>
              <w:left w:val="nil"/>
              <w:bottom w:val="nil"/>
              <w:right w:val="nil"/>
            </w:tcBorders>
            <w:shd w:val="clear" w:color="auto" w:fill="auto"/>
            <w:noWrap/>
            <w:vAlign w:val="center"/>
            <w:hideMark/>
          </w:tcPr>
          <w:p w14:paraId="19F14E3C" w14:textId="77777777" w:rsidR="00767F4C" w:rsidRPr="001651DA" w:rsidRDefault="00767F4C" w:rsidP="00767F4C">
            <w:pPr>
              <w:spacing w:after="0"/>
              <w:jc w:val="right"/>
              <w:rPr>
                <w:color w:val="000000"/>
                <w:lang w:eastAsia="en-GB"/>
              </w:rPr>
            </w:pPr>
            <w:r w:rsidRPr="001651DA">
              <w:rPr>
                <w:color w:val="000000"/>
                <w:lang w:eastAsia="en-GB"/>
              </w:rPr>
              <w:t>1</w:t>
            </w:r>
          </w:p>
        </w:tc>
        <w:tc>
          <w:tcPr>
            <w:tcW w:w="0" w:type="auto"/>
            <w:tcBorders>
              <w:top w:val="single" w:sz="12" w:space="0" w:color="auto"/>
              <w:left w:val="nil"/>
              <w:bottom w:val="nil"/>
              <w:right w:val="nil"/>
            </w:tcBorders>
            <w:shd w:val="clear" w:color="auto" w:fill="auto"/>
            <w:noWrap/>
            <w:vAlign w:val="center"/>
          </w:tcPr>
          <w:p w14:paraId="3A413BF6" w14:textId="77777777" w:rsidR="00767F4C" w:rsidRPr="001651DA" w:rsidRDefault="00767F4C" w:rsidP="00767F4C">
            <w:pPr>
              <w:spacing w:after="0"/>
              <w:jc w:val="right"/>
              <w:rPr>
                <w:color w:val="000000"/>
                <w:lang w:eastAsia="en-GB"/>
              </w:rPr>
            </w:pPr>
          </w:p>
        </w:tc>
        <w:tc>
          <w:tcPr>
            <w:tcW w:w="0" w:type="auto"/>
            <w:tcBorders>
              <w:top w:val="single" w:sz="12" w:space="0" w:color="auto"/>
              <w:left w:val="nil"/>
              <w:bottom w:val="nil"/>
              <w:right w:val="nil"/>
            </w:tcBorders>
            <w:shd w:val="clear" w:color="auto" w:fill="auto"/>
            <w:noWrap/>
            <w:vAlign w:val="center"/>
          </w:tcPr>
          <w:p w14:paraId="33D28B4B" w14:textId="77777777" w:rsidR="00767F4C" w:rsidRPr="001651DA" w:rsidRDefault="00767F4C" w:rsidP="00767F4C">
            <w:pPr>
              <w:spacing w:after="0"/>
              <w:jc w:val="right"/>
              <w:rPr>
                <w:color w:val="000000"/>
                <w:lang w:eastAsia="en-GB"/>
              </w:rPr>
            </w:pPr>
          </w:p>
        </w:tc>
        <w:tc>
          <w:tcPr>
            <w:tcW w:w="0" w:type="auto"/>
            <w:tcBorders>
              <w:top w:val="single" w:sz="12" w:space="0" w:color="auto"/>
              <w:left w:val="nil"/>
              <w:bottom w:val="nil"/>
              <w:right w:val="nil"/>
            </w:tcBorders>
            <w:shd w:val="clear" w:color="auto" w:fill="auto"/>
            <w:noWrap/>
            <w:vAlign w:val="center"/>
          </w:tcPr>
          <w:p w14:paraId="37EFA3E3" w14:textId="77777777" w:rsidR="00767F4C" w:rsidRPr="001651DA" w:rsidRDefault="00767F4C" w:rsidP="00767F4C">
            <w:pPr>
              <w:spacing w:after="0"/>
              <w:jc w:val="right"/>
              <w:rPr>
                <w:color w:val="000000"/>
                <w:lang w:eastAsia="en-GB"/>
              </w:rPr>
            </w:pPr>
          </w:p>
        </w:tc>
      </w:tr>
      <w:tr w:rsidR="00767F4C" w:rsidRPr="001651DA" w14:paraId="46FF361B" w14:textId="77777777" w:rsidTr="00767F4C">
        <w:trPr>
          <w:trHeight w:val="300"/>
        </w:trPr>
        <w:tc>
          <w:tcPr>
            <w:tcW w:w="0" w:type="auto"/>
            <w:tcBorders>
              <w:top w:val="nil"/>
              <w:left w:val="nil"/>
              <w:bottom w:val="nil"/>
              <w:right w:val="nil"/>
            </w:tcBorders>
            <w:shd w:val="clear" w:color="auto" w:fill="auto"/>
            <w:noWrap/>
            <w:vAlign w:val="bottom"/>
            <w:hideMark/>
          </w:tcPr>
          <w:p w14:paraId="646ADA2C" w14:textId="43906791" w:rsidR="00767F4C" w:rsidRPr="001651DA" w:rsidRDefault="00DF6A2D" w:rsidP="00767F4C">
            <w:pPr>
              <w:spacing w:after="0"/>
              <w:rPr>
                <w:color w:val="000000"/>
                <w:lang w:eastAsia="en-GB"/>
              </w:rPr>
            </w:pPr>
            <w:r>
              <w:rPr>
                <w:color w:val="000000"/>
                <w:lang w:eastAsia="en-GB"/>
              </w:rPr>
              <w:t>Inverse Exponential (IE4)</w:t>
            </w:r>
          </w:p>
        </w:tc>
        <w:tc>
          <w:tcPr>
            <w:tcW w:w="0" w:type="auto"/>
            <w:tcBorders>
              <w:top w:val="nil"/>
              <w:left w:val="nil"/>
              <w:bottom w:val="nil"/>
              <w:right w:val="nil"/>
            </w:tcBorders>
            <w:shd w:val="clear" w:color="auto" w:fill="auto"/>
            <w:noWrap/>
            <w:vAlign w:val="center"/>
            <w:hideMark/>
          </w:tcPr>
          <w:p w14:paraId="2DC44586" w14:textId="77777777" w:rsidR="00767F4C" w:rsidRPr="001651DA" w:rsidRDefault="00767F4C" w:rsidP="00767F4C">
            <w:pPr>
              <w:spacing w:after="0"/>
              <w:jc w:val="right"/>
              <w:rPr>
                <w:color w:val="000000"/>
                <w:lang w:eastAsia="en-GB"/>
              </w:rPr>
            </w:pPr>
          </w:p>
        </w:tc>
        <w:tc>
          <w:tcPr>
            <w:tcW w:w="0" w:type="auto"/>
            <w:tcBorders>
              <w:top w:val="nil"/>
              <w:left w:val="nil"/>
              <w:bottom w:val="nil"/>
              <w:right w:val="nil"/>
            </w:tcBorders>
            <w:shd w:val="clear" w:color="auto" w:fill="auto"/>
            <w:noWrap/>
            <w:vAlign w:val="center"/>
          </w:tcPr>
          <w:p w14:paraId="4FFCBC07" w14:textId="77777777" w:rsidR="00767F4C" w:rsidRPr="001651DA" w:rsidRDefault="00767F4C" w:rsidP="00767F4C">
            <w:pPr>
              <w:spacing w:after="0"/>
              <w:jc w:val="right"/>
              <w:rPr>
                <w:color w:val="000000"/>
                <w:lang w:eastAsia="en-GB"/>
              </w:rPr>
            </w:pPr>
          </w:p>
        </w:tc>
        <w:tc>
          <w:tcPr>
            <w:tcW w:w="0" w:type="auto"/>
            <w:tcBorders>
              <w:top w:val="nil"/>
              <w:left w:val="nil"/>
              <w:bottom w:val="nil"/>
              <w:right w:val="nil"/>
            </w:tcBorders>
            <w:shd w:val="clear" w:color="auto" w:fill="auto"/>
            <w:noWrap/>
            <w:vAlign w:val="center"/>
          </w:tcPr>
          <w:p w14:paraId="1728B4D0" w14:textId="77777777" w:rsidR="00767F4C" w:rsidRPr="001651DA" w:rsidRDefault="00767F4C" w:rsidP="00767F4C">
            <w:pPr>
              <w:spacing w:after="0"/>
              <w:jc w:val="right"/>
              <w:rPr>
                <w:color w:val="000000"/>
                <w:lang w:eastAsia="en-GB"/>
              </w:rPr>
            </w:pPr>
          </w:p>
        </w:tc>
        <w:tc>
          <w:tcPr>
            <w:tcW w:w="0" w:type="auto"/>
            <w:tcBorders>
              <w:top w:val="nil"/>
              <w:left w:val="nil"/>
              <w:bottom w:val="nil"/>
              <w:right w:val="nil"/>
            </w:tcBorders>
            <w:shd w:val="clear" w:color="auto" w:fill="auto"/>
            <w:noWrap/>
            <w:vAlign w:val="center"/>
          </w:tcPr>
          <w:p w14:paraId="34959D4B" w14:textId="77777777" w:rsidR="00767F4C" w:rsidRPr="001651DA" w:rsidRDefault="00767F4C" w:rsidP="00767F4C">
            <w:pPr>
              <w:spacing w:after="0"/>
              <w:jc w:val="right"/>
              <w:rPr>
                <w:color w:val="000000"/>
                <w:lang w:eastAsia="en-GB"/>
              </w:rPr>
            </w:pPr>
          </w:p>
        </w:tc>
      </w:tr>
      <w:tr w:rsidR="00767F4C" w:rsidRPr="001651DA" w14:paraId="3D49492C" w14:textId="77777777" w:rsidTr="00767F4C">
        <w:trPr>
          <w:trHeight w:val="300"/>
        </w:trPr>
        <w:tc>
          <w:tcPr>
            <w:tcW w:w="0" w:type="auto"/>
            <w:tcBorders>
              <w:top w:val="nil"/>
              <w:left w:val="nil"/>
              <w:bottom w:val="nil"/>
              <w:right w:val="nil"/>
            </w:tcBorders>
            <w:shd w:val="clear" w:color="auto" w:fill="auto"/>
            <w:noWrap/>
            <w:vAlign w:val="bottom"/>
            <w:hideMark/>
          </w:tcPr>
          <w:p w14:paraId="0586D232" w14:textId="20428322" w:rsidR="00767F4C" w:rsidRPr="001651DA" w:rsidRDefault="00DF6A2D" w:rsidP="00767F4C">
            <w:pPr>
              <w:spacing w:after="0"/>
              <w:rPr>
                <w:color w:val="000000"/>
                <w:lang w:eastAsia="en-GB"/>
              </w:rPr>
            </w:pPr>
            <w:r>
              <w:rPr>
                <w:color w:val="000000"/>
                <w:lang w:eastAsia="en-GB"/>
              </w:rPr>
              <w:t>Hill (H4)</w:t>
            </w:r>
          </w:p>
        </w:tc>
        <w:tc>
          <w:tcPr>
            <w:tcW w:w="0" w:type="auto"/>
            <w:tcBorders>
              <w:top w:val="nil"/>
              <w:left w:val="nil"/>
              <w:bottom w:val="nil"/>
              <w:right w:val="nil"/>
            </w:tcBorders>
            <w:shd w:val="clear" w:color="auto" w:fill="auto"/>
            <w:noWrap/>
            <w:vAlign w:val="center"/>
            <w:hideMark/>
          </w:tcPr>
          <w:p w14:paraId="4357A966" w14:textId="77777777" w:rsidR="00767F4C" w:rsidRPr="001651DA" w:rsidRDefault="00767F4C" w:rsidP="00767F4C">
            <w:pPr>
              <w:spacing w:after="0"/>
              <w:jc w:val="right"/>
              <w:rPr>
                <w:color w:val="000000"/>
                <w:lang w:eastAsia="en-GB"/>
              </w:rPr>
            </w:pPr>
          </w:p>
        </w:tc>
        <w:tc>
          <w:tcPr>
            <w:tcW w:w="0" w:type="auto"/>
            <w:tcBorders>
              <w:top w:val="nil"/>
              <w:left w:val="nil"/>
              <w:bottom w:val="nil"/>
              <w:right w:val="nil"/>
            </w:tcBorders>
            <w:shd w:val="clear" w:color="auto" w:fill="auto"/>
            <w:noWrap/>
            <w:vAlign w:val="center"/>
          </w:tcPr>
          <w:p w14:paraId="44690661" w14:textId="77777777" w:rsidR="00767F4C" w:rsidRPr="001651DA" w:rsidRDefault="00767F4C" w:rsidP="00767F4C">
            <w:pPr>
              <w:spacing w:after="0"/>
              <w:jc w:val="right"/>
              <w:rPr>
                <w:color w:val="000000"/>
                <w:lang w:eastAsia="en-GB"/>
              </w:rPr>
            </w:pPr>
          </w:p>
        </w:tc>
        <w:tc>
          <w:tcPr>
            <w:tcW w:w="0" w:type="auto"/>
            <w:tcBorders>
              <w:top w:val="nil"/>
              <w:left w:val="nil"/>
              <w:bottom w:val="nil"/>
              <w:right w:val="nil"/>
            </w:tcBorders>
            <w:shd w:val="clear" w:color="auto" w:fill="auto"/>
            <w:noWrap/>
            <w:vAlign w:val="center"/>
          </w:tcPr>
          <w:p w14:paraId="74539910" w14:textId="77777777" w:rsidR="00767F4C" w:rsidRPr="001651DA" w:rsidRDefault="00767F4C" w:rsidP="00767F4C">
            <w:pPr>
              <w:spacing w:after="0"/>
              <w:jc w:val="right"/>
              <w:rPr>
                <w:color w:val="000000"/>
                <w:lang w:eastAsia="en-GB"/>
              </w:rPr>
            </w:pPr>
          </w:p>
        </w:tc>
        <w:tc>
          <w:tcPr>
            <w:tcW w:w="0" w:type="auto"/>
            <w:tcBorders>
              <w:top w:val="nil"/>
              <w:left w:val="nil"/>
              <w:bottom w:val="nil"/>
              <w:right w:val="nil"/>
            </w:tcBorders>
            <w:shd w:val="clear" w:color="auto" w:fill="auto"/>
            <w:noWrap/>
            <w:vAlign w:val="center"/>
          </w:tcPr>
          <w:p w14:paraId="5A7E0CF2" w14:textId="77777777" w:rsidR="00767F4C" w:rsidRPr="001651DA" w:rsidRDefault="00767F4C" w:rsidP="00767F4C">
            <w:pPr>
              <w:spacing w:after="0"/>
              <w:jc w:val="right"/>
              <w:rPr>
                <w:color w:val="000000"/>
                <w:lang w:eastAsia="en-GB"/>
              </w:rPr>
            </w:pPr>
          </w:p>
        </w:tc>
      </w:tr>
      <w:tr w:rsidR="00767F4C" w:rsidRPr="001651DA" w14:paraId="5FA9A1F7" w14:textId="77777777" w:rsidTr="00767F4C">
        <w:trPr>
          <w:trHeight w:val="300"/>
        </w:trPr>
        <w:tc>
          <w:tcPr>
            <w:tcW w:w="0" w:type="auto"/>
            <w:tcBorders>
              <w:top w:val="nil"/>
              <w:left w:val="nil"/>
              <w:right w:val="nil"/>
            </w:tcBorders>
            <w:shd w:val="clear" w:color="auto" w:fill="auto"/>
            <w:noWrap/>
            <w:vAlign w:val="bottom"/>
            <w:hideMark/>
          </w:tcPr>
          <w:p w14:paraId="2500CAFD" w14:textId="5E7BDFF3" w:rsidR="00767F4C" w:rsidRPr="001651DA" w:rsidRDefault="00DF6A2D" w:rsidP="00767F4C">
            <w:pPr>
              <w:spacing w:after="0"/>
              <w:rPr>
                <w:color w:val="000000"/>
                <w:lang w:eastAsia="en-GB"/>
              </w:rPr>
            </w:pPr>
            <w:r>
              <w:rPr>
                <w:color w:val="000000"/>
                <w:lang w:eastAsia="en-GB"/>
              </w:rPr>
              <w:t>Log-normal (LN4)</w:t>
            </w:r>
          </w:p>
        </w:tc>
        <w:tc>
          <w:tcPr>
            <w:tcW w:w="0" w:type="auto"/>
            <w:tcBorders>
              <w:top w:val="nil"/>
              <w:left w:val="nil"/>
              <w:right w:val="nil"/>
            </w:tcBorders>
            <w:shd w:val="clear" w:color="auto" w:fill="auto"/>
            <w:noWrap/>
            <w:vAlign w:val="center"/>
            <w:hideMark/>
          </w:tcPr>
          <w:p w14:paraId="1AC5CDBE" w14:textId="77777777" w:rsidR="00767F4C" w:rsidRPr="001651DA" w:rsidRDefault="00767F4C" w:rsidP="00767F4C">
            <w:pPr>
              <w:spacing w:after="0"/>
              <w:jc w:val="right"/>
              <w:rPr>
                <w:color w:val="000000"/>
                <w:lang w:eastAsia="en-GB"/>
              </w:rPr>
            </w:pPr>
          </w:p>
        </w:tc>
        <w:tc>
          <w:tcPr>
            <w:tcW w:w="0" w:type="auto"/>
            <w:tcBorders>
              <w:top w:val="nil"/>
              <w:left w:val="nil"/>
              <w:right w:val="nil"/>
            </w:tcBorders>
            <w:shd w:val="clear" w:color="auto" w:fill="auto"/>
            <w:noWrap/>
            <w:vAlign w:val="center"/>
          </w:tcPr>
          <w:p w14:paraId="342D4C27" w14:textId="77777777" w:rsidR="00767F4C" w:rsidRPr="001651DA" w:rsidRDefault="00767F4C" w:rsidP="00767F4C">
            <w:pPr>
              <w:spacing w:after="0"/>
              <w:jc w:val="right"/>
              <w:rPr>
                <w:color w:val="000000"/>
                <w:lang w:eastAsia="en-GB"/>
              </w:rPr>
            </w:pPr>
          </w:p>
        </w:tc>
        <w:tc>
          <w:tcPr>
            <w:tcW w:w="0" w:type="auto"/>
            <w:tcBorders>
              <w:top w:val="nil"/>
              <w:left w:val="nil"/>
              <w:right w:val="nil"/>
            </w:tcBorders>
            <w:shd w:val="clear" w:color="auto" w:fill="auto"/>
            <w:noWrap/>
            <w:vAlign w:val="center"/>
          </w:tcPr>
          <w:p w14:paraId="3572E399" w14:textId="77777777" w:rsidR="00767F4C" w:rsidRPr="001651DA" w:rsidRDefault="00767F4C" w:rsidP="00767F4C">
            <w:pPr>
              <w:spacing w:after="0"/>
              <w:jc w:val="right"/>
              <w:rPr>
                <w:color w:val="000000"/>
                <w:lang w:eastAsia="en-GB"/>
              </w:rPr>
            </w:pPr>
          </w:p>
        </w:tc>
        <w:tc>
          <w:tcPr>
            <w:tcW w:w="0" w:type="auto"/>
            <w:tcBorders>
              <w:top w:val="nil"/>
              <w:left w:val="nil"/>
              <w:right w:val="nil"/>
            </w:tcBorders>
            <w:shd w:val="clear" w:color="auto" w:fill="auto"/>
            <w:noWrap/>
            <w:vAlign w:val="center"/>
          </w:tcPr>
          <w:p w14:paraId="6CEB15CE" w14:textId="77777777" w:rsidR="00767F4C" w:rsidRPr="001651DA" w:rsidRDefault="00767F4C" w:rsidP="00767F4C">
            <w:pPr>
              <w:spacing w:after="0"/>
              <w:jc w:val="right"/>
              <w:rPr>
                <w:color w:val="000000"/>
                <w:lang w:eastAsia="en-GB"/>
              </w:rPr>
            </w:pPr>
          </w:p>
        </w:tc>
      </w:tr>
      <w:tr w:rsidR="00767F4C" w:rsidRPr="001651DA" w14:paraId="7D8FE2A1" w14:textId="77777777" w:rsidTr="00DF6A2D">
        <w:trPr>
          <w:trHeight w:val="300"/>
        </w:trPr>
        <w:tc>
          <w:tcPr>
            <w:tcW w:w="0" w:type="auto"/>
            <w:tcBorders>
              <w:top w:val="nil"/>
              <w:left w:val="nil"/>
              <w:bottom w:val="nil"/>
              <w:right w:val="nil"/>
            </w:tcBorders>
            <w:shd w:val="clear" w:color="auto" w:fill="auto"/>
            <w:noWrap/>
            <w:vAlign w:val="bottom"/>
            <w:hideMark/>
          </w:tcPr>
          <w:p w14:paraId="6D7EF55C" w14:textId="159FAF33" w:rsidR="00767F4C" w:rsidRPr="001651DA" w:rsidRDefault="00DF6A2D" w:rsidP="00767F4C">
            <w:pPr>
              <w:spacing w:after="0"/>
              <w:rPr>
                <w:color w:val="000000"/>
                <w:lang w:eastAsia="en-GB"/>
              </w:rPr>
            </w:pPr>
            <w:r>
              <w:rPr>
                <w:color w:val="000000"/>
                <w:lang w:eastAsia="en-GB"/>
              </w:rPr>
              <w:t>Gamma (G4)</w:t>
            </w:r>
          </w:p>
          <w:p w14:paraId="11D8D274" w14:textId="56FF35E3" w:rsidR="00767F4C" w:rsidRPr="001651DA" w:rsidRDefault="00767F4C" w:rsidP="00767F4C">
            <w:pPr>
              <w:spacing w:after="0"/>
              <w:rPr>
                <w:color w:val="000000"/>
                <w:lang w:eastAsia="en-GB"/>
              </w:rPr>
            </w:pPr>
          </w:p>
        </w:tc>
        <w:tc>
          <w:tcPr>
            <w:tcW w:w="0" w:type="auto"/>
            <w:tcBorders>
              <w:top w:val="nil"/>
              <w:left w:val="nil"/>
              <w:bottom w:val="nil"/>
              <w:right w:val="nil"/>
            </w:tcBorders>
            <w:shd w:val="clear" w:color="auto" w:fill="auto"/>
            <w:noWrap/>
            <w:vAlign w:val="center"/>
            <w:hideMark/>
          </w:tcPr>
          <w:p w14:paraId="7E75FCD0" w14:textId="77777777" w:rsidR="00767F4C" w:rsidRPr="001651DA" w:rsidRDefault="00767F4C" w:rsidP="00767F4C">
            <w:pPr>
              <w:spacing w:after="0"/>
              <w:jc w:val="right"/>
              <w:rPr>
                <w:color w:val="000000"/>
                <w:lang w:eastAsia="en-GB"/>
              </w:rPr>
            </w:pPr>
          </w:p>
        </w:tc>
        <w:tc>
          <w:tcPr>
            <w:tcW w:w="0" w:type="auto"/>
            <w:tcBorders>
              <w:top w:val="nil"/>
              <w:left w:val="nil"/>
              <w:bottom w:val="nil"/>
              <w:right w:val="nil"/>
            </w:tcBorders>
            <w:shd w:val="clear" w:color="auto" w:fill="auto"/>
            <w:noWrap/>
            <w:vAlign w:val="center"/>
          </w:tcPr>
          <w:p w14:paraId="10FDAA0E" w14:textId="77777777" w:rsidR="00767F4C" w:rsidRPr="001651DA" w:rsidRDefault="00767F4C" w:rsidP="00767F4C">
            <w:pPr>
              <w:spacing w:after="0"/>
              <w:jc w:val="right"/>
              <w:rPr>
                <w:color w:val="000000"/>
                <w:lang w:eastAsia="en-GB"/>
              </w:rPr>
            </w:pPr>
          </w:p>
        </w:tc>
        <w:tc>
          <w:tcPr>
            <w:tcW w:w="0" w:type="auto"/>
            <w:tcBorders>
              <w:top w:val="nil"/>
              <w:left w:val="nil"/>
              <w:bottom w:val="nil"/>
              <w:right w:val="nil"/>
            </w:tcBorders>
            <w:shd w:val="clear" w:color="auto" w:fill="auto"/>
            <w:noWrap/>
            <w:vAlign w:val="center"/>
          </w:tcPr>
          <w:p w14:paraId="774AF2BF" w14:textId="77777777" w:rsidR="00767F4C" w:rsidRPr="001651DA" w:rsidRDefault="00767F4C" w:rsidP="00767F4C">
            <w:pPr>
              <w:spacing w:after="0"/>
              <w:jc w:val="right"/>
              <w:rPr>
                <w:color w:val="000000"/>
                <w:lang w:eastAsia="en-GB"/>
              </w:rPr>
            </w:pPr>
          </w:p>
        </w:tc>
        <w:tc>
          <w:tcPr>
            <w:tcW w:w="0" w:type="auto"/>
            <w:tcBorders>
              <w:top w:val="nil"/>
              <w:left w:val="nil"/>
              <w:bottom w:val="nil"/>
              <w:right w:val="nil"/>
            </w:tcBorders>
            <w:shd w:val="clear" w:color="auto" w:fill="auto"/>
            <w:noWrap/>
            <w:vAlign w:val="center"/>
          </w:tcPr>
          <w:p w14:paraId="7A292896" w14:textId="77777777" w:rsidR="00767F4C" w:rsidRPr="001651DA" w:rsidRDefault="00767F4C" w:rsidP="00767F4C">
            <w:pPr>
              <w:spacing w:after="0"/>
              <w:jc w:val="right"/>
              <w:rPr>
                <w:color w:val="000000"/>
                <w:lang w:eastAsia="en-GB"/>
              </w:rPr>
            </w:pPr>
          </w:p>
        </w:tc>
      </w:tr>
      <w:tr w:rsidR="00DF6A2D" w:rsidRPr="001651DA" w14:paraId="1137CCE2" w14:textId="77777777" w:rsidTr="00DF6A2D">
        <w:trPr>
          <w:trHeight w:val="300"/>
        </w:trPr>
        <w:tc>
          <w:tcPr>
            <w:tcW w:w="0" w:type="auto"/>
            <w:tcBorders>
              <w:top w:val="nil"/>
              <w:left w:val="nil"/>
              <w:bottom w:val="nil"/>
              <w:right w:val="nil"/>
            </w:tcBorders>
            <w:shd w:val="clear" w:color="auto" w:fill="auto"/>
            <w:noWrap/>
            <w:vAlign w:val="bottom"/>
          </w:tcPr>
          <w:p w14:paraId="09B36641" w14:textId="53480B2D" w:rsidR="00DF6A2D" w:rsidRDefault="00042BFC" w:rsidP="00767F4C">
            <w:pPr>
              <w:spacing w:after="0"/>
              <w:rPr>
                <w:color w:val="000000"/>
                <w:lang w:eastAsia="en-GB"/>
              </w:rPr>
            </w:pPr>
            <w:r>
              <w:rPr>
                <w:color w:val="000000"/>
                <w:lang w:eastAsia="en-GB"/>
              </w:rPr>
              <w:t>Two-Stage (QE4)</w:t>
            </w:r>
          </w:p>
        </w:tc>
        <w:tc>
          <w:tcPr>
            <w:tcW w:w="0" w:type="auto"/>
            <w:tcBorders>
              <w:top w:val="nil"/>
              <w:left w:val="nil"/>
              <w:bottom w:val="nil"/>
              <w:right w:val="nil"/>
            </w:tcBorders>
            <w:shd w:val="clear" w:color="auto" w:fill="auto"/>
            <w:noWrap/>
            <w:vAlign w:val="center"/>
          </w:tcPr>
          <w:p w14:paraId="42669485" w14:textId="77777777" w:rsidR="00DF6A2D" w:rsidRPr="001651DA" w:rsidRDefault="00DF6A2D" w:rsidP="00767F4C">
            <w:pPr>
              <w:spacing w:after="0"/>
              <w:jc w:val="right"/>
              <w:rPr>
                <w:color w:val="000000"/>
                <w:lang w:eastAsia="en-GB"/>
              </w:rPr>
            </w:pPr>
          </w:p>
        </w:tc>
        <w:tc>
          <w:tcPr>
            <w:tcW w:w="0" w:type="auto"/>
            <w:tcBorders>
              <w:top w:val="nil"/>
              <w:left w:val="nil"/>
              <w:bottom w:val="nil"/>
              <w:right w:val="nil"/>
            </w:tcBorders>
            <w:shd w:val="clear" w:color="auto" w:fill="auto"/>
            <w:noWrap/>
            <w:vAlign w:val="center"/>
          </w:tcPr>
          <w:p w14:paraId="745C820A" w14:textId="77777777" w:rsidR="00DF6A2D" w:rsidRPr="001651DA" w:rsidRDefault="00DF6A2D" w:rsidP="00767F4C">
            <w:pPr>
              <w:spacing w:after="0"/>
              <w:jc w:val="right"/>
              <w:rPr>
                <w:color w:val="000000"/>
                <w:lang w:eastAsia="en-GB"/>
              </w:rPr>
            </w:pPr>
          </w:p>
        </w:tc>
        <w:tc>
          <w:tcPr>
            <w:tcW w:w="0" w:type="auto"/>
            <w:tcBorders>
              <w:top w:val="nil"/>
              <w:left w:val="nil"/>
              <w:bottom w:val="nil"/>
              <w:right w:val="nil"/>
            </w:tcBorders>
            <w:shd w:val="clear" w:color="auto" w:fill="auto"/>
            <w:noWrap/>
            <w:vAlign w:val="center"/>
          </w:tcPr>
          <w:p w14:paraId="1BF59DAA" w14:textId="77777777" w:rsidR="00DF6A2D" w:rsidRPr="001651DA" w:rsidRDefault="00DF6A2D" w:rsidP="00767F4C">
            <w:pPr>
              <w:spacing w:after="0"/>
              <w:jc w:val="right"/>
              <w:rPr>
                <w:color w:val="000000"/>
                <w:lang w:eastAsia="en-GB"/>
              </w:rPr>
            </w:pPr>
          </w:p>
        </w:tc>
        <w:tc>
          <w:tcPr>
            <w:tcW w:w="0" w:type="auto"/>
            <w:tcBorders>
              <w:top w:val="nil"/>
              <w:left w:val="nil"/>
              <w:bottom w:val="nil"/>
              <w:right w:val="nil"/>
            </w:tcBorders>
            <w:shd w:val="clear" w:color="auto" w:fill="auto"/>
            <w:noWrap/>
            <w:vAlign w:val="center"/>
          </w:tcPr>
          <w:p w14:paraId="38AE491E" w14:textId="77777777" w:rsidR="00DF6A2D" w:rsidRPr="001651DA" w:rsidRDefault="00DF6A2D" w:rsidP="00767F4C">
            <w:pPr>
              <w:spacing w:after="0"/>
              <w:jc w:val="right"/>
              <w:rPr>
                <w:color w:val="000000"/>
                <w:lang w:eastAsia="en-GB"/>
              </w:rPr>
            </w:pPr>
          </w:p>
        </w:tc>
      </w:tr>
      <w:tr w:rsidR="00DF6A2D" w:rsidRPr="001651DA" w14:paraId="00D73E28" w14:textId="77777777" w:rsidTr="00DF6A2D">
        <w:trPr>
          <w:trHeight w:val="300"/>
        </w:trPr>
        <w:tc>
          <w:tcPr>
            <w:tcW w:w="0" w:type="auto"/>
            <w:tcBorders>
              <w:top w:val="nil"/>
              <w:left w:val="nil"/>
              <w:bottom w:val="nil"/>
              <w:right w:val="nil"/>
            </w:tcBorders>
            <w:shd w:val="clear" w:color="auto" w:fill="auto"/>
            <w:noWrap/>
            <w:vAlign w:val="bottom"/>
          </w:tcPr>
          <w:p w14:paraId="60655CF3" w14:textId="420182AD" w:rsidR="00DF6A2D" w:rsidRDefault="00042BFC" w:rsidP="00767F4C">
            <w:pPr>
              <w:spacing w:after="0"/>
              <w:rPr>
                <w:color w:val="000000"/>
                <w:lang w:eastAsia="en-GB"/>
              </w:rPr>
            </w:pPr>
            <w:proofErr w:type="spellStart"/>
            <w:r>
              <w:rPr>
                <w:color w:val="000000"/>
                <w:lang w:eastAsia="en-GB"/>
              </w:rPr>
              <w:t>Probit</w:t>
            </w:r>
            <w:proofErr w:type="spellEnd"/>
            <w:r>
              <w:rPr>
                <w:color w:val="000000"/>
                <w:lang w:eastAsia="en-GB"/>
              </w:rPr>
              <w:t xml:space="preserve"> (P4)</w:t>
            </w:r>
          </w:p>
        </w:tc>
        <w:tc>
          <w:tcPr>
            <w:tcW w:w="0" w:type="auto"/>
            <w:tcBorders>
              <w:top w:val="nil"/>
              <w:left w:val="nil"/>
              <w:bottom w:val="nil"/>
              <w:right w:val="nil"/>
            </w:tcBorders>
            <w:shd w:val="clear" w:color="auto" w:fill="auto"/>
            <w:noWrap/>
            <w:vAlign w:val="center"/>
          </w:tcPr>
          <w:p w14:paraId="2BABB537" w14:textId="77777777" w:rsidR="00DF6A2D" w:rsidRPr="001651DA" w:rsidRDefault="00DF6A2D" w:rsidP="00767F4C">
            <w:pPr>
              <w:spacing w:after="0"/>
              <w:jc w:val="right"/>
              <w:rPr>
                <w:color w:val="000000"/>
                <w:lang w:eastAsia="en-GB"/>
              </w:rPr>
            </w:pPr>
          </w:p>
        </w:tc>
        <w:tc>
          <w:tcPr>
            <w:tcW w:w="0" w:type="auto"/>
            <w:tcBorders>
              <w:top w:val="nil"/>
              <w:left w:val="nil"/>
              <w:bottom w:val="nil"/>
              <w:right w:val="nil"/>
            </w:tcBorders>
            <w:shd w:val="clear" w:color="auto" w:fill="auto"/>
            <w:noWrap/>
            <w:vAlign w:val="center"/>
          </w:tcPr>
          <w:p w14:paraId="7553B7C6" w14:textId="77777777" w:rsidR="00DF6A2D" w:rsidRPr="001651DA" w:rsidRDefault="00DF6A2D" w:rsidP="00767F4C">
            <w:pPr>
              <w:spacing w:after="0"/>
              <w:jc w:val="right"/>
              <w:rPr>
                <w:color w:val="000000"/>
                <w:lang w:eastAsia="en-GB"/>
              </w:rPr>
            </w:pPr>
          </w:p>
        </w:tc>
        <w:tc>
          <w:tcPr>
            <w:tcW w:w="0" w:type="auto"/>
            <w:tcBorders>
              <w:top w:val="nil"/>
              <w:left w:val="nil"/>
              <w:bottom w:val="nil"/>
              <w:right w:val="nil"/>
            </w:tcBorders>
            <w:shd w:val="clear" w:color="auto" w:fill="auto"/>
            <w:noWrap/>
            <w:vAlign w:val="center"/>
          </w:tcPr>
          <w:p w14:paraId="27BE1AFF" w14:textId="77777777" w:rsidR="00DF6A2D" w:rsidRPr="001651DA" w:rsidRDefault="00DF6A2D" w:rsidP="00767F4C">
            <w:pPr>
              <w:spacing w:after="0"/>
              <w:jc w:val="right"/>
              <w:rPr>
                <w:color w:val="000000"/>
                <w:lang w:eastAsia="en-GB"/>
              </w:rPr>
            </w:pPr>
          </w:p>
        </w:tc>
        <w:tc>
          <w:tcPr>
            <w:tcW w:w="0" w:type="auto"/>
            <w:tcBorders>
              <w:top w:val="nil"/>
              <w:left w:val="nil"/>
              <w:bottom w:val="nil"/>
              <w:right w:val="nil"/>
            </w:tcBorders>
            <w:shd w:val="clear" w:color="auto" w:fill="auto"/>
            <w:noWrap/>
            <w:vAlign w:val="center"/>
          </w:tcPr>
          <w:p w14:paraId="431E6A0D" w14:textId="77777777" w:rsidR="00DF6A2D" w:rsidRPr="001651DA" w:rsidRDefault="00DF6A2D" w:rsidP="00767F4C">
            <w:pPr>
              <w:spacing w:after="0"/>
              <w:jc w:val="right"/>
              <w:rPr>
                <w:color w:val="000000"/>
                <w:lang w:eastAsia="en-GB"/>
              </w:rPr>
            </w:pPr>
          </w:p>
        </w:tc>
      </w:tr>
      <w:tr w:rsidR="00DF6A2D" w:rsidRPr="001651DA" w14:paraId="377DEF0C" w14:textId="77777777" w:rsidTr="00767F4C">
        <w:trPr>
          <w:trHeight w:val="300"/>
        </w:trPr>
        <w:tc>
          <w:tcPr>
            <w:tcW w:w="0" w:type="auto"/>
            <w:tcBorders>
              <w:top w:val="nil"/>
              <w:left w:val="nil"/>
              <w:bottom w:val="single" w:sz="12" w:space="0" w:color="auto"/>
              <w:right w:val="nil"/>
            </w:tcBorders>
            <w:shd w:val="clear" w:color="auto" w:fill="auto"/>
            <w:noWrap/>
            <w:vAlign w:val="bottom"/>
          </w:tcPr>
          <w:p w14:paraId="6F5A4181" w14:textId="00AEBF2F" w:rsidR="00DF6A2D" w:rsidRDefault="00042BFC" w:rsidP="00767F4C">
            <w:pPr>
              <w:spacing w:after="0"/>
              <w:rPr>
                <w:color w:val="000000"/>
                <w:lang w:eastAsia="en-GB"/>
              </w:rPr>
            </w:pPr>
            <w:r>
              <w:rPr>
                <w:color w:val="000000"/>
                <w:lang w:eastAsia="en-GB"/>
              </w:rPr>
              <w:t>Logit (L4)</w:t>
            </w:r>
          </w:p>
        </w:tc>
        <w:tc>
          <w:tcPr>
            <w:tcW w:w="0" w:type="auto"/>
            <w:tcBorders>
              <w:top w:val="nil"/>
              <w:left w:val="nil"/>
              <w:bottom w:val="single" w:sz="12" w:space="0" w:color="auto"/>
              <w:right w:val="nil"/>
            </w:tcBorders>
            <w:shd w:val="clear" w:color="auto" w:fill="auto"/>
            <w:noWrap/>
            <w:vAlign w:val="center"/>
          </w:tcPr>
          <w:p w14:paraId="748FD883" w14:textId="77777777" w:rsidR="00DF6A2D" w:rsidRPr="001651DA" w:rsidRDefault="00DF6A2D" w:rsidP="00767F4C">
            <w:pPr>
              <w:spacing w:after="0"/>
              <w:jc w:val="right"/>
              <w:rPr>
                <w:color w:val="000000"/>
                <w:lang w:eastAsia="en-GB"/>
              </w:rPr>
            </w:pPr>
          </w:p>
        </w:tc>
        <w:tc>
          <w:tcPr>
            <w:tcW w:w="0" w:type="auto"/>
            <w:tcBorders>
              <w:top w:val="nil"/>
              <w:left w:val="nil"/>
              <w:bottom w:val="single" w:sz="12" w:space="0" w:color="auto"/>
              <w:right w:val="nil"/>
            </w:tcBorders>
            <w:shd w:val="clear" w:color="auto" w:fill="auto"/>
            <w:noWrap/>
            <w:vAlign w:val="center"/>
          </w:tcPr>
          <w:p w14:paraId="4D721419" w14:textId="77777777" w:rsidR="00DF6A2D" w:rsidRPr="001651DA" w:rsidRDefault="00DF6A2D" w:rsidP="00767F4C">
            <w:pPr>
              <w:spacing w:after="0"/>
              <w:jc w:val="right"/>
              <w:rPr>
                <w:color w:val="000000"/>
                <w:lang w:eastAsia="en-GB"/>
              </w:rPr>
            </w:pPr>
          </w:p>
        </w:tc>
        <w:tc>
          <w:tcPr>
            <w:tcW w:w="0" w:type="auto"/>
            <w:tcBorders>
              <w:top w:val="nil"/>
              <w:left w:val="nil"/>
              <w:bottom w:val="single" w:sz="12" w:space="0" w:color="auto"/>
              <w:right w:val="nil"/>
            </w:tcBorders>
            <w:shd w:val="clear" w:color="auto" w:fill="auto"/>
            <w:noWrap/>
            <w:vAlign w:val="center"/>
          </w:tcPr>
          <w:p w14:paraId="2C79DC53" w14:textId="77777777" w:rsidR="00DF6A2D" w:rsidRPr="001651DA" w:rsidRDefault="00DF6A2D" w:rsidP="00767F4C">
            <w:pPr>
              <w:spacing w:after="0"/>
              <w:jc w:val="right"/>
              <w:rPr>
                <w:color w:val="000000"/>
                <w:lang w:eastAsia="en-GB"/>
              </w:rPr>
            </w:pPr>
          </w:p>
        </w:tc>
        <w:tc>
          <w:tcPr>
            <w:tcW w:w="0" w:type="auto"/>
            <w:tcBorders>
              <w:top w:val="nil"/>
              <w:left w:val="nil"/>
              <w:bottom w:val="single" w:sz="12" w:space="0" w:color="auto"/>
              <w:right w:val="nil"/>
            </w:tcBorders>
            <w:shd w:val="clear" w:color="auto" w:fill="auto"/>
            <w:noWrap/>
            <w:vAlign w:val="center"/>
          </w:tcPr>
          <w:p w14:paraId="5A061C71" w14:textId="77777777" w:rsidR="00DF6A2D" w:rsidRPr="001651DA" w:rsidRDefault="00DF6A2D" w:rsidP="00767F4C">
            <w:pPr>
              <w:spacing w:after="0"/>
              <w:jc w:val="right"/>
              <w:rPr>
                <w:color w:val="000000"/>
                <w:lang w:eastAsia="en-GB"/>
              </w:rPr>
            </w:pPr>
          </w:p>
        </w:tc>
      </w:tr>
    </w:tbl>
    <w:p w14:paraId="7673E5AE" w14:textId="77777777" w:rsidR="00B23CD8" w:rsidRPr="001651DA" w:rsidRDefault="00B23CD8" w:rsidP="00214C6C">
      <w:pPr>
        <w:rPr>
          <w:lang w:val="en-US"/>
        </w:rPr>
      </w:pPr>
    </w:p>
    <w:p w14:paraId="42A2A2CC" w14:textId="77777777" w:rsidR="00973931" w:rsidRPr="001651DA" w:rsidRDefault="00973931" w:rsidP="00973931">
      <w:pPr>
        <w:pStyle w:val="EFSABodytext"/>
        <w:ind w:firstLine="720"/>
        <w:rPr>
          <w:b/>
        </w:rPr>
      </w:pPr>
      <w:r w:rsidRPr="001651DA">
        <w:rPr>
          <w:b/>
        </w:rPr>
        <w:t>F</w:t>
      </w:r>
      <w:r w:rsidRPr="001651DA">
        <w:rPr>
          <w:b/>
        </w:rPr>
        <w:tab/>
        <w:t>Plots of fitted models</w:t>
      </w:r>
    </w:p>
    <w:p w14:paraId="3ED201C1" w14:textId="43FD7B23" w:rsidR="008F76F9" w:rsidRPr="001651DA" w:rsidRDefault="00257091" w:rsidP="008F76F9">
      <w:pPr>
        <w:pStyle w:val="EFSABodytext"/>
        <w:rPr>
          <w:lang w:val="en-US"/>
        </w:rPr>
      </w:pPr>
      <w:r>
        <w:t>S</w:t>
      </w:r>
      <w:r w:rsidR="00973931" w:rsidRPr="001651DA">
        <w:t xml:space="preserve">how the plot of the data with confidence intervals for the responses, together with the resulting </w:t>
      </w:r>
      <w:r w:rsidR="008F76F9">
        <w:t xml:space="preserve">models as well as the </w:t>
      </w:r>
      <w:r w:rsidR="00973931" w:rsidRPr="001651DA">
        <w:t>model average fit</w:t>
      </w:r>
      <w:r w:rsidR="00055E58">
        <w:t xml:space="preserve"> (Figure E.1.)</w:t>
      </w:r>
      <w:r w:rsidR="00973931">
        <w:t>.</w:t>
      </w:r>
      <w:r w:rsidR="00973931" w:rsidRPr="001651DA">
        <w:t xml:space="preserve"> </w:t>
      </w:r>
    </w:p>
    <w:p w14:paraId="041D98D7" w14:textId="6DABC3F0" w:rsidR="008F76F9" w:rsidRDefault="008F76F9">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0"/>
        <w:gridCol w:w="4600"/>
      </w:tblGrid>
      <w:tr w:rsidR="008F76F9" w:rsidRPr="00802A58" w14:paraId="1AA50605" w14:textId="77777777" w:rsidTr="008F76F9">
        <w:tc>
          <w:tcPr>
            <w:tcW w:w="0" w:type="auto"/>
          </w:tcPr>
          <w:p w14:paraId="694F8A3E" w14:textId="77777777" w:rsidR="008F76F9" w:rsidRPr="00802A58" w:rsidRDefault="008F76F9" w:rsidP="00754719">
            <w:pPr>
              <w:spacing w:after="120"/>
              <w:jc w:val="both"/>
            </w:pPr>
            <w:r w:rsidRPr="00802A58">
              <w:rPr>
                <w:noProof/>
              </w:rPr>
              <w:drawing>
                <wp:inline distT="0" distB="0" distL="0" distR="0" wp14:anchorId="47D37946" wp14:editId="16E0429B">
                  <wp:extent cx="2749256" cy="16541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892144" cy="1740069"/>
                          </a:xfrm>
                          <a:prstGeom prst="rect">
                            <a:avLst/>
                          </a:prstGeom>
                        </pic:spPr>
                      </pic:pic>
                    </a:graphicData>
                  </a:graphic>
                </wp:inline>
              </w:drawing>
            </w:r>
          </w:p>
        </w:tc>
        <w:tc>
          <w:tcPr>
            <w:tcW w:w="0" w:type="auto"/>
          </w:tcPr>
          <w:p w14:paraId="2B774BD5" w14:textId="77777777" w:rsidR="008F76F9" w:rsidRPr="00802A58" w:rsidRDefault="008F76F9" w:rsidP="00754719">
            <w:pPr>
              <w:spacing w:after="120"/>
              <w:jc w:val="both"/>
            </w:pPr>
            <w:r w:rsidRPr="00802A58">
              <w:rPr>
                <w:noProof/>
              </w:rPr>
              <w:drawing>
                <wp:inline distT="0" distB="0" distL="0" distR="0" wp14:anchorId="3467F56C" wp14:editId="133F0428">
                  <wp:extent cx="2808129" cy="168952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848903" cy="1714053"/>
                          </a:xfrm>
                          <a:prstGeom prst="rect">
                            <a:avLst/>
                          </a:prstGeom>
                        </pic:spPr>
                      </pic:pic>
                    </a:graphicData>
                  </a:graphic>
                </wp:inline>
              </w:drawing>
            </w:r>
          </w:p>
        </w:tc>
      </w:tr>
      <w:tr w:rsidR="008F76F9" w:rsidRPr="00802A58" w14:paraId="30019590" w14:textId="77777777" w:rsidTr="008F76F9">
        <w:tc>
          <w:tcPr>
            <w:tcW w:w="0" w:type="auto"/>
          </w:tcPr>
          <w:p w14:paraId="47E4A6E9" w14:textId="77777777" w:rsidR="008F76F9" w:rsidRPr="00802A58" w:rsidRDefault="008F76F9" w:rsidP="00754719">
            <w:pPr>
              <w:spacing w:after="120"/>
              <w:jc w:val="both"/>
            </w:pPr>
            <w:r w:rsidRPr="00802A58">
              <w:rPr>
                <w:noProof/>
              </w:rPr>
              <w:drawing>
                <wp:inline distT="0" distB="0" distL="0" distR="0" wp14:anchorId="738F36CA" wp14:editId="5835CF6E">
                  <wp:extent cx="2810414" cy="169089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857692" cy="1719341"/>
                          </a:xfrm>
                          <a:prstGeom prst="rect">
                            <a:avLst/>
                          </a:prstGeom>
                        </pic:spPr>
                      </pic:pic>
                    </a:graphicData>
                  </a:graphic>
                </wp:inline>
              </w:drawing>
            </w:r>
          </w:p>
        </w:tc>
        <w:tc>
          <w:tcPr>
            <w:tcW w:w="0" w:type="auto"/>
          </w:tcPr>
          <w:p w14:paraId="29E42238" w14:textId="77777777" w:rsidR="008F76F9" w:rsidRPr="00802A58" w:rsidRDefault="008F76F9" w:rsidP="00754719">
            <w:pPr>
              <w:spacing w:after="120"/>
              <w:jc w:val="both"/>
            </w:pPr>
            <w:r w:rsidRPr="00802A58">
              <w:rPr>
                <w:noProof/>
              </w:rPr>
              <w:drawing>
                <wp:inline distT="0" distB="0" distL="0" distR="0" wp14:anchorId="2363861B" wp14:editId="3C1C76CD">
                  <wp:extent cx="2893206" cy="1740708"/>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937660" cy="1767454"/>
                          </a:xfrm>
                          <a:prstGeom prst="rect">
                            <a:avLst/>
                          </a:prstGeom>
                        </pic:spPr>
                      </pic:pic>
                    </a:graphicData>
                  </a:graphic>
                </wp:inline>
              </w:drawing>
            </w:r>
          </w:p>
        </w:tc>
      </w:tr>
    </w:tbl>
    <w:p w14:paraId="67740779" w14:textId="77777777" w:rsidR="00B23CD8" w:rsidRPr="001651DA" w:rsidRDefault="00B23CD8" w:rsidP="00214C6C">
      <w:pPr>
        <w:rPr>
          <w:lang w:val="en-US"/>
        </w:rPr>
      </w:pPr>
    </w:p>
    <w:p w14:paraId="5AB7C0C5" w14:textId="27FCC64C" w:rsidR="00A778D7" w:rsidRPr="00495262" w:rsidRDefault="00F242BC" w:rsidP="009F1D3F">
      <w:pPr>
        <w:pStyle w:val="EFSATableheadingrow"/>
        <w:jc w:val="left"/>
        <w:rPr>
          <w:b w:val="0"/>
        </w:rPr>
      </w:pPr>
      <w:r w:rsidRPr="00F242BC">
        <w:t xml:space="preserve">Figure </w:t>
      </w:r>
      <w:r w:rsidR="00B506DB">
        <w:t>F</w:t>
      </w:r>
      <w:r>
        <w:t>.1</w:t>
      </w:r>
      <w:r w:rsidRPr="00F242BC">
        <w:t xml:space="preserve">: </w:t>
      </w:r>
      <w:r w:rsidRPr="00F242BC">
        <w:tab/>
      </w:r>
      <w:r w:rsidR="00B23CD8" w:rsidRPr="00495262">
        <w:rPr>
          <w:b w:val="0"/>
        </w:rPr>
        <w:t xml:space="preserve">Plot of the models from each </w:t>
      </w:r>
      <w:r w:rsidR="003A73D9" w:rsidRPr="00495262">
        <w:rPr>
          <w:b w:val="0"/>
        </w:rPr>
        <w:t xml:space="preserve">model </w:t>
      </w:r>
      <w:r w:rsidR="00B23CD8" w:rsidRPr="00495262">
        <w:rPr>
          <w:b w:val="0"/>
        </w:rPr>
        <w:t>family</w:t>
      </w:r>
      <w:r w:rsidR="00FC7799" w:rsidRPr="00495262">
        <w:rPr>
          <w:b w:val="0"/>
        </w:rPr>
        <w:t xml:space="preserve"> in the case of continuous data</w:t>
      </w:r>
      <w:r w:rsidR="00712B24" w:rsidRPr="00495262">
        <w:rPr>
          <w:b w:val="0"/>
        </w:rPr>
        <w:t xml:space="preserve"> (plots shown here are </w:t>
      </w:r>
      <w:r w:rsidR="009F1D3F">
        <w:rPr>
          <w:b w:val="0"/>
        </w:rPr>
        <w:tab/>
      </w:r>
      <w:r w:rsidR="009F1D3F">
        <w:rPr>
          <w:b w:val="0"/>
        </w:rPr>
        <w:tab/>
      </w:r>
      <w:r w:rsidR="00712B24" w:rsidRPr="00495262">
        <w:rPr>
          <w:b w:val="0"/>
        </w:rPr>
        <w:t xml:space="preserve">from </w:t>
      </w:r>
      <w:r w:rsidR="008F76F9" w:rsidRPr="00495262">
        <w:rPr>
          <w:b w:val="0"/>
        </w:rPr>
        <w:t>Bayesian prototype package</w:t>
      </w:r>
      <w:r w:rsidR="00712B24" w:rsidRPr="00495262">
        <w:rPr>
          <w:b w:val="0"/>
        </w:rPr>
        <w:t>)</w:t>
      </w:r>
      <w:r w:rsidR="00B23CD8" w:rsidRPr="00495262">
        <w:rPr>
          <w:b w:val="0"/>
        </w:rPr>
        <w:t>.</w:t>
      </w:r>
    </w:p>
    <w:p w14:paraId="4A243543" w14:textId="77777777" w:rsidR="00495262" w:rsidRPr="00495262" w:rsidRDefault="00495262" w:rsidP="009F1D3F">
      <w:pPr>
        <w:pStyle w:val="EFSATableheadingrow"/>
        <w:jc w:val="left"/>
        <w:rPr>
          <w:b w:val="0"/>
          <w:bCs/>
        </w:rPr>
      </w:pPr>
    </w:p>
    <w:p w14:paraId="0055840F" w14:textId="77777777" w:rsidR="00495262" w:rsidRDefault="00495262" w:rsidP="00495262">
      <w:pPr>
        <w:pStyle w:val="EFSATableheadingrow"/>
      </w:pPr>
    </w:p>
    <w:p w14:paraId="7DB6772B" w14:textId="77777777" w:rsidR="00495262" w:rsidRDefault="00495262" w:rsidP="00495262">
      <w:pPr>
        <w:pStyle w:val="EFSATableheadingrow"/>
      </w:pPr>
    </w:p>
    <w:p w14:paraId="610E622F" w14:textId="77777777" w:rsidR="00495262" w:rsidRDefault="00495262" w:rsidP="00495262">
      <w:pPr>
        <w:pStyle w:val="EFSATableheadingrow"/>
      </w:pPr>
    </w:p>
    <w:p w14:paraId="62FFB326" w14:textId="77777777" w:rsidR="00B23CD8" w:rsidRPr="001651DA" w:rsidRDefault="003A73D9" w:rsidP="003A73D9">
      <w:pPr>
        <w:pStyle w:val="EFSABodytext"/>
        <w:ind w:firstLine="720"/>
        <w:rPr>
          <w:b/>
        </w:rPr>
      </w:pPr>
      <w:bookmarkStart w:id="111" w:name="_Toc399503961"/>
      <w:bookmarkStart w:id="112" w:name="_Toc399850648"/>
      <w:bookmarkStart w:id="113" w:name="_Toc405560710"/>
      <w:bookmarkStart w:id="114" w:name="_Toc432599638"/>
      <w:r w:rsidRPr="001651DA">
        <w:rPr>
          <w:b/>
        </w:rPr>
        <w:t>G</w:t>
      </w:r>
      <w:r w:rsidRPr="001651DA">
        <w:rPr>
          <w:b/>
        </w:rPr>
        <w:tab/>
      </w:r>
      <w:r w:rsidR="00B23CD8" w:rsidRPr="001651DA">
        <w:rPr>
          <w:b/>
        </w:rPr>
        <w:t>Conclusions</w:t>
      </w:r>
      <w:bookmarkEnd w:id="111"/>
      <w:bookmarkEnd w:id="112"/>
      <w:bookmarkEnd w:id="113"/>
      <w:bookmarkEnd w:id="114"/>
    </w:p>
    <w:p w14:paraId="4629D043" w14:textId="77777777" w:rsidR="003A73D9" w:rsidRPr="001651DA" w:rsidRDefault="00B23CD8" w:rsidP="00B23CD8">
      <w:pPr>
        <w:pStyle w:val="EFSABodytext"/>
      </w:pPr>
      <w:r w:rsidRPr="001651DA">
        <w:t>Th</w:t>
      </w:r>
      <w:r w:rsidR="00FC7799" w:rsidRPr="001651DA">
        <w:t>is</w:t>
      </w:r>
      <w:r w:rsidRPr="001651DA">
        <w:t xml:space="preserve"> section should </w:t>
      </w:r>
      <w:r w:rsidR="00720518" w:rsidRPr="001651DA">
        <w:t xml:space="preserve">summarize </w:t>
      </w:r>
      <w:r w:rsidRPr="001651DA">
        <w:t xml:space="preserve">the results for </w:t>
      </w:r>
      <w:r w:rsidR="00FC7799" w:rsidRPr="001651DA">
        <w:t>each</w:t>
      </w:r>
      <w:r w:rsidRPr="001651DA">
        <w:t xml:space="preserve"> endpoint</w:t>
      </w:r>
      <w:r w:rsidR="00FC7799" w:rsidRPr="001651DA">
        <w:t xml:space="preserve"> (dataset) that was analysed</w:t>
      </w:r>
      <w:r w:rsidRPr="001651DA">
        <w:t xml:space="preserve"> and </w:t>
      </w:r>
      <w:r w:rsidR="00720518" w:rsidRPr="001651DA">
        <w:t xml:space="preserve">provide a discussion of </w:t>
      </w:r>
      <w:r w:rsidRPr="001651DA">
        <w:t>the rationale</w:t>
      </w:r>
      <w:r w:rsidR="00720518" w:rsidRPr="001651DA">
        <w:t xml:space="preserve"> behind selecting the critical endpoint.</w:t>
      </w:r>
      <w:r w:rsidR="00D5662D" w:rsidRPr="001651DA">
        <w:t xml:space="preserve"> </w:t>
      </w:r>
    </w:p>
    <w:p w14:paraId="298637C9" w14:textId="77777777" w:rsidR="00B23CD8" w:rsidRPr="00B23CD8" w:rsidRDefault="00B23CD8" w:rsidP="00B23CD8">
      <w:pPr>
        <w:pStyle w:val="EFSABodytext"/>
      </w:pPr>
      <w:r w:rsidRPr="001651DA">
        <w:t xml:space="preserve">The BMD confidence interval of the critical endpoint </w:t>
      </w:r>
      <w:r w:rsidR="003A73D9" w:rsidRPr="001651DA">
        <w:t xml:space="preserve">(and the BMDL selected as </w:t>
      </w:r>
      <w:r w:rsidR="003A5D7C" w:rsidRPr="001651DA">
        <w:t>RP</w:t>
      </w:r>
      <w:r w:rsidR="003A73D9" w:rsidRPr="001651DA">
        <w:t xml:space="preserve">) </w:t>
      </w:r>
      <w:r w:rsidRPr="001651DA">
        <w:t>should be reported and discussed.</w:t>
      </w:r>
    </w:p>
    <w:p w14:paraId="55B33694" w14:textId="77777777" w:rsidR="00B23CD8" w:rsidRPr="00B23CD8" w:rsidRDefault="00B23CD8" w:rsidP="00214C6C"/>
    <w:sectPr w:rsidR="00B23CD8" w:rsidRPr="00B23CD8" w:rsidSect="00E07A63">
      <w:footerReference w:type="default" r:id="rId78"/>
      <w:pgSz w:w="11906" w:h="16838"/>
      <w:pgMar w:top="1418" w:right="1418" w:bottom="1418" w:left="1418" w:header="709" w:footer="709" w:gutter="0"/>
      <w:cols w:space="720"/>
      <w:docGrid w:linePitch="360" w:charSpace="2047"/>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0D97E9" w14:textId="77777777" w:rsidR="009615DC" w:rsidRDefault="009615DC" w:rsidP="00214C6C">
      <w:pPr>
        <w:spacing w:after="0" w:line="240" w:lineRule="auto"/>
      </w:pPr>
      <w:r>
        <w:separator/>
      </w:r>
    </w:p>
  </w:endnote>
  <w:endnote w:type="continuationSeparator" w:id="0">
    <w:p w14:paraId="6BEE703D" w14:textId="77777777" w:rsidR="009615DC" w:rsidRDefault="009615DC" w:rsidP="00214C6C">
      <w:pPr>
        <w:spacing w:after="0" w:line="240" w:lineRule="auto"/>
      </w:pPr>
      <w:r>
        <w:continuationSeparator/>
      </w:r>
    </w:p>
  </w:endnote>
  <w:endnote w:type="continuationNotice" w:id="1">
    <w:p w14:paraId="1166D0EA" w14:textId="77777777" w:rsidR="009615DC" w:rsidRDefault="009615D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Yu Gothic"/>
    <w:charset w:val="01"/>
    <w:family w:val="auto"/>
    <w:pitch w:val="variable"/>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angal">
    <w:panose1 w:val="00000400000000000000"/>
    <w:charset w:val="00"/>
    <w:family w:val="roman"/>
    <w:pitch w:val="variable"/>
    <w:sig w:usb0="00008003" w:usb1="00000000" w:usb2="00000000" w:usb3="00000000" w:csb0="00000001" w:csb1="00000000"/>
  </w:font>
  <w:font w:name="@NSimSun">
    <w:charset w:val="86"/>
    <w:family w:val="modern"/>
    <w:pitch w:val="fixed"/>
    <w:sig w:usb0="00000283" w:usb1="288F0000" w:usb2="00000016" w:usb3="00000000" w:csb0="00040001" w:csb1="00000000"/>
  </w:font>
  <w:font w:name="Franklin Gothic">
    <w:altName w:val="Times New Roman"/>
    <w:charset w:val="00"/>
    <w:family w:val="auto"/>
    <w:pitch w:val="variable"/>
    <w:sig w:usb0="800002EF" w:usb1="4000005B" w:usb2="00000000" w:usb3="00000000" w:csb0="0000009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Open Sans">
    <w:charset w:val="00"/>
    <w:family w:val="swiss"/>
    <w:pitch w:val="variable"/>
    <w:sig w:usb0="E00002EF" w:usb1="4000205B" w:usb2="00000028" w:usb3="00000000" w:csb0="0000019F" w:csb1="00000000"/>
  </w:font>
  <w:font w:name="ArialUnicodeMS">
    <w:altName w:val="Arial"/>
    <w:charset w:val="00"/>
    <w:family w:val="roman"/>
    <w:pitch w:val="default"/>
  </w:font>
  <w:font w:name="AdvP641C">
    <w:altName w:val="Cambria"/>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6A0" w:firstRow="1" w:lastRow="0" w:firstColumn="1" w:lastColumn="0" w:noHBand="1" w:noVBand="1"/>
    </w:tblPr>
    <w:tblGrid>
      <w:gridCol w:w="3020"/>
      <w:gridCol w:w="3020"/>
      <w:gridCol w:w="3020"/>
    </w:tblGrid>
    <w:tr w:rsidR="00E07A63" w14:paraId="228AD8C8" w14:textId="77777777" w:rsidTr="1853497F">
      <w:tc>
        <w:tcPr>
          <w:tcW w:w="3020" w:type="dxa"/>
        </w:tcPr>
        <w:p w14:paraId="37E5A9A8" w14:textId="7DBE60D1" w:rsidR="00E07A63" w:rsidRDefault="00E07A63" w:rsidP="1853497F">
          <w:pPr>
            <w:pStyle w:val="Header"/>
            <w:ind w:left="-115"/>
          </w:pPr>
        </w:p>
      </w:tc>
      <w:tc>
        <w:tcPr>
          <w:tcW w:w="3020" w:type="dxa"/>
        </w:tcPr>
        <w:p w14:paraId="4B80B100" w14:textId="6EA31326" w:rsidR="00E07A63" w:rsidRDefault="00E07A63" w:rsidP="1853497F">
          <w:pPr>
            <w:pStyle w:val="Header"/>
            <w:jc w:val="center"/>
          </w:pPr>
        </w:p>
      </w:tc>
      <w:tc>
        <w:tcPr>
          <w:tcW w:w="3020" w:type="dxa"/>
        </w:tcPr>
        <w:p w14:paraId="5ABC2D0F" w14:textId="6ED22E0F" w:rsidR="00E07A63" w:rsidRDefault="00E07A63" w:rsidP="1853497F">
          <w:pPr>
            <w:pStyle w:val="Header"/>
            <w:ind w:right="-115"/>
            <w:jc w:val="right"/>
          </w:pPr>
        </w:p>
      </w:tc>
    </w:tr>
  </w:tbl>
  <w:p w14:paraId="665A33BE" w14:textId="2489672B" w:rsidR="00E07A63" w:rsidRDefault="00E07A6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3"/>
      <w:gridCol w:w="3022"/>
      <w:gridCol w:w="3025"/>
    </w:tblGrid>
    <w:tr w:rsidR="00E07A63" w:rsidRPr="00EA0C60" w14:paraId="79796693" w14:textId="77777777" w:rsidTr="267526ED">
      <w:trPr>
        <w:trHeight w:val="98"/>
      </w:trPr>
      <w:tc>
        <w:tcPr>
          <w:tcW w:w="5000" w:type="pct"/>
          <w:gridSpan w:val="3"/>
        </w:tcPr>
        <w:p w14:paraId="47297C67" w14:textId="77777777" w:rsidR="00E07A63" w:rsidRPr="002623C1" w:rsidRDefault="00E07A63" w:rsidP="006536BE">
          <w:pPr>
            <w:pStyle w:val="EFSAFooter"/>
            <w:rPr>
              <w:rFonts w:asciiTheme="minorHAnsi" w:hAnsiTheme="minorHAnsi"/>
            </w:rPr>
          </w:pPr>
          <w:r>
            <w:rPr>
              <w:noProof/>
              <w:color w:val="2B579A"/>
              <w:shd w:val="clear" w:color="auto" w:fill="E6E6E6"/>
            </w:rPr>
            <w:drawing>
              <wp:inline distT="0" distB="0" distL="0" distR="0" wp14:anchorId="5F79D996" wp14:editId="6363E739">
                <wp:extent cx="5759998" cy="32400"/>
                <wp:effectExtent l="0" t="0" r="0" b="5715"/>
                <wp:docPr id="11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1">
                          <a:extLst>
                            <a:ext uri="{28A0092B-C50C-407E-A947-70E740481C1C}">
                              <a14:useLocalDpi xmlns:a14="http://schemas.microsoft.com/office/drawing/2010/main" val="0"/>
                            </a:ext>
                          </a:extLst>
                        </a:blip>
                        <a:stretch>
                          <a:fillRect/>
                        </a:stretch>
                      </pic:blipFill>
                      <pic:spPr>
                        <a:xfrm>
                          <a:off x="0" y="0"/>
                          <a:ext cx="5759998" cy="32400"/>
                        </a:xfrm>
                        <a:prstGeom prst="rect">
                          <a:avLst/>
                        </a:prstGeom>
                      </pic:spPr>
                    </pic:pic>
                  </a:graphicData>
                </a:graphic>
              </wp:inline>
            </w:drawing>
          </w:r>
        </w:p>
      </w:tc>
    </w:tr>
    <w:tr w:rsidR="00E07A63" w:rsidRPr="00EA0C60" w14:paraId="1010D472" w14:textId="77777777" w:rsidTr="267526ED">
      <w:trPr>
        <w:trHeight w:val="97"/>
      </w:trPr>
      <w:tc>
        <w:tcPr>
          <w:tcW w:w="1666" w:type="pct"/>
        </w:tcPr>
        <w:p w14:paraId="36326026" w14:textId="77777777" w:rsidR="00E07A63" w:rsidRPr="002623C1" w:rsidRDefault="009615DC" w:rsidP="006536BE">
          <w:pPr>
            <w:pStyle w:val="EFSAFooter"/>
          </w:pPr>
          <w:hyperlink r:id="rId2" w:tooltip="EFSA Journal" w:history="1">
            <w:r w:rsidR="00E07A63" w:rsidRPr="0048503C">
              <w:rPr>
                <w:rStyle w:val="Hyperlink"/>
                <w:rFonts w:asciiTheme="minorHAnsi" w:hAnsiTheme="minorHAnsi"/>
                <w:color w:val="auto"/>
                <w:u w:val="none"/>
              </w:rPr>
              <w:t>www.efsa.europa.eu/efsajournal</w:t>
            </w:r>
          </w:hyperlink>
        </w:p>
      </w:tc>
      <w:tc>
        <w:tcPr>
          <w:tcW w:w="1666" w:type="pct"/>
        </w:tcPr>
        <w:p w14:paraId="6A7AB741" w14:textId="77777777" w:rsidR="00E07A63" w:rsidRPr="00EA0C60" w:rsidRDefault="00E07A63" w:rsidP="006536BE">
          <w:pPr>
            <w:pStyle w:val="EFSAFooter"/>
            <w:jc w:val="center"/>
            <w:rPr>
              <w:rFonts w:asciiTheme="minorHAnsi" w:hAnsiTheme="minorHAnsi"/>
            </w:rPr>
          </w:pPr>
          <w:r w:rsidRPr="00EA0C60">
            <w:rPr>
              <w:color w:val="2B579A"/>
              <w:shd w:val="clear" w:color="auto" w:fill="E6E6E6"/>
            </w:rPr>
            <w:fldChar w:fldCharType="begin"/>
          </w:r>
          <w:r w:rsidRPr="00EA0C60">
            <w:rPr>
              <w:rFonts w:asciiTheme="minorHAnsi" w:hAnsiTheme="minorHAnsi"/>
            </w:rPr>
            <w:instrText xml:space="preserve"> PAGE   \* MERGEFORMAT </w:instrText>
          </w:r>
          <w:r w:rsidRPr="00EA0C60">
            <w:rPr>
              <w:color w:val="2B579A"/>
              <w:shd w:val="clear" w:color="auto" w:fill="E6E6E6"/>
            </w:rPr>
            <w:fldChar w:fldCharType="separate"/>
          </w:r>
          <w:r>
            <w:rPr>
              <w:rFonts w:asciiTheme="minorHAnsi" w:hAnsiTheme="minorHAnsi"/>
              <w:noProof/>
            </w:rPr>
            <w:t>17</w:t>
          </w:r>
          <w:r w:rsidRPr="00EA0C60">
            <w:rPr>
              <w:color w:val="2B579A"/>
              <w:shd w:val="clear" w:color="auto" w:fill="E6E6E6"/>
            </w:rPr>
            <w:fldChar w:fldCharType="end"/>
          </w:r>
        </w:p>
      </w:tc>
      <w:tc>
        <w:tcPr>
          <w:tcW w:w="1668" w:type="pct"/>
        </w:tcPr>
        <w:p w14:paraId="33732F9C" w14:textId="77777777" w:rsidR="00E07A63" w:rsidRPr="002623C1" w:rsidRDefault="00E07A63" w:rsidP="006536BE">
          <w:pPr>
            <w:pStyle w:val="EFSAFooter"/>
            <w:jc w:val="right"/>
          </w:pPr>
          <w:r w:rsidRPr="002623C1">
            <w:rPr>
              <w:rFonts w:asciiTheme="minorHAnsi" w:hAnsiTheme="minorHAnsi"/>
            </w:rPr>
            <w:t>EFSA Journal 20</w:t>
          </w:r>
          <w:proofErr w:type="gramStart"/>
          <w:r w:rsidRPr="0048503C">
            <w:rPr>
              <w:rFonts w:asciiTheme="minorHAnsi" w:hAnsiTheme="minorHAnsi"/>
              <w:highlight w:val="yellow"/>
            </w:rPr>
            <w:t>YY</w:t>
          </w:r>
          <w:r w:rsidRPr="002623C1">
            <w:rPr>
              <w:rFonts w:asciiTheme="minorHAnsi" w:hAnsiTheme="minorHAnsi"/>
            </w:rPr>
            <w:t>;</w:t>
          </w:r>
          <w:r w:rsidRPr="002623C1">
            <w:rPr>
              <w:rFonts w:asciiTheme="minorHAnsi" w:hAnsiTheme="minorHAnsi"/>
              <w:highlight w:val="yellow"/>
            </w:rPr>
            <w:t>volume</w:t>
          </w:r>
          <w:proofErr w:type="gramEnd"/>
          <w:r w:rsidRPr="002623C1">
            <w:rPr>
              <w:rFonts w:asciiTheme="minorHAnsi" w:hAnsiTheme="minorHAnsi"/>
            </w:rPr>
            <w:t>(</w:t>
          </w:r>
          <w:r w:rsidRPr="002623C1">
            <w:rPr>
              <w:rFonts w:asciiTheme="minorHAnsi" w:hAnsiTheme="minorHAnsi"/>
              <w:highlight w:val="yellow"/>
            </w:rPr>
            <w:t>issue</w:t>
          </w:r>
          <w:r w:rsidRPr="002623C1">
            <w:rPr>
              <w:rFonts w:asciiTheme="minorHAnsi" w:hAnsiTheme="minorHAnsi"/>
            </w:rPr>
            <w:t>):</w:t>
          </w:r>
          <w:r w:rsidRPr="0048503C">
            <w:rPr>
              <w:rFonts w:asciiTheme="minorHAnsi" w:hAnsiTheme="minorHAnsi"/>
              <w:highlight w:val="yellow"/>
            </w:rPr>
            <w:t>NNNN</w:t>
          </w:r>
        </w:p>
      </w:tc>
    </w:tr>
  </w:tbl>
  <w:p w14:paraId="048740F3" w14:textId="77777777" w:rsidR="00E07A63" w:rsidRPr="002623C1" w:rsidRDefault="00E07A63" w:rsidP="00AD7D1A">
    <w:pPr>
      <w:pStyle w:val="Footer"/>
      <w:rPr>
        <w:sz w:val="2"/>
        <w:szCs w:val="2"/>
      </w:rPr>
    </w:pPr>
  </w:p>
  <w:p w14:paraId="51371A77" w14:textId="77777777" w:rsidR="00E07A63" w:rsidRPr="00807BA8" w:rsidRDefault="00E07A63" w:rsidP="00D72DE6">
    <w:pPr>
      <w:pStyle w:val="EFSA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Grid"/>
      <w:tblW w:w="5173"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66"/>
      <w:gridCol w:w="4212"/>
      <w:gridCol w:w="3256"/>
    </w:tblGrid>
    <w:tr w:rsidR="00E07A63" w:rsidRPr="00EA0C60" w14:paraId="467A6CCD" w14:textId="77777777" w:rsidTr="267526ED">
      <w:trPr>
        <w:trHeight w:val="140"/>
      </w:trPr>
      <w:tc>
        <w:tcPr>
          <w:tcW w:w="5000" w:type="pct"/>
          <w:gridSpan w:val="3"/>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39"/>
            <w:gridCol w:w="3238"/>
            <w:gridCol w:w="3241"/>
          </w:tblGrid>
          <w:tr w:rsidR="00E07A63" w:rsidRPr="00EA0C60" w14:paraId="487E5FFB" w14:textId="77777777" w:rsidTr="267526ED">
            <w:trPr>
              <w:trHeight w:val="98"/>
            </w:trPr>
            <w:tc>
              <w:tcPr>
                <w:tcW w:w="5000" w:type="pct"/>
                <w:gridSpan w:val="3"/>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68"/>
                  <w:gridCol w:w="3168"/>
                  <w:gridCol w:w="3166"/>
                </w:tblGrid>
                <w:tr w:rsidR="00E07A63" w:rsidRPr="00EA0C60" w14:paraId="1524C7DA" w14:textId="77777777" w:rsidTr="267526ED">
                  <w:trPr>
                    <w:trHeight w:val="98"/>
                  </w:trPr>
                  <w:tc>
                    <w:tcPr>
                      <w:tcW w:w="5000" w:type="pct"/>
                      <w:gridSpan w:val="3"/>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5"/>
                        <w:gridCol w:w="3094"/>
                        <w:gridCol w:w="3097"/>
                      </w:tblGrid>
                      <w:tr w:rsidR="00E07A63" w:rsidRPr="00EA0C60" w14:paraId="20E36DAB" w14:textId="77777777" w:rsidTr="267526ED">
                        <w:trPr>
                          <w:trHeight w:val="98"/>
                        </w:trPr>
                        <w:tc>
                          <w:tcPr>
                            <w:tcW w:w="5000" w:type="pct"/>
                            <w:gridSpan w:val="3"/>
                          </w:tcPr>
                          <w:p w14:paraId="32D85219" w14:textId="77777777" w:rsidR="00E07A63" w:rsidRPr="002623C1" w:rsidRDefault="00E07A63" w:rsidP="009B148D">
                            <w:pPr>
                              <w:pStyle w:val="EFSAFooter"/>
                              <w:rPr>
                                <w:rFonts w:asciiTheme="minorHAnsi" w:hAnsiTheme="minorHAnsi"/>
                              </w:rPr>
                            </w:pPr>
                            <w:r>
                              <w:rPr>
                                <w:noProof/>
                                <w:color w:val="2B579A"/>
                                <w:shd w:val="clear" w:color="auto" w:fill="E6E6E6"/>
                              </w:rPr>
                              <w:drawing>
                                <wp:inline distT="0" distB="0" distL="0" distR="0" wp14:anchorId="7EFB0E4B" wp14:editId="77BDE284">
                                  <wp:extent cx="5759998" cy="32400"/>
                                  <wp:effectExtent l="0" t="0" r="0" b="5715"/>
                                  <wp:docPr id="11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1">
                                            <a:extLst>
                                              <a:ext uri="{28A0092B-C50C-407E-A947-70E740481C1C}">
                                                <a14:useLocalDpi xmlns:a14="http://schemas.microsoft.com/office/drawing/2010/main" val="0"/>
                                              </a:ext>
                                            </a:extLst>
                                          </a:blip>
                                          <a:stretch>
                                            <a:fillRect/>
                                          </a:stretch>
                                        </pic:blipFill>
                                        <pic:spPr>
                                          <a:xfrm>
                                            <a:off x="0" y="0"/>
                                            <a:ext cx="5759998" cy="32400"/>
                                          </a:xfrm>
                                          <a:prstGeom prst="rect">
                                            <a:avLst/>
                                          </a:prstGeom>
                                        </pic:spPr>
                                      </pic:pic>
                                    </a:graphicData>
                                  </a:graphic>
                                </wp:inline>
                              </w:drawing>
                            </w:r>
                          </w:p>
                        </w:tc>
                      </w:tr>
                      <w:tr w:rsidR="00E07A63" w:rsidRPr="00EA0C60" w14:paraId="4BBA70E8" w14:textId="77777777" w:rsidTr="267526ED">
                        <w:trPr>
                          <w:trHeight w:val="97"/>
                        </w:trPr>
                        <w:tc>
                          <w:tcPr>
                            <w:tcW w:w="1666" w:type="pct"/>
                          </w:tcPr>
                          <w:p w14:paraId="75794618" w14:textId="77777777" w:rsidR="00E07A63" w:rsidRPr="002623C1" w:rsidRDefault="009615DC" w:rsidP="009B148D">
                            <w:pPr>
                              <w:pStyle w:val="EFSAFooter"/>
                            </w:pPr>
                            <w:hyperlink r:id="rId2" w:tooltip="EFSA Journal" w:history="1">
                              <w:r w:rsidR="00E07A63" w:rsidRPr="0048503C">
                                <w:rPr>
                                  <w:rStyle w:val="Hyperlink"/>
                                  <w:rFonts w:asciiTheme="minorHAnsi" w:hAnsiTheme="minorHAnsi"/>
                                  <w:color w:val="auto"/>
                                  <w:u w:val="none"/>
                                </w:rPr>
                                <w:t>www.efsa.europa.eu/efsajournal</w:t>
                              </w:r>
                            </w:hyperlink>
                          </w:p>
                        </w:tc>
                        <w:tc>
                          <w:tcPr>
                            <w:tcW w:w="1666" w:type="pct"/>
                          </w:tcPr>
                          <w:p w14:paraId="148D6471" w14:textId="77777777" w:rsidR="00E07A63" w:rsidRPr="00EA0C60" w:rsidRDefault="00E07A63" w:rsidP="009B148D">
                            <w:pPr>
                              <w:pStyle w:val="EFSAFooter"/>
                              <w:jc w:val="center"/>
                              <w:rPr>
                                <w:rFonts w:asciiTheme="minorHAnsi" w:hAnsiTheme="minorHAnsi"/>
                              </w:rPr>
                            </w:pPr>
                            <w:r w:rsidRPr="00EA0C60">
                              <w:rPr>
                                <w:color w:val="2B579A"/>
                                <w:shd w:val="clear" w:color="auto" w:fill="E6E6E6"/>
                              </w:rPr>
                              <w:fldChar w:fldCharType="begin"/>
                            </w:r>
                            <w:r w:rsidRPr="00EA0C60">
                              <w:rPr>
                                <w:rFonts w:asciiTheme="minorHAnsi" w:hAnsiTheme="minorHAnsi"/>
                              </w:rPr>
                              <w:instrText xml:space="preserve"> PAGE   \* MERGEFORMAT </w:instrText>
                            </w:r>
                            <w:r w:rsidRPr="00EA0C60">
                              <w:rPr>
                                <w:color w:val="2B579A"/>
                                <w:shd w:val="clear" w:color="auto" w:fill="E6E6E6"/>
                              </w:rPr>
                              <w:fldChar w:fldCharType="separate"/>
                            </w:r>
                            <w:r>
                              <w:rPr>
                                <w:rFonts w:asciiTheme="minorHAnsi" w:hAnsiTheme="minorHAnsi"/>
                                <w:noProof/>
                              </w:rPr>
                              <w:t>44</w:t>
                            </w:r>
                            <w:r w:rsidRPr="00EA0C60">
                              <w:rPr>
                                <w:color w:val="2B579A"/>
                                <w:shd w:val="clear" w:color="auto" w:fill="E6E6E6"/>
                              </w:rPr>
                              <w:fldChar w:fldCharType="end"/>
                            </w:r>
                          </w:p>
                        </w:tc>
                        <w:tc>
                          <w:tcPr>
                            <w:tcW w:w="1668" w:type="pct"/>
                          </w:tcPr>
                          <w:p w14:paraId="402A10F0" w14:textId="77777777" w:rsidR="00E07A63" w:rsidRPr="002623C1" w:rsidRDefault="00E07A63" w:rsidP="00340570">
                            <w:pPr>
                              <w:pStyle w:val="EFSAFooter"/>
                              <w:jc w:val="right"/>
                            </w:pPr>
                            <w:r w:rsidRPr="002623C1">
                              <w:rPr>
                                <w:rFonts w:asciiTheme="minorHAnsi" w:hAnsiTheme="minorHAnsi"/>
                              </w:rPr>
                              <w:t xml:space="preserve">EFSA Journal </w:t>
                            </w:r>
                            <w:proofErr w:type="gramStart"/>
                            <w:r w:rsidRPr="002623C1">
                              <w:rPr>
                                <w:rFonts w:asciiTheme="minorHAnsi" w:hAnsiTheme="minorHAnsi"/>
                              </w:rPr>
                              <w:t>20</w:t>
                            </w:r>
                            <w:r>
                              <w:rPr>
                                <w:rFonts w:asciiTheme="minorHAnsi" w:hAnsiTheme="minorHAnsi"/>
                              </w:rPr>
                              <w:t>17</w:t>
                            </w:r>
                            <w:r w:rsidRPr="002623C1">
                              <w:rPr>
                                <w:rFonts w:asciiTheme="minorHAnsi" w:hAnsiTheme="minorHAnsi"/>
                              </w:rPr>
                              <w:t>;</w:t>
                            </w:r>
                            <w:r w:rsidRPr="002623C1">
                              <w:rPr>
                                <w:rFonts w:asciiTheme="minorHAnsi" w:hAnsiTheme="minorHAnsi"/>
                                <w:highlight w:val="yellow"/>
                              </w:rPr>
                              <w:t>volume</w:t>
                            </w:r>
                            <w:proofErr w:type="gramEnd"/>
                            <w:r w:rsidRPr="002623C1">
                              <w:rPr>
                                <w:rFonts w:asciiTheme="minorHAnsi" w:hAnsiTheme="minorHAnsi"/>
                              </w:rPr>
                              <w:t>(</w:t>
                            </w:r>
                            <w:r w:rsidRPr="002623C1">
                              <w:rPr>
                                <w:rFonts w:asciiTheme="minorHAnsi" w:hAnsiTheme="minorHAnsi"/>
                                <w:highlight w:val="yellow"/>
                              </w:rPr>
                              <w:t>issue</w:t>
                            </w:r>
                            <w:r w:rsidRPr="002623C1">
                              <w:rPr>
                                <w:rFonts w:asciiTheme="minorHAnsi" w:hAnsiTheme="minorHAnsi"/>
                              </w:rPr>
                              <w:t>):</w:t>
                            </w:r>
                            <w:r>
                              <w:rPr>
                                <w:rFonts w:asciiTheme="minorHAnsi" w:hAnsiTheme="minorHAnsi"/>
                              </w:rPr>
                              <w:t>4658</w:t>
                            </w:r>
                          </w:p>
                        </w:tc>
                      </w:tr>
                    </w:tbl>
                    <w:p w14:paraId="0CE19BC3" w14:textId="77777777" w:rsidR="00E07A63" w:rsidRPr="002623C1" w:rsidRDefault="00E07A63" w:rsidP="009B148D">
                      <w:pPr>
                        <w:pStyle w:val="EFSAFooter"/>
                        <w:rPr>
                          <w:rFonts w:asciiTheme="minorHAnsi" w:hAnsiTheme="minorHAnsi"/>
                        </w:rPr>
                      </w:pPr>
                    </w:p>
                  </w:tc>
                </w:tr>
                <w:tr w:rsidR="00E07A63" w:rsidRPr="00EA0C60" w14:paraId="63966B72" w14:textId="77777777" w:rsidTr="267526ED">
                  <w:trPr>
                    <w:trHeight w:val="97"/>
                  </w:trPr>
                  <w:tc>
                    <w:tcPr>
                      <w:tcW w:w="1667" w:type="pct"/>
                    </w:tcPr>
                    <w:p w14:paraId="23536548" w14:textId="77777777" w:rsidR="00E07A63" w:rsidRPr="002623C1" w:rsidRDefault="00E07A63" w:rsidP="009B148D">
                      <w:pPr>
                        <w:pStyle w:val="EFSAFooter"/>
                      </w:pPr>
                    </w:p>
                  </w:tc>
                  <w:tc>
                    <w:tcPr>
                      <w:tcW w:w="1667" w:type="pct"/>
                    </w:tcPr>
                    <w:p w14:paraId="271AE1F2" w14:textId="77777777" w:rsidR="00E07A63" w:rsidRPr="002623C1" w:rsidRDefault="00E07A63" w:rsidP="009B148D">
                      <w:pPr>
                        <w:pStyle w:val="EFSAFooter"/>
                        <w:jc w:val="center"/>
                      </w:pPr>
                    </w:p>
                  </w:tc>
                  <w:tc>
                    <w:tcPr>
                      <w:tcW w:w="1666" w:type="pct"/>
                    </w:tcPr>
                    <w:p w14:paraId="4AE5B7AF" w14:textId="77777777" w:rsidR="00E07A63" w:rsidRPr="002623C1" w:rsidRDefault="00E07A63" w:rsidP="009B148D">
                      <w:pPr>
                        <w:pStyle w:val="EFSAFooter"/>
                        <w:jc w:val="right"/>
                        <w:rPr>
                          <w:rFonts w:asciiTheme="minorHAnsi" w:hAnsiTheme="minorHAnsi"/>
                        </w:rPr>
                      </w:pPr>
                    </w:p>
                  </w:tc>
                </w:tr>
              </w:tbl>
              <w:p w14:paraId="3955E093" w14:textId="77777777" w:rsidR="00E07A63" w:rsidRPr="002623C1" w:rsidRDefault="00E07A63" w:rsidP="009B148D">
                <w:pPr>
                  <w:pStyle w:val="EFSAFooter"/>
                  <w:rPr>
                    <w:rFonts w:asciiTheme="minorHAnsi" w:hAnsiTheme="minorHAnsi"/>
                  </w:rPr>
                </w:pPr>
              </w:p>
            </w:tc>
          </w:tr>
          <w:tr w:rsidR="00E07A63" w:rsidRPr="00EA0C60" w14:paraId="12C42424" w14:textId="77777777" w:rsidTr="267526ED">
            <w:trPr>
              <w:trHeight w:val="97"/>
            </w:trPr>
            <w:tc>
              <w:tcPr>
                <w:tcW w:w="1666" w:type="pct"/>
              </w:tcPr>
              <w:p w14:paraId="379CA55B" w14:textId="77777777" w:rsidR="00E07A63" w:rsidRPr="002623C1" w:rsidRDefault="00E07A63" w:rsidP="009B148D">
                <w:pPr>
                  <w:pStyle w:val="EFSAFooter"/>
                </w:pPr>
              </w:p>
            </w:tc>
            <w:tc>
              <w:tcPr>
                <w:tcW w:w="1666" w:type="pct"/>
              </w:tcPr>
              <w:p w14:paraId="5ABF93C4" w14:textId="77777777" w:rsidR="00E07A63" w:rsidRPr="00EA0C60" w:rsidRDefault="00E07A63" w:rsidP="009B148D">
                <w:pPr>
                  <w:pStyle w:val="EFSAFooter"/>
                  <w:jc w:val="center"/>
                  <w:rPr>
                    <w:rFonts w:asciiTheme="minorHAnsi" w:hAnsiTheme="minorHAnsi"/>
                  </w:rPr>
                </w:pPr>
              </w:p>
            </w:tc>
            <w:tc>
              <w:tcPr>
                <w:tcW w:w="1668" w:type="pct"/>
              </w:tcPr>
              <w:p w14:paraId="71DCB018" w14:textId="77777777" w:rsidR="00E07A63" w:rsidRPr="002623C1" w:rsidRDefault="00E07A63" w:rsidP="009B148D">
                <w:pPr>
                  <w:pStyle w:val="EFSAFooter"/>
                  <w:jc w:val="right"/>
                </w:pPr>
              </w:p>
            </w:tc>
          </w:tr>
        </w:tbl>
        <w:p w14:paraId="4B644A8D" w14:textId="77777777" w:rsidR="00E07A63" w:rsidRPr="002623C1" w:rsidRDefault="00E07A63" w:rsidP="00EA0C60">
          <w:pPr>
            <w:pStyle w:val="EFSAFooter"/>
            <w:rPr>
              <w:rFonts w:asciiTheme="minorHAnsi" w:hAnsiTheme="minorHAnsi"/>
            </w:rPr>
          </w:pPr>
        </w:p>
      </w:tc>
    </w:tr>
    <w:tr w:rsidR="00E07A63" w:rsidRPr="00EA0C60" w14:paraId="082C48EB" w14:textId="77777777" w:rsidTr="267526ED">
      <w:trPr>
        <w:trHeight w:val="97"/>
      </w:trPr>
      <w:tc>
        <w:tcPr>
          <w:tcW w:w="1241" w:type="pct"/>
        </w:tcPr>
        <w:p w14:paraId="2677290C" w14:textId="77777777" w:rsidR="00E07A63" w:rsidRPr="002623C1" w:rsidRDefault="00E07A63" w:rsidP="00EA0C60">
          <w:pPr>
            <w:pStyle w:val="EFSAFooter"/>
          </w:pPr>
        </w:p>
      </w:tc>
      <w:tc>
        <w:tcPr>
          <w:tcW w:w="2120" w:type="pct"/>
        </w:tcPr>
        <w:p w14:paraId="249BF8C6" w14:textId="77777777" w:rsidR="00E07A63" w:rsidRPr="00EA0C60" w:rsidRDefault="00E07A63" w:rsidP="00EA0C60">
          <w:pPr>
            <w:pStyle w:val="EFSAFooter"/>
            <w:jc w:val="center"/>
            <w:rPr>
              <w:rFonts w:asciiTheme="minorHAnsi" w:hAnsiTheme="minorHAnsi"/>
            </w:rPr>
          </w:pPr>
        </w:p>
      </w:tc>
      <w:tc>
        <w:tcPr>
          <w:tcW w:w="1639" w:type="pct"/>
        </w:tcPr>
        <w:p w14:paraId="0EF46479" w14:textId="77777777" w:rsidR="00E07A63" w:rsidRPr="002623C1" w:rsidRDefault="00E07A63" w:rsidP="0048503C">
          <w:pPr>
            <w:pStyle w:val="EFSAFooter"/>
            <w:jc w:val="right"/>
          </w:pPr>
        </w:p>
      </w:tc>
    </w:tr>
  </w:tbl>
  <w:p w14:paraId="3AB58C42" w14:textId="77777777" w:rsidR="00E07A63" w:rsidRPr="002623C1" w:rsidRDefault="00E07A63" w:rsidP="002623C1">
    <w:pPr>
      <w:pStyle w:val="Footer"/>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8F4997" w14:textId="5FD8C3FD" w:rsidR="00E07A63" w:rsidRPr="009E716E" w:rsidRDefault="00E07A63">
    <w:pPr>
      <w:pStyle w:val="EFSAFooter"/>
      <w:rPr>
        <w:lang w:val="fr-BE"/>
      </w:rPr>
    </w:pPr>
    <w:r w:rsidRPr="009E716E">
      <w:rPr>
        <w:color w:val="2B579A"/>
        <w:shd w:val="clear" w:color="auto" w:fill="E6E6E6"/>
        <w:lang w:val="fr-BE"/>
      </w:rPr>
      <w:t>www.efsa.europa.eu/efsajournal</w:t>
    </w:r>
    <w:r w:rsidRPr="009E716E">
      <w:rPr>
        <w:color w:val="2B579A"/>
        <w:shd w:val="clear" w:color="auto" w:fill="E6E6E6"/>
        <w:lang w:val="fr-BE"/>
      </w:rPr>
      <w:tab/>
    </w:r>
    <w:r>
      <w:rPr>
        <w:color w:val="2B579A"/>
        <w:shd w:val="clear" w:color="auto" w:fill="E6E6E6"/>
      </w:rPr>
      <w:fldChar w:fldCharType="begin"/>
    </w:r>
    <w:r w:rsidRPr="00C836DD">
      <w:rPr>
        <w:lang w:val="fr-BE"/>
      </w:rPr>
      <w:instrText xml:space="preserve"> PAGE </w:instrText>
    </w:r>
    <w:r>
      <w:rPr>
        <w:color w:val="2B579A"/>
        <w:shd w:val="clear" w:color="auto" w:fill="E6E6E6"/>
      </w:rPr>
      <w:fldChar w:fldCharType="separate"/>
    </w:r>
    <w:r w:rsidRPr="009E716E">
      <w:rPr>
        <w:color w:val="2B579A"/>
        <w:shd w:val="clear" w:color="auto" w:fill="E6E6E6"/>
        <w:lang w:val="fr-BE"/>
      </w:rPr>
      <w:t>10</w:t>
    </w:r>
    <w:r>
      <w:rPr>
        <w:color w:val="2B579A"/>
        <w:shd w:val="clear" w:color="auto" w:fill="E6E6E6"/>
      </w:rPr>
      <w:fldChar w:fldCharType="end"/>
    </w:r>
    <w:r w:rsidRPr="009E716E">
      <w:rPr>
        <w:color w:val="2B579A"/>
        <w:shd w:val="clear" w:color="auto" w:fill="E6E6E6"/>
        <w:lang w:val="fr-BE"/>
      </w:rPr>
      <w:tab/>
      <w:t xml:space="preserve">EFSA Journal </w:t>
    </w:r>
    <w:r w:rsidRPr="009E716E">
      <w:rPr>
        <w:color w:val="2B579A"/>
        <w:shd w:val="clear" w:color="auto" w:fill="FFFF00"/>
        <w:lang w:val="fr-BE"/>
      </w:rPr>
      <w:t>20</w:t>
    </w:r>
    <w:proofErr w:type="gramStart"/>
    <w:r w:rsidRPr="009E716E">
      <w:rPr>
        <w:color w:val="2B579A"/>
        <w:shd w:val="clear" w:color="auto" w:fill="FFFF00"/>
        <w:lang w:val="fr-BE"/>
      </w:rPr>
      <w:t>XX:</w:t>
    </w:r>
    <w:proofErr w:type="gramEnd"/>
    <w:r w:rsidRPr="009E716E">
      <w:rPr>
        <w:color w:val="2B579A"/>
        <w:shd w:val="clear" w:color="auto" w:fill="FFFF00"/>
        <w:lang w:val="fr-BE"/>
      </w:rPr>
      <w:t xml:space="preserve"> volume(</w:t>
    </w:r>
    <w:r>
      <w:rPr>
        <w:noProof/>
        <w:color w:val="2B579A"/>
        <w:shd w:val="clear" w:color="auto" w:fill="E6E6E6"/>
        <w:lang w:eastAsia="en-GB"/>
      </w:rPr>
      <w:drawing>
        <wp:inline distT="0" distB="0" distL="0" distR="0" wp14:anchorId="7801EE6D" wp14:editId="7D24CB6C">
          <wp:extent cx="8277225" cy="38100"/>
          <wp:effectExtent l="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color w:val="2B579A"/>
        <w:shd w:val="clear" w:color="auto" w:fill="E6E6E6"/>
        <w:lang w:eastAsia="en-GB"/>
      </w:rPr>
      <w:drawing>
        <wp:inline distT="0" distB="0" distL="0" distR="0" wp14:anchorId="079CE9CB" wp14:editId="29C1D874">
          <wp:extent cx="8277225" cy="3810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color w:val="2B579A"/>
        <w:shd w:val="clear" w:color="auto" w:fill="E6E6E6"/>
        <w:lang w:eastAsia="en-GB"/>
      </w:rPr>
      <w:drawing>
        <wp:inline distT="0" distB="0" distL="0" distR="0" wp14:anchorId="0C99AD77" wp14:editId="7EA0611A">
          <wp:extent cx="8277225" cy="381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color w:val="2B579A"/>
        <w:shd w:val="clear" w:color="auto" w:fill="E6E6E6"/>
        <w:lang w:eastAsia="en-GB"/>
      </w:rPr>
      <w:drawing>
        <wp:inline distT="0" distB="0" distL="0" distR="0" wp14:anchorId="69BA2F75" wp14:editId="26BB95DD">
          <wp:extent cx="8277225" cy="38100"/>
          <wp:effectExtent l="0" t="0" r="9525"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color w:val="2B579A"/>
        <w:shd w:val="clear" w:color="auto" w:fill="E6E6E6"/>
        <w:lang w:eastAsia="en-GB"/>
      </w:rPr>
      <w:drawing>
        <wp:inline distT="0" distB="0" distL="0" distR="0" wp14:anchorId="05710A84" wp14:editId="5CAD2B84">
          <wp:extent cx="8277225" cy="38100"/>
          <wp:effectExtent l="0" t="0" r="952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color w:val="2B579A"/>
        <w:shd w:val="clear" w:color="auto" w:fill="E6E6E6"/>
        <w:lang w:eastAsia="en-GB"/>
      </w:rPr>
      <w:drawing>
        <wp:inline distT="0" distB="0" distL="0" distR="0" wp14:anchorId="7A6B3E51" wp14:editId="7F42A1AF">
          <wp:extent cx="8277225" cy="38100"/>
          <wp:effectExtent l="0" t="0" r="952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color w:val="2B579A"/>
        <w:shd w:val="clear" w:color="auto" w:fill="E6E6E6"/>
        <w:lang w:eastAsia="en-GB"/>
      </w:rPr>
      <w:drawing>
        <wp:inline distT="0" distB="0" distL="0" distR="0" wp14:anchorId="3A41A4F2" wp14:editId="0361A0D3">
          <wp:extent cx="8277225" cy="38100"/>
          <wp:effectExtent l="0" t="0" r="9525"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color w:val="2B579A"/>
        <w:shd w:val="clear" w:color="auto" w:fill="E6E6E6"/>
        <w:lang w:eastAsia="en-GB"/>
      </w:rPr>
      <w:drawing>
        <wp:inline distT="0" distB="0" distL="0" distR="0" wp14:anchorId="53636803" wp14:editId="279A1F1F">
          <wp:extent cx="8277225" cy="38100"/>
          <wp:effectExtent l="0" t="0" r="9525"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color w:val="2B579A"/>
        <w:shd w:val="clear" w:color="auto" w:fill="E6E6E6"/>
        <w:lang w:eastAsia="en-GB"/>
      </w:rPr>
      <w:drawing>
        <wp:inline distT="0" distB="0" distL="0" distR="0" wp14:anchorId="5EA8AE8B" wp14:editId="083CF2E0">
          <wp:extent cx="8277225" cy="38100"/>
          <wp:effectExtent l="0" t="0" r="9525"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color w:val="2B579A"/>
        <w:shd w:val="clear" w:color="auto" w:fill="E6E6E6"/>
        <w:lang w:eastAsia="en-GB"/>
      </w:rPr>
      <w:drawing>
        <wp:inline distT="0" distB="0" distL="0" distR="0" wp14:anchorId="253E2FD4" wp14:editId="5DBD912F">
          <wp:extent cx="8277225" cy="38100"/>
          <wp:effectExtent l="0" t="0" r="9525" b="0"/>
          <wp:docPr id="1941084864" name="Picture 1941084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color w:val="2B579A"/>
        <w:shd w:val="clear" w:color="auto" w:fill="E6E6E6"/>
        <w:lang w:eastAsia="en-GB"/>
      </w:rPr>
      <w:drawing>
        <wp:inline distT="0" distB="0" distL="0" distR="0" wp14:anchorId="4C77A89E" wp14:editId="258C887F">
          <wp:extent cx="8277225" cy="38100"/>
          <wp:effectExtent l="0" t="0" r="9525" b="0"/>
          <wp:docPr id="1941084865" name="Picture 1941084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color w:val="2B579A"/>
        <w:shd w:val="clear" w:color="auto" w:fill="E6E6E6"/>
        <w:lang w:eastAsia="en-GB"/>
      </w:rPr>
      <w:drawing>
        <wp:inline distT="0" distB="0" distL="0" distR="0" wp14:anchorId="1B5D3479" wp14:editId="61B2D29B">
          <wp:extent cx="8277225" cy="38100"/>
          <wp:effectExtent l="0" t="0" r="9525" b="0"/>
          <wp:docPr id="1941084866" name="Picture 1941084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color w:val="2B579A"/>
        <w:shd w:val="clear" w:color="auto" w:fill="E6E6E6"/>
        <w:lang w:eastAsia="en-GB"/>
      </w:rPr>
      <w:drawing>
        <wp:inline distT="0" distB="0" distL="0" distR="0" wp14:anchorId="24467D8B" wp14:editId="3F4B134A">
          <wp:extent cx="8277225" cy="38100"/>
          <wp:effectExtent l="0" t="0" r="9525" b="0"/>
          <wp:docPr id="1941084867" name="Picture 1941084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color w:val="2B579A"/>
        <w:shd w:val="clear" w:color="auto" w:fill="E6E6E6"/>
        <w:lang w:eastAsia="en-GB"/>
      </w:rPr>
      <w:drawing>
        <wp:inline distT="0" distB="0" distL="0" distR="0" wp14:anchorId="3E2FD6E6" wp14:editId="4C54074D">
          <wp:extent cx="8277225" cy="38100"/>
          <wp:effectExtent l="0" t="0" r="9525" b="0"/>
          <wp:docPr id="1941084868" name="Picture 1941084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color w:val="2B579A"/>
        <w:shd w:val="clear" w:color="auto" w:fill="E6E6E6"/>
        <w:lang w:eastAsia="en-GB"/>
      </w:rPr>
      <w:drawing>
        <wp:inline distT="0" distB="0" distL="0" distR="0" wp14:anchorId="4EA8F554" wp14:editId="42D887FC">
          <wp:extent cx="8277225" cy="38100"/>
          <wp:effectExtent l="0" t="0" r="9525" b="0"/>
          <wp:docPr id="1941084869" name="Picture 1941084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color w:val="2B579A"/>
        <w:shd w:val="clear" w:color="auto" w:fill="E6E6E6"/>
        <w:lang w:eastAsia="en-GB"/>
      </w:rPr>
      <w:drawing>
        <wp:inline distT="0" distB="0" distL="0" distR="0" wp14:anchorId="07E59AAE" wp14:editId="0E6BA74F">
          <wp:extent cx="8277225" cy="38100"/>
          <wp:effectExtent l="0" t="0" r="9525" b="0"/>
          <wp:docPr id="1941084870" name="Picture 194108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color w:val="2B579A"/>
        <w:shd w:val="clear" w:color="auto" w:fill="E6E6E6"/>
        <w:lang w:eastAsia="en-GB"/>
      </w:rPr>
      <w:drawing>
        <wp:anchor distT="0" distB="0" distL="114300" distR="114300" simplePos="0" relativeHeight="251658240" behindDoc="0" locked="0" layoutInCell="1" allowOverlap="1" wp14:anchorId="52FE279D" wp14:editId="7B42886D">
          <wp:simplePos x="0" y="0"/>
          <wp:positionH relativeFrom="column">
            <wp:posOffset>-722630</wp:posOffset>
          </wp:positionH>
          <wp:positionV relativeFrom="paragraph">
            <wp:posOffset>-44450</wp:posOffset>
          </wp:positionV>
          <wp:extent cx="7559675" cy="35560"/>
          <wp:effectExtent l="0" t="0" r="3175" b="2540"/>
          <wp:wrapNone/>
          <wp:docPr id="194108487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3556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color w:val="2B579A"/>
        <w:shd w:val="clear" w:color="auto" w:fill="E6E6E6"/>
      </w:rPr>
      <w:drawing>
        <wp:inline distT="0" distB="0" distL="0" distR="0" wp14:anchorId="62C15A5E" wp14:editId="43D0811F">
          <wp:extent cx="8277226" cy="38100"/>
          <wp:effectExtent l="0" t="0" r="9525" b="0"/>
          <wp:docPr id="194108487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pic:nvPicPr>
                <pic:blipFill>
                  <a:blip r:embed="rId1">
                    <a:extLst>
                      <a:ext uri="{28A0092B-C50C-407E-A947-70E740481C1C}">
                        <a14:useLocalDpi xmlns:a14="http://schemas.microsoft.com/office/drawing/2010/main" val="0"/>
                      </a:ext>
                    </a:extLst>
                  </a:blip>
                  <a:stretch>
                    <a:fillRect/>
                  </a:stretch>
                </pic:blipFill>
                <pic:spPr>
                  <a:xfrm>
                    <a:off x="0" y="0"/>
                    <a:ext cx="8277226" cy="38100"/>
                  </a:xfrm>
                  <a:prstGeom prst="rect">
                    <a:avLst/>
                  </a:prstGeom>
                </pic:spPr>
              </pic:pic>
            </a:graphicData>
          </a:graphic>
        </wp:inline>
      </w:drawing>
    </w:r>
    <w:r>
      <w:rPr>
        <w:noProof/>
        <w:color w:val="2B579A"/>
        <w:shd w:val="clear" w:color="auto" w:fill="E6E6E6"/>
      </w:rPr>
      <w:drawing>
        <wp:anchor distT="0" distB="0" distL="114300" distR="114300" simplePos="0" relativeHeight="251658243" behindDoc="0" locked="0" layoutInCell="1" allowOverlap="1" wp14:anchorId="778959C5" wp14:editId="4591766A">
          <wp:simplePos x="0" y="0"/>
          <wp:positionH relativeFrom="column">
            <wp:align>left</wp:align>
          </wp:positionH>
          <wp:positionV relativeFrom="paragraph">
            <wp:posOffset>0</wp:posOffset>
          </wp:positionV>
          <wp:extent cx="7559674" cy="35560"/>
          <wp:effectExtent l="0" t="0" r="0" b="0"/>
          <wp:wrapNone/>
          <wp:docPr id="194108487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7559674" cy="35560"/>
                  </a:xfrm>
                  <a:prstGeom prst="rect">
                    <a:avLst/>
                  </a:prstGeom>
                </pic:spPr>
              </pic:pic>
            </a:graphicData>
          </a:graphic>
          <wp14:sizeRelH relativeFrom="page">
            <wp14:pctWidth>0</wp14:pctWidth>
          </wp14:sizeRelH>
          <wp14:sizeRelV relativeFrom="page">
            <wp14:pctHeight>0</wp14:pctHeight>
          </wp14:sizeRelV>
        </wp:anchor>
      </w:drawing>
    </w:r>
  </w:p>
  <w:p w14:paraId="4EA9BA15" w14:textId="77777777" w:rsidR="00E07A63" w:rsidRPr="009E716E" w:rsidRDefault="00E07A63">
    <w:pPr>
      <w:rPr>
        <w:lang w:val="fr-BE"/>
      </w:rPr>
    </w:pPr>
  </w:p>
  <w:p w14:paraId="7332107B" w14:textId="77777777" w:rsidR="00E07A63" w:rsidRPr="009E716E" w:rsidRDefault="00E07A63">
    <w:pPr>
      <w:rPr>
        <w:lang w:val="fr-BE"/>
      </w:rPr>
    </w:pPr>
  </w:p>
  <w:p w14:paraId="5D98A3F1" w14:textId="77777777" w:rsidR="00E07A63" w:rsidRPr="009E716E" w:rsidRDefault="00E07A63">
    <w:pPr>
      <w:rPr>
        <w:lang w:val="fr-BE"/>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3"/>
      <w:gridCol w:w="3022"/>
      <w:gridCol w:w="3025"/>
    </w:tblGrid>
    <w:tr w:rsidR="00E07A63" w:rsidRPr="00EA0C60" w14:paraId="2780AF0D" w14:textId="77777777" w:rsidTr="267526ED">
      <w:trPr>
        <w:trHeight w:val="98"/>
      </w:trPr>
      <w:tc>
        <w:tcPr>
          <w:tcW w:w="5000" w:type="pct"/>
          <w:gridSpan w:val="3"/>
        </w:tcPr>
        <w:p w14:paraId="46FC4A0D" w14:textId="77777777" w:rsidR="00E07A63" w:rsidRPr="002623C1" w:rsidRDefault="00E07A63" w:rsidP="00CB13F3">
          <w:pPr>
            <w:pStyle w:val="EFSAFooter"/>
            <w:rPr>
              <w:rFonts w:asciiTheme="minorHAnsi" w:hAnsiTheme="minorHAnsi"/>
            </w:rPr>
          </w:pPr>
          <w:r>
            <w:rPr>
              <w:noProof/>
              <w:color w:val="2B579A"/>
              <w:shd w:val="clear" w:color="auto" w:fill="E6E6E6"/>
            </w:rPr>
            <w:drawing>
              <wp:inline distT="0" distB="0" distL="0" distR="0" wp14:anchorId="4278A7FF" wp14:editId="29430520">
                <wp:extent cx="5759998" cy="32400"/>
                <wp:effectExtent l="0" t="0" r="0" b="5715"/>
                <wp:docPr id="1941084874"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pic:nvPicPr>
                      <pic:blipFill>
                        <a:blip r:embed="rId1">
                          <a:extLst>
                            <a:ext uri="{28A0092B-C50C-407E-A947-70E740481C1C}">
                              <a14:useLocalDpi xmlns:a14="http://schemas.microsoft.com/office/drawing/2010/main" val="0"/>
                            </a:ext>
                          </a:extLst>
                        </a:blip>
                        <a:stretch>
                          <a:fillRect/>
                        </a:stretch>
                      </pic:blipFill>
                      <pic:spPr>
                        <a:xfrm>
                          <a:off x="0" y="0"/>
                          <a:ext cx="5759998" cy="32400"/>
                        </a:xfrm>
                        <a:prstGeom prst="rect">
                          <a:avLst/>
                        </a:prstGeom>
                      </pic:spPr>
                    </pic:pic>
                  </a:graphicData>
                </a:graphic>
              </wp:inline>
            </w:drawing>
          </w:r>
        </w:p>
      </w:tc>
    </w:tr>
    <w:tr w:rsidR="00E07A63" w:rsidRPr="00EA0C60" w14:paraId="6F1851B1" w14:textId="77777777" w:rsidTr="267526ED">
      <w:trPr>
        <w:trHeight w:val="97"/>
      </w:trPr>
      <w:tc>
        <w:tcPr>
          <w:tcW w:w="1666" w:type="pct"/>
        </w:tcPr>
        <w:p w14:paraId="2E033A1D" w14:textId="77777777" w:rsidR="00E07A63" w:rsidRPr="002623C1" w:rsidRDefault="009615DC" w:rsidP="00CB13F3">
          <w:pPr>
            <w:pStyle w:val="EFSAFooter"/>
          </w:pPr>
          <w:hyperlink r:id="rId2" w:tooltip="EFSA Journal" w:history="1">
            <w:r w:rsidR="00E07A63" w:rsidRPr="0048503C">
              <w:rPr>
                <w:rStyle w:val="Hyperlink"/>
                <w:rFonts w:asciiTheme="minorHAnsi" w:hAnsiTheme="minorHAnsi"/>
                <w:color w:val="auto"/>
                <w:u w:val="none"/>
              </w:rPr>
              <w:t>www.efsa.europa.eu/efsajournal</w:t>
            </w:r>
          </w:hyperlink>
        </w:p>
      </w:tc>
      <w:tc>
        <w:tcPr>
          <w:tcW w:w="1666" w:type="pct"/>
        </w:tcPr>
        <w:p w14:paraId="743651E8" w14:textId="77777777" w:rsidR="00E07A63" w:rsidRPr="00EA0C60" w:rsidRDefault="00E07A63" w:rsidP="00CB13F3">
          <w:pPr>
            <w:pStyle w:val="EFSAFooter"/>
            <w:jc w:val="center"/>
            <w:rPr>
              <w:rFonts w:asciiTheme="minorHAnsi" w:hAnsiTheme="minorHAnsi"/>
            </w:rPr>
          </w:pPr>
          <w:r w:rsidRPr="00EA0C60">
            <w:rPr>
              <w:color w:val="2B579A"/>
              <w:shd w:val="clear" w:color="auto" w:fill="E6E6E6"/>
            </w:rPr>
            <w:fldChar w:fldCharType="begin"/>
          </w:r>
          <w:r w:rsidRPr="00EA0C60">
            <w:rPr>
              <w:rFonts w:asciiTheme="minorHAnsi" w:hAnsiTheme="minorHAnsi"/>
            </w:rPr>
            <w:instrText xml:space="preserve"> PAGE   \* MERGEFORMAT </w:instrText>
          </w:r>
          <w:r w:rsidRPr="00EA0C60">
            <w:rPr>
              <w:color w:val="2B579A"/>
              <w:shd w:val="clear" w:color="auto" w:fill="E6E6E6"/>
            </w:rPr>
            <w:fldChar w:fldCharType="separate"/>
          </w:r>
          <w:r>
            <w:rPr>
              <w:rFonts w:asciiTheme="minorHAnsi" w:hAnsiTheme="minorHAnsi"/>
              <w:noProof/>
            </w:rPr>
            <w:t>51</w:t>
          </w:r>
          <w:r w:rsidRPr="00EA0C60">
            <w:rPr>
              <w:color w:val="2B579A"/>
              <w:shd w:val="clear" w:color="auto" w:fill="E6E6E6"/>
            </w:rPr>
            <w:fldChar w:fldCharType="end"/>
          </w:r>
        </w:p>
      </w:tc>
      <w:tc>
        <w:tcPr>
          <w:tcW w:w="1668" w:type="pct"/>
        </w:tcPr>
        <w:p w14:paraId="028A6020" w14:textId="77777777" w:rsidR="00E07A63" w:rsidRPr="002623C1" w:rsidRDefault="00E07A63" w:rsidP="00AD2DDD">
          <w:pPr>
            <w:pStyle w:val="EFSAFooter"/>
            <w:jc w:val="right"/>
          </w:pPr>
          <w:r w:rsidRPr="002623C1">
            <w:rPr>
              <w:rFonts w:asciiTheme="minorHAnsi" w:hAnsiTheme="minorHAnsi"/>
            </w:rPr>
            <w:t xml:space="preserve">EFSA Journal </w:t>
          </w:r>
          <w:proofErr w:type="gramStart"/>
          <w:r w:rsidRPr="002623C1">
            <w:rPr>
              <w:rFonts w:asciiTheme="minorHAnsi" w:hAnsiTheme="minorHAnsi"/>
            </w:rPr>
            <w:t>20</w:t>
          </w:r>
          <w:r>
            <w:rPr>
              <w:rFonts w:asciiTheme="minorHAnsi" w:hAnsiTheme="minorHAnsi"/>
            </w:rPr>
            <w:t>17</w:t>
          </w:r>
          <w:r w:rsidRPr="002623C1">
            <w:rPr>
              <w:rFonts w:asciiTheme="minorHAnsi" w:hAnsiTheme="minorHAnsi"/>
            </w:rPr>
            <w:t>;</w:t>
          </w:r>
          <w:r w:rsidRPr="002623C1">
            <w:rPr>
              <w:rFonts w:asciiTheme="minorHAnsi" w:hAnsiTheme="minorHAnsi"/>
              <w:highlight w:val="yellow"/>
            </w:rPr>
            <w:t>volume</w:t>
          </w:r>
          <w:proofErr w:type="gramEnd"/>
          <w:r w:rsidRPr="002623C1">
            <w:rPr>
              <w:rFonts w:asciiTheme="minorHAnsi" w:hAnsiTheme="minorHAnsi"/>
            </w:rPr>
            <w:t>(</w:t>
          </w:r>
          <w:r w:rsidRPr="002623C1">
            <w:rPr>
              <w:rFonts w:asciiTheme="minorHAnsi" w:hAnsiTheme="minorHAnsi"/>
              <w:highlight w:val="yellow"/>
            </w:rPr>
            <w:t>issue</w:t>
          </w:r>
          <w:r w:rsidRPr="002623C1">
            <w:rPr>
              <w:rFonts w:asciiTheme="minorHAnsi" w:hAnsiTheme="minorHAnsi"/>
            </w:rPr>
            <w:t>):</w:t>
          </w:r>
          <w:r>
            <w:rPr>
              <w:rFonts w:asciiTheme="minorHAnsi" w:hAnsiTheme="minorHAnsi"/>
              <w:highlight w:val="yellow"/>
            </w:rPr>
            <w:t>NNNN</w:t>
          </w:r>
        </w:p>
      </w:tc>
    </w:tr>
  </w:tbl>
  <w:p w14:paraId="4DC2ECC6" w14:textId="77777777" w:rsidR="00E07A63" w:rsidRPr="00633AFB" w:rsidRDefault="00E07A63" w:rsidP="00633AFB">
    <w:pPr>
      <w:pStyle w:val="Footer"/>
      <w:rPr>
        <w:sz w:val="2"/>
        <w:szCs w:val="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EDCC55" w14:textId="77777777" w:rsidR="00E07A63" w:rsidRDefault="00E07A63"/>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2"/>
      <w:gridCol w:w="2769"/>
      <w:gridCol w:w="3149"/>
    </w:tblGrid>
    <w:tr w:rsidR="00E07A63" w:rsidRPr="00EA0C60" w14:paraId="4567ED0F" w14:textId="77777777" w:rsidTr="00EA0C60">
      <w:trPr>
        <w:trHeight w:val="98"/>
      </w:trPr>
      <w:tc>
        <w:tcPr>
          <w:tcW w:w="5000" w:type="pct"/>
          <w:gridSpan w:val="3"/>
        </w:tcPr>
        <w:p w14:paraId="3A4D5FFB" w14:textId="77777777" w:rsidR="00E07A63" w:rsidRPr="002623C1" w:rsidRDefault="00E07A63" w:rsidP="00EA0C60">
          <w:pPr>
            <w:pStyle w:val="EFSAFooter"/>
            <w:rPr>
              <w:rFonts w:asciiTheme="minorHAnsi" w:hAnsiTheme="minorHAnsi"/>
            </w:rPr>
          </w:pPr>
          <w:r w:rsidRPr="002623C1">
            <w:rPr>
              <w:noProof/>
            </w:rPr>
            <w:drawing>
              <wp:inline distT="0" distB="0" distL="0" distR="0" wp14:anchorId="325173BB" wp14:editId="79D1A113">
                <wp:extent cx="5760000" cy="32400"/>
                <wp:effectExtent l="0" t="0" r="0" b="571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footer-landscape-02.jpg"/>
                        <pic:cNvPicPr/>
                      </pic:nvPicPr>
                      <pic:blipFill>
                        <a:blip r:embed="rId1">
                          <a:extLst>
                            <a:ext uri="{28A0092B-C50C-407E-A947-70E740481C1C}">
                              <a14:useLocalDpi xmlns:a14="http://schemas.microsoft.com/office/drawing/2010/main" val="0"/>
                            </a:ext>
                          </a:extLst>
                        </a:blip>
                        <a:stretch>
                          <a:fillRect/>
                        </a:stretch>
                      </pic:blipFill>
                      <pic:spPr>
                        <a:xfrm>
                          <a:off x="0" y="0"/>
                          <a:ext cx="5760000" cy="32400"/>
                        </a:xfrm>
                        <a:prstGeom prst="rect">
                          <a:avLst/>
                        </a:prstGeom>
                      </pic:spPr>
                    </pic:pic>
                  </a:graphicData>
                </a:graphic>
              </wp:inline>
            </w:drawing>
          </w:r>
        </w:p>
      </w:tc>
    </w:tr>
    <w:tr w:rsidR="00E07A63" w:rsidRPr="00CC2A1C" w14:paraId="78DE4CC2" w14:textId="77777777" w:rsidTr="00754719">
      <w:trPr>
        <w:trHeight w:val="97"/>
      </w:trPr>
      <w:tc>
        <w:tcPr>
          <w:tcW w:w="1738" w:type="pct"/>
        </w:tcPr>
        <w:p w14:paraId="3EFE403A" w14:textId="77777777" w:rsidR="00E07A63" w:rsidRPr="002623C1" w:rsidRDefault="00E07A63" w:rsidP="00754719">
          <w:pPr>
            <w:pStyle w:val="EFSAFooter"/>
            <w:spacing w:after="120"/>
          </w:pPr>
          <w:r w:rsidRPr="002623C1">
            <w:rPr>
              <w:rFonts w:asciiTheme="minorHAnsi" w:hAnsiTheme="minorHAnsi"/>
            </w:rPr>
            <w:t>www.efsa.europa.eu/</w:t>
          </w:r>
          <w:r>
            <w:rPr>
              <w:rFonts w:asciiTheme="minorHAnsi" w:hAnsiTheme="minorHAnsi"/>
            </w:rPr>
            <w:t>publications</w:t>
          </w:r>
        </w:p>
      </w:tc>
      <w:tc>
        <w:tcPr>
          <w:tcW w:w="1526" w:type="pct"/>
        </w:tcPr>
        <w:p w14:paraId="3AF2BA80" w14:textId="77777777" w:rsidR="00E07A63" w:rsidRPr="00EA0C60" w:rsidRDefault="00E07A63" w:rsidP="00754719">
          <w:pPr>
            <w:pStyle w:val="EFSAFooter"/>
            <w:spacing w:after="120"/>
            <w:jc w:val="center"/>
            <w:rPr>
              <w:rFonts w:asciiTheme="minorHAnsi" w:hAnsiTheme="minorHAnsi"/>
            </w:rPr>
          </w:pPr>
          <w:r w:rsidRPr="00EA0C60">
            <w:fldChar w:fldCharType="begin"/>
          </w:r>
          <w:r w:rsidRPr="00EA0C60">
            <w:rPr>
              <w:rFonts w:asciiTheme="minorHAnsi" w:hAnsiTheme="minorHAnsi"/>
            </w:rPr>
            <w:instrText xml:space="preserve"> PAGE   \* MERGEFORMAT </w:instrText>
          </w:r>
          <w:r w:rsidRPr="00EA0C60">
            <w:fldChar w:fldCharType="separate"/>
          </w:r>
          <w:r>
            <w:rPr>
              <w:rFonts w:asciiTheme="minorHAnsi" w:hAnsiTheme="minorHAnsi"/>
              <w:noProof/>
            </w:rPr>
            <w:t>6</w:t>
          </w:r>
          <w:r w:rsidRPr="00EA0C60">
            <w:rPr>
              <w:noProof/>
            </w:rPr>
            <w:fldChar w:fldCharType="end"/>
          </w:r>
        </w:p>
      </w:tc>
      <w:tc>
        <w:tcPr>
          <w:tcW w:w="1736" w:type="pct"/>
        </w:tcPr>
        <w:p w14:paraId="0CE99AA4" w14:textId="77777777" w:rsidR="00E07A63" w:rsidRPr="00396374" w:rsidRDefault="00E07A63" w:rsidP="00754719">
          <w:pPr>
            <w:pStyle w:val="EFSAFooter"/>
            <w:spacing w:after="120"/>
            <w:jc w:val="right"/>
            <w:rPr>
              <w:lang w:val="fr-FR"/>
            </w:rPr>
          </w:pPr>
          <w:r w:rsidRPr="00396374">
            <w:rPr>
              <w:rFonts w:asciiTheme="minorHAnsi" w:hAnsiTheme="minorHAnsi"/>
              <w:lang w:val="fr-FR"/>
            </w:rPr>
            <w:t xml:space="preserve">EFSA </w:t>
          </w:r>
          <w:proofErr w:type="spellStart"/>
          <w:r w:rsidRPr="00396374">
            <w:rPr>
              <w:rFonts w:asciiTheme="minorHAnsi" w:hAnsiTheme="minorHAnsi"/>
              <w:lang w:val="fr-FR"/>
            </w:rPr>
            <w:t>Supporting</w:t>
          </w:r>
          <w:proofErr w:type="spellEnd"/>
          <w:r w:rsidRPr="00396374">
            <w:rPr>
              <w:rFonts w:asciiTheme="minorHAnsi" w:hAnsiTheme="minorHAnsi"/>
              <w:lang w:val="fr-FR"/>
            </w:rPr>
            <w:t xml:space="preserve"> publication 20</w:t>
          </w:r>
          <w:proofErr w:type="gramStart"/>
          <w:r w:rsidRPr="00396374">
            <w:rPr>
              <w:rFonts w:asciiTheme="minorHAnsi" w:hAnsiTheme="minorHAnsi"/>
              <w:highlight w:val="yellow"/>
              <w:lang w:val="fr-FR"/>
            </w:rPr>
            <w:t>YY</w:t>
          </w:r>
          <w:r w:rsidRPr="00396374">
            <w:rPr>
              <w:rFonts w:asciiTheme="minorHAnsi" w:hAnsiTheme="minorHAnsi"/>
              <w:lang w:val="fr-FR"/>
            </w:rPr>
            <w:t>:EN</w:t>
          </w:r>
          <w:proofErr w:type="gramEnd"/>
          <w:r w:rsidRPr="00396374">
            <w:rPr>
              <w:rFonts w:asciiTheme="minorHAnsi" w:hAnsiTheme="minorHAnsi"/>
              <w:lang w:val="fr-FR"/>
            </w:rPr>
            <w:t>-</w:t>
          </w:r>
          <w:r w:rsidRPr="00396374">
            <w:rPr>
              <w:rFonts w:asciiTheme="minorHAnsi" w:hAnsiTheme="minorHAnsi"/>
              <w:highlight w:val="yellow"/>
              <w:lang w:val="fr-FR"/>
            </w:rPr>
            <w:t>NNNN</w:t>
          </w:r>
        </w:p>
      </w:tc>
    </w:tr>
    <w:tr w:rsidR="00E07A63" w:rsidRPr="00CC2A1C" w14:paraId="6E37782F" w14:textId="77777777" w:rsidTr="00754719">
      <w:trPr>
        <w:trHeight w:val="97"/>
      </w:trPr>
      <w:tc>
        <w:tcPr>
          <w:tcW w:w="5000" w:type="pct"/>
          <w:gridSpan w:val="3"/>
        </w:tcPr>
        <w:p w14:paraId="03339DC0" w14:textId="77777777" w:rsidR="00E07A63" w:rsidRPr="00396374" w:rsidRDefault="00E07A63" w:rsidP="00754719">
          <w:pPr>
            <w:pStyle w:val="EFSAFooter"/>
            <w:jc w:val="both"/>
            <w:rPr>
              <w:spacing w:val="-8"/>
              <w:lang w:val="fr-FR"/>
            </w:rPr>
          </w:pPr>
        </w:p>
      </w:tc>
    </w:tr>
  </w:tbl>
  <w:p w14:paraId="610A8E13" w14:textId="77777777" w:rsidR="00E07A63" w:rsidRPr="00396374" w:rsidRDefault="00E07A63" w:rsidP="002623C1">
    <w:pPr>
      <w:pStyle w:val="Footer"/>
      <w:rPr>
        <w:lang w:val="fr-FR"/>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6C59D3" w14:textId="77777777" w:rsidR="009615DC" w:rsidRDefault="009615DC" w:rsidP="00214C6C">
      <w:pPr>
        <w:spacing w:after="0" w:line="240" w:lineRule="auto"/>
      </w:pPr>
      <w:r>
        <w:separator/>
      </w:r>
    </w:p>
  </w:footnote>
  <w:footnote w:type="continuationSeparator" w:id="0">
    <w:p w14:paraId="78B0B10B" w14:textId="77777777" w:rsidR="009615DC" w:rsidRDefault="009615DC" w:rsidP="00214C6C">
      <w:pPr>
        <w:spacing w:after="0" w:line="240" w:lineRule="auto"/>
      </w:pPr>
      <w:r>
        <w:continuationSeparator/>
      </w:r>
    </w:p>
  </w:footnote>
  <w:footnote w:type="continuationNotice" w:id="1">
    <w:p w14:paraId="5CEF05D4" w14:textId="77777777" w:rsidR="009615DC" w:rsidRDefault="009615DC">
      <w:pPr>
        <w:spacing w:after="0" w:line="240" w:lineRule="auto"/>
      </w:pPr>
    </w:p>
  </w:footnote>
  <w:footnote w:id="2">
    <w:p w14:paraId="3E7B9A6D" w14:textId="77777777" w:rsidR="00E07A63" w:rsidRDefault="00E07A63" w:rsidP="00E07A63">
      <w:pPr>
        <w:pStyle w:val="FootnoteText"/>
      </w:pPr>
      <w:r>
        <w:rPr>
          <w:rStyle w:val="FootnoteReference"/>
        </w:rPr>
        <w:footnoteRef/>
      </w:r>
      <w:r>
        <w:t xml:space="preserve"> See </w:t>
      </w:r>
      <w:hyperlink r:id="rId1" w:history="1">
        <w:r w:rsidRPr="0043418D">
          <w:rPr>
            <w:rStyle w:val="Hyperlink"/>
          </w:rPr>
          <w:t>https://www.efsa.europa.eu/en/events/event/170301-0</w:t>
        </w:r>
      </w:hyperlink>
    </w:p>
  </w:footnote>
  <w:footnote w:id="3">
    <w:p w14:paraId="3303BB03" w14:textId="4FD15D6C" w:rsidR="00E07A63" w:rsidRDefault="00E07A63">
      <w:pPr>
        <w:pStyle w:val="FootnoteText"/>
      </w:pPr>
      <w:r>
        <w:rPr>
          <w:rStyle w:val="FootnoteReference"/>
        </w:rPr>
        <w:footnoteRef/>
      </w:r>
      <w:r>
        <w:t xml:space="preserve"> See </w:t>
      </w:r>
      <w:hyperlink r:id="rId2" w:history="1">
        <w:r w:rsidRPr="0043418D">
          <w:rPr>
            <w:rStyle w:val="Hyperlink"/>
          </w:rPr>
          <w:t>https://www.efsa.europa.eu/en/events/event/170301-0</w:t>
        </w:r>
      </w:hyperlink>
    </w:p>
  </w:footnote>
  <w:footnote w:id="4">
    <w:p w14:paraId="190171FC" w14:textId="36560E35" w:rsidR="00E07A63" w:rsidRDefault="00E07A63">
      <w:pPr>
        <w:pStyle w:val="FootnoteText"/>
      </w:pPr>
      <w:r>
        <w:rPr>
          <w:rStyle w:val="FootnoteReference"/>
        </w:rPr>
        <w:footnoteRef/>
      </w:r>
      <w:r>
        <w:t xml:space="preserve"> </w:t>
      </w:r>
      <w:hyperlink r:id="rId3" w:history="1">
        <w:r w:rsidRPr="002819B0">
          <w:rPr>
            <w:rStyle w:val="Hyperlink"/>
          </w:rPr>
          <w:t>https://www.who.int/docs/default-source/food-safety/publications/chapter5-dose-response.pdf?sfvrsn=32edc2c6_5</w:t>
        </w:r>
      </w:hyperlink>
      <w:r>
        <w:t xml:space="preserve"> </w:t>
      </w:r>
    </w:p>
  </w:footnote>
  <w:footnote w:id="5">
    <w:p w14:paraId="19DD27C4" w14:textId="58CD2F79" w:rsidR="00E07A63" w:rsidRDefault="00E07A63">
      <w:pPr>
        <w:pStyle w:val="FootnoteText"/>
      </w:pPr>
      <w:r>
        <w:rPr>
          <w:rStyle w:val="FootnoteReference"/>
        </w:rPr>
        <w:footnoteRef/>
      </w:r>
      <w:r>
        <w:t xml:space="preserve"> Following EFSA’s reorganisation of 1 January 2022, this responsibility has been transferred to the Methodology &amp; Scientific Support (MESE) Unit.</w:t>
      </w:r>
    </w:p>
  </w:footnote>
  <w:footnote w:id="6">
    <w:p w14:paraId="2DF90226" w14:textId="6F0012E7" w:rsidR="00E07A63" w:rsidRDefault="00E07A63" w:rsidP="008B2021">
      <w:r w:rsidRPr="14054181">
        <w:rPr>
          <w:rStyle w:val="FootnoteReference"/>
        </w:rPr>
        <w:footnoteRef/>
      </w:r>
      <w:r>
        <w:t xml:space="preserve"> The term “confidence interval” is used in the context of frequentist statistics while the term "credible interval” is used in a Bayesian paradigm, see Section 2.5.3</w:t>
      </w:r>
    </w:p>
  </w:footnote>
  <w:footnote w:id="7">
    <w:p w14:paraId="1F740E04" w14:textId="77777777" w:rsidR="00E07A63" w:rsidRPr="00FD0732" w:rsidRDefault="00E07A63" w:rsidP="0037660F">
      <w:pPr>
        <w:pStyle w:val="EFSAFootnote"/>
      </w:pPr>
      <w:r>
        <w:rPr>
          <w:rStyle w:val="FootnoteReference"/>
        </w:rPr>
        <w:footnoteRef/>
      </w:r>
      <w:r>
        <w:t xml:space="preserve"> In this opinion, “response” is used as a generic term that refers to both quantal and continuous data.</w:t>
      </w:r>
    </w:p>
  </w:footnote>
  <w:footnote w:id="8">
    <w:p w14:paraId="12F364CD" w14:textId="519B1D9E" w:rsidR="00E07A63" w:rsidRDefault="00E07A63">
      <w:pPr>
        <w:pStyle w:val="FootnoteText"/>
      </w:pPr>
      <w:r>
        <w:rPr>
          <w:rStyle w:val="FootnoteReference"/>
        </w:rPr>
        <w:footnoteRef/>
      </w:r>
      <w:r>
        <w:t xml:space="preserve"> The word “biologically relevant” is preferred to “adverse” to allow </w:t>
      </w:r>
      <w:proofErr w:type="gramStart"/>
      <w:r>
        <w:t>e.g.</w:t>
      </w:r>
      <w:proofErr w:type="gramEnd"/>
      <w:r>
        <w:t xml:space="preserve"> for the use of the BMD approach with biomarkers of effect that are not necessarily adverse.</w:t>
      </w:r>
    </w:p>
  </w:footnote>
  <w:footnote w:id="9">
    <w:p w14:paraId="5D306EBA" w14:textId="430BEEED" w:rsidR="00E07A63" w:rsidRDefault="00E07A63">
      <w:pPr>
        <w:pStyle w:val="FootnoteText"/>
      </w:pPr>
      <w:r>
        <w:rPr>
          <w:rStyle w:val="FootnoteReference"/>
        </w:rPr>
        <w:footnoteRef/>
      </w:r>
      <w:r>
        <w:t xml:space="preserve"> </w:t>
      </w:r>
      <w:r>
        <w:rPr>
          <w:sz w:val="22"/>
          <w:szCs w:val="22"/>
          <w:lang w:val="en-US"/>
        </w:rPr>
        <w:t>If the BMD is lower than 10 times the lowest non-zero dose, the only possible alternative is using the N(L)OAEL see further down.</w:t>
      </w:r>
    </w:p>
  </w:footnote>
  <w:footnote w:id="10">
    <w:p w14:paraId="6BDF9FA5" w14:textId="77777777" w:rsidR="00E07A63" w:rsidRPr="00100092" w:rsidRDefault="00E07A63" w:rsidP="001F2992">
      <w:pPr>
        <w:pStyle w:val="EFSAFootnote"/>
      </w:pPr>
      <w:r>
        <w:rPr>
          <w:rStyle w:val="FootnoteReference"/>
        </w:rPr>
        <w:footnoteRef/>
      </w:r>
      <w:r>
        <w:t xml:space="preserve"> </w:t>
      </w:r>
      <w:r w:rsidRPr="00100092">
        <w:t xml:space="preserve">Note that, </w:t>
      </w:r>
      <w:r>
        <w:t>when</w:t>
      </w:r>
      <w:r w:rsidRPr="00100092">
        <w:t xml:space="preserve"> the individual data</w:t>
      </w:r>
      <w:r>
        <w:t xml:space="preserve"> were used in the original analysis, slightly different results may be obtained using the summary data in the analysis.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24"/>
    </w:tblGrid>
    <w:tr w:rsidR="00E07A63" w14:paraId="4D218625" w14:textId="77777777" w:rsidTr="267526ED">
      <w:trPr>
        <w:trHeight w:val="109"/>
      </w:trPr>
      <w:tc>
        <w:tcPr>
          <w:tcW w:w="0" w:type="auto"/>
        </w:tcPr>
        <w:p w14:paraId="2C039CFB" w14:textId="77777777" w:rsidR="00E07A63" w:rsidRDefault="00E07A63" w:rsidP="000134D0">
          <w:pPr>
            <w:pStyle w:val="EFSAShorttitle"/>
            <w:rPr>
              <w:highlight w:val="yellow"/>
            </w:rPr>
          </w:pPr>
          <w:r w:rsidRPr="00735BFC">
            <w:rPr>
              <w:noProof/>
              <w:color w:val="2B579A"/>
              <w:shd w:val="clear" w:color="auto" w:fill="E6E6E6"/>
            </w:rPr>
            <w:drawing>
              <wp:anchor distT="0" distB="0" distL="114300" distR="114300" simplePos="0" relativeHeight="251658246" behindDoc="0" locked="0" layoutInCell="1" allowOverlap="1" wp14:anchorId="5FD034DB" wp14:editId="51889E15">
                <wp:simplePos x="0" y="0"/>
                <wp:positionH relativeFrom="column">
                  <wp:posOffset>5071362</wp:posOffset>
                </wp:positionH>
                <wp:positionV relativeFrom="paragraph">
                  <wp:posOffset>-267970</wp:posOffset>
                </wp:positionV>
                <wp:extent cx="729669" cy="396000"/>
                <wp:effectExtent l="0" t="0" r="0" b="4445"/>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J_logo_templates_300dpi.jpg"/>
                        <pic:cNvPicPr/>
                      </pic:nvPicPr>
                      <pic:blipFill rotWithShape="1">
                        <a:blip r:embed="rId1" cstate="print">
                          <a:extLst>
                            <a:ext uri="{28A0092B-C50C-407E-A947-70E740481C1C}">
                              <a14:useLocalDpi xmlns:a14="http://schemas.microsoft.com/office/drawing/2010/main" val="0"/>
                            </a:ext>
                          </a:extLst>
                        </a:blip>
                        <a:srcRect b="7537"/>
                        <a:stretch/>
                      </pic:blipFill>
                      <pic:spPr bwMode="auto">
                        <a:xfrm>
                          <a:off x="0" y="0"/>
                          <a:ext cx="729669" cy="396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35BFC">
            <w:t>BMD approach in risk assessment</w:t>
          </w:r>
        </w:p>
      </w:tc>
    </w:tr>
    <w:tr w:rsidR="00E07A63" w:rsidRPr="00EA0C60" w14:paraId="2CB1DE39" w14:textId="77777777" w:rsidTr="267526ED">
      <w:trPr>
        <w:trHeight w:val="109"/>
      </w:trPr>
      <w:tc>
        <w:tcPr>
          <w:tcW w:w="0" w:type="auto"/>
        </w:tcPr>
        <w:p w14:paraId="7A679FB0" w14:textId="77777777" w:rsidR="00E07A63" w:rsidRPr="00EA0C60" w:rsidRDefault="00E07A63" w:rsidP="000134D0">
          <w:pPr>
            <w:pStyle w:val="EFSAShorttitle"/>
            <w:rPr>
              <w:noProof/>
              <w:sz w:val="2"/>
              <w:szCs w:val="2"/>
            </w:rPr>
          </w:pPr>
          <w:r w:rsidRPr="00EA0C60">
            <w:rPr>
              <w:noProof/>
              <w:color w:val="2B579A"/>
              <w:sz w:val="2"/>
              <w:szCs w:val="2"/>
              <w:shd w:val="clear" w:color="auto" w:fill="E6E6E6"/>
            </w:rPr>
            <w:drawing>
              <wp:anchor distT="0" distB="0" distL="114300" distR="114300" simplePos="0" relativeHeight="251658247" behindDoc="0" locked="0" layoutInCell="1" allowOverlap="1" wp14:anchorId="01257462" wp14:editId="14EE8488">
                <wp:simplePos x="0" y="0"/>
                <wp:positionH relativeFrom="margin">
                  <wp:posOffset>76</wp:posOffset>
                </wp:positionH>
                <wp:positionV relativeFrom="paragraph">
                  <wp:posOffset>15875</wp:posOffset>
                </wp:positionV>
                <wp:extent cx="5759450" cy="35560"/>
                <wp:effectExtent l="0" t="0" r="0" b="2540"/>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footer-portrait-01.jpg"/>
                        <pic:cNvPicPr/>
                      </pic:nvPicPr>
                      <pic:blipFill>
                        <a:blip r:embed="rId2">
                          <a:extLst>
                            <a:ext uri="{28A0092B-C50C-407E-A947-70E740481C1C}">
                              <a14:useLocalDpi xmlns:a14="http://schemas.microsoft.com/office/drawing/2010/main" val="0"/>
                            </a:ext>
                          </a:extLst>
                        </a:blip>
                        <a:stretch>
                          <a:fillRect/>
                        </a:stretch>
                      </pic:blipFill>
                      <pic:spPr>
                        <a:xfrm>
                          <a:off x="0" y="0"/>
                          <a:ext cx="5759450" cy="35560"/>
                        </a:xfrm>
                        <a:prstGeom prst="rect">
                          <a:avLst/>
                        </a:prstGeom>
                      </pic:spPr>
                    </pic:pic>
                  </a:graphicData>
                </a:graphic>
                <wp14:sizeRelH relativeFrom="margin">
                  <wp14:pctWidth>0</wp14:pctWidth>
                </wp14:sizeRelH>
                <wp14:sizeRelV relativeFrom="margin">
                  <wp14:pctHeight>0</wp14:pctHeight>
                </wp14:sizeRelV>
              </wp:anchor>
            </w:drawing>
          </w:r>
        </w:p>
      </w:tc>
    </w:tr>
  </w:tbl>
  <w:p w14:paraId="5338A720" w14:textId="77777777" w:rsidR="00E07A63" w:rsidRPr="000134D0" w:rsidRDefault="00E07A63" w:rsidP="000134D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24"/>
    </w:tblGrid>
    <w:tr w:rsidR="00E07A63" w14:paraId="47302ED3" w14:textId="77777777" w:rsidTr="267526ED">
      <w:trPr>
        <w:trHeight w:val="109"/>
      </w:trPr>
      <w:tc>
        <w:tcPr>
          <w:tcW w:w="0" w:type="auto"/>
        </w:tcPr>
        <w:p w14:paraId="567B4489" w14:textId="77777777" w:rsidR="00E07A63" w:rsidRDefault="00E07A63" w:rsidP="006536BE">
          <w:pPr>
            <w:pStyle w:val="EFSAShorttitle"/>
            <w:rPr>
              <w:highlight w:val="yellow"/>
            </w:rPr>
          </w:pPr>
          <w:r w:rsidRPr="00735BFC">
            <w:rPr>
              <w:noProof/>
              <w:color w:val="2B579A"/>
              <w:shd w:val="clear" w:color="auto" w:fill="E6E6E6"/>
            </w:rPr>
            <w:drawing>
              <wp:anchor distT="0" distB="0" distL="114300" distR="114300" simplePos="0" relativeHeight="251658248" behindDoc="0" locked="0" layoutInCell="1" allowOverlap="1" wp14:anchorId="62BF6794" wp14:editId="63F581BD">
                <wp:simplePos x="0" y="0"/>
                <wp:positionH relativeFrom="column">
                  <wp:posOffset>5071362</wp:posOffset>
                </wp:positionH>
                <wp:positionV relativeFrom="paragraph">
                  <wp:posOffset>-267970</wp:posOffset>
                </wp:positionV>
                <wp:extent cx="729669" cy="396000"/>
                <wp:effectExtent l="0" t="0" r="0" b="4445"/>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J_logo_templates_300dpi.jpg"/>
                        <pic:cNvPicPr/>
                      </pic:nvPicPr>
                      <pic:blipFill rotWithShape="1">
                        <a:blip r:embed="rId1" cstate="print">
                          <a:extLst>
                            <a:ext uri="{28A0092B-C50C-407E-A947-70E740481C1C}">
                              <a14:useLocalDpi xmlns:a14="http://schemas.microsoft.com/office/drawing/2010/main" val="0"/>
                            </a:ext>
                          </a:extLst>
                        </a:blip>
                        <a:srcRect b="7537"/>
                        <a:stretch/>
                      </pic:blipFill>
                      <pic:spPr bwMode="auto">
                        <a:xfrm>
                          <a:off x="0" y="0"/>
                          <a:ext cx="729669" cy="396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35BFC">
            <w:t>BMD approach in risk assessment</w:t>
          </w:r>
        </w:p>
      </w:tc>
    </w:tr>
    <w:tr w:rsidR="00E07A63" w:rsidRPr="00EA0C60" w14:paraId="2DD48045" w14:textId="77777777" w:rsidTr="267526ED">
      <w:trPr>
        <w:trHeight w:val="109"/>
      </w:trPr>
      <w:tc>
        <w:tcPr>
          <w:tcW w:w="0" w:type="auto"/>
        </w:tcPr>
        <w:p w14:paraId="3E700963" w14:textId="77777777" w:rsidR="00E07A63" w:rsidRPr="00EA0C60" w:rsidRDefault="00E07A63" w:rsidP="006536BE">
          <w:pPr>
            <w:pStyle w:val="EFSAShorttitle"/>
            <w:rPr>
              <w:noProof/>
              <w:sz w:val="2"/>
              <w:szCs w:val="2"/>
            </w:rPr>
          </w:pPr>
          <w:r w:rsidRPr="00EA0C60">
            <w:rPr>
              <w:noProof/>
              <w:color w:val="2B579A"/>
              <w:sz w:val="2"/>
              <w:szCs w:val="2"/>
              <w:shd w:val="clear" w:color="auto" w:fill="E6E6E6"/>
            </w:rPr>
            <w:drawing>
              <wp:anchor distT="0" distB="0" distL="114300" distR="114300" simplePos="0" relativeHeight="251658249" behindDoc="0" locked="0" layoutInCell="1" allowOverlap="1" wp14:anchorId="5C7F1BDB" wp14:editId="135C857D">
                <wp:simplePos x="0" y="0"/>
                <wp:positionH relativeFrom="margin">
                  <wp:posOffset>76</wp:posOffset>
                </wp:positionH>
                <wp:positionV relativeFrom="paragraph">
                  <wp:posOffset>15875</wp:posOffset>
                </wp:positionV>
                <wp:extent cx="5759450" cy="35560"/>
                <wp:effectExtent l="0" t="0" r="0" b="254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footer-portrait-01.jpg"/>
                        <pic:cNvPicPr/>
                      </pic:nvPicPr>
                      <pic:blipFill>
                        <a:blip r:embed="rId2">
                          <a:extLst>
                            <a:ext uri="{28A0092B-C50C-407E-A947-70E740481C1C}">
                              <a14:useLocalDpi xmlns:a14="http://schemas.microsoft.com/office/drawing/2010/main" val="0"/>
                            </a:ext>
                          </a:extLst>
                        </a:blip>
                        <a:stretch>
                          <a:fillRect/>
                        </a:stretch>
                      </pic:blipFill>
                      <pic:spPr>
                        <a:xfrm>
                          <a:off x="0" y="0"/>
                          <a:ext cx="5759450" cy="35560"/>
                        </a:xfrm>
                        <a:prstGeom prst="rect">
                          <a:avLst/>
                        </a:prstGeom>
                      </pic:spPr>
                    </pic:pic>
                  </a:graphicData>
                </a:graphic>
                <wp14:sizeRelH relativeFrom="margin">
                  <wp14:pctWidth>0</wp14:pctWidth>
                </wp14:sizeRelH>
                <wp14:sizeRelV relativeFrom="margin">
                  <wp14:pctHeight>0</wp14:pctHeight>
                </wp14:sizeRelV>
              </wp:anchor>
            </w:drawing>
          </w:r>
        </w:p>
      </w:tc>
    </w:tr>
  </w:tbl>
  <w:p w14:paraId="50C86B8C" w14:textId="77777777" w:rsidR="00E07A63" w:rsidRDefault="00E07A63" w:rsidP="00D72DE6">
    <w:pPr>
      <w:pStyle w:val="EFSAShorttit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0"/>
    </w:tblGrid>
    <w:tr w:rsidR="00E07A63" w14:paraId="583C2EE6" w14:textId="77777777" w:rsidTr="267526ED">
      <w:trPr>
        <w:trHeight w:val="109"/>
      </w:trPr>
      <w:tc>
        <w:tcPr>
          <w:tcW w:w="0" w:type="auto"/>
        </w:tcPr>
        <w:tbl>
          <w:tblPr>
            <w:tblStyle w:val="TableGrid"/>
            <w:tblW w:w="5136"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0"/>
            <w:gridCol w:w="5646"/>
            <w:gridCol w:w="2909"/>
          </w:tblGrid>
          <w:tr w:rsidR="00E07A63" w14:paraId="72950777" w14:textId="77777777" w:rsidTr="267526ED">
            <w:trPr>
              <w:gridAfter w:val="1"/>
              <w:wAfter w:w="1655" w:type="pct"/>
              <w:trHeight w:val="109"/>
            </w:trPr>
            <w:tc>
              <w:tcPr>
                <w:tcW w:w="0" w:type="auto"/>
                <w:gridSpan w:val="2"/>
              </w:tcPr>
              <w:p w14:paraId="4F42E1A5" w14:textId="77777777" w:rsidR="00E07A63" w:rsidRDefault="00E07A63" w:rsidP="009B148D">
                <w:pPr>
                  <w:pStyle w:val="EFSAShorttitle"/>
                  <w:rPr>
                    <w:highlight w:val="yellow"/>
                  </w:rPr>
                </w:pPr>
                <w:r w:rsidRPr="00735BFC">
                  <w:rPr>
                    <w:noProof/>
                    <w:color w:val="2B579A"/>
                    <w:shd w:val="clear" w:color="auto" w:fill="E6E6E6"/>
                  </w:rPr>
                  <w:drawing>
                    <wp:anchor distT="0" distB="0" distL="114300" distR="114300" simplePos="0" relativeHeight="251658250" behindDoc="0" locked="0" layoutInCell="1" allowOverlap="1" wp14:anchorId="0EC6EE30" wp14:editId="00AC6CE6">
                      <wp:simplePos x="0" y="0"/>
                      <wp:positionH relativeFrom="column">
                        <wp:posOffset>5071362</wp:posOffset>
                      </wp:positionH>
                      <wp:positionV relativeFrom="paragraph">
                        <wp:posOffset>-267970</wp:posOffset>
                      </wp:positionV>
                      <wp:extent cx="729669" cy="396000"/>
                      <wp:effectExtent l="0" t="0" r="0" b="4445"/>
                      <wp:wrapNone/>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J_logo_templates_300dpi.jpg"/>
                              <pic:cNvPicPr/>
                            </pic:nvPicPr>
                            <pic:blipFill rotWithShape="1">
                              <a:blip r:embed="rId1" cstate="print">
                                <a:extLst>
                                  <a:ext uri="{28A0092B-C50C-407E-A947-70E740481C1C}">
                                    <a14:useLocalDpi xmlns:a14="http://schemas.microsoft.com/office/drawing/2010/main" val="0"/>
                                  </a:ext>
                                </a:extLst>
                              </a:blip>
                              <a:srcRect b="7537"/>
                              <a:stretch/>
                            </pic:blipFill>
                            <pic:spPr bwMode="auto">
                              <a:xfrm>
                                <a:off x="0" y="0"/>
                                <a:ext cx="729669" cy="396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35BFC">
                  <w:t>BMD approach in risk assessment</w:t>
                </w:r>
              </w:p>
            </w:tc>
          </w:tr>
          <w:tr w:rsidR="00E07A63" w:rsidRPr="00EA0C60" w14:paraId="1B276221" w14:textId="77777777" w:rsidTr="267526ED">
            <w:trPr>
              <w:gridAfter w:val="1"/>
              <w:wAfter w:w="1655" w:type="pct"/>
              <w:trHeight w:val="109"/>
            </w:trPr>
            <w:tc>
              <w:tcPr>
                <w:tcW w:w="0" w:type="auto"/>
                <w:gridSpan w:val="2"/>
              </w:tcPr>
              <w:p w14:paraId="20862D2D" w14:textId="77777777" w:rsidR="00E07A63" w:rsidRPr="00EA0C60" w:rsidRDefault="00E07A63" w:rsidP="009B148D">
                <w:pPr>
                  <w:pStyle w:val="EFSAShorttitle"/>
                  <w:rPr>
                    <w:noProof/>
                    <w:sz w:val="2"/>
                    <w:szCs w:val="2"/>
                  </w:rPr>
                </w:pPr>
                <w:r w:rsidRPr="00EA0C60">
                  <w:rPr>
                    <w:noProof/>
                    <w:color w:val="2B579A"/>
                    <w:sz w:val="2"/>
                    <w:szCs w:val="2"/>
                    <w:shd w:val="clear" w:color="auto" w:fill="E6E6E6"/>
                  </w:rPr>
                  <w:drawing>
                    <wp:anchor distT="0" distB="0" distL="114300" distR="114300" simplePos="0" relativeHeight="251658251" behindDoc="0" locked="0" layoutInCell="1" allowOverlap="1" wp14:anchorId="71DA75A4" wp14:editId="64DFF65C">
                      <wp:simplePos x="0" y="0"/>
                      <wp:positionH relativeFrom="margin">
                        <wp:posOffset>76</wp:posOffset>
                      </wp:positionH>
                      <wp:positionV relativeFrom="paragraph">
                        <wp:posOffset>15875</wp:posOffset>
                      </wp:positionV>
                      <wp:extent cx="5759450" cy="35560"/>
                      <wp:effectExtent l="0" t="0" r="0" b="2540"/>
                      <wp:wrapNone/>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footer-portrait-01.jpg"/>
                              <pic:cNvPicPr/>
                            </pic:nvPicPr>
                            <pic:blipFill>
                              <a:blip r:embed="rId2">
                                <a:extLst>
                                  <a:ext uri="{28A0092B-C50C-407E-A947-70E740481C1C}">
                                    <a14:useLocalDpi xmlns:a14="http://schemas.microsoft.com/office/drawing/2010/main" val="0"/>
                                  </a:ext>
                                </a:extLst>
                              </a:blip>
                              <a:stretch>
                                <a:fillRect/>
                              </a:stretch>
                            </pic:blipFill>
                            <pic:spPr>
                              <a:xfrm>
                                <a:off x="0" y="0"/>
                                <a:ext cx="5759450" cy="35560"/>
                              </a:xfrm>
                              <a:prstGeom prst="rect">
                                <a:avLst/>
                              </a:prstGeom>
                            </pic:spPr>
                          </pic:pic>
                        </a:graphicData>
                      </a:graphic>
                      <wp14:sizeRelH relativeFrom="margin">
                        <wp14:pctWidth>0</wp14:pctWidth>
                      </wp14:sizeRelH>
                      <wp14:sizeRelV relativeFrom="margin">
                        <wp14:pctHeight>0</wp14:pctHeight>
                      </wp14:sizeRelV>
                    </wp:anchor>
                  </w:drawing>
                </w:r>
              </w:p>
            </w:tc>
          </w:tr>
          <w:tr w:rsidR="00E07A63" w:rsidRPr="00EA0C60" w14:paraId="5101B52C" w14:textId="77777777" w:rsidTr="267526ED">
            <w:trPr>
              <w:gridBefore w:val="1"/>
              <w:trHeight w:val="109"/>
            </w:trPr>
            <w:tc>
              <w:tcPr>
                <w:tcW w:w="4867" w:type="pct"/>
                <w:gridSpan w:val="2"/>
              </w:tcPr>
              <w:p w14:paraId="3C8EC45C" w14:textId="77777777" w:rsidR="00E07A63" w:rsidRDefault="00E07A63" w:rsidP="009B148D">
                <w:pPr>
                  <w:pStyle w:val="EFSAShorttitle"/>
                  <w:rPr>
                    <w:highlight w:val="yellow"/>
                  </w:rPr>
                </w:pPr>
              </w:p>
            </w:tc>
          </w:tr>
          <w:tr w:rsidR="00E07A63" w:rsidRPr="00EA0C60" w14:paraId="326DC100" w14:textId="77777777" w:rsidTr="267526ED">
            <w:trPr>
              <w:gridBefore w:val="1"/>
              <w:trHeight w:val="109"/>
            </w:trPr>
            <w:tc>
              <w:tcPr>
                <w:tcW w:w="4867" w:type="pct"/>
                <w:gridSpan w:val="2"/>
              </w:tcPr>
              <w:p w14:paraId="0A821549" w14:textId="77777777" w:rsidR="00E07A63" w:rsidRPr="00EA0C60" w:rsidRDefault="00E07A63" w:rsidP="009B148D">
                <w:pPr>
                  <w:pStyle w:val="EFSAShorttitle"/>
                  <w:rPr>
                    <w:noProof/>
                    <w:sz w:val="2"/>
                    <w:szCs w:val="2"/>
                  </w:rPr>
                </w:pPr>
              </w:p>
            </w:tc>
          </w:tr>
        </w:tbl>
        <w:p w14:paraId="66FDCF4E" w14:textId="77777777" w:rsidR="00E07A63" w:rsidRDefault="00E07A63" w:rsidP="000134D0">
          <w:pPr>
            <w:pStyle w:val="EFSAShorttitle"/>
            <w:rPr>
              <w:highlight w:val="yellow"/>
            </w:rPr>
          </w:pPr>
        </w:p>
      </w:tc>
    </w:tr>
    <w:tr w:rsidR="00E07A63" w:rsidRPr="00EA0C60" w14:paraId="3BEE236D" w14:textId="77777777" w:rsidTr="267526ED">
      <w:trPr>
        <w:trHeight w:val="109"/>
      </w:trPr>
      <w:tc>
        <w:tcPr>
          <w:tcW w:w="0" w:type="auto"/>
        </w:tcPr>
        <w:p w14:paraId="0CCC0888" w14:textId="77777777" w:rsidR="00E07A63" w:rsidRPr="00EA0C60" w:rsidRDefault="00E07A63" w:rsidP="000134D0">
          <w:pPr>
            <w:pStyle w:val="EFSAShorttitle"/>
            <w:rPr>
              <w:noProof/>
              <w:sz w:val="2"/>
              <w:szCs w:val="2"/>
            </w:rPr>
          </w:pPr>
        </w:p>
      </w:tc>
    </w:tr>
  </w:tbl>
  <w:p w14:paraId="4A990D24" w14:textId="77777777" w:rsidR="00E07A63" w:rsidRPr="000134D0" w:rsidRDefault="00E07A63" w:rsidP="000134D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F44093" w14:textId="77777777" w:rsidR="00E07A63" w:rsidRDefault="00E07A63">
    <w:pPr>
      <w:pStyle w:val="EFSAShorttitle"/>
    </w:pPr>
    <w:r>
      <w:rPr>
        <w:shd w:val="clear" w:color="auto" w:fill="FFFF00"/>
      </w:rPr>
      <w:t>Short title</w:t>
    </w:r>
    <w:r>
      <w:t xml:space="preserve"> </w:t>
    </w:r>
    <w:r>
      <w:rPr>
        <w:noProof/>
        <w:color w:val="2B579A"/>
        <w:shd w:val="clear" w:color="auto" w:fill="E6E6E6"/>
        <w:lang w:eastAsia="en-GB"/>
      </w:rPr>
      <w:drawing>
        <wp:anchor distT="0" distB="0" distL="114300" distR="114300" simplePos="0" relativeHeight="251658241" behindDoc="1" locked="0" layoutInCell="1" allowOverlap="1" wp14:anchorId="44668D7C" wp14:editId="2D4EAC75">
          <wp:simplePos x="0" y="0"/>
          <wp:positionH relativeFrom="column">
            <wp:posOffset>5688965</wp:posOffset>
          </wp:positionH>
          <wp:positionV relativeFrom="paragraph">
            <wp:posOffset>-323850</wp:posOffset>
          </wp:positionV>
          <wp:extent cx="805815" cy="417195"/>
          <wp:effectExtent l="0" t="0" r="0" b="1905"/>
          <wp:wrapTight wrapText="bothSides">
            <wp:wrapPolygon edited="0">
              <wp:start x="0" y="0"/>
              <wp:lineTo x="0" y="20712"/>
              <wp:lineTo x="20936" y="20712"/>
              <wp:lineTo x="20936" y="0"/>
              <wp:lineTo x="0" y="0"/>
            </wp:wrapPolygon>
          </wp:wrapTight>
          <wp:docPr id="11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5815" cy="4171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color w:val="2B579A"/>
        <w:shd w:val="clear" w:color="auto" w:fill="E6E6E6"/>
        <w:lang w:eastAsia="en-GB"/>
      </w:rPr>
      <w:drawing>
        <wp:anchor distT="0" distB="0" distL="114300" distR="114300" simplePos="0" relativeHeight="251658242" behindDoc="1" locked="0" layoutInCell="1" allowOverlap="1" wp14:anchorId="3E3AD940" wp14:editId="72AD306F">
          <wp:simplePos x="0" y="0"/>
          <wp:positionH relativeFrom="column">
            <wp:posOffset>-360045</wp:posOffset>
          </wp:positionH>
          <wp:positionV relativeFrom="paragraph">
            <wp:posOffset>144145</wp:posOffset>
          </wp:positionV>
          <wp:extent cx="7559675" cy="35560"/>
          <wp:effectExtent l="0" t="0" r="3175" b="2540"/>
          <wp:wrapSquare wrapText="bothSides"/>
          <wp:docPr id="11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59675" cy="3556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6810F0D1" w14:textId="77777777" w:rsidR="00E07A63" w:rsidRDefault="00E07A63"/>
  <w:p w14:paraId="74E797DC" w14:textId="77777777" w:rsidR="00E07A63" w:rsidRDefault="00E07A63"/>
  <w:p w14:paraId="25AF7EAE" w14:textId="77777777" w:rsidR="00E07A63" w:rsidRDefault="00E07A63"/>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0"/>
    </w:tblGrid>
    <w:tr w:rsidR="00E07A63" w:rsidRPr="00EA0C60" w14:paraId="76293AA6" w14:textId="77777777" w:rsidTr="267526ED">
      <w:trPr>
        <w:trHeight w:val="109"/>
      </w:trPr>
      <w:tc>
        <w:tcPr>
          <w:tcW w:w="5000" w:type="pct"/>
        </w:tcPr>
        <w:p w14:paraId="1B6FEBC5" w14:textId="77777777" w:rsidR="00E07A63" w:rsidRDefault="00E07A63" w:rsidP="002623C1">
          <w:pPr>
            <w:pStyle w:val="EFSAShorttitle"/>
            <w:rPr>
              <w:highlight w:val="yellow"/>
            </w:rPr>
          </w:pPr>
          <w:r w:rsidRPr="00735BFC">
            <w:t>BMD approach in risk assessment</w:t>
          </w:r>
          <w:r w:rsidRPr="00733D3A">
            <w:rPr>
              <w:noProof/>
            </w:rPr>
            <w:t xml:space="preserve"> </w:t>
          </w:r>
          <w:r w:rsidRPr="00733D3A">
            <w:rPr>
              <w:noProof/>
              <w:color w:val="2B579A"/>
              <w:shd w:val="clear" w:color="auto" w:fill="E6E6E6"/>
            </w:rPr>
            <w:drawing>
              <wp:anchor distT="0" distB="0" distL="114300" distR="114300" simplePos="0" relativeHeight="251658245" behindDoc="0" locked="0" layoutInCell="1" allowOverlap="1" wp14:anchorId="7927F766" wp14:editId="0D4B059C">
                <wp:simplePos x="0" y="0"/>
                <wp:positionH relativeFrom="column">
                  <wp:posOffset>5075860</wp:posOffset>
                </wp:positionH>
                <wp:positionV relativeFrom="paragraph">
                  <wp:posOffset>-268605</wp:posOffset>
                </wp:positionV>
                <wp:extent cx="729615" cy="395605"/>
                <wp:effectExtent l="0" t="0" r="0" b="4445"/>
                <wp:wrapNone/>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J_logo_templates_300dpi.jpg"/>
                        <pic:cNvPicPr/>
                      </pic:nvPicPr>
                      <pic:blipFill rotWithShape="1">
                        <a:blip r:embed="rId1" cstate="print">
                          <a:extLst>
                            <a:ext uri="{28A0092B-C50C-407E-A947-70E740481C1C}">
                              <a14:useLocalDpi xmlns:a14="http://schemas.microsoft.com/office/drawing/2010/main" val="0"/>
                            </a:ext>
                          </a:extLst>
                        </a:blip>
                        <a:srcRect b="7537"/>
                        <a:stretch/>
                      </pic:blipFill>
                      <pic:spPr bwMode="auto">
                        <a:xfrm>
                          <a:off x="0" y="0"/>
                          <a:ext cx="729615" cy="3956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33D3A">
            <w:rPr>
              <w:noProof/>
              <w:color w:val="2B579A"/>
              <w:shd w:val="clear" w:color="auto" w:fill="E6E6E6"/>
            </w:rPr>
            <w:drawing>
              <wp:anchor distT="0" distB="0" distL="114300" distR="114300" simplePos="0" relativeHeight="251658244" behindDoc="1" locked="0" layoutInCell="1" allowOverlap="1" wp14:anchorId="1222E766" wp14:editId="6013F098">
                <wp:simplePos x="0" y="0"/>
                <wp:positionH relativeFrom="margin">
                  <wp:align>left</wp:align>
                </wp:positionH>
                <wp:positionV relativeFrom="paragraph">
                  <wp:posOffset>158750</wp:posOffset>
                </wp:positionV>
                <wp:extent cx="5760000" cy="36000"/>
                <wp:effectExtent l="0" t="0" r="0" b="2540"/>
                <wp:wrapNone/>
                <wp:docPr id="118" name="Pictur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header-footer-portrait-01.jpg"/>
                        <pic:cNvPicPr/>
                      </pic:nvPicPr>
                      <pic:blipFill>
                        <a:blip r:embed="rId2">
                          <a:extLst>
                            <a:ext uri="{28A0092B-C50C-407E-A947-70E740481C1C}">
                              <a14:useLocalDpi xmlns:a14="http://schemas.microsoft.com/office/drawing/2010/main" val="0"/>
                            </a:ext>
                          </a:extLst>
                        </a:blip>
                        <a:stretch>
                          <a:fillRect/>
                        </a:stretch>
                      </pic:blipFill>
                      <pic:spPr>
                        <a:xfrm>
                          <a:off x="0" y="0"/>
                          <a:ext cx="5760000" cy="36000"/>
                        </a:xfrm>
                        <a:prstGeom prst="rect">
                          <a:avLst/>
                        </a:prstGeom>
                      </pic:spPr>
                    </pic:pic>
                  </a:graphicData>
                </a:graphic>
                <wp14:sizeRelH relativeFrom="margin">
                  <wp14:pctWidth>0</wp14:pctWidth>
                </wp14:sizeRelH>
                <wp14:sizeRelV relativeFrom="margin">
                  <wp14:pctHeight>0</wp14:pctHeight>
                </wp14:sizeRelV>
              </wp:anchor>
            </w:drawing>
          </w:r>
        </w:p>
      </w:tc>
    </w:tr>
    <w:tr w:rsidR="00E07A63" w:rsidRPr="00EA0C60" w14:paraId="38AA98D6" w14:textId="77777777" w:rsidTr="267526ED">
      <w:trPr>
        <w:trHeight w:val="109"/>
      </w:trPr>
      <w:tc>
        <w:tcPr>
          <w:tcW w:w="5000" w:type="pct"/>
        </w:tcPr>
        <w:p w14:paraId="665A1408" w14:textId="77777777" w:rsidR="00E07A63" w:rsidRPr="00EA0C60" w:rsidRDefault="00E07A63" w:rsidP="002623C1">
          <w:pPr>
            <w:pStyle w:val="EFSAShorttitle"/>
            <w:rPr>
              <w:noProof/>
              <w:sz w:val="2"/>
              <w:szCs w:val="2"/>
            </w:rPr>
          </w:pPr>
        </w:p>
      </w:tc>
    </w:tr>
  </w:tbl>
  <w:p w14:paraId="71049383" w14:textId="77777777" w:rsidR="00E07A63" w:rsidRPr="002623C1" w:rsidRDefault="00E07A63" w:rsidP="00EA0C60">
    <w:pPr>
      <w:pStyle w:val="Header"/>
      <w:suppressLineNumbers w:val="0"/>
      <w:suppressAutoHyphens w:val="0"/>
      <w:rPr>
        <w:sz w:val="2"/>
        <w:szCs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500C74" w14:textId="77777777" w:rsidR="00E07A63" w:rsidRDefault="00E07A6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0"/>
    <w:multiLevelType w:val="singleLevel"/>
    <w:tmpl w:val="1FA45650"/>
    <w:lvl w:ilvl="0">
      <w:start w:val="1"/>
      <w:numFmt w:val="bullet"/>
      <w:pStyle w:val="ListBullet5"/>
      <w:lvlText w:val=""/>
      <w:lvlJc w:val="left"/>
      <w:pPr>
        <w:tabs>
          <w:tab w:val="num" w:pos="3901"/>
        </w:tabs>
        <w:ind w:left="3901" w:hanging="360"/>
      </w:pPr>
      <w:rPr>
        <w:rFonts w:ascii="Symbol" w:hAnsi="Symbol" w:hint="default"/>
      </w:rPr>
    </w:lvl>
  </w:abstractNum>
  <w:abstractNum w:abstractNumId="1" w15:restartNumberingAfterBreak="0">
    <w:nsid w:val="00000010"/>
    <w:multiLevelType w:val="multilevel"/>
    <w:tmpl w:val="0000001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47351D7"/>
    <w:multiLevelType w:val="hybridMultilevel"/>
    <w:tmpl w:val="B8227894"/>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3" w15:restartNumberingAfterBreak="0">
    <w:nsid w:val="08B24F38"/>
    <w:multiLevelType w:val="hybridMultilevel"/>
    <w:tmpl w:val="D834EB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93745BD"/>
    <w:multiLevelType w:val="hybridMultilevel"/>
    <w:tmpl w:val="2A660C9E"/>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5" w15:restartNumberingAfterBreak="0">
    <w:nsid w:val="0A5F10EC"/>
    <w:multiLevelType w:val="hybridMultilevel"/>
    <w:tmpl w:val="A5E6F1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BF01C68"/>
    <w:multiLevelType w:val="hybridMultilevel"/>
    <w:tmpl w:val="E5628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CE271DA"/>
    <w:multiLevelType w:val="hybridMultilevel"/>
    <w:tmpl w:val="0BFE67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D3D0E61"/>
    <w:multiLevelType w:val="hybridMultilevel"/>
    <w:tmpl w:val="BA2CD068"/>
    <w:lvl w:ilvl="0" w:tplc="0C000003">
      <w:start w:val="1"/>
      <w:numFmt w:val="bullet"/>
      <w:lvlText w:val="o"/>
      <w:lvlJc w:val="left"/>
      <w:pPr>
        <w:ind w:left="1440" w:hanging="360"/>
      </w:pPr>
      <w:rPr>
        <w:rFonts w:ascii="Courier New" w:hAnsi="Courier New" w:cs="Courier New" w:hint="default"/>
      </w:rPr>
    </w:lvl>
    <w:lvl w:ilvl="1" w:tplc="0C000003" w:tentative="1">
      <w:start w:val="1"/>
      <w:numFmt w:val="bullet"/>
      <w:lvlText w:val="o"/>
      <w:lvlJc w:val="left"/>
      <w:pPr>
        <w:ind w:left="2160" w:hanging="360"/>
      </w:pPr>
      <w:rPr>
        <w:rFonts w:ascii="Courier New" w:hAnsi="Courier New" w:cs="Courier New" w:hint="default"/>
      </w:rPr>
    </w:lvl>
    <w:lvl w:ilvl="2" w:tplc="0C000005" w:tentative="1">
      <w:start w:val="1"/>
      <w:numFmt w:val="bullet"/>
      <w:lvlText w:val=""/>
      <w:lvlJc w:val="left"/>
      <w:pPr>
        <w:ind w:left="2880" w:hanging="360"/>
      </w:pPr>
      <w:rPr>
        <w:rFonts w:ascii="Wingdings" w:hAnsi="Wingdings" w:hint="default"/>
      </w:rPr>
    </w:lvl>
    <w:lvl w:ilvl="3" w:tplc="0C000001" w:tentative="1">
      <w:start w:val="1"/>
      <w:numFmt w:val="bullet"/>
      <w:lvlText w:val=""/>
      <w:lvlJc w:val="left"/>
      <w:pPr>
        <w:ind w:left="3600" w:hanging="360"/>
      </w:pPr>
      <w:rPr>
        <w:rFonts w:ascii="Symbol" w:hAnsi="Symbol" w:hint="default"/>
      </w:rPr>
    </w:lvl>
    <w:lvl w:ilvl="4" w:tplc="0C000003" w:tentative="1">
      <w:start w:val="1"/>
      <w:numFmt w:val="bullet"/>
      <w:lvlText w:val="o"/>
      <w:lvlJc w:val="left"/>
      <w:pPr>
        <w:ind w:left="4320" w:hanging="360"/>
      </w:pPr>
      <w:rPr>
        <w:rFonts w:ascii="Courier New" w:hAnsi="Courier New" w:cs="Courier New" w:hint="default"/>
      </w:rPr>
    </w:lvl>
    <w:lvl w:ilvl="5" w:tplc="0C000005" w:tentative="1">
      <w:start w:val="1"/>
      <w:numFmt w:val="bullet"/>
      <w:lvlText w:val=""/>
      <w:lvlJc w:val="left"/>
      <w:pPr>
        <w:ind w:left="5040" w:hanging="360"/>
      </w:pPr>
      <w:rPr>
        <w:rFonts w:ascii="Wingdings" w:hAnsi="Wingdings" w:hint="default"/>
      </w:rPr>
    </w:lvl>
    <w:lvl w:ilvl="6" w:tplc="0C000001" w:tentative="1">
      <w:start w:val="1"/>
      <w:numFmt w:val="bullet"/>
      <w:lvlText w:val=""/>
      <w:lvlJc w:val="left"/>
      <w:pPr>
        <w:ind w:left="5760" w:hanging="360"/>
      </w:pPr>
      <w:rPr>
        <w:rFonts w:ascii="Symbol" w:hAnsi="Symbol" w:hint="default"/>
      </w:rPr>
    </w:lvl>
    <w:lvl w:ilvl="7" w:tplc="0C000003" w:tentative="1">
      <w:start w:val="1"/>
      <w:numFmt w:val="bullet"/>
      <w:lvlText w:val="o"/>
      <w:lvlJc w:val="left"/>
      <w:pPr>
        <w:ind w:left="6480" w:hanging="360"/>
      </w:pPr>
      <w:rPr>
        <w:rFonts w:ascii="Courier New" w:hAnsi="Courier New" w:cs="Courier New" w:hint="default"/>
      </w:rPr>
    </w:lvl>
    <w:lvl w:ilvl="8" w:tplc="0C000005" w:tentative="1">
      <w:start w:val="1"/>
      <w:numFmt w:val="bullet"/>
      <w:lvlText w:val=""/>
      <w:lvlJc w:val="left"/>
      <w:pPr>
        <w:ind w:left="7200" w:hanging="360"/>
      </w:pPr>
      <w:rPr>
        <w:rFonts w:ascii="Wingdings" w:hAnsi="Wingdings" w:hint="default"/>
      </w:rPr>
    </w:lvl>
  </w:abstractNum>
  <w:abstractNum w:abstractNumId="9" w15:restartNumberingAfterBreak="0">
    <w:nsid w:val="0FF7190D"/>
    <w:multiLevelType w:val="hybridMultilevel"/>
    <w:tmpl w:val="B2AC0E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0AF4ECE"/>
    <w:multiLevelType w:val="hybridMultilevel"/>
    <w:tmpl w:val="FFFFFFFF"/>
    <w:lvl w:ilvl="0" w:tplc="CF6CE48C">
      <w:start w:val="1"/>
      <w:numFmt w:val="bullet"/>
      <w:lvlText w:val=""/>
      <w:lvlJc w:val="left"/>
      <w:pPr>
        <w:ind w:left="720" w:hanging="360"/>
      </w:pPr>
      <w:rPr>
        <w:rFonts w:ascii="Symbol" w:hAnsi="Symbol" w:hint="default"/>
      </w:rPr>
    </w:lvl>
    <w:lvl w:ilvl="1" w:tplc="7282469C">
      <w:start w:val="1"/>
      <w:numFmt w:val="bullet"/>
      <w:lvlText w:val="o"/>
      <w:lvlJc w:val="left"/>
      <w:pPr>
        <w:ind w:left="1440" w:hanging="360"/>
      </w:pPr>
      <w:rPr>
        <w:rFonts w:ascii="Courier New" w:hAnsi="Courier New" w:hint="default"/>
      </w:rPr>
    </w:lvl>
    <w:lvl w:ilvl="2" w:tplc="46A0F3F0">
      <w:start w:val="1"/>
      <w:numFmt w:val="bullet"/>
      <w:lvlText w:val=""/>
      <w:lvlJc w:val="left"/>
      <w:pPr>
        <w:ind w:left="2160" w:hanging="360"/>
      </w:pPr>
      <w:rPr>
        <w:rFonts w:ascii="Wingdings" w:hAnsi="Wingdings" w:hint="default"/>
      </w:rPr>
    </w:lvl>
    <w:lvl w:ilvl="3" w:tplc="05AE2978">
      <w:start w:val="1"/>
      <w:numFmt w:val="bullet"/>
      <w:lvlText w:val=""/>
      <w:lvlJc w:val="left"/>
      <w:pPr>
        <w:ind w:left="2880" w:hanging="360"/>
      </w:pPr>
      <w:rPr>
        <w:rFonts w:ascii="Symbol" w:hAnsi="Symbol" w:hint="default"/>
      </w:rPr>
    </w:lvl>
    <w:lvl w:ilvl="4" w:tplc="59BE5E28">
      <w:start w:val="1"/>
      <w:numFmt w:val="bullet"/>
      <w:lvlText w:val="o"/>
      <w:lvlJc w:val="left"/>
      <w:pPr>
        <w:ind w:left="3600" w:hanging="360"/>
      </w:pPr>
      <w:rPr>
        <w:rFonts w:ascii="Courier New" w:hAnsi="Courier New" w:hint="default"/>
      </w:rPr>
    </w:lvl>
    <w:lvl w:ilvl="5" w:tplc="BF2C72C2">
      <w:start w:val="1"/>
      <w:numFmt w:val="bullet"/>
      <w:lvlText w:val=""/>
      <w:lvlJc w:val="left"/>
      <w:pPr>
        <w:ind w:left="4320" w:hanging="360"/>
      </w:pPr>
      <w:rPr>
        <w:rFonts w:ascii="Wingdings" w:hAnsi="Wingdings" w:hint="default"/>
      </w:rPr>
    </w:lvl>
    <w:lvl w:ilvl="6" w:tplc="16725E96">
      <w:start w:val="1"/>
      <w:numFmt w:val="bullet"/>
      <w:lvlText w:val=""/>
      <w:lvlJc w:val="left"/>
      <w:pPr>
        <w:ind w:left="5040" w:hanging="360"/>
      </w:pPr>
      <w:rPr>
        <w:rFonts w:ascii="Symbol" w:hAnsi="Symbol" w:hint="default"/>
      </w:rPr>
    </w:lvl>
    <w:lvl w:ilvl="7" w:tplc="FC3C16B8">
      <w:start w:val="1"/>
      <w:numFmt w:val="bullet"/>
      <w:lvlText w:val="o"/>
      <w:lvlJc w:val="left"/>
      <w:pPr>
        <w:ind w:left="5760" w:hanging="360"/>
      </w:pPr>
      <w:rPr>
        <w:rFonts w:ascii="Courier New" w:hAnsi="Courier New" w:hint="default"/>
      </w:rPr>
    </w:lvl>
    <w:lvl w:ilvl="8" w:tplc="DF0EAF04">
      <w:start w:val="1"/>
      <w:numFmt w:val="bullet"/>
      <w:lvlText w:val=""/>
      <w:lvlJc w:val="left"/>
      <w:pPr>
        <w:ind w:left="6480" w:hanging="360"/>
      </w:pPr>
      <w:rPr>
        <w:rFonts w:ascii="Wingdings" w:hAnsi="Wingdings" w:hint="default"/>
      </w:rPr>
    </w:lvl>
  </w:abstractNum>
  <w:abstractNum w:abstractNumId="11" w15:restartNumberingAfterBreak="0">
    <w:nsid w:val="143C7734"/>
    <w:multiLevelType w:val="multilevel"/>
    <w:tmpl w:val="74207EA0"/>
    <w:styleLink w:val="EFSAheadinglist"/>
    <w:lvl w:ilvl="0">
      <w:start w:val="1"/>
      <w:numFmt w:val="decimal"/>
      <w:lvlText w:val="%1."/>
      <w:lvlJc w:val="left"/>
      <w:pPr>
        <w:ind w:left="1021" w:hanging="1021"/>
      </w:pPr>
      <w:rPr>
        <w:rFonts w:hint="default"/>
      </w:rPr>
    </w:lvl>
    <w:lvl w:ilvl="1">
      <w:start w:val="1"/>
      <w:numFmt w:val="decimal"/>
      <w:lvlText w:val="%1.%2."/>
      <w:lvlJc w:val="left"/>
      <w:pPr>
        <w:ind w:left="1021" w:hanging="1021"/>
      </w:pPr>
      <w:rPr>
        <w:rFonts w:hint="default"/>
      </w:rPr>
    </w:lvl>
    <w:lvl w:ilvl="2">
      <w:start w:val="1"/>
      <w:numFmt w:val="decimal"/>
      <w:lvlText w:val="%1.%2.%3."/>
      <w:lvlJc w:val="left"/>
      <w:pPr>
        <w:ind w:left="3998" w:hanging="1021"/>
      </w:pPr>
      <w:rPr>
        <w:rFonts w:hint="default"/>
      </w:rPr>
    </w:lvl>
    <w:lvl w:ilvl="3">
      <w:start w:val="1"/>
      <w:numFmt w:val="decimal"/>
      <w:lvlText w:val="%1.%2.%3.%4."/>
      <w:lvlJc w:val="left"/>
      <w:pPr>
        <w:ind w:left="1021" w:hanging="1021"/>
      </w:pPr>
      <w:rPr>
        <w:rFonts w:hint="default"/>
      </w:rPr>
    </w:lvl>
    <w:lvl w:ilvl="4">
      <w:start w:val="1"/>
      <w:numFmt w:val="none"/>
      <w:suff w:val="nothing"/>
      <w:lvlText w:val=""/>
      <w:lvlJc w:val="left"/>
      <w:pPr>
        <w:ind w:left="0" w:firstLine="0"/>
      </w:pPr>
      <w:rPr>
        <w:rFonts w:hint="default"/>
      </w:rPr>
    </w:lvl>
    <w:lvl w:ilvl="5">
      <w:start w:val="1"/>
      <w:numFmt w:val="lowerRoman"/>
      <w:lvlText w:val="(%6)"/>
      <w:lvlJc w:val="left"/>
      <w:pPr>
        <w:ind w:left="851" w:hanging="851"/>
      </w:pPr>
      <w:rPr>
        <w:rFonts w:hint="default"/>
      </w:rPr>
    </w:lvl>
    <w:lvl w:ilvl="6">
      <w:start w:val="1"/>
      <w:numFmt w:val="decimal"/>
      <w:lvlText w:val="%7."/>
      <w:lvlJc w:val="left"/>
      <w:pPr>
        <w:ind w:left="851" w:hanging="851"/>
      </w:pPr>
      <w:rPr>
        <w:rFonts w:hint="default"/>
      </w:rPr>
    </w:lvl>
    <w:lvl w:ilvl="7">
      <w:start w:val="1"/>
      <w:numFmt w:val="lowerLetter"/>
      <w:lvlText w:val="%8."/>
      <w:lvlJc w:val="left"/>
      <w:pPr>
        <w:ind w:left="851" w:hanging="851"/>
      </w:pPr>
      <w:rPr>
        <w:rFonts w:hint="default"/>
      </w:rPr>
    </w:lvl>
    <w:lvl w:ilvl="8">
      <w:start w:val="1"/>
      <w:numFmt w:val="lowerRoman"/>
      <w:lvlText w:val="%9."/>
      <w:lvlJc w:val="left"/>
      <w:pPr>
        <w:ind w:left="851" w:hanging="851"/>
      </w:pPr>
      <w:rPr>
        <w:rFonts w:hint="default"/>
      </w:rPr>
    </w:lvl>
  </w:abstractNum>
  <w:abstractNum w:abstractNumId="12" w15:restartNumberingAfterBreak="0">
    <w:nsid w:val="166F62B1"/>
    <w:multiLevelType w:val="hybridMultilevel"/>
    <w:tmpl w:val="E8DE2E4A"/>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3" w15:restartNumberingAfterBreak="0">
    <w:nsid w:val="167D66FD"/>
    <w:multiLevelType w:val="hybridMultilevel"/>
    <w:tmpl w:val="815ADB36"/>
    <w:lvl w:ilvl="0" w:tplc="0809000F">
      <w:start w:val="1"/>
      <w:numFmt w:val="decimal"/>
      <w:lvlText w:val="%1."/>
      <w:lvlJc w:val="left"/>
      <w:pPr>
        <w:ind w:left="720" w:hanging="360"/>
      </w:pPr>
    </w:lvl>
    <w:lvl w:ilvl="1" w:tplc="39A2445C">
      <w:numFmt w:val="bullet"/>
      <w:lvlText w:val="-"/>
      <w:lvlJc w:val="left"/>
      <w:pPr>
        <w:ind w:left="1440" w:hanging="360"/>
      </w:pPr>
      <w:rPr>
        <w:rFonts w:ascii="Tahoma" w:eastAsiaTheme="minorHAnsi" w:hAnsi="Tahoma" w:cs="Tahoma"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7D8616B"/>
    <w:multiLevelType w:val="hybridMultilevel"/>
    <w:tmpl w:val="3E2A5A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859393D"/>
    <w:multiLevelType w:val="hybridMultilevel"/>
    <w:tmpl w:val="15D28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B401E6C"/>
    <w:multiLevelType w:val="hybridMultilevel"/>
    <w:tmpl w:val="3E443F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1DE4588C"/>
    <w:multiLevelType w:val="multilevel"/>
    <w:tmpl w:val="756C11F0"/>
    <w:lvl w:ilvl="0">
      <w:start w:val="1"/>
      <w:numFmt w:val="bullet"/>
      <w:lvlText w:val=""/>
      <w:lvlJc w:val="left"/>
      <w:pPr>
        <w:tabs>
          <w:tab w:val="num" w:pos="0"/>
        </w:tabs>
        <w:ind w:left="720" w:hanging="360"/>
      </w:pPr>
      <w:rPr>
        <w:rFonts w:ascii="Symbol" w:hAnsi="Symbol" w:hint="default"/>
      </w:rPr>
    </w:lvl>
    <w:lvl w:ilvl="1">
      <w:start w:val="1"/>
      <w:numFmt w:val="bullet"/>
      <w:lvlText w:val="–"/>
      <w:lvlJc w:val="left"/>
      <w:pPr>
        <w:tabs>
          <w:tab w:val="num" w:pos="0"/>
        </w:tabs>
        <w:ind w:left="1440" w:hanging="360"/>
      </w:pPr>
      <w:rPr>
        <w:rFonts w:ascii="Tahoma" w:hAnsi="Tahoma" w:hint="default"/>
        <w:color w:val="auto"/>
        <w:sz w:val="20"/>
      </w:rPr>
    </w:lvl>
    <w:lvl w:ilvl="2">
      <w:start w:val="1"/>
      <w:numFmt w:val="bullet"/>
      <w:lvlText w:val="–"/>
      <w:lvlJc w:val="left"/>
      <w:pPr>
        <w:tabs>
          <w:tab w:val="num" w:pos="0"/>
        </w:tabs>
        <w:ind w:left="2160" w:hanging="360"/>
      </w:pPr>
      <w:rPr>
        <w:rFonts w:ascii="Tahoma" w:hAnsi="Tahoma" w:hint="default"/>
        <w:color w:val="auto"/>
        <w:sz w:val="20"/>
      </w:rPr>
    </w:lvl>
    <w:lvl w:ilvl="3">
      <w:start w:val="1"/>
      <w:numFmt w:val="bullet"/>
      <w:lvlText w:val="–"/>
      <w:lvlJc w:val="left"/>
      <w:pPr>
        <w:tabs>
          <w:tab w:val="num" w:pos="0"/>
        </w:tabs>
        <w:ind w:left="2880" w:hanging="360"/>
      </w:pPr>
      <w:rPr>
        <w:rFonts w:ascii="Tahoma" w:hAnsi="Tahoma" w:hint="default"/>
        <w:color w:val="auto"/>
        <w:sz w:val="20"/>
      </w:rPr>
    </w:lvl>
    <w:lvl w:ilvl="4">
      <w:start w:val="1"/>
      <w:numFmt w:val="bullet"/>
      <w:lvlText w:val="–"/>
      <w:lvlJc w:val="left"/>
      <w:pPr>
        <w:tabs>
          <w:tab w:val="num" w:pos="0"/>
        </w:tabs>
        <w:ind w:left="3600" w:hanging="360"/>
      </w:pPr>
      <w:rPr>
        <w:rFonts w:ascii="Tahoma" w:hAnsi="Tahoma" w:hint="default"/>
        <w:color w:val="auto"/>
        <w:sz w:val="20"/>
      </w:rPr>
    </w:lvl>
    <w:lvl w:ilvl="5">
      <w:start w:val="1"/>
      <w:numFmt w:val="bullet"/>
      <w:lvlText w:val="–"/>
      <w:lvlJc w:val="left"/>
      <w:pPr>
        <w:tabs>
          <w:tab w:val="num" w:pos="0"/>
        </w:tabs>
        <w:ind w:left="4320" w:hanging="360"/>
      </w:pPr>
      <w:rPr>
        <w:rFonts w:ascii="Tahoma" w:hAnsi="Tahoma" w:hint="default"/>
        <w:color w:val="auto"/>
        <w:sz w:val="20"/>
      </w:rPr>
    </w:lvl>
    <w:lvl w:ilvl="6">
      <w:start w:val="1"/>
      <w:numFmt w:val="bullet"/>
      <w:lvlText w:val="–"/>
      <w:lvlJc w:val="left"/>
      <w:pPr>
        <w:tabs>
          <w:tab w:val="num" w:pos="0"/>
        </w:tabs>
        <w:ind w:left="5040" w:hanging="360"/>
      </w:pPr>
      <w:rPr>
        <w:rFonts w:ascii="Tahoma" w:hAnsi="Tahoma" w:hint="default"/>
        <w:color w:val="auto"/>
        <w:sz w:val="20"/>
      </w:rPr>
    </w:lvl>
    <w:lvl w:ilvl="7">
      <w:start w:val="1"/>
      <w:numFmt w:val="bullet"/>
      <w:lvlText w:val="–"/>
      <w:lvlJc w:val="left"/>
      <w:pPr>
        <w:tabs>
          <w:tab w:val="num" w:pos="0"/>
        </w:tabs>
        <w:ind w:left="5760" w:hanging="360"/>
      </w:pPr>
      <w:rPr>
        <w:rFonts w:ascii="Tahoma" w:hAnsi="Tahoma" w:cs="Courier New" w:hint="default"/>
        <w:color w:val="auto"/>
        <w:sz w:val="20"/>
      </w:rPr>
    </w:lvl>
    <w:lvl w:ilvl="8">
      <w:start w:val="1"/>
      <w:numFmt w:val="bullet"/>
      <w:lvlText w:val="–"/>
      <w:lvlJc w:val="left"/>
      <w:pPr>
        <w:tabs>
          <w:tab w:val="num" w:pos="0"/>
        </w:tabs>
        <w:ind w:left="6480" w:hanging="360"/>
      </w:pPr>
      <w:rPr>
        <w:rFonts w:ascii="Tahoma" w:hAnsi="Tahoma" w:hint="default"/>
        <w:color w:val="auto"/>
        <w:sz w:val="20"/>
      </w:rPr>
    </w:lvl>
  </w:abstractNum>
  <w:abstractNum w:abstractNumId="18" w15:restartNumberingAfterBreak="0">
    <w:nsid w:val="1F2B6E73"/>
    <w:multiLevelType w:val="hybridMultilevel"/>
    <w:tmpl w:val="F2ECF98A"/>
    <w:lvl w:ilvl="0" w:tplc="0C000001">
      <w:start w:val="1"/>
      <w:numFmt w:val="bullet"/>
      <w:lvlText w:val=""/>
      <w:lvlJc w:val="left"/>
      <w:pPr>
        <w:ind w:left="820" w:hanging="360"/>
      </w:pPr>
      <w:rPr>
        <w:rFonts w:ascii="Symbol" w:hAnsi="Symbol" w:hint="default"/>
      </w:rPr>
    </w:lvl>
    <w:lvl w:ilvl="1" w:tplc="0C000003" w:tentative="1">
      <w:start w:val="1"/>
      <w:numFmt w:val="bullet"/>
      <w:lvlText w:val="o"/>
      <w:lvlJc w:val="left"/>
      <w:pPr>
        <w:ind w:left="1540" w:hanging="360"/>
      </w:pPr>
      <w:rPr>
        <w:rFonts w:ascii="Courier New" w:hAnsi="Courier New" w:cs="Courier New" w:hint="default"/>
      </w:rPr>
    </w:lvl>
    <w:lvl w:ilvl="2" w:tplc="0C000005" w:tentative="1">
      <w:start w:val="1"/>
      <w:numFmt w:val="bullet"/>
      <w:lvlText w:val=""/>
      <w:lvlJc w:val="left"/>
      <w:pPr>
        <w:ind w:left="2260" w:hanging="360"/>
      </w:pPr>
      <w:rPr>
        <w:rFonts w:ascii="Wingdings" w:hAnsi="Wingdings" w:hint="default"/>
      </w:rPr>
    </w:lvl>
    <w:lvl w:ilvl="3" w:tplc="0C000001" w:tentative="1">
      <w:start w:val="1"/>
      <w:numFmt w:val="bullet"/>
      <w:lvlText w:val=""/>
      <w:lvlJc w:val="left"/>
      <w:pPr>
        <w:ind w:left="2980" w:hanging="360"/>
      </w:pPr>
      <w:rPr>
        <w:rFonts w:ascii="Symbol" w:hAnsi="Symbol" w:hint="default"/>
      </w:rPr>
    </w:lvl>
    <w:lvl w:ilvl="4" w:tplc="0C000003" w:tentative="1">
      <w:start w:val="1"/>
      <w:numFmt w:val="bullet"/>
      <w:lvlText w:val="o"/>
      <w:lvlJc w:val="left"/>
      <w:pPr>
        <w:ind w:left="3700" w:hanging="360"/>
      </w:pPr>
      <w:rPr>
        <w:rFonts w:ascii="Courier New" w:hAnsi="Courier New" w:cs="Courier New" w:hint="default"/>
      </w:rPr>
    </w:lvl>
    <w:lvl w:ilvl="5" w:tplc="0C000005" w:tentative="1">
      <w:start w:val="1"/>
      <w:numFmt w:val="bullet"/>
      <w:lvlText w:val=""/>
      <w:lvlJc w:val="left"/>
      <w:pPr>
        <w:ind w:left="4420" w:hanging="360"/>
      </w:pPr>
      <w:rPr>
        <w:rFonts w:ascii="Wingdings" w:hAnsi="Wingdings" w:hint="default"/>
      </w:rPr>
    </w:lvl>
    <w:lvl w:ilvl="6" w:tplc="0C000001" w:tentative="1">
      <w:start w:val="1"/>
      <w:numFmt w:val="bullet"/>
      <w:lvlText w:val=""/>
      <w:lvlJc w:val="left"/>
      <w:pPr>
        <w:ind w:left="5140" w:hanging="360"/>
      </w:pPr>
      <w:rPr>
        <w:rFonts w:ascii="Symbol" w:hAnsi="Symbol" w:hint="default"/>
      </w:rPr>
    </w:lvl>
    <w:lvl w:ilvl="7" w:tplc="0C000003" w:tentative="1">
      <w:start w:val="1"/>
      <w:numFmt w:val="bullet"/>
      <w:lvlText w:val="o"/>
      <w:lvlJc w:val="left"/>
      <w:pPr>
        <w:ind w:left="5860" w:hanging="360"/>
      </w:pPr>
      <w:rPr>
        <w:rFonts w:ascii="Courier New" w:hAnsi="Courier New" w:cs="Courier New" w:hint="default"/>
      </w:rPr>
    </w:lvl>
    <w:lvl w:ilvl="8" w:tplc="0C000005" w:tentative="1">
      <w:start w:val="1"/>
      <w:numFmt w:val="bullet"/>
      <w:lvlText w:val=""/>
      <w:lvlJc w:val="left"/>
      <w:pPr>
        <w:ind w:left="6580" w:hanging="360"/>
      </w:pPr>
      <w:rPr>
        <w:rFonts w:ascii="Wingdings" w:hAnsi="Wingdings" w:hint="default"/>
      </w:rPr>
    </w:lvl>
  </w:abstractNum>
  <w:abstractNum w:abstractNumId="19" w15:restartNumberingAfterBreak="0">
    <w:nsid w:val="20495486"/>
    <w:multiLevelType w:val="hybridMultilevel"/>
    <w:tmpl w:val="9BFEF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20690515"/>
    <w:multiLevelType w:val="hybridMultilevel"/>
    <w:tmpl w:val="32F2F8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099554D"/>
    <w:multiLevelType w:val="hybridMultilevel"/>
    <w:tmpl w:val="56128B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10503BF"/>
    <w:multiLevelType w:val="hybridMultilevel"/>
    <w:tmpl w:val="E214C9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4267557"/>
    <w:multiLevelType w:val="hybridMultilevel"/>
    <w:tmpl w:val="F28EED2A"/>
    <w:lvl w:ilvl="0" w:tplc="88C46F8C">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24952CDE"/>
    <w:multiLevelType w:val="hybridMultilevel"/>
    <w:tmpl w:val="0DA0042A"/>
    <w:lvl w:ilvl="0" w:tplc="526C8A2C">
      <w:start w:val="1"/>
      <w:numFmt w:val="lowerRoman"/>
      <w:lvlText w:val="%1)"/>
      <w:lvlJc w:val="left"/>
      <w:pPr>
        <w:ind w:left="720" w:hanging="360"/>
      </w:pPr>
      <w:rPr>
        <w:rFonts w:hint="default"/>
      </w:rPr>
    </w:lvl>
    <w:lvl w:ilvl="1" w:tplc="0C000019" w:tentative="1">
      <w:start w:val="1"/>
      <w:numFmt w:val="lowerLetter"/>
      <w:lvlText w:val="%2."/>
      <w:lvlJc w:val="left"/>
      <w:pPr>
        <w:ind w:left="1440" w:hanging="360"/>
      </w:pPr>
    </w:lvl>
    <w:lvl w:ilvl="2" w:tplc="0C00001B" w:tentative="1">
      <w:start w:val="1"/>
      <w:numFmt w:val="lowerRoman"/>
      <w:lvlText w:val="%3."/>
      <w:lvlJc w:val="right"/>
      <w:pPr>
        <w:ind w:left="2160" w:hanging="180"/>
      </w:pPr>
    </w:lvl>
    <w:lvl w:ilvl="3" w:tplc="0C00000F" w:tentative="1">
      <w:start w:val="1"/>
      <w:numFmt w:val="decimal"/>
      <w:lvlText w:val="%4."/>
      <w:lvlJc w:val="left"/>
      <w:pPr>
        <w:ind w:left="2880" w:hanging="360"/>
      </w:pPr>
    </w:lvl>
    <w:lvl w:ilvl="4" w:tplc="0C000019" w:tentative="1">
      <w:start w:val="1"/>
      <w:numFmt w:val="lowerLetter"/>
      <w:lvlText w:val="%5."/>
      <w:lvlJc w:val="left"/>
      <w:pPr>
        <w:ind w:left="3600" w:hanging="360"/>
      </w:pPr>
    </w:lvl>
    <w:lvl w:ilvl="5" w:tplc="0C00001B" w:tentative="1">
      <w:start w:val="1"/>
      <w:numFmt w:val="lowerRoman"/>
      <w:lvlText w:val="%6."/>
      <w:lvlJc w:val="right"/>
      <w:pPr>
        <w:ind w:left="4320" w:hanging="180"/>
      </w:pPr>
    </w:lvl>
    <w:lvl w:ilvl="6" w:tplc="0C00000F" w:tentative="1">
      <w:start w:val="1"/>
      <w:numFmt w:val="decimal"/>
      <w:lvlText w:val="%7."/>
      <w:lvlJc w:val="left"/>
      <w:pPr>
        <w:ind w:left="5040" w:hanging="360"/>
      </w:pPr>
    </w:lvl>
    <w:lvl w:ilvl="7" w:tplc="0C000019" w:tentative="1">
      <w:start w:val="1"/>
      <w:numFmt w:val="lowerLetter"/>
      <w:lvlText w:val="%8."/>
      <w:lvlJc w:val="left"/>
      <w:pPr>
        <w:ind w:left="5760" w:hanging="360"/>
      </w:pPr>
    </w:lvl>
    <w:lvl w:ilvl="8" w:tplc="0C00001B" w:tentative="1">
      <w:start w:val="1"/>
      <w:numFmt w:val="lowerRoman"/>
      <w:lvlText w:val="%9."/>
      <w:lvlJc w:val="right"/>
      <w:pPr>
        <w:ind w:left="6480" w:hanging="180"/>
      </w:pPr>
    </w:lvl>
  </w:abstractNum>
  <w:abstractNum w:abstractNumId="25" w15:restartNumberingAfterBreak="0">
    <w:nsid w:val="2525366C"/>
    <w:multiLevelType w:val="hybridMultilevel"/>
    <w:tmpl w:val="0734D516"/>
    <w:lvl w:ilvl="0" w:tplc="6624F618">
      <w:start w:val="1"/>
      <w:numFmt w:val="bullet"/>
      <w:lvlText w:val=""/>
      <w:lvlJc w:val="left"/>
      <w:pPr>
        <w:ind w:left="720" w:hanging="360"/>
      </w:pPr>
      <w:rPr>
        <w:rFonts w:ascii="Symbol" w:hAnsi="Symbol" w:hint="default"/>
      </w:rPr>
    </w:lvl>
    <w:lvl w:ilvl="1" w:tplc="9926DCF4">
      <w:start w:val="1"/>
      <w:numFmt w:val="bullet"/>
      <w:lvlText w:val="o"/>
      <w:lvlJc w:val="left"/>
      <w:pPr>
        <w:ind w:left="1440" w:hanging="360"/>
      </w:pPr>
      <w:rPr>
        <w:rFonts w:ascii="Courier New" w:hAnsi="Courier New" w:hint="default"/>
      </w:rPr>
    </w:lvl>
    <w:lvl w:ilvl="2" w:tplc="F9D4ECF2">
      <w:start w:val="1"/>
      <w:numFmt w:val="bullet"/>
      <w:lvlText w:val=""/>
      <w:lvlJc w:val="left"/>
      <w:pPr>
        <w:ind w:left="2160" w:hanging="360"/>
      </w:pPr>
      <w:rPr>
        <w:rFonts w:ascii="Wingdings" w:hAnsi="Wingdings" w:hint="default"/>
      </w:rPr>
    </w:lvl>
    <w:lvl w:ilvl="3" w:tplc="B0AC580A">
      <w:start w:val="1"/>
      <w:numFmt w:val="bullet"/>
      <w:lvlText w:val=""/>
      <w:lvlJc w:val="left"/>
      <w:pPr>
        <w:ind w:left="2880" w:hanging="360"/>
      </w:pPr>
      <w:rPr>
        <w:rFonts w:ascii="Symbol" w:hAnsi="Symbol" w:hint="default"/>
      </w:rPr>
    </w:lvl>
    <w:lvl w:ilvl="4" w:tplc="FFC4CC32">
      <w:start w:val="1"/>
      <w:numFmt w:val="bullet"/>
      <w:lvlText w:val="o"/>
      <w:lvlJc w:val="left"/>
      <w:pPr>
        <w:ind w:left="3600" w:hanging="360"/>
      </w:pPr>
      <w:rPr>
        <w:rFonts w:ascii="Courier New" w:hAnsi="Courier New" w:hint="default"/>
      </w:rPr>
    </w:lvl>
    <w:lvl w:ilvl="5" w:tplc="40485396">
      <w:start w:val="1"/>
      <w:numFmt w:val="bullet"/>
      <w:lvlText w:val=""/>
      <w:lvlJc w:val="left"/>
      <w:pPr>
        <w:ind w:left="4320" w:hanging="360"/>
      </w:pPr>
      <w:rPr>
        <w:rFonts w:ascii="Wingdings" w:hAnsi="Wingdings" w:hint="default"/>
      </w:rPr>
    </w:lvl>
    <w:lvl w:ilvl="6" w:tplc="062C3B94">
      <w:start w:val="1"/>
      <w:numFmt w:val="bullet"/>
      <w:lvlText w:val=""/>
      <w:lvlJc w:val="left"/>
      <w:pPr>
        <w:ind w:left="5040" w:hanging="360"/>
      </w:pPr>
      <w:rPr>
        <w:rFonts w:ascii="Symbol" w:hAnsi="Symbol" w:hint="default"/>
      </w:rPr>
    </w:lvl>
    <w:lvl w:ilvl="7" w:tplc="E9EA3D14">
      <w:start w:val="1"/>
      <w:numFmt w:val="bullet"/>
      <w:lvlText w:val="o"/>
      <w:lvlJc w:val="left"/>
      <w:pPr>
        <w:ind w:left="5760" w:hanging="360"/>
      </w:pPr>
      <w:rPr>
        <w:rFonts w:ascii="Courier New" w:hAnsi="Courier New" w:hint="default"/>
      </w:rPr>
    </w:lvl>
    <w:lvl w:ilvl="8" w:tplc="808287FC">
      <w:start w:val="1"/>
      <w:numFmt w:val="bullet"/>
      <w:lvlText w:val=""/>
      <w:lvlJc w:val="left"/>
      <w:pPr>
        <w:ind w:left="6480" w:hanging="360"/>
      </w:pPr>
      <w:rPr>
        <w:rFonts w:ascii="Wingdings" w:hAnsi="Wingdings" w:hint="default"/>
      </w:rPr>
    </w:lvl>
  </w:abstractNum>
  <w:abstractNum w:abstractNumId="26" w15:restartNumberingAfterBreak="0">
    <w:nsid w:val="279B0EA5"/>
    <w:multiLevelType w:val="hybridMultilevel"/>
    <w:tmpl w:val="F3883256"/>
    <w:lvl w:ilvl="0" w:tplc="7D34D3FE">
      <w:start w:val="1"/>
      <w:numFmt w:val="decimal"/>
      <w:lvlText w:val="%1."/>
      <w:lvlJc w:val="left"/>
      <w:pPr>
        <w:ind w:left="360" w:hanging="360"/>
      </w:pPr>
    </w:lvl>
    <w:lvl w:ilvl="1" w:tplc="2A682FB2">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2BF8150E"/>
    <w:multiLevelType w:val="hybridMultilevel"/>
    <w:tmpl w:val="C254C3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EE42F4A"/>
    <w:multiLevelType w:val="hybridMultilevel"/>
    <w:tmpl w:val="A8F40588"/>
    <w:lvl w:ilvl="0" w:tplc="0C00000F">
      <w:start w:val="1"/>
      <w:numFmt w:val="decimal"/>
      <w:lvlText w:val="%1."/>
      <w:lvlJc w:val="left"/>
      <w:pPr>
        <w:ind w:left="720" w:hanging="360"/>
      </w:pPr>
    </w:lvl>
    <w:lvl w:ilvl="1" w:tplc="0C000019" w:tentative="1">
      <w:start w:val="1"/>
      <w:numFmt w:val="lowerLetter"/>
      <w:lvlText w:val="%2."/>
      <w:lvlJc w:val="left"/>
      <w:pPr>
        <w:ind w:left="1440" w:hanging="360"/>
      </w:pPr>
    </w:lvl>
    <w:lvl w:ilvl="2" w:tplc="0C00001B" w:tentative="1">
      <w:start w:val="1"/>
      <w:numFmt w:val="lowerRoman"/>
      <w:lvlText w:val="%3."/>
      <w:lvlJc w:val="right"/>
      <w:pPr>
        <w:ind w:left="2160" w:hanging="180"/>
      </w:pPr>
    </w:lvl>
    <w:lvl w:ilvl="3" w:tplc="0C00000F" w:tentative="1">
      <w:start w:val="1"/>
      <w:numFmt w:val="decimal"/>
      <w:lvlText w:val="%4."/>
      <w:lvlJc w:val="left"/>
      <w:pPr>
        <w:ind w:left="2880" w:hanging="360"/>
      </w:pPr>
    </w:lvl>
    <w:lvl w:ilvl="4" w:tplc="0C000019" w:tentative="1">
      <w:start w:val="1"/>
      <w:numFmt w:val="lowerLetter"/>
      <w:lvlText w:val="%5."/>
      <w:lvlJc w:val="left"/>
      <w:pPr>
        <w:ind w:left="3600" w:hanging="360"/>
      </w:pPr>
    </w:lvl>
    <w:lvl w:ilvl="5" w:tplc="0C00001B" w:tentative="1">
      <w:start w:val="1"/>
      <w:numFmt w:val="lowerRoman"/>
      <w:lvlText w:val="%6."/>
      <w:lvlJc w:val="right"/>
      <w:pPr>
        <w:ind w:left="4320" w:hanging="180"/>
      </w:pPr>
    </w:lvl>
    <w:lvl w:ilvl="6" w:tplc="0C00000F" w:tentative="1">
      <w:start w:val="1"/>
      <w:numFmt w:val="decimal"/>
      <w:lvlText w:val="%7."/>
      <w:lvlJc w:val="left"/>
      <w:pPr>
        <w:ind w:left="5040" w:hanging="360"/>
      </w:pPr>
    </w:lvl>
    <w:lvl w:ilvl="7" w:tplc="0C000019" w:tentative="1">
      <w:start w:val="1"/>
      <w:numFmt w:val="lowerLetter"/>
      <w:lvlText w:val="%8."/>
      <w:lvlJc w:val="left"/>
      <w:pPr>
        <w:ind w:left="5760" w:hanging="360"/>
      </w:pPr>
    </w:lvl>
    <w:lvl w:ilvl="8" w:tplc="0C00001B" w:tentative="1">
      <w:start w:val="1"/>
      <w:numFmt w:val="lowerRoman"/>
      <w:lvlText w:val="%9."/>
      <w:lvlJc w:val="right"/>
      <w:pPr>
        <w:ind w:left="6480" w:hanging="180"/>
      </w:pPr>
    </w:lvl>
  </w:abstractNum>
  <w:abstractNum w:abstractNumId="29" w15:restartNumberingAfterBreak="0">
    <w:nsid w:val="36470AA9"/>
    <w:multiLevelType w:val="hybridMultilevel"/>
    <w:tmpl w:val="52C49C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B1310C4"/>
    <w:multiLevelType w:val="hybridMultilevel"/>
    <w:tmpl w:val="B0ECF6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3BA60A0A"/>
    <w:multiLevelType w:val="hybridMultilevel"/>
    <w:tmpl w:val="B61CE234"/>
    <w:lvl w:ilvl="0" w:tplc="DCF8B448">
      <w:start w:val="1"/>
      <w:numFmt w:val="bullet"/>
      <w:lvlText w:val="o"/>
      <w:lvlJc w:val="left"/>
      <w:pPr>
        <w:ind w:left="360" w:hanging="360"/>
      </w:pPr>
      <w:rPr>
        <w:rFonts w:ascii="Courier New" w:hAnsi="Courier New" w:hint="default"/>
      </w:rPr>
    </w:lvl>
    <w:lvl w:ilvl="1" w:tplc="DCC86E7E" w:tentative="1">
      <w:start w:val="1"/>
      <w:numFmt w:val="bullet"/>
      <w:lvlText w:val="o"/>
      <w:lvlJc w:val="left"/>
      <w:pPr>
        <w:ind w:left="1080" w:hanging="360"/>
      </w:pPr>
      <w:rPr>
        <w:rFonts w:ascii="Courier New" w:hAnsi="Courier New" w:hint="default"/>
      </w:rPr>
    </w:lvl>
    <w:lvl w:ilvl="2" w:tplc="718EECBE" w:tentative="1">
      <w:start w:val="1"/>
      <w:numFmt w:val="bullet"/>
      <w:lvlText w:val=""/>
      <w:lvlJc w:val="left"/>
      <w:pPr>
        <w:ind w:left="1800" w:hanging="360"/>
      </w:pPr>
      <w:rPr>
        <w:rFonts w:ascii="Wingdings" w:hAnsi="Wingdings" w:hint="default"/>
      </w:rPr>
    </w:lvl>
    <w:lvl w:ilvl="3" w:tplc="D908C7F4" w:tentative="1">
      <w:start w:val="1"/>
      <w:numFmt w:val="bullet"/>
      <w:lvlText w:val=""/>
      <w:lvlJc w:val="left"/>
      <w:pPr>
        <w:ind w:left="2520" w:hanging="360"/>
      </w:pPr>
      <w:rPr>
        <w:rFonts w:ascii="Symbol" w:hAnsi="Symbol" w:hint="default"/>
      </w:rPr>
    </w:lvl>
    <w:lvl w:ilvl="4" w:tplc="5B380E04" w:tentative="1">
      <w:start w:val="1"/>
      <w:numFmt w:val="bullet"/>
      <w:lvlText w:val="o"/>
      <w:lvlJc w:val="left"/>
      <w:pPr>
        <w:ind w:left="3240" w:hanging="360"/>
      </w:pPr>
      <w:rPr>
        <w:rFonts w:ascii="Courier New" w:hAnsi="Courier New" w:hint="default"/>
      </w:rPr>
    </w:lvl>
    <w:lvl w:ilvl="5" w:tplc="EE56E016" w:tentative="1">
      <w:start w:val="1"/>
      <w:numFmt w:val="bullet"/>
      <w:lvlText w:val=""/>
      <w:lvlJc w:val="left"/>
      <w:pPr>
        <w:ind w:left="3960" w:hanging="360"/>
      </w:pPr>
      <w:rPr>
        <w:rFonts w:ascii="Wingdings" w:hAnsi="Wingdings" w:hint="default"/>
      </w:rPr>
    </w:lvl>
    <w:lvl w:ilvl="6" w:tplc="441E8584" w:tentative="1">
      <w:start w:val="1"/>
      <w:numFmt w:val="bullet"/>
      <w:lvlText w:val=""/>
      <w:lvlJc w:val="left"/>
      <w:pPr>
        <w:ind w:left="4680" w:hanging="360"/>
      </w:pPr>
      <w:rPr>
        <w:rFonts w:ascii="Symbol" w:hAnsi="Symbol" w:hint="default"/>
      </w:rPr>
    </w:lvl>
    <w:lvl w:ilvl="7" w:tplc="94BEA5EE" w:tentative="1">
      <w:start w:val="1"/>
      <w:numFmt w:val="bullet"/>
      <w:lvlText w:val="o"/>
      <w:lvlJc w:val="left"/>
      <w:pPr>
        <w:ind w:left="5400" w:hanging="360"/>
      </w:pPr>
      <w:rPr>
        <w:rFonts w:ascii="Courier New" w:hAnsi="Courier New" w:hint="default"/>
      </w:rPr>
    </w:lvl>
    <w:lvl w:ilvl="8" w:tplc="088C3DA8" w:tentative="1">
      <w:start w:val="1"/>
      <w:numFmt w:val="bullet"/>
      <w:lvlText w:val=""/>
      <w:lvlJc w:val="left"/>
      <w:pPr>
        <w:ind w:left="6120" w:hanging="360"/>
      </w:pPr>
      <w:rPr>
        <w:rFonts w:ascii="Wingdings" w:hAnsi="Wingdings" w:hint="default"/>
      </w:rPr>
    </w:lvl>
  </w:abstractNum>
  <w:abstractNum w:abstractNumId="32" w15:restartNumberingAfterBreak="0">
    <w:nsid w:val="3CDE628E"/>
    <w:multiLevelType w:val="multilevel"/>
    <w:tmpl w:val="8EEEE2FE"/>
    <w:styleLink w:val="EFSAListbullets"/>
    <w:lvl w:ilvl="0">
      <w:start w:val="1"/>
      <w:numFmt w:val="bullet"/>
      <w:lvlText w:val=""/>
      <w:lvlJc w:val="left"/>
      <w:pPr>
        <w:tabs>
          <w:tab w:val="num" w:pos="0"/>
        </w:tabs>
        <w:ind w:left="720" w:hanging="363"/>
      </w:pPr>
      <w:rPr>
        <w:rFonts w:ascii="Symbol" w:hAnsi="Symbol" w:hint="default"/>
      </w:rPr>
    </w:lvl>
    <w:lvl w:ilvl="1">
      <w:start w:val="1"/>
      <w:numFmt w:val="bullet"/>
      <w:lvlText w:val="–"/>
      <w:lvlJc w:val="left"/>
      <w:pPr>
        <w:tabs>
          <w:tab w:val="num" w:pos="357"/>
        </w:tabs>
        <w:ind w:left="1077" w:hanging="363"/>
      </w:pPr>
      <w:rPr>
        <w:rFonts w:ascii="Tahoma" w:hAnsi="Tahoma" w:hint="default"/>
        <w:caps w:val="0"/>
        <w:strike w:val="0"/>
        <w:dstrike w:val="0"/>
        <w:vanish w:val="0"/>
        <w:color w:val="auto"/>
        <w:sz w:val="20"/>
        <w:vertAlign w:val="baseline"/>
      </w:rPr>
    </w:lvl>
    <w:lvl w:ilvl="2">
      <w:start w:val="1"/>
      <w:numFmt w:val="bullet"/>
      <w:lvlText w:val="–"/>
      <w:lvlJc w:val="left"/>
      <w:pPr>
        <w:tabs>
          <w:tab w:val="num" w:pos="714"/>
        </w:tabs>
        <w:ind w:left="1434" w:hanging="363"/>
      </w:pPr>
      <w:rPr>
        <w:rFonts w:ascii="Tahoma" w:hAnsi="Tahoma" w:hint="default"/>
        <w:color w:val="auto"/>
        <w:sz w:val="20"/>
      </w:rPr>
    </w:lvl>
    <w:lvl w:ilvl="3">
      <w:start w:val="1"/>
      <w:numFmt w:val="bullet"/>
      <w:lvlText w:val="–"/>
      <w:lvlJc w:val="left"/>
      <w:pPr>
        <w:tabs>
          <w:tab w:val="num" w:pos="1071"/>
        </w:tabs>
        <w:ind w:left="1791" w:hanging="363"/>
      </w:pPr>
      <w:rPr>
        <w:rFonts w:ascii="Tahoma" w:hAnsi="Tahoma" w:hint="default"/>
        <w:color w:val="auto"/>
        <w:sz w:val="20"/>
      </w:rPr>
    </w:lvl>
    <w:lvl w:ilvl="4">
      <w:start w:val="1"/>
      <w:numFmt w:val="bullet"/>
      <w:lvlText w:val="–"/>
      <w:lvlJc w:val="left"/>
      <w:pPr>
        <w:tabs>
          <w:tab w:val="num" w:pos="1428"/>
        </w:tabs>
        <w:ind w:left="2148" w:hanging="363"/>
      </w:pPr>
      <w:rPr>
        <w:rFonts w:ascii="Tahoma" w:hAnsi="Tahoma" w:hint="default"/>
        <w:color w:val="auto"/>
        <w:sz w:val="20"/>
      </w:rPr>
    </w:lvl>
    <w:lvl w:ilvl="5">
      <w:start w:val="1"/>
      <w:numFmt w:val="bullet"/>
      <w:lvlText w:val="–"/>
      <w:lvlJc w:val="left"/>
      <w:pPr>
        <w:tabs>
          <w:tab w:val="num" w:pos="1785"/>
        </w:tabs>
        <w:ind w:left="2505" w:hanging="363"/>
      </w:pPr>
      <w:rPr>
        <w:rFonts w:ascii="Tahoma" w:hAnsi="Tahoma" w:hint="default"/>
        <w:color w:val="auto"/>
        <w:sz w:val="20"/>
      </w:rPr>
    </w:lvl>
    <w:lvl w:ilvl="6">
      <w:start w:val="1"/>
      <w:numFmt w:val="bullet"/>
      <w:lvlText w:val="–"/>
      <w:lvlJc w:val="left"/>
      <w:pPr>
        <w:tabs>
          <w:tab w:val="num" w:pos="2142"/>
        </w:tabs>
        <w:ind w:left="2862" w:hanging="363"/>
      </w:pPr>
      <w:rPr>
        <w:rFonts w:ascii="Tahoma" w:hAnsi="Tahoma" w:hint="default"/>
        <w:color w:val="auto"/>
        <w:sz w:val="20"/>
      </w:rPr>
    </w:lvl>
    <w:lvl w:ilvl="7">
      <w:start w:val="1"/>
      <w:numFmt w:val="bullet"/>
      <w:lvlText w:val="–"/>
      <w:lvlJc w:val="left"/>
      <w:pPr>
        <w:tabs>
          <w:tab w:val="num" w:pos="2499"/>
        </w:tabs>
        <w:ind w:left="3219" w:hanging="363"/>
      </w:pPr>
      <w:rPr>
        <w:rFonts w:ascii="Tahoma" w:hAnsi="Tahoma" w:hint="default"/>
        <w:color w:val="auto"/>
        <w:sz w:val="20"/>
      </w:rPr>
    </w:lvl>
    <w:lvl w:ilvl="8">
      <w:start w:val="1"/>
      <w:numFmt w:val="bullet"/>
      <w:lvlText w:val="–"/>
      <w:lvlJc w:val="left"/>
      <w:pPr>
        <w:tabs>
          <w:tab w:val="num" w:pos="2856"/>
        </w:tabs>
        <w:ind w:left="3576" w:hanging="363"/>
      </w:pPr>
      <w:rPr>
        <w:rFonts w:ascii="Tahoma" w:hAnsi="Tahoma" w:hint="default"/>
        <w:color w:val="auto"/>
        <w:sz w:val="20"/>
      </w:rPr>
    </w:lvl>
  </w:abstractNum>
  <w:abstractNum w:abstractNumId="33" w15:restartNumberingAfterBreak="0">
    <w:nsid w:val="3E4C1CFB"/>
    <w:multiLevelType w:val="hybridMultilevel"/>
    <w:tmpl w:val="E892BCA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0C62668"/>
    <w:multiLevelType w:val="hybridMultilevel"/>
    <w:tmpl w:val="3D58C2B2"/>
    <w:lvl w:ilvl="0" w:tplc="B232B97A">
      <w:start w:val="1"/>
      <w:numFmt w:val="bullet"/>
      <w:lvlText w:val=""/>
      <w:lvlJc w:val="left"/>
      <w:pPr>
        <w:ind w:left="720" w:hanging="360"/>
      </w:pPr>
      <w:rPr>
        <w:rFonts w:ascii="Symbol" w:hAnsi="Symbol" w:hint="default"/>
      </w:rPr>
    </w:lvl>
    <w:lvl w:ilvl="1" w:tplc="F0F4854C">
      <w:start w:val="1"/>
      <w:numFmt w:val="bullet"/>
      <w:lvlText w:val="o"/>
      <w:lvlJc w:val="left"/>
      <w:pPr>
        <w:ind w:left="1440" w:hanging="360"/>
      </w:pPr>
      <w:rPr>
        <w:rFonts w:ascii="Courier New" w:hAnsi="Courier New" w:hint="default"/>
      </w:rPr>
    </w:lvl>
    <w:lvl w:ilvl="2" w:tplc="4810F5E0">
      <w:start w:val="1"/>
      <w:numFmt w:val="bullet"/>
      <w:lvlText w:val=""/>
      <w:lvlJc w:val="left"/>
      <w:pPr>
        <w:ind w:left="2160" w:hanging="360"/>
      </w:pPr>
      <w:rPr>
        <w:rFonts w:ascii="Wingdings" w:hAnsi="Wingdings" w:hint="default"/>
      </w:rPr>
    </w:lvl>
    <w:lvl w:ilvl="3" w:tplc="1AA2FA6E">
      <w:start w:val="1"/>
      <w:numFmt w:val="bullet"/>
      <w:lvlText w:val=""/>
      <w:lvlJc w:val="left"/>
      <w:pPr>
        <w:ind w:left="2880" w:hanging="360"/>
      </w:pPr>
      <w:rPr>
        <w:rFonts w:ascii="Symbol" w:hAnsi="Symbol" w:hint="default"/>
      </w:rPr>
    </w:lvl>
    <w:lvl w:ilvl="4" w:tplc="D3B429AA">
      <w:start w:val="1"/>
      <w:numFmt w:val="bullet"/>
      <w:lvlText w:val="o"/>
      <w:lvlJc w:val="left"/>
      <w:pPr>
        <w:ind w:left="3600" w:hanging="360"/>
      </w:pPr>
      <w:rPr>
        <w:rFonts w:ascii="Courier New" w:hAnsi="Courier New" w:hint="default"/>
      </w:rPr>
    </w:lvl>
    <w:lvl w:ilvl="5" w:tplc="AD72A04C">
      <w:start w:val="1"/>
      <w:numFmt w:val="bullet"/>
      <w:lvlText w:val=""/>
      <w:lvlJc w:val="left"/>
      <w:pPr>
        <w:ind w:left="4320" w:hanging="360"/>
      </w:pPr>
      <w:rPr>
        <w:rFonts w:ascii="Wingdings" w:hAnsi="Wingdings" w:hint="default"/>
      </w:rPr>
    </w:lvl>
    <w:lvl w:ilvl="6" w:tplc="194CFEB4">
      <w:start w:val="1"/>
      <w:numFmt w:val="bullet"/>
      <w:lvlText w:val=""/>
      <w:lvlJc w:val="left"/>
      <w:pPr>
        <w:ind w:left="5040" w:hanging="360"/>
      </w:pPr>
      <w:rPr>
        <w:rFonts w:ascii="Symbol" w:hAnsi="Symbol" w:hint="default"/>
      </w:rPr>
    </w:lvl>
    <w:lvl w:ilvl="7" w:tplc="CC9C0DD6">
      <w:start w:val="1"/>
      <w:numFmt w:val="bullet"/>
      <w:lvlText w:val="o"/>
      <w:lvlJc w:val="left"/>
      <w:pPr>
        <w:ind w:left="5760" w:hanging="360"/>
      </w:pPr>
      <w:rPr>
        <w:rFonts w:ascii="Courier New" w:hAnsi="Courier New" w:hint="default"/>
      </w:rPr>
    </w:lvl>
    <w:lvl w:ilvl="8" w:tplc="301C1956">
      <w:start w:val="1"/>
      <w:numFmt w:val="bullet"/>
      <w:lvlText w:val=""/>
      <w:lvlJc w:val="left"/>
      <w:pPr>
        <w:ind w:left="6480" w:hanging="360"/>
      </w:pPr>
      <w:rPr>
        <w:rFonts w:ascii="Wingdings" w:hAnsi="Wingdings" w:hint="default"/>
      </w:rPr>
    </w:lvl>
  </w:abstractNum>
  <w:abstractNum w:abstractNumId="35" w15:restartNumberingAfterBreak="0">
    <w:nsid w:val="426B375F"/>
    <w:multiLevelType w:val="hybridMultilevel"/>
    <w:tmpl w:val="88C44BD0"/>
    <w:lvl w:ilvl="0" w:tplc="DED07360">
      <w:start w:val="1"/>
      <w:numFmt w:val="lowerRoman"/>
      <w:lvlText w:val="%1)"/>
      <w:lvlJc w:val="left"/>
      <w:pPr>
        <w:ind w:left="1080" w:hanging="720"/>
      </w:pPr>
      <w:rPr>
        <w:rFonts w:hint="default"/>
      </w:rPr>
    </w:lvl>
    <w:lvl w:ilvl="1" w:tplc="0C000019" w:tentative="1">
      <w:start w:val="1"/>
      <w:numFmt w:val="lowerLetter"/>
      <w:lvlText w:val="%2."/>
      <w:lvlJc w:val="left"/>
      <w:pPr>
        <w:ind w:left="1440" w:hanging="360"/>
      </w:pPr>
    </w:lvl>
    <w:lvl w:ilvl="2" w:tplc="0C00001B" w:tentative="1">
      <w:start w:val="1"/>
      <w:numFmt w:val="lowerRoman"/>
      <w:lvlText w:val="%3."/>
      <w:lvlJc w:val="right"/>
      <w:pPr>
        <w:ind w:left="2160" w:hanging="180"/>
      </w:pPr>
    </w:lvl>
    <w:lvl w:ilvl="3" w:tplc="0C00000F" w:tentative="1">
      <w:start w:val="1"/>
      <w:numFmt w:val="decimal"/>
      <w:lvlText w:val="%4."/>
      <w:lvlJc w:val="left"/>
      <w:pPr>
        <w:ind w:left="2880" w:hanging="360"/>
      </w:pPr>
    </w:lvl>
    <w:lvl w:ilvl="4" w:tplc="0C000019" w:tentative="1">
      <w:start w:val="1"/>
      <w:numFmt w:val="lowerLetter"/>
      <w:lvlText w:val="%5."/>
      <w:lvlJc w:val="left"/>
      <w:pPr>
        <w:ind w:left="3600" w:hanging="360"/>
      </w:pPr>
    </w:lvl>
    <w:lvl w:ilvl="5" w:tplc="0C00001B" w:tentative="1">
      <w:start w:val="1"/>
      <w:numFmt w:val="lowerRoman"/>
      <w:lvlText w:val="%6."/>
      <w:lvlJc w:val="right"/>
      <w:pPr>
        <w:ind w:left="4320" w:hanging="180"/>
      </w:pPr>
    </w:lvl>
    <w:lvl w:ilvl="6" w:tplc="0C00000F" w:tentative="1">
      <w:start w:val="1"/>
      <w:numFmt w:val="decimal"/>
      <w:lvlText w:val="%7."/>
      <w:lvlJc w:val="left"/>
      <w:pPr>
        <w:ind w:left="5040" w:hanging="360"/>
      </w:pPr>
    </w:lvl>
    <w:lvl w:ilvl="7" w:tplc="0C000019" w:tentative="1">
      <w:start w:val="1"/>
      <w:numFmt w:val="lowerLetter"/>
      <w:lvlText w:val="%8."/>
      <w:lvlJc w:val="left"/>
      <w:pPr>
        <w:ind w:left="5760" w:hanging="360"/>
      </w:pPr>
    </w:lvl>
    <w:lvl w:ilvl="8" w:tplc="0C00001B" w:tentative="1">
      <w:start w:val="1"/>
      <w:numFmt w:val="lowerRoman"/>
      <w:lvlText w:val="%9."/>
      <w:lvlJc w:val="right"/>
      <w:pPr>
        <w:ind w:left="6480" w:hanging="180"/>
      </w:pPr>
    </w:lvl>
  </w:abstractNum>
  <w:abstractNum w:abstractNumId="36" w15:restartNumberingAfterBreak="0">
    <w:nsid w:val="44E96062"/>
    <w:multiLevelType w:val="hybridMultilevel"/>
    <w:tmpl w:val="B94620A4"/>
    <w:lvl w:ilvl="0" w:tplc="7DF83722">
      <w:start w:val="1"/>
      <w:numFmt w:val="bullet"/>
      <w:lvlText w:val=""/>
      <w:lvlJc w:val="left"/>
      <w:pPr>
        <w:ind w:left="720" w:hanging="360"/>
      </w:pPr>
      <w:rPr>
        <w:rFonts w:ascii="Symbol" w:hAnsi="Symbol" w:hint="default"/>
      </w:rPr>
    </w:lvl>
    <w:lvl w:ilvl="1" w:tplc="5B16E82A">
      <w:start w:val="1"/>
      <w:numFmt w:val="bullet"/>
      <w:lvlText w:val="o"/>
      <w:lvlJc w:val="left"/>
      <w:pPr>
        <w:ind w:left="1440" w:hanging="360"/>
      </w:pPr>
      <w:rPr>
        <w:rFonts w:ascii="Courier New" w:hAnsi="Courier New" w:hint="default"/>
      </w:rPr>
    </w:lvl>
    <w:lvl w:ilvl="2" w:tplc="2F985AC0">
      <w:start w:val="1"/>
      <w:numFmt w:val="bullet"/>
      <w:lvlText w:val=""/>
      <w:lvlJc w:val="left"/>
      <w:pPr>
        <w:ind w:left="2160" w:hanging="360"/>
      </w:pPr>
      <w:rPr>
        <w:rFonts w:ascii="Wingdings" w:hAnsi="Wingdings" w:hint="default"/>
      </w:rPr>
    </w:lvl>
    <w:lvl w:ilvl="3" w:tplc="D91E0360">
      <w:start w:val="1"/>
      <w:numFmt w:val="bullet"/>
      <w:lvlText w:val=""/>
      <w:lvlJc w:val="left"/>
      <w:pPr>
        <w:ind w:left="2880" w:hanging="360"/>
      </w:pPr>
      <w:rPr>
        <w:rFonts w:ascii="Symbol" w:hAnsi="Symbol" w:hint="default"/>
      </w:rPr>
    </w:lvl>
    <w:lvl w:ilvl="4" w:tplc="D224344C">
      <w:start w:val="1"/>
      <w:numFmt w:val="bullet"/>
      <w:lvlText w:val="o"/>
      <w:lvlJc w:val="left"/>
      <w:pPr>
        <w:ind w:left="3600" w:hanging="360"/>
      </w:pPr>
      <w:rPr>
        <w:rFonts w:ascii="Courier New" w:hAnsi="Courier New" w:hint="default"/>
      </w:rPr>
    </w:lvl>
    <w:lvl w:ilvl="5" w:tplc="BB80C936">
      <w:start w:val="1"/>
      <w:numFmt w:val="bullet"/>
      <w:lvlText w:val=""/>
      <w:lvlJc w:val="left"/>
      <w:pPr>
        <w:ind w:left="4320" w:hanging="360"/>
      </w:pPr>
      <w:rPr>
        <w:rFonts w:ascii="Wingdings" w:hAnsi="Wingdings" w:hint="default"/>
      </w:rPr>
    </w:lvl>
    <w:lvl w:ilvl="6" w:tplc="AE663508">
      <w:start w:val="1"/>
      <w:numFmt w:val="bullet"/>
      <w:lvlText w:val=""/>
      <w:lvlJc w:val="left"/>
      <w:pPr>
        <w:ind w:left="5040" w:hanging="360"/>
      </w:pPr>
      <w:rPr>
        <w:rFonts w:ascii="Symbol" w:hAnsi="Symbol" w:hint="default"/>
      </w:rPr>
    </w:lvl>
    <w:lvl w:ilvl="7" w:tplc="FB06CD9C">
      <w:start w:val="1"/>
      <w:numFmt w:val="bullet"/>
      <w:lvlText w:val="o"/>
      <w:lvlJc w:val="left"/>
      <w:pPr>
        <w:ind w:left="5760" w:hanging="360"/>
      </w:pPr>
      <w:rPr>
        <w:rFonts w:ascii="Courier New" w:hAnsi="Courier New" w:hint="default"/>
      </w:rPr>
    </w:lvl>
    <w:lvl w:ilvl="8" w:tplc="94D670CA">
      <w:start w:val="1"/>
      <w:numFmt w:val="bullet"/>
      <w:lvlText w:val=""/>
      <w:lvlJc w:val="left"/>
      <w:pPr>
        <w:ind w:left="6480" w:hanging="360"/>
      </w:pPr>
      <w:rPr>
        <w:rFonts w:ascii="Wingdings" w:hAnsi="Wingdings" w:hint="default"/>
      </w:rPr>
    </w:lvl>
  </w:abstractNum>
  <w:abstractNum w:abstractNumId="37" w15:restartNumberingAfterBreak="0">
    <w:nsid w:val="458E1FB7"/>
    <w:multiLevelType w:val="hybridMultilevel"/>
    <w:tmpl w:val="DE0CFC10"/>
    <w:lvl w:ilvl="0" w:tplc="6FC2C76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6D21CDC"/>
    <w:multiLevelType w:val="hybridMultilevel"/>
    <w:tmpl w:val="FA10ED66"/>
    <w:lvl w:ilvl="0" w:tplc="EA8C86D6">
      <w:start w:val="1"/>
      <w:numFmt w:val="decimal"/>
      <w:pStyle w:val="EFSADocsprovided"/>
      <w:lvlText w:val="%1."/>
      <w:lvlJc w:val="left"/>
      <w:pPr>
        <w:tabs>
          <w:tab w:val="num" w:pos="567"/>
        </w:tabs>
        <w:ind w:left="567" w:hanging="567"/>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9" w15:restartNumberingAfterBreak="0">
    <w:nsid w:val="47861369"/>
    <w:multiLevelType w:val="hybridMultilevel"/>
    <w:tmpl w:val="8A6A6768"/>
    <w:lvl w:ilvl="0" w:tplc="6C16DF5E">
      <w:start w:val="1"/>
      <w:numFmt w:val="bullet"/>
      <w:lvlText w:val=""/>
      <w:lvlJc w:val="left"/>
      <w:pPr>
        <w:ind w:left="720" w:hanging="360"/>
      </w:pPr>
      <w:rPr>
        <w:rFonts w:ascii="Symbol" w:hAnsi="Symbol" w:hint="default"/>
      </w:rPr>
    </w:lvl>
    <w:lvl w:ilvl="1" w:tplc="DC1CA536">
      <w:start w:val="1"/>
      <w:numFmt w:val="bullet"/>
      <w:lvlText w:val="o"/>
      <w:lvlJc w:val="left"/>
      <w:pPr>
        <w:ind w:left="1440" w:hanging="360"/>
      </w:pPr>
      <w:rPr>
        <w:rFonts w:ascii="Courier New" w:hAnsi="Courier New" w:hint="default"/>
      </w:rPr>
    </w:lvl>
    <w:lvl w:ilvl="2" w:tplc="7FAEBFF4">
      <w:start w:val="1"/>
      <w:numFmt w:val="bullet"/>
      <w:lvlText w:val=""/>
      <w:lvlJc w:val="left"/>
      <w:pPr>
        <w:ind w:left="2160" w:hanging="360"/>
      </w:pPr>
      <w:rPr>
        <w:rFonts w:ascii="Wingdings" w:hAnsi="Wingdings" w:hint="default"/>
      </w:rPr>
    </w:lvl>
    <w:lvl w:ilvl="3" w:tplc="696E278E">
      <w:start w:val="1"/>
      <w:numFmt w:val="bullet"/>
      <w:lvlText w:val=""/>
      <w:lvlJc w:val="left"/>
      <w:pPr>
        <w:ind w:left="2880" w:hanging="360"/>
      </w:pPr>
      <w:rPr>
        <w:rFonts w:ascii="Symbol" w:hAnsi="Symbol" w:hint="default"/>
      </w:rPr>
    </w:lvl>
    <w:lvl w:ilvl="4" w:tplc="F4805D30">
      <w:start w:val="1"/>
      <w:numFmt w:val="bullet"/>
      <w:lvlText w:val="o"/>
      <w:lvlJc w:val="left"/>
      <w:pPr>
        <w:ind w:left="3600" w:hanging="360"/>
      </w:pPr>
      <w:rPr>
        <w:rFonts w:ascii="Courier New" w:hAnsi="Courier New" w:hint="default"/>
      </w:rPr>
    </w:lvl>
    <w:lvl w:ilvl="5" w:tplc="75B29052">
      <w:start w:val="1"/>
      <w:numFmt w:val="bullet"/>
      <w:lvlText w:val=""/>
      <w:lvlJc w:val="left"/>
      <w:pPr>
        <w:ind w:left="4320" w:hanging="360"/>
      </w:pPr>
      <w:rPr>
        <w:rFonts w:ascii="Wingdings" w:hAnsi="Wingdings" w:hint="default"/>
      </w:rPr>
    </w:lvl>
    <w:lvl w:ilvl="6" w:tplc="2446135A">
      <w:start w:val="1"/>
      <w:numFmt w:val="bullet"/>
      <w:lvlText w:val=""/>
      <w:lvlJc w:val="left"/>
      <w:pPr>
        <w:ind w:left="5040" w:hanging="360"/>
      </w:pPr>
      <w:rPr>
        <w:rFonts w:ascii="Symbol" w:hAnsi="Symbol" w:hint="default"/>
      </w:rPr>
    </w:lvl>
    <w:lvl w:ilvl="7" w:tplc="A7BE9E5E">
      <w:start w:val="1"/>
      <w:numFmt w:val="bullet"/>
      <w:lvlText w:val="o"/>
      <w:lvlJc w:val="left"/>
      <w:pPr>
        <w:ind w:left="5760" w:hanging="360"/>
      </w:pPr>
      <w:rPr>
        <w:rFonts w:ascii="Courier New" w:hAnsi="Courier New" w:hint="default"/>
      </w:rPr>
    </w:lvl>
    <w:lvl w:ilvl="8" w:tplc="E61C4326">
      <w:start w:val="1"/>
      <w:numFmt w:val="bullet"/>
      <w:lvlText w:val=""/>
      <w:lvlJc w:val="left"/>
      <w:pPr>
        <w:ind w:left="6480" w:hanging="360"/>
      </w:pPr>
      <w:rPr>
        <w:rFonts w:ascii="Wingdings" w:hAnsi="Wingdings" w:hint="default"/>
      </w:rPr>
    </w:lvl>
  </w:abstractNum>
  <w:abstractNum w:abstractNumId="40" w15:restartNumberingAfterBreak="0">
    <w:nsid w:val="47C505A8"/>
    <w:multiLevelType w:val="hybridMultilevel"/>
    <w:tmpl w:val="6242D462"/>
    <w:lvl w:ilvl="0" w:tplc="526C8A2C">
      <w:start w:val="1"/>
      <w:numFmt w:val="lowerRoman"/>
      <w:lvlText w:val="%1)"/>
      <w:lvlJc w:val="left"/>
      <w:pPr>
        <w:ind w:left="720" w:hanging="360"/>
      </w:pPr>
      <w:rPr>
        <w:rFonts w:hint="default"/>
      </w:rPr>
    </w:lvl>
    <w:lvl w:ilvl="1" w:tplc="0C000019" w:tentative="1">
      <w:start w:val="1"/>
      <w:numFmt w:val="lowerLetter"/>
      <w:lvlText w:val="%2."/>
      <w:lvlJc w:val="left"/>
      <w:pPr>
        <w:ind w:left="1440" w:hanging="360"/>
      </w:pPr>
    </w:lvl>
    <w:lvl w:ilvl="2" w:tplc="0C00001B" w:tentative="1">
      <w:start w:val="1"/>
      <w:numFmt w:val="lowerRoman"/>
      <w:lvlText w:val="%3."/>
      <w:lvlJc w:val="right"/>
      <w:pPr>
        <w:ind w:left="2160" w:hanging="180"/>
      </w:pPr>
    </w:lvl>
    <w:lvl w:ilvl="3" w:tplc="0C00000F" w:tentative="1">
      <w:start w:val="1"/>
      <w:numFmt w:val="decimal"/>
      <w:lvlText w:val="%4."/>
      <w:lvlJc w:val="left"/>
      <w:pPr>
        <w:ind w:left="2880" w:hanging="360"/>
      </w:pPr>
    </w:lvl>
    <w:lvl w:ilvl="4" w:tplc="0C000019" w:tentative="1">
      <w:start w:val="1"/>
      <w:numFmt w:val="lowerLetter"/>
      <w:lvlText w:val="%5."/>
      <w:lvlJc w:val="left"/>
      <w:pPr>
        <w:ind w:left="3600" w:hanging="360"/>
      </w:pPr>
    </w:lvl>
    <w:lvl w:ilvl="5" w:tplc="0C00001B" w:tentative="1">
      <w:start w:val="1"/>
      <w:numFmt w:val="lowerRoman"/>
      <w:lvlText w:val="%6."/>
      <w:lvlJc w:val="right"/>
      <w:pPr>
        <w:ind w:left="4320" w:hanging="180"/>
      </w:pPr>
    </w:lvl>
    <w:lvl w:ilvl="6" w:tplc="0C00000F" w:tentative="1">
      <w:start w:val="1"/>
      <w:numFmt w:val="decimal"/>
      <w:lvlText w:val="%7."/>
      <w:lvlJc w:val="left"/>
      <w:pPr>
        <w:ind w:left="5040" w:hanging="360"/>
      </w:pPr>
    </w:lvl>
    <w:lvl w:ilvl="7" w:tplc="0C000019" w:tentative="1">
      <w:start w:val="1"/>
      <w:numFmt w:val="lowerLetter"/>
      <w:lvlText w:val="%8."/>
      <w:lvlJc w:val="left"/>
      <w:pPr>
        <w:ind w:left="5760" w:hanging="360"/>
      </w:pPr>
    </w:lvl>
    <w:lvl w:ilvl="8" w:tplc="0C00001B" w:tentative="1">
      <w:start w:val="1"/>
      <w:numFmt w:val="lowerRoman"/>
      <w:lvlText w:val="%9."/>
      <w:lvlJc w:val="right"/>
      <w:pPr>
        <w:ind w:left="6480" w:hanging="180"/>
      </w:pPr>
    </w:lvl>
  </w:abstractNum>
  <w:abstractNum w:abstractNumId="41" w15:restartNumberingAfterBreak="0">
    <w:nsid w:val="48053204"/>
    <w:multiLevelType w:val="hybridMultilevel"/>
    <w:tmpl w:val="467092C2"/>
    <w:lvl w:ilvl="0" w:tplc="526C8A2C">
      <w:start w:val="1"/>
      <w:numFmt w:val="lowerRoman"/>
      <w:lvlText w:val="%1)"/>
      <w:lvlJc w:val="left"/>
      <w:pPr>
        <w:ind w:left="1080" w:hanging="720"/>
      </w:pPr>
      <w:rPr>
        <w:rFonts w:hint="default"/>
      </w:rPr>
    </w:lvl>
    <w:lvl w:ilvl="1" w:tplc="0C00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484E0A7C"/>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4A304705"/>
    <w:multiLevelType w:val="hybridMultilevel"/>
    <w:tmpl w:val="90360C78"/>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44" w15:restartNumberingAfterBreak="0">
    <w:nsid w:val="4A432656"/>
    <w:multiLevelType w:val="multilevel"/>
    <w:tmpl w:val="7AF215BE"/>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3488"/>
        </w:tabs>
        <w:ind w:left="3545" w:hanging="851"/>
      </w:pPr>
      <w:rPr>
        <w:rFonts w:hint="default"/>
      </w:rPr>
    </w:lvl>
    <w:lvl w:ilvl="2">
      <w:start w:val="1"/>
      <w:numFmt w:val="decimal"/>
      <w:lvlText w:val="%1.%2.%3."/>
      <w:lvlJc w:val="left"/>
      <w:pPr>
        <w:tabs>
          <w:tab w:val="num" w:pos="1920"/>
        </w:tabs>
        <w:ind w:left="1920" w:hanging="840"/>
      </w:pPr>
      <w:rPr>
        <w:rFonts w:hint="default"/>
      </w:rPr>
    </w:lvl>
    <w:lvl w:ilvl="3">
      <w:start w:val="1"/>
      <w:numFmt w:val="decimal"/>
      <w:lvlText w:val="%1.%2.%3.%4."/>
      <w:lvlJc w:val="left"/>
      <w:pPr>
        <w:tabs>
          <w:tab w:val="num" w:pos="2880"/>
        </w:tabs>
        <w:ind w:left="2880" w:hanging="9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5" w15:restartNumberingAfterBreak="0">
    <w:nsid w:val="4BBD6523"/>
    <w:multiLevelType w:val="hybridMultilevel"/>
    <w:tmpl w:val="0504D7D4"/>
    <w:lvl w:ilvl="0" w:tplc="AE06941E">
      <w:start w:val="1"/>
      <w:numFmt w:val="upperLetter"/>
      <w:pStyle w:val="EFSAAppendixtitle"/>
      <w:lvlText w:val="Appendix %1 –"/>
      <w:lvlJc w:val="left"/>
      <w:pPr>
        <w:ind w:left="6597" w:hanging="360"/>
      </w:pPr>
      <w:rPr>
        <w:rFonts w:ascii="Tahoma" w:hAnsi="Tahoma" w:hint="default"/>
        <w:b/>
        <w:i w:val="0"/>
        <w:sz w:val="24"/>
      </w:rPr>
    </w:lvl>
    <w:lvl w:ilvl="1" w:tplc="08090019" w:tentative="1">
      <w:start w:val="1"/>
      <w:numFmt w:val="lowerLetter"/>
      <w:lvlText w:val="%2."/>
      <w:lvlJc w:val="left"/>
      <w:pPr>
        <w:ind w:left="2858" w:hanging="360"/>
      </w:pPr>
    </w:lvl>
    <w:lvl w:ilvl="2" w:tplc="0809001B">
      <w:start w:val="1"/>
      <w:numFmt w:val="lowerRoman"/>
      <w:lvlText w:val="%3."/>
      <w:lvlJc w:val="right"/>
      <w:pPr>
        <w:ind w:left="3578" w:hanging="180"/>
      </w:pPr>
    </w:lvl>
    <w:lvl w:ilvl="3" w:tplc="0809000F">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46" w15:restartNumberingAfterBreak="0">
    <w:nsid w:val="4C115DB5"/>
    <w:multiLevelType w:val="hybridMultilevel"/>
    <w:tmpl w:val="7B585734"/>
    <w:lvl w:ilvl="0" w:tplc="08090001">
      <w:start w:val="1"/>
      <w:numFmt w:val="bullet"/>
      <w:lvlText w:val=""/>
      <w:lvlJc w:val="left"/>
      <w:pPr>
        <w:ind w:left="783" w:hanging="360"/>
      </w:pPr>
      <w:rPr>
        <w:rFonts w:ascii="Symbol" w:hAnsi="Symbol" w:hint="default"/>
      </w:rPr>
    </w:lvl>
    <w:lvl w:ilvl="1" w:tplc="08090003" w:tentative="1">
      <w:start w:val="1"/>
      <w:numFmt w:val="bullet"/>
      <w:lvlText w:val="o"/>
      <w:lvlJc w:val="left"/>
      <w:pPr>
        <w:ind w:left="1503" w:hanging="360"/>
      </w:pPr>
      <w:rPr>
        <w:rFonts w:ascii="Courier New" w:hAnsi="Courier New" w:cs="Courier New" w:hint="default"/>
      </w:rPr>
    </w:lvl>
    <w:lvl w:ilvl="2" w:tplc="08090005" w:tentative="1">
      <w:start w:val="1"/>
      <w:numFmt w:val="bullet"/>
      <w:lvlText w:val=""/>
      <w:lvlJc w:val="left"/>
      <w:pPr>
        <w:ind w:left="2223" w:hanging="360"/>
      </w:pPr>
      <w:rPr>
        <w:rFonts w:ascii="Wingdings" w:hAnsi="Wingdings" w:hint="default"/>
      </w:rPr>
    </w:lvl>
    <w:lvl w:ilvl="3" w:tplc="08090001" w:tentative="1">
      <w:start w:val="1"/>
      <w:numFmt w:val="bullet"/>
      <w:lvlText w:val=""/>
      <w:lvlJc w:val="left"/>
      <w:pPr>
        <w:ind w:left="2943" w:hanging="360"/>
      </w:pPr>
      <w:rPr>
        <w:rFonts w:ascii="Symbol" w:hAnsi="Symbol" w:hint="default"/>
      </w:rPr>
    </w:lvl>
    <w:lvl w:ilvl="4" w:tplc="08090003" w:tentative="1">
      <w:start w:val="1"/>
      <w:numFmt w:val="bullet"/>
      <w:lvlText w:val="o"/>
      <w:lvlJc w:val="left"/>
      <w:pPr>
        <w:ind w:left="3663" w:hanging="360"/>
      </w:pPr>
      <w:rPr>
        <w:rFonts w:ascii="Courier New" w:hAnsi="Courier New" w:cs="Courier New" w:hint="default"/>
      </w:rPr>
    </w:lvl>
    <w:lvl w:ilvl="5" w:tplc="08090005" w:tentative="1">
      <w:start w:val="1"/>
      <w:numFmt w:val="bullet"/>
      <w:lvlText w:val=""/>
      <w:lvlJc w:val="left"/>
      <w:pPr>
        <w:ind w:left="4383" w:hanging="360"/>
      </w:pPr>
      <w:rPr>
        <w:rFonts w:ascii="Wingdings" w:hAnsi="Wingdings" w:hint="default"/>
      </w:rPr>
    </w:lvl>
    <w:lvl w:ilvl="6" w:tplc="08090001" w:tentative="1">
      <w:start w:val="1"/>
      <w:numFmt w:val="bullet"/>
      <w:lvlText w:val=""/>
      <w:lvlJc w:val="left"/>
      <w:pPr>
        <w:ind w:left="5103" w:hanging="360"/>
      </w:pPr>
      <w:rPr>
        <w:rFonts w:ascii="Symbol" w:hAnsi="Symbol" w:hint="default"/>
      </w:rPr>
    </w:lvl>
    <w:lvl w:ilvl="7" w:tplc="08090003" w:tentative="1">
      <w:start w:val="1"/>
      <w:numFmt w:val="bullet"/>
      <w:lvlText w:val="o"/>
      <w:lvlJc w:val="left"/>
      <w:pPr>
        <w:ind w:left="5823" w:hanging="360"/>
      </w:pPr>
      <w:rPr>
        <w:rFonts w:ascii="Courier New" w:hAnsi="Courier New" w:cs="Courier New" w:hint="default"/>
      </w:rPr>
    </w:lvl>
    <w:lvl w:ilvl="8" w:tplc="08090005" w:tentative="1">
      <w:start w:val="1"/>
      <w:numFmt w:val="bullet"/>
      <w:lvlText w:val=""/>
      <w:lvlJc w:val="left"/>
      <w:pPr>
        <w:ind w:left="6543" w:hanging="360"/>
      </w:pPr>
      <w:rPr>
        <w:rFonts w:ascii="Wingdings" w:hAnsi="Wingdings" w:hint="default"/>
      </w:rPr>
    </w:lvl>
  </w:abstractNum>
  <w:abstractNum w:abstractNumId="47" w15:restartNumberingAfterBreak="0">
    <w:nsid w:val="4CF77129"/>
    <w:multiLevelType w:val="hybridMultilevel"/>
    <w:tmpl w:val="21B6A760"/>
    <w:lvl w:ilvl="0" w:tplc="88BAD4CE">
      <w:start w:val="1"/>
      <w:numFmt w:val="bullet"/>
      <w:lvlText w:val=""/>
      <w:lvlJc w:val="left"/>
      <w:pPr>
        <w:ind w:left="720" w:hanging="360"/>
      </w:pPr>
      <w:rPr>
        <w:rFonts w:ascii="Symbol" w:hAnsi="Symbol" w:hint="default"/>
      </w:rPr>
    </w:lvl>
    <w:lvl w:ilvl="1" w:tplc="A0A212AC">
      <w:start w:val="1"/>
      <w:numFmt w:val="bullet"/>
      <w:lvlText w:val="o"/>
      <w:lvlJc w:val="left"/>
      <w:pPr>
        <w:ind w:left="1440" w:hanging="360"/>
      </w:pPr>
      <w:rPr>
        <w:rFonts w:ascii="Courier New" w:hAnsi="Courier New" w:hint="default"/>
      </w:rPr>
    </w:lvl>
    <w:lvl w:ilvl="2" w:tplc="C23065D6">
      <w:start w:val="1"/>
      <w:numFmt w:val="bullet"/>
      <w:lvlText w:val=""/>
      <w:lvlJc w:val="left"/>
      <w:pPr>
        <w:ind w:left="2160" w:hanging="360"/>
      </w:pPr>
      <w:rPr>
        <w:rFonts w:ascii="Wingdings" w:hAnsi="Wingdings" w:hint="default"/>
      </w:rPr>
    </w:lvl>
    <w:lvl w:ilvl="3" w:tplc="63BEDC14">
      <w:start w:val="1"/>
      <w:numFmt w:val="bullet"/>
      <w:lvlText w:val=""/>
      <w:lvlJc w:val="left"/>
      <w:pPr>
        <w:ind w:left="2880" w:hanging="360"/>
      </w:pPr>
      <w:rPr>
        <w:rFonts w:ascii="Symbol" w:hAnsi="Symbol" w:hint="default"/>
      </w:rPr>
    </w:lvl>
    <w:lvl w:ilvl="4" w:tplc="A618754E">
      <w:start w:val="1"/>
      <w:numFmt w:val="bullet"/>
      <w:lvlText w:val="o"/>
      <w:lvlJc w:val="left"/>
      <w:pPr>
        <w:ind w:left="3600" w:hanging="360"/>
      </w:pPr>
      <w:rPr>
        <w:rFonts w:ascii="Courier New" w:hAnsi="Courier New" w:hint="default"/>
      </w:rPr>
    </w:lvl>
    <w:lvl w:ilvl="5" w:tplc="929E3BA2">
      <w:start w:val="1"/>
      <w:numFmt w:val="bullet"/>
      <w:lvlText w:val=""/>
      <w:lvlJc w:val="left"/>
      <w:pPr>
        <w:ind w:left="4320" w:hanging="360"/>
      </w:pPr>
      <w:rPr>
        <w:rFonts w:ascii="Wingdings" w:hAnsi="Wingdings" w:hint="default"/>
      </w:rPr>
    </w:lvl>
    <w:lvl w:ilvl="6" w:tplc="314E09A2">
      <w:start w:val="1"/>
      <w:numFmt w:val="bullet"/>
      <w:lvlText w:val=""/>
      <w:lvlJc w:val="left"/>
      <w:pPr>
        <w:ind w:left="5040" w:hanging="360"/>
      </w:pPr>
      <w:rPr>
        <w:rFonts w:ascii="Symbol" w:hAnsi="Symbol" w:hint="default"/>
      </w:rPr>
    </w:lvl>
    <w:lvl w:ilvl="7" w:tplc="DFBE27FC">
      <w:start w:val="1"/>
      <w:numFmt w:val="bullet"/>
      <w:lvlText w:val="o"/>
      <w:lvlJc w:val="left"/>
      <w:pPr>
        <w:ind w:left="5760" w:hanging="360"/>
      </w:pPr>
      <w:rPr>
        <w:rFonts w:ascii="Courier New" w:hAnsi="Courier New" w:hint="default"/>
      </w:rPr>
    </w:lvl>
    <w:lvl w:ilvl="8" w:tplc="671C2032">
      <w:start w:val="1"/>
      <w:numFmt w:val="bullet"/>
      <w:lvlText w:val=""/>
      <w:lvlJc w:val="left"/>
      <w:pPr>
        <w:ind w:left="6480" w:hanging="360"/>
      </w:pPr>
      <w:rPr>
        <w:rFonts w:ascii="Wingdings" w:hAnsi="Wingdings" w:hint="default"/>
      </w:rPr>
    </w:lvl>
  </w:abstractNum>
  <w:abstractNum w:abstractNumId="48" w15:restartNumberingAfterBreak="0">
    <w:nsid w:val="505C2433"/>
    <w:multiLevelType w:val="hybridMultilevel"/>
    <w:tmpl w:val="BDB66042"/>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49" w15:restartNumberingAfterBreak="0">
    <w:nsid w:val="50C734B1"/>
    <w:multiLevelType w:val="multilevel"/>
    <w:tmpl w:val="E090A16A"/>
    <w:lvl w:ilvl="0">
      <w:start w:val="1"/>
      <w:numFmt w:val="decimal"/>
      <w:pStyle w:val="EFSAHeading1"/>
      <w:lvlText w:val="%1."/>
      <w:lvlJc w:val="left"/>
      <w:pPr>
        <w:ind w:left="360" w:hanging="360"/>
      </w:pPr>
      <w:rPr>
        <w:rFonts w:hint="default"/>
        <w:b/>
        <w:i w:val="0"/>
        <w:color w:val="auto"/>
        <w:sz w:val="24"/>
      </w:rPr>
    </w:lvl>
    <w:lvl w:ilvl="1">
      <w:start w:val="1"/>
      <w:numFmt w:val="decimal"/>
      <w:pStyle w:val="EFSAHeading2"/>
      <w:lvlText w:val="%1.%2."/>
      <w:lvlJc w:val="left"/>
      <w:pPr>
        <w:ind w:left="1163" w:hanging="1021"/>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EFSAHeading3"/>
      <w:lvlText w:val="%1.%2.%3."/>
      <w:lvlJc w:val="left"/>
      <w:pPr>
        <w:ind w:left="6266" w:hanging="1304"/>
      </w:pPr>
      <w:rPr>
        <w:b/>
        <w:i w:val="0"/>
        <w:color w:val="7F7F7F" w:themeColor="text1" w:themeTint="80"/>
        <w:sz w:val="22"/>
      </w:rPr>
    </w:lvl>
    <w:lvl w:ilvl="3">
      <w:start w:val="1"/>
      <w:numFmt w:val="decimal"/>
      <w:isLgl/>
      <w:lvlText w:val="%1.%2.%3.%4"/>
      <w:lvlJc w:val="left"/>
      <w:pPr>
        <w:ind w:left="1588" w:hanging="1588"/>
      </w:pPr>
      <w:rPr>
        <w:rFonts w:ascii="Verdana" w:hAnsi="Verdana" w:hint="default"/>
        <w:b w:val="0"/>
        <w:i w:val="0"/>
        <w:color w:val="auto"/>
        <w:sz w:val="20"/>
      </w:rPr>
    </w:lvl>
    <w:lvl w:ilvl="4">
      <w:start w:val="1"/>
      <w:numFmt w:val="decimal"/>
      <w:isLgl/>
      <w:lvlText w:val="%1.%2.%3.%4.%5"/>
      <w:lvlJc w:val="left"/>
      <w:pPr>
        <w:ind w:left="567" w:hanging="567"/>
      </w:pPr>
      <w:rPr>
        <w:rFonts w:hint="default"/>
      </w:rPr>
    </w:lvl>
    <w:lvl w:ilvl="5">
      <w:start w:val="1"/>
      <w:numFmt w:val="decimal"/>
      <w:isLgl/>
      <w:lvlText w:val="%1.%2.%3.%4.%5.%6"/>
      <w:lvlJc w:val="left"/>
      <w:pPr>
        <w:ind w:left="567" w:hanging="567"/>
      </w:pPr>
      <w:rPr>
        <w:rFonts w:hint="default"/>
      </w:rPr>
    </w:lvl>
    <w:lvl w:ilvl="6">
      <w:start w:val="1"/>
      <w:numFmt w:val="decimal"/>
      <w:isLgl/>
      <w:lvlText w:val="%1.%2.%3.%4.%5.%6.%7"/>
      <w:lvlJc w:val="left"/>
      <w:pPr>
        <w:ind w:left="567" w:hanging="567"/>
      </w:pPr>
      <w:rPr>
        <w:rFonts w:hint="default"/>
      </w:rPr>
    </w:lvl>
    <w:lvl w:ilvl="7">
      <w:start w:val="1"/>
      <w:numFmt w:val="decimal"/>
      <w:isLgl/>
      <w:lvlText w:val="%1.%2.%3.%4.%5.%6.%7.%8"/>
      <w:lvlJc w:val="left"/>
      <w:pPr>
        <w:ind w:left="567" w:hanging="567"/>
      </w:pPr>
      <w:rPr>
        <w:rFonts w:hint="default"/>
      </w:rPr>
    </w:lvl>
    <w:lvl w:ilvl="8">
      <w:start w:val="1"/>
      <w:numFmt w:val="decimal"/>
      <w:isLgl/>
      <w:lvlText w:val="%1.%2.%3.%4.%5.%6.%7.%8.%9"/>
      <w:lvlJc w:val="left"/>
      <w:pPr>
        <w:ind w:left="567" w:hanging="567"/>
      </w:pPr>
      <w:rPr>
        <w:rFonts w:hint="default"/>
      </w:rPr>
    </w:lvl>
  </w:abstractNum>
  <w:abstractNum w:abstractNumId="50" w15:restartNumberingAfterBreak="0">
    <w:nsid w:val="513A61A2"/>
    <w:multiLevelType w:val="hybridMultilevel"/>
    <w:tmpl w:val="893E7EA6"/>
    <w:lvl w:ilvl="0" w:tplc="0C000003">
      <w:start w:val="1"/>
      <w:numFmt w:val="bullet"/>
      <w:lvlText w:val="o"/>
      <w:lvlJc w:val="left"/>
      <w:pPr>
        <w:ind w:left="720" w:hanging="360"/>
      </w:pPr>
      <w:rPr>
        <w:rFonts w:ascii="Courier New" w:hAnsi="Courier New" w:cs="Courier New"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51" w15:restartNumberingAfterBreak="0">
    <w:nsid w:val="51C003CF"/>
    <w:multiLevelType w:val="hybridMultilevel"/>
    <w:tmpl w:val="BB4CFD9E"/>
    <w:lvl w:ilvl="0" w:tplc="32123B9C">
      <w:start w:val="1"/>
      <w:numFmt w:val="bullet"/>
      <w:lvlText w:val=""/>
      <w:lvlJc w:val="left"/>
      <w:pPr>
        <w:ind w:left="720" w:hanging="360"/>
      </w:pPr>
      <w:rPr>
        <w:rFonts w:ascii="Symbol" w:hAnsi="Symbol" w:hint="default"/>
      </w:rPr>
    </w:lvl>
    <w:lvl w:ilvl="1" w:tplc="37C4D2F2">
      <w:start w:val="1"/>
      <w:numFmt w:val="bullet"/>
      <w:lvlText w:val="o"/>
      <w:lvlJc w:val="left"/>
      <w:pPr>
        <w:ind w:left="1440" w:hanging="360"/>
      </w:pPr>
      <w:rPr>
        <w:rFonts w:ascii="Courier New" w:hAnsi="Courier New" w:hint="default"/>
      </w:rPr>
    </w:lvl>
    <w:lvl w:ilvl="2" w:tplc="3E5A553E">
      <w:start w:val="1"/>
      <w:numFmt w:val="bullet"/>
      <w:lvlText w:val=""/>
      <w:lvlJc w:val="left"/>
      <w:pPr>
        <w:ind w:left="2160" w:hanging="360"/>
      </w:pPr>
      <w:rPr>
        <w:rFonts w:ascii="Wingdings" w:hAnsi="Wingdings" w:hint="default"/>
      </w:rPr>
    </w:lvl>
    <w:lvl w:ilvl="3" w:tplc="8700AE44">
      <w:start w:val="1"/>
      <w:numFmt w:val="bullet"/>
      <w:lvlText w:val=""/>
      <w:lvlJc w:val="left"/>
      <w:pPr>
        <w:ind w:left="2880" w:hanging="360"/>
      </w:pPr>
      <w:rPr>
        <w:rFonts w:ascii="Symbol" w:hAnsi="Symbol" w:hint="default"/>
      </w:rPr>
    </w:lvl>
    <w:lvl w:ilvl="4" w:tplc="192028A6">
      <w:start w:val="1"/>
      <w:numFmt w:val="bullet"/>
      <w:lvlText w:val="o"/>
      <w:lvlJc w:val="left"/>
      <w:pPr>
        <w:ind w:left="3600" w:hanging="360"/>
      </w:pPr>
      <w:rPr>
        <w:rFonts w:ascii="Courier New" w:hAnsi="Courier New" w:hint="default"/>
      </w:rPr>
    </w:lvl>
    <w:lvl w:ilvl="5" w:tplc="DD662902">
      <w:start w:val="1"/>
      <w:numFmt w:val="bullet"/>
      <w:lvlText w:val=""/>
      <w:lvlJc w:val="left"/>
      <w:pPr>
        <w:ind w:left="4320" w:hanging="360"/>
      </w:pPr>
      <w:rPr>
        <w:rFonts w:ascii="Wingdings" w:hAnsi="Wingdings" w:hint="default"/>
      </w:rPr>
    </w:lvl>
    <w:lvl w:ilvl="6" w:tplc="A9B63E96">
      <w:start w:val="1"/>
      <w:numFmt w:val="bullet"/>
      <w:lvlText w:val=""/>
      <w:lvlJc w:val="left"/>
      <w:pPr>
        <w:ind w:left="5040" w:hanging="360"/>
      </w:pPr>
      <w:rPr>
        <w:rFonts w:ascii="Symbol" w:hAnsi="Symbol" w:hint="default"/>
      </w:rPr>
    </w:lvl>
    <w:lvl w:ilvl="7" w:tplc="7F02F1AE">
      <w:start w:val="1"/>
      <w:numFmt w:val="bullet"/>
      <w:lvlText w:val="o"/>
      <w:lvlJc w:val="left"/>
      <w:pPr>
        <w:ind w:left="5760" w:hanging="360"/>
      </w:pPr>
      <w:rPr>
        <w:rFonts w:ascii="Courier New" w:hAnsi="Courier New" w:hint="default"/>
      </w:rPr>
    </w:lvl>
    <w:lvl w:ilvl="8" w:tplc="2EFC008C">
      <w:start w:val="1"/>
      <w:numFmt w:val="bullet"/>
      <w:lvlText w:val=""/>
      <w:lvlJc w:val="left"/>
      <w:pPr>
        <w:ind w:left="6480" w:hanging="360"/>
      </w:pPr>
      <w:rPr>
        <w:rFonts w:ascii="Wingdings" w:hAnsi="Wingdings" w:hint="default"/>
      </w:rPr>
    </w:lvl>
  </w:abstractNum>
  <w:abstractNum w:abstractNumId="52" w15:restartNumberingAfterBreak="0">
    <w:nsid w:val="521252ED"/>
    <w:multiLevelType w:val="multilevel"/>
    <w:tmpl w:val="0C0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15:restartNumberingAfterBreak="0">
    <w:nsid w:val="5313556F"/>
    <w:multiLevelType w:val="hybridMultilevel"/>
    <w:tmpl w:val="9C6E9E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53397041"/>
    <w:multiLevelType w:val="multilevel"/>
    <w:tmpl w:val="0C00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5" w15:restartNumberingAfterBreak="0">
    <w:nsid w:val="540D3073"/>
    <w:multiLevelType w:val="hybridMultilevel"/>
    <w:tmpl w:val="9C724242"/>
    <w:lvl w:ilvl="0" w:tplc="6FC2C76E">
      <w:numFmt w:val="bullet"/>
      <w:lvlText w:val="-"/>
      <w:lvlJc w:val="left"/>
      <w:pPr>
        <w:tabs>
          <w:tab w:val="num" w:pos="720"/>
        </w:tabs>
        <w:ind w:left="720" w:hanging="360"/>
      </w:pPr>
      <w:rPr>
        <w:rFonts w:ascii="Times New Roman" w:eastAsia="Times New Roman" w:hAnsi="Times New Roman" w:cs="Times New Roman"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6" w15:restartNumberingAfterBreak="0">
    <w:nsid w:val="5741341D"/>
    <w:multiLevelType w:val="hybridMultilevel"/>
    <w:tmpl w:val="E2DCB8EA"/>
    <w:lvl w:ilvl="0" w:tplc="9C50387C">
      <w:start w:val="1"/>
      <w:numFmt w:val="decimal"/>
      <w:pStyle w:val="EFSAFiguretitle"/>
      <w:lvlText w:val="Figure %1: "/>
      <w:lvlJc w:val="left"/>
      <w:pPr>
        <w:ind w:left="720" w:hanging="360"/>
      </w:pPr>
      <w:rPr>
        <w:rFonts w:ascii="Tahoma" w:hAnsi="Tahoma" w:cs="Tahoma" w:hint="default"/>
        <w:b/>
        <w:i w:val="0"/>
        <w:caps w:val="0"/>
        <w:strike w:val="0"/>
        <w:dstrike w:val="0"/>
        <w:vanish w:val="0"/>
        <w:color w:val="000000"/>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58690D43"/>
    <w:multiLevelType w:val="hybridMultilevel"/>
    <w:tmpl w:val="D70A3EA2"/>
    <w:lvl w:ilvl="0" w:tplc="6FC2C76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9061479"/>
    <w:multiLevelType w:val="multilevel"/>
    <w:tmpl w:val="D98414EC"/>
    <w:lvl w:ilvl="0">
      <w:start w:val="1"/>
      <w:numFmt w:val="upperLetter"/>
      <w:pStyle w:val="Heading1"/>
      <w:lvlText w:val="%1."/>
      <w:lvlJc w:val="left"/>
      <w:pPr>
        <w:ind w:left="0" w:firstLine="0"/>
      </w:pPr>
      <w:rPr>
        <w:rFonts w:hint="default"/>
      </w:rPr>
    </w:lvl>
    <w:lvl w:ilvl="1">
      <w:start w:val="1"/>
      <w:numFmt w:val="upperRoman"/>
      <w:pStyle w:val="Heading2"/>
      <w:lvlText w:val="%2."/>
      <w:lvlJc w:val="left"/>
      <w:pPr>
        <w:ind w:left="720" w:firstLine="0"/>
      </w:pPr>
      <w:rPr>
        <w:rFonts w:hint="default"/>
      </w:rPr>
    </w:lvl>
    <w:lvl w:ilvl="2">
      <w:start w:val="1"/>
      <w:numFmt w:val="lowerRoman"/>
      <w:pStyle w:val="Heading3"/>
      <w:lvlText w:val="%3."/>
      <w:lvlJc w:val="left"/>
      <w:pPr>
        <w:ind w:left="1440" w:firstLine="0"/>
      </w:pPr>
      <w:rPr>
        <w:rFonts w:hint="default"/>
      </w:rPr>
    </w:lvl>
    <w:lvl w:ilvl="3">
      <w:start w:val="1"/>
      <w:numFmt w:val="lowerLetter"/>
      <w:pStyle w:val="Heading4"/>
      <w:lvlText w:val="%4)"/>
      <w:lvlJc w:val="left"/>
      <w:pPr>
        <w:ind w:left="2160" w:firstLine="0"/>
      </w:pPr>
      <w:rPr>
        <w:rFonts w:hint="default"/>
      </w:rPr>
    </w:lvl>
    <w:lvl w:ilvl="4">
      <w:start w:val="1"/>
      <w:numFmt w:val="decimal"/>
      <w:pStyle w:val="Heading5"/>
      <w:lvlText w:val="(%5)"/>
      <w:lvlJc w:val="left"/>
      <w:pPr>
        <w:ind w:left="2880" w:firstLine="0"/>
      </w:pPr>
      <w:rPr>
        <w:rFonts w:hint="default"/>
      </w:rPr>
    </w:lvl>
    <w:lvl w:ilvl="5">
      <w:start w:val="1"/>
      <w:numFmt w:val="lowerLetter"/>
      <w:pStyle w:val="Heading6"/>
      <w:lvlText w:val="(%6)"/>
      <w:lvlJc w:val="left"/>
      <w:pPr>
        <w:ind w:left="3600" w:firstLine="0"/>
      </w:pPr>
      <w:rPr>
        <w:rFonts w:hint="default"/>
      </w:rPr>
    </w:lvl>
    <w:lvl w:ilvl="6">
      <w:start w:val="1"/>
      <w:numFmt w:val="lowerRoman"/>
      <w:pStyle w:val="Heading7"/>
      <w:lvlText w:val="(%7)"/>
      <w:lvlJc w:val="left"/>
      <w:pPr>
        <w:ind w:left="4320" w:firstLine="0"/>
      </w:pPr>
      <w:rPr>
        <w:rFonts w:hint="default"/>
      </w:rPr>
    </w:lvl>
    <w:lvl w:ilvl="7">
      <w:start w:val="1"/>
      <w:numFmt w:val="lowerLetter"/>
      <w:pStyle w:val="Heading8"/>
      <w:lvlText w:val="(%8)"/>
      <w:lvlJc w:val="left"/>
      <w:pPr>
        <w:ind w:left="5040" w:firstLine="0"/>
      </w:pPr>
      <w:rPr>
        <w:rFonts w:hint="default"/>
      </w:rPr>
    </w:lvl>
    <w:lvl w:ilvl="8">
      <w:start w:val="1"/>
      <w:numFmt w:val="lowerRoman"/>
      <w:pStyle w:val="Heading9"/>
      <w:lvlText w:val="(%9)"/>
      <w:lvlJc w:val="left"/>
      <w:pPr>
        <w:ind w:left="5760" w:firstLine="0"/>
      </w:pPr>
      <w:rPr>
        <w:rFonts w:hint="default"/>
      </w:rPr>
    </w:lvl>
  </w:abstractNum>
  <w:abstractNum w:abstractNumId="59" w15:restartNumberingAfterBreak="0">
    <w:nsid w:val="5A0369C6"/>
    <w:multiLevelType w:val="hybridMultilevel"/>
    <w:tmpl w:val="CB80870E"/>
    <w:lvl w:ilvl="0" w:tplc="0C000003">
      <w:start w:val="1"/>
      <w:numFmt w:val="bullet"/>
      <w:lvlText w:val="o"/>
      <w:lvlJc w:val="left"/>
      <w:pPr>
        <w:ind w:left="1504" w:hanging="360"/>
      </w:pPr>
      <w:rPr>
        <w:rFonts w:ascii="Courier New" w:hAnsi="Courier New" w:cs="Courier New" w:hint="default"/>
      </w:rPr>
    </w:lvl>
    <w:lvl w:ilvl="1" w:tplc="0C000003">
      <w:start w:val="1"/>
      <w:numFmt w:val="bullet"/>
      <w:lvlText w:val="o"/>
      <w:lvlJc w:val="left"/>
      <w:pPr>
        <w:ind w:left="2224" w:hanging="360"/>
      </w:pPr>
      <w:rPr>
        <w:rFonts w:ascii="Courier New" w:hAnsi="Courier New" w:cs="Courier New" w:hint="default"/>
      </w:rPr>
    </w:lvl>
    <w:lvl w:ilvl="2" w:tplc="0C000005" w:tentative="1">
      <w:start w:val="1"/>
      <w:numFmt w:val="bullet"/>
      <w:lvlText w:val=""/>
      <w:lvlJc w:val="left"/>
      <w:pPr>
        <w:ind w:left="2944" w:hanging="360"/>
      </w:pPr>
      <w:rPr>
        <w:rFonts w:ascii="Wingdings" w:hAnsi="Wingdings" w:hint="default"/>
      </w:rPr>
    </w:lvl>
    <w:lvl w:ilvl="3" w:tplc="0C000001" w:tentative="1">
      <w:start w:val="1"/>
      <w:numFmt w:val="bullet"/>
      <w:lvlText w:val=""/>
      <w:lvlJc w:val="left"/>
      <w:pPr>
        <w:ind w:left="3664" w:hanging="360"/>
      </w:pPr>
      <w:rPr>
        <w:rFonts w:ascii="Symbol" w:hAnsi="Symbol" w:hint="default"/>
      </w:rPr>
    </w:lvl>
    <w:lvl w:ilvl="4" w:tplc="0C000003" w:tentative="1">
      <w:start w:val="1"/>
      <w:numFmt w:val="bullet"/>
      <w:lvlText w:val="o"/>
      <w:lvlJc w:val="left"/>
      <w:pPr>
        <w:ind w:left="4384" w:hanging="360"/>
      </w:pPr>
      <w:rPr>
        <w:rFonts w:ascii="Courier New" w:hAnsi="Courier New" w:cs="Courier New" w:hint="default"/>
      </w:rPr>
    </w:lvl>
    <w:lvl w:ilvl="5" w:tplc="0C000005" w:tentative="1">
      <w:start w:val="1"/>
      <w:numFmt w:val="bullet"/>
      <w:lvlText w:val=""/>
      <w:lvlJc w:val="left"/>
      <w:pPr>
        <w:ind w:left="5104" w:hanging="360"/>
      </w:pPr>
      <w:rPr>
        <w:rFonts w:ascii="Wingdings" w:hAnsi="Wingdings" w:hint="default"/>
      </w:rPr>
    </w:lvl>
    <w:lvl w:ilvl="6" w:tplc="0C000001" w:tentative="1">
      <w:start w:val="1"/>
      <w:numFmt w:val="bullet"/>
      <w:lvlText w:val=""/>
      <w:lvlJc w:val="left"/>
      <w:pPr>
        <w:ind w:left="5824" w:hanging="360"/>
      </w:pPr>
      <w:rPr>
        <w:rFonts w:ascii="Symbol" w:hAnsi="Symbol" w:hint="default"/>
      </w:rPr>
    </w:lvl>
    <w:lvl w:ilvl="7" w:tplc="0C000003" w:tentative="1">
      <w:start w:val="1"/>
      <w:numFmt w:val="bullet"/>
      <w:lvlText w:val="o"/>
      <w:lvlJc w:val="left"/>
      <w:pPr>
        <w:ind w:left="6544" w:hanging="360"/>
      </w:pPr>
      <w:rPr>
        <w:rFonts w:ascii="Courier New" w:hAnsi="Courier New" w:cs="Courier New" w:hint="default"/>
      </w:rPr>
    </w:lvl>
    <w:lvl w:ilvl="8" w:tplc="0C000005" w:tentative="1">
      <w:start w:val="1"/>
      <w:numFmt w:val="bullet"/>
      <w:lvlText w:val=""/>
      <w:lvlJc w:val="left"/>
      <w:pPr>
        <w:ind w:left="7264" w:hanging="360"/>
      </w:pPr>
      <w:rPr>
        <w:rFonts w:ascii="Wingdings" w:hAnsi="Wingdings" w:hint="default"/>
      </w:rPr>
    </w:lvl>
  </w:abstractNum>
  <w:abstractNum w:abstractNumId="60" w15:restartNumberingAfterBreak="0">
    <w:nsid w:val="5B3F52D7"/>
    <w:multiLevelType w:val="hybridMultilevel"/>
    <w:tmpl w:val="56CC57F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BAF0FD0"/>
    <w:multiLevelType w:val="hybridMultilevel"/>
    <w:tmpl w:val="B9DCA1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5D747176"/>
    <w:multiLevelType w:val="hybridMultilevel"/>
    <w:tmpl w:val="AE4663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636D1991"/>
    <w:multiLevelType w:val="hybridMultilevel"/>
    <w:tmpl w:val="EDAC67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63CA0F5F"/>
    <w:multiLevelType w:val="hybridMultilevel"/>
    <w:tmpl w:val="DBB0A36C"/>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65" w15:restartNumberingAfterBreak="0">
    <w:nsid w:val="655002F8"/>
    <w:multiLevelType w:val="hybridMultilevel"/>
    <w:tmpl w:val="1F4038FE"/>
    <w:lvl w:ilvl="0" w:tplc="56BE2848">
      <w:start w:val="1"/>
      <w:numFmt w:val="lowerLetter"/>
      <w:pStyle w:val="EFSATablefootnote"/>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55115E9"/>
    <w:multiLevelType w:val="hybridMultilevel"/>
    <w:tmpl w:val="7FCC2782"/>
    <w:lvl w:ilvl="0" w:tplc="0C00000F">
      <w:start w:val="1"/>
      <w:numFmt w:val="decimal"/>
      <w:lvlText w:val="%1."/>
      <w:lvlJc w:val="left"/>
      <w:pPr>
        <w:ind w:left="720" w:hanging="360"/>
      </w:pPr>
    </w:lvl>
    <w:lvl w:ilvl="1" w:tplc="0C000019" w:tentative="1">
      <w:start w:val="1"/>
      <w:numFmt w:val="lowerLetter"/>
      <w:lvlText w:val="%2."/>
      <w:lvlJc w:val="left"/>
      <w:pPr>
        <w:ind w:left="1440" w:hanging="360"/>
      </w:pPr>
    </w:lvl>
    <w:lvl w:ilvl="2" w:tplc="0C00001B" w:tentative="1">
      <w:start w:val="1"/>
      <w:numFmt w:val="lowerRoman"/>
      <w:lvlText w:val="%3."/>
      <w:lvlJc w:val="right"/>
      <w:pPr>
        <w:ind w:left="2160" w:hanging="180"/>
      </w:pPr>
    </w:lvl>
    <w:lvl w:ilvl="3" w:tplc="0C00000F" w:tentative="1">
      <w:start w:val="1"/>
      <w:numFmt w:val="decimal"/>
      <w:lvlText w:val="%4."/>
      <w:lvlJc w:val="left"/>
      <w:pPr>
        <w:ind w:left="2880" w:hanging="360"/>
      </w:pPr>
    </w:lvl>
    <w:lvl w:ilvl="4" w:tplc="0C000019" w:tentative="1">
      <w:start w:val="1"/>
      <w:numFmt w:val="lowerLetter"/>
      <w:lvlText w:val="%5."/>
      <w:lvlJc w:val="left"/>
      <w:pPr>
        <w:ind w:left="3600" w:hanging="360"/>
      </w:pPr>
    </w:lvl>
    <w:lvl w:ilvl="5" w:tplc="0C00001B" w:tentative="1">
      <w:start w:val="1"/>
      <w:numFmt w:val="lowerRoman"/>
      <w:lvlText w:val="%6."/>
      <w:lvlJc w:val="right"/>
      <w:pPr>
        <w:ind w:left="4320" w:hanging="180"/>
      </w:pPr>
    </w:lvl>
    <w:lvl w:ilvl="6" w:tplc="0C00000F" w:tentative="1">
      <w:start w:val="1"/>
      <w:numFmt w:val="decimal"/>
      <w:lvlText w:val="%7."/>
      <w:lvlJc w:val="left"/>
      <w:pPr>
        <w:ind w:left="5040" w:hanging="360"/>
      </w:pPr>
    </w:lvl>
    <w:lvl w:ilvl="7" w:tplc="0C000019" w:tentative="1">
      <w:start w:val="1"/>
      <w:numFmt w:val="lowerLetter"/>
      <w:lvlText w:val="%8."/>
      <w:lvlJc w:val="left"/>
      <w:pPr>
        <w:ind w:left="5760" w:hanging="360"/>
      </w:pPr>
    </w:lvl>
    <w:lvl w:ilvl="8" w:tplc="0C00001B" w:tentative="1">
      <w:start w:val="1"/>
      <w:numFmt w:val="lowerRoman"/>
      <w:lvlText w:val="%9."/>
      <w:lvlJc w:val="right"/>
      <w:pPr>
        <w:ind w:left="6480" w:hanging="180"/>
      </w:pPr>
    </w:lvl>
  </w:abstractNum>
  <w:abstractNum w:abstractNumId="67" w15:restartNumberingAfterBreak="0">
    <w:nsid w:val="65C175DF"/>
    <w:multiLevelType w:val="hybridMultilevel"/>
    <w:tmpl w:val="09B48E4A"/>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68" w15:restartNumberingAfterBreak="0">
    <w:nsid w:val="66157E15"/>
    <w:multiLevelType w:val="hybridMultilevel"/>
    <w:tmpl w:val="8054B7A4"/>
    <w:lvl w:ilvl="0" w:tplc="B748C7F6">
      <w:start w:val="1"/>
      <w:numFmt w:val="decimal"/>
      <w:pStyle w:val="EFSAListnumbered"/>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662B5C67"/>
    <w:multiLevelType w:val="singleLevel"/>
    <w:tmpl w:val="91141434"/>
    <w:lvl w:ilvl="0">
      <w:start w:val="1"/>
      <w:numFmt w:val="bullet"/>
      <w:pStyle w:val="ListDash"/>
      <w:lvlText w:val="–"/>
      <w:lvlJc w:val="left"/>
      <w:pPr>
        <w:tabs>
          <w:tab w:val="num" w:pos="283"/>
        </w:tabs>
        <w:ind w:left="283" w:hanging="283"/>
      </w:pPr>
      <w:rPr>
        <w:rFonts w:ascii="Times New Roman" w:hAnsi="Times New Roman"/>
      </w:rPr>
    </w:lvl>
  </w:abstractNum>
  <w:abstractNum w:abstractNumId="70" w15:restartNumberingAfterBreak="0">
    <w:nsid w:val="67C4266D"/>
    <w:multiLevelType w:val="hybridMultilevel"/>
    <w:tmpl w:val="A09ABB92"/>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71" w15:restartNumberingAfterBreak="0">
    <w:nsid w:val="68071570"/>
    <w:multiLevelType w:val="hybridMultilevel"/>
    <w:tmpl w:val="381AB66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829379E"/>
    <w:multiLevelType w:val="hybridMultilevel"/>
    <w:tmpl w:val="2156513E"/>
    <w:lvl w:ilvl="0" w:tplc="448035BE">
      <w:start w:val="1"/>
      <w:numFmt w:val="upperLetter"/>
      <w:pStyle w:val="EFSAAnnextitle"/>
      <w:lvlText w:val="Annex %1 –"/>
      <w:lvlJc w:val="left"/>
      <w:pPr>
        <w:ind w:left="360" w:hanging="360"/>
      </w:pPr>
      <w:rPr>
        <w:rFonts w:ascii="Tahoma" w:hAnsi="Tahoma" w:hint="default"/>
        <w:b/>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685D771E"/>
    <w:multiLevelType w:val="hybridMultilevel"/>
    <w:tmpl w:val="FFFFFFFF"/>
    <w:lvl w:ilvl="0" w:tplc="2CB221F8">
      <w:start w:val="1"/>
      <w:numFmt w:val="bullet"/>
      <w:lvlText w:val=""/>
      <w:lvlJc w:val="left"/>
      <w:pPr>
        <w:ind w:left="720" w:hanging="360"/>
      </w:pPr>
      <w:rPr>
        <w:rFonts w:ascii="Symbol" w:hAnsi="Symbol" w:hint="default"/>
      </w:rPr>
    </w:lvl>
    <w:lvl w:ilvl="1" w:tplc="790075F2">
      <w:start w:val="1"/>
      <w:numFmt w:val="bullet"/>
      <w:lvlText w:val="o"/>
      <w:lvlJc w:val="left"/>
      <w:pPr>
        <w:ind w:left="1440" w:hanging="360"/>
      </w:pPr>
      <w:rPr>
        <w:rFonts w:ascii="Courier New" w:hAnsi="Courier New" w:hint="default"/>
      </w:rPr>
    </w:lvl>
    <w:lvl w:ilvl="2" w:tplc="338ABC40">
      <w:start w:val="1"/>
      <w:numFmt w:val="bullet"/>
      <w:lvlText w:val=""/>
      <w:lvlJc w:val="left"/>
      <w:pPr>
        <w:ind w:left="2160" w:hanging="360"/>
      </w:pPr>
      <w:rPr>
        <w:rFonts w:ascii="Wingdings" w:hAnsi="Wingdings" w:hint="default"/>
      </w:rPr>
    </w:lvl>
    <w:lvl w:ilvl="3" w:tplc="93440B18">
      <w:start w:val="1"/>
      <w:numFmt w:val="bullet"/>
      <w:lvlText w:val=""/>
      <w:lvlJc w:val="left"/>
      <w:pPr>
        <w:ind w:left="2880" w:hanging="360"/>
      </w:pPr>
      <w:rPr>
        <w:rFonts w:ascii="Symbol" w:hAnsi="Symbol" w:hint="default"/>
      </w:rPr>
    </w:lvl>
    <w:lvl w:ilvl="4" w:tplc="DD546886">
      <w:start w:val="1"/>
      <w:numFmt w:val="bullet"/>
      <w:lvlText w:val="o"/>
      <w:lvlJc w:val="left"/>
      <w:pPr>
        <w:ind w:left="3600" w:hanging="360"/>
      </w:pPr>
      <w:rPr>
        <w:rFonts w:ascii="Courier New" w:hAnsi="Courier New" w:hint="default"/>
      </w:rPr>
    </w:lvl>
    <w:lvl w:ilvl="5" w:tplc="3AD67C58">
      <w:start w:val="1"/>
      <w:numFmt w:val="bullet"/>
      <w:lvlText w:val=""/>
      <w:lvlJc w:val="left"/>
      <w:pPr>
        <w:ind w:left="4320" w:hanging="360"/>
      </w:pPr>
      <w:rPr>
        <w:rFonts w:ascii="Wingdings" w:hAnsi="Wingdings" w:hint="default"/>
      </w:rPr>
    </w:lvl>
    <w:lvl w:ilvl="6" w:tplc="CAF4AE74">
      <w:start w:val="1"/>
      <w:numFmt w:val="bullet"/>
      <w:lvlText w:val=""/>
      <w:lvlJc w:val="left"/>
      <w:pPr>
        <w:ind w:left="5040" w:hanging="360"/>
      </w:pPr>
      <w:rPr>
        <w:rFonts w:ascii="Symbol" w:hAnsi="Symbol" w:hint="default"/>
      </w:rPr>
    </w:lvl>
    <w:lvl w:ilvl="7" w:tplc="2AC67078">
      <w:start w:val="1"/>
      <w:numFmt w:val="bullet"/>
      <w:lvlText w:val="o"/>
      <w:lvlJc w:val="left"/>
      <w:pPr>
        <w:ind w:left="5760" w:hanging="360"/>
      </w:pPr>
      <w:rPr>
        <w:rFonts w:ascii="Courier New" w:hAnsi="Courier New" w:hint="default"/>
      </w:rPr>
    </w:lvl>
    <w:lvl w:ilvl="8" w:tplc="3E1E894A">
      <w:start w:val="1"/>
      <w:numFmt w:val="bullet"/>
      <w:lvlText w:val=""/>
      <w:lvlJc w:val="left"/>
      <w:pPr>
        <w:ind w:left="6480" w:hanging="360"/>
      </w:pPr>
      <w:rPr>
        <w:rFonts w:ascii="Wingdings" w:hAnsi="Wingdings" w:hint="default"/>
      </w:rPr>
    </w:lvl>
  </w:abstractNum>
  <w:abstractNum w:abstractNumId="74" w15:restartNumberingAfterBreak="0">
    <w:nsid w:val="68B529C0"/>
    <w:multiLevelType w:val="hybridMultilevel"/>
    <w:tmpl w:val="CDB647DE"/>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75" w15:restartNumberingAfterBreak="0">
    <w:nsid w:val="6ABC0C49"/>
    <w:multiLevelType w:val="hybridMultilevel"/>
    <w:tmpl w:val="11CAE85E"/>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6D4B1FF7"/>
    <w:multiLevelType w:val="hybridMultilevel"/>
    <w:tmpl w:val="E9DEA8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705F309D"/>
    <w:multiLevelType w:val="hybridMultilevel"/>
    <w:tmpl w:val="7EF2B0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72212144"/>
    <w:multiLevelType w:val="hybridMultilevel"/>
    <w:tmpl w:val="EEB679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748978A5"/>
    <w:multiLevelType w:val="hybridMultilevel"/>
    <w:tmpl w:val="835AADBC"/>
    <w:lvl w:ilvl="0" w:tplc="0409000F">
      <w:start w:val="1"/>
      <w:numFmt w:val="decimal"/>
      <w:lvlText w:val="%1."/>
      <w:lvlJc w:val="left"/>
      <w:pPr>
        <w:tabs>
          <w:tab w:val="num" w:pos="720"/>
        </w:tabs>
        <w:ind w:left="720" w:hanging="360"/>
      </w:pPr>
      <w:rPr>
        <w:rFonts w:hint="default"/>
      </w:rPr>
    </w:lvl>
    <w:lvl w:ilvl="1" w:tplc="8102ABC2">
      <w:start w:val="1"/>
      <w:numFmt w:val="upp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15:restartNumberingAfterBreak="0">
    <w:nsid w:val="79C24798"/>
    <w:multiLevelType w:val="hybridMultilevel"/>
    <w:tmpl w:val="CBDA1E60"/>
    <w:lvl w:ilvl="0" w:tplc="DE68D06E">
      <w:start w:val="1"/>
      <w:numFmt w:val="decimal"/>
      <w:pStyle w:val="EFSATabletitle"/>
      <w:lvlText w:val="Table E.%1: "/>
      <w:lvlJc w:val="left"/>
      <w:pPr>
        <w:ind w:left="786" w:hanging="360"/>
      </w:pPr>
      <w:rPr>
        <w:rFonts w:ascii="Tahoma" w:hAnsi="Tahoma" w:cs="Tahoma" w:hint="default"/>
        <w:b/>
        <w:i w:val="0"/>
        <w:caps w:val="0"/>
        <w:strike w:val="0"/>
        <w:dstrike w:val="0"/>
        <w:vanish w:val="0"/>
        <w:color w:val="000000"/>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1506" w:hanging="360"/>
      </w:pPr>
    </w:lvl>
    <w:lvl w:ilvl="2" w:tplc="0809001B" w:tentative="1">
      <w:start w:val="1"/>
      <w:numFmt w:val="lowerRoman"/>
      <w:lvlText w:val="%3."/>
      <w:lvlJc w:val="right"/>
      <w:pPr>
        <w:ind w:left="2226" w:hanging="180"/>
      </w:pPr>
    </w:lvl>
    <w:lvl w:ilvl="3" w:tplc="0809000F" w:tentative="1">
      <w:start w:val="1"/>
      <w:numFmt w:val="decimal"/>
      <w:lvlText w:val="%4."/>
      <w:lvlJc w:val="left"/>
      <w:pPr>
        <w:ind w:left="2946" w:hanging="360"/>
      </w:pPr>
    </w:lvl>
    <w:lvl w:ilvl="4" w:tplc="08090019" w:tentative="1">
      <w:start w:val="1"/>
      <w:numFmt w:val="lowerLetter"/>
      <w:lvlText w:val="%5."/>
      <w:lvlJc w:val="left"/>
      <w:pPr>
        <w:ind w:left="3666" w:hanging="360"/>
      </w:pPr>
    </w:lvl>
    <w:lvl w:ilvl="5" w:tplc="0809001B" w:tentative="1">
      <w:start w:val="1"/>
      <w:numFmt w:val="lowerRoman"/>
      <w:lvlText w:val="%6."/>
      <w:lvlJc w:val="right"/>
      <w:pPr>
        <w:ind w:left="4386" w:hanging="180"/>
      </w:pPr>
    </w:lvl>
    <w:lvl w:ilvl="6" w:tplc="0809000F" w:tentative="1">
      <w:start w:val="1"/>
      <w:numFmt w:val="decimal"/>
      <w:lvlText w:val="%7."/>
      <w:lvlJc w:val="left"/>
      <w:pPr>
        <w:ind w:left="5106" w:hanging="360"/>
      </w:pPr>
    </w:lvl>
    <w:lvl w:ilvl="7" w:tplc="08090019" w:tentative="1">
      <w:start w:val="1"/>
      <w:numFmt w:val="lowerLetter"/>
      <w:lvlText w:val="%8."/>
      <w:lvlJc w:val="left"/>
      <w:pPr>
        <w:ind w:left="5826" w:hanging="360"/>
      </w:pPr>
    </w:lvl>
    <w:lvl w:ilvl="8" w:tplc="0809001B" w:tentative="1">
      <w:start w:val="1"/>
      <w:numFmt w:val="lowerRoman"/>
      <w:lvlText w:val="%9."/>
      <w:lvlJc w:val="right"/>
      <w:pPr>
        <w:ind w:left="6546" w:hanging="180"/>
      </w:pPr>
    </w:lvl>
  </w:abstractNum>
  <w:abstractNum w:abstractNumId="81" w15:restartNumberingAfterBreak="0">
    <w:nsid w:val="7A9A44ED"/>
    <w:multiLevelType w:val="hybridMultilevel"/>
    <w:tmpl w:val="114005C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2" w15:restartNumberingAfterBreak="0">
    <w:nsid w:val="7BC630C8"/>
    <w:multiLevelType w:val="hybridMultilevel"/>
    <w:tmpl w:val="567E9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7D34036A"/>
    <w:multiLevelType w:val="multilevel"/>
    <w:tmpl w:val="756C11F0"/>
    <w:lvl w:ilvl="0">
      <w:start w:val="1"/>
      <w:numFmt w:val="bullet"/>
      <w:pStyle w:val="EFSABullet1"/>
      <w:lvlText w:val=""/>
      <w:lvlJc w:val="left"/>
      <w:pPr>
        <w:tabs>
          <w:tab w:val="num" w:pos="0"/>
        </w:tabs>
        <w:ind w:left="720" w:hanging="360"/>
      </w:pPr>
      <w:rPr>
        <w:rFonts w:ascii="Symbol" w:hAnsi="Symbol" w:hint="default"/>
      </w:rPr>
    </w:lvl>
    <w:lvl w:ilvl="1">
      <w:start w:val="1"/>
      <w:numFmt w:val="bullet"/>
      <w:pStyle w:val="EFSABullet2"/>
      <w:lvlText w:val="–"/>
      <w:lvlJc w:val="left"/>
      <w:pPr>
        <w:tabs>
          <w:tab w:val="num" w:pos="0"/>
        </w:tabs>
        <w:ind w:left="1440" w:hanging="360"/>
      </w:pPr>
      <w:rPr>
        <w:rFonts w:ascii="Tahoma" w:hAnsi="Tahoma" w:hint="default"/>
        <w:color w:val="auto"/>
        <w:sz w:val="20"/>
      </w:rPr>
    </w:lvl>
    <w:lvl w:ilvl="2">
      <w:start w:val="1"/>
      <w:numFmt w:val="bullet"/>
      <w:lvlText w:val="–"/>
      <w:lvlJc w:val="left"/>
      <w:pPr>
        <w:tabs>
          <w:tab w:val="num" w:pos="0"/>
        </w:tabs>
        <w:ind w:left="2160" w:hanging="360"/>
      </w:pPr>
      <w:rPr>
        <w:rFonts w:ascii="Tahoma" w:hAnsi="Tahoma" w:hint="default"/>
        <w:color w:val="auto"/>
        <w:sz w:val="20"/>
      </w:rPr>
    </w:lvl>
    <w:lvl w:ilvl="3">
      <w:start w:val="1"/>
      <w:numFmt w:val="bullet"/>
      <w:lvlText w:val="–"/>
      <w:lvlJc w:val="left"/>
      <w:pPr>
        <w:tabs>
          <w:tab w:val="num" w:pos="0"/>
        </w:tabs>
        <w:ind w:left="2880" w:hanging="360"/>
      </w:pPr>
      <w:rPr>
        <w:rFonts w:ascii="Tahoma" w:hAnsi="Tahoma" w:hint="default"/>
        <w:color w:val="auto"/>
        <w:sz w:val="20"/>
      </w:rPr>
    </w:lvl>
    <w:lvl w:ilvl="4">
      <w:start w:val="1"/>
      <w:numFmt w:val="bullet"/>
      <w:lvlText w:val="–"/>
      <w:lvlJc w:val="left"/>
      <w:pPr>
        <w:tabs>
          <w:tab w:val="num" w:pos="0"/>
        </w:tabs>
        <w:ind w:left="3600" w:hanging="360"/>
      </w:pPr>
      <w:rPr>
        <w:rFonts w:ascii="Tahoma" w:hAnsi="Tahoma" w:hint="default"/>
        <w:color w:val="auto"/>
        <w:sz w:val="20"/>
      </w:rPr>
    </w:lvl>
    <w:lvl w:ilvl="5">
      <w:start w:val="1"/>
      <w:numFmt w:val="bullet"/>
      <w:lvlText w:val="–"/>
      <w:lvlJc w:val="left"/>
      <w:pPr>
        <w:tabs>
          <w:tab w:val="num" w:pos="0"/>
        </w:tabs>
        <w:ind w:left="4320" w:hanging="360"/>
      </w:pPr>
      <w:rPr>
        <w:rFonts w:ascii="Tahoma" w:hAnsi="Tahoma" w:hint="default"/>
        <w:color w:val="auto"/>
        <w:sz w:val="20"/>
      </w:rPr>
    </w:lvl>
    <w:lvl w:ilvl="6">
      <w:start w:val="1"/>
      <w:numFmt w:val="bullet"/>
      <w:lvlText w:val="–"/>
      <w:lvlJc w:val="left"/>
      <w:pPr>
        <w:tabs>
          <w:tab w:val="num" w:pos="0"/>
        </w:tabs>
        <w:ind w:left="5040" w:hanging="360"/>
      </w:pPr>
      <w:rPr>
        <w:rFonts w:ascii="Tahoma" w:hAnsi="Tahoma" w:hint="default"/>
        <w:color w:val="auto"/>
        <w:sz w:val="20"/>
      </w:rPr>
    </w:lvl>
    <w:lvl w:ilvl="7">
      <w:start w:val="1"/>
      <w:numFmt w:val="bullet"/>
      <w:lvlText w:val="–"/>
      <w:lvlJc w:val="left"/>
      <w:pPr>
        <w:tabs>
          <w:tab w:val="num" w:pos="0"/>
        </w:tabs>
        <w:ind w:left="5760" w:hanging="360"/>
      </w:pPr>
      <w:rPr>
        <w:rFonts w:ascii="Tahoma" w:hAnsi="Tahoma" w:cs="Courier New" w:hint="default"/>
        <w:color w:val="auto"/>
        <w:sz w:val="20"/>
      </w:rPr>
    </w:lvl>
    <w:lvl w:ilvl="8">
      <w:start w:val="1"/>
      <w:numFmt w:val="bullet"/>
      <w:lvlText w:val="–"/>
      <w:lvlJc w:val="left"/>
      <w:pPr>
        <w:tabs>
          <w:tab w:val="num" w:pos="0"/>
        </w:tabs>
        <w:ind w:left="6480" w:hanging="360"/>
      </w:pPr>
      <w:rPr>
        <w:rFonts w:ascii="Tahoma" w:hAnsi="Tahoma" w:hint="default"/>
        <w:color w:val="auto"/>
        <w:sz w:val="20"/>
      </w:rPr>
    </w:lvl>
  </w:abstractNum>
  <w:abstractNum w:abstractNumId="84" w15:restartNumberingAfterBreak="0">
    <w:nsid w:val="7DF8718A"/>
    <w:multiLevelType w:val="hybridMultilevel"/>
    <w:tmpl w:val="2B7209C2"/>
    <w:lvl w:ilvl="0" w:tplc="BD2CECFC">
      <w:start w:val="1"/>
      <w:numFmt w:val="bullet"/>
      <w:lvlText w:val=""/>
      <w:lvlJc w:val="left"/>
      <w:pPr>
        <w:ind w:left="720" w:hanging="360"/>
      </w:pPr>
      <w:rPr>
        <w:rFonts w:ascii="Symbol" w:hAnsi="Symbol" w:hint="default"/>
      </w:rPr>
    </w:lvl>
    <w:lvl w:ilvl="1" w:tplc="07E67384">
      <w:start w:val="1"/>
      <w:numFmt w:val="bullet"/>
      <w:lvlText w:val="o"/>
      <w:lvlJc w:val="left"/>
      <w:pPr>
        <w:ind w:left="1440" w:hanging="360"/>
      </w:pPr>
      <w:rPr>
        <w:rFonts w:ascii="Courier New" w:hAnsi="Courier New" w:hint="default"/>
      </w:rPr>
    </w:lvl>
    <w:lvl w:ilvl="2" w:tplc="F5D0CB8C">
      <w:start w:val="1"/>
      <w:numFmt w:val="bullet"/>
      <w:lvlText w:val=""/>
      <w:lvlJc w:val="left"/>
      <w:pPr>
        <w:ind w:left="2160" w:hanging="360"/>
      </w:pPr>
      <w:rPr>
        <w:rFonts w:ascii="Wingdings" w:hAnsi="Wingdings" w:hint="default"/>
      </w:rPr>
    </w:lvl>
    <w:lvl w:ilvl="3" w:tplc="5E8EE7D0">
      <w:start w:val="1"/>
      <w:numFmt w:val="bullet"/>
      <w:lvlText w:val=""/>
      <w:lvlJc w:val="left"/>
      <w:pPr>
        <w:ind w:left="2880" w:hanging="360"/>
      </w:pPr>
      <w:rPr>
        <w:rFonts w:ascii="Symbol" w:hAnsi="Symbol" w:hint="default"/>
      </w:rPr>
    </w:lvl>
    <w:lvl w:ilvl="4" w:tplc="CA84D166">
      <w:start w:val="1"/>
      <w:numFmt w:val="bullet"/>
      <w:lvlText w:val="o"/>
      <w:lvlJc w:val="left"/>
      <w:pPr>
        <w:ind w:left="3600" w:hanging="360"/>
      </w:pPr>
      <w:rPr>
        <w:rFonts w:ascii="Courier New" w:hAnsi="Courier New" w:hint="default"/>
      </w:rPr>
    </w:lvl>
    <w:lvl w:ilvl="5" w:tplc="DF986234">
      <w:start w:val="1"/>
      <w:numFmt w:val="bullet"/>
      <w:lvlText w:val=""/>
      <w:lvlJc w:val="left"/>
      <w:pPr>
        <w:ind w:left="4320" w:hanging="360"/>
      </w:pPr>
      <w:rPr>
        <w:rFonts w:ascii="Wingdings" w:hAnsi="Wingdings" w:hint="default"/>
      </w:rPr>
    </w:lvl>
    <w:lvl w:ilvl="6" w:tplc="D2EC32F6">
      <w:start w:val="1"/>
      <w:numFmt w:val="bullet"/>
      <w:lvlText w:val=""/>
      <w:lvlJc w:val="left"/>
      <w:pPr>
        <w:ind w:left="5040" w:hanging="360"/>
      </w:pPr>
      <w:rPr>
        <w:rFonts w:ascii="Symbol" w:hAnsi="Symbol" w:hint="default"/>
      </w:rPr>
    </w:lvl>
    <w:lvl w:ilvl="7" w:tplc="6776A436">
      <w:start w:val="1"/>
      <w:numFmt w:val="bullet"/>
      <w:lvlText w:val="o"/>
      <w:lvlJc w:val="left"/>
      <w:pPr>
        <w:ind w:left="5760" w:hanging="360"/>
      </w:pPr>
      <w:rPr>
        <w:rFonts w:ascii="Courier New" w:hAnsi="Courier New" w:hint="default"/>
      </w:rPr>
    </w:lvl>
    <w:lvl w:ilvl="8" w:tplc="543E64D4">
      <w:start w:val="1"/>
      <w:numFmt w:val="bullet"/>
      <w:lvlText w:val=""/>
      <w:lvlJc w:val="left"/>
      <w:pPr>
        <w:ind w:left="6480" w:hanging="360"/>
      </w:pPr>
      <w:rPr>
        <w:rFonts w:ascii="Wingdings" w:hAnsi="Wingdings" w:hint="default"/>
      </w:rPr>
    </w:lvl>
  </w:abstractNum>
  <w:num w:numId="1">
    <w:abstractNumId w:val="84"/>
  </w:num>
  <w:num w:numId="2">
    <w:abstractNumId w:val="39"/>
  </w:num>
  <w:num w:numId="3">
    <w:abstractNumId w:val="36"/>
  </w:num>
  <w:num w:numId="4">
    <w:abstractNumId w:val="47"/>
  </w:num>
  <w:num w:numId="5">
    <w:abstractNumId w:val="34"/>
  </w:num>
  <w:num w:numId="6">
    <w:abstractNumId w:val="51"/>
  </w:num>
  <w:num w:numId="7">
    <w:abstractNumId w:val="45"/>
  </w:num>
  <w:num w:numId="8">
    <w:abstractNumId w:val="83"/>
  </w:num>
  <w:num w:numId="9">
    <w:abstractNumId w:val="83"/>
  </w:num>
  <w:num w:numId="10">
    <w:abstractNumId w:val="38"/>
  </w:num>
  <w:num w:numId="11">
    <w:abstractNumId w:val="65"/>
  </w:num>
  <w:num w:numId="12">
    <w:abstractNumId w:val="56"/>
  </w:num>
  <w:num w:numId="13">
    <w:abstractNumId w:val="49"/>
  </w:num>
  <w:num w:numId="14">
    <w:abstractNumId w:val="49"/>
  </w:num>
  <w:num w:numId="15">
    <w:abstractNumId w:val="49"/>
  </w:num>
  <w:num w:numId="16">
    <w:abstractNumId w:val="32"/>
  </w:num>
  <w:num w:numId="17">
    <w:abstractNumId w:val="68"/>
  </w:num>
  <w:num w:numId="18">
    <w:abstractNumId w:val="80"/>
  </w:num>
  <w:num w:numId="19">
    <w:abstractNumId w:val="65"/>
    <w:lvlOverride w:ilvl="0">
      <w:startOverride w:val="1"/>
    </w:lvlOverride>
  </w:num>
  <w:num w:numId="20">
    <w:abstractNumId w:val="72"/>
  </w:num>
  <w:num w:numId="21">
    <w:abstractNumId w:val="17"/>
  </w:num>
  <w:num w:numId="22">
    <w:abstractNumId w:val="0"/>
  </w:num>
  <w:num w:numId="23">
    <w:abstractNumId w:val="9"/>
  </w:num>
  <w:num w:numId="24">
    <w:abstractNumId w:val="21"/>
  </w:num>
  <w:num w:numId="25">
    <w:abstractNumId w:val="44"/>
  </w:num>
  <w:num w:numId="26">
    <w:abstractNumId w:val="69"/>
  </w:num>
  <w:num w:numId="27">
    <w:abstractNumId w:val="76"/>
  </w:num>
  <w:num w:numId="28">
    <w:abstractNumId w:val="77"/>
  </w:num>
  <w:num w:numId="29">
    <w:abstractNumId w:val="55"/>
  </w:num>
  <w:num w:numId="30">
    <w:abstractNumId w:val="14"/>
  </w:num>
  <w:num w:numId="31">
    <w:abstractNumId w:val="79"/>
  </w:num>
  <w:num w:numId="32">
    <w:abstractNumId w:val="63"/>
  </w:num>
  <w:num w:numId="33">
    <w:abstractNumId w:val="7"/>
  </w:num>
  <w:num w:numId="34">
    <w:abstractNumId w:val="37"/>
  </w:num>
  <w:num w:numId="35">
    <w:abstractNumId w:val="57"/>
  </w:num>
  <w:num w:numId="36">
    <w:abstractNumId w:val="29"/>
  </w:num>
  <w:num w:numId="37">
    <w:abstractNumId w:val="20"/>
  </w:num>
  <w:num w:numId="38">
    <w:abstractNumId w:val="61"/>
  </w:num>
  <w:num w:numId="39">
    <w:abstractNumId w:val="75"/>
  </w:num>
  <w:num w:numId="40">
    <w:abstractNumId w:val="1"/>
  </w:num>
  <w:num w:numId="41">
    <w:abstractNumId w:val="62"/>
  </w:num>
  <w:num w:numId="42">
    <w:abstractNumId w:val="26"/>
  </w:num>
  <w:num w:numId="43">
    <w:abstractNumId w:val="60"/>
  </w:num>
  <w:num w:numId="44">
    <w:abstractNumId w:val="27"/>
  </w:num>
  <w:num w:numId="45">
    <w:abstractNumId w:val="19"/>
  </w:num>
  <w:num w:numId="46">
    <w:abstractNumId w:val="82"/>
  </w:num>
  <w:num w:numId="47">
    <w:abstractNumId w:val="30"/>
  </w:num>
  <w:num w:numId="48">
    <w:abstractNumId w:val="23"/>
  </w:num>
  <w:num w:numId="49">
    <w:abstractNumId w:val="6"/>
  </w:num>
  <w:num w:numId="50">
    <w:abstractNumId w:val="33"/>
  </w:num>
  <w:num w:numId="51">
    <w:abstractNumId w:val="3"/>
  </w:num>
  <w:num w:numId="52">
    <w:abstractNumId w:val="52"/>
  </w:num>
  <w:num w:numId="53">
    <w:abstractNumId w:val="28"/>
  </w:num>
  <w:num w:numId="54">
    <w:abstractNumId w:val="64"/>
  </w:num>
  <w:num w:numId="55">
    <w:abstractNumId w:val="54"/>
  </w:num>
  <w:num w:numId="56">
    <w:abstractNumId w:val="58"/>
  </w:num>
  <w:num w:numId="57">
    <w:abstractNumId w:val="67"/>
  </w:num>
  <w:num w:numId="58">
    <w:abstractNumId w:val="41"/>
  </w:num>
  <w:num w:numId="59">
    <w:abstractNumId w:val="40"/>
  </w:num>
  <w:num w:numId="60">
    <w:abstractNumId w:val="74"/>
  </w:num>
  <w:num w:numId="61">
    <w:abstractNumId w:val="24"/>
  </w:num>
  <w:num w:numId="62">
    <w:abstractNumId w:val="35"/>
  </w:num>
  <w:num w:numId="63">
    <w:abstractNumId w:val="43"/>
  </w:num>
  <w:num w:numId="64">
    <w:abstractNumId w:val="66"/>
  </w:num>
  <w:num w:numId="65">
    <w:abstractNumId w:val="31"/>
  </w:num>
  <w:num w:numId="66">
    <w:abstractNumId w:val="50"/>
  </w:num>
  <w:num w:numId="67">
    <w:abstractNumId w:val="59"/>
  </w:num>
  <w:num w:numId="68">
    <w:abstractNumId w:val="8"/>
  </w:num>
  <w:num w:numId="69">
    <w:abstractNumId w:val="2"/>
  </w:num>
  <w:num w:numId="70">
    <w:abstractNumId w:val="48"/>
  </w:num>
  <w:num w:numId="71">
    <w:abstractNumId w:val="12"/>
  </w:num>
  <w:num w:numId="72">
    <w:abstractNumId w:val="4"/>
  </w:num>
  <w:num w:numId="73">
    <w:abstractNumId w:val="18"/>
  </w:num>
  <w:num w:numId="74">
    <w:abstractNumId w:val="70"/>
  </w:num>
  <w:num w:numId="75">
    <w:abstractNumId w:val="15"/>
  </w:num>
  <w:num w:numId="76">
    <w:abstractNumId w:val="81"/>
  </w:num>
  <w:num w:numId="77">
    <w:abstractNumId w:val="78"/>
  </w:num>
  <w:num w:numId="78">
    <w:abstractNumId w:val="25"/>
  </w:num>
  <w:num w:numId="79">
    <w:abstractNumId w:val="73"/>
  </w:num>
  <w:num w:numId="80">
    <w:abstractNumId w:val="5"/>
  </w:num>
  <w:num w:numId="81">
    <w:abstractNumId w:val="49"/>
  </w:num>
  <w:num w:numId="82">
    <w:abstractNumId w:val="49"/>
  </w:num>
  <w:num w:numId="83">
    <w:abstractNumId w:val="13"/>
  </w:num>
  <w:num w:numId="84">
    <w:abstractNumId w:val="71"/>
  </w:num>
  <w:num w:numId="85">
    <w:abstractNumId w:val="16"/>
  </w:num>
  <w:num w:numId="86">
    <w:abstractNumId w:val="22"/>
  </w:num>
  <w:num w:numId="87">
    <w:abstractNumId w:val="10"/>
  </w:num>
  <w:num w:numId="88">
    <w:abstractNumId w:val="53"/>
  </w:num>
  <w:num w:numId="89">
    <w:abstractNumId w:val="46"/>
  </w:num>
  <w:num w:numId="90">
    <w:abstractNumId w:val="45"/>
  </w:num>
  <w:num w:numId="91">
    <w:abstractNumId w:val="45"/>
  </w:num>
  <w:num w:numId="92">
    <w:abstractNumId w:val="45"/>
  </w:num>
  <w:num w:numId="93">
    <w:abstractNumId w:val="11"/>
  </w:num>
  <w:num w:numId="94">
    <w:abstractNumId w:val="42"/>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stylePaneSortMethod w:val="0000"/>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5B8"/>
    <w:rsid w:val="000001E7"/>
    <w:rsid w:val="000003A7"/>
    <w:rsid w:val="00000486"/>
    <w:rsid w:val="00000539"/>
    <w:rsid w:val="000006EF"/>
    <w:rsid w:val="00000867"/>
    <w:rsid w:val="0000092D"/>
    <w:rsid w:val="00000E5C"/>
    <w:rsid w:val="0000115C"/>
    <w:rsid w:val="000012C0"/>
    <w:rsid w:val="000014F5"/>
    <w:rsid w:val="00001C28"/>
    <w:rsid w:val="00001F4E"/>
    <w:rsid w:val="000020B8"/>
    <w:rsid w:val="000021D3"/>
    <w:rsid w:val="000021F5"/>
    <w:rsid w:val="000024B1"/>
    <w:rsid w:val="00002B3B"/>
    <w:rsid w:val="00002DB7"/>
    <w:rsid w:val="00002DD4"/>
    <w:rsid w:val="000032E9"/>
    <w:rsid w:val="00003851"/>
    <w:rsid w:val="000038E4"/>
    <w:rsid w:val="00003D4B"/>
    <w:rsid w:val="00003FE9"/>
    <w:rsid w:val="0000426A"/>
    <w:rsid w:val="000047C6"/>
    <w:rsid w:val="0000579D"/>
    <w:rsid w:val="000057BA"/>
    <w:rsid w:val="000057DB"/>
    <w:rsid w:val="00005AD6"/>
    <w:rsid w:val="00005BC5"/>
    <w:rsid w:val="00005C80"/>
    <w:rsid w:val="00006009"/>
    <w:rsid w:val="000061DA"/>
    <w:rsid w:val="00006406"/>
    <w:rsid w:val="00006542"/>
    <w:rsid w:val="0000701F"/>
    <w:rsid w:val="000070F6"/>
    <w:rsid w:val="00007197"/>
    <w:rsid w:val="00007393"/>
    <w:rsid w:val="000078A9"/>
    <w:rsid w:val="000101FA"/>
    <w:rsid w:val="000104DE"/>
    <w:rsid w:val="00010AF9"/>
    <w:rsid w:val="00010DFB"/>
    <w:rsid w:val="000116F3"/>
    <w:rsid w:val="00011AD1"/>
    <w:rsid w:val="00011CDF"/>
    <w:rsid w:val="00011F10"/>
    <w:rsid w:val="00011FD5"/>
    <w:rsid w:val="000125D5"/>
    <w:rsid w:val="00012847"/>
    <w:rsid w:val="000128E5"/>
    <w:rsid w:val="000132C1"/>
    <w:rsid w:val="000134D0"/>
    <w:rsid w:val="00013511"/>
    <w:rsid w:val="00013FC5"/>
    <w:rsid w:val="0001432F"/>
    <w:rsid w:val="00014B5C"/>
    <w:rsid w:val="000150D5"/>
    <w:rsid w:val="0001528D"/>
    <w:rsid w:val="000154E1"/>
    <w:rsid w:val="000158C6"/>
    <w:rsid w:val="000159AD"/>
    <w:rsid w:val="00015D2A"/>
    <w:rsid w:val="00015E6D"/>
    <w:rsid w:val="00015FA8"/>
    <w:rsid w:val="0001615B"/>
    <w:rsid w:val="00016903"/>
    <w:rsid w:val="00016F97"/>
    <w:rsid w:val="0001728B"/>
    <w:rsid w:val="00017445"/>
    <w:rsid w:val="00017742"/>
    <w:rsid w:val="0001777F"/>
    <w:rsid w:val="00017905"/>
    <w:rsid w:val="00017E4D"/>
    <w:rsid w:val="0002005F"/>
    <w:rsid w:val="000202C4"/>
    <w:rsid w:val="000204C8"/>
    <w:rsid w:val="00021151"/>
    <w:rsid w:val="00021837"/>
    <w:rsid w:val="000218FD"/>
    <w:rsid w:val="00021A83"/>
    <w:rsid w:val="00021DB8"/>
    <w:rsid w:val="00021E07"/>
    <w:rsid w:val="00022AF5"/>
    <w:rsid w:val="00023198"/>
    <w:rsid w:val="000234BB"/>
    <w:rsid w:val="0002358B"/>
    <w:rsid w:val="00023671"/>
    <w:rsid w:val="00023886"/>
    <w:rsid w:val="00023FDA"/>
    <w:rsid w:val="000242C3"/>
    <w:rsid w:val="000243B1"/>
    <w:rsid w:val="00024549"/>
    <w:rsid w:val="000245AA"/>
    <w:rsid w:val="00024A73"/>
    <w:rsid w:val="00025A5E"/>
    <w:rsid w:val="00025BA1"/>
    <w:rsid w:val="0002600D"/>
    <w:rsid w:val="00026089"/>
    <w:rsid w:val="000266E8"/>
    <w:rsid w:val="00026830"/>
    <w:rsid w:val="00026934"/>
    <w:rsid w:val="00026AD1"/>
    <w:rsid w:val="00026CAF"/>
    <w:rsid w:val="00027004"/>
    <w:rsid w:val="00027345"/>
    <w:rsid w:val="00027386"/>
    <w:rsid w:val="000273D3"/>
    <w:rsid w:val="000278B2"/>
    <w:rsid w:val="00027996"/>
    <w:rsid w:val="00027BC3"/>
    <w:rsid w:val="00027F5C"/>
    <w:rsid w:val="00030B3C"/>
    <w:rsid w:val="0003135B"/>
    <w:rsid w:val="000313A4"/>
    <w:rsid w:val="00031476"/>
    <w:rsid w:val="000314A9"/>
    <w:rsid w:val="00031514"/>
    <w:rsid w:val="0003151F"/>
    <w:rsid w:val="000316CE"/>
    <w:rsid w:val="0003178E"/>
    <w:rsid w:val="00031AFB"/>
    <w:rsid w:val="00032147"/>
    <w:rsid w:val="00032175"/>
    <w:rsid w:val="000322A0"/>
    <w:rsid w:val="000322F6"/>
    <w:rsid w:val="00032A13"/>
    <w:rsid w:val="00033FC0"/>
    <w:rsid w:val="00035049"/>
    <w:rsid w:val="000351C8"/>
    <w:rsid w:val="000358F3"/>
    <w:rsid w:val="000360C2"/>
    <w:rsid w:val="00036A1E"/>
    <w:rsid w:val="00036BBD"/>
    <w:rsid w:val="00036CBD"/>
    <w:rsid w:val="00036E03"/>
    <w:rsid w:val="00037001"/>
    <w:rsid w:val="000374AC"/>
    <w:rsid w:val="000376FE"/>
    <w:rsid w:val="000404C4"/>
    <w:rsid w:val="000406E7"/>
    <w:rsid w:val="00040C7D"/>
    <w:rsid w:val="00040D23"/>
    <w:rsid w:val="00040F43"/>
    <w:rsid w:val="000412CE"/>
    <w:rsid w:val="000413D0"/>
    <w:rsid w:val="00041E67"/>
    <w:rsid w:val="0004207E"/>
    <w:rsid w:val="000420B5"/>
    <w:rsid w:val="00042123"/>
    <w:rsid w:val="000423B1"/>
    <w:rsid w:val="00042BFC"/>
    <w:rsid w:val="00042C60"/>
    <w:rsid w:val="00042D9D"/>
    <w:rsid w:val="00042E0D"/>
    <w:rsid w:val="0004345F"/>
    <w:rsid w:val="00043C2F"/>
    <w:rsid w:val="000441A6"/>
    <w:rsid w:val="0004422D"/>
    <w:rsid w:val="000443C5"/>
    <w:rsid w:val="00045307"/>
    <w:rsid w:val="000455CD"/>
    <w:rsid w:val="00045628"/>
    <w:rsid w:val="00045AE3"/>
    <w:rsid w:val="00045BC5"/>
    <w:rsid w:val="00045F4B"/>
    <w:rsid w:val="000460DC"/>
    <w:rsid w:val="000463EE"/>
    <w:rsid w:val="00046724"/>
    <w:rsid w:val="00046C2A"/>
    <w:rsid w:val="000471D3"/>
    <w:rsid w:val="00047250"/>
    <w:rsid w:val="00047284"/>
    <w:rsid w:val="00047420"/>
    <w:rsid w:val="000476F6"/>
    <w:rsid w:val="0004777C"/>
    <w:rsid w:val="00047B70"/>
    <w:rsid w:val="00050801"/>
    <w:rsid w:val="00050E25"/>
    <w:rsid w:val="00050EAA"/>
    <w:rsid w:val="00050EB9"/>
    <w:rsid w:val="00050FD1"/>
    <w:rsid w:val="00050FF7"/>
    <w:rsid w:val="000513B3"/>
    <w:rsid w:val="0005255E"/>
    <w:rsid w:val="00052B3A"/>
    <w:rsid w:val="00052BD7"/>
    <w:rsid w:val="00053121"/>
    <w:rsid w:val="0005321F"/>
    <w:rsid w:val="0005351A"/>
    <w:rsid w:val="00053551"/>
    <w:rsid w:val="00053B5F"/>
    <w:rsid w:val="00053FD3"/>
    <w:rsid w:val="0005452A"/>
    <w:rsid w:val="0005460D"/>
    <w:rsid w:val="000547A3"/>
    <w:rsid w:val="000549D4"/>
    <w:rsid w:val="0005557D"/>
    <w:rsid w:val="00055764"/>
    <w:rsid w:val="00055E58"/>
    <w:rsid w:val="00055E98"/>
    <w:rsid w:val="000565FE"/>
    <w:rsid w:val="0005677E"/>
    <w:rsid w:val="000568A5"/>
    <w:rsid w:val="00056932"/>
    <w:rsid w:val="00056B64"/>
    <w:rsid w:val="00057189"/>
    <w:rsid w:val="00057533"/>
    <w:rsid w:val="00057E09"/>
    <w:rsid w:val="000603D5"/>
    <w:rsid w:val="00060838"/>
    <w:rsid w:val="00060D4F"/>
    <w:rsid w:val="000611AD"/>
    <w:rsid w:val="00061DB4"/>
    <w:rsid w:val="0006214F"/>
    <w:rsid w:val="000622DB"/>
    <w:rsid w:val="000625A6"/>
    <w:rsid w:val="000625BB"/>
    <w:rsid w:val="000625C0"/>
    <w:rsid w:val="00062A19"/>
    <w:rsid w:val="00062EE6"/>
    <w:rsid w:val="000633B9"/>
    <w:rsid w:val="00063477"/>
    <w:rsid w:val="00063681"/>
    <w:rsid w:val="00064AE4"/>
    <w:rsid w:val="000651B4"/>
    <w:rsid w:val="0006556D"/>
    <w:rsid w:val="00065731"/>
    <w:rsid w:val="00065A0F"/>
    <w:rsid w:val="00065A11"/>
    <w:rsid w:val="00065AA2"/>
    <w:rsid w:val="00066213"/>
    <w:rsid w:val="000663C0"/>
    <w:rsid w:val="00066422"/>
    <w:rsid w:val="00066424"/>
    <w:rsid w:val="00066567"/>
    <w:rsid w:val="00066751"/>
    <w:rsid w:val="00066AF0"/>
    <w:rsid w:val="00066F1E"/>
    <w:rsid w:val="000672E3"/>
    <w:rsid w:val="000674E1"/>
    <w:rsid w:val="000676F1"/>
    <w:rsid w:val="0006772F"/>
    <w:rsid w:val="0006795C"/>
    <w:rsid w:val="00067FC2"/>
    <w:rsid w:val="00070037"/>
    <w:rsid w:val="00070052"/>
    <w:rsid w:val="000702B0"/>
    <w:rsid w:val="000707B7"/>
    <w:rsid w:val="00070921"/>
    <w:rsid w:val="00070AFB"/>
    <w:rsid w:val="00070FE3"/>
    <w:rsid w:val="0007168A"/>
    <w:rsid w:val="00071794"/>
    <w:rsid w:val="000717CB"/>
    <w:rsid w:val="00071AB0"/>
    <w:rsid w:val="00071C08"/>
    <w:rsid w:val="00071EA5"/>
    <w:rsid w:val="000724A3"/>
    <w:rsid w:val="000724B9"/>
    <w:rsid w:val="00072516"/>
    <w:rsid w:val="0007267B"/>
    <w:rsid w:val="000726F6"/>
    <w:rsid w:val="0007271D"/>
    <w:rsid w:val="000729FD"/>
    <w:rsid w:val="00072A59"/>
    <w:rsid w:val="00072A91"/>
    <w:rsid w:val="00072F2B"/>
    <w:rsid w:val="0007344E"/>
    <w:rsid w:val="0007379E"/>
    <w:rsid w:val="00073944"/>
    <w:rsid w:val="00073971"/>
    <w:rsid w:val="0007415F"/>
    <w:rsid w:val="00074950"/>
    <w:rsid w:val="00074B45"/>
    <w:rsid w:val="00074CDC"/>
    <w:rsid w:val="0007511D"/>
    <w:rsid w:val="0007548B"/>
    <w:rsid w:val="0007570B"/>
    <w:rsid w:val="0007583F"/>
    <w:rsid w:val="00075C70"/>
    <w:rsid w:val="00075CEF"/>
    <w:rsid w:val="00076270"/>
    <w:rsid w:val="00076484"/>
    <w:rsid w:val="00076956"/>
    <w:rsid w:val="000769E6"/>
    <w:rsid w:val="00076B05"/>
    <w:rsid w:val="00076C12"/>
    <w:rsid w:val="00076CC0"/>
    <w:rsid w:val="00076DEA"/>
    <w:rsid w:val="00077268"/>
    <w:rsid w:val="0007730C"/>
    <w:rsid w:val="00077B62"/>
    <w:rsid w:val="00077B72"/>
    <w:rsid w:val="00077F5A"/>
    <w:rsid w:val="000803B5"/>
    <w:rsid w:val="00080492"/>
    <w:rsid w:val="000804A4"/>
    <w:rsid w:val="00080A12"/>
    <w:rsid w:val="00080A2B"/>
    <w:rsid w:val="00080BD1"/>
    <w:rsid w:val="00080BD5"/>
    <w:rsid w:val="00080DB7"/>
    <w:rsid w:val="00080DDD"/>
    <w:rsid w:val="00080F52"/>
    <w:rsid w:val="000817BC"/>
    <w:rsid w:val="00081E8E"/>
    <w:rsid w:val="00081EEF"/>
    <w:rsid w:val="000821E1"/>
    <w:rsid w:val="000821FF"/>
    <w:rsid w:val="00082570"/>
    <w:rsid w:val="00082B86"/>
    <w:rsid w:val="00082CDE"/>
    <w:rsid w:val="000839F7"/>
    <w:rsid w:val="00083FD1"/>
    <w:rsid w:val="0008459B"/>
    <w:rsid w:val="0008597D"/>
    <w:rsid w:val="00085F0D"/>
    <w:rsid w:val="0008606A"/>
    <w:rsid w:val="000865B6"/>
    <w:rsid w:val="00086793"/>
    <w:rsid w:val="0008685A"/>
    <w:rsid w:val="00086D7F"/>
    <w:rsid w:val="00087807"/>
    <w:rsid w:val="0008789C"/>
    <w:rsid w:val="00087B3C"/>
    <w:rsid w:val="00087D3F"/>
    <w:rsid w:val="000903A5"/>
    <w:rsid w:val="00090993"/>
    <w:rsid w:val="00090A4D"/>
    <w:rsid w:val="00090CE5"/>
    <w:rsid w:val="00090DA0"/>
    <w:rsid w:val="00091422"/>
    <w:rsid w:val="000914C2"/>
    <w:rsid w:val="00091963"/>
    <w:rsid w:val="00091E3E"/>
    <w:rsid w:val="00092335"/>
    <w:rsid w:val="00092352"/>
    <w:rsid w:val="0009248D"/>
    <w:rsid w:val="00092B86"/>
    <w:rsid w:val="00093026"/>
    <w:rsid w:val="00093E72"/>
    <w:rsid w:val="000943C4"/>
    <w:rsid w:val="00094951"/>
    <w:rsid w:val="00094A64"/>
    <w:rsid w:val="000955A3"/>
    <w:rsid w:val="0009600D"/>
    <w:rsid w:val="00096402"/>
    <w:rsid w:val="00096E15"/>
    <w:rsid w:val="00097830"/>
    <w:rsid w:val="00097945"/>
    <w:rsid w:val="00097963"/>
    <w:rsid w:val="000979A1"/>
    <w:rsid w:val="00097AD8"/>
    <w:rsid w:val="000A0295"/>
    <w:rsid w:val="000A0560"/>
    <w:rsid w:val="000A05E4"/>
    <w:rsid w:val="000A05EC"/>
    <w:rsid w:val="000A08D1"/>
    <w:rsid w:val="000A09F6"/>
    <w:rsid w:val="000A1112"/>
    <w:rsid w:val="000A135E"/>
    <w:rsid w:val="000A1831"/>
    <w:rsid w:val="000A19A4"/>
    <w:rsid w:val="000A1A8F"/>
    <w:rsid w:val="000A1DCA"/>
    <w:rsid w:val="000A20B2"/>
    <w:rsid w:val="000A2336"/>
    <w:rsid w:val="000A2F2A"/>
    <w:rsid w:val="000A3197"/>
    <w:rsid w:val="000A36DE"/>
    <w:rsid w:val="000A3AC9"/>
    <w:rsid w:val="000A3B48"/>
    <w:rsid w:val="000A3D6A"/>
    <w:rsid w:val="000A4128"/>
    <w:rsid w:val="000A4533"/>
    <w:rsid w:val="000A46C0"/>
    <w:rsid w:val="000A47B1"/>
    <w:rsid w:val="000A48F2"/>
    <w:rsid w:val="000A4D2B"/>
    <w:rsid w:val="000A519B"/>
    <w:rsid w:val="000A57FC"/>
    <w:rsid w:val="000A5D0F"/>
    <w:rsid w:val="000A68A5"/>
    <w:rsid w:val="000A690D"/>
    <w:rsid w:val="000A69F6"/>
    <w:rsid w:val="000A6C00"/>
    <w:rsid w:val="000A6CD2"/>
    <w:rsid w:val="000A712F"/>
    <w:rsid w:val="000A7852"/>
    <w:rsid w:val="000A7DC5"/>
    <w:rsid w:val="000B0259"/>
    <w:rsid w:val="000B04E6"/>
    <w:rsid w:val="000B0998"/>
    <w:rsid w:val="000B0D51"/>
    <w:rsid w:val="000B1249"/>
    <w:rsid w:val="000B17CF"/>
    <w:rsid w:val="000B1830"/>
    <w:rsid w:val="000B19A6"/>
    <w:rsid w:val="000B1FDA"/>
    <w:rsid w:val="000B1FFD"/>
    <w:rsid w:val="000B233A"/>
    <w:rsid w:val="000B2D01"/>
    <w:rsid w:val="000B303B"/>
    <w:rsid w:val="000B3AC4"/>
    <w:rsid w:val="000B4020"/>
    <w:rsid w:val="000B546E"/>
    <w:rsid w:val="000B56DF"/>
    <w:rsid w:val="000B5BC5"/>
    <w:rsid w:val="000B5E4A"/>
    <w:rsid w:val="000B6019"/>
    <w:rsid w:val="000B614F"/>
    <w:rsid w:val="000B6579"/>
    <w:rsid w:val="000B6FCC"/>
    <w:rsid w:val="000B71B4"/>
    <w:rsid w:val="000B75AA"/>
    <w:rsid w:val="000B77CD"/>
    <w:rsid w:val="000B78AA"/>
    <w:rsid w:val="000C02BB"/>
    <w:rsid w:val="000C036A"/>
    <w:rsid w:val="000C064E"/>
    <w:rsid w:val="000C06E0"/>
    <w:rsid w:val="000C098E"/>
    <w:rsid w:val="000C0BA8"/>
    <w:rsid w:val="000C0F5A"/>
    <w:rsid w:val="000C1579"/>
    <w:rsid w:val="000C1A07"/>
    <w:rsid w:val="000C1A09"/>
    <w:rsid w:val="000C260B"/>
    <w:rsid w:val="000C3616"/>
    <w:rsid w:val="000C431C"/>
    <w:rsid w:val="000C43CD"/>
    <w:rsid w:val="000C50A8"/>
    <w:rsid w:val="000C5BE5"/>
    <w:rsid w:val="000C5EEB"/>
    <w:rsid w:val="000C5F78"/>
    <w:rsid w:val="000C620A"/>
    <w:rsid w:val="000C6CB6"/>
    <w:rsid w:val="000C78ED"/>
    <w:rsid w:val="000C791A"/>
    <w:rsid w:val="000C7A6F"/>
    <w:rsid w:val="000C7C92"/>
    <w:rsid w:val="000C7DD0"/>
    <w:rsid w:val="000D027E"/>
    <w:rsid w:val="000D0828"/>
    <w:rsid w:val="000D08EC"/>
    <w:rsid w:val="000D0F55"/>
    <w:rsid w:val="000D1112"/>
    <w:rsid w:val="000D19D5"/>
    <w:rsid w:val="000D1A08"/>
    <w:rsid w:val="000D1B87"/>
    <w:rsid w:val="000D1DF3"/>
    <w:rsid w:val="000D1DF9"/>
    <w:rsid w:val="000D1E41"/>
    <w:rsid w:val="000D1ECD"/>
    <w:rsid w:val="000D2518"/>
    <w:rsid w:val="000D3039"/>
    <w:rsid w:val="000D326D"/>
    <w:rsid w:val="000D349E"/>
    <w:rsid w:val="000D3624"/>
    <w:rsid w:val="000D377E"/>
    <w:rsid w:val="000D3BAB"/>
    <w:rsid w:val="000D4501"/>
    <w:rsid w:val="000D4732"/>
    <w:rsid w:val="000D4A01"/>
    <w:rsid w:val="000D4C23"/>
    <w:rsid w:val="000D4DF6"/>
    <w:rsid w:val="000D4F50"/>
    <w:rsid w:val="000D5149"/>
    <w:rsid w:val="000D5180"/>
    <w:rsid w:val="000D53CF"/>
    <w:rsid w:val="000D5541"/>
    <w:rsid w:val="000D5691"/>
    <w:rsid w:val="000D5AD3"/>
    <w:rsid w:val="000D5BAD"/>
    <w:rsid w:val="000D5D39"/>
    <w:rsid w:val="000D68BD"/>
    <w:rsid w:val="000D69CC"/>
    <w:rsid w:val="000D7343"/>
    <w:rsid w:val="000D7479"/>
    <w:rsid w:val="000D7644"/>
    <w:rsid w:val="000D772C"/>
    <w:rsid w:val="000D7A87"/>
    <w:rsid w:val="000E01A9"/>
    <w:rsid w:val="000E1161"/>
    <w:rsid w:val="000E1180"/>
    <w:rsid w:val="000E139D"/>
    <w:rsid w:val="000E1A38"/>
    <w:rsid w:val="000E1E7E"/>
    <w:rsid w:val="000E2246"/>
    <w:rsid w:val="000E2675"/>
    <w:rsid w:val="000E269F"/>
    <w:rsid w:val="000E27A1"/>
    <w:rsid w:val="000E2C94"/>
    <w:rsid w:val="000E32F2"/>
    <w:rsid w:val="000E357B"/>
    <w:rsid w:val="000E3734"/>
    <w:rsid w:val="000E38FC"/>
    <w:rsid w:val="000E3A44"/>
    <w:rsid w:val="000E4328"/>
    <w:rsid w:val="000E49BE"/>
    <w:rsid w:val="000E4B5E"/>
    <w:rsid w:val="000E4FC0"/>
    <w:rsid w:val="000E5A6B"/>
    <w:rsid w:val="000E5FDD"/>
    <w:rsid w:val="000E648E"/>
    <w:rsid w:val="000E6C1D"/>
    <w:rsid w:val="000E6D56"/>
    <w:rsid w:val="000E6EB6"/>
    <w:rsid w:val="000E7466"/>
    <w:rsid w:val="000E7834"/>
    <w:rsid w:val="000E7A87"/>
    <w:rsid w:val="000F06D4"/>
    <w:rsid w:val="000F0732"/>
    <w:rsid w:val="000F0CBD"/>
    <w:rsid w:val="000F0D56"/>
    <w:rsid w:val="000F0D94"/>
    <w:rsid w:val="000F14BE"/>
    <w:rsid w:val="000F153E"/>
    <w:rsid w:val="000F19C1"/>
    <w:rsid w:val="000F19D5"/>
    <w:rsid w:val="000F1BA4"/>
    <w:rsid w:val="000F1F70"/>
    <w:rsid w:val="000F29F6"/>
    <w:rsid w:val="000F2C94"/>
    <w:rsid w:val="000F3355"/>
    <w:rsid w:val="000F370E"/>
    <w:rsid w:val="000F3758"/>
    <w:rsid w:val="000F37B4"/>
    <w:rsid w:val="000F3871"/>
    <w:rsid w:val="000F3AC1"/>
    <w:rsid w:val="000F4821"/>
    <w:rsid w:val="000F5F80"/>
    <w:rsid w:val="000F5FA9"/>
    <w:rsid w:val="000F641F"/>
    <w:rsid w:val="000F6505"/>
    <w:rsid w:val="000F6595"/>
    <w:rsid w:val="000F741A"/>
    <w:rsid w:val="000F7729"/>
    <w:rsid w:val="000F7AB5"/>
    <w:rsid w:val="000F7DC9"/>
    <w:rsid w:val="000F7DE9"/>
    <w:rsid w:val="00100F78"/>
    <w:rsid w:val="00100FA2"/>
    <w:rsid w:val="0010131E"/>
    <w:rsid w:val="0010166C"/>
    <w:rsid w:val="001018C1"/>
    <w:rsid w:val="00101A76"/>
    <w:rsid w:val="001022F6"/>
    <w:rsid w:val="0010242B"/>
    <w:rsid w:val="001027AC"/>
    <w:rsid w:val="00102966"/>
    <w:rsid w:val="00102F5F"/>
    <w:rsid w:val="00103618"/>
    <w:rsid w:val="0010398A"/>
    <w:rsid w:val="001039CA"/>
    <w:rsid w:val="00103B95"/>
    <w:rsid w:val="00103DE3"/>
    <w:rsid w:val="00104092"/>
    <w:rsid w:val="00104145"/>
    <w:rsid w:val="00104BE5"/>
    <w:rsid w:val="00104DD4"/>
    <w:rsid w:val="0010582B"/>
    <w:rsid w:val="00105AE0"/>
    <w:rsid w:val="0010634A"/>
    <w:rsid w:val="001065CE"/>
    <w:rsid w:val="00106769"/>
    <w:rsid w:val="001067FD"/>
    <w:rsid w:val="001069FA"/>
    <w:rsid w:val="00106FC5"/>
    <w:rsid w:val="00107A15"/>
    <w:rsid w:val="00107D45"/>
    <w:rsid w:val="00107F9D"/>
    <w:rsid w:val="00110341"/>
    <w:rsid w:val="0011050F"/>
    <w:rsid w:val="00111391"/>
    <w:rsid w:val="001116E1"/>
    <w:rsid w:val="0011179D"/>
    <w:rsid w:val="00111ADB"/>
    <w:rsid w:val="00112131"/>
    <w:rsid w:val="001126BF"/>
    <w:rsid w:val="00112738"/>
    <w:rsid w:val="00112CB8"/>
    <w:rsid w:val="00113366"/>
    <w:rsid w:val="0011350E"/>
    <w:rsid w:val="001135A2"/>
    <w:rsid w:val="00113760"/>
    <w:rsid w:val="00113827"/>
    <w:rsid w:val="00113ACA"/>
    <w:rsid w:val="00113E90"/>
    <w:rsid w:val="0011440E"/>
    <w:rsid w:val="00115008"/>
    <w:rsid w:val="001154E5"/>
    <w:rsid w:val="0011550E"/>
    <w:rsid w:val="00115534"/>
    <w:rsid w:val="0011559A"/>
    <w:rsid w:val="0011651C"/>
    <w:rsid w:val="00116C41"/>
    <w:rsid w:val="00120278"/>
    <w:rsid w:val="0012057F"/>
    <w:rsid w:val="00120647"/>
    <w:rsid w:val="00120B80"/>
    <w:rsid w:val="001217E6"/>
    <w:rsid w:val="001219D4"/>
    <w:rsid w:val="00121C22"/>
    <w:rsid w:val="00121DC0"/>
    <w:rsid w:val="0012207B"/>
    <w:rsid w:val="00122D31"/>
    <w:rsid w:val="001233DF"/>
    <w:rsid w:val="00123468"/>
    <w:rsid w:val="00123AFB"/>
    <w:rsid w:val="001241AB"/>
    <w:rsid w:val="00124629"/>
    <w:rsid w:val="00124D06"/>
    <w:rsid w:val="00125458"/>
    <w:rsid w:val="00125848"/>
    <w:rsid w:val="001259E0"/>
    <w:rsid w:val="00125C08"/>
    <w:rsid w:val="00125DF4"/>
    <w:rsid w:val="00125F41"/>
    <w:rsid w:val="001260E4"/>
    <w:rsid w:val="0012692B"/>
    <w:rsid w:val="00127BE6"/>
    <w:rsid w:val="00127D47"/>
    <w:rsid w:val="00127E9D"/>
    <w:rsid w:val="00127EFF"/>
    <w:rsid w:val="0013034A"/>
    <w:rsid w:val="00130848"/>
    <w:rsid w:val="00130C7F"/>
    <w:rsid w:val="00130DBE"/>
    <w:rsid w:val="001313B9"/>
    <w:rsid w:val="0013157A"/>
    <w:rsid w:val="00131931"/>
    <w:rsid w:val="0013217E"/>
    <w:rsid w:val="00132648"/>
    <w:rsid w:val="0013306F"/>
    <w:rsid w:val="0013311E"/>
    <w:rsid w:val="001332AA"/>
    <w:rsid w:val="00133AA6"/>
    <w:rsid w:val="00133FED"/>
    <w:rsid w:val="00134142"/>
    <w:rsid w:val="00134323"/>
    <w:rsid w:val="00134848"/>
    <w:rsid w:val="00134865"/>
    <w:rsid w:val="0013495E"/>
    <w:rsid w:val="00134E1E"/>
    <w:rsid w:val="00134FB3"/>
    <w:rsid w:val="00135195"/>
    <w:rsid w:val="001351C2"/>
    <w:rsid w:val="00135266"/>
    <w:rsid w:val="001352E2"/>
    <w:rsid w:val="001352F9"/>
    <w:rsid w:val="0013550B"/>
    <w:rsid w:val="00135A95"/>
    <w:rsid w:val="00136D17"/>
    <w:rsid w:val="00136D84"/>
    <w:rsid w:val="00136E9E"/>
    <w:rsid w:val="00136FF5"/>
    <w:rsid w:val="00137150"/>
    <w:rsid w:val="0013722F"/>
    <w:rsid w:val="0013766A"/>
    <w:rsid w:val="001376B2"/>
    <w:rsid w:val="0013787E"/>
    <w:rsid w:val="00137EB4"/>
    <w:rsid w:val="00140AF2"/>
    <w:rsid w:val="0014101A"/>
    <w:rsid w:val="001410BF"/>
    <w:rsid w:val="001414D1"/>
    <w:rsid w:val="00141558"/>
    <w:rsid w:val="00141F1D"/>
    <w:rsid w:val="0014200F"/>
    <w:rsid w:val="0014220F"/>
    <w:rsid w:val="001423A2"/>
    <w:rsid w:val="001431A2"/>
    <w:rsid w:val="00143B58"/>
    <w:rsid w:val="00143D16"/>
    <w:rsid w:val="00144411"/>
    <w:rsid w:val="00145779"/>
    <w:rsid w:val="00145AD5"/>
    <w:rsid w:val="00145C14"/>
    <w:rsid w:val="00145E89"/>
    <w:rsid w:val="00146572"/>
    <w:rsid w:val="00147146"/>
    <w:rsid w:val="00147340"/>
    <w:rsid w:val="00147375"/>
    <w:rsid w:val="001477E4"/>
    <w:rsid w:val="00147F6E"/>
    <w:rsid w:val="0015036F"/>
    <w:rsid w:val="00150375"/>
    <w:rsid w:val="0015064F"/>
    <w:rsid w:val="001506DF"/>
    <w:rsid w:val="001508D8"/>
    <w:rsid w:val="00150CC3"/>
    <w:rsid w:val="00150E75"/>
    <w:rsid w:val="00150F53"/>
    <w:rsid w:val="00150F84"/>
    <w:rsid w:val="00151005"/>
    <w:rsid w:val="00151430"/>
    <w:rsid w:val="0015162C"/>
    <w:rsid w:val="00151949"/>
    <w:rsid w:val="00151DD1"/>
    <w:rsid w:val="00152626"/>
    <w:rsid w:val="0015287A"/>
    <w:rsid w:val="001530CB"/>
    <w:rsid w:val="0015353E"/>
    <w:rsid w:val="00153B36"/>
    <w:rsid w:val="001542DE"/>
    <w:rsid w:val="00154420"/>
    <w:rsid w:val="0015455D"/>
    <w:rsid w:val="00154CC6"/>
    <w:rsid w:val="00154E08"/>
    <w:rsid w:val="0015538D"/>
    <w:rsid w:val="0015561F"/>
    <w:rsid w:val="001556F4"/>
    <w:rsid w:val="00155706"/>
    <w:rsid w:val="00156118"/>
    <w:rsid w:val="0015627E"/>
    <w:rsid w:val="001564C6"/>
    <w:rsid w:val="001566A5"/>
    <w:rsid w:val="00156BF7"/>
    <w:rsid w:val="00156C9C"/>
    <w:rsid w:val="00156CD4"/>
    <w:rsid w:val="00156F49"/>
    <w:rsid w:val="00157129"/>
    <w:rsid w:val="0015776C"/>
    <w:rsid w:val="001577DC"/>
    <w:rsid w:val="0015784F"/>
    <w:rsid w:val="001578DE"/>
    <w:rsid w:val="00157AE0"/>
    <w:rsid w:val="00157E05"/>
    <w:rsid w:val="00160197"/>
    <w:rsid w:val="00160391"/>
    <w:rsid w:val="00160692"/>
    <w:rsid w:val="001607A3"/>
    <w:rsid w:val="00160A7C"/>
    <w:rsid w:val="00160C90"/>
    <w:rsid w:val="00160D4A"/>
    <w:rsid w:val="0016123A"/>
    <w:rsid w:val="00161451"/>
    <w:rsid w:val="001626D8"/>
    <w:rsid w:val="0016274D"/>
    <w:rsid w:val="00162853"/>
    <w:rsid w:val="00162F9E"/>
    <w:rsid w:val="001631D3"/>
    <w:rsid w:val="0016331C"/>
    <w:rsid w:val="00163628"/>
    <w:rsid w:val="0016394E"/>
    <w:rsid w:val="00163E15"/>
    <w:rsid w:val="00163E29"/>
    <w:rsid w:val="00163E32"/>
    <w:rsid w:val="00163F82"/>
    <w:rsid w:val="001643D9"/>
    <w:rsid w:val="001647A8"/>
    <w:rsid w:val="00164826"/>
    <w:rsid w:val="0016498E"/>
    <w:rsid w:val="001651DA"/>
    <w:rsid w:val="001654A9"/>
    <w:rsid w:val="001654E3"/>
    <w:rsid w:val="00165590"/>
    <w:rsid w:val="00165A55"/>
    <w:rsid w:val="00165ACC"/>
    <w:rsid w:val="0016658A"/>
    <w:rsid w:val="00166B5D"/>
    <w:rsid w:val="00166F9B"/>
    <w:rsid w:val="00167235"/>
    <w:rsid w:val="00167250"/>
    <w:rsid w:val="00167E18"/>
    <w:rsid w:val="00170044"/>
    <w:rsid w:val="00170246"/>
    <w:rsid w:val="001702DC"/>
    <w:rsid w:val="001707C0"/>
    <w:rsid w:val="001709B7"/>
    <w:rsid w:val="00171066"/>
    <w:rsid w:val="001711CA"/>
    <w:rsid w:val="00171846"/>
    <w:rsid w:val="001719DD"/>
    <w:rsid w:val="00171B91"/>
    <w:rsid w:val="00172077"/>
    <w:rsid w:val="001722B1"/>
    <w:rsid w:val="0017266A"/>
    <w:rsid w:val="00172A8B"/>
    <w:rsid w:val="00172B26"/>
    <w:rsid w:val="00172DCF"/>
    <w:rsid w:val="001732BF"/>
    <w:rsid w:val="00173399"/>
    <w:rsid w:val="00173816"/>
    <w:rsid w:val="00173878"/>
    <w:rsid w:val="0017390B"/>
    <w:rsid w:val="00173BF8"/>
    <w:rsid w:val="00173C79"/>
    <w:rsid w:val="00173F17"/>
    <w:rsid w:val="00173F71"/>
    <w:rsid w:val="0017483F"/>
    <w:rsid w:val="00174B9A"/>
    <w:rsid w:val="001750A8"/>
    <w:rsid w:val="00175269"/>
    <w:rsid w:val="00175553"/>
    <w:rsid w:val="001765B9"/>
    <w:rsid w:val="00176F70"/>
    <w:rsid w:val="0017770F"/>
    <w:rsid w:val="0017799D"/>
    <w:rsid w:val="0018007C"/>
    <w:rsid w:val="001804AF"/>
    <w:rsid w:val="001810C3"/>
    <w:rsid w:val="001814C7"/>
    <w:rsid w:val="00181544"/>
    <w:rsid w:val="001819A3"/>
    <w:rsid w:val="001819C3"/>
    <w:rsid w:val="00181D7D"/>
    <w:rsid w:val="001823FA"/>
    <w:rsid w:val="001825DF"/>
    <w:rsid w:val="001825F7"/>
    <w:rsid w:val="001825F8"/>
    <w:rsid w:val="00182A02"/>
    <w:rsid w:val="00182F0D"/>
    <w:rsid w:val="00183797"/>
    <w:rsid w:val="001837B5"/>
    <w:rsid w:val="00183DB4"/>
    <w:rsid w:val="0018405B"/>
    <w:rsid w:val="001845BF"/>
    <w:rsid w:val="001845E4"/>
    <w:rsid w:val="001848C8"/>
    <w:rsid w:val="00184D6A"/>
    <w:rsid w:val="00185483"/>
    <w:rsid w:val="00185EC8"/>
    <w:rsid w:val="00185F1E"/>
    <w:rsid w:val="00186CB7"/>
    <w:rsid w:val="001871A2"/>
    <w:rsid w:val="0018723F"/>
    <w:rsid w:val="0018779A"/>
    <w:rsid w:val="0018799F"/>
    <w:rsid w:val="001903E6"/>
    <w:rsid w:val="001906F0"/>
    <w:rsid w:val="001908B6"/>
    <w:rsid w:val="00190A3F"/>
    <w:rsid w:val="00190C84"/>
    <w:rsid w:val="00190F72"/>
    <w:rsid w:val="00190FF6"/>
    <w:rsid w:val="00191116"/>
    <w:rsid w:val="001913B2"/>
    <w:rsid w:val="001913FA"/>
    <w:rsid w:val="0019146A"/>
    <w:rsid w:val="00191E24"/>
    <w:rsid w:val="00192899"/>
    <w:rsid w:val="0019302E"/>
    <w:rsid w:val="00193291"/>
    <w:rsid w:val="001938F8"/>
    <w:rsid w:val="00193D6E"/>
    <w:rsid w:val="00193EFC"/>
    <w:rsid w:val="00193FA0"/>
    <w:rsid w:val="00194511"/>
    <w:rsid w:val="001946EB"/>
    <w:rsid w:val="00194BDE"/>
    <w:rsid w:val="00194EE9"/>
    <w:rsid w:val="00194F47"/>
    <w:rsid w:val="001951E0"/>
    <w:rsid w:val="00195267"/>
    <w:rsid w:val="0019554D"/>
    <w:rsid w:val="00195A6A"/>
    <w:rsid w:val="00195A9D"/>
    <w:rsid w:val="00195AC9"/>
    <w:rsid w:val="00196458"/>
    <w:rsid w:val="00196AAF"/>
    <w:rsid w:val="00196D95"/>
    <w:rsid w:val="0019713C"/>
    <w:rsid w:val="0019720C"/>
    <w:rsid w:val="001974EF"/>
    <w:rsid w:val="00197A43"/>
    <w:rsid w:val="00197AE0"/>
    <w:rsid w:val="00197CAF"/>
    <w:rsid w:val="001A024F"/>
    <w:rsid w:val="001A0946"/>
    <w:rsid w:val="001A0CB6"/>
    <w:rsid w:val="001A0D6C"/>
    <w:rsid w:val="001A0F6F"/>
    <w:rsid w:val="001A119C"/>
    <w:rsid w:val="001A163B"/>
    <w:rsid w:val="001A26FF"/>
    <w:rsid w:val="001A2E7B"/>
    <w:rsid w:val="001A3254"/>
    <w:rsid w:val="001A357D"/>
    <w:rsid w:val="001A38A1"/>
    <w:rsid w:val="001A3CC2"/>
    <w:rsid w:val="001A4289"/>
    <w:rsid w:val="001A518F"/>
    <w:rsid w:val="001A5B57"/>
    <w:rsid w:val="001A5E1A"/>
    <w:rsid w:val="001A5F33"/>
    <w:rsid w:val="001A6289"/>
    <w:rsid w:val="001A63FB"/>
    <w:rsid w:val="001A661E"/>
    <w:rsid w:val="001A6768"/>
    <w:rsid w:val="001A67B7"/>
    <w:rsid w:val="001A6BC6"/>
    <w:rsid w:val="001A6C7D"/>
    <w:rsid w:val="001A6D67"/>
    <w:rsid w:val="001A71AD"/>
    <w:rsid w:val="001A7B48"/>
    <w:rsid w:val="001A7D77"/>
    <w:rsid w:val="001B009D"/>
    <w:rsid w:val="001B08A4"/>
    <w:rsid w:val="001B10FE"/>
    <w:rsid w:val="001B111F"/>
    <w:rsid w:val="001B1445"/>
    <w:rsid w:val="001B15F6"/>
    <w:rsid w:val="001B18F7"/>
    <w:rsid w:val="001B1AAC"/>
    <w:rsid w:val="001B1CD6"/>
    <w:rsid w:val="001B25DE"/>
    <w:rsid w:val="001B2963"/>
    <w:rsid w:val="001B2A2C"/>
    <w:rsid w:val="001B2A48"/>
    <w:rsid w:val="001B2BFE"/>
    <w:rsid w:val="001B34FB"/>
    <w:rsid w:val="001B380D"/>
    <w:rsid w:val="001B3B88"/>
    <w:rsid w:val="001B407D"/>
    <w:rsid w:val="001B420A"/>
    <w:rsid w:val="001B43BB"/>
    <w:rsid w:val="001B4BBC"/>
    <w:rsid w:val="001B4C1F"/>
    <w:rsid w:val="001B4E1F"/>
    <w:rsid w:val="001B5255"/>
    <w:rsid w:val="001B537F"/>
    <w:rsid w:val="001B5892"/>
    <w:rsid w:val="001B58B9"/>
    <w:rsid w:val="001B5B3A"/>
    <w:rsid w:val="001B613F"/>
    <w:rsid w:val="001B64D9"/>
    <w:rsid w:val="001B68B5"/>
    <w:rsid w:val="001B71F9"/>
    <w:rsid w:val="001B7A30"/>
    <w:rsid w:val="001B7B55"/>
    <w:rsid w:val="001B7BC9"/>
    <w:rsid w:val="001B7FCC"/>
    <w:rsid w:val="001C0602"/>
    <w:rsid w:val="001C0698"/>
    <w:rsid w:val="001C0BF6"/>
    <w:rsid w:val="001C0DD9"/>
    <w:rsid w:val="001C0E5D"/>
    <w:rsid w:val="001C0FC2"/>
    <w:rsid w:val="001C196B"/>
    <w:rsid w:val="001C2057"/>
    <w:rsid w:val="001C21E3"/>
    <w:rsid w:val="001C22F1"/>
    <w:rsid w:val="001C261E"/>
    <w:rsid w:val="001C3921"/>
    <w:rsid w:val="001C4CA6"/>
    <w:rsid w:val="001C4CFC"/>
    <w:rsid w:val="001C4E57"/>
    <w:rsid w:val="001C4F33"/>
    <w:rsid w:val="001C4FFC"/>
    <w:rsid w:val="001C501F"/>
    <w:rsid w:val="001C5229"/>
    <w:rsid w:val="001C529B"/>
    <w:rsid w:val="001C578C"/>
    <w:rsid w:val="001C5A4A"/>
    <w:rsid w:val="001C64F1"/>
    <w:rsid w:val="001C65CC"/>
    <w:rsid w:val="001C6B12"/>
    <w:rsid w:val="001C6E76"/>
    <w:rsid w:val="001C7ECF"/>
    <w:rsid w:val="001D06A2"/>
    <w:rsid w:val="001D0F17"/>
    <w:rsid w:val="001D0F84"/>
    <w:rsid w:val="001D152C"/>
    <w:rsid w:val="001D1C58"/>
    <w:rsid w:val="001D1E0F"/>
    <w:rsid w:val="001D1F27"/>
    <w:rsid w:val="001D204B"/>
    <w:rsid w:val="001D2068"/>
    <w:rsid w:val="001D227F"/>
    <w:rsid w:val="001D2563"/>
    <w:rsid w:val="001D2A25"/>
    <w:rsid w:val="001D2D5A"/>
    <w:rsid w:val="001D2DA4"/>
    <w:rsid w:val="001D2E63"/>
    <w:rsid w:val="001D2EDB"/>
    <w:rsid w:val="001D302C"/>
    <w:rsid w:val="001D30D6"/>
    <w:rsid w:val="001D3408"/>
    <w:rsid w:val="001D34C8"/>
    <w:rsid w:val="001D39DC"/>
    <w:rsid w:val="001D4EE1"/>
    <w:rsid w:val="001D5436"/>
    <w:rsid w:val="001D56B3"/>
    <w:rsid w:val="001D6617"/>
    <w:rsid w:val="001D6757"/>
    <w:rsid w:val="001D67B8"/>
    <w:rsid w:val="001D68A1"/>
    <w:rsid w:val="001D70D3"/>
    <w:rsid w:val="001D7155"/>
    <w:rsid w:val="001D725E"/>
    <w:rsid w:val="001D7EF5"/>
    <w:rsid w:val="001D7F52"/>
    <w:rsid w:val="001E006A"/>
    <w:rsid w:val="001E04F1"/>
    <w:rsid w:val="001E0569"/>
    <w:rsid w:val="001E10BC"/>
    <w:rsid w:val="001E1631"/>
    <w:rsid w:val="001E1917"/>
    <w:rsid w:val="001E1AFF"/>
    <w:rsid w:val="001E1F0B"/>
    <w:rsid w:val="001E229D"/>
    <w:rsid w:val="001E22DF"/>
    <w:rsid w:val="001E24B8"/>
    <w:rsid w:val="001E2ED0"/>
    <w:rsid w:val="001E307D"/>
    <w:rsid w:val="001E341D"/>
    <w:rsid w:val="001E41A2"/>
    <w:rsid w:val="001E449B"/>
    <w:rsid w:val="001E4536"/>
    <w:rsid w:val="001E5164"/>
    <w:rsid w:val="001E5307"/>
    <w:rsid w:val="001E597D"/>
    <w:rsid w:val="001E5AAF"/>
    <w:rsid w:val="001E5C5C"/>
    <w:rsid w:val="001E605A"/>
    <w:rsid w:val="001E6C12"/>
    <w:rsid w:val="001E6C85"/>
    <w:rsid w:val="001E6EE5"/>
    <w:rsid w:val="001E7122"/>
    <w:rsid w:val="001E7979"/>
    <w:rsid w:val="001E7E71"/>
    <w:rsid w:val="001F000F"/>
    <w:rsid w:val="001F05D5"/>
    <w:rsid w:val="001F12DB"/>
    <w:rsid w:val="001F1B40"/>
    <w:rsid w:val="001F2273"/>
    <w:rsid w:val="001F263B"/>
    <w:rsid w:val="001F2942"/>
    <w:rsid w:val="001F2992"/>
    <w:rsid w:val="001F2B0A"/>
    <w:rsid w:val="001F2FC6"/>
    <w:rsid w:val="001F3032"/>
    <w:rsid w:val="001F3427"/>
    <w:rsid w:val="001F3662"/>
    <w:rsid w:val="001F37E9"/>
    <w:rsid w:val="001F3C62"/>
    <w:rsid w:val="001F4265"/>
    <w:rsid w:val="001F49A8"/>
    <w:rsid w:val="001F507E"/>
    <w:rsid w:val="001F50A9"/>
    <w:rsid w:val="001F5159"/>
    <w:rsid w:val="001F51EA"/>
    <w:rsid w:val="001F53E1"/>
    <w:rsid w:val="001F5A64"/>
    <w:rsid w:val="001F5E7F"/>
    <w:rsid w:val="001F5F40"/>
    <w:rsid w:val="001F5F80"/>
    <w:rsid w:val="001F619C"/>
    <w:rsid w:val="001F63BD"/>
    <w:rsid w:val="001F66D8"/>
    <w:rsid w:val="001F76D2"/>
    <w:rsid w:val="001F7764"/>
    <w:rsid w:val="001F7933"/>
    <w:rsid w:val="001F796F"/>
    <w:rsid w:val="00200165"/>
    <w:rsid w:val="002001DB"/>
    <w:rsid w:val="00200677"/>
    <w:rsid w:val="00200E39"/>
    <w:rsid w:val="0020178A"/>
    <w:rsid w:val="0020197A"/>
    <w:rsid w:val="00201BBA"/>
    <w:rsid w:val="00201BD0"/>
    <w:rsid w:val="00201D6B"/>
    <w:rsid w:val="00201EFF"/>
    <w:rsid w:val="00202343"/>
    <w:rsid w:val="002023EE"/>
    <w:rsid w:val="00202756"/>
    <w:rsid w:val="00203028"/>
    <w:rsid w:val="0020351E"/>
    <w:rsid w:val="00203850"/>
    <w:rsid w:val="00204084"/>
    <w:rsid w:val="00204312"/>
    <w:rsid w:val="002045A4"/>
    <w:rsid w:val="00204DC7"/>
    <w:rsid w:val="00204E6B"/>
    <w:rsid w:val="00205238"/>
    <w:rsid w:val="00205315"/>
    <w:rsid w:val="002054CF"/>
    <w:rsid w:val="00205512"/>
    <w:rsid w:val="002057C4"/>
    <w:rsid w:val="00205A63"/>
    <w:rsid w:val="00205BF0"/>
    <w:rsid w:val="002061B0"/>
    <w:rsid w:val="002062B2"/>
    <w:rsid w:val="00206836"/>
    <w:rsid w:val="00206C24"/>
    <w:rsid w:val="00207524"/>
    <w:rsid w:val="00207A1A"/>
    <w:rsid w:val="00207D9F"/>
    <w:rsid w:val="00210447"/>
    <w:rsid w:val="00210494"/>
    <w:rsid w:val="00210B66"/>
    <w:rsid w:val="00210BBE"/>
    <w:rsid w:val="002111C2"/>
    <w:rsid w:val="002114D2"/>
    <w:rsid w:val="002117A5"/>
    <w:rsid w:val="00211927"/>
    <w:rsid w:val="00211A88"/>
    <w:rsid w:val="00211DED"/>
    <w:rsid w:val="002124AC"/>
    <w:rsid w:val="002126AA"/>
    <w:rsid w:val="00212BF6"/>
    <w:rsid w:val="00212CE4"/>
    <w:rsid w:val="0021369B"/>
    <w:rsid w:val="002139CD"/>
    <w:rsid w:val="00214001"/>
    <w:rsid w:val="00214222"/>
    <w:rsid w:val="0021434C"/>
    <w:rsid w:val="002144EF"/>
    <w:rsid w:val="0021476E"/>
    <w:rsid w:val="002148E6"/>
    <w:rsid w:val="00214B41"/>
    <w:rsid w:val="00214C6C"/>
    <w:rsid w:val="00214FF5"/>
    <w:rsid w:val="00215139"/>
    <w:rsid w:val="00215228"/>
    <w:rsid w:val="0021585F"/>
    <w:rsid w:val="002158A1"/>
    <w:rsid w:val="00215BDB"/>
    <w:rsid w:val="00216FCF"/>
    <w:rsid w:val="00217102"/>
    <w:rsid w:val="002174D0"/>
    <w:rsid w:val="00217772"/>
    <w:rsid w:val="002178D6"/>
    <w:rsid w:val="0021790B"/>
    <w:rsid w:val="00217E59"/>
    <w:rsid w:val="0021E079"/>
    <w:rsid w:val="00220DD6"/>
    <w:rsid w:val="00220FFD"/>
    <w:rsid w:val="002215B8"/>
    <w:rsid w:val="0022178D"/>
    <w:rsid w:val="00222217"/>
    <w:rsid w:val="00222442"/>
    <w:rsid w:val="002226FD"/>
    <w:rsid w:val="0022271A"/>
    <w:rsid w:val="002229E4"/>
    <w:rsid w:val="00222FFE"/>
    <w:rsid w:val="002233E4"/>
    <w:rsid w:val="00223427"/>
    <w:rsid w:val="0022377B"/>
    <w:rsid w:val="00223FE8"/>
    <w:rsid w:val="0022420F"/>
    <w:rsid w:val="00224265"/>
    <w:rsid w:val="002242D9"/>
    <w:rsid w:val="002248EA"/>
    <w:rsid w:val="00225114"/>
    <w:rsid w:val="00225378"/>
    <w:rsid w:val="00225DEE"/>
    <w:rsid w:val="0022611C"/>
    <w:rsid w:val="00226881"/>
    <w:rsid w:val="00226925"/>
    <w:rsid w:val="00226C96"/>
    <w:rsid w:val="00227302"/>
    <w:rsid w:val="00227593"/>
    <w:rsid w:val="002275E7"/>
    <w:rsid w:val="00227CE2"/>
    <w:rsid w:val="00227F3F"/>
    <w:rsid w:val="00230090"/>
    <w:rsid w:val="00230167"/>
    <w:rsid w:val="00230287"/>
    <w:rsid w:val="00230BBC"/>
    <w:rsid w:val="002312CA"/>
    <w:rsid w:val="002319E1"/>
    <w:rsid w:val="00231AEB"/>
    <w:rsid w:val="00231CBD"/>
    <w:rsid w:val="00231D24"/>
    <w:rsid w:val="00231E0B"/>
    <w:rsid w:val="00231F13"/>
    <w:rsid w:val="0023201E"/>
    <w:rsid w:val="002323CB"/>
    <w:rsid w:val="0023240F"/>
    <w:rsid w:val="00232AC6"/>
    <w:rsid w:val="00232BE3"/>
    <w:rsid w:val="00232D3E"/>
    <w:rsid w:val="0023324A"/>
    <w:rsid w:val="002332C5"/>
    <w:rsid w:val="0023365A"/>
    <w:rsid w:val="00233B80"/>
    <w:rsid w:val="00233CC7"/>
    <w:rsid w:val="0023420C"/>
    <w:rsid w:val="00234489"/>
    <w:rsid w:val="00234611"/>
    <w:rsid w:val="00234832"/>
    <w:rsid w:val="00234A47"/>
    <w:rsid w:val="00234C75"/>
    <w:rsid w:val="00235766"/>
    <w:rsid w:val="00235A78"/>
    <w:rsid w:val="0023689E"/>
    <w:rsid w:val="002369D5"/>
    <w:rsid w:val="002376EC"/>
    <w:rsid w:val="0024007C"/>
    <w:rsid w:val="0024017A"/>
    <w:rsid w:val="002401BB"/>
    <w:rsid w:val="00240E76"/>
    <w:rsid w:val="00241015"/>
    <w:rsid w:val="00241166"/>
    <w:rsid w:val="002413D2"/>
    <w:rsid w:val="0024191E"/>
    <w:rsid w:val="0024201E"/>
    <w:rsid w:val="00242B34"/>
    <w:rsid w:val="00242EC8"/>
    <w:rsid w:val="0024343B"/>
    <w:rsid w:val="00243649"/>
    <w:rsid w:val="002437D3"/>
    <w:rsid w:val="0024389A"/>
    <w:rsid w:val="00243D4E"/>
    <w:rsid w:val="00243DF5"/>
    <w:rsid w:val="002441E1"/>
    <w:rsid w:val="00244358"/>
    <w:rsid w:val="0024451C"/>
    <w:rsid w:val="002450FF"/>
    <w:rsid w:val="00245337"/>
    <w:rsid w:val="002455CF"/>
    <w:rsid w:val="00245644"/>
    <w:rsid w:val="00245675"/>
    <w:rsid w:val="00245A5D"/>
    <w:rsid w:val="00245C4C"/>
    <w:rsid w:val="002468EC"/>
    <w:rsid w:val="00246CDA"/>
    <w:rsid w:val="00246F18"/>
    <w:rsid w:val="002470E2"/>
    <w:rsid w:val="00247307"/>
    <w:rsid w:val="00247616"/>
    <w:rsid w:val="00247B6A"/>
    <w:rsid w:val="00247BFD"/>
    <w:rsid w:val="00247D11"/>
    <w:rsid w:val="00247EC9"/>
    <w:rsid w:val="002500EF"/>
    <w:rsid w:val="002505E2"/>
    <w:rsid w:val="00250B26"/>
    <w:rsid w:val="00250BBE"/>
    <w:rsid w:val="00250CC7"/>
    <w:rsid w:val="00250DA3"/>
    <w:rsid w:val="00250F09"/>
    <w:rsid w:val="0025137B"/>
    <w:rsid w:val="00251528"/>
    <w:rsid w:val="00251890"/>
    <w:rsid w:val="00251E54"/>
    <w:rsid w:val="002526BB"/>
    <w:rsid w:val="00252AE3"/>
    <w:rsid w:val="00252B9D"/>
    <w:rsid w:val="00252F17"/>
    <w:rsid w:val="00253094"/>
    <w:rsid w:val="002539BD"/>
    <w:rsid w:val="00253EEF"/>
    <w:rsid w:val="00254137"/>
    <w:rsid w:val="002542BC"/>
    <w:rsid w:val="00254459"/>
    <w:rsid w:val="002544FB"/>
    <w:rsid w:val="00254906"/>
    <w:rsid w:val="00254FF1"/>
    <w:rsid w:val="002550D5"/>
    <w:rsid w:val="00255BCD"/>
    <w:rsid w:val="00255DFF"/>
    <w:rsid w:val="00256604"/>
    <w:rsid w:val="00256E6B"/>
    <w:rsid w:val="00257091"/>
    <w:rsid w:val="002575FA"/>
    <w:rsid w:val="002601CE"/>
    <w:rsid w:val="002603E6"/>
    <w:rsid w:val="00260519"/>
    <w:rsid w:val="002606A6"/>
    <w:rsid w:val="00260CEC"/>
    <w:rsid w:val="00261079"/>
    <w:rsid w:val="00261200"/>
    <w:rsid w:val="00261267"/>
    <w:rsid w:val="002614D7"/>
    <w:rsid w:val="002618B7"/>
    <w:rsid w:val="002619D8"/>
    <w:rsid w:val="00261BC9"/>
    <w:rsid w:val="00261E49"/>
    <w:rsid w:val="00261F15"/>
    <w:rsid w:val="002623C1"/>
    <w:rsid w:val="0026250F"/>
    <w:rsid w:val="0026272B"/>
    <w:rsid w:val="00262799"/>
    <w:rsid w:val="00262AAF"/>
    <w:rsid w:val="00262C54"/>
    <w:rsid w:val="00262DBE"/>
    <w:rsid w:val="002632B5"/>
    <w:rsid w:val="002635D1"/>
    <w:rsid w:val="00263A27"/>
    <w:rsid w:val="00263BA6"/>
    <w:rsid w:val="00263E2F"/>
    <w:rsid w:val="00264F9E"/>
    <w:rsid w:val="00265393"/>
    <w:rsid w:val="00265434"/>
    <w:rsid w:val="0026552C"/>
    <w:rsid w:val="002657C3"/>
    <w:rsid w:val="00265D3E"/>
    <w:rsid w:val="00265FC3"/>
    <w:rsid w:val="00266550"/>
    <w:rsid w:val="002666E0"/>
    <w:rsid w:val="002667F0"/>
    <w:rsid w:val="002668EA"/>
    <w:rsid w:val="00266A70"/>
    <w:rsid w:val="00266D67"/>
    <w:rsid w:val="00266FAF"/>
    <w:rsid w:val="002676B3"/>
    <w:rsid w:val="0026771F"/>
    <w:rsid w:val="00267B13"/>
    <w:rsid w:val="00267DAC"/>
    <w:rsid w:val="00267ECA"/>
    <w:rsid w:val="0027008E"/>
    <w:rsid w:val="0027031A"/>
    <w:rsid w:val="0027037B"/>
    <w:rsid w:val="00270517"/>
    <w:rsid w:val="002713D5"/>
    <w:rsid w:val="0027160B"/>
    <w:rsid w:val="002718CE"/>
    <w:rsid w:val="00271BBF"/>
    <w:rsid w:val="00271BCC"/>
    <w:rsid w:val="00271DD7"/>
    <w:rsid w:val="00271F40"/>
    <w:rsid w:val="00272076"/>
    <w:rsid w:val="00272670"/>
    <w:rsid w:val="002732DD"/>
    <w:rsid w:val="0027367E"/>
    <w:rsid w:val="00273904"/>
    <w:rsid w:val="00273F30"/>
    <w:rsid w:val="0027500B"/>
    <w:rsid w:val="00275272"/>
    <w:rsid w:val="00275A2D"/>
    <w:rsid w:val="00275DCC"/>
    <w:rsid w:val="00276094"/>
    <w:rsid w:val="002760B7"/>
    <w:rsid w:val="00276440"/>
    <w:rsid w:val="00276A4F"/>
    <w:rsid w:val="00276ECD"/>
    <w:rsid w:val="00276F07"/>
    <w:rsid w:val="00276F49"/>
    <w:rsid w:val="00277868"/>
    <w:rsid w:val="002778B0"/>
    <w:rsid w:val="0028005C"/>
    <w:rsid w:val="002800C5"/>
    <w:rsid w:val="002800DB"/>
    <w:rsid w:val="00280114"/>
    <w:rsid w:val="00280E89"/>
    <w:rsid w:val="00280EAD"/>
    <w:rsid w:val="00280F9C"/>
    <w:rsid w:val="002813C2"/>
    <w:rsid w:val="002814BD"/>
    <w:rsid w:val="002815B0"/>
    <w:rsid w:val="0028177C"/>
    <w:rsid w:val="002820BB"/>
    <w:rsid w:val="002820ED"/>
    <w:rsid w:val="00282286"/>
    <w:rsid w:val="00282484"/>
    <w:rsid w:val="00283582"/>
    <w:rsid w:val="002837B1"/>
    <w:rsid w:val="00283A80"/>
    <w:rsid w:val="00283B7E"/>
    <w:rsid w:val="00283C79"/>
    <w:rsid w:val="0028444D"/>
    <w:rsid w:val="00284638"/>
    <w:rsid w:val="002846F8"/>
    <w:rsid w:val="00284C34"/>
    <w:rsid w:val="00284DD5"/>
    <w:rsid w:val="002850A9"/>
    <w:rsid w:val="002854D5"/>
    <w:rsid w:val="002855F3"/>
    <w:rsid w:val="00285877"/>
    <w:rsid w:val="00285A7F"/>
    <w:rsid w:val="00285EDD"/>
    <w:rsid w:val="00286459"/>
    <w:rsid w:val="00286894"/>
    <w:rsid w:val="00286948"/>
    <w:rsid w:val="00286A4C"/>
    <w:rsid w:val="002871DC"/>
    <w:rsid w:val="0028755C"/>
    <w:rsid w:val="00287642"/>
    <w:rsid w:val="002879C5"/>
    <w:rsid w:val="00287BB7"/>
    <w:rsid w:val="00290107"/>
    <w:rsid w:val="002902AD"/>
    <w:rsid w:val="0029051F"/>
    <w:rsid w:val="00290CC1"/>
    <w:rsid w:val="00291899"/>
    <w:rsid w:val="0029196A"/>
    <w:rsid w:val="00291A5C"/>
    <w:rsid w:val="00291BBC"/>
    <w:rsid w:val="002924B1"/>
    <w:rsid w:val="00292504"/>
    <w:rsid w:val="002929F1"/>
    <w:rsid w:val="00293755"/>
    <w:rsid w:val="00293B06"/>
    <w:rsid w:val="00294C50"/>
    <w:rsid w:val="00294E5F"/>
    <w:rsid w:val="002955B0"/>
    <w:rsid w:val="002959F3"/>
    <w:rsid w:val="00295D52"/>
    <w:rsid w:val="00296085"/>
    <w:rsid w:val="00296490"/>
    <w:rsid w:val="00296B3A"/>
    <w:rsid w:val="00297603"/>
    <w:rsid w:val="00297AD3"/>
    <w:rsid w:val="00297E80"/>
    <w:rsid w:val="00297F9C"/>
    <w:rsid w:val="002986E5"/>
    <w:rsid w:val="002A020F"/>
    <w:rsid w:val="002A04D3"/>
    <w:rsid w:val="002A0CD8"/>
    <w:rsid w:val="002A0D32"/>
    <w:rsid w:val="002A0E77"/>
    <w:rsid w:val="002A1033"/>
    <w:rsid w:val="002A1879"/>
    <w:rsid w:val="002A1AA0"/>
    <w:rsid w:val="002A200A"/>
    <w:rsid w:val="002A22B0"/>
    <w:rsid w:val="002A246A"/>
    <w:rsid w:val="002A2A84"/>
    <w:rsid w:val="002A2AC7"/>
    <w:rsid w:val="002A2DC6"/>
    <w:rsid w:val="002A2F05"/>
    <w:rsid w:val="002A36C7"/>
    <w:rsid w:val="002A3C81"/>
    <w:rsid w:val="002A3FD0"/>
    <w:rsid w:val="002A4363"/>
    <w:rsid w:val="002A4C0B"/>
    <w:rsid w:val="002A4E13"/>
    <w:rsid w:val="002A53A2"/>
    <w:rsid w:val="002A5DBA"/>
    <w:rsid w:val="002A5E93"/>
    <w:rsid w:val="002A63CE"/>
    <w:rsid w:val="002A6EB5"/>
    <w:rsid w:val="002A70F0"/>
    <w:rsid w:val="002A74D6"/>
    <w:rsid w:val="002A7594"/>
    <w:rsid w:val="002A79C5"/>
    <w:rsid w:val="002A7A6F"/>
    <w:rsid w:val="002A7EE1"/>
    <w:rsid w:val="002B0756"/>
    <w:rsid w:val="002B0A1F"/>
    <w:rsid w:val="002B0D45"/>
    <w:rsid w:val="002B19B1"/>
    <w:rsid w:val="002B1A38"/>
    <w:rsid w:val="002B2184"/>
    <w:rsid w:val="002B21EA"/>
    <w:rsid w:val="002B2207"/>
    <w:rsid w:val="002B2510"/>
    <w:rsid w:val="002B271C"/>
    <w:rsid w:val="002B2B8D"/>
    <w:rsid w:val="002B2DE3"/>
    <w:rsid w:val="002B3234"/>
    <w:rsid w:val="002B3CE2"/>
    <w:rsid w:val="002B3F4C"/>
    <w:rsid w:val="002B46E0"/>
    <w:rsid w:val="002B4FC6"/>
    <w:rsid w:val="002B5778"/>
    <w:rsid w:val="002B5801"/>
    <w:rsid w:val="002B5C1B"/>
    <w:rsid w:val="002B5F8C"/>
    <w:rsid w:val="002B6064"/>
    <w:rsid w:val="002B621D"/>
    <w:rsid w:val="002B6305"/>
    <w:rsid w:val="002B642A"/>
    <w:rsid w:val="002B677D"/>
    <w:rsid w:val="002B6EE0"/>
    <w:rsid w:val="002B753C"/>
    <w:rsid w:val="002B79F3"/>
    <w:rsid w:val="002B7BB5"/>
    <w:rsid w:val="002B7CD8"/>
    <w:rsid w:val="002C0278"/>
    <w:rsid w:val="002C1031"/>
    <w:rsid w:val="002C1278"/>
    <w:rsid w:val="002C184C"/>
    <w:rsid w:val="002C1BE4"/>
    <w:rsid w:val="002C1BFD"/>
    <w:rsid w:val="002C2982"/>
    <w:rsid w:val="002C29BB"/>
    <w:rsid w:val="002C2A1F"/>
    <w:rsid w:val="002C2E2A"/>
    <w:rsid w:val="002C2EC0"/>
    <w:rsid w:val="002C3353"/>
    <w:rsid w:val="002C396B"/>
    <w:rsid w:val="002C3B87"/>
    <w:rsid w:val="002C3F6D"/>
    <w:rsid w:val="002C43E4"/>
    <w:rsid w:val="002C4AF5"/>
    <w:rsid w:val="002C4F88"/>
    <w:rsid w:val="002C53A1"/>
    <w:rsid w:val="002C54F1"/>
    <w:rsid w:val="002C59AC"/>
    <w:rsid w:val="002C5A8C"/>
    <w:rsid w:val="002C5EBC"/>
    <w:rsid w:val="002C6087"/>
    <w:rsid w:val="002C62CB"/>
    <w:rsid w:val="002C657F"/>
    <w:rsid w:val="002C68E2"/>
    <w:rsid w:val="002C6944"/>
    <w:rsid w:val="002C6ADD"/>
    <w:rsid w:val="002C75FB"/>
    <w:rsid w:val="002C78FF"/>
    <w:rsid w:val="002D0065"/>
    <w:rsid w:val="002D04C7"/>
    <w:rsid w:val="002D0901"/>
    <w:rsid w:val="002D0EC5"/>
    <w:rsid w:val="002D13BE"/>
    <w:rsid w:val="002D1ACE"/>
    <w:rsid w:val="002D1EB7"/>
    <w:rsid w:val="002D1FFD"/>
    <w:rsid w:val="002D2784"/>
    <w:rsid w:val="002D2EE9"/>
    <w:rsid w:val="002D373F"/>
    <w:rsid w:val="002D37B1"/>
    <w:rsid w:val="002D3996"/>
    <w:rsid w:val="002D3A60"/>
    <w:rsid w:val="002D3BC4"/>
    <w:rsid w:val="002D3D39"/>
    <w:rsid w:val="002D3FB9"/>
    <w:rsid w:val="002D46E0"/>
    <w:rsid w:val="002D4801"/>
    <w:rsid w:val="002D4807"/>
    <w:rsid w:val="002D535C"/>
    <w:rsid w:val="002D5667"/>
    <w:rsid w:val="002D5897"/>
    <w:rsid w:val="002D5A74"/>
    <w:rsid w:val="002D5FDD"/>
    <w:rsid w:val="002D604B"/>
    <w:rsid w:val="002D6644"/>
    <w:rsid w:val="002D672E"/>
    <w:rsid w:val="002D68A8"/>
    <w:rsid w:val="002D6989"/>
    <w:rsid w:val="002D7F94"/>
    <w:rsid w:val="002E0516"/>
    <w:rsid w:val="002E0B80"/>
    <w:rsid w:val="002E0E3B"/>
    <w:rsid w:val="002E170A"/>
    <w:rsid w:val="002E1748"/>
    <w:rsid w:val="002E1C5B"/>
    <w:rsid w:val="002E1E2B"/>
    <w:rsid w:val="002E2668"/>
    <w:rsid w:val="002E2780"/>
    <w:rsid w:val="002E2979"/>
    <w:rsid w:val="002E3018"/>
    <w:rsid w:val="002E3137"/>
    <w:rsid w:val="002E38AE"/>
    <w:rsid w:val="002E3A11"/>
    <w:rsid w:val="002E3B7D"/>
    <w:rsid w:val="002E3C0F"/>
    <w:rsid w:val="002E3E4A"/>
    <w:rsid w:val="002E3E8E"/>
    <w:rsid w:val="002E459A"/>
    <w:rsid w:val="002E45E3"/>
    <w:rsid w:val="002E4790"/>
    <w:rsid w:val="002E56C1"/>
    <w:rsid w:val="002E575C"/>
    <w:rsid w:val="002E5787"/>
    <w:rsid w:val="002E592D"/>
    <w:rsid w:val="002E5933"/>
    <w:rsid w:val="002E5DA7"/>
    <w:rsid w:val="002E5E08"/>
    <w:rsid w:val="002E62EB"/>
    <w:rsid w:val="002E6DA7"/>
    <w:rsid w:val="002E6EB5"/>
    <w:rsid w:val="002E724F"/>
    <w:rsid w:val="002E730A"/>
    <w:rsid w:val="002E736C"/>
    <w:rsid w:val="002E762D"/>
    <w:rsid w:val="002E7C55"/>
    <w:rsid w:val="002E7D2B"/>
    <w:rsid w:val="002F0A42"/>
    <w:rsid w:val="002F1296"/>
    <w:rsid w:val="002F18B7"/>
    <w:rsid w:val="002F2596"/>
    <w:rsid w:val="002F25BC"/>
    <w:rsid w:val="002F26E1"/>
    <w:rsid w:val="002F2A15"/>
    <w:rsid w:val="002F3081"/>
    <w:rsid w:val="002F329E"/>
    <w:rsid w:val="002F32B3"/>
    <w:rsid w:val="002F3729"/>
    <w:rsid w:val="002F3A6F"/>
    <w:rsid w:val="002F3C87"/>
    <w:rsid w:val="002F4028"/>
    <w:rsid w:val="002F40E5"/>
    <w:rsid w:val="002F42C3"/>
    <w:rsid w:val="002F4459"/>
    <w:rsid w:val="002F446C"/>
    <w:rsid w:val="002F45EC"/>
    <w:rsid w:val="002F4728"/>
    <w:rsid w:val="002F507E"/>
    <w:rsid w:val="002F5894"/>
    <w:rsid w:val="002F5966"/>
    <w:rsid w:val="002F5EB7"/>
    <w:rsid w:val="002F6163"/>
    <w:rsid w:val="002F62C6"/>
    <w:rsid w:val="002F637C"/>
    <w:rsid w:val="002F646B"/>
    <w:rsid w:val="002F6E46"/>
    <w:rsid w:val="002F6F94"/>
    <w:rsid w:val="002F6FD1"/>
    <w:rsid w:val="002F7442"/>
    <w:rsid w:val="002F7AFD"/>
    <w:rsid w:val="002F7D1C"/>
    <w:rsid w:val="003002A2"/>
    <w:rsid w:val="00300458"/>
    <w:rsid w:val="003008CA"/>
    <w:rsid w:val="00300ACD"/>
    <w:rsid w:val="00300B23"/>
    <w:rsid w:val="00300E55"/>
    <w:rsid w:val="00300FDF"/>
    <w:rsid w:val="003014F0"/>
    <w:rsid w:val="00301E30"/>
    <w:rsid w:val="00301ECB"/>
    <w:rsid w:val="00302353"/>
    <w:rsid w:val="00302ED7"/>
    <w:rsid w:val="0030303B"/>
    <w:rsid w:val="00303553"/>
    <w:rsid w:val="003037E9"/>
    <w:rsid w:val="00303802"/>
    <w:rsid w:val="0030396A"/>
    <w:rsid w:val="00303CC8"/>
    <w:rsid w:val="00303DCF"/>
    <w:rsid w:val="00303FD0"/>
    <w:rsid w:val="00304362"/>
    <w:rsid w:val="0030453E"/>
    <w:rsid w:val="00304608"/>
    <w:rsid w:val="00304C38"/>
    <w:rsid w:val="0030505A"/>
    <w:rsid w:val="00305B25"/>
    <w:rsid w:val="00307351"/>
    <w:rsid w:val="00307B0E"/>
    <w:rsid w:val="0031045A"/>
    <w:rsid w:val="00310773"/>
    <w:rsid w:val="00310802"/>
    <w:rsid w:val="00310B07"/>
    <w:rsid w:val="003116B3"/>
    <w:rsid w:val="00311AFE"/>
    <w:rsid w:val="00311CDB"/>
    <w:rsid w:val="00311F4B"/>
    <w:rsid w:val="0031208C"/>
    <w:rsid w:val="0031216D"/>
    <w:rsid w:val="00312694"/>
    <w:rsid w:val="003129FB"/>
    <w:rsid w:val="00312A51"/>
    <w:rsid w:val="00312D96"/>
    <w:rsid w:val="00313A10"/>
    <w:rsid w:val="00313A58"/>
    <w:rsid w:val="00313E5D"/>
    <w:rsid w:val="003141BB"/>
    <w:rsid w:val="003144AE"/>
    <w:rsid w:val="00314664"/>
    <w:rsid w:val="0031484E"/>
    <w:rsid w:val="003151AC"/>
    <w:rsid w:val="0031538C"/>
    <w:rsid w:val="0031549A"/>
    <w:rsid w:val="00315898"/>
    <w:rsid w:val="00315D44"/>
    <w:rsid w:val="003160BB"/>
    <w:rsid w:val="00316A80"/>
    <w:rsid w:val="00316D5B"/>
    <w:rsid w:val="00316EEA"/>
    <w:rsid w:val="00316EF9"/>
    <w:rsid w:val="00317059"/>
    <w:rsid w:val="00317078"/>
    <w:rsid w:val="003171F1"/>
    <w:rsid w:val="00317486"/>
    <w:rsid w:val="00320065"/>
    <w:rsid w:val="003200A0"/>
    <w:rsid w:val="0032018E"/>
    <w:rsid w:val="003203E2"/>
    <w:rsid w:val="0032067E"/>
    <w:rsid w:val="00321299"/>
    <w:rsid w:val="00321792"/>
    <w:rsid w:val="00321887"/>
    <w:rsid w:val="003218E1"/>
    <w:rsid w:val="00321AF7"/>
    <w:rsid w:val="003222B2"/>
    <w:rsid w:val="00322371"/>
    <w:rsid w:val="0032238D"/>
    <w:rsid w:val="003226F6"/>
    <w:rsid w:val="003229D1"/>
    <w:rsid w:val="00322CF7"/>
    <w:rsid w:val="00322E28"/>
    <w:rsid w:val="00322E52"/>
    <w:rsid w:val="00323293"/>
    <w:rsid w:val="0032385E"/>
    <w:rsid w:val="00323A82"/>
    <w:rsid w:val="00323D25"/>
    <w:rsid w:val="00324220"/>
    <w:rsid w:val="00324631"/>
    <w:rsid w:val="0032544A"/>
    <w:rsid w:val="003256AC"/>
    <w:rsid w:val="003258CD"/>
    <w:rsid w:val="00325D54"/>
    <w:rsid w:val="003261E5"/>
    <w:rsid w:val="003263DB"/>
    <w:rsid w:val="00326F01"/>
    <w:rsid w:val="00327526"/>
    <w:rsid w:val="00327F8B"/>
    <w:rsid w:val="0033009E"/>
    <w:rsid w:val="00330644"/>
    <w:rsid w:val="00330689"/>
    <w:rsid w:val="00330A33"/>
    <w:rsid w:val="00330DF2"/>
    <w:rsid w:val="0033109E"/>
    <w:rsid w:val="003310C9"/>
    <w:rsid w:val="00331550"/>
    <w:rsid w:val="00331C6B"/>
    <w:rsid w:val="00331CD4"/>
    <w:rsid w:val="00331FD5"/>
    <w:rsid w:val="0033274D"/>
    <w:rsid w:val="0033285A"/>
    <w:rsid w:val="00332D46"/>
    <w:rsid w:val="00332E12"/>
    <w:rsid w:val="0033318F"/>
    <w:rsid w:val="00333819"/>
    <w:rsid w:val="00333E36"/>
    <w:rsid w:val="00333E5E"/>
    <w:rsid w:val="0033450C"/>
    <w:rsid w:val="00334C48"/>
    <w:rsid w:val="00334CC8"/>
    <w:rsid w:val="003351F1"/>
    <w:rsid w:val="0033554F"/>
    <w:rsid w:val="00335621"/>
    <w:rsid w:val="0033574A"/>
    <w:rsid w:val="003357AB"/>
    <w:rsid w:val="00335D2C"/>
    <w:rsid w:val="00336197"/>
    <w:rsid w:val="0033693A"/>
    <w:rsid w:val="00337293"/>
    <w:rsid w:val="003372BE"/>
    <w:rsid w:val="003372C5"/>
    <w:rsid w:val="0033740E"/>
    <w:rsid w:val="00337803"/>
    <w:rsid w:val="003379D2"/>
    <w:rsid w:val="00337D00"/>
    <w:rsid w:val="00337E35"/>
    <w:rsid w:val="00340570"/>
    <w:rsid w:val="00340765"/>
    <w:rsid w:val="003411F7"/>
    <w:rsid w:val="00341475"/>
    <w:rsid w:val="00341748"/>
    <w:rsid w:val="0034185F"/>
    <w:rsid w:val="00341B11"/>
    <w:rsid w:val="00341D03"/>
    <w:rsid w:val="00341D4F"/>
    <w:rsid w:val="00341E4D"/>
    <w:rsid w:val="00342445"/>
    <w:rsid w:val="0034289A"/>
    <w:rsid w:val="003428B3"/>
    <w:rsid w:val="00342B98"/>
    <w:rsid w:val="00342C71"/>
    <w:rsid w:val="00342DAB"/>
    <w:rsid w:val="003436EC"/>
    <w:rsid w:val="00343AC1"/>
    <w:rsid w:val="00343C0B"/>
    <w:rsid w:val="00343EA1"/>
    <w:rsid w:val="00344D51"/>
    <w:rsid w:val="003451B7"/>
    <w:rsid w:val="00345C3D"/>
    <w:rsid w:val="00345F71"/>
    <w:rsid w:val="0034600B"/>
    <w:rsid w:val="00346397"/>
    <w:rsid w:val="00346627"/>
    <w:rsid w:val="00346ACF"/>
    <w:rsid w:val="00346B61"/>
    <w:rsid w:val="00346C53"/>
    <w:rsid w:val="00346F0B"/>
    <w:rsid w:val="00347022"/>
    <w:rsid w:val="003471AB"/>
    <w:rsid w:val="00347236"/>
    <w:rsid w:val="00347257"/>
    <w:rsid w:val="00347BF0"/>
    <w:rsid w:val="00347CCF"/>
    <w:rsid w:val="00347DC4"/>
    <w:rsid w:val="003503D7"/>
    <w:rsid w:val="003505CC"/>
    <w:rsid w:val="00350716"/>
    <w:rsid w:val="0035071E"/>
    <w:rsid w:val="003508BD"/>
    <w:rsid w:val="0035093B"/>
    <w:rsid w:val="00350E3F"/>
    <w:rsid w:val="00350E4C"/>
    <w:rsid w:val="00350EDE"/>
    <w:rsid w:val="00350F35"/>
    <w:rsid w:val="003512E7"/>
    <w:rsid w:val="00351422"/>
    <w:rsid w:val="00351563"/>
    <w:rsid w:val="003516DD"/>
    <w:rsid w:val="00351C55"/>
    <w:rsid w:val="00351E94"/>
    <w:rsid w:val="00352015"/>
    <w:rsid w:val="00352399"/>
    <w:rsid w:val="00352538"/>
    <w:rsid w:val="003529C9"/>
    <w:rsid w:val="00352EC3"/>
    <w:rsid w:val="00352FDC"/>
    <w:rsid w:val="00353126"/>
    <w:rsid w:val="0035365D"/>
    <w:rsid w:val="00353936"/>
    <w:rsid w:val="00353C9D"/>
    <w:rsid w:val="0035418A"/>
    <w:rsid w:val="003542B3"/>
    <w:rsid w:val="0035467A"/>
    <w:rsid w:val="00354771"/>
    <w:rsid w:val="00354EB5"/>
    <w:rsid w:val="00355276"/>
    <w:rsid w:val="003554E0"/>
    <w:rsid w:val="00355B17"/>
    <w:rsid w:val="003560F8"/>
    <w:rsid w:val="00356356"/>
    <w:rsid w:val="00356B0F"/>
    <w:rsid w:val="00356BC0"/>
    <w:rsid w:val="00357063"/>
    <w:rsid w:val="00357849"/>
    <w:rsid w:val="00357A2F"/>
    <w:rsid w:val="00360511"/>
    <w:rsid w:val="0036054B"/>
    <w:rsid w:val="00360599"/>
    <w:rsid w:val="00360681"/>
    <w:rsid w:val="00360D57"/>
    <w:rsid w:val="00361833"/>
    <w:rsid w:val="00362214"/>
    <w:rsid w:val="00362444"/>
    <w:rsid w:val="003629CF"/>
    <w:rsid w:val="00362B9A"/>
    <w:rsid w:val="00362CAE"/>
    <w:rsid w:val="003631C6"/>
    <w:rsid w:val="0036327D"/>
    <w:rsid w:val="00363766"/>
    <w:rsid w:val="00363890"/>
    <w:rsid w:val="0036393C"/>
    <w:rsid w:val="00363991"/>
    <w:rsid w:val="00363B26"/>
    <w:rsid w:val="0036433A"/>
    <w:rsid w:val="0036439C"/>
    <w:rsid w:val="00364FDC"/>
    <w:rsid w:val="00365161"/>
    <w:rsid w:val="00365330"/>
    <w:rsid w:val="0036543C"/>
    <w:rsid w:val="00365622"/>
    <w:rsid w:val="0036570A"/>
    <w:rsid w:val="00365BBA"/>
    <w:rsid w:val="00365BFA"/>
    <w:rsid w:val="0036612B"/>
    <w:rsid w:val="003661E2"/>
    <w:rsid w:val="003662E8"/>
    <w:rsid w:val="003663DA"/>
    <w:rsid w:val="00366AD9"/>
    <w:rsid w:val="00366CEF"/>
    <w:rsid w:val="00366D5B"/>
    <w:rsid w:val="00367389"/>
    <w:rsid w:val="003673BF"/>
    <w:rsid w:val="00367AF4"/>
    <w:rsid w:val="00367FAF"/>
    <w:rsid w:val="0037014F"/>
    <w:rsid w:val="00370636"/>
    <w:rsid w:val="00370E3F"/>
    <w:rsid w:val="00370E7D"/>
    <w:rsid w:val="003718A5"/>
    <w:rsid w:val="00371DC0"/>
    <w:rsid w:val="00372469"/>
    <w:rsid w:val="00372680"/>
    <w:rsid w:val="00372722"/>
    <w:rsid w:val="0037294E"/>
    <w:rsid w:val="00372970"/>
    <w:rsid w:val="00373A76"/>
    <w:rsid w:val="00373C7D"/>
    <w:rsid w:val="0037435F"/>
    <w:rsid w:val="00374B4D"/>
    <w:rsid w:val="00374BCA"/>
    <w:rsid w:val="0037519E"/>
    <w:rsid w:val="0037526C"/>
    <w:rsid w:val="003752EC"/>
    <w:rsid w:val="0037565F"/>
    <w:rsid w:val="00375A78"/>
    <w:rsid w:val="00375BB2"/>
    <w:rsid w:val="00376409"/>
    <w:rsid w:val="0037660F"/>
    <w:rsid w:val="003766A7"/>
    <w:rsid w:val="00376715"/>
    <w:rsid w:val="00376FA6"/>
    <w:rsid w:val="0037720A"/>
    <w:rsid w:val="00377CAF"/>
    <w:rsid w:val="003807D4"/>
    <w:rsid w:val="003808B1"/>
    <w:rsid w:val="00380B1A"/>
    <w:rsid w:val="00381B91"/>
    <w:rsid w:val="00381CD7"/>
    <w:rsid w:val="003825E9"/>
    <w:rsid w:val="003827C8"/>
    <w:rsid w:val="00382BFA"/>
    <w:rsid w:val="00382C44"/>
    <w:rsid w:val="00382D09"/>
    <w:rsid w:val="00383022"/>
    <w:rsid w:val="0038374E"/>
    <w:rsid w:val="00383D3D"/>
    <w:rsid w:val="00383E41"/>
    <w:rsid w:val="00383E47"/>
    <w:rsid w:val="003841AB"/>
    <w:rsid w:val="00384405"/>
    <w:rsid w:val="0038454C"/>
    <w:rsid w:val="00384583"/>
    <w:rsid w:val="00384D39"/>
    <w:rsid w:val="003861E0"/>
    <w:rsid w:val="00386AF1"/>
    <w:rsid w:val="00386BC9"/>
    <w:rsid w:val="00386BCE"/>
    <w:rsid w:val="00386D1A"/>
    <w:rsid w:val="00386FDB"/>
    <w:rsid w:val="00386FF4"/>
    <w:rsid w:val="0038747E"/>
    <w:rsid w:val="00387818"/>
    <w:rsid w:val="0038793B"/>
    <w:rsid w:val="00387AAA"/>
    <w:rsid w:val="00387D4A"/>
    <w:rsid w:val="00387D4C"/>
    <w:rsid w:val="00387DBA"/>
    <w:rsid w:val="003904F6"/>
    <w:rsid w:val="00390540"/>
    <w:rsid w:val="003907D9"/>
    <w:rsid w:val="0039080F"/>
    <w:rsid w:val="00390919"/>
    <w:rsid w:val="00390A51"/>
    <w:rsid w:val="00390B9D"/>
    <w:rsid w:val="00390F8C"/>
    <w:rsid w:val="0039166B"/>
    <w:rsid w:val="003916D4"/>
    <w:rsid w:val="003917E6"/>
    <w:rsid w:val="00391BBB"/>
    <w:rsid w:val="00392632"/>
    <w:rsid w:val="00392CCA"/>
    <w:rsid w:val="003935AB"/>
    <w:rsid w:val="003935D5"/>
    <w:rsid w:val="00393D1B"/>
    <w:rsid w:val="00393E71"/>
    <w:rsid w:val="00394557"/>
    <w:rsid w:val="003948AD"/>
    <w:rsid w:val="0039496C"/>
    <w:rsid w:val="00394A01"/>
    <w:rsid w:val="00394FD2"/>
    <w:rsid w:val="00395047"/>
    <w:rsid w:val="00395222"/>
    <w:rsid w:val="0039566A"/>
    <w:rsid w:val="00396058"/>
    <w:rsid w:val="0039606E"/>
    <w:rsid w:val="00396374"/>
    <w:rsid w:val="003964B7"/>
    <w:rsid w:val="0039687B"/>
    <w:rsid w:val="00396A2D"/>
    <w:rsid w:val="00397686"/>
    <w:rsid w:val="00397A00"/>
    <w:rsid w:val="003A0217"/>
    <w:rsid w:val="003A05C9"/>
    <w:rsid w:val="003A0700"/>
    <w:rsid w:val="003A09A6"/>
    <w:rsid w:val="003A12C6"/>
    <w:rsid w:val="003A1F26"/>
    <w:rsid w:val="003A23DA"/>
    <w:rsid w:val="003A274C"/>
    <w:rsid w:val="003A2DA8"/>
    <w:rsid w:val="003A31B2"/>
    <w:rsid w:val="003A3322"/>
    <w:rsid w:val="003A37A8"/>
    <w:rsid w:val="003A386B"/>
    <w:rsid w:val="003A3D57"/>
    <w:rsid w:val="003A3E4B"/>
    <w:rsid w:val="003A42C6"/>
    <w:rsid w:val="003A43A6"/>
    <w:rsid w:val="003A47ED"/>
    <w:rsid w:val="003A48DD"/>
    <w:rsid w:val="003A49BA"/>
    <w:rsid w:val="003A4F3F"/>
    <w:rsid w:val="003A5389"/>
    <w:rsid w:val="003A544D"/>
    <w:rsid w:val="003A5C32"/>
    <w:rsid w:val="003A5D7C"/>
    <w:rsid w:val="003A6C1E"/>
    <w:rsid w:val="003A6EE3"/>
    <w:rsid w:val="003A7103"/>
    <w:rsid w:val="003A73D9"/>
    <w:rsid w:val="003A762E"/>
    <w:rsid w:val="003B0103"/>
    <w:rsid w:val="003B03C5"/>
    <w:rsid w:val="003B07B1"/>
    <w:rsid w:val="003B0B99"/>
    <w:rsid w:val="003B123C"/>
    <w:rsid w:val="003B12F2"/>
    <w:rsid w:val="003B1C32"/>
    <w:rsid w:val="003B2733"/>
    <w:rsid w:val="003B27FF"/>
    <w:rsid w:val="003B28AF"/>
    <w:rsid w:val="003B31B9"/>
    <w:rsid w:val="003B33F3"/>
    <w:rsid w:val="003B39CF"/>
    <w:rsid w:val="003B3DA4"/>
    <w:rsid w:val="003B429D"/>
    <w:rsid w:val="003B430A"/>
    <w:rsid w:val="003B4402"/>
    <w:rsid w:val="003B4D5F"/>
    <w:rsid w:val="003B51CA"/>
    <w:rsid w:val="003B52B9"/>
    <w:rsid w:val="003B57A6"/>
    <w:rsid w:val="003B5B0E"/>
    <w:rsid w:val="003B5EAF"/>
    <w:rsid w:val="003B5FA5"/>
    <w:rsid w:val="003B627B"/>
    <w:rsid w:val="003B6A53"/>
    <w:rsid w:val="003B6B13"/>
    <w:rsid w:val="003B6C68"/>
    <w:rsid w:val="003B6F39"/>
    <w:rsid w:val="003B7A64"/>
    <w:rsid w:val="003B7C6B"/>
    <w:rsid w:val="003B7CFB"/>
    <w:rsid w:val="003B7F9E"/>
    <w:rsid w:val="003C0003"/>
    <w:rsid w:val="003C02F5"/>
    <w:rsid w:val="003C0531"/>
    <w:rsid w:val="003C05AF"/>
    <w:rsid w:val="003C0D0B"/>
    <w:rsid w:val="003C133B"/>
    <w:rsid w:val="003C1BE6"/>
    <w:rsid w:val="003C1F73"/>
    <w:rsid w:val="003C2326"/>
    <w:rsid w:val="003C24E0"/>
    <w:rsid w:val="003C25EA"/>
    <w:rsid w:val="003C2A2D"/>
    <w:rsid w:val="003C2EFA"/>
    <w:rsid w:val="003C31BE"/>
    <w:rsid w:val="003C32F4"/>
    <w:rsid w:val="003C3449"/>
    <w:rsid w:val="003C3794"/>
    <w:rsid w:val="003C3982"/>
    <w:rsid w:val="003C3BC2"/>
    <w:rsid w:val="003C3C08"/>
    <w:rsid w:val="003C3D47"/>
    <w:rsid w:val="003C3EF1"/>
    <w:rsid w:val="003C43FE"/>
    <w:rsid w:val="003C4BF8"/>
    <w:rsid w:val="003C5247"/>
    <w:rsid w:val="003C5354"/>
    <w:rsid w:val="003C5CDE"/>
    <w:rsid w:val="003C5DA3"/>
    <w:rsid w:val="003C5DA6"/>
    <w:rsid w:val="003C5F1E"/>
    <w:rsid w:val="003C664E"/>
    <w:rsid w:val="003C691B"/>
    <w:rsid w:val="003C69E4"/>
    <w:rsid w:val="003C6A8B"/>
    <w:rsid w:val="003C6AC7"/>
    <w:rsid w:val="003C6E8C"/>
    <w:rsid w:val="003C73E3"/>
    <w:rsid w:val="003C7822"/>
    <w:rsid w:val="003C7D2D"/>
    <w:rsid w:val="003C7DCB"/>
    <w:rsid w:val="003D0208"/>
    <w:rsid w:val="003D089E"/>
    <w:rsid w:val="003D15C9"/>
    <w:rsid w:val="003D1834"/>
    <w:rsid w:val="003D1A5F"/>
    <w:rsid w:val="003D2992"/>
    <w:rsid w:val="003D2BF1"/>
    <w:rsid w:val="003D33C6"/>
    <w:rsid w:val="003D3C85"/>
    <w:rsid w:val="003D3E1F"/>
    <w:rsid w:val="003D4A51"/>
    <w:rsid w:val="003D52DC"/>
    <w:rsid w:val="003D538E"/>
    <w:rsid w:val="003D5532"/>
    <w:rsid w:val="003D5539"/>
    <w:rsid w:val="003D562A"/>
    <w:rsid w:val="003D5BD3"/>
    <w:rsid w:val="003D65ED"/>
    <w:rsid w:val="003D6778"/>
    <w:rsid w:val="003D6B8A"/>
    <w:rsid w:val="003D6F63"/>
    <w:rsid w:val="003D709A"/>
    <w:rsid w:val="003D7175"/>
    <w:rsid w:val="003D7505"/>
    <w:rsid w:val="003D77C8"/>
    <w:rsid w:val="003E00CE"/>
    <w:rsid w:val="003E017B"/>
    <w:rsid w:val="003E07FD"/>
    <w:rsid w:val="003E0C39"/>
    <w:rsid w:val="003E0F0B"/>
    <w:rsid w:val="003E10C8"/>
    <w:rsid w:val="003E14A6"/>
    <w:rsid w:val="003E21D0"/>
    <w:rsid w:val="003E2233"/>
    <w:rsid w:val="003E227B"/>
    <w:rsid w:val="003E238A"/>
    <w:rsid w:val="003E29B7"/>
    <w:rsid w:val="003E30E0"/>
    <w:rsid w:val="003E342B"/>
    <w:rsid w:val="003E36B7"/>
    <w:rsid w:val="003E38EB"/>
    <w:rsid w:val="003E3921"/>
    <w:rsid w:val="003E3A45"/>
    <w:rsid w:val="003E3CBE"/>
    <w:rsid w:val="003E4AD5"/>
    <w:rsid w:val="003E58D6"/>
    <w:rsid w:val="003E5EE4"/>
    <w:rsid w:val="003E6361"/>
    <w:rsid w:val="003E6A31"/>
    <w:rsid w:val="003E6D5B"/>
    <w:rsid w:val="003E6D94"/>
    <w:rsid w:val="003E7081"/>
    <w:rsid w:val="003E72C4"/>
    <w:rsid w:val="003E7ABB"/>
    <w:rsid w:val="003F0437"/>
    <w:rsid w:val="003F1206"/>
    <w:rsid w:val="003F1249"/>
    <w:rsid w:val="003F1342"/>
    <w:rsid w:val="003F16C8"/>
    <w:rsid w:val="003F16E0"/>
    <w:rsid w:val="003F175E"/>
    <w:rsid w:val="003F18FD"/>
    <w:rsid w:val="003F1DBD"/>
    <w:rsid w:val="003F2124"/>
    <w:rsid w:val="003F25DA"/>
    <w:rsid w:val="003F356A"/>
    <w:rsid w:val="003F3989"/>
    <w:rsid w:val="003F3E80"/>
    <w:rsid w:val="003F4104"/>
    <w:rsid w:val="003F4259"/>
    <w:rsid w:val="003F4749"/>
    <w:rsid w:val="003F4783"/>
    <w:rsid w:val="003F4828"/>
    <w:rsid w:val="003F492F"/>
    <w:rsid w:val="003F4E51"/>
    <w:rsid w:val="003F547A"/>
    <w:rsid w:val="003F57FF"/>
    <w:rsid w:val="003F5E9D"/>
    <w:rsid w:val="003F60CA"/>
    <w:rsid w:val="003F63A5"/>
    <w:rsid w:val="003F658E"/>
    <w:rsid w:val="003F68B8"/>
    <w:rsid w:val="003F6988"/>
    <w:rsid w:val="003F698C"/>
    <w:rsid w:val="003F6D6E"/>
    <w:rsid w:val="003F7048"/>
    <w:rsid w:val="003F7829"/>
    <w:rsid w:val="003F7D5D"/>
    <w:rsid w:val="003F7FE3"/>
    <w:rsid w:val="004003CF"/>
    <w:rsid w:val="00400778"/>
    <w:rsid w:val="00400BFB"/>
    <w:rsid w:val="00401336"/>
    <w:rsid w:val="004014A1"/>
    <w:rsid w:val="0040164E"/>
    <w:rsid w:val="0040199F"/>
    <w:rsid w:val="00401F47"/>
    <w:rsid w:val="00402045"/>
    <w:rsid w:val="0040246D"/>
    <w:rsid w:val="004024B2"/>
    <w:rsid w:val="00402699"/>
    <w:rsid w:val="00402FAF"/>
    <w:rsid w:val="00402FC5"/>
    <w:rsid w:val="00403878"/>
    <w:rsid w:val="00403BFD"/>
    <w:rsid w:val="00403F2A"/>
    <w:rsid w:val="0040421A"/>
    <w:rsid w:val="0040445F"/>
    <w:rsid w:val="00404584"/>
    <w:rsid w:val="004047A6"/>
    <w:rsid w:val="00404FDB"/>
    <w:rsid w:val="004052AD"/>
    <w:rsid w:val="004057AA"/>
    <w:rsid w:val="00405C6C"/>
    <w:rsid w:val="00405E95"/>
    <w:rsid w:val="004061C2"/>
    <w:rsid w:val="004067B5"/>
    <w:rsid w:val="00406C30"/>
    <w:rsid w:val="00406E03"/>
    <w:rsid w:val="00406F91"/>
    <w:rsid w:val="004070B1"/>
    <w:rsid w:val="0040764B"/>
    <w:rsid w:val="0040787E"/>
    <w:rsid w:val="00407DA3"/>
    <w:rsid w:val="00407E14"/>
    <w:rsid w:val="00407F0E"/>
    <w:rsid w:val="0041017E"/>
    <w:rsid w:val="004102B3"/>
    <w:rsid w:val="0041068E"/>
    <w:rsid w:val="004108FD"/>
    <w:rsid w:val="004109D8"/>
    <w:rsid w:val="00410CCE"/>
    <w:rsid w:val="00410E2C"/>
    <w:rsid w:val="0041153F"/>
    <w:rsid w:val="00411900"/>
    <w:rsid w:val="00411A42"/>
    <w:rsid w:val="00412241"/>
    <w:rsid w:val="004122F2"/>
    <w:rsid w:val="0041267D"/>
    <w:rsid w:val="004128D4"/>
    <w:rsid w:val="00412E27"/>
    <w:rsid w:val="00412E5A"/>
    <w:rsid w:val="00413063"/>
    <w:rsid w:val="004135DC"/>
    <w:rsid w:val="00413969"/>
    <w:rsid w:val="004139CA"/>
    <w:rsid w:val="0041425B"/>
    <w:rsid w:val="00414D50"/>
    <w:rsid w:val="00415522"/>
    <w:rsid w:val="004156F3"/>
    <w:rsid w:val="0041584C"/>
    <w:rsid w:val="00415A14"/>
    <w:rsid w:val="00416071"/>
    <w:rsid w:val="0041611A"/>
    <w:rsid w:val="004164C9"/>
    <w:rsid w:val="0041680E"/>
    <w:rsid w:val="00416D31"/>
    <w:rsid w:val="004173A4"/>
    <w:rsid w:val="0041786D"/>
    <w:rsid w:val="00417F85"/>
    <w:rsid w:val="0042004D"/>
    <w:rsid w:val="004202F8"/>
    <w:rsid w:val="0042035D"/>
    <w:rsid w:val="0042040B"/>
    <w:rsid w:val="00420897"/>
    <w:rsid w:val="00420A61"/>
    <w:rsid w:val="00420E11"/>
    <w:rsid w:val="0042119D"/>
    <w:rsid w:val="00421798"/>
    <w:rsid w:val="00421B8C"/>
    <w:rsid w:val="00421D39"/>
    <w:rsid w:val="004220FB"/>
    <w:rsid w:val="0042230E"/>
    <w:rsid w:val="004223A3"/>
    <w:rsid w:val="004224B0"/>
    <w:rsid w:val="004226CF"/>
    <w:rsid w:val="004233C1"/>
    <w:rsid w:val="004233DC"/>
    <w:rsid w:val="0042345B"/>
    <w:rsid w:val="004237FC"/>
    <w:rsid w:val="00423BEB"/>
    <w:rsid w:val="00424129"/>
    <w:rsid w:val="0042426C"/>
    <w:rsid w:val="0042443F"/>
    <w:rsid w:val="00424D63"/>
    <w:rsid w:val="00425141"/>
    <w:rsid w:val="004251D1"/>
    <w:rsid w:val="004252DD"/>
    <w:rsid w:val="00425677"/>
    <w:rsid w:val="004257BE"/>
    <w:rsid w:val="0042580A"/>
    <w:rsid w:val="00425966"/>
    <w:rsid w:val="00425EF1"/>
    <w:rsid w:val="004261F5"/>
    <w:rsid w:val="00426DA0"/>
    <w:rsid w:val="00427667"/>
    <w:rsid w:val="004305D5"/>
    <w:rsid w:val="00430BB3"/>
    <w:rsid w:val="00430BF8"/>
    <w:rsid w:val="004315E1"/>
    <w:rsid w:val="00432279"/>
    <w:rsid w:val="00432797"/>
    <w:rsid w:val="004327A1"/>
    <w:rsid w:val="004328F0"/>
    <w:rsid w:val="0043295B"/>
    <w:rsid w:val="004339D2"/>
    <w:rsid w:val="00433F56"/>
    <w:rsid w:val="00434345"/>
    <w:rsid w:val="00434791"/>
    <w:rsid w:val="00434A1E"/>
    <w:rsid w:val="004355DB"/>
    <w:rsid w:val="0043577D"/>
    <w:rsid w:val="00435A3A"/>
    <w:rsid w:val="00435E7D"/>
    <w:rsid w:val="0043626D"/>
    <w:rsid w:val="0043693B"/>
    <w:rsid w:val="00436BBE"/>
    <w:rsid w:val="00436F40"/>
    <w:rsid w:val="0043720C"/>
    <w:rsid w:val="00437552"/>
    <w:rsid w:val="00437B8D"/>
    <w:rsid w:val="00437C4F"/>
    <w:rsid w:val="00437E3D"/>
    <w:rsid w:val="00440267"/>
    <w:rsid w:val="00440A37"/>
    <w:rsid w:val="00440BC6"/>
    <w:rsid w:val="00440D53"/>
    <w:rsid w:val="00440EC8"/>
    <w:rsid w:val="0044107D"/>
    <w:rsid w:val="0044166C"/>
    <w:rsid w:val="004418BE"/>
    <w:rsid w:val="00441DDE"/>
    <w:rsid w:val="004421EE"/>
    <w:rsid w:val="00442245"/>
    <w:rsid w:val="004422D0"/>
    <w:rsid w:val="00442500"/>
    <w:rsid w:val="004426AD"/>
    <w:rsid w:val="0044308E"/>
    <w:rsid w:val="00443118"/>
    <w:rsid w:val="00443820"/>
    <w:rsid w:val="00443FEB"/>
    <w:rsid w:val="00444528"/>
    <w:rsid w:val="004448DC"/>
    <w:rsid w:val="00444A6E"/>
    <w:rsid w:val="00444FF5"/>
    <w:rsid w:val="00445349"/>
    <w:rsid w:val="00445445"/>
    <w:rsid w:val="004457CB"/>
    <w:rsid w:val="00445A1B"/>
    <w:rsid w:val="00445CEA"/>
    <w:rsid w:val="00445E14"/>
    <w:rsid w:val="00445F12"/>
    <w:rsid w:val="00446261"/>
    <w:rsid w:val="00446810"/>
    <w:rsid w:val="00446CAD"/>
    <w:rsid w:val="00446ECE"/>
    <w:rsid w:val="00447075"/>
    <w:rsid w:val="0044730C"/>
    <w:rsid w:val="004475A7"/>
    <w:rsid w:val="004503D0"/>
    <w:rsid w:val="004505EB"/>
    <w:rsid w:val="00450837"/>
    <w:rsid w:val="00451698"/>
    <w:rsid w:val="00452804"/>
    <w:rsid w:val="004528A8"/>
    <w:rsid w:val="0045337D"/>
    <w:rsid w:val="00453707"/>
    <w:rsid w:val="00453D44"/>
    <w:rsid w:val="00453FD0"/>
    <w:rsid w:val="004547B6"/>
    <w:rsid w:val="00454C57"/>
    <w:rsid w:val="00454C69"/>
    <w:rsid w:val="00454D48"/>
    <w:rsid w:val="00455075"/>
    <w:rsid w:val="00455219"/>
    <w:rsid w:val="00455228"/>
    <w:rsid w:val="0045524F"/>
    <w:rsid w:val="004562F4"/>
    <w:rsid w:val="00456986"/>
    <w:rsid w:val="00456AC6"/>
    <w:rsid w:val="00456C08"/>
    <w:rsid w:val="00456D57"/>
    <w:rsid w:val="00456EF6"/>
    <w:rsid w:val="004579DD"/>
    <w:rsid w:val="00457D0E"/>
    <w:rsid w:val="00457D6B"/>
    <w:rsid w:val="004601A5"/>
    <w:rsid w:val="0046025D"/>
    <w:rsid w:val="0046119D"/>
    <w:rsid w:val="004612C2"/>
    <w:rsid w:val="004612FF"/>
    <w:rsid w:val="0046146A"/>
    <w:rsid w:val="00461EA4"/>
    <w:rsid w:val="0046294C"/>
    <w:rsid w:val="00462BCE"/>
    <w:rsid w:val="00462CEC"/>
    <w:rsid w:val="004630F5"/>
    <w:rsid w:val="0046322C"/>
    <w:rsid w:val="00463384"/>
    <w:rsid w:val="00463B9D"/>
    <w:rsid w:val="00463F15"/>
    <w:rsid w:val="00464090"/>
    <w:rsid w:val="00464250"/>
    <w:rsid w:val="00464380"/>
    <w:rsid w:val="004644D5"/>
    <w:rsid w:val="0046451B"/>
    <w:rsid w:val="00464B9C"/>
    <w:rsid w:val="00465068"/>
    <w:rsid w:val="004650D3"/>
    <w:rsid w:val="0046590F"/>
    <w:rsid w:val="00465CE9"/>
    <w:rsid w:val="00465D72"/>
    <w:rsid w:val="00466699"/>
    <w:rsid w:val="00467462"/>
    <w:rsid w:val="004679E2"/>
    <w:rsid w:val="00467C82"/>
    <w:rsid w:val="00467F5C"/>
    <w:rsid w:val="004700F7"/>
    <w:rsid w:val="00470332"/>
    <w:rsid w:val="004707D0"/>
    <w:rsid w:val="00470AE2"/>
    <w:rsid w:val="00470C34"/>
    <w:rsid w:val="00470C91"/>
    <w:rsid w:val="00470EF5"/>
    <w:rsid w:val="00471274"/>
    <w:rsid w:val="00471B76"/>
    <w:rsid w:val="004721DF"/>
    <w:rsid w:val="0047295A"/>
    <w:rsid w:val="00472C26"/>
    <w:rsid w:val="0047320D"/>
    <w:rsid w:val="004733E6"/>
    <w:rsid w:val="0047366E"/>
    <w:rsid w:val="00473850"/>
    <w:rsid w:val="00473B4C"/>
    <w:rsid w:val="00473E86"/>
    <w:rsid w:val="00473FBD"/>
    <w:rsid w:val="00474049"/>
    <w:rsid w:val="00474D44"/>
    <w:rsid w:val="00474D87"/>
    <w:rsid w:val="004758F1"/>
    <w:rsid w:val="00475E21"/>
    <w:rsid w:val="00475E67"/>
    <w:rsid w:val="00476664"/>
    <w:rsid w:val="0047668A"/>
    <w:rsid w:val="00476989"/>
    <w:rsid w:val="00476BEF"/>
    <w:rsid w:val="00477437"/>
    <w:rsid w:val="004808AF"/>
    <w:rsid w:val="004809BA"/>
    <w:rsid w:val="004811EF"/>
    <w:rsid w:val="0048142C"/>
    <w:rsid w:val="0048155B"/>
    <w:rsid w:val="00481B13"/>
    <w:rsid w:val="00481B65"/>
    <w:rsid w:val="00481BAF"/>
    <w:rsid w:val="00482504"/>
    <w:rsid w:val="00482AFA"/>
    <w:rsid w:val="00482EEA"/>
    <w:rsid w:val="00483184"/>
    <w:rsid w:val="00483B63"/>
    <w:rsid w:val="00483CF9"/>
    <w:rsid w:val="00483FD9"/>
    <w:rsid w:val="004840A4"/>
    <w:rsid w:val="004849CA"/>
    <w:rsid w:val="00484B72"/>
    <w:rsid w:val="00484CD8"/>
    <w:rsid w:val="00484E32"/>
    <w:rsid w:val="0048503C"/>
    <w:rsid w:val="004850F6"/>
    <w:rsid w:val="004859DC"/>
    <w:rsid w:val="00485A12"/>
    <w:rsid w:val="00485A58"/>
    <w:rsid w:val="00485B72"/>
    <w:rsid w:val="004861DD"/>
    <w:rsid w:val="004869C2"/>
    <w:rsid w:val="004871AB"/>
    <w:rsid w:val="00490638"/>
    <w:rsid w:val="00490B19"/>
    <w:rsid w:val="00490C7B"/>
    <w:rsid w:val="00490D2A"/>
    <w:rsid w:val="00490FEF"/>
    <w:rsid w:val="0049127F"/>
    <w:rsid w:val="004912B8"/>
    <w:rsid w:val="00491769"/>
    <w:rsid w:val="00491AD1"/>
    <w:rsid w:val="00491F00"/>
    <w:rsid w:val="00492054"/>
    <w:rsid w:val="0049268B"/>
    <w:rsid w:val="00492DE3"/>
    <w:rsid w:val="00492E85"/>
    <w:rsid w:val="004938AF"/>
    <w:rsid w:val="00493A77"/>
    <w:rsid w:val="00493AD1"/>
    <w:rsid w:val="00493C54"/>
    <w:rsid w:val="004943BD"/>
    <w:rsid w:val="00494570"/>
    <w:rsid w:val="004948A5"/>
    <w:rsid w:val="004949DD"/>
    <w:rsid w:val="00494C60"/>
    <w:rsid w:val="00494EAC"/>
    <w:rsid w:val="00495242"/>
    <w:rsid w:val="00495262"/>
    <w:rsid w:val="00495338"/>
    <w:rsid w:val="00495EA6"/>
    <w:rsid w:val="00495ECB"/>
    <w:rsid w:val="00495F25"/>
    <w:rsid w:val="00496960"/>
    <w:rsid w:val="004970B6"/>
    <w:rsid w:val="00497B31"/>
    <w:rsid w:val="00497E00"/>
    <w:rsid w:val="00497F57"/>
    <w:rsid w:val="004A0313"/>
    <w:rsid w:val="004A044A"/>
    <w:rsid w:val="004A0692"/>
    <w:rsid w:val="004A0BD5"/>
    <w:rsid w:val="004A0DD2"/>
    <w:rsid w:val="004A132E"/>
    <w:rsid w:val="004A18B4"/>
    <w:rsid w:val="004A234E"/>
    <w:rsid w:val="004A238A"/>
    <w:rsid w:val="004A278F"/>
    <w:rsid w:val="004A2AFE"/>
    <w:rsid w:val="004A2B03"/>
    <w:rsid w:val="004A2E59"/>
    <w:rsid w:val="004A2F1E"/>
    <w:rsid w:val="004A4035"/>
    <w:rsid w:val="004A431E"/>
    <w:rsid w:val="004A4BF0"/>
    <w:rsid w:val="004A5A0C"/>
    <w:rsid w:val="004A5C5C"/>
    <w:rsid w:val="004A5E36"/>
    <w:rsid w:val="004A603E"/>
    <w:rsid w:val="004A64DF"/>
    <w:rsid w:val="004A6C71"/>
    <w:rsid w:val="004A6F3A"/>
    <w:rsid w:val="004A714D"/>
    <w:rsid w:val="004A73AC"/>
    <w:rsid w:val="004A753A"/>
    <w:rsid w:val="004A7608"/>
    <w:rsid w:val="004A781A"/>
    <w:rsid w:val="004A7897"/>
    <w:rsid w:val="004A7A0F"/>
    <w:rsid w:val="004B08B4"/>
    <w:rsid w:val="004B08C5"/>
    <w:rsid w:val="004B0A93"/>
    <w:rsid w:val="004B0BC9"/>
    <w:rsid w:val="004B0ED7"/>
    <w:rsid w:val="004B1528"/>
    <w:rsid w:val="004B19E4"/>
    <w:rsid w:val="004B1F24"/>
    <w:rsid w:val="004B2CFD"/>
    <w:rsid w:val="004B2EAB"/>
    <w:rsid w:val="004B3126"/>
    <w:rsid w:val="004B35D7"/>
    <w:rsid w:val="004B438B"/>
    <w:rsid w:val="004B463E"/>
    <w:rsid w:val="004B470E"/>
    <w:rsid w:val="004B4F5D"/>
    <w:rsid w:val="004B55F4"/>
    <w:rsid w:val="004B5A4C"/>
    <w:rsid w:val="004B5A59"/>
    <w:rsid w:val="004B5ACB"/>
    <w:rsid w:val="004B5FAE"/>
    <w:rsid w:val="004B60F0"/>
    <w:rsid w:val="004B6165"/>
    <w:rsid w:val="004B6654"/>
    <w:rsid w:val="004B6C75"/>
    <w:rsid w:val="004B74C9"/>
    <w:rsid w:val="004B7553"/>
    <w:rsid w:val="004B7876"/>
    <w:rsid w:val="004B7DF8"/>
    <w:rsid w:val="004C007E"/>
    <w:rsid w:val="004C0403"/>
    <w:rsid w:val="004C0746"/>
    <w:rsid w:val="004C0971"/>
    <w:rsid w:val="004C0BFF"/>
    <w:rsid w:val="004C0F15"/>
    <w:rsid w:val="004C1485"/>
    <w:rsid w:val="004C1971"/>
    <w:rsid w:val="004C1BFB"/>
    <w:rsid w:val="004C2099"/>
    <w:rsid w:val="004C2107"/>
    <w:rsid w:val="004C2373"/>
    <w:rsid w:val="004C245F"/>
    <w:rsid w:val="004C252B"/>
    <w:rsid w:val="004C25F5"/>
    <w:rsid w:val="004C2930"/>
    <w:rsid w:val="004C2C52"/>
    <w:rsid w:val="004C2F94"/>
    <w:rsid w:val="004C349D"/>
    <w:rsid w:val="004C3615"/>
    <w:rsid w:val="004C4477"/>
    <w:rsid w:val="004C47C4"/>
    <w:rsid w:val="004C4A10"/>
    <w:rsid w:val="004C4AB6"/>
    <w:rsid w:val="004C5323"/>
    <w:rsid w:val="004C54CA"/>
    <w:rsid w:val="004C585E"/>
    <w:rsid w:val="004C5D08"/>
    <w:rsid w:val="004C5F19"/>
    <w:rsid w:val="004C5F4A"/>
    <w:rsid w:val="004C62B6"/>
    <w:rsid w:val="004C66D3"/>
    <w:rsid w:val="004C66D5"/>
    <w:rsid w:val="004C68CE"/>
    <w:rsid w:val="004C69F2"/>
    <w:rsid w:val="004C6B6C"/>
    <w:rsid w:val="004C6D1B"/>
    <w:rsid w:val="004C7066"/>
    <w:rsid w:val="004C7114"/>
    <w:rsid w:val="004C75B9"/>
    <w:rsid w:val="004D00DD"/>
    <w:rsid w:val="004D0188"/>
    <w:rsid w:val="004D0429"/>
    <w:rsid w:val="004D06A7"/>
    <w:rsid w:val="004D0CD5"/>
    <w:rsid w:val="004D112F"/>
    <w:rsid w:val="004D123F"/>
    <w:rsid w:val="004D15CA"/>
    <w:rsid w:val="004D17A9"/>
    <w:rsid w:val="004D21F0"/>
    <w:rsid w:val="004D26CA"/>
    <w:rsid w:val="004D3282"/>
    <w:rsid w:val="004D3A53"/>
    <w:rsid w:val="004D3B34"/>
    <w:rsid w:val="004D3D34"/>
    <w:rsid w:val="004D41A8"/>
    <w:rsid w:val="004D49BB"/>
    <w:rsid w:val="004D4D0D"/>
    <w:rsid w:val="004D4E62"/>
    <w:rsid w:val="004D5B73"/>
    <w:rsid w:val="004D5D05"/>
    <w:rsid w:val="004D612A"/>
    <w:rsid w:val="004D7684"/>
    <w:rsid w:val="004D79A8"/>
    <w:rsid w:val="004D7C3D"/>
    <w:rsid w:val="004D7C54"/>
    <w:rsid w:val="004D7C64"/>
    <w:rsid w:val="004E0217"/>
    <w:rsid w:val="004E06A0"/>
    <w:rsid w:val="004E0DC3"/>
    <w:rsid w:val="004E1235"/>
    <w:rsid w:val="004E16F4"/>
    <w:rsid w:val="004E1AF7"/>
    <w:rsid w:val="004E2067"/>
    <w:rsid w:val="004E223D"/>
    <w:rsid w:val="004E27FD"/>
    <w:rsid w:val="004E28AC"/>
    <w:rsid w:val="004E297B"/>
    <w:rsid w:val="004E2AA5"/>
    <w:rsid w:val="004E30D8"/>
    <w:rsid w:val="004E337D"/>
    <w:rsid w:val="004E3BCB"/>
    <w:rsid w:val="004E3DF3"/>
    <w:rsid w:val="004E409D"/>
    <w:rsid w:val="004E47CE"/>
    <w:rsid w:val="004E51A0"/>
    <w:rsid w:val="004E5677"/>
    <w:rsid w:val="004E64F4"/>
    <w:rsid w:val="004E6710"/>
    <w:rsid w:val="004E6867"/>
    <w:rsid w:val="004E6A67"/>
    <w:rsid w:val="004E6B51"/>
    <w:rsid w:val="004E6FC5"/>
    <w:rsid w:val="004E74E6"/>
    <w:rsid w:val="004E771B"/>
    <w:rsid w:val="004E7BB0"/>
    <w:rsid w:val="004E7E01"/>
    <w:rsid w:val="004F00E0"/>
    <w:rsid w:val="004F09AB"/>
    <w:rsid w:val="004F148C"/>
    <w:rsid w:val="004F1AE9"/>
    <w:rsid w:val="004F1E51"/>
    <w:rsid w:val="004F2F91"/>
    <w:rsid w:val="004F39B0"/>
    <w:rsid w:val="004F39B9"/>
    <w:rsid w:val="004F3F89"/>
    <w:rsid w:val="004F40D2"/>
    <w:rsid w:val="004F4209"/>
    <w:rsid w:val="004F43F8"/>
    <w:rsid w:val="004F4416"/>
    <w:rsid w:val="004F44D2"/>
    <w:rsid w:val="004F482C"/>
    <w:rsid w:val="004F4C0A"/>
    <w:rsid w:val="004F4EDA"/>
    <w:rsid w:val="004F51C5"/>
    <w:rsid w:val="004F54D0"/>
    <w:rsid w:val="004F5775"/>
    <w:rsid w:val="004F5EEB"/>
    <w:rsid w:val="004F6139"/>
    <w:rsid w:val="004F6664"/>
    <w:rsid w:val="004F6955"/>
    <w:rsid w:val="004F6B50"/>
    <w:rsid w:val="004F73EA"/>
    <w:rsid w:val="004F767E"/>
    <w:rsid w:val="004F77F0"/>
    <w:rsid w:val="004F77FE"/>
    <w:rsid w:val="004F7C66"/>
    <w:rsid w:val="004F7CA5"/>
    <w:rsid w:val="004F7D68"/>
    <w:rsid w:val="004F7DD5"/>
    <w:rsid w:val="004F7F09"/>
    <w:rsid w:val="004F7F70"/>
    <w:rsid w:val="00500155"/>
    <w:rsid w:val="005001B1"/>
    <w:rsid w:val="00500A10"/>
    <w:rsid w:val="00500E26"/>
    <w:rsid w:val="00500EF3"/>
    <w:rsid w:val="005010E4"/>
    <w:rsid w:val="00502378"/>
    <w:rsid w:val="00502539"/>
    <w:rsid w:val="0050282F"/>
    <w:rsid w:val="00502CC7"/>
    <w:rsid w:val="00502CFF"/>
    <w:rsid w:val="00502FD1"/>
    <w:rsid w:val="00503874"/>
    <w:rsid w:val="005038E6"/>
    <w:rsid w:val="00503BA7"/>
    <w:rsid w:val="00503C8E"/>
    <w:rsid w:val="005042B1"/>
    <w:rsid w:val="00504450"/>
    <w:rsid w:val="00505283"/>
    <w:rsid w:val="00505476"/>
    <w:rsid w:val="00505562"/>
    <w:rsid w:val="00505794"/>
    <w:rsid w:val="00505887"/>
    <w:rsid w:val="00505D3D"/>
    <w:rsid w:val="00506067"/>
    <w:rsid w:val="00506190"/>
    <w:rsid w:val="00506653"/>
    <w:rsid w:val="00507255"/>
    <w:rsid w:val="00507381"/>
    <w:rsid w:val="005074D9"/>
    <w:rsid w:val="00507B9B"/>
    <w:rsid w:val="00507F4E"/>
    <w:rsid w:val="00507F91"/>
    <w:rsid w:val="005108F4"/>
    <w:rsid w:val="00510E08"/>
    <w:rsid w:val="00511085"/>
    <w:rsid w:val="0051117D"/>
    <w:rsid w:val="0051120F"/>
    <w:rsid w:val="00511409"/>
    <w:rsid w:val="00511857"/>
    <w:rsid w:val="00511A1D"/>
    <w:rsid w:val="00511E62"/>
    <w:rsid w:val="00511E6A"/>
    <w:rsid w:val="005122F2"/>
    <w:rsid w:val="00513185"/>
    <w:rsid w:val="0051320F"/>
    <w:rsid w:val="0051327A"/>
    <w:rsid w:val="005132E1"/>
    <w:rsid w:val="0051333D"/>
    <w:rsid w:val="0051334A"/>
    <w:rsid w:val="005136DE"/>
    <w:rsid w:val="005136E5"/>
    <w:rsid w:val="005137D5"/>
    <w:rsid w:val="005139D3"/>
    <w:rsid w:val="00514185"/>
    <w:rsid w:val="005141EB"/>
    <w:rsid w:val="00514863"/>
    <w:rsid w:val="00514D10"/>
    <w:rsid w:val="00515459"/>
    <w:rsid w:val="005154B4"/>
    <w:rsid w:val="00515693"/>
    <w:rsid w:val="005156E7"/>
    <w:rsid w:val="00516297"/>
    <w:rsid w:val="00516470"/>
    <w:rsid w:val="005165B6"/>
    <w:rsid w:val="00516928"/>
    <w:rsid w:val="005179C7"/>
    <w:rsid w:val="00517AC5"/>
    <w:rsid w:val="00520406"/>
    <w:rsid w:val="00520C5C"/>
    <w:rsid w:val="005226CD"/>
    <w:rsid w:val="00522A68"/>
    <w:rsid w:val="00522E13"/>
    <w:rsid w:val="00522F76"/>
    <w:rsid w:val="0052321E"/>
    <w:rsid w:val="00523258"/>
    <w:rsid w:val="0052326D"/>
    <w:rsid w:val="00523974"/>
    <w:rsid w:val="00523FC8"/>
    <w:rsid w:val="005240D3"/>
    <w:rsid w:val="00524298"/>
    <w:rsid w:val="00524A3F"/>
    <w:rsid w:val="00524B12"/>
    <w:rsid w:val="00524B7B"/>
    <w:rsid w:val="00524F87"/>
    <w:rsid w:val="0052533C"/>
    <w:rsid w:val="005253AF"/>
    <w:rsid w:val="00525853"/>
    <w:rsid w:val="005262E3"/>
    <w:rsid w:val="005266C3"/>
    <w:rsid w:val="00526BE9"/>
    <w:rsid w:val="00526C2F"/>
    <w:rsid w:val="00526DA0"/>
    <w:rsid w:val="00526E2F"/>
    <w:rsid w:val="00527175"/>
    <w:rsid w:val="005273AD"/>
    <w:rsid w:val="00527B78"/>
    <w:rsid w:val="005303DB"/>
    <w:rsid w:val="00530444"/>
    <w:rsid w:val="0053044A"/>
    <w:rsid w:val="00530582"/>
    <w:rsid w:val="005306B4"/>
    <w:rsid w:val="00530773"/>
    <w:rsid w:val="0053091C"/>
    <w:rsid w:val="00530CF0"/>
    <w:rsid w:val="0053118D"/>
    <w:rsid w:val="0053143B"/>
    <w:rsid w:val="00531623"/>
    <w:rsid w:val="005317EB"/>
    <w:rsid w:val="00531879"/>
    <w:rsid w:val="00531923"/>
    <w:rsid w:val="005319AB"/>
    <w:rsid w:val="00531A4D"/>
    <w:rsid w:val="005326F4"/>
    <w:rsid w:val="005328CA"/>
    <w:rsid w:val="00532FB9"/>
    <w:rsid w:val="00533AE6"/>
    <w:rsid w:val="00533F94"/>
    <w:rsid w:val="0053458B"/>
    <w:rsid w:val="00534EB8"/>
    <w:rsid w:val="00534FD7"/>
    <w:rsid w:val="005354DA"/>
    <w:rsid w:val="005357D3"/>
    <w:rsid w:val="00535A27"/>
    <w:rsid w:val="00535B76"/>
    <w:rsid w:val="00535BE3"/>
    <w:rsid w:val="005360E2"/>
    <w:rsid w:val="0053618E"/>
    <w:rsid w:val="00536450"/>
    <w:rsid w:val="00536730"/>
    <w:rsid w:val="00536AE6"/>
    <w:rsid w:val="00537041"/>
    <w:rsid w:val="0053709F"/>
    <w:rsid w:val="0053719C"/>
    <w:rsid w:val="005374F9"/>
    <w:rsid w:val="005378CB"/>
    <w:rsid w:val="00537957"/>
    <w:rsid w:val="005379BA"/>
    <w:rsid w:val="00540051"/>
    <w:rsid w:val="00540ACB"/>
    <w:rsid w:val="00540DE8"/>
    <w:rsid w:val="00540E6B"/>
    <w:rsid w:val="00540F60"/>
    <w:rsid w:val="005416E3"/>
    <w:rsid w:val="005418A2"/>
    <w:rsid w:val="00541BE3"/>
    <w:rsid w:val="00541C47"/>
    <w:rsid w:val="005424F4"/>
    <w:rsid w:val="00542703"/>
    <w:rsid w:val="00542EBA"/>
    <w:rsid w:val="005430E7"/>
    <w:rsid w:val="0054388C"/>
    <w:rsid w:val="0054389A"/>
    <w:rsid w:val="00543BEE"/>
    <w:rsid w:val="00543DA7"/>
    <w:rsid w:val="005440B9"/>
    <w:rsid w:val="0054475F"/>
    <w:rsid w:val="00544977"/>
    <w:rsid w:val="00544EC8"/>
    <w:rsid w:val="0054522C"/>
    <w:rsid w:val="0054564C"/>
    <w:rsid w:val="005458B7"/>
    <w:rsid w:val="00545944"/>
    <w:rsid w:val="00545B00"/>
    <w:rsid w:val="00545DBE"/>
    <w:rsid w:val="005464A1"/>
    <w:rsid w:val="00546691"/>
    <w:rsid w:val="00546801"/>
    <w:rsid w:val="0054691E"/>
    <w:rsid w:val="00546A03"/>
    <w:rsid w:val="0054705E"/>
    <w:rsid w:val="0054783C"/>
    <w:rsid w:val="00547CB0"/>
    <w:rsid w:val="005500D9"/>
    <w:rsid w:val="005506ED"/>
    <w:rsid w:val="00550DFA"/>
    <w:rsid w:val="00550E06"/>
    <w:rsid w:val="005515B5"/>
    <w:rsid w:val="00552187"/>
    <w:rsid w:val="00552538"/>
    <w:rsid w:val="005529F7"/>
    <w:rsid w:val="00552FAA"/>
    <w:rsid w:val="00553076"/>
    <w:rsid w:val="0055326D"/>
    <w:rsid w:val="00553A5E"/>
    <w:rsid w:val="00553BB0"/>
    <w:rsid w:val="005545C7"/>
    <w:rsid w:val="00554BBD"/>
    <w:rsid w:val="00554DF2"/>
    <w:rsid w:val="00555A1C"/>
    <w:rsid w:val="00555EB0"/>
    <w:rsid w:val="00555F21"/>
    <w:rsid w:val="00556C73"/>
    <w:rsid w:val="00556CA3"/>
    <w:rsid w:val="005571D0"/>
    <w:rsid w:val="0055782C"/>
    <w:rsid w:val="0055FC53"/>
    <w:rsid w:val="00560626"/>
    <w:rsid w:val="005617DC"/>
    <w:rsid w:val="005617FB"/>
    <w:rsid w:val="00561A30"/>
    <w:rsid w:val="00561C74"/>
    <w:rsid w:val="00562047"/>
    <w:rsid w:val="005621A5"/>
    <w:rsid w:val="00562407"/>
    <w:rsid w:val="005626FF"/>
    <w:rsid w:val="00562829"/>
    <w:rsid w:val="00562831"/>
    <w:rsid w:val="00562902"/>
    <w:rsid w:val="00562ADA"/>
    <w:rsid w:val="00563773"/>
    <w:rsid w:val="00563AEC"/>
    <w:rsid w:val="00563BF3"/>
    <w:rsid w:val="00563C00"/>
    <w:rsid w:val="00564258"/>
    <w:rsid w:val="0056482F"/>
    <w:rsid w:val="00564F9F"/>
    <w:rsid w:val="005650A2"/>
    <w:rsid w:val="005656DB"/>
    <w:rsid w:val="00565CFF"/>
    <w:rsid w:val="00565D21"/>
    <w:rsid w:val="00565E65"/>
    <w:rsid w:val="00566017"/>
    <w:rsid w:val="00566551"/>
    <w:rsid w:val="005672D6"/>
    <w:rsid w:val="0056748F"/>
    <w:rsid w:val="00567B57"/>
    <w:rsid w:val="0057036F"/>
    <w:rsid w:val="0057040D"/>
    <w:rsid w:val="00570569"/>
    <w:rsid w:val="0057116E"/>
    <w:rsid w:val="0057130D"/>
    <w:rsid w:val="00572058"/>
    <w:rsid w:val="0057240E"/>
    <w:rsid w:val="0057310C"/>
    <w:rsid w:val="0057347A"/>
    <w:rsid w:val="00573B00"/>
    <w:rsid w:val="00573E0A"/>
    <w:rsid w:val="00574055"/>
    <w:rsid w:val="005741C1"/>
    <w:rsid w:val="00574249"/>
    <w:rsid w:val="0057474D"/>
    <w:rsid w:val="00574847"/>
    <w:rsid w:val="00574A83"/>
    <w:rsid w:val="00574C0B"/>
    <w:rsid w:val="00574F19"/>
    <w:rsid w:val="005751AA"/>
    <w:rsid w:val="005754BD"/>
    <w:rsid w:val="005756AC"/>
    <w:rsid w:val="0057575A"/>
    <w:rsid w:val="00575787"/>
    <w:rsid w:val="00575AC3"/>
    <w:rsid w:val="00576176"/>
    <w:rsid w:val="00576248"/>
    <w:rsid w:val="005762A7"/>
    <w:rsid w:val="005762E8"/>
    <w:rsid w:val="00576315"/>
    <w:rsid w:val="00576CC6"/>
    <w:rsid w:val="00576D7B"/>
    <w:rsid w:val="00577406"/>
    <w:rsid w:val="00577449"/>
    <w:rsid w:val="005775FB"/>
    <w:rsid w:val="00577B7B"/>
    <w:rsid w:val="00577FC2"/>
    <w:rsid w:val="005805B9"/>
    <w:rsid w:val="00580AF2"/>
    <w:rsid w:val="00580B9C"/>
    <w:rsid w:val="00580DDF"/>
    <w:rsid w:val="00580F3A"/>
    <w:rsid w:val="005815E7"/>
    <w:rsid w:val="00582032"/>
    <w:rsid w:val="00582D0C"/>
    <w:rsid w:val="005832CA"/>
    <w:rsid w:val="005834C3"/>
    <w:rsid w:val="0058354D"/>
    <w:rsid w:val="00583621"/>
    <w:rsid w:val="00583895"/>
    <w:rsid w:val="00583EEC"/>
    <w:rsid w:val="005841A8"/>
    <w:rsid w:val="00584491"/>
    <w:rsid w:val="00584744"/>
    <w:rsid w:val="00584844"/>
    <w:rsid w:val="00584C06"/>
    <w:rsid w:val="00584DC9"/>
    <w:rsid w:val="0058518D"/>
    <w:rsid w:val="005851A9"/>
    <w:rsid w:val="00585250"/>
    <w:rsid w:val="00585564"/>
    <w:rsid w:val="00585DD6"/>
    <w:rsid w:val="005860FC"/>
    <w:rsid w:val="00586291"/>
    <w:rsid w:val="005862E6"/>
    <w:rsid w:val="0058657C"/>
    <w:rsid w:val="00586975"/>
    <w:rsid w:val="005875A8"/>
    <w:rsid w:val="0059007E"/>
    <w:rsid w:val="005901BD"/>
    <w:rsid w:val="00590441"/>
    <w:rsid w:val="005904B8"/>
    <w:rsid w:val="00590749"/>
    <w:rsid w:val="005907D2"/>
    <w:rsid w:val="00590838"/>
    <w:rsid w:val="00590D72"/>
    <w:rsid w:val="00591150"/>
    <w:rsid w:val="00591AD4"/>
    <w:rsid w:val="00591E18"/>
    <w:rsid w:val="00591FF9"/>
    <w:rsid w:val="005920C8"/>
    <w:rsid w:val="00592478"/>
    <w:rsid w:val="00592A3C"/>
    <w:rsid w:val="00592C76"/>
    <w:rsid w:val="00592E16"/>
    <w:rsid w:val="00592E2B"/>
    <w:rsid w:val="00593037"/>
    <w:rsid w:val="0059335B"/>
    <w:rsid w:val="00593534"/>
    <w:rsid w:val="0059391A"/>
    <w:rsid w:val="00593E11"/>
    <w:rsid w:val="005940A3"/>
    <w:rsid w:val="00594919"/>
    <w:rsid w:val="00595146"/>
    <w:rsid w:val="00595A85"/>
    <w:rsid w:val="00595D08"/>
    <w:rsid w:val="00596645"/>
    <w:rsid w:val="00596877"/>
    <w:rsid w:val="00596F78"/>
    <w:rsid w:val="00597234"/>
    <w:rsid w:val="0059795B"/>
    <w:rsid w:val="00597BB4"/>
    <w:rsid w:val="00597FC2"/>
    <w:rsid w:val="005A0468"/>
    <w:rsid w:val="005A08D1"/>
    <w:rsid w:val="005A0BD9"/>
    <w:rsid w:val="005A0C1C"/>
    <w:rsid w:val="005A1503"/>
    <w:rsid w:val="005A1B07"/>
    <w:rsid w:val="005A1E08"/>
    <w:rsid w:val="005A226E"/>
    <w:rsid w:val="005A2337"/>
    <w:rsid w:val="005A246B"/>
    <w:rsid w:val="005A325B"/>
    <w:rsid w:val="005A32F0"/>
    <w:rsid w:val="005A352E"/>
    <w:rsid w:val="005A374C"/>
    <w:rsid w:val="005A3872"/>
    <w:rsid w:val="005A3BD8"/>
    <w:rsid w:val="005A3F60"/>
    <w:rsid w:val="005A3FE4"/>
    <w:rsid w:val="005A3FF8"/>
    <w:rsid w:val="005A4486"/>
    <w:rsid w:val="005A45E5"/>
    <w:rsid w:val="005A4808"/>
    <w:rsid w:val="005A4B1E"/>
    <w:rsid w:val="005A4CDF"/>
    <w:rsid w:val="005A4FF3"/>
    <w:rsid w:val="005A553D"/>
    <w:rsid w:val="005A57F7"/>
    <w:rsid w:val="005A5822"/>
    <w:rsid w:val="005A5E51"/>
    <w:rsid w:val="005A5E9E"/>
    <w:rsid w:val="005A5FFA"/>
    <w:rsid w:val="005A65D8"/>
    <w:rsid w:val="005A67A2"/>
    <w:rsid w:val="005A67DA"/>
    <w:rsid w:val="005A6BE9"/>
    <w:rsid w:val="005A70F3"/>
    <w:rsid w:val="005A75FA"/>
    <w:rsid w:val="005A7644"/>
    <w:rsid w:val="005A79FC"/>
    <w:rsid w:val="005A7C66"/>
    <w:rsid w:val="005A7CB4"/>
    <w:rsid w:val="005B008E"/>
    <w:rsid w:val="005B03D6"/>
    <w:rsid w:val="005B0605"/>
    <w:rsid w:val="005B0707"/>
    <w:rsid w:val="005B0968"/>
    <w:rsid w:val="005B0BB0"/>
    <w:rsid w:val="005B0CAD"/>
    <w:rsid w:val="005B0D8B"/>
    <w:rsid w:val="005B0E0B"/>
    <w:rsid w:val="005B109E"/>
    <w:rsid w:val="005B12DA"/>
    <w:rsid w:val="005B13E0"/>
    <w:rsid w:val="005B14EA"/>
    <w:rsid w:val="005B1AB0"/>
    <w:rsid w:val="005B20E0"/>
    <w:rsid w:val="005B22E8"/>
    <w:rsid w:val="005B2AAF"/>
    <w:rsid w:val="005B2AC2"/>
    <w:rsid w:val="005B2D64"/>
    <w:rsid w:val="005B2E78"/>
    <w:rsid w:val="005B3119"/>
    <w:rsid w:val="005B33CC"/>
    <w:rsid w:val="005B34D6"/>
    <w:rsid w:val="005B34FB"/>
    <w:rsid w:val="005B3F95"/>
    <w:rsid w:val="005B3FD3"/>
    <w:rsid w:val="005B41A9"/>
    <w:rsid w:val="005B4A0E"/>
    <w:rsid w:val="005B4B86"/>
    <w:rsid w:val="005B6378"/>
    <w:rsid w:val="005B645B"/>
    <w:rsid w:val="005B6AF5"/>
    <w:rsid w:val="005B7080"/>
    <w:rsid w:val="005B7186"/>
    <w:rsid w:val="005B75B8"/>
    <w:rsid w:val="005B78C1"/>
    <w:rsid w:val="005B7A9C"/>
    <w:rsid w:val="005B7CC2"/>
    <w:rsid w:val="005B7E47"/>
    <w:rsid w:val="005C02A1"/>
    <w:rsid w:val="005C0523"/>
    <w:rsid w:val="005C06F5"/>
    <w:rsid w:val="005C0A89"/>
    <w:rsid w:val="005C1936"/>
    <w:rsid w:val="005C1AB0"/>
    <w:rsid w:val="005C2780"/>
    <w:rsid w:val="005C29B4"/>
    <w:rsid w:val="005C2CD2"/>
    <w:rsid w:val="005C3D5B"/>
    <w:rsid w:val="005C4072"/>
    <w:rsid w:val="005C41E6"/>
    <w:rsid w:val="005C4347"/>
    <w:rsid w:val="005C4450"/>
    <w:rsid w:val="005C44DF"/>
    <w:rsid w:val="005C5345"/>
    <w:rsid w:val="005C5370"/>
    <w:rsid w:val="005C565F"/>
    <w:rsid w:val="005C5707"/>
    <w:rsid w:val="005C61FD"/>
    <w:rsid w:val="005C692D"/>
    <w:rsid w:val="005C6DB9"/>
    <w:rsid w:val="005C6DF0"/>
    <w:rsid w:val="005C75F9"/>
    <w:rsid w:val="005C7737"/>
    <w:rsid w:val="005C7892"/>
    <w:rsid w:val="005C7DD6"/>
    <w:rsid w:val="005D0082"/>
    <w:rsid w:val="005D01B6"/>
    <w:rsid w:val="005D031B"/>
    <w:rsid w:val="005D0A68"/>
    <w:rsid w:val="005D0C66"/>
    <w:rsid w:val="005D0E68"/>
    <w:rsid w:val="005D1D5A"/>
    <w:rsid w:val="005D2AA7"/>
    <w:rsid w:val="005D2AEB"/>
    <w:rsid w:val="005D2D11"/>
    <w:rsid w:val="005D35C6"/>
    <w:rsid w:val="005D3760"/>
    <w:rsid w:val="005D379E"/>
    <w:rsid w:val="005D3942"/>
    <w:rsid w:val="005D3AFF"/>
    <w:rsid w:val="005D3C2B"/>
    <w:rsid w:val="005D3CE8"/>
    <w:rsid w:val="005D44C4"/>
    <w:rsid w:val="005D467C"/>
    <w:rsid w:val="005D489E"/>
    <w:rsid w:val="005D4A05"/>
    <w:rsid w:val="005D4B05"/>
    <w:rsid w:val="005D4D97"/>
    <w:rsid w:val="005D510F"/>
    <w:rsid w:val="005D5604"/>
    <w:rsid w:val="005D60FF"/>
    <w:rsid w:val="005D62F2"/>
    <w:rsid w:val="005D70BC"/>
    <w:rsid w:val="005D71EA"/>
    <w:rsid w:val="005D7778"/>
    <w:rsid w:val="005D78F0"/>
    <w:rsid w:val="005D79AE"/>
    <w:rsid w:val="005D7C32"/>
    <w:rsid w:val="005D7DAC"/>
    <w:rsid w:val="005D7F1C"/>
    <w:rsid w:val="005E0462"/>
    <w:rsid w:val="005E05E9"/>
    <w:rsid w:val="005E0DB3"/>
    <w:rsid w:val="005E1077"/>
    <w:rsid w:val="005E127C"/>
    <w:rsid w:val="005E1442"/>
    <w:rsid w:val="005E158C"/>
    <w:rsid w:val="005E15A0"/>
    <w:rsid w:val="005E16B6"/>
    <w:rsid w:val="005E1717"/>
    <w:rsid w:val="005E171D"/>
    <w:rsid w:val="005E1C44"/>
    <w:rsid w:val="005E1D3C"/>
    <w:rsid w:val="005E209D"/>
    <w:rsid w:val="005E21BD"/>
    <w:rsid w:val="005E23CF"/>
    <w:rsid w:val="005E258E"/>
    <w:rsid w:val="005E26AF"/>
    <w:rsid w:val="005E2AEF"/>
    <w:rsid w:val="005E2B26"/>
    <w:rsid w:val="005E2FCA"/>
    <w:rsid w:val="005E3F26"/>
    <w:rsid w:val="005E4472"/>
    <w:rsid w:val="005E4495"/>
    <w:rsid w:val="005E47F6"/>
    <w:rsid w:val="005E47F7"/>
    <w:rsid w:val="005E4849"/>
    <w:rsid w:val="005E4DF7"/>
    <w:rsid w:val="005E5A39"/>
    <w:rsid w:val="005E5B9C"/>
    <w:rsid w:val="005E5BFB"/>
    <w:rsid w:val="005E5CDA"/>
    <w:rsid w:val="005E5DEA"/>
    <w:rsid w:val="005E6485"/>
    <w:rsid w:val="005E65B1"/>
    <w:rsid w:val="005E660E"/>
    <w:rsid w:val="005E669B"/>
    <w:rsid w:val="005E6DFA"/>
    <w:rsid w:val="005E6F67"/>
    <w:rsid w:val="005E7240"/>
    <w:rsid w:val="005E7300"/>
    <w:rsid w:val="005E7366"/>
    <w:rsid w:val="005E77FB"/>
    <w:rsid w:val="005E7900"/>
    <w:rsid w:val="005E7BDC"/>
    <w:rsid w:val="005E7E4A"/>
    <w:rsid w:val="005E7F12"/>
    <w:rsid w:val="005F0294"/>
    <w:rsid w:val="005F0610"/>
    <w:rsid w:val="005F07BE"/>
    <w:rsid w:val="005F0AAC"/>
    <w:rsid w:val="005F0F14"/>
    <w:rsid w:val="005F0FAD"/>
    <w:rsid w:val="005F0FF1"/>
    <w:rsid w:val="005F123B"/>
    <w:rsid w:val="005F1263"/>
    <w:rsid w:val="005F12F7"/>
    <w:rsid w:val="005F17D6"/>
    <w:rsid w:val="005F1D4B"/>
    <w:rsid w:val="005F1FA1"/>
    <w:rsid w:val="005F2235"/>
    <w:rsid w:val="005F2389"/>
    <w:rsid w:val="005F23D5"/>
    <w:rsid w:val="005F2664"/>
    <w:rsid w:val="005F2983"/>
    <w:rsid w:val="005F2E1D"/>
    <w:rsid w:val="005F3AD1"/>
    <w:rsid w:val="005F3C7D"/>
    <w:rsid w:val="005F3D99"/>
    <w:rsid w:val="005F407B"/>
    <w:rsid w:val="005F40BA"/>
    <w:rsid w:val="005F432F"/>
    <w:rsid w:val="005F480B"/>
    <w:rsid w:val="005F5F09"/>
    <w:rsid w:val="005F723D"/>
    <w:rsid w:val="005F778E"/>
    <w:rsid w:val="006006DB"/>
    <w:rsid w:val="00600877"/>
    <w:rsid w:val="00600D58"/>
    <w:rsid w:val="00601C57"/>
    <w:rsid w:val="0060202B"/>
    <w:rsid w:val="00602360"/>
    <w:rsid w:val="006023A9"/>
    <w:rsid w:val="0060250A"/>
    <w:rsid w:val="00602826"/>
    <w:rsid w:val="00602B8B"/>
    <w:rsid w:val="00602C5E"/>
    <w:rsid w:val="006033AD"/>
    <w:rsid w:val="0060343E"/>
    <w:rsid w:val="00603639"/>
    <w:rsid w:val="00603B2A"/>
    <w:rsid w:val="00603B50"/>
    <w:rsid w:val="00604670"/>
    <w:rsid w:val="00604749"/>
    <w:rsid w:val="006049F2"/>
    <w:rsid w:val="00604E0E"/>
    <w:rsid w:val="00604E84"/>
    <w:rsid w:val="00604E96"/>
    <w:rsid w:val="00604E98"/>
    <w:rsid w:val="0060503C"/>
    <w:rsid w:val="00605349"/>
    <w:rsid w:val="00605585"/>
    <w:rsid w:val="00605687"/>
    <w:rsid w:val="00605A03"/>
    <w:rsid w:val="00605BF1"/>
    <w:rsid w:val="00605F28"/>
    <w:rsid w:val="00606579"/>
    <w:rsid w:val="006067AD"/>
    <w:rsid w:val="00606AB9"/>
    <w:rsid w:val="00606C0C"/>
    <w:rsid w:val="0060748D"/>
    <w:rsid w:val="00607AFA"/>
    <w:rsid w:val="00607F68"/>
    <w:rsid w:val="00610503"/>
    <w:rsid w:val="006107D8"/>
    <w:rsid w:val="00610995"/>
    <w:rsid w:val="006113CF"/>
    <w:rsid w:val="00611624"/>
    <w:rsid w:val="00611935"/>
    <w:rsid w:val="00611CF1"/>
    <w:rsid w:val="00611E93"/>
    <w:rsid w:val="00611F1E"/>
    <w:rsid w:val="00611FA7"/>
    <w:rsid w:val="006120D9"/>
    <w:rsid w:val="006122E9"/>
    <w:rsid w:val="006122F2"/>
    <w:rsid w:val="006124BC"/>
    <w:rsid w:val="006127FF"/>
    <w:rsid w:val="00612C60"/>
    <w:rsid w:val="0061322D"/>
    <w:rsid w:val="006132B1"/>
    <w:rsid w:val="00613560"/>
    <w:rsid w:val="006136B3"/>
    <w:rsid w:val="00613B2B"/>
    <w:rsid w:val="00613FE9"/>
    <w:rsid w:val="006143A7"/>
    <w:rsid w:val="00614476"/>
    <w:rsid w:val="00614722"/>
    <w:rsid w:val="0061512D"/>
    <w:rsid w:val="00615290"/>
    <w:rsid w:val="006159C8"/>
    <w:rsid w:val="00615D31"/>
    <w:rsid w:val="00615F41"/>
    <w:rsid w:val="00615F4E"/>
    <w:rsid w:val="006162B3"/>
    <w:rsid w:val="006166DA"/>
    <w:rsid w:val="006170D2"/>
    <w:rsid w:val="006174B0"/>
    <w:rsid w:val="00617DC1"/>
    <w:rsid w:val="00617F07"/>
    <w:rsid w:val="00620CEF"/>
    <w:rsid w:val="006211BC"/>
    <w:rsid w:val="00621306"/>
    <w:rsid w:val="0062131F"/>
    <w:rsid w:val="006215E5"/>
    <w:rsid w:val="00621841"/>
    <w:rsid w:val="006219A5"/>
    <w:rsid w:val="00621A2D"/>
    <w:rsid w:val="00621C66"/>
    <w:rsid w:val="00622357"/>
    <w:rsid w:val="00622886"/>
    <w:rsid w:val="00622A80"/>
    <w:rsid w:val="00622F26"/>
    <w:rsid w:val="006230CE"/>
    <w:rsid w:val="00623113"/>
    <w:rsid w:val="006231AA"/>
    <w:rsid w:val="00623817"/>
    <w:rsid w:val="006238F8"/>
    <w:rsid w:val="00623AF6"/>
    <w:rsid w:val="00623AFC"/>
    <w:rsid w:val="00623C67"/>
    <w:rsid w:val="00623DA5"/>
    <w:rsid w:val="00623E9C"/>
    <w:rsid w:val="00624126"/>
    <w:rsid w:val="0062422D"/>
    <w:rsid w:val="00624E48"/>
    <w:rsid w:val="0062514E"/>
    <w:rsid w:val="00625607"/>
    <w:rsid w:val="00625E3A"/>
    <w:rsid w:val="00625F0A"/>
    <w:rsid w:val="00626225"/>
    <w:rsid w:val="006263BF"/>
    <w:rsid w:val="0062686B"/>
    <w:rsid w:val="00626A71"/>
    <w:rsid w:val="0062726A"/>
    <w:rsid w:val="0062729A"/>
    <w:rsid w:val="00627DB5"/>
    <w:rsid w:val="00627EB9"/>
    <w:rsid w:val="00630058"/>
    <w:rsid w:val="00630088"/>
    <w:rsid w:val="0063025E"/>
    <w:rsid w:val="00630709"/>
    <w:rsid w:val="00630AE9"/>
    <w:rsid w:val="00630BDA"/>
    <w:rsid w:val="006312C2"/>
    <w:rsid w:val="006316E5"/>
    <w:rsid w:val="00631860"/>
    <w:rsid w:val="00631C5F"/>
    <w:rsid w:val="00631D93"/>
    <w:rsid w:val="006323E6"/>
    <w:rsid w:val="006329BD"/>
    <w:rsid w:val="006330CA"/>
    <w:rsid w:val="00633763"/>
    <w:rsid w:val="00633985"/>
    <w:rsid w:val="00633AFB"/>
    <w:rsid w:val="00633C70"/>
    <w:rsid w:val="00634F80"/>
    <w:rsid w:val="00634F87"/>
    <w:rsid w:val="00635F66"/>
    <w:rsid w:val="006361DE"/>
    <w:rsid w:val="006362B4"/>
    <w:rsid w:val="0063658C"/>
    <w:rsid w:val="0063684E"/>
    <w:rsid w:val="00636C5E"/>
    <w:rsid w:val="00636CD3"/>
    <w:rsid w:val="00637390"/>
    <w:rsid w:val="0063768A"/>
    <w:rsid w:val="00637C29"/>
    <w:rsid w:val="00637C7B"/>
    <w:rsid w:val="0064073F"/>
    <w:rsid w:val="006408C8"/>
    <w:rsid w:val="00640D7C"/>
    <w:rsid w:val="00640FCB"/>
    <w:rsid w:val="00641042"/>
    <w:rsid w:val="0064116C"/>
    <w:rsid w:val="006412CC"/>
    <w:rsid w:val="0064187F"/>
    <w:rsid w:val="006419C2"/>
    <w:rsid w:val="00641C95"/>
    <w:rsid w:val="00641D66"/>
    <w:rsid w:val="00641F60"/>
    <w:rsid w:val="0064211B"/>
    <w:rsid w:val="00642B81"/>
    <w:rsid w:val="006431AC"/>
    <w:rsid w:val="00643328"/>
    <w:rsid w:val="006433D6"/>
    <w:rsid w:val="00643739"/>
    <w:rsid w:val="00643BCF"/>
    <w:rsid w:val="00643E4F"/>
    <w:rsid w:val="00644051"/>
    <w:rsid w:val="006441A0"/>
    <w:rsid w:val="00644B05"/>
    <w:rsid w:val="00644F89"/>
    <w:rsid w:val="00645017"/>
    <w:rsid w:val="0064517B"/>
    <w:rsid w:val="0064578B"/>
    <w:rsid w:val="006459D5"/>
    <w:rsid w:val="00645B46"/>
    <w:rsid w:val="006461B5"/>
    <w:rsid w:val="00646303"/>
    <w:rsid w:val="0064638A"/>
    <w:rsid w:val="00646D24"/>
    <w:rsid w:val="00646DE7"/>
    <w:rsid w:val="006476E9"/>
    <w:rsid w:val="0064775F"/>
    <w:rsid w:val="00647922"/>
    <w:rsid w:val="00650358"/>
    <w:rsid w:val="006503B8"/>
    <w:rsid w:val="006506B1"/>
    <w:rsid w:val="00650784"/>
    <w:rsid w:val="006508C5"/>
    <w:rsid w:val="00651333"/>
    <w:rsid w:val="00651696"/>
    <w:rsid w:val="00651C58"/>
    <w:rsid w:val="00651F8B"/>
    <w:rsid w:val="0065230E"/>
    <w:rsid w:val="006524F4"/>
    <w:rsid w:val="00652CAF"/>
    <w:rsid w:val="00652D64"/>
    <w:rsid w:val="006531DC"/>
    <w:rsid w:val="006534AA"/>
    <w:rsid w:val="006534D4"/>
    <w:rsid w:val="006536BE"/>
    <w:rsid w:val="00653A34"/>
    <w:rsid w:val="00653A4A"/>
    <w:rsid w:val="00654659"/>
    <w:rsid w:val="006547A1"/>
    <w:rsid w:val="00654EE5"/>
    <w:rsid w:val="006553BD"/>
    <w:rsid w:val="006554D0"/>
    <w:rsid w:val="00655FA8"/>
    <w:rsid w:val="006562FE"/>
    <w:rsid w:val="0065679C"/>
    <w:rsid w:val="00656F9A"/>
    <w:rsid w:val="00656FD0"/>
    <w:rsid w:val="0065715C"/>
    <w:rsid w:val="00657203"/>
    <w:rsid w:val="00657470"/>
    <w:rsid w:val="006575DF"/>
    <w:rsid w:val="0065766D"/>
    <w:rsid w:val="00657D2F"/>
    <w:rsid w:val="00657FBB"/>
    <w:rsid w:val="0066018C"/>
    <w:rsid w:val="006605D2"/>
    <w:rsid w:val="006606C0"/>
    <w:rsid w:val="00660C85"/>
    <w:rsid w:val="00660D35"/>
    <w:rsid w:val="006611BE"/>
    <w:rsid w:val="006615DE"/>
    <w:rsid w:val="00661B78"/>
    <w:rsid w:val="00662333"/>
    <w:rsid w:val="00662336"/>
    <w:rsid w:val="00662A33"/>
    <w:rsid w:val="00662A69"/>
    <w:rsid w:val="00662CD6"/>
    <w:rsid w:val="0066357C"/>
    <w:rsid w:val="00663D96"/>
    <w:rsid w:val="00664171"/>
    <w:rsid w:val="00664569"/>
    <w:rsid w:val="006646C8"/>
    <w:rsid w:val="00664C55"/>
    <w:rsid w:val="00664CED"/>
    <w:rsid w:val="00665477"/>
    <w:rsid w:val="00665AE9"/>
    <w:rsid w:val="006660B9"/>
    <w:rsid w:val="00666193"/>
    <w:rsid w:val="006663E9"/>
    <w:rsid w:val="00666EA2"/>
    <w:rsid w:val="00667728"/>
    <w:rsid w:val="006677C8"/>
    <w:rsid w:val="0066789F"/>
    <w:rsid w:val="006678C4"/>
    <w:rsid w:val="00667B2F"/>
    <w:rsid w:val="00667F8B"/>
    <w:rsid w:val="0067015F"/>
    <w:rsid w:val="006704BE"/>
    <w:rsid w:val="00670864"/>
    <w:rsid w:val="006709A3"/>
    <w:rsid w:val="00671560"/>
    <w:rsid w:val="006715DF"/>
    <w:rsid w:val="006717C4"/>
    <w:rsid w:val="00671A06"/>
    <w:rsid w:val="00671A0E"/>
    <w:rsid w:val="00671E32"/>
    <w:rsid w:val="00671F74"/>
    <w:rsid w:val="00672185"/>
    <w:rsid w:val="0067248A"/>
    <w:rsid w:val="006726D5"/>
    <w:rsid w:val="006728E4"/>
    <w:rsid w:val="00672C7D"/>
    <w:rsid w:val="00672D02"/>
    <w:rsid w:val="00672DEA"/>
    <w:rsid w:val="00673102"/>
    <w:rsid w:val="00673389"/>
    <w:rsid w:val="006734DE"/>
    <w:rsid w:val="0067363C"/>
    <w:rsid w:val="00673C5E"/>
    <w:rsid w:val="00673D8E"/>
    <w:rsid w:val="0067412A"/>
    <w:rsid w:val="006742E5"/>
    <w:rsid w:val="0067447E"/>
    <w:rsid w:val="0067469D"/>
    <w:rsid w:val="0067594B"/>
    <w:rsid w:val="00675F86"/>
    <w:rsid w:val="006766AA"/>
    <w:rsid w:val="006768C7"/>
    <w:rsid w:val="00676C04"/>
    <w:rsid w:val="00676DD9"/>
    <w:rsid w:val="006771B6"/>
    <w:rsid w:val="00677599"/>
    <w:rsid w:val="0067798A"/>
    <w:rsid w:val="0067806B"/>
    <w:rsid w:val="0068000B"/>
    <w:rsid w:val="006802A1"/>
    <w:rsid w:val="00680708"/>
    <w:rsid w:val="00680961"/>
    <w:rsid w:val="0068121F"/>
    <w:rsid w:val="006818C5"/>
    <w:rsid w:val="006819CA"/>
    <w:rsid w:val="00681BAE"/>
    <w:rsid w:val="00681BB5"/>
    <w:rsid w:val="00681BFE"/>
    <w:rsid w:val="0068202A"/>
    <w:rsid w:val="0068209B"/>
    <w:rsid w:val="00682716"/>
    <w:rsid w:val="0068274E"/>
    <w:rsid w:val="0068336E"/>
    <w:rsid w:val="00683481"/>
    <w:rsid w:val="00683889"/>
    <w:rsid w:val="00683B60"/>
    <w:rsid w:val="00684A7C"/>
    <w:rsid w:val="00684B76"/>
    <w:rsid w:val="006851C2"/>
    <w:rsid w:val="00685341"/>
    <w:rsid w:val="0068564C"/>
    <w:rsid w:val="006865E4"/>
    <w:rsid w:val="0068699A"/>
    <w:rsid w:val="00687183"/>
    <w:rsid w:val="00687B10"/>
    <w:rsid w:val="00687D4A"/>
    <w:rsid w:val="0069000B"/>
    <w:rsid w:val="006901EE"/>
    <w:rsid w:val="006902B7"/>
    <w:rsid w:val="006908CE"/>
    <w:rsid w:val="00690AE3"/>
    <w:rsid w:val="006910F9"/>
    <w:rsid w:val="00692119"/>
    <w:rsid w:val="006924B4"/>
    <w:rsid w:val="00692804"/>
    <w:rsid w:val="00692C05"/>
    <w:rsid w:val="00692CEE"/>
    <w:rsid w:val="0069367B"/>
    <w:rsid w:val="006937D7"/>
    <w:rsid w:val="00693BAC"/>
    <w:rsid w:val="00693F7A"/>
    <w:rsid w:val="00694025"/>
    <w:rsid w:val="006949E2"/>
    <w:rsid w:val="00694B58"/>
    <w:rsid w:val="00694CE2"/>
    <w:rsid w:val="00695058"/>
    <w:rsid w:val="0069540B"/>
    <w:rsid w:val="00695723"/>
    <w:rsid w:val="00695DDA"/>
    <w:rsid w:val="006965A4"/>
    <w:rsid w:val="006969A0"/>
    <w:rsid w:val="00697354"/>
    <w:rsid w:val="00697769"/>
    <w:rsid w:val="006978FE"/>
    <w:rsid w:val="00697957"/>
    <w:rsid w:val="00697B0C"/>
    <w:rsid w:val="00697FB7"/>
    <w:rsid w:val="006A0082"/>
    <w:rsid w:val="006A017E"/>
    <w:rsid w:val="006A0403"/>
    <w:rsid w:val="006A0735"/>
    <w:rsid w:val="006A08AC"/>
    <w:rsid w:val="006A0CEC"/>
    <w:rsid w:val="006A10EC"/>
    <w:rsid w:val="006A25A4"/>
    <w:rsid w:val="006A25E8"/>
    <w:rsid w:val="006A295E"/>
    <w:rsid w:val="006A37E1"/>
    <w:rsid w:val="006A3E8F"/>
    <w:rsid w:val="006A4053"/>
    <w:rsid w:val="006A44AA"/>
    <w:rsid w:val="006A44D7"/>
    <w:rsid w:val="006A4606"/>
    <w:rsid w:val="006A48B2"/>
    <w:rsid w:val="006A532C"/>
    <w:rsid w:val="006A54AC"/>
    <w:rsid w:val="006A57A9"/>
    <w:rsid w:val="006A57BC"/>
    <w:rsid w:val="006A5834"/>
    <w:rsid w:val="006A5ACE"/>
    <w:rsid w:val="006A60F3"/>
    <w:rsid w:val="006A61AA"/>
    <w:rsid w:val="006A6D9A"/>
    <w:rsid w:val="006A7103"/>
    <w:rsid w:val="006A747A"/>
    <w:rsid w:val="006A7482"/>
    <w:rsid w:val="006A7A9A"/>
    <w:rsid w:val="006A7C74"/>
    <w:rsid w:val="006B0658"/>
    <w:rsid w:val="006B17D4"/>
    <w:rsid w:val="006B19F0"/>
    <w:rsid w:val="006B1C6B"/>
    <w:rsid w:val="006B24FD"/>
    <w:rsid w:val="006B2509"/>
    <w:rsid w:val="006B2841"/>
    <w:rsid w:val="006B2E53"/>
    <w:rsid w:val="006B33CF"/>
    <w:rsid w:val="006B3866"/>
    <w:rsid w:val="006B3966"/>
    <w:rsid w:val="006B3A88"/>
    <w:rsid w:val="006B3D02"/>
    <w:rsid w:val="006B435A"/>
    <w:rsid w:val="006B441A"/>
    <w:rsid w:val="006B467A"/>
    <w:rsid w:val="006B4792"/>
    <w:rsid w:val="006B4AC0"/>
    <w:rsid w:val="006B4AD2"/>
    <w:rsid w:val="006B4D37"/>
    <w:rsid w:val="006B4D92"/>
    <w:rsid w:val="006B4F52"/>
    <w:rsid w:val="006B4F6D"/>
    <w:rsid w:val="006B5055"/>
    <w:rsid w:val="006B509A"/>
    <w:rsid w:val="006B583B"/>
    <w:rsid w:val="006B5B8E"/>
    <w:rsid w:val="006B614B"/>
    <w:rsid w:val="006B617E"/>
    <w:rsid w:val="006B645A"/>
    <w:rsid w:val="006B667B"/>
    <w:rsid w:val="006B69D2"/>
    <w:rsid w:val="006B6E0E"/>
    <w:rsid w:val="006B757B"/>
    <w:rsid w:val="006B7652"/>
    <w:rsid w:val="006B7A2A"/>
    <w:rsid w:val="006B7AA4"/>
    <w:rsid w:val="006B7BAF"/>
    <w:rsid w:val="006B7C15"/>
    <w:rsid w:val="006B7DA6"/>
    <w:rsid w:val="006B7E15"/>
    <w:rsid w:val="006B7EED"/>
    <w:rsid w:val="006C0653"/>
    <w:rsid w:val="006C108C"/>
    <w:rsid w:val="006C10B2"/>
    <w:rsid w:val="006C11AF"/>
    <w:rsid w:val="006C1742"/>
    <w:rsid w:val="006C1825"/>
    <w:rsid w:val="006C1B78"/>
    <w:rsid w:val="006C2188"/>
    <w:rsid w:val="006C21D4"/>
    <w:rsid w:val="006C26C1"/>
    <w:rsid w:val="006C2A08"/>
    <w:rsid w:val="006C2AFF"/>
    <w:rsid w:val="006C305C"/>
    <w:rsid w:val="006C3079"/>
    <w:rsid w:val="006C3ED7"/>
    <w:rsid w:val="006C4E20"/>
    <w:rsid w:val="006C5003"/>
    <w:rsid w:val="006C5211"/>
    <w:rsid w:val="006C5B64"/>
    <w:rsid w:val="006C60C3"/>
    <w:rsid w:val="006C715A"/>
    <w:rsid w:val="006C71F6"/>
    <w:rsid w:val="006C7703"/>
    <w:rsid w:val="006C7CB4"/>
    <w:rsid w:val="006D051D"/>
    <w:rsid w:val="006D1307"/>
    <w:rsid w:val="006D197A"/>
    <w:rsid w:val="006D1A9C"/>
    <w:rsid w:val="006D1C65"/>
    <w:rsid w:val="006D1D36"/>
    <w:rsid w:val="006D2449"/>
    <w:rsid w:val="006D268D"/>
    <w:rsid w:val="006D2865"/>
    <w:rsid w:val="006D2CEC"/>
    <w:rsid w:val="006D315C"/>
    <w:rsid w:val="006D3296"/>
    <w:rsid w:val="006D3525"/>
    <w:rsid w:val="006D36C9"/>
    <w:rsid w:val="006D3FE4"/>
    <w:rsid w:val="006D4414"/>
    <w:rsid w:val="006D44F3"/>
    <w:rsid w:val="006D4C05"/>
    <w:rsid w:val="006D5156"/>
    <w:rsid w:val="006D534E"/>
    <w:rsid w:val="006D574C"/>
    <w:rsid w:val="006D5C9A"/>
    <w:rsid w:val="006D5E29"/>
    <w:rsid w:val="006D5EDA"/>
    <w:rsid w:val="006D6052"/>
    <w:rsid w:val="006D65E2"/>
    <w:rsid w:val="006D6CF0"/>
    <w:rsid w:val="006D71CD"/>
    <w:rsid w:val="006D7520"/>
    <w:rsid w:val="006D78CE"/>
    <w:rsid w:val="006D7E61"/>
    <w:rsid w:val="006E01E7"/>
    <w:rsid w:val="006E0335"/>
    <w:rsid w:val="006E0F03"/>
    <w:rsid w:val="006E1665"/>
    <w:rsid w:val="006E18EA"/>
    <w:rsid w:val="006E1FBD"/>
    <w:rsid w:val="006E2111"/>
    <w:rsid w:val="006E221C"/>
    <w:rsid w:val="006E283A"/>
    <w:rsid w:val="006E2CBA"/>
    <w:rsid w:val="006E2F17"/>
    <w:rsid w:val="006E31DE"/>
    <w:rsid w:val="006E37C0"/>
    <w:rsid w:val="006E4149"/>
    <w:rsid w:val="006E43D6"/>
    <w:rsid w:val="006E46BC"/>
    <w:rsid w:val="006E4A15"/>
    <w:rsid w:val="006E5024"/>
    <w:rsid w:val="006E542B"/>
    <w:rsid w:val="006E54BB"/>
    <w:rsid w:val="006E5B69"/>
    <w:rsid w:val="006E5BAD"/>
    <w:rsid w:val="006E5C62"/>
    <w:rsid w:val="006E5F8B"/>
    <w:rsid w:val="006E6A6F"/>
    <w:rsid w:val="006E6F60"/>
    <w:rsid w:val="006E7228"/>
    <w:rsid w:val="006E7465"/>
    <w:rsid w:val="006E7642"/>
    <w:rsid w:val="006E795C"/>
    <w:rsid w:val="006E7DCB"/>
    <w:rsid w:val="006F078D"/>
    <w:rsid w:val="006F0C9C"/>
    <w:rsid w:val="006F1791"/>
    <w:rsid w:val="006F2033"/>
    <w:rsid w:val="006F20D0"/>
    <w:rsid w:val="006F2982"/>
    <w:rsid w:val="006F29EC"/>
    <w:rsid w:val="006F2FC6"/>
    <w:rsid w:val="006F30CB"/>
    <w:rsid w:val="006F31D7"/>
    <w:rsid w:val="006F32A7"/>
    <w:rsid w:val="006F43E9"/>
    <w:rsid w:val="006F44E7"/>
    <w:rsid w:val="006F47B1"/>
    <w:rsid w:val="006F4DFB"/>
    <w:rsid w:val="006F4FD7"/>
    <w:rsid w:val="006F504B"/>
    <w:rsid w:val="006F5094"/>
    <w:rsid w:val="006F50F5"/>
    <w:rsid w:val="006F512A"/>
    <w:rsid w:val="006F5232"/>
    <w:rsid w:val="006F57A4"/>
    <w:rsid w:val="006F5861"/>
    <w:rsid w:val="006F5DE0"/>
    <w:rsid w:val="006F5E2E"/>
    <w:rsid w:val="006F5E77"/>
    <w:rsid w:val="006F64AE"/>
    <w:rsid w:val="006F65C4"/>
    <w:rsid w:val="006F6A12"/>
    <w:rsid w:val="006F725F"/>
    <w:rsid w:val="006F7321"/>
    <w:rsid w:val="006F773B"/>
    <w:rsid w:val="006F777E"/>
    <w:rsid w:val="006F7C34"/>
    <w:rsid w:val="007002DE"/>
    <w:rsid w:val="00700355"/>
    <w:rsid w:val="007005A2"/>
    <w:rsid w:val="00700868"/>
    <w:rsid w:val="00700FD1"/>
    <w:rsid w:val="007010B6"/>
    <w:rsid w:val="00701129"/>
    <w:rsid w:val="00701534"/>
    <w:rsid w:val="007016A5"/>
    <w:rsid w:val="00701A7C"/>
    <w:rsid w:val="00701F03"/>
    <w:rsid w:val="0070218A"/>
    <w:rsid w:val="007021C1"/>
    <w:rsid w:val="007026B9"/>
    <w:rsid w:val="007026BA"/>
    <w:rsid w:val="00702797"/>
    <w:rsid w:val="00702E97"/>
    <w:rsid w:val="00702EA8"/>
    <w:rsid w:val="00703432"/>
    <w:rsid w:val="00703D26"/>
    <w:rsid w:val="00703D40"/>
    <w:rsid w:val="007043C7"/>
    <w:rsid w:val="007048A4"/>
    <w:rsid w:val="00704A80"/>
    <w:rsid w:val="00704CF8"/>
    <w:rsid w:val="0070501D"/>
    <w:rsid w:val="007053D4"/>
    <w:rsid w:val="007057FC"/>
    <w:rsid w:val="00705CB1"/>
    <w:rsid w:val="00706523"/>
    <w:rsid w:val="00706576"/>
    <w:rsid w:val="00706773"/>
    <w:rsid w:val="00706C69"/>
    <w:rsid w:val="0070732D"/>
    <w:rsid w:val="00707BF4"/>
    <w:rsid w:val="00710226"/>
    <w:rsid w:val="0071044A"/>
    <w:rsid w:val="0071067D"/>
    <w:rsid w:val="00710C04"/>
    <w:rsid w:val="0071143C"/>
    <w:rsid w:val="0071145B"/>
    <w:rsid w:val="00711511"/>
    <w:rsid w:val="007118E2"/>
    <w:rsid w:val="00711ACD"/>
    <w:rsid w:val="00711B54"/>
    <w:rsid w:val="00711CCF"/>
    <w:rsid w:val="00711F83"/>
    <w:rsid w:val="007126B0"/>
    <w:rsid w:val="007128CF"/>
    <w:rsid w:val="00712B24"/>
    <w:rsid w:val="00712B5C"/>
    <w:rsid w:val="00713E50"/>
    <w:rsid w:val="0071405A"/>
    <w:rsid w:val="0071497E"/>
    <w:rsid w:val="00714A91"/>
    <w:rsid w:val="00714F29"/>
    <w:rsid w:val="007152E8"/>
    <w:rsid w:val="00715984"/>
    <w:rsid w:val="00715EE3"/>
    <w:rsid w:val="00715F34"/>
    <w:rsid w:val="00716F7C"/>
    <w:rsid w:val="00716FA0"/>
    <w:rsid w:val="0071736E"/>
    <w:rsid w:val="007173B4"/>
    <w:rsid w:val="007178D9"/>
    <w:rsid w:val="007179EE"/>
    <w:rsid w:val="00717DC1"/>
    <w:rsid w:val="00717DC8"/>
    <w:rsid w:val="00720518"/>
    <w:rsid w:val="00720BD7"/>
    <w:rsid w:val="00720EB7"/>
    <w:rsid w:val="0072156A"/>
    <w:rsid w:val="007218BC"/>
    <w:rsid w:val="00721925"/>
    <w:rsid w:val="00721D2F"/>
    <w:rsid w:val="00721D68"/>
    <w:rsid w:val="0072209E"/>
    <w:rsid w:val="007229C9"/>
    <w:rsid w:val="00722ED5"/>
    <w:rsid w:val="0072351F"/>
    <w:rsid w:val="007238C4"/>
    <w:rsid w:val="00723B0E"/>
    <w:rsid w:val="00723BC5"/>
    <w:rsid w:val="00723C9A"/>
    <w:rsid w:val="00723EB8"/>
    <w:rsid w:val="00724047"/>
    <w:rsid w:val="007244B2"/>
    <w:rsid w:val="007247C6"/>
    <w:rsid w:val="0072489D"/>
    <w:rsid w:val="00725088"/>
    <w:rsid w:val="0072562E"/>
    <w:rsid w:val="00725CE3"/>
    <w:rsid w:val="00726A26"/>
    <w:rsid w:val="00726C1A"/>
    <w:rsid w:val="00726D70"/>
    <w:rsid w:val="00726FFA"/>
    <w:rsid w:val="00727233"/>
    <w:rsid w:val="0072785A"/>
    <w:rsid w:val="00730406"/>
    <w:rsid w:val="00730A3C"/>
    <w:rsid w:val="00730F1B"/>
    <w:rsid w:val="007317D4"/>
    <w:rsid w:val="007318CA"/>
    <w:rsid w:val="00731C1F"/>
    <w:rsid w:val="00732141"/>
    <w:rsid w:val="007321FC"/>
    <w:rsid w:val="00732658"/>
    <w:rsid w:val="0073272C"/>
    <w:rsid w:val="0073289B"/>
    <w:rsid w:val="00732938"/>
    <w:rsid w:val="00732A82"/>
    <w:rsid w:val="00732F35"/>
    <w:rsid w:val="007341C7"/>
    <w:rsid w:val="007344C8"/>
    <w:rsid w:val="007359FA"/>
    <w:rsid w:val="00735BFC"/>
    <w:rsid w:val="007360FD"/>
    <w:rsid w:val="00736136"/>
    <w:rsid w:val="0073655C"/>
    <w:rsid w:val="0073687C"/>
    <w:rsid w:val="00736F00"/>
    <w:rsid w:val="00737470"/>
    <w:rsid w:val="007379E7"/>
    <w:rsid w:val="0074057A"/>
    <w:rsid w:val="00740819"/>
    <w:rsid w:val="00740914"/>
    <w:rsid w:val="00740A20"/>
    <w:rsid w:val="00740F16"/>
    <w:rsid w:val="007411A1"/>
    <w:rsid w:val="00741231"/>
    <w:rsid w:val="007412A5"/>
    <w:rsid w:val="0074147E"/>
    <w:rsid w:val="00741702"/>
    <w:rsid w:val="00741720"/>
    <w:rsid w:val="00741AF6"/>
    <w:rsid w:val="00741BDE"/>
    <w:rsid w:val="00742274"/>
    <w:rsid w:val="00742586"/>
    <w:rsid w:val="00742BAA"/>
    <w:rsid w:val="00743502"/>
    <w:rsid w:val="00743652"/>
    <w:rsid w:val="0074374B"/>
    <w:rsid w:val="00743834"/>
    <w:rsid w:val="007438BB"/>
    <w:rsid w:val="00743ED5"/>
    <w:rsid w:val="00744447"/>
    <w:rsid w:val="00745053"/>
    <w:rsid w:val="00745064"/>
    <w:rsid w:val="00745BBB"/>
    <w:rsid w:val="00745DBF"/>
    <w:rsid w:val="00745F4B"/>
    <w:rsid w:val="00746181"/>
    <w:rsid w:val="0074633E"/>
    <w:rsid w:val="00746987"/>
    <w:rsid w:val="00746B75"/>
    <w:rsid w:val="00746BB8"/>
    <w:rsid w:val="0074703D"/>
    <w:rsid w:val="0074720B"/>
    <w:rsid w:val="007474AE"/>
    <w:rsid w:val="00747894"/>
    <w:rsid w:val="00747D1D"/>
    <w:rsid w:val="00747F9E"/>
    <w:rsid w:val="00750411"/>
    <w:rsid w:val="007505A6"/>
    <w:rsid w:val="00750742"/>
    <w:rsid w:val="0075087F"/>
    <w:rsid w:val="00750905"/>
    <w:rsid w:val="00750EBB"/>
    <w:rsid w:val="007514A6"/>
    <w:rsid w:val="00751969"/>
    <w:rsid w:val="00751998"/>
    <w:rsid w:val="00751BD0"/>
    <w:rsid w:val="00751C36"/>
    <w:rsid w:val="0075220D"/>
    <w:rsid w:val="0075236B"/>
    <w:rsid w:val="007526F9"/>
    <w:rsid w:val="00752935"/>
    <w:rsid w:val="00752B8B"/>
    <w:rsid w:val="00752B9F"/>
    <w:rsid w:val="00752EB0"/>
    <w:rsid w:val="0075300A"/>
    <w:rsid w:val="007533B1"/>
    <w:rsid w:val="00753638"/>
    <w:rsid w:val="007536CB"/>
    <w:rsid w:val="00753A69"/>
    <w:rsid w:val="00754719"/>
    <w:rsid w:val="0075480B"/>
    <w:rsid w:val="00754A59"/>
    <w:rsid w:val="0075511B"/>
    <w:rsid w:val="007553D8"/>
    <w:rsid w:val="00755685"/>
    <w:rsid w:val="007558EE"/>
    <w:rsid w:val="00755AC5"/>
    <w:rsid w:val="00755E2D"/>
    <w:rsid w:val="0075606C"/>
    <w:rsid w:val="00756BD5"/>
    <w:rsid w:val="00756DE5"/>
    <w:rsid w:val="00756E01"/>
    <w:rsid w:val="00756FCD"/>
    <w:rsid w:val="007570AC"/>
    <w:rsid w:val="0075771A"/>
    <w:rsid w:val="00757875"/>
    <w:rsid w:val="007578E1"/>
    <w:rsid w:val="00757DB3"/>
    <w:rsid w:val="00757F7D"/>
    <w:rsid w:val="00760138"/>
    <w:rsid w:val="00760712"/>
    <w:rsid w:val="00760878"/>
    <w:rsid w:val="00760B99"/>
    <w:rsid w:val="007611C9"/>
    <w:rsid w:val="007613C6"/>
    <w:rsid w:val="007613D4"/>
    <w:rsid w:val="007616C6"/>
    <w:rsid w:val="00761E03"/>
    <w:rsid w:val="00762740"/>
    <w:rsid w:val="007629A5"/>
    <w:rsid w:val="00762CF9"/>
    <w:rsid w:val="00762DDC"/>
    <w:rsid w:val="00763011"/>
    <w:rsid w:val="007636F9"/>
    <w:rsid w:val="00763DE7"/>
    <w:rsid w:val="00764590"/>
    <w:rsid w:val="0076523B"/>
    <w:rsid w:val="00765ABD"/>
    <w:rsid w:val="00765F4E"/>
    <w:rsid w:val="00766DA9"/>
    <w:rsid w:val="007670AA"/>
    <w:rsid w:val="0076746C"/>
    <w:rsid w:val="00767B99"/>
    <w:rsid w:val="00767ED7"/>
    <w:rsid w:val="00767F4C"/>
    <w:rsid w:val="0077033F"/>
    <w:rsid w:val="00770408"/>
    <w:rsid w:val="00770AAF"/>
    <w:rsid w:val="0077102F"/>
    <w:rsid w:val="00771614"/>
    <w:rsid w:val="00771B14"/>
    <w:rsid w:val="00771B48"/>
    <w:rsid w:val="00771B4C"/>
    <w:rsid w:val="00772730"/>
    <w:rsid w:val="00772872"/>
    <w:rsid w:val="007729C7"/>
    <w:rsid w:val="00772C98"/>
    <w:rsid w:val="00772E20"/>
    <w:rsid w:val="00772FDF"/>
    <w:rsid w:val="007733DB"/>
    <w:rsid w:val="00773C95"/>
    <w:rsid w:val="00773DE6"/>
    <w:rsid w:val="007741EA"/>
    <w:rsid w:val="00774965"/>
    <w:rsid w:val="00774B50"/>
    <w:rsid w:val="00774CB9"/>
    <w:rsid w:val="00775103"/>
    <w:rsid w:val="007753F8"/>
    <w:rsid w:val="00775A77"/>
    <w:rsid w:val="00775C00"/>
    <w:rsid w:val="007760D1"/>
    <w:rsid w:val="007761EB"/>
    <w:rsid w:val="007766FB"/>
    <w:rsid w:val="00776ADD"/>
    <w:rsid w:val="00776D25"/>
    <w:rsid w:val="00776D32"/>
    <w:rsid w:val="0077719D"/>
    <w:rsid w:val="00780252"/>
    <w:rsid w:val="007803C6"/>
    <w:rsid w:val="00780A6B"/>
    <w:rsid w:val="00780A9E"/>
    <w:rsid w:val="00780DD6"/>
    <w:rsid w:val="00780FED"/>
    <w:rsid w:val="007811C3"/>
    <w:rsid w:val="00781365"/>
    <w:rsid w:val="007817BA"/>
    <w:rsid w:val="00781A2D"/>
    <w:rsid w:val="007820AC"/>
    <w:rsid w:val="0078210F"/>
    <w:rsid w:val="00783163"/>
    <w:rsid w:val="007831C5"/>
    <w:rsid w:val="00783435"/>
    <w:rsid w:val="007838D3"/>
    <w:rsid w:val="007839D5"/>
    <w:rsid w:val="00783A03"/>
    <w:rsid w:val="00783DAA"/>
    <w:rsid w:val="00783EF1"/>
    <w:rsid w:val="007840AA"/>
    <w:rsid w:val="00784147"/>
    <w:rsid w:val="0078414C"/>
    <w:rsid w:val="0078417C"/>
    <w:rsid w:val="00784214"/>
    <w:rsid w:val="00784527"/>
    <w:rsid w:val="00784611"/>
    <w:rsid w:val="00784BF7"/>
    <w:rsid w:val="00784C77"/>
    <w:rsid w:val="00784FAB"/>
    <w:rsid w:val="00785224"/>
    <w:rsid w:val="00785538"/>
    <w:rsid w:val="00785869"/>
    <w:rsid w:val="007859DD"/>
    <w:rsid w:val="00785F0F"/>
    <w:rsid w:val="00786311"/>
    <w:rsid w:val="00786870"/>
    <w:rsid w:val="00786B1A"/>
    <w:rsid w:val="00786E3F"/>
    <w:rsid w:val="00786F19"/>
    <w:rsid w:val="00787328"/>
    <w:rsid w:val="00787A56"/>
    <w:rsid w:val="00787B94"/>
    <w:rsid w:val="00787E65"/>
    <w:rsid w:val="007900CB"/>
    <w:rsid w:val="007901A3"/>
    <w:rsid w:val="00790706"/>
    <w:rsid w:val="0079088D"/>
    <w:rsid w:val="00790AC4"/>
    <w:rsid w:val="00790B76"/>
    <w:rsid w:val="00790DA0"/>
    <w:rsid w:val="007913DE"/>
    <w:rsid w:val="007914FA"/>
    <w:rsid w:val="00791782"/>
    <w:rsid w:val="00791940"/>
    <w:rsid w:val="00791FAB"/>
    <w:rsid w:val="007923AC"/>
    <w:rsid w:val="007924A4"/>
    <w:rsid w:val="00792939"/>
    <w:rsid w:val="00793098"/>
    <w:rsid w:val="007930E7"/>
    <w:rsid w:val="00793404"/>
    <w:rsid w:val="00793570"/>
    <w:rsid w:val="00793794"/>
    <w:rsid w:val="00793890"/>
    <w:rsid w:val="00793EC8"/>
    <w:rsid w:val="00794184"/>
    <w:rsid w:val="00794571"/>
    <w:rsid w:val="007945D8"/>
    <w:rsid w:val="00794603"/>
    <w:rsid w:val="00794643"/>
    <w:rsid w:val="00794861"/>
    <w:rsid w:val="00794AC2"/>
    <w:rsid w:val="007953A1"/>
    <w:rsid w:val="0079566F"/>
    <w:rsid w:val="007957CF"/>
    <w:rsid w:val="0079585E"/>
    <w:rsid w:val="00795CF6"/>
    <w:rsid w:val="00795E7B"/>
    <w:rsid w:val="00795F57"/>
    <w:rsid w:val="00796123"/>
    <w:rsid w:val="007961A3"/>
    <w:rsid w:val="0079625A"/>
    <w:rsid w:val="00796718"/>
    <w:rsid w:val="00796CCB"/>
    <w:rsid w:val="007970AD"/>
    <w:rsid w:val="0079721F"/>
    <w:rsid w:val="00797607"/>
    <w:rsid w:val="00797F52"/>
    <w:rsid w:val="007A0049"/>
    <w:rsid w:val="007A00F3"/>
    <w:rsid w:val="007A0C7B"/>
    <w:rsid w:val="007A0DE3"/>
    <w:rsid w:val="007A140B"/>
    <w:rsid w:val="007A1BF2"/>
    <w:rsid w:val="007A25A6"/>
    <w:rsid w:val="007A2C3F"/>
    <w:rsid w:val="007A358F"/>
    <w:rsid w:val="007A3799"/>
    <w:rsid w:val="007A3BFB"/>
    <w:rsid w:val="007A42B6"/>
    <w:rsid w:val="007A5635"/>
    <w:rsid w:val="007A59AE"/>
    <w:rsid w:val="007A59DE"/>
    <w:rsid w:val="007A5C92"/>
    <w:rsid w:val="007A5DBB"/>
    <w:rsid w:val="007A6162"/>
    <w:rsid w:val="007A6180"/>
    <w:rsid w:val="007A64DC"/>
    <w:rsid w:val="007A6C23"/>
    <w:rsid w:val="007A6DFD"/>
    <w:rsid w:val="007A713A"/>
    <w:rsid w:val="007A7478"/>
    <w:rsid w:val="007A762B"/>
    <w:rsid w:val="007A7A59"/>
    <w:rsid w:val="007A7B39"/>
    <w:rsid w:val="007A7B4B"/>
    <w:rsid w:val="007B05F8"/>
    <w:rsid w:val="007B0F35"/>
    <w:rsid w:val="007B10E7"/>
    <w:rsid w:val="007B190B"/>
    <w:rsid w:val="007B2282"/>
    <w:rsid w:val="007B2377"/>
    <w:rsid w:val="007B24C2"/>
    <w:rsid w:val="007B2509"/>
    <w:rsid w:val="007B25B4"/>
    <w:rsid w:val="007B28F6"/>
    <w:rsid w:val="007B2F92"/>
    <w:rsid w:val="007B3149"/>
    <w:rsid w:val="007B33AE"/>
    <w:rsid w:val="007B3E3A"/>
    <w:rsid w:val="007B3E7B"/>
    <w:rsid w:val="007B3F03"/>
    <w:rsid w:val="007B3F44"/>
    <w:rsid w:val="007B4224"/>
    <w:rsid w:val="007B4570"/>
    <w:rsid w:val="007B4662"/>
    <w:rsid w:val="007B493C"/>
    <w:rsid w:val="007B49F4"/>
    <w:rsid w:val="007B4AEA"/>
    <w:rsid w:val="007B4B59"/>
    <w:rsid w:val="007B4D63"/>
    <w:rsid w:val="007B4F8C"/>
    <w:rsid w:val="007B500B"/>
    <w:rsid w:val="007B54D5"/>
    <w:rsid w:val="007B5653"/>
    <w:rsid w:val="007B5783"/>
    <w:rsid w:val="007B6121"/>
    <w:rsid w:val="007B62FC"/>
    <w:rsid w:val="007B6454"/>
    <w:rsid w:val="007B648F"/>
    <w:rsid w:val="007B66F1"/>
    <w:rsid w:val="007B682B"/>
    <w:rsid w:val="007B698D"/>
    <w:rsid w:val="007B6A2B"/>
    <w:rsid w:val="007B6A91"/>
    <w:rsid w:val="007B6EA7"/>
    <w:rsid w:val="007B733A"/>
    <w:rsid w:val="007B73E0"/>
    <w:rsid w:val="007B7826"/>
    <w:rsid w:val="007B795F"/>
    <w:rsid w:val="007C02E4"/>
    <w:rsid w:val="007C0520"/>
    <w:rsid w:val="007C0764"/>
    <w:rsid w:val="007C106D"/>
    <w:rsid w:val="007C1084"/>
    <w:rsid w:val="007C10CA"/>
    <w:rsid w:val="007C14B8"/>
    <w:rsid w:val="007C1CC6"/>
    <w:rsid w:val="007C1FBE"/>
    <w:rsid w:val="007C2153"/>
    <w:rsid w:val="007C241D"/>
    <w:rsid w:val="007C2441"/>
    <w:rsid w:val="007C252D"/>
    <w:rsid w:val="007C2639"/>
    <w:rsid w:val="007C277B"/>
    <w:rsid w:val="007C27F3"/>
    <w:rsid w:val="007C2B3B"/>
    <w:rsid w:val="007C2CD9"/>
    <w:rsid w:val="007C31A2"/>
    <w:rsid w:val="007C33D4"/>
    <w:rsid w:val="007C3879"/>
    <w:rsid w:val="007C3A70"/>
    <w:rsid w:val="007C3D3E"/>
    <w:rsid w:val="007C3E69"/>
    <w:rsid w:val="007C3F75"/>
    <w:rsid w:val="007C3F87"/>
    <w:rsid w:val="007C47D5"/>
    <w:rsid w:val="007C4EE7"/>
    <w:rsid w:val="007C4FD2"/>
    <w:rsid w:val="007C5D63"/>
    <w:rsid w:val="007C5F02"/>
    <w:rsid w:val="007C61BD"/>
    <w:rsid w:val="007C689A"/>
    <w:rsid w:val="007C6FC0"/>
    <w:rsid w:val="007C7BD1"/>
    <w:rsid w:val="007C7D8E"/>
    <w:rsid w:val="007D06EE"/>
    <w:rsid w:val="007D08DC"/>
    <w:rsid w:val="007D0A47"/>
    <w:rsid w:val="007D0A6A"/>
    <w:rsid w:val="007D111C"/>
    <w:rsid w:val="007D12D1"/>
    <w:rsid w:val="007D1339"/>
    <w:rsid w:val="007D1590"/>
    <w:rsid w:val="007D1AF6"/>
    <w:rsid w:val="007D1B1E"/>
    <w:rsid w:val="007D20B1"/>
    <w:rsid w:val="007D2A09"/>
    <w:rsid w:val="007D2A18"/>
    <w:rsid w:val="007D2F02"/>
    <w:rsid w:val="007D3E9D"/>
    <w:rsid w:val="007D4655"/>
    <w:rsid w:val="007D46C5"/>
    <w:rsid w:val="007D4924"/>
    <w:rsid w:val="007D4CA4"/>
    <w:rsid w:val="007D506B"/>
    <w:rsid w:val="007D550D"/>
    <w:rsid w:val="007D56EC"/>
    <w:rsid w:val="007D5712"/>
    <w:rsid w:val="007D59F0"/>
    <w:rsid w:val="007D5A61"/>
    <w:rsid w:val="007D5E16"/>
    <w:rsid w:val="007D6606"/>
    <w:rsid w:val="007D6CAF"/>
    <w:rsid w:val="007D732B"/>
    <w:rsid w:val="007D7BD4"/>
    <w:rsid w:val="007E043D"/>
    <w:rsid w:val="007E062D"/>
    <w:rsid w:val="007E0921"/>
    <w:rsid w:val="007E11C8"/>
    <w:rsid w:val="007E145C"/>
    <w:rsid w:val="007E1E73"/>
    <w:rsid w:val="007E2083"/>
    <w:rsid w:val="007E20F7"/>
    <w:rsid w:val="007E2D44"/>
    <w:rsid w:val="007E3060"/>
    <w:rsid w:val="007E34B8"/>
    <w:rsid w:val="007E3983"/>
    <w:rsid w:val="007E3CBA"/>
    <w:rsid w:val="007E4830"/>
    <w:rsid w:val="007E4AFB"/>
    <w:rsid w:val="007E4B25"/>
    <w:rsid w:val="007E5844"/>
    <w:rsid w:val="007E5ACA"/>
    <w:rsid w:val="007E5BB7"/>
    <w:rsid w:val="007E5F54"/>
    <w:rsid w:val="007E5F9D"/>
    <w:rsid w:val="007E6034"/>
    <w:rsid w:val="007E6933"/>
    <w:rsid w:val="007E7288"/>
    <w:rsid w:val="007E7540"/>
    <w:rsid w:val="007E76BE"/>
    <w:rsid w:val="007E7DCD"/>
    <w:rsid w:val="007F0468"/>
    <w:rsid w:val="007F121A"/>
    <w:rsid w:val="007F1335"/>
    <w:rsid w:val="007F163F"/>
    <w:rsid w:val="007F1F73"/>
    <w:rsid w:val="007F1FDC"/>
    <w:rsid w:val="007F2064"/>
    <w:rsid w:val="007F231E"/>
    <w:rsid w:val="007F241B"/>
    <w:rsid w:val="007F2870"/>
    <w:rsid w:val="007F2BC7"/>
    <w:rsid w:val="007F302B"/>
    <w:rsid w:val="007F3078"/>
    <w:rsid w:val="007F32E1"/>
    <w:rsid w:val="007F3BF9"/>
    <w:rsid w:val="007F3D03"/>
    <w:rsid w:val="007F3E7F"/>
    <w:rsid w:val="007F3EF6"/>
    <w:rsid w:val="007F4567"/>
    <w:rsid w:val="007F4765"/>
    <w:rsid w:val="007F497F"/>
    <w:rsid w:val="007F4A16"/>
    <w:rsid w:val="007F5034"/>
    <w:rsid w:val="007F526E"/>
    <w:rsid w:val="007F5622"/>
    <w:rsid w:val="007F56C3"/>
    <w:rsid w:val="007F596D"/>
    <w:rsid w:val="007F5D57"/>
    <w:rsid w:val="007F5FF9"/>
    <w:rsid w:val="007F6363"/>
    <w:rsid w:val="007F64B5"/>
    <w:rsid w:val="007F66C0"/>
    <w:rsid w:val="007F6CEE"/>
    <w:rsid w:val="007F6D50"/>
    <w:rsid w:val="007F6FE7"/>
    <w:rsid w:val="007F73D9"/>
    <w:rsid w:val="007F749F"/>
    <w:rsid w:val="007F7A28"/>
    <w:rsid w:val="007F7C42"/>
    <w:rsid w:val="007F7CF5"/>
    <w:rsid w:val="007F7D39"/>
    <w:rsid w:val="007F7D70"/>
    <w:rsid w:val="0080028D"/>
    <w:rsid w:val="008002C3"/>
    <w:rsid w:val="0080033D"/>
    <w:rsid w:val="0080059B"/>
    <w:rsid w:val="00800659"/>
    <w:rsid w:val="00801C51"/>
    <w:rsid w:val="00801CEC"/>
    <w:rsid w:val="00801EA5"/>
    <w:rsid w:val="00801EBA"/>
    <w:rsid w:val="008022BB"/>
    <w:rsid w:val="00802384"/>
    <w:rsid w:val="00802A58"/>
    <w:rsid w:val="00802D13"/>
    <w:rsid w:val="00802F56"/>
    <w:rsid w:val="00803047"/>
    <w:rsid w:val="008038BB"/>
    <w:rsid w:val="00803C26"/>
    <w:rsid w:val="008040C2"/>
    <w:rsid w:val="0080418B"/>
    <w:rsid w:val="008042D1"/>
    <w:rsid w:val="0080432E"/>
    <w:rsid w:val="00804357"/>
    <w:rsid w:val="00804484"/>
    <w:rsid w:val="00804CE9"/>
    <w:rsid w:val="00804D9B"/>
    <w:rsid w:val="00805175"/>
    <w:rsid w:val="00805DD0"/>
    <w:rsid w:val="00806647"/>
    <w:rsid w:val="00806B52"/>
    <w:rsid w:val="0080766C"/>
    <w:rsid w:val="00807734"/>
    <w:rsid w:val="00807BBA"/>
    <w:rsid w:val="00807CCA"/>
    <w:rsid w:val="00810AEA"/>
    <w:rsid w:val="00810C01"/>
    <w:rsid w:val="00811FBF"/>
    <w:rsid w:val="008120C1"/>
    <w:rsid w:val="00812392"/>
    <w:rsid w:val="00812EE8"/>
    <w:rsid w:val="008130C5"/>
    <w:rsid w:val="008139ED"/>
    <w:rsid w:val="00813DC7"/>
    <w:rsid w:val="00814486"/>
    <w:rsid w:val="008150C4"/>
    <w:rsid w:val="00815682"/>
    <w:rsid w:val="0081570E"/>
    <w:rsid w:val="0081587A"/>
    <w:rsid w:val="00815A0B"/>
    <w:rsid w:val="00816101"/>
    <w:rsid w:val="0081642F"/>
    <w:rsid w:val="008165D9"/>
    <w:rsid w:val="00816F79"/>
    <w:rsid w:val="00817343"/>
    <w:rsid w:val="00817506"/>
    <w:rsid w:val="008175F8"/>
    <w:rsid w:val="00817AEA"/>
    <w:rsid w:val="00817C58"/>
    <w:rsid w:val="008207E6"/>
    <w:rsid w:val="00820914"/>
    <w:rsid w:val="00820BA4"/>
    <w:rsid w:val="00820E43"/>
    <w:rsid w:val="00821042"/>
    <w:rsid w:val="008210A0"/>
    <w:rsid w:val="0082133A"/>
    <w:rsid w:val="00822170"/>
    <w:rsid w:val="008222A3"/>
    <w:rsid w:val="00822451"/>
    <w:rsid w:val="00822FBF"/>
    <w:rsid w:val="00823293"/>
    <w:rsid w:val="00823BC4"/>
    <w:rsid w:val="00824A09"/>
    <w:rsid w:val="00824A8F"/>
    <w:rsid w:val="00824ADA"/>
    <w:rsid w:val="00824BB8"/>
    <w:rsid w:val="00824CEC"/>
    <w:rsid w:val="008254BF"/>
    <w:rsid w:val="0082555E"/>
    <w:rsid w:val="00825700"/>
    <w:rsid w:val="008259FF"/>
    <w:rsid w:val="00825D1E"/>
    <w:rsid w:val="00826250"/>
    <w:rsid w:val="00826784"/>
    <w:rsid w:val="008267FF"/>
    <w:rsid w:val="00827112"/>
    <w:rsid w:val="008271C4"/>
    <w:rsid w:val="00827672"/>
    <w:rsid w:val="00827746"/>
    <w:rsid w:val="0082775F"/>
    <w:rsid w:val="00827C34"/>
    <w:rsid w:val="00827F93"/>
    <w:rsid w:val="008306DC"/>
    <w:rsid w:val="00830CB5"/>
    <w:rsid w:val="008318C8"/>
    <w:rsid w:val="00831B2D"/>
    <w:rsid w:val="008320E1"/>
    <w:rsid w:val="00832107"/>
    <w:rsid w:val="00832B0B"/>
    <w:rsid w:val="00832D93"/>
    <w:rsid w:val="00833369"/>
    <w:rsid w:val="00833799"/>
    <w:rsid w:val="0083486B"/>
    <w:rsid w:val="00834FD3"/>
    <w:rsid w:val="0083515C"/>
    <w:rsid w:val="00835991"/>
    <w:rsid w:val="008365E2"/>
    <w:rsid w:val="00836A1D"/>
    <w:rsid w:val="0083740C"/>
    <w:rsid w:val="008378E3"/>
    <w:rsid w:val="008378E5"/>
    <w:rsid w:val="00837C17"/>
    <w:rsid w:val="008402DB"/>
    <w:rsid w:val="00840320"/>
    <w:rsid w:val="00840326"/>
    <w:rsid w:val="00840528"/>
    <w:rsid w:val="00840AFC"/>
    <w:rsid w:val="00840B75"/>
    <w:rsid w:val="00840CDC"/>
    <w:rsid w:val="00840E15"/>
    <w:rsid w:val="00840E4A"/>
    <w:rsid w:val="00840F5E"/>
    <w:rsid w:val="008412A0"/>
    <w:rsid w:val="00841623"/>
    <w:rsid w:val="00841801"/>
    <w:rsid w:val="00841B12"/>
    <w:rsid w:val="008424B8"/>
    <w:rsid w:val="00842841"/>
    <w:rsid w:val="008428B6"/>
    <w:rsid w:val="00842FE7"/>
    <w:rsid w:val="00843958"/>
    <w:rsid w:val="00843A2E"/>
    <w:rsid w:val="00843E5D"/>
    <w:rsid w:val="0084417E"/>
    <w:rsid w:val="008446CC"/>
    <w:rsid w:val="00844A6B"/>
    <w:rsid w:val="00844B55"/>
    <w:rsid w:val="00844D92"/>
    <w:rsid w:val="00844ED4"/>
    <w:rsid w:val="00845624"/>
    <w:rsid w:val="00845A0C"/>
    <w:rsid w:val="00845C0F"/>
    <w:rsid w:val="008464D3"/>
    <w:rsid w:val="008467FD"/>
    <w:rsid w:val="0084749A"/>
    <w:rsid w:val="008507E7"/>
    <w:rsid w:val="008509E8"/>
    <w:rsid w:val="00851055"/>
    <w:rsid w:val="008510DC"/>
    <w:rsid w:val="00851553"/>
    <w:rsid w:val="00851874"/>
    <w:rsid w:val="00851BAF"/>
    <w:rsid w:val="00851C8A"/>
    <w:rsid w:val="008523AA"/>
    <w:rsid w:val="00852AD4"/>
    <w:rsid w:val="00852D76"/>
    <w:rsid w:val="00852E78"/>
    <w:rsid w:val="008536B1"/>
    <w:rsid w:val="008536E4"/>
    <w:rsid w:val="008537DF"/>
    <w:rsid w:val="008546EB"/>
    <w:rsid w:val="00854C77"/>
    <w:rsid w:val="00854CE0"/>
    <w:rsid w:val="00854EDA"/>
    <w:rsid w:val="0085558F"/>
    <w:rsid w:val="008556D5"/>
    <w:rsid w:val="00855E52"/>
    <w:rsid w:val="00856117"/>
    <w:rsid w:val="00856838"/>
    <w:rsid w:val="00856E83"/>
    <w:rsid w:val="00857275"/>
    <w:rsid w:val="00857733"/>
    <w:rsid w:val="00857B26"/>
    <w:rsid w:val="00857D96"/>
    <w:rsid w:val="0085ABB5"/>
    <w:rsid w:val="008600AB"/>
    <w:rsid w:val="00860161"/>
    <w:rsid w:val="0086031A"/>
    <w:rsid w:val="008604E8"/>
    <w:rsid w:val="008609AB"/>
    <w:rsid w:val="008611B9"/>
    <w:rsid w:val="00861409"/>
    <w:rsid w:val="00861649"/>
    <w:rsid w:val="008617F2"/>
    <w:rsid w:val="00861B4B"/>
    <w:rsid w:val="00861D38"/>
    <w:rsid w:val="00861FB7"/>
    <w:rsid w:val="008625E9"/>
    <w:rsid w:val="008628A4"/>
    <w:rsid w:val="0086290A"/>
    <w:rsid w:val="00862A2D"/>
    <w:rsid w:val="00862DE7"/>
    <w:rsid w:val="008630EA"/>
    <w:rsid w:val="008632F5"/>
    <w:rsid w:val="008634BB"/>
    <w:rsid w:val="0086354C"/>
    <w:rsid w:val="0086374D"/>
    <w:rsid w:val="008637B6"/>
    <w:rsid w:val="00863823"/>
    <w:rsid w:val="00863CB2"/>
    <w:rsid w:val="0086418F"/>
    <w:rsid w:val="008641D5"/>
    <w:rsid w:val="008647C6"/>
    <w:rsid w:val="00864D97"/>
    <w:rsid w:val="00865199"/>
    <w:rsid w:val="00865505"/>
    <w:rsid w:val="00865932"/>
    <w:rsid w:val="00865D22"/>
    <w:rsid w:val="00865D8D"/>
    <w:rsid w:val="00865E09"/>
    <w:rsid w:val="0086629D"/>
    <w:rsid w:val="008666FB"/>
    <w:rsid w:val="00866D30"/>
    <w:rsid w:val="008675D7"/>
    <w:rsid w:val="00867EAF"/>
    <w:rsid w:val="00867F4F"/>
    <w:rsid w:val="00867F8A"/>
    <w:rsid w:val="0087004B"/>
    <w:rsid w:val="00870280"/>
    <w:rsid w:val="00870388"/>
    <w:rsid w:val="008704F8"/>
    <w:rsid w:val="0087057C"/>
    <w:rsid w:val="00870ACA"/>
    <w:rsid w:val="00870B6D"/>
    <w:rsid w:val="00870C81"/>
    <w:rsid w:val="0087185B"/>
    <w:rsid w:val="008719FA"/>
    <w:rsid w:val="00871A9E"/>
    <w:rsid w:val="00871B0C"/>
    <w:rsid w:val="008720A6"/>
    <w:rsid w:val="0087243F"/>
    <w:rsid w:val="00872B94"/>
    <w:rsid w:val="00872BB3"/>
    <w:rsid w:val="00872D27"/>
    <w:rsid w:val="00872DB0"/>
    <w:rsid w:val="00872DC8"/>
    <w:rsid w:val="00873350"/>
    <w:rsid w:val="0087343B"/>
    <w:rsid w:val="008737F1"/>
    <w:rsid w:val="00873C94"/>
    <w:rsid w:val="00874284"/>
    <w:rsid w:val="008748E7"/>
    <w:rsid w:val="00874A78"/>
    <w:rsid w:val="00874AE9"/>
    <w:rsid w:val="00874DBA"/>
    <w:rsid w:val="00874E5D"/>
    <w:rsid w:val="0087516B"/>
    <w:rsid w:val="0087541C"/>
    <w:rsid w:val="00875E85"/>
    <w:rsid w:val="00876071"/>
    <w:rsid w:val="00876BD2"/>
    <w:rsid w:val="00876C67"/>
    <w:rsid w:val="00876F15"/>
    <w:rsid w:val="00877740"/>
    <w:rsid w:val="0088017F"/>
    <w:rsid w:val="00880980"/>
    <w:rsid w:val="00880B36"/>
    <w:rsid w:val="00881516"/>
    <w:rsid w:val="008817A8"/>
    <w:rsid w:val="00881B1A"/>
    <w:rsid w:val="00881B4D"/>
    <w:rsid w:val="00881E54"/>
    <w:rsid w:val="00882010"/>
    <w:rsid w:val="00882199"/>
    <w:rsid w:val="008823A6"/>
    <w:rsid w:val="00882852"/>
    <w:rsid w:val="008829D5"/>
    <w:rsid w:val="00882B08"/>
    <w:rsid w:val="00882DBF"/>
    <w:rsid w:val="00882EE7"/>
    <w:rsid w:val="00882FB0"/>
    <w:rsid w:val="00883228"/>
    <w:rsid w:val="00883731"/>
    <w:rsid w:val="00883D7C"/>
    <w:rsid w:val="00884416"/>
    <w:rsid w:val="008857DF"/>
    <w:rsid w:val="00885BFE"/>
    <w:rsid w:val="008864A9"/>
    <w:rsid w:val="008869DF"/>
    <w:rsid w:val="00887F21"/>
    <w:rsid w:val="008900DC"/>
    <w:rsid w:val="008915DB"/>
    <w:rsid w:val="00891968"/>
    <w:rsid w:val="00891972"/>
    <w:rsid w:val="00891B8D"/>
    <w:rsid w:val="00892239"/>
    <w:rsid w:val="0089237F"/>
    <w:rsid w:val="00892AA8"/>
    <w:rsid w:val="00892CBC"/>
    <w:rsid w:val="00892D72"/>
    <w:rsid w:val="008930EF"/>
    <w:rsid w:val="00893165"/>
    <w:rsid w:val="00893257"/>
    <w:rsid w:val="0089379A"/>
    <w:rsid w:val="008938B9"/>
    <w:rsid w:val="008939DF"/>
    <w:rsid w:val="008942C3"/>
    <w:rsid w:val="00894AEC"/>
    <w:rsid w:val="008959D0"/>
    <w:rsid w:val="00895CEE"/>
    <w:rsid w:val="00895E02"/>
    <w:rsid w:val="00895E88"/>
    <w:rsid w:val="00896065"/>
    <w:rsid w:val="008961C4"/>
    <w:rsid w:val="008963A5"/>
    <w:rsid w:val="00896722"/>
    <w:rsid w:val="008969FC"/>
    <w:rsid w:val="00896ADC"/>
    <w:rsid w:val="00896E45"/>
    <w:rsid w:val="008973A9"/>
    <w:rsid w:val="0089789C"/>
    <w:rsid w:val="008A0701"/>
    <w:rsid w:val="008A0D27"/>
    <w:rsid w:val="008A10FE"/>
    <w:rsid w:val="008A1263"/>
    <w:rsid w:val="008A17E8"/>
    <w:rsid w:val="008A1975"/>
    <w:rsid w:val="008A1DCE"/>
    <w:rsid w:val="008A2195"/>
    <w:rsid w:val="008A2B0C"/>
    <w:rsid w:val="008A325A"/>
    <w:rsid w:val="008A36A0"/>
    <w:rsid w:val="008A36DB"/>
    <w:rsid w:val="008A3895"/>
    <w:rsid w:val="008A39C6"/>
    <w:rsid w:val="008A3A78"/>
    <w:rsid w:val="008A3C14"/>
    <w:rsid w:val="008A4898"/>
    <w:rsid w:val="008A4C8E"/>
    <w:rsid w:val="008A4D1E"/>
    <w:rsid w:val="008A4E67"/>
    <w:rsid w:val="008A51CB"/>
    <w:rsid w:val="008A5545"/>
    <w:rsid w:val="008A596B"/>
    <w:rsid w:val="008A59E8"/>
    <w:rsid w:val="008A5A67"/>
    <w:rsid w:val="008A60FC"/>
    <w:rsid w:val="008A6528"/>
    <w:rsid w:val="008A65CC"/>
    <w:rsid w:val="008A685E"/>
    <w:rsid w:val="008A68AF"/>
    <w:rsid w:val="008A76A0"/>
    <w:rsid w:val="008AE9A4"/>
    <w:rsid w:val="008B0053"/>
    <w:rsid w:val="008B0163"/>
    <w:rsid w:val="008B1162"/>
    <w:rsid w:val="008B11F1"/>
    <w:rsid w:val="008B144F"/>
    <w:rsid w:val="008B1542"/>
    <w:rsid w:val="008B15F4"/>
    <w:rsid w:val="008B1CF0"/>
    <w:rsid w:val="008B1E7C"/>
    <w:rsid w:val="008B2021"/>
    <w:rsid w:val="008B2097"/>
    <w:rsid w:val="008B20F8"/>
    <w:rsid w:val="008B2926"/>
    <w:rsid w:val="008B2BD7"/>
    <w:rsid w:val="008B2C2C"/>
    <w:rsid w:val="008B2E2C"/>
    <w:rsid w:val="008B4046"/>
    <w:rsid w:val="008B4311"/>
    <w:rsid w:val="008B442A"/>
    <w:rsid w:val="008B44E6"/>
    <w:rsid w:val="008B4C5A"/>
    <w:rsid w:val="008B4FB9"/>
    <w:rsid w:val="008B52C4"/>
    <w:rsid w:val="008B549B"/>
    <w:rsid w:val="008B56D9"/>
    <w:rsid w:val="008B6A0E"/>
    <w:rsid w:val="008B6E12"/>
    <w:rsid w:val="008B6EC7"/>
    <w:rsid w:val="008B6F40"/>
    <w:rsid w:val="008B6FF3"/>
    <w:rsid w:val="008B77AA"/>
    <w:rsid w:val="008B7D77"/>
    <w:rsid w:val="008C0150"/>
    <w:rsid w:val="008C02D9"/>
    <w:rsid w:val="008C0392"/>
    <w:rsid w:val="008C1227"/>
    <w:rsid w:val="008C147D"/>
    <w:rsid w:val="008C1484"/>
    <w:rsid w:val="008C1567"/>
    <w:rsid w:val="008C1737"/>
    <w:rsid w:val="008C18B8"/>
    <w:rsid w:val="008C2684"/>
    <w:rsid w:val="008C26B5"/>
    <w:rsid w:val="008C282D"/>
    <w:rsid w:val="008C2884"/>
    <w:rsid w:val="008C29BE"/>
    <w:rsid w:val="008C2D65"/>
    <w:rsid w:val="008C2E4F"/>
    <w:rsid w:val="008C343A"/>
    <w:rsid w:val="008C39F6"/>
    <w:rsid w:val="008C4177"/>
    <w:rsid w:val="008C49D3"/>
    <w:rsid w:val="008C4B92"/>
    <w:rsid w:val="008C5381"/>
    <w:rsid w:val="008C5816"/>
    <w:rsid w:val="008C5A61"/>
    <w:rsid w:val="008C5CCC"/>
    <w:rsid w:val="008C5E31"/>
    <w:rsid w:val="008C6096"/>
    <w:rsid w:val="008C6412"/>
    <w:rsid w:val="008C70DF"/>
    <w:rsid w:val="008C7417"/>
    <w:rsid w:val="008C747F"/>
    <w:rsid w:val="008C74A0"/>
    <w:rsid w:val="008C756B"/>
    <w:rsid w:val="008C76AF"/>
    <w:rsid w:val="008C777F"/>
    <w:rsid w:val="008C7838"/>
    <w:rsid w:val="008C7A62"/>
    <w:rsid w:val="008C7B9F"/>
    <w:rsid w:val="008D0A88"/>
    <w:rsid w:val="008D10D6"/>
    <w:rsid w:val="008D13AC"/>
    <w:rsid w:val="008D148D"/>
    <w:rsid w:val="008D1A2D"/>
    <w:rsid w:val="008D1B42"/>
    <w:rsid w:val="008D1BDB"/>
    <w:rsid w:val="008D1D85"/>
    <w:rsid w:val="008D2007"/>
    <w:rsid w:val="008D212B"/>
    <w:rsid w:val="008D2387"/>
    <w:rsid w:val="008D3BD3"/>
    <w:rsid w:val="008D41D6"/>
    <w:rsid w:val="008D449F"/>
    <w:rsid w:val="008D44E2"/>
    <w:rsid w:val="008D491F"/>
    <w:rsid w:val="008D4A30"/>
    <w:rsid w:val="008D4BAB"/>
    <w:rsid w:val="008D541C"/>
    <w:rsid w:val="008D5782"/>
    <w:rsid w:val="008D603D"/>
    <w:rsid w:val="008D6451"/>
    <w:rsid w:val="008D645E"/>
    <w:rsid w:val="008D6956"/>
    <w:rsid w:val="008D6C25"/>
    <w:rsid w:val="008D6F64"/>
    <w:rsid w:val="008D700D"/>
    <w:rsid w:val="008D717D"/>
    <w:rsid w:val="008D745C"/>
    <w:rsid w:val="008D7C65"/>
    <w:rsid w:val="008D7E0E"/>
    <w:rsid w:val="008D7FEC"/>
    <w:rsid w:val="008E01F6"/>
    <w:rsid w:val="008E041D"/>
    <w:rsid w:val="008E0AA4"/>
    <w:rsid w:val="008E0E22"/>
    <w:rsid w:val="008E1038"/>
    <w:rsid w:val="008E173B"/>
    <w:rsid w:val="008E187C"/>
    <w:rsid w:val="008E1E06"/>
    <w:rsid w:val="008E2122"/>
    <w:rsid w:val="008E2245"/>
    <w:rsid w:val="008E2295"/>
    <w:rsid w:val="008E22F3"/>
    <w:rsid w:val="008E25A3"/>
    <w:rsid w:val="008E2785"/>
    <w:rsid w:val="008E2DD1"/>
    <w:rsid w:val="008E2EEB"/>
    <w:rsid w:val="008E320F"/>
    <w:rsid w:val="008E3650"/>
    <w:rsid w:val="008E38F8"/>
    <w:rsid w:val="008E3A42"/>
    <w:rsid w:val="008E3BAF"/>
    <w:rsid w:val="008E3F20"/>
    <w:rsid w:val="008E4853"/>
    <w:rsid w:val="008E4B49"/>
    <w:rsid w:val="008E4F3C"/>
    <w:rsid w:val="008E4F7C"/>
    <w:rsid w:val="008E520A"/>
    <w:rsid w:val="008E5C37"/>
    <w:rsid w:val="008E5C6F"/>
    <w:rsid w:val="008E648C"/>
    <w:rsid w:val="008E692A"/>
    <w:rsid w:val="008E6A8A"/>
    <w:rsid w:val="008E6F6E"/>
    <w:rsid w:val="008E6FEB"/>
    <w:rsid w:val="008E7327"/>
    <w:rsid w:val="008E7575"/>
    <w:rsid w:val="008E7984"/>
    <w:rsid w:val="008E7CC7"/>
    <w:rsid w:val="008F00E8"/>
    <w:rsid w:val="008F070C"/>
    <w:rsid w:val="008F0975"/>
    <w:rsid w:val="008F0B7D"/>
    <w:rsid w:val="008F1204"/>
    <w:rsid w:val="008F1390"/>
    <w:rsid w:val="008F1A1C"/>
    <w:rsid w:val="008F1D3D"/>
    <w:rsid w:val="008F264F"/>
    <w:rsid w:val="008F27AC"/>
    <w:rsid w:val="008F2B93"/>
    <w:rsid w:val="008F339D"/>
    <w:rsid w:val="008F385C"/>
    <w:rsid w:val="008F3D08"/>
    <w:rsid w:val="008F3D41"/>
    <w:rsid w:val="008F419C"/>
    <w:rsid w:val="008F4828"/>
    <w:rsid w:val="008F488F"/>
    <w:rsid w:val="008F49E0"/>
    <w:rsid w:val="008F4A3C"/>
    <w:rsid w:val="008F4E91"/>
    <w:rsid w:val="008F51A2"/>
    <w:rsid w:val="008F5589"/>
    <w:rsid w:val="008F602D"/>
    <w:rsid w:val="008F6A4B"/>
    <w:rsid w:val="008F6D6A"/>
    <w:rsid w:val="008F715D"/>
    <w:rsid w:val="008F71D4"/>
    <w:rsid w:val="008F7307"/>
    <w:rsid w:val="008F73B3"/>
    <w:rsid w:val="008F76F9"/>
    <w:rsid w:val="008F7791"/>
    <w:rsid w:val="008F7A7C"/>
    <w:rsid w:val="008F7C24"/>
    <w:rsid w:val="00900589"/>
    <w:rsid w:val="00900944"/>
    <w:rsid w:val="00901ADE"/>
    <w:rsid w:val="009020B9"/>
    <w:rsid w:val="00902158"/>
    <w:rsid w:val="009025C4"/>
    <w:rsid w:val="009026A8"/>
    <w:rsid w:val="00902DC4"/>
    <w:rsid w:val="00902F63"/>
    <w:rsid w:val="009039B7"/>
    <w:rsid w:val="00903E59"/>
    <w:rsid w:val="009042B5"/>
    <w:rsid w:val="0090445D"/>
    <w:rsid w:val="00904841"/>
    <w:rsid w:val="0090485E"/>
    <w:rsid w:val="00904B85"/>
    <w:rsid w:val="00904CA2"/>
    <w:rsid w:val="00904E06"/>
    <w:rsid w:val="00904EEB"/>
    <w:rsid w:val="00904F85"/>
    <w:rsid w:val="00905142"/>
    <w:rsid w:val="00905801"/>
    <w:rsid w:val="00905BEF"/>
    <w:rsid w:val="00905CDF"/>
    <w:rsid w:val="00905CEB"/>
    <w:rsid w:val="0090621A"/>
    <w:rsid w:val="0090632F"/>
    <w:rsid w:val="00906543"/>
    <w:rsid w:val="00906767"/>
    <w:rsid w:val="00906E0F"/>
    <w:rsid w:val="0090700F"/>
    <w:rsid w:val="009070F2"/>
    <w:rsid w:val="009072DF"/>
    <w:rsid w:val="009073E4"/>
    <w:rsid w:val="009075CF"/>
    <w:rsid w:val="00907667"/>
    <w:rsid w:val="009100F4"/>
    <w:rsid w:val="009106B1"/>
    <w:rsid w:val="00910DBF"/>
    <w:rsid w:val="0091146E"/>
    <w:rsid w:val="00911589"/>
    <w:rsid w:val="00911D1E"/>
    <w:rsid w:val="00911DB7"/>
    <w:rsid w:val="009122E6"/>
    <w:rsid w:val="00912706"/>
    <w:rsid w:val="00912719"/>
    <w:rsid w:val="00912A8B"/>
    <w:rsid w:val="00912ACE"/>
    <w:rsid w:val="00912AFB"/>
    <w:rsid w:val="00912BEA"/>
    <w:rsid w:val="00912F1D"/>
    <w:rsid w:val="00912F27"/>
    <w:rsid w:val="0091303E"/>
    <w:rsid w:val="00913264"/>
    <w:rsid w:val="00913334"/>
    <w:rsid w:val="00913816"/>
    <w:rsid w:val="00913B98"/>
    <w:rsid w:val="00913C04"/>
    <w:rsid w:val="00913C39"/>
    <w:rsid w:val="00913FC8"/>
    <w:rsid w:val="00914497"/>
    <w:rsid w:val="00915132"/>
    <w:rsid w:val="009154E0"/>
    <w:rsid w:val="009155D9"/>
    <w:rsid w:val="00915B27"/>
    <w:rsid w:val="00915BE9"/>
    <w:rsid w:val="00915C05"/>
    <w:rsid w:val="00915DC3"/>
    <w:rsid w:val="00916106"/>
    <w:rsid w:val="0091616B"/>
    <w:rsid w:val="00916343"/>
    <w:rsid w:val="00916684"/>
    <w:rsid w:val="009166E1"/>
    <w:rsid w:val="00916717"/>
    <w:rsid w:val="0091677E"/>
    <w:rsid w:val="00916B6C"/>
    <w:rsid w:val="00916BBB"/>
    <w:rsid w:val="00916C66"/>
    <w:rsid w:val="00916D10"/>
    <w:rsid w:val="0091711F"/>
    <w:rsid w:val="009171BA"/>
    <w:rsid w:val="009171E0"/>
    <w:rsid w:val="009172D8"/>
    <w:rsid w:val="0091794A"/>
    <w:rsid w:val="00917B2E"/>
    <w:rsid w:val="00917C89"/>
    <w:rsid w:val="00917E30"/>
    <w:rsid w:val="00917F29"/>
    <w:rsid w:val="009203D9"/>
    <w:rsid w:val="0092053A"/>
    <w:rsid w:val="009205C0"/>
    <w:rsid w:val="009205E6"/>
    <w:rsid w:val="00921941"/>
    <w:rsid w:val="00921B4A"/>
    <w:rsid w:val="0092293D"/>
    <w:rsid w:val="00922972"/>
    <w:rsid w:val="0092308B"/>
    <w:rsid w:val="00923B7D"/>
    <w:rsid w:val="00923EAD"/>
    <w:rsid w:val="00923F17"/>
    <w:rsid w:val="009240B8"/>
    <w:rsid w:val="009241FE"/>
    <w:rsid w:val="00924772"/>
    <w:rsid w:val="0092493E"/>
    <w:rsid w:val="00925616"/>
    <w:rsid w:val="00925789"/>
    <w:rsid w:val="009257EE"/>
    <w:rsid w:val="00925866"/>
    <w:rsid w:val="0092592F"/>
    <w:rsid w:val="00925A94"/>
    <w:rsid w:val="00925CF5"/>
    <w:rsid w:val="009260DA"/>
    <w:rsid w:val="009262D3"/>
    <w:rsid w:val="00926418"/>
    <w:rsid w:val="009267CD"/>
    <w:rsid w:val="009268B3"/>
    <w:rsid w:val="00926AF7"/>
    <w:rsid w:val="00926DF8"/>
    <w:rsid w:val="00927598"/>
    <w:rsid w:val="009275CF"/>
    <w:rsid w:val="009277C5"/>
    <w:rsid w:val="009279D9"/>
    <w:rsid w:val="00927C1F"/>
    <w:rsid w:val="0093040C"/>
    <w:rsid w:val="0093058B"/>
    <w:rsid w:val="0093081B"/>
    <w:rsid w:val="009308D8"/>
    <w:rsid w:val="0093094D"/>
    <w:rsid w:val="00930BBA"/>
    <w:rsid w:val="00930E00"/>
    <w:rsid w:val="00931105"/>
    <w:rsid w:val="00931240"/>
    <w:rsid w:val="009312C3"/>
    <w:rsid w:val="00931362"/>
    <w:rsid w:val="00931A09"/>
    <w:rsid w:val="00931D3F"/>
    <w:rsid w:val="00932170"/>
    <w:rsid w:val="00932259"/>
    <w:rsid w:val="0093241C"/>
    <w:rsid w:val="009326A4"/>
    <w:rsid w:val="00932911"/>
    <w:rsid w:val="00932CAA"/>
    <w:rsid w:val="0093325F"/>
    <w:rsid w:val="009338F0"/>
    <w:rsid w:val="00933CF8"/>
    <w:rsid w:val="00933F20"/>
    <w:rsid w:val="009341F8"/>
    <w:rsid w:val="009343F0"/>
    <w:rsid w:val="009347C9"/>
    <w:rsid w:val="00935232"/>
    <w:rsid w:val="00935236"/>
    <w:rsid w:val="0093544A"/>
    <w:rsid w:val="00935C58"/>
    <w:rsid w:val="00935FFB"/>
    <w:rsid w:val="00936601"/>
    <w:rsid w:val="00936832"/>
    <w:rsid w:val="00937042"/>
    <w:rsid w:val="0093708A"/>
    <w:rsid w:val="00937365"/>
    <w:rsid w:val="00937619"/>
    <w:rsid w:val="00937A78"/>
    <w:rsid w:val="009400A9"/>
    <w:rsid w:val="00940115"/>
    <w:rsid w:val="00940151"/>
    <w:rsid w:val="009404AE"/>
    <w:rsid w:val="0094060D"/>
    <w:rsid w:val="009407D7"/>
    <w:rsid w:val="00940A51"/>
    <w:rsid w:val="00940A87"/>
    <w:rsid w:val="00940D56"/>
    <w:rsid w:val="00940EF3"/>
    <w:rsid w:val="0094129B"/>
    <w:rsid w:val="00941359"/>
    <w:rsid w:val="00941646"/>
    <w:rsid w:val="0094176F"/>
    <w:rsid w:val="00941AD7"/>
    <w:rsid w:val="00941C33"/>
    <w:rsid w:val="0094239D"/>
    <w:rsid w:val="00942545"/>
    <w:rsid w:val="00942602"/>
    <w:rsid w:val="0094286E"/>
    <w:rsid w:val="00942A92"/>
    <w:rsid w:val="00942FEA"/>
    <w:rsid w:val="00943512"/>
    <w:rsid w:val="009435BA"/>
    <w:rsid w:val="00943680"/>
    <w:rsid w:val="00943839"/>
    <w:rsid w:val="00943B3C"/>
    <w:rsid w:val="00943FBD"/>
    <w:rsid w:val="009440FB"/>
    <w:rsid w:val="0094424D"/>
    <w:rsid w:val="0094431F"/>
    <w:rsid w:val="009443BE"/>
    <w:rsid w:val="009445CB"/>
    <w:rsid w:val="00944F5E"/>
    <w:rsid w:val="0094506F"/>
    <w:rsid w:val="009453B0"/>
    <w:rsid w:val="009454DA"/>
    <w:rsid w:val="00945931"/>
    <w:rsid w:val="00945959"/>
    <w:rsid w:val="00945C60"/>
    <w:rsid w:val="00945E5B"/>
    <w:rsid w:val="00945F7B"/>
    <w:rsid w:val="0094649F"/>
    <w:rsid w:val="009471FA"/>
    <w:rsid w:val="00947877"/>
    <w:rsid w:val="009479D7"/>
    <w:rsid w:val="00947C86"/>
    <w:rsid w:val="00947DB1"/>
    <w:rsid w:val="00947FCE"/>
    <w:rsid w:val="00950501"/>
    <w:rsid w:val="009508EF"/>
    <w:rsid w:val="00950A74"/>
    <w:rsid w:val="00950B10"/>
    <w:rsid w:val="0095116F"/>
    <w:rsid w:val="0095141D"/>
    <w:rsid w:val="009514FA"/>
    <w:rsid w:val="00951DEC"/>
    <w:rsid w:val="00952121"/>
    <w:rsid w:val="009526C1"/>
    <w:rsid w:val="00952E1A"/>
    <w:rsid w:val="00952F9F"/>
    <w:rsid w:val="00953261"/>
    <w:rsid w:val="009533E7"/>
    <w:rsid w:val="009534A9"/>
    <w:rsid w:val="009536F7"/>
    <w:rsid w:val="009539C5"/>
    <w:rsid w:val="00953D39"/>
    <w:rsid w:val="00953FB2"/>
    <w:rsid w:val="0095417E"/>
    <w:rsid w:val="009542B9"/>
    <w:rsid w:val="00954C3F"/>
    <w:rsid w:val="00954CCE"/>
    <w:rsid w:val="00954E82"/>
    <w:rsid w:val="00955AD0"/>
    <w:rsid w:val="0095605E"/>
    <w:rsid w:val="009564F6"/>
    <w:rsid w:val="009566AC"/>
    <w:rsid w:val="00956A87"/>
    <w:rsid w:val="00956B48"/>
    <w:rsid w:val="00956D33"/>
    <w:rsid w:val="009571C9"/>
    <w:rsid w:val="00957345"/>
    <w:rsid w:val="009574D9"/>
    <w:rsid w:val="00957ABB"/>
    <w:rsid w:val="00957DA6"/>
    <w:rsid w:val="0096039D"/>
    <w:rsid w:val="0096049F"/>
    <w:rsid w:val="0096054F"/>
    <w:rsid w:val="00960846"/>
    <w:rsid w:val="009608DA"/>
    <w:rsid w:val="00960A86"/>
    <w:rsid w:val="00960CB6"/>
    <w:rsid w:val="00960CDA"/>
    <w:rsid w:val="00960F2A"/>
    <w:rsid w:val="009611E7"/>
    <w:rsid w:val="009615DC"/>
    <w:rsid w:val="009616BA"/>
    <w:rsid w:val="00961964"/>
    <w:rsid w:val="00961E42"/>
    <w:rsid w:val="0096211D"/>
    <w:rsid w:val="00962292"/>
    <w:rsid w:val="009623D7"/>
    <w:rsid w:val="009624D4"/>
    <w:rsid w:val="009626EB"/>
    <w:rsid w:val="00962A3D"/>
    <w:rsid w:val="00962A7E"/>
    <w:rsid w:val="00962B1B"/>
    <w:rsid w:val="00962B8D"/>
    <w:rsid w:val="00962CD8"/>
    <w:rsid w:val="00962D0F"/>
    <w:rsid w:val="00962EA6"/>
    <w:rsid w:val="009631AA"/>
    <w:rsid w:val="009632F0"/>
    <w:rsid w:val="009635FF"/>
    <w:rsid w:val="00963A9E"/>
    <w:rsid w:val="00963CD2"/>
    <w:rsid w:val="00964041"/>
    <w:rsid w:val="0096430A"/>
    <w:rsid w:val="009644DF"/>
    <w:rsid w:val="009645F6"/>
    <w:rsid w:val="00964C3E"/>
    <w:rsid w:val="00964D8B"/>
    <w:rsid w:val="009653A1"/>
    <w:rsid w:val="009656BE"/>
    <w:rsid w:val="00965A10"/>
    <w:rsid w:val="00965F4A"/>
    <w:rsid w:val="00966316"/>
    <w:rsid w:val="00966A7D"/>
    <w:rsid w:val="00966B43"/>
    <w:rsid w:val="00966B7B"/>
    <w:rsid w:val="009670FA"/>
    <w:rsid w:val="0096727C"/>
    <w:rsid w:val="00967600"/>
    <w:rsid w:val="00970131"/>
    <w:rsid w:val="009701A1"/>
    <w:rsid w:val="009703A6"/>
    <w:rsid w:val="009703E9"/>
    <w:rsid w:val="009706FB"/>
    <w:rsid w:val="00970C00"/>
    <w:rsid w:val="00970F1C"/>
    <w:rsid w:val="009719B4"/>
    <w:rsid w:val="00971ACE"/>
    <w:rsid w:val="009722BF"/>
    <w:rsid w:val="009724A5"/>
    <w:rsid w:val="00972579"/>
    <w:rsid w:val="0097273C"/>
    <w:rsid w:val="00972912"/>
    <w:rsid w:val="009736FB"/>
    <w:rsid w:val="00973931"/>
    <w:rsid w:val="009739D5"/>
    <w:rsid w:val="00973BD5"/>
    <w:rsid w:val="00973E6E"/>
    <w:rsid w:val="0097419D"/>
    <w:rsid w:val="00974431"/>
    <w:rsid w:val="009744B3"/>
    <w:rsid w:val="0097472A"/>
    <w:rsid w:val="009748C0"/>
    <w:rsid w:val="00974E5E"/>
    <w:rsid w:val="00975018"/>
    <w:rsid w:val="009753E3"/>
    <w:rsid w:val="009767D5"/>
    <w:rsid w:val="00976A14"/>
    <w:rsid w:val="00976AAF"/>
    <w:rsid w:val="00976C84"/>
    <w:rsid w:val="00976E6D"/>
    <w:rsid w:val="0097726A"/>
    <w:rsid w:val="0097768D"/>
    <w:rsid w:val="009777D8"/>
    <w:rsid w:val="00977E28"/>
    <w:rsid w:val="00977EBE"/>
    <w:rsid w:val="00980165"/>
    <w:rsid w:val="00980471"/>
    <w:rsid w:val="00980B52"/>
    <w:rsid w:val="00980C12"/>
    <w:rsid w:val="00980EDA"/>
    <w:rsid w:val="0098118C"/>
    <w:rsid w:val="00981607"/>
    <w:rsid w:val="00981727"/>
    <w:rsid w:val="00981810"/>
    <w:rsid w:val="0098182F"/>
    <w:rsid w:val="00981B73"/>
    <w:rsid w:val="00981C48"/>
    <w:rsid w:val="00981D1C"/>
    <w:rsid w:val="00981F85"/>
    <w:rsid w:val="00982289"/>
    <w:rsid w:val="009823D0"/>
    <w:rsid w:val="009827A7"/>
    <w:rsid w:val="00982B7E"/>
    <w:rsid w:val="00982C16"/>
    <w:rsid w:val="00982E34"/>
    <w:rsid w:val="009830FB"/>
    <w:rsid w:val="0098313D"/>
    <w:rsid w:val="00983327"/>
    <w:rsid w:val="00984079"/>
    <w:rsid w:val="00984130"/>
    <w:rsid w:val="00984219"/>
    <w:rsid w:val="009846C7"/>
    <w:rsid w:val="0098474F"/>
    <w:rsid w:val="00984C66"/>
    <w:rsid w:val="009852D5"/>
    <w:rsid w:val="00985377"/>
    <w:rsid w:val="00985946"/>
    <w:rsid w:val="00985D11"/>
    <w:rsid w:val="00985D20"/>
    <w:rsid w:val="00985D93"/>
    <w:rsid w:val="00986215"/>
    <w:rsid w:val="00986809"/>
    <w:rsid w:val="0098718B"/>
    <w:rsid w:val="0098780F"/>
    <w:rsid w:val="00987C0F"/>
    <w:rsid w:val="00987FB9"/>
    <w:rsid w:val="00990EFE"/>
    <w:rsid w:val="009910C1"/>
    <w:rsid w:val="009912E8"/>
    <w:rsid w:val="009913E0"/>
    <w:rsid w:val="009915F6"/>
    <w:rsid w:val="00991A46"/>
    <w:rsid w:val="00991D04"/>
    <w:rsid w:val="00991DCB"/>
    <w:rsid w:val="00991FD0"/>
    <w:rsid w:val="00992258"/>
    <w:rsid w:val="00992D69"/>
    <w:rsid w:val="00993D20"/>
    <w:rsid w:val="00994729"/>
    <w:rsid w:val="0099488A"/>
    <w:rsid w:val="00995890"/>
    <w:rsid w:val="00995C09"/>
    <w:rsid w:val="00995C27"/>
    <w:rsid w:val="00995D95"/>
    <w:rsid w:val="00995FCD"/>
    <w:rsid w:val="00996069"/>
    <w:rsid w:val="00996940"/>
    <w:rsid w:val="0099696E"/>
    <w:rsid w:val="00996B01"/>
    <w:rsid w:val="009976DE"/>
    <w:rsid w:val="009977F9"/>
    <w:rsid w:val="009978CF"/>
    <w:rsid w:val="00998526"/>
    <w:rsid w:val="009A05A3"/>
    <w:rsid w:val="009A0F22"/>
    <w:rsid w:val="009A0F80"/>
    <w:rsid w:val="009A151C"/>
    <w:rsid w:val="009A17DA"/>
    <w:rsid w:val="009A18B8"/>
    <w:rsid w:val="009A1AE6"/>
    <w:rsid w:val="009A1D73"/>
    <w:rsid w:val="009A1E26"/>
    <w:rsid w:val="009A2199"/>
    <w:rsid w:val="009A2A70"/>
    <w:rsid w:val="009A2CF4"/>
    <w:rsid w:val="009A301B"/>
    <w:rsid w:val="009A313B"/>
    <w:rsid w:val="009A31C7"/>
    <w:rsid w:val="009A3372"/>
    <w:rsid w:val="009A3CB8"/>
    <w:rsid w:val="009A3F5E"/>
    <w:rsid w:val="009A4347"/>
    <w:rsid w:val="009A4449"/>
    <w:rsid w:val="009A4CAC"/>
    <w:rsid w:val="009A50C4"/>
    <w:rsid w:val="009A52B9"/>
    <w:rsid w:val="009A58B8"/>
    <w:rsid w:val="009A5E9E"/>
    <w:rsid w:val="009A60EC"/>
    <w:rsid w:val="009A6402"/>
    <w:rsid w:val="009A675E"/>
    <w:rsid w:val="009A68C1"/>
    <w:rsid w:val="009A727C"/>
    <w:rsid w:val="009B0554"/>
    <w:rsid w:val="009B0B92"/>
    <w:rsid w:val="009B0C12"/>
    <w:rsid w:val="009B148D"/>
    <w:rsid w:val="009B14FF"/>
    <w:rsid w:val="009B186A"/>
    <w:rsid w:val="009B25C5"/>
    <w:rsid w:val="009B268C"/>
    <w:rsid w:val="009B30FD"/>
    <w:rsid w:val="009B31C8"/>
    <w:rsid w:val="009B37DF"/>
    <w:rsid w:val="009B3A34"/>
    <w:rsid w:val="009B3A5C"/>
    <w:rsid w:val="009B4011"/>
    <w:rsid w:val="009B45F2"/>
    <w:rsid w:val="009B4EFD"/>
    <w:rsid w:val="009B5221"/>
    <w:rsid w:val="009B554B"/>
    <w:rsid w:val="009B5C99"/>
    <w:rsid w:val="009B6A14"/>
    <w:rsid w:val="009B70A1"/>
    <w:rsid w:val="009B74D0"/>
    <w:rsid w:val="009B755E"/>
    <w:rsid w:val="009B7589"/>
    <w:rsid w:val="009B7AFE"/>
    <w:rsid w:val="009C024C"/>
    <w:rsid w:val="009C0267"/>
    <w:rsid w:val="009C03DF"/>
    <w:rsid w:val="009C03E3"/>
    <w:rsid w:val="009C05F3"/>
    <w:rsid w:val="009C0701"/>
    <w:rsid w:val="009C081A"/>
    <w:rsid w:val="009C0914"/>
    <w:rsid w:val="009C176B"/>
    <w:rsid w:val="009C1ACB"/>
    <w:rsid w:val="009C1C70"/>
    <w:rsid w:val="009C1CC7"/>
    <w:rsid w:val="009C1D4B"/>
    <w:rsid w:val="009C1E94"/>
    <w:rsid w:val="009C247C"/>
    <w:rsid w:val="009C26DD"/>
    <w:rsid w:val="009C2762"/>
    <w:rsid w:val="009C2B37"/>
    <w:rsid w:val="009C2C18"/>
    <w:rsid w:val="009C2CFA"/>
    <w:rsid w:val="009C3674"/>
    <w:rsid w:val="009C37FA"/>
    <w:rsid w:val="009C39AD"/>
    <w:rsid w:val="009C3B6A"/>
    <w:rsid w:val="009C3BDA"/>
    <w:rsid w:val="009C3C9C"/>
    <w:rsid w:val="009C3F23"/>
    <w:rsid w:val="009C4208"/>
    <w:rsid w:val="009C4272"/>
    <w:rsid w:val="009C4642"/>
    <w:rsid w:val="009C46F3"/>
    <w:rsid w:val="009C48C4"/>
    <w:rsid w:val="009C491E"/>
    <w:rsid w:val="009C4957"/>
    <w:rsid w:val="009C4B54"/>
    <w:rsid w:val="009C4D9D"/>
    <w:rsid w:val="009C50BC"/>
    <w:rsid w:val="009C5207"/>
    <w:rsid w:val="009C53BF"/>
    <w:rsid w:val="009C5451"/>
    <w:rsid w:val="009C55DF"/>
    <w:rsid w:val="009C617D"/>
    <w:rsid w:val="009C6186"/>
    <w:rsid w:val="009C62A0"/>
    <w:rsid w:val="009C6446"/>
    <w:rsid w:val="009C6F27"/>
    <w:rsid w:val="009C7486"/>
    <w:rsid w:val="009C79EE"/>
    <w:rsid w:val="009C7A6D"/>
    <w:rsid w:val="009C7EFB"/>
    <w:rsid w:val="009D07D8"/>
    <w:rsid w:val="009D0F2C"/>
    <w:rsid w:val="009D0F2E"/>
    <w:rsid w:val="009D129E"/>
    <w:rsid w:val="009D14F3"/>
    <w:rsid w:val="009D155B"/>
    <w:rsid w:val="009D28D8"/>
    <w:rsid w:val="009D2965"/>
    <w:rsid w:val="009D29EA"/>
    <w:rsid w:val="009D2D4F"/>
    <w:rsid w:val="009D3A46"/>
    <w:rsid w:val="009D3B6A"/>
    <w:rsid w:val="009D3E9A"/>
    <w:rsid w:val="009D3F5C"/>
    <w:rsid w:val="009D48D0"/>
    <w:rsid w:val="009D4A88"/>
    <w:rsid w:val="009D4BFF"/>
    <w:rsid w:val="009D51BD"/>
    <w:rsid w:val="009D5468"/>
    <w:rsid w:val="009D5D1E"/>
    <w:rsid w:val="009D63AE"/>
    <w:rsid w:val="009D643B"/>
    <w:rsid w:val="009D64BB"/>
    <w:rsid w:val="009D65C2"/>
    <w:rsid w:val="009D6687"/>
    <w:rsid w:val="009D693E"/>
    <w:rsid w:val="009D6A4C"/>
    <w:rsid w:val="009D7348"/>
    <w:rsid w:val="009D73B5"/>
    <w:rsid w:val="009D77B7"/>
    <w:rsid w:val="009D7BDD"/>
    <w:rsid w:val="009D7C19"/>
    <w:rsid w:val="009D7CC7"/>
    <w:rsid w:val="009D7CFD"/>
    <w:rsid w:val="009D7E84"/>
    <w:rsid w:val="009E03E7"/>
    <w:rsid w:val="009E0565"/>
    <w:rsid w:val="009E08E1"/>
    <w:rsid w:val="009E0B09"/>
    <w:rsid w:val="009E0B0E"/>
    <w:rsid w:val="009E0CD2"/>
    <w:rsid w:val="009E0D6F"/>
    <w:rsid w:val="009E100C"/>
    <w:rsid w:val="009E12E8"/>
    <w:rsid w:val="009E182D"/>
    <w:rsid w:val="009E18F9"/>
    <w:rsid w:val="009E1967"/>
    <w:rsid w:val="009E1ECC"/>
    <w:rsid w:val="009E254B"/>
    <w:rsid w:val="009E2779"/>
    <w:rsid w:val="009E2ECC"/>
    <w:rsid w:val="009E3B65"/>
    <w:rsid w:val="009E3CB2"/>
    <w:rsid w:val="009E4228"/>
    <w:rsid w:val="009E44B1"/>
    <w:rsid w:val="009E452D"/>
    <w:rsid w:val="009E4541"/>
    <w:rsid w:val="009E463D"/>
    <w:rsid w:val="009E4740"/>
    <w:rsid w:val="009E47DE"/>
    <w:rsid w:val="009E4C9C"/>
    <w:rsid w:val="009E4D8D"/>
    <w:rsid w:val="009E5058"/>
    <w:rsid w:val="009E5308"/>
    <w:rsid w:val="009E5818"/>
    <w:rsid w:val="009E58ED"/>
    <w:rsid w:val="009E5C2B"/>
    <w:rsid w:val="009E5F37"/>
    <w:rsid w:val="009E6193"/>
    <w:rsid w:val="009E6732"/>
    <w:rsid w:val="009E67EF"/>
    <w:rsid w:val="009E6A27"/>
    <w:rsid w:val="009E6F63"/>
    <w:rsid w:val="009E716E"/>
    <w:rsid w:val="009E7329"/>
    <w:rsid w:val="009E79EF"/>
    <w:rsid w:val="009E7D6C"/>
    <w:rsid w:val="009F0694"/>
    <w:rsid w:val="009F06FC"/>
    <w:rsid w:val="009F0782"/>
    <w:rsid w:val="009F0837"/>
    <w:rsid w:val="009F09F6"/>
    <w:rsid w:val="009F0EF0"/>
    <w:rsid w:val="009F19A5"/>
    <w:rsid w:val="009F19FE"/>
    <w:rsid w:val="009F1D3F"/>
    <w:rsid w:val="009F26BA"/>
    <w:rsid w:val="009F284E"/>
    <w:rsid w:val="009F2B28"/>
    <w:rsid w:val="009F2B76"/>
    <w:rsid w:val="009F300F"/>
    <w:rsid w:val="009F3854"/>
    <w:rsid w:val="009F39C0"/>
    <w:rsid w:val="009F3A35"/>
    <w:rsid w:val="009F3AB9"/>
    <w:rsid w:val="009F3C0C"/>
    <w:rsid w:val="009F3C8C"/>
    <w:rsid w:val="009F4100"/>
    <w:rsid w:val="009F4532"/>
    <w:rsid w:val="009F4588"/>
    <w:rsid w:val="009F46E2"/>
    <w:rsid w:val="009F47C3"/>
    <w:rsid w:val="009F4DCB"/>
    <w:rsid w:val="009F517A"/>
    <w:rsid w:val="009F5516"/>
    <w:rsid w:val="009F5C7C"/>
    <w:rsid w:val="009F5FAD"/>
    <w:rsid w:val="009F6199"/>
    <w:rsid w:val="009F6239"/>
    <w:rsid w:val="009F63CD"/>
    <w:rsid w:val="009F6547"/>
    <w:rsid w:val="009F699A"/>
    <w:rsid w:val="009F6B54"/>
    <w:rsid w:val="009F6FAD"/>
    <w:rsid w:val="009F772C"/>
    <w:rsid w:val="009F79C4"/>
    <w:rsid w:val="009F7F1E"/>
    <w:rsid w:val="00A000E6"/>
    <w:rsid w:val="00A00788"/>
    <w:rsid w:val="00A009F0"/>
    <w:rsid w:val="00A00AFF"/>
    <w:rsid w:val="00A00C25"/>
    <w:rsid w:val="00A0189F"/>
    <w:rsid w:val="00A018F3"/>
    <w:rsid w:val="00A01D18"/>
    <w:rsid w:val="00A01D21"/>
    <w:rsid w:val="00A01EFB"/>
    <w:rsid w:val="00A02C69"/>
    <w:rsid w:val="00A02DA8"/>
    <w:rsid w:val="00A02DB1"/>
    <w:rsid w:val="00A038FC"/>
    <w:rsid w:val="00A03E60"/>
    <w:rsid w:val="00A040EB"/>
    <w:rsid w:val="00A0413F"/>
    <w:rsid w:val="00A042A5"/>
    <w:rsid w:val="00A042F6"/>
    <w:rsid w:val="00A04D46"/>
    <w:rsid w:val="00A05705"/>
    <w:rsid w:val="00A05745"/>
    <w:rsid w:val="00A057ED"/>
    <w:rsid w:val="00A0589B"/>
    <w:rsid w:val="00A05A4D"/>
    <w:rsid w:val="00A05B4E"/>
    <w:rsid w:val="00A05BBE"/>
    <w:rsid w:val="00A06135"/>
    <w:rsid w:val="00A062A4"/>
    <w:rsid w:val="00A064E7"/>
    <w:rsid w:val="00A06832"/>
    <w:rsid w:val="00A06BCD"/>
    <w:rsid w:val="00A07013"/>
    <w:rsid w:val="00A076C5"/>
    <w:rsid w:val="00A110FF"/>
    <w:rsid w:val="00A114A5"/>
    <w:rsid w:val="00A11BDE"/>
    <w:rsid w:val="00A11F96"/>
    <w:rsid w:val="00A12640"/>
    <w:rsid w:val="00A1280C"/>
    <w:rsid w:val="00A1298F"/>
    <w:rsid w:val="00A12B6B"/>
    <w:rsid w:val="00A12DA4"/>
    <w:rsid w:val="00A135E2"/>
    <w:rsid w:val="00A13B43"/>
    <w:rsid w:val="00A14171"/>
    <w:rsid w:val="00A1422B"/>
    <w:rsid w:val="00A1490C"/>
    <w:rsid w:val="00A15379"/>
    <w:rsid w:val="00A155CB"/>
    <w:rsid w:val="00A15661"/>
    <w:rsid w:val="00A157EB"/>
    <w:rsid w:val="00A15AC4"/>
    <w:rsid w:val="00A15C22"/>
    <w:rsid w:val="00A16734"/>
    <w:rsid w:val="00A168FA"/>
    <w:rsid w:val="00A1691E"/>
    <w:rsid w:val="00A16D2C"/>
    <w:rsid w:val="00A16D72"/>
    <w:rsid w:val="00A174B3"/>
    <w:rsid w:val="00A17A05"/>
    <w:rsid w:val="00A202E0"/>
    <w:rsid w:val="00A2047A"/>
    <w:rsid w:val="00A20F4E"/>
    <w:rsid w:val="00A212CD"/>
    <w:rsid w:val="00A2150F"/>
    <w:rsid w:val="00A21BCA"/>
    <w:rsid w:val="00A21CF8"/>
    <w:rsid w:val="00A21DB8"/>
    <w:rsid w:val="00A21EF0"/>
    <w:rsid w:val="00A21F66"/>
    <w:rsid w:val="00A21FB6"/>
    <w:rsid w:val="00A22A17"/>
    <w:rsid w:val="00A22A37"/>
    <w:rsid w:val="00A22C46"/>
    <w:rsid w:val="00A22ED5"/>
    <w:rsid w:val="00A22F17"/>
    <w:rsid w:val="00A232A4"/>
    <w:rsid w:val="00A232DD"/>
    <w:rsid w:val="00A2346D"/>
    <w:rsid w:val="00A23AE3"/>
    <w:rsid w:val="00A24E5C"/>
    <w:rsid w:val="00A256D8"/>
    <w:rsid w:val="00A257D4"/>
    <w:rsid w:val="00A2597F"/>
    <w:rsid w:val="00A25A85"/>
    <w:rsid w:val="00A26536"/>
    <w:rsid w:val="00A27407"/>
    <w:rsid w:val="00A27528"/>
    <w:rsid w:val="00A27871"/>
    <w:rsid w:val="00A27946"/>
    <w:rsid w:val="00A3050A"/>
    <w:rsid w:val="00A30A36"/>
    <w:rsid w:val="00A30AEF"/>
    <w:rsid w:val="00A30B55"/>
    <w:rsid w:val="00A30CB0"/>
    <w:rsid w:val="00A31A04"/>
    <w:rsid w:val="00A31C26"/>
    <w:rsid w:val="00A31CB3"/>
    <w:rsid w:val="00A31CF3"/>
    <w:rsid w:val="00A31F19"/>
    <w:rsid w:val="00A31F1B"/>
    <w:rsid w:val="00A3229C"/>
    <w:rsid w:val="00A3257E"/>
    <w:rsid w:val="00A326C7"/>
    <w:rsid w:val="00A32B25"/>
    <w:rsid w:val="00A32C0B"/>
    <w:rsid w:val="00A32E04"/>
    <w:rsid w:val="00A32F78"/>
    <w:rsid w:val="00A33969"/>
    <w:rsid w:val="00A3418E"/>
    <w:rsid w:val="00A34238"/>
    <w:rsid w:val="00A344B0"/>
    <w:rsid w:val="00A34AB0"/>
    <w:rsid w:val="00A35486"/>
    <w:rsid w:val="00A35B11"/>
    <w:rsid w:val="00A35D19"/>
    <w:rsid w:val="00A360F6"/>
    <w:rsid w:val="00A36427"/>
    <w:rsid w:val="00A36528"/>
    <w:rsid w:val="00A366C7"/>
    <w:rsid w:val="00A36741"/>
    <w:rsid w:val="00A36CA3"/>
    <w:rsid w:val="00A37369"/>
    <w:rsid w:val="00A373A7"/>
    <w:rsid w:val="00A373FA"/>
    <w:rsid w:val="00A37471"/>
    <w:rsid w:val="00A40A3A"/>
    <w:rsid w:val="00A40ABE"/>
    <w:rsid w:val="00A40E03"/>
    <w:rsid w:val="00A4144A"/>
    <w:rsid w:val="00A4215A"/>
    <w:rsid w:val="00A424F0"/>
    <w:rsid w:val="00A42A8F"/>
    <w:rsid w:val="00A42D4A"/>
    <w:rsid w:val="00A43897"/>
    <w:rsid w:val="00A43B18"/>
    <w:rsid w:val="00A43B2C"/>
    <w:rsid w:val="00A43B3D"/>
    <w:rsid w:val="00A44AAC"/>
    <w:rsid w:val="00A44AD1"/>
    <w:rsid w:val="00A44C6C"/>
    <w:rsid w:val="00A44ED3"/>
    <w:rsid w:val="00A4521F"/>
    <w:rsid w:val="00A457AC"/>
    <w:rsid w:val="00A457B9"/>
    <w:rsid w:val="00A45B51"/>
    <w:rsid w:val="00A45D26"/>
    <w:rsid w:val="00A465BA"/>
    <w:rsid w:val="00A46851"/>
    <w:rsid w:val="00A4696C"/>
    <w:rsid w:val="00A46F53"/>
    <w:rsid w:val="00A4764F"/>
    <w:rsid w:val="00A47D5C"/>
    <w:rsid w:val="00A50028"/>
    <w:rsid w:val="00A5050D"/>
    <w:rsid w:val="00A50E80"/>
    <w:rsid w:val="00A5131C"/>
    <w:rsid w:val="00A513DC"/>
    <w:rsid w:val="00A51470"/>
    <w:rsid w:val="00A516A9"/>
    <w:rsid w:val="00A51BA2"/>
    <w:rsid w:val="00A520EB"/>
    <w:rsid w:val="00A5222F"/>
    <w:rsid w:val="00A5235B"/>
    <w:rsid w:val="00A52CA1"/>
    <w:rsid w:val="00A52DFB"/>
    <w:rsid w:val="00A52E62"/>
    <w:rsid w:val="00A53155"/>
    <w:rsid w:val="00A531D3"/>
    <w:rsid w:val="00A5328D"/>
    <w:rsid w:val="00A53375"/>
    <w:rsid w:val="00A534D0"/>
    <w:rsid w:val="00A534F0"/>
    <w:rsid w:val="00A538B0"/>
    <w:rsid w:val="00A5443E"/>
    <w:rsid w:val="00A5458A"/>
    <w:rsid w:val="00A548A4"/>
    <w:rsid w:val="00A554ED"/>
    <w:rsid w:val="00A55552"/>
    <w:rsid w:val="00A555A2"/>
    <w:rsid w:val="00A55E88"/>
    <w:rsid w:val="00A5612C"/>
    <w:rsid w:val="00A561D1"/>
    <w:rsid w:val="00A5692C"/>
    <w:rsid w:val="00A56DCD"/>
    <w:rsid w:val="00A574A5"/>
    <w:rsid w:val="00A57E4F"/>
    <w:rsid w:val="00A6016B"/>
    <w:rsid w:val="00A6057B"/>
    <w:rsid w:val="00A6057C"/>
    <w:rsid w:val="00A61835"/>
    <w:rsid w:val="00A61839"/>
    <w:rsid w:val="00A61D50"/>
    <w:rsid w:val="00A626A4"/>
    <w:rsid w:val="00A62794"/>
    <w:rsid w:val="00A62F57"/>
    <w:rsid w:val="00A635CA"/>
    <w:rsid w:val="00A638BC"/>
    <w:rsid w:val="00A63935"/>
    <w:rsid w:val="00A63C80"/>
    <w:rsid w:val="00A63E24"/>
    <w:rsid w:val="00A64200"/>
    <w:rsid w:val="00A6436D"/>
    <w:rsid w:val="00A643BF"/>
    <w:rsid w:val="00A646EC"/>
    <w:rsid w:val="00A64782"/>
    <w:rsid w:val="00A649DD"/>
    <w:rsid w:val="00A652F9"/>
    <w:rsid w:val="00A6530D"/>
    <w:rsid w:val="00A655F4"/>
    <w:rsid w:val="00A65A40"/>
    <w:rsid w:val="00A65DFE"/>
    <w:rsid w:val="00A65F91"/>
    <w:rsid w:val="00A667B6"/>
    <w:rsid w:val="00A667DC"/>
    <w:rsid w:val="00A668B1"/>
    <w:rsid w:val="00A66941"/>
    <w:rsid w:val="00A66DCA"/>
    <w:rsid w:val="00A67211"/>
    <w:rsid w:val="00A6724B"/>
    <w:rsid w:val="00A673AC"/>
    <w:rsid w:val="00A67C36"/>
    <w:rsid w:val="00A67E2F"/>
    <w:rsid w:val="00A70375"/>
    <w:rsid w:val="00A706B0"/>
    <w:rsid w:val="00A708D2"/>
    <w:rsid w:val="00A70D4B"/>
    <w:rsid w:val="00A71013"/>
    <w:rsid w:val="00A71210"/>
    <w:rsid w:val="00A7184F"/>
    <w:rsid w:val="00A71A29"/>
    <w:rsid w:val="00A71B94"/>
    <w:rsid w:val="00A72419"/>
    <w:rsid w:val="00A724B9"/>
    <w:rsid w:val="00A724EE"/>
    <w:rsid w:val="00A7268E"/>
    <w:rsid w:val="00A7288B"/>
    <w:rsid w:val="00A729B4"/>
    <w:rsid w:val="00A72B21"/>
    <w:rsid w:val="00A72ECB"/>
    <w:rsid w:val="00A733A0"/>
    <w:rsid w:val="00A73480"/>
    <w:rsid w:val="00A74108"/>
    <w:rsid w:val="00A743F1"/>
    <w:rsid w:val="00A7480F"/>
    <w:rsid w:val="00A74B2F"/>
    <w:rsid w:val="00A74CB7"/>
    <w:rsid w:val="00A7502F"/>
    <w:rsid w:val="00A755D8"/>
    <w:rsid w:val="00A7623F"/>
    <w:rsid w:val="00A76342"/>
    <w:rsid w:val="00A76932"/>
    <w:rsid w:val="00A77030"/>
    <w:rsid w:val="00A778D7"/>
    <w:rsid w:val="00A77A8C"/>
    <w:rsid w:val="00A77B94"/>
    <w:rsid w:val="00A77CFE"/>
    <w:rsid w:val="00A77DEA"/>
    <w:rsid w:val="00A8021D"/>
    <w:rsid w:val="00A808FC"/>
    <w:rsid w:val="00A80D19"/>
    <w:rsid w:val="00A80DED"/>
    <w:rsid w:val="00A80FAF"/>
    <w:rsid w:val="00A81933"/>
    <w:rsid w:val="00A81B98"/>
    <w:rsid w:val="00A81D0B"/>
    <w:rsid w:val="00A81D40"/>
    <w:rsid w:val="00A81F91"/>
    <w:rsid w:val="00A81F9B"/>
    <w:rsid w:val="00A8208D"/>
    <w:rsid w:val="00A824B6"/>
    <w:rsid w:val="00A82715"/>
    <w:rsid w:val="00A82951"/>
    <w:rsid w:val="00A82AED"/>
    <w:rsid w:val="00A83590"/>
    <w:rsid w:val="00A835DB"/>
    <w:rsid w:val="00A8379F"/>
    <w:rsid w:val="00A83CC6"/>
    <w:rsid w:val="00A840AD"/>
    <w:rsid w:val="00A842CD"/>
    <w:rsid w:val="00A84418"/>
    <w:rsid w:val="00A84701"/>
    <w:rsid w:val="00A85AFA"/>
    <w:rsid w:val="00A8665B"/>
    <w:rsid w:val="00A86A95"/>
    <w:rsid w:val="00A86B15"/>
    <w:rsid w:val="00A86F31"/>
    <w:rsid w:val="00A87191"/>
    <w:rsid w:val="00A873FD"/>
    <w:rsid w:val="00A876D7"/>
    <w:rsid w:val="00A87AEC"/>
    <w:rsid w:val="00A87ECF"/>
    <w:rsid w:val="00A87FE1"/>
    <w:rsid w:val="00A903C0"/>
    <w:rsid w:val="00A905EA"/>
    <w:rsid w:val="00A90758"/>
    <w:rsid w:val="00A90A9C"/>
    <w:rsid w:val="00A910F0"/>
    <w:rsid w:val="00A912A6"/>
    <w:rsid w:val="00A915BF"/>
    <w:rsid w:val="00A9165C"/>
    <w:rsid w:val="00A9192C"/>
    <w:rsid w:val="00A92211"/>
    <w:rsid w:val="00A9221E"/>
    <w:rsid w:val="00A924D0"/>
    <w:rsid w:val="00A92F74"/>
    <w:rsid w:val="00A93045"/>
    <w:rsid w:val="00A930F6"/>
    <w:rsid w:val="00A9383E"/>
    <w:rsid w:val="00A93CFD"/>
    <w:rsid w:val="00A93E57"/>
    <w:rsid w:val="00A943D1"/>
    <w:rsid w:val="00A9493F"/>
    <w:rsid w:val="00A94F88"/>
    <w:rsid w:val="00A9512F"/>
    <w:rsid w:val="00A958D6"/>
    <w:rsid w:val="00A95B89"/>
    <w:rsid w:val="00A95BF5"/>
    <w:rsid w:val="00A95D9C"/>
    <w:rsid w:val="00A960B0"/>
    <w:rsid w:val="00A9623F"/>
    <w:rsid w:val="00A96393"/>
    <w:rsid w:val="00A9655E"/>
    <w:rsid w:val="00A967CA"/>
    <w:rsid w:val="00A96866"/>
    <w:rsid w:val="00A968BC"/>
    <w:rsid w:val="00A96E08"/>
    <w:rsid w:val="00A96E0F"/>
    <w:rsid w:val="00A96EBE"/>
    <w:rsid w:val="00A96F8B"/>
    <w:rsid w:val="00A9773D"/>
    <w:rsid w:val="00A97DAA"/>
    <w:rsid w:val="00A97F9D"/>
    <w:rsid w:val="00AA0448"/>
    <w:rsid w:val="00AA0540"/>
    <w:rsid w:val="00AA0784"/>
    <w:rsid w:val="00AA083C"/>
    <w:rsid w:val="00AA089A"/>
    <w:rsid w:val="00AA0DC8"/>
    <w:rsid w:val="00AA1218"/>
    <w:rsid w:val="00AA25CF"/>
    <w:rsid w:val="00AA2643"/>
    <w:rsid w:val="00AA29E3"/>
    <w:rsid w:val="00AA2AA1"/>
    <w:rsid w:val="00AA309D"/>
    <w:rsid w:val="00AA341F"/>
    <w:rsid w:val="00AA43EB"/>
    <w:rsid w:val="00AA4454"/>
    <w:rsid w:val="00AA4595"/>
    <w:rsid w:val="00AA4613"/>
    <w:rsid w:val="00AA490E"/>
    <w:rsid w:val="00AA4F45"/>
    <w:rsid w:val="00AA56E4"/>
    <w:rsid w:val="00AA5701"/>
    <w:rsid w:val="00AA63C8"/>
    <w:rsid w:val="00AA6656"/>
    <w:rsid w:val="00AA6F93"/>
    <w:rsid w:val="00AA705B"/>
    <w:rsid w:val="00AB0475"/>
    <w:rsid w:val="00AB06FA"/>
    <w:rsid w:val="00AB08DC"/>
    <w:rsid w:val="00AB0E1E"/>
    <w:rsid w:val="00AB1A4D"/>
    <w:rsid w:val="00AB2956"/>
    <w:rsid w:val="00AB2A9F"/>
    <w:rsid w:val="00AB2DA8"/>
    <w:rsid w:val="00AB2ED4"/>
    <w:rsid w:val="00AB2EEB"/>
    <w:rsid w:val="00AB352A"/>
    <w:rsid w:val="00AB3A67"/>
    <w:rsid w:val="00AB3AA3"/>
    <w:rsid w:val="00AB3C2C"/>
    <w:rsid w:val="00AB3CB9"/>
    <w:rsid w:val="00AB4872"/>
    <w:rsid w:val="00AB48DD"/>
    <w:rsid w:val="00AB56E4"/>
    <w:rsid w:val="00AB5C65"/>
    <w:rsid w:val="00AB608D"/>
    <w:rsid w:val="00AB679F"/>
    <w:rsid w:val="00AB719B"/>
    <w:rsid w:val="00AB7471"/>
    <w:rsid w:val="00AB7EED"/>
    <w:rsid w:val="00AC069C"/>
    <w:rsid w:val="00AC06D0"/>
    <w:rsid w:val="00AC0E0A"/>
    <w:rsid w:val="00AC16C2"/>
    <w:rsid w:val="00AC1815"/>
    <w:rsid w:val="00AC1CA1"/>
    <w:rsid w:val="00AC2628"/>
    <w:rsid w:val="00AC28A8"/>
    <w:rsid w:val="00AC2DD5"/>
    <w:rsid w:val="00AC2F48"/>
    <w:rsid w:val="00AC2FDA"/>
    <w:rsid w:val="00AC320A"/>
    <w:rsid w:val="00AC34DD"/>
    <w:rsid w:val="00AC3AFC"/>
    <w:rsid w:val="00AC3EAA"/>
    <w:rsid w:val="00AC4378"/>
    <w:rsid w:val="00AC46B7"/>
    <w:rsid w:val="00AC48E2"/>
    <w:rsid w:val="00AC4DF3"/>
    <w:rsid w:val="00AC5266"/>
    <w:rsid w:val="00AC5726"/>
    <w:rsid w:val="00AC589A"/>
    <w:rsid w:val="00AC58C5"/>
    <w:rsid w:val="00AC58E8"/>
    <w:rsid w:val="00AC5B76"/>
    <w:rsid w:val="00AC5C9D"/>
    <w:rsid w:val="00AC64F5"/>
    <w:rsid w:val="00AC6813"/>
    <w:rsid w:val="00AC6A24"/>
    <w:rsid w:val="00AC6C3F"/>
    <w:rsid w:val="00AC755A"/>
    <w:rsid w:val="00AC7BF3"/>
    <w:rsid w:val="00AC7E5E"/>
    <w:rsid w:val="00AC7EE3"/>
    <w:rsid w:val="00AC7F0C"/>
    <w:rsid w:val="00AD0B31"/>
    <w:rsid w:val="00AD1466"/>
    <w:rsid w:val="00AD14F2"/>
    <w:rsid w:val="00AD1920"/>
    <w:rsid w:val="00AD1932"/>
    <w:rsid w:val="00AD1AB4"/>
    <w:rsid w:val="00AD1B89"/>
    <w:rsid w:val="00AD2167"/>
    <w:rsid w:val="00AD2195"/>
    <w:rsid w:val="00AD2204"/>
    <w:rsid w:val="00AD2325"/>
    <w:rsid w:val="00AD2563"/>
    <w:rsid w:val="00AD25D6"/>
    <w:rsid w:val="00AD28BF"/>
    <w:rsid w:val="00AD298A"/>
    <w:rsid w:val="00AD2ADC"/>
    <w:rsid w:val="00AD2DDD"/>
    <w:rsid w:val="00AD315E"/>
    <w:rsid w:val="00AD37AF"/>
    <w:rsid w:val="00AD3817"/>
    <w:rsid w:val="00AD3C66"/>
    <w:rsid w:val="00AD3CFF"/>
    <w:rsid w:val="00AD3F2A"/>
    <w:rsid w:val="00AD3F55"/>
    <w:rsid w:val="00AD3FC6"/>
    <w:rsid w:val="00AD40BD"/>
    <w:rsid w:val="00AD4578"/>
    <w:rsid w:val="00AD4A62"/>
    <w:rsid w:val="00AD5134"/>
    <w:rsid w:val="00AD52D4"/>
    <w:rsid w:val="00AD53AD"/>
    <w:rsid w:val="00AD62E7"/>
    <w:rsid w:val="00AD6384"/>
    <w:rsid w:val="00AD6464"/>
    <w:rsid w:val="00AD659D"/>
    <w:rsid w:val="00AD695D"/>
    <w:rsid w:val="00AD699A"/>
    <w:rsid w:val="00AD6BA3"/>
    <w:rsid w:val="00AD713D"/>
    <w:rsid w:val="00AD73FB"/>
    <w:rsid w:val="00AD7552"/>
    <w:rsid w:val="00AD7655"/>
    <w:rsid w:val="00AD7BB1"/>
    <w:rsid w:val="00AD7C67"/>
    <w:rsid w:val="00AD7D1A"/>
    <w:rsid w:val="00AD7ED0"/>
    <w:rsid w:val="00AE00C7"/>
    <w:rsid w:val="00AE023D"/>
    <w:rsid w:val="00AE045D"/>
    <w:rsid w:val="00AE04BD"/>
    <w:rsid w:val="00AE0A37"/>
    <w:rsid w:val="00AE0C3F"/>
    <w:rsid w:val="00AE13E6"/>
    <w:rsid w:val="00AE1894"/>
    <w:rsid w:val="00AE1932"/>
    <w:rsid w:val="00AE1E97"/>
    <w:rsid w:val="00AE22E0"/>
    <w:rsid w:val="00AE275B"/>
    <w:rsid w:val="00AE29FE"/>
    <w:rsid w:val="00AE2D0A"/>
    <w:rsid w:val="00AE32F8"/>
    <w:rsid w:val="00AE3340"/>
    <w:rsid w:val="00AE33AE"/>
    <w:rsid w:val="00AE381B"/>
    <w:rsid w:val="00AE38B4"/>
    <w:rsid w:val="00AE3B76"/>
    <w:rsid w:val="00AE3D23"/>
    <w:rsid w:val="00AE4AEB"/>
    <w:rsid w:val="00AE5C87"/>
    <w:rsid w:val="00AE5CE9"/>
    <w:rsid w:val="00AE5F04"/>
    <w:rsid w:val="00AE5F7C"/>
    <w:rsid w:val="00AE60DA"/>
    <w:rsid w:val="00AE6196"/>
    <w:rsid w:val="00AE6811"/>
    <w:rsid w:val="00AE6E4A"/>
    <w:rsid w:val="00AE6F95"/>
    <w:rsid w:val="00AE7BBB"/>
    <w:rsid w:val="00AE7EC5"/>
    <w:rsid w:val="00AF0106"/>
    <w:rsid w:val="00AF019F"/>
    <w:rsid w:val="00AF108E"/>
    <w:rsid w:val="00AF17FE"/>
    <w:rsid w:val="00AF1B2D"/>
    <w:rsid w:val="00AF2207"/>
    <w:rsid w:val="00AF2240"/>
    <w:rsid w:val="00AF2445"/>
    <w:rsid w:val="00AF282D"/>
    <w:rsid w:val="00AF313C"/>
    <w:rsid w:val="00AF328D"/>
    <w:rsid w:val="00AF34FD"/>
    <w:rsid w:val="00AF37B5"/>
    <w:rsid w:val="00AF3BB1"/>
    <w:rsid w:val="00AF51CC"/>
    <w:rsid w:val="00AF549F"/>
    <w:rsid w:val="00AF5A2E"/>
    <w:rsid w:val="00AF5B37"/>
    <w:rsid w:val="00AF5B8D"/>
    <w:rsid w:val="00AF5E28"/>
    <w:rsid w:val="00AF6595"/>
    <w:rsid w:val="00AF6999"/>
    <w:rsid w:val="00AF6F98"/>
    <w:rsid w:val="00AF6FB0"/>
    <w:rsid w:val="00AF6FB1"/>
    <w:rsid w:val="00AF7502"/>
    <w:rsid w:val="00B003CA"/>
    <w:rsid w:val="00B00BA3"/>
    <w:rsid w:val="00B00C71"/>
    <w:rsid w:val="00B010AA"/>
    <w:rsid w:val="00B01278"/>
    <w:rsid w:val="00B01A36"/>
    <w:rsid w:val="00B01AD4"/>
    <w:rsid w:val="00B01D78"/>
    <w:rsid w:val="00B022CE"/>
    <w:rsid w:val="00B02496"/>
    <w:rsid w:val="00B02622"/>
    <w:rsid w:val="00B02B6D"/>
    <w:rsid w:val="00B031B6"/>
    <w:rsid w:val="00B034D9"/>
    <w:rsid w:val="00B0366F"/>
    <w:rsid w:val="00B03C6F"/>
    <w:rsid w:val="00B04826"/>
    <w:rsid w:val="00B04838"/>
    <w:rsid w:val="00B04CE8"/>
    <w:rsid w:val="00B050F4"/>
    <w:rsid w:val="00B058BA"/>
    <w:rsid w:val="00B05962"/>
    <w:rsid w:val="00B059B2"/>
    <w:rsid w:val="00B05A3A"/>
    <w:rsid w:val="00B05DF0"/>
    <w:rsid w:val="00B06297"/>
    <w:rsid w:val="00B067A6"/>
    <w:rsid w:val="00B06961"/>
    <w:rsid w:val="00B06AAD"/>
    <w:rsid w:val="00B06D9D"/>
    <w:rsid w:val="00B06E7E"/>
    <w:rsid w:val="00B07694"/>
    <w:rsid w:val="00B07D78"/>
    <w:rsid w:val="00B10126"/>
    <w:rsid w:val="00B105E1"/>
    <w:rsid w:val="00B106B7"/>
    <w:rsid w:val="00B10AD4"/>
    <w:rsid w:val="00B11E71"/>
    <w:rsid w:val="00B12173"/>
    <w:rsid w:val="00B12307"/>
    <w:rsid w:val="00B12403"/>
    <w:rsid w:val="00B129A3"/>
    <w:rsid w:val="00B12C23"/>
    <w:rsid w:val="00B12EFA"/>
    <w:rsid w:val="00B134CB"/>
    <w:rsid w:val="00B134DC"/>
    <w:rsid w:val="00B13795"/>
    <w:rsid w:val="00B13957"/>
    <w:rsid w:val="00B13C6F"/>
    <w:rsid w:val="00B1431A"/>
    <w:rsid w:val="00B14478"/>
    <w:rsid w:val="00B14486"/>
    <w:rsid w:val="00B14ECA"/>
    <w:rsid w:val="00B15144"/>
    <w:rsid w:val="00B1557D"/>
    <w:rsid w:val="00B1580C"/>
    <w:rsid w:val="00B15B02"/>
    <w:rsid w:val="00B16302"/>
    <w:rsid w:val="00B16824"/>
    <w:rsid w:val="00B168D3"/>
    <w:rsid w:val="00B16C2F"/>
    <w:rsid w:val="00B16C30"/>
    <w:rsid w:val="00B16D00"/>
    <w:rsid w:val="00B1703F"/>
    <w:rsid w:val="00B1751F"/>
    <w:rsid w:val="00B1755D"/>
    <w:rsid w:val="00B17763"/>
    <w:rsid w:val="00B17AD2"/>
    <w:rsid w:val="00B1BA27"/>
    <w:rsid w:val="00B20099"/>
    <w:rsid w:val="00B200E6"/>
    <w:rsid w:val="00B207CE"/>
    <w:rsid w:val="00B20AA8"/>
    <w:rsid w:val="00B20B34"/>
    <w:rsid w:val="00B20D4E"/>
    <w:rsid w:val="00B20FA1"/>
    <w:rsid w:val="00B2145A"/>
    <w:rsid w:val="00B21C5C"/>
    <w:rsid w:val="00B22613"/>
    <w:rsid w:val="00B22C90"/>
    <w:rsid w:val="00B231E8"/>
    <w:rsid w:val="00B2352F"/>
    <w:rsid w:val="00B236B5"/>
    <w:rsid w:val="00B237CA"/>
    <w:rsid w:val="00B23CD8"/>
    <w:rsid w:val="00B23DBF"/>
    <w:rsid w:val="00B24644"/>
    <w:rsid w:val="00B2486C"/>
    <w:rsid w:val="00B24AC4"/>
    <w:rsid w:val="00B24F79"/>
    <w:rsid w:val="00B25014"/>
    <w:rsid w:val="00B25321"/>
    <w:rsid w:val="00B25426"/>
    <w:rsid w:val="00B25455"/>
    <w:rsid w:val="00B256FC"/>
    <w:rsid w:val="00B2590B"/>
    <w:rsid w:val="00B25AD2"/>
    <w:rsid w:val="00B25ADD"/>
    <w:rsid w:val="00B25BC2"/>
    <w:rsid w:val="00B2605A"/>
    <w:rsid w:val="00B26173"/>
    <w:rsid w:val="00B26684"/>
    <w:rsid w:val="00B26691"/>
    <w:rsid w:val="00B27023"/>
    <w:rsid w:val="00B27336"/>
    <w:rsid w:val="00B27A08"/>
    <w:rsid w:val="00B27F22"/>
    <w:rsid w:val="00B302D0"/>
    <w:rsid w:val="00B3062B"/>
    <w:rsid w:val="00B30D99"/>
    <w:rsid w:val="00B30DEF"/>
    <w:rsid w:val="00B30F05"/>
    <w:rsid w:val="00B30FBF"/>
    <w:rsid w:val="00B3128C"/>
    <w:rsid w:val="00B31701"/>
    <w:rsid w:val="00B3199B"/>
    <w:rsid w:val="00B31F31"/>
    <w:rsid w:val="00B32271"/>
    <w:rsid w:val="00B32C31"/>
    <w:rsid w:val="00B32D99"/>
    <w:rsid w:val="00B32E31"/>
    <w:rsid w:val="00B32F28"/>
    <w:rsid w:val="00B32FDE"/>
    <w:rsid w:val="00B33508"/>
    <w:rsid w:val="00B33618"/>
    <w:rsid w:val="00B33BFC"/>
    <w:rsid w:val="00B33F8E"/>
    <w:rsid w:val="00B342A7"/>
    <w:rsid w:val="00B34356"/>
    <w:rsid w:val="00B34B68"/>
    <w:rsid w:val="00B3519B"/>
    <w:rsid w:val="00B35222"/>
    <w:rsid w:val="00B35A7E"/>
    <w:rsid w:val="00B360D8"/>
    <w:rsid w:val="00B36208"/>
    <w:rsid w:val="00B3639A"/>
    <w:rsid w:val="00B3664D"/>
    <w:rsid w:val="00B36FC1"/>
    <w:rsid w:val="00B377D5"/>
    <w:rsid w:val="00B37C9B"/>
    <w:rsid w:val="00B37F74"/>
    <w:rsid w:val="00B41275"/>
    <w:rsid w:val="00B41323"/>
    <w:rsid w:val="00B41409"/>
    <w:rsid w:val="00B414E4"/>
    <w:rsid w:val="00B41728"/>
    <w:rsid w:val="00B4189B"/>
    <w:rsid w:val="00B418FD"/>
    <w:rsid w:val="00B424B3"/>
    <w:rsid w:val="00B42579"/>
    <w:rsid w:val="00B4277B"/>
    <w:rsid w:val="00B4278B"/>
    <w:rsid w:val="00B427E0"/>
    <w:rsid w:val="00B42D6A"/>
    <w:rsid w:val="00B43532"/>
    <w:rsid w:val="00B43617"/>
    <w:rsid w:val="00B436B5"/>
    <w:rsid w:val="00B436FC"/>
    <w:rsid w:val="00B4379A"/>
    <w:rsid w:val="00B437B2"/>
    <w:rsid w:val="00B443C1"/>
    <w:rsid w:val="00B4454E"/>
    <w:rsid w:val="00B44C57"/>
    <w:rsid w:val="00B44E0F"/>
    <w:rsid w:val="00B453AD"/>
    <w:rsid w:val="00B4541A"/>
    <w:rsid w:val="00B4585A"/>
    <w:rsid w:val="00B45920"/>
    <w:rsid w:val="00B45FDE"/>
    <w:rsid w:val="00B46320"/>
    <w:rsid w:val="00B46878"/>
    <w:rsid w:val="00B46D5B"/>
    <w:rsid w:val="00B46D9F"/>
    <w:rsid w:val="00B477E1"/>
    <w:rsid w:val="00B47895"/>
    <w:rsid w:val="00B47D5E"/>
    <w:rsid w:val="00B5024D"/>
    <w:rsid w:val="00B50270"/>
    <w:rsid w:val="00B506DB"/>
    <w:rsid w:val="00B506DD"/>
    <w:rsid w:val="00B516CC"/>
    <w:rsid w:val="00B51E6E"/>
    <w:rsid w:val="00B51F08"/>
    <w:rsid w:val="00B51FB1"/>
    <w:rsid w:val="00B520C3"/>
    <w:rsid w:val="00B52872"/>
    <w:rsid w:val="00B534FE"/>
    <w:rsid w:val="00B53C6E"/>
    <w:rsid w:val="00B5456E"/>
    <w:rsid w:val="00B54A13"/>
    <w:rsid w:val="00B54A62"/>
    <w:rsid w:val="00B54A6B"/>
    <w:rsid w:val="00B550A6"/>
    <w:rsid w:val="00B55846"/>
    <w:rsid w:val="00B568F4"/>
    <w:rsid w:val="00B56A11"/>
    <w:rsid w:val="00B57A04"/>
    <w:rsid w:val="00B57A25"/>
    <w:rsid w:val="00B57BFD"/>
    <w:rsid w:val="00B60121"/>
    <w:rsid w:val="00B603C6"/>
    <w:rsid w:val="00B6052C"/>
    <w:rsid w:val="00B605DF"/>
    <w:rsid w:val="00B6074D"/>
    <w:rsid w:val="00B609DC"/>
    <w:rsid w:val="00B60AB2"/>
    <w:rsid w:val="00B613CC"/>
    <w:rsid w:val="00B620F6"/>
    <w:rsid w:val="00B62182"/>
    <w:rsid w:val="00B6228C"/>
    <w:rsid w:val="00B62595"/>
    <w:rsid w:val="00B626A0"/>
    <w:rsid w:val="00B62775"/>
    <w:rsid w:val="00B62D61"/>
    <w:rsid w:val="00B62E05"/>
    <w:rsid w:val="00B62FBA"/>
    <w:rsid w:val="00B6302A"/>
    <w:rsid w:val="00B6332C"/>
    <w:rsid w:val="00B6373F"/>
    <w:rsid w:val="00B63DEC"/>
    <w:rsid w:val="00B63FCB"/>
    <w:rsid w:val="00B641B0"/>
    <w:rsid w:val="00B64745"/>
    <w:rsid w:val="00B64974"/>
    <w:rsid w:val="00B64BA3"/>
    <w:rsid w:val="00B64CD7"/>
    <w:rsid w:val="00B653D4"/>
    <w:rsid w:val="00B65B93"/>
    <w:rsid w:val="00B65EC2"/>
    <w:rsid w:val="00B65EDE"/>
    <w:rsid w:val="00B661ED"/>
    <w:rsid w:val="00B6698B"/>
    <w:rsid w:val="00B66D9A"/>
    <w:rsid w:val="00B66F65"/>
    <w:rsid w:val="00B6704E"/>
    <w:rsid w:val="00B67916"/>
    <w:rsid w:val="00B6798F"/>
    <w:rsid w:val="00B67A2A"/>
    <w:rsid w:val="00B67ED1"/>
    <w:rsid w:val="00B67EF6"/>
    <w:rsid w:val="00B67F94"/>
    <w:rsid w:val="00B700C9"/>
    <w:rsid w:val="00B70243"/>
    <w:rsid w:val="00B70A1E"/>
    <w:rsid w:val="00B70C2B"/>
    <w:rsid w:val="00B70D31"/>
    <w:rsid w:val="00B71323"/>
    <w:rsid w:val="00B7141D"/>
    <w:rsid w:val="00B71535"/>
    <w:rsid w:val="00B718B7"/>
    <w:rsid w:val="00B71C62"/>
    <w:rsid w:val="00B720B6"/>
    <w:rsid w:val="00B7280F"/>
    <w:rsid w:val="00B7284E"/>
    <w:rsid w:val="00B72ADC"/>
    <w:rsid w:val="00B72B2B"/>
    <w:rsid w:val="00B72CAF"/>
    <w:rsid w:val="00B73331"/>
    <w:rsid w:val="00B734F7"/>
    <w:rsid w:val="00B7399E"/>
    <w:rsid w:val="00B73D3F"/>
    <w:rsid w:val="00B74137"/>
    <w:rsid w:val="00B7445D"/>
    <w:rsid w:val="00B744E9"/>
    <w:rsid w:val="00B74818"/>
    <w:rsid w:val="00B74AFE"/>
    <w:rsid w:val="00B751AF"/>
    <w:rsid w:val="00B75209"/>
    <w:rsid w:val="00B757AD"/>
    <w:rsid w:val="00B758AE"/>
    <w:rsid w:val="00B75A17"/>
    <w:rsid w:val="00B75EDC"/>
    <w:rsid w:val="00B760BC"/>
    <w:rsid w:val="00B76BB0"/>
    <w:rsid w:val="00B76E73"/>
    <w:rsid w:val="00B76EA2"/>
    <w:rsid w:val="00B77065"/>
    <w:rsid w:val="00B7762C"/>
    <w:rsid w:val="00B77AE1"/>
    <w:rsid w:val="00B77C37"/>
    <w:rsid w:val="00B77E62"/>
    <w:rsid w:val="00B806CF"/>
    <w:rsid w:val="00B809E9"/>
    <w:rsid w:val="00B809FE"/>
    <w:rsid w:val="00B80ABC"/>
    <w:rsid w:val="00B80CB8"/>
    <w:rsid w:val="00B81906"/>
    <w:rsid w:val="00B81B95"/>
    <w:rsid w:val="00B8273D"/>
    <w:rsid w:val="00B82CA3"/>
    <w:rsid w:val="00B82F96"/>
    <w:rsid w:val="00B832CA"/>
    <w:rsid w:val="00B83685"/>
    <w:rsid w:val="00B83D26"/>
    <w:rsid w:val="00B84170"/>
    <w:rsid w:val="00B84E88"/>
    <w:rsid w:val="00B852B7"/>
    <w:rsid w:val="00B85C2F"/>
    <w:rsid w:val="00B85C4F"/>
    <w:rsid w:val="00B85FBA"/>
    <w:rsid w:val="00B860F4"/>
    <w:rsid w:val="00B864C0"/>
    <w:rsid w:val="00B86583"/>
    <w:rsid w:val="00B869E0"/>
    <w:rsid w:val="00B870A1"/>
    <w:rsid w:val="00B876C0"/>
    <w:rsid w:val="00B87F7B"/>
    <w:rsid w:val="00B897A0"/>
    <w:rsid w:val="00B90220"/>
    <w:rsid w:val="00B909C1"/>
    <w:rsid w:val="00B90E28"/>
    <w:rsid w:val="00B90EA6"/>
    <w:rsid w:val="00B90F63"/>
    <w:rsid w:val="00B90F8B"/>
    <w:rsid w:val="00B9152C"/>
    <w:rsid w:val="00B9156E"/>
    <w:rsid w:val="00B91634"/>
    <w:rsid w:val="00B91884"/>
    <w:rsid w:val="00B91BB2"/>
    <w:rsid w:val="00B92042"/>
    <w:rsid w:val="00B920AF"/>
    <w:rsid w:val="00B920E3"/>
    <w:rsid w:val="00B9225D"/>
    <w:rsid w:val="00B924B5"/>
    <w:rsid w:val="00B926A3"/>
    <w:rsid w:val="00B926E4"/>
    <w:rsid w:val="00B927CF"/>
    <w:rsid w:val="00B92C9F"/>
    <w:rsid w:val="00B92F58"/>
    <w:rsid w:val="00B93C49"/>
    <w:rsid w:val="00B93EA5"/>
    <w:rsid w:val="00B940B5"/>
    <w:rsid w:val="00B94492"/>
    <w:rsid w:val="00B9456B"/>
    <w:rsid w:val="00B9474E"/>
    <w:rsid w:val="00B947C1"/>
    <w:rsid w:val="00B95CFB"/>
    <w:rsid w:val="00B964DF"/>
    <w:rsid w:val="00B967C1"/>
    <w:rsid w:val="00B96BEB"/>
    <w:rsid w:val="00B96E3D"/>
    <w:rsid w:val="00B97C58"/>
    <w:rsid w:val="00B97E3A"/>
    <w:rsid w:val="00BA0160"/>
    <w:rsid w:val="00BA07B7"/>
    <w:rsid w:val="00BA0FC2"/>
    <w:rsid w:val="00BA12DB"/>
    <w:rsid w:val="00BA1422"/>
    <w:rsid w:val="00BA149D"/>
    <w:rsid w:val="00BA1AC2"/>
    <w:rsid w:val="00BA1DE9"/>
    <w:rsid w:val="00BA1E19"/>
    <w:rsid w:val="00BA2313"/>
    <w:rsid w:val="00BA28A9"/>
    <w:rsid w:val="00BA2A69"/>
    <w:rsid w:val="00BA2FD2"/>
    <w:rsid w:val="00BA3171"/>
    <w:rsid w:val="00BA3512"/>
    <w:rsid w:val="00BA387E"/>
    <w:rsid w:val="00BA3A43"/>
    <w:rsid w:val="00BA3D78"/>
    <w:rsid w:val="00BA483E"/>
    <w:rsid w:val="00BA4A48"/>
    <w:rsid w:val="00BA4A54"/>
    <w:rsid w:val="00BA4C9C"/>
    <w:rsid w:val="00BA4D20"/>
    <w:rsid w:val="00BA4D33"/>
    <w:rsid w:val="00BA4DE3"/>
    <w:rsid w:val="00BA4E83"/>
    <w:rsid w:val="00BA5095"/>
    <w:rsid w:val="00BA54D4"/>
    <w:rsid w:val="00BA56CB"/>
    <w:rsid w:val="00BA588B"/>
    <w:rsid w:val="00BA5B30"/>
    <w:rsid w:val="00BA61C0"/>
    <w:rsid w:val="00BA6339"/>
    <w:rsid w:val="00BA6645"/>
    <w:rsid w:val="00BA68F6"/>
    <w:rsid w:val="00BA6F6D"/>
    <w:rsid w:val="00BA75CF"/>
    <w:rsid w:val="00BA77D1"/>
    <w:rsid w:val="00BB0165"/>
    <w:rsid w:val="00BB0187"/>
    <w:rsid w:val="00BB0321"/>
    <w:rsid w:val="00BB0663"/>
    <w:rsid w:val="00BB12AD"/>
    <w:rsid w:val="00BB1856"/>
    <w:rsid w:val="00BB1912"/>
    <w:rsid w:val="00BB1C25"/>
    <w:rsid w:val="00BB1E87"/>
    <w:rsid w:val="00BB1F48"/>
    <w:rsid w:val="00BB2296"/>
    <w:rsid w:val="00BB2692"/>
    <w:rsid w:val="00BB276A"/>
    <w:rsid w:val="00BB2BF2"/>
    <w:rsid w:val="00BB2DB5"/>
    <w:rsid w:val="00BB2E94"/>
    <w:rsid w:val="00BB310F"/>
    <w:rsid w:val="00BB3130"/>
    <w:rsid w:val="00BB335C"/>
    <w:rsid w:val="00BB3827"/>
    <w:rsid w:val="00BB3912"/>
    <w:rsid w:val="00BB405F"/>
    <w:rsid w:val="00BB41B7"/>
    <w:rsid w:val="00BB4525"/>
    <w:rsid w:val="00BB4B90"/>
    <w:rsid w:val="00BB5050"/>
    <w:rsid w:val="00BB5445"/>
    <w:rsid w:val="00BB544E"/>
    <w:rsid w:val="00BB5CA2"/>
    <w:rsid w:val="00BB616D"/>
    <w:rsid w:val="00BB6A00"/>
    <w:rsid w:val="00BB6A42"/>
    <w:rsid w:val="00BB6EA6"/>
    <w:rsid w:val="00BB6F99"/>
    <w:rsid w:val="00BB725A"/>
    <w:rsid w:val="00BB7271"/>
    <w:rsid w:val="00BB7317"/>
    <w:rsid w:val="00BB7DB3"/>
    <w:rsid w:val="00BB7E37"/>
    <w:rsid w:val="00BB7EE4"/>
    <w:rsid w:val="00BC0AF3"/>
    <w:rsid w:val="00BC0C3C"/>
    <w:rsid w:val="00BC0F30"/>
    <w:rsid w:val="00BC1473"/>
    <w:rsid w:val="00BC1BAD"/>
    <w:rsid w:val="00BC21F7"/>
    <w:rsid w:val="00BC2218"/>
    <w:rsid w:val="00BC22DF"/>
    <w:rsid w:val="00BC395F"/>
    <w:rsid w:val="00BC3AA3"/>
    <w:rsid w:val="00BC3BC2"/>
    <w:rsid w:val="00BC3BCB"/>
    <w:rsid w:val="00BC3DCD"/>
    <w:rsid w:val="00BC3DDC"/>
    <w:rsid w:val="00BC44B7"/>
    <w:rsid w:val="00BC45CE"/>
    <w:rsid w:val="00BC4BB0"/>
    <w:rsid w:val="00BC4E60"/>
    <w:rsid w:val="00BC4E88"/>
    <w:rsid w:val="00BC4EA2"/>
    <w:rsid w:val="00BC4EF6"/>
    <w:rsid w:val="00BC5081"/>
    <w:rsid w:val="00BC51AB"/>
    <w:rsid w:val="00BC5367"/>
    <w:rsid w:val="00BC55A1"/>
    <w:rsid w:val="00BC57E0"/>
    <w:rsid w:val="00BC592F"/>
    <w:rsid w:val="00BC61B4"/>
    <w:rsid w:val="00BC6256"/>
    <w:rsid w:val="00BC6573"/>
    <w:rsid w:val="00BC6AF7"/>
    <w:rsid w:val="00BC6D91"/>
    <w:rsid w:val="00BC770F"/>
    <w:rsid w:val="00BC7835"/>
    <w:rsid w:val="00BD0095"/>
    <w:rsid w:val="00BD0B76"/>
    <w:rsid w:val="00BD0DEA"/>
    <w:rsid w:val="00BD1452"/>
    <w:rsid w:val="00BD16C6"/>
    <w:rsid w:val="00BD187C"/>
    <w:rsid w:val="00BD1989"/>
    <w:rsid w:val="00BD1D3F"/>
    <w:rsid w:val="00BD1F9C"/>
    <w:rsid w:val="00BD229C"/>
    <w:rsid w:val="00BD26B3"/>
    <w:rsid w:val="00BD2C3E"/>
    <w:rsid w:val="00BD2DCC"/>
    <w:rsid w:val="00BD35E5"/>
    <w:rsid w:val="00BD362E"/>
    <w:rsid w:val="00BD4173"/>
    <w:rsid w:val="00BD495B"/>
    <w:rsid w:val="00BD4BFF"/>
    <w:rsid w:val="00BD4D96"/>
    <w:rsid w:val="00BD4ED1"/>
    <w:rsid w:val="00BD5153"/>
    <w:rsid w:val="00BD5516"/>
    <w:rsid w:val="00BD5D29"/>
    <w:rsid w:val="00BD61F5"/>
    <w:rsid w:val="00BD6769"/>
    <w:rsid w:val="00BD68C2"/>
    <w:rsid w:val="00BD7233"/>
    <w:rsid w:val="00BE027E"/>
    <w:rsid w:val="00BE054B"/>
    <w:rsid w:val="00BE076E"/>
    <w:rsid w:val="00BE0862"/>
    <w:rsid w:val="00BE0A11"/>
    <w:rsid w:val="00BE0B7F"/>
    <w:rsid w:val="00BE0C25"/>
    <w:rsid w:val="00BE1160"/>
    <w:rsid w:val="00BE14B2"/>
    <w:rsid w:val="00BE18F4"/>
    <w:rsid w:val="00BE1C35"/>
    <w:rsid w:val="00BE2159"/>
    <w:rsid w:val="00BE2AD9"/>
    <w:rsid w:val="00BE32D7"/>
    <w:rsid w:val="00BE3733"/>
    <w:rsid w:val="00BE374B"/>
    <w:rsid w:val="00BE3FDC"/>
    <w:rsid w:val="00BE414D"/>
    <w:rsid w:val="00BE490A"/>
    <w:rsid w:val="00BE5213"/>
    <w:rsid w:val="00BE5430"/>
    <w:rsid w:val="00BE55FB"/>
    <w:rsid w:val="00BE5A64"/>
    <w:rsid w:val="00BE5B92"/>
    <w:rsid w:val="00BE5CA8"/>
    <w:rsid w:val="00BE606C"/>
    <w:rsid w:val="00BE61F8"/>
    <w:rsid w:val="00BE621A"/>
    <w:rsid w:val="00BE675F"/>
    <w:rsid w:val="00BE693B"/>
    <w:rsid w:val="00BE6D96"/>
    <w:rsid w:val="00BE735B"/>
    <w:rsid w:val="00BE7A9A"/>
    <w:rsid w:val="00BE7C43"/>
    <w:rsid w:val="00BF0298"/>
    <w:rsid w:val="00BF0379"/>
    <w:rsid w:val="00BF0707"/>
    <w:rsid w:val="00BF0820"/>
    <w:rsid w:val="00BF0962"/>
    <w:rsid w:val="00BF10F8"/>
    <w:rsid w:val="00BF16FC"/>
    <w:rsid w:val="00BF1775"/>
    <w:rsid w:val="00BF19A5"/>
    <w:rsid w:val="00BF1A46"/>
    <w:rsid w:val="00BF1BAA"/>
    <w:rsid w:val="00BF1BB0"/>
    <w:rsid w:val="00BF1E0A"/>
    <w:rsid w:val="00BF2B6C"/>
    <w:rsid w:val="00BF347C"/>
    <w:rsid w:val="00BF34CE"/>
    <w:rsid w:val="00BF390B"/>
    <w:rsid w:val="00BF3AD7"/>
    <w:rsid w:val="00BF3E7F"/>
    <w:rsid w:val="00BF3F9C"/>
    <w:rsid w:val="00BF4012"/>
    <w:rsid w:val="00BF4205"/>
    <w:rsid w:val="00BF42EA"/>
    <w:rsid w:val="00BF46EA"/>
    <w:rsid w:val="00BF49D3"/>
    <w:rsid w:val="00BF4C48"/>
    <w:rsid w:val="00BF52A2"/>
    <w:rsid w:val="00BF5305"/>
    <w:rsid w:val="00BF5CC2"/>
    <w:rsid w:val="00BF629B"/>
    <w:rsid w:val="00BF6567"/>
    <w:rsid w:val="00BF6701"/>
    <w:rsid w:val="00BF7035"/>
    <w:rsid w:val="00BF71D3"/>
    <w:rsid w:val="00BF72C0"/>
    <w:rsid w:val="00BF7ADC"/>
    <w:rsid w:val="00BF7BC6"/>
    <w:rsid w:val="00BF7F16"/>
    <w:rsid w:val="00C0002A"/>
    <w:rsid w:val="00C0008A"/>
    <w:rsid w:val="00C0025A"/>
    <w:rsid w:val="00C0043C"/>
    <w:rsid w:val="00C007EF"/>
    <w:rsid w:val="00C01163"/>
    <w:rsid w:val="00C0158C"/>
    <w:rsid w:val="00C01693"/>
    <w:rsid w:val="00C0177D"/>
    <w:rsid w:val="00C017A4"/>
    <w:rsid w:val="00C02094"/>
    <w:rsid w:val="00C0215C"/>
    <w:rsid w:val="00C028C7"/>
    <w:rsid w:val="00C02FB9"/>
    <w:rsid w:val="00C033E8"/>
    <w:rsid w:val="00C03CD7"/>
    <w:rsid w:val="00C03DE4"/>
    <w:rsid w:val="00C041B8"/>
    <w:rsid w:val="00C044DE"/>
    <w:rsid w:val="00C05635"/>
    <w:rsid w:val="00C05718"/>
    <w:rsid w:val="00C0579C"/>
    <w:rsid w:val="00C061A0"/>
    <w:rsid w:val="00C066ED"/>
    <w:rsid w:val="00C06847"/>
    <w:rsid w:val="00C06DB3"/>
    <w:rsid w:val="00C06DFA"/>
    <w:rsid w:val="00C071FB"/>
    <w:rsid w:val="00C07433"/>
    <w:rsid w:val="00C07B25"/>
    <w:rsid w:val="00C07BB4"/>
    <w:rsid w:val="00C07EEB"/>
    <w:rsid w:val="00C10175"/>
    <w:rsid w:val="00C10275"/>
    <w:rsid w:val="00C10584"/>
    <w:rsid w:val="00C10F46"/>
    <w:rsid w:val="00C11286"/>
    <w:rsid w:val="00C1131F"/>
    <w:rsid w:val="00C117A7"/>
    <w:rsid w:val="00C118E4"/>
    <w:rsid w:val="00C11CB3"/>
    <w:rsid w:val="00C11E4F"/>
    <w:rsid w:val="00C122C9"/>
    <w:rsid w:val="00C12317"/>
    <w:rsid w:val="00C129B8"/>
    <w:rsid w:val="00C12BBE"/>
    <w:rsid w:val="00C13275"/>
    <w:rsid w:val="00C14D1C"/>
    <w:rsid w:val="00C15C51"/>
    <w:rsid w:val="00C15E66"/>
    <w:rsid w:val="00C16727"/>
    <w:rsid w:val="00C16B6A"/>
    <w:rsid w:val="00C16D81"/>
    <w:rsid w:val="00C16FAC"/>
    <w:rsid w:val="00C1725A"/>
    <w:rsid w:val="00C17BD7"/>
    <w:rsid w:val="00C17E31"/>
    <w:rsid w:val="00C205EA"/>
    <w:rsid w:val="00C206AF"/>
    <w:rsid w:val="00C20D84"/>
    <w:rsid w:val="00C20DA1"/>
    <w:rsid w:val="00C20EBF"/>
    <w:rsid w:val="00C21138"/>
    <w:rsid w:val="00C21399"/>
    <w:rsid w:val="00C216C8"/>
    <w:rsid w:val="00C217FA"/>
    <w:rsid w:val="00C21D38"/>
    <w:rsid w:val="00C222BF"/>
    <w:rsid w:val="00C2264C"/>
    <w:rsid w:val="00C22A00"/>
    <w:rsid w:val="00C22BD4"/>
    <w:rsid w:val="00C22C3F"/>
    <w:rsid w:val="00C22C9C"/>
    <w:rsid w:val="00C22E01"/>
    <w:rsid w:val="00C23275"/>
    <w:rsid w:val="00C239F7"/>
    <w:rsid w:val="00C23E67"/>
    <w:rsid w:val="00C23F1B"/>
    <w:rsid w:val="00C23F43"/>
    <w:rsid w:val="00C246D2"/>
    <w:rsid w:val="00C24C39"/>
    <w:rsid w:val="00C24D54"/>
    <w:rsid w:val="00C2514F"/>
    <w:rsid w:val="00C2588B"/>
    <w:rsid w:val="00C25F80"/>
    <w:rsid w:val="00C25F96"/>
    <w:rsid w:val="00C260F9"/>
    <w:rsid w:val="00C2667C"/>
    <w:rsid w:val="00C266CA"/>
    <w:rsid w:val="00C26CF0"/>
    <w:rsid w:val="00C26DEB"/>
    <w:rsid w:val="00C26E10"/>
    <w:rsid w:val="00C26ED3"/>
    <w:rsid w:val="00C27006"/>
    <w:rsid w:val="00C2728E"/>
    <w:rsid w:val="00C2737E"/>
    <w:rsid w:val="00C27734"/>
    <w:rsid w:val="00C278BD"/>
    <w:rsid w:val="00C27C13"/>
    <w:rsid w:val="00C27E42"/>
    <w:rsid w:val="00C301FC"/>
    <w:rsid w:val="00C3075F"/>
    <w:rsid w:val="00C30F15"/>
    <w:rsid w:val="00C316BB"/>
    <w:rsid w:val="00C316BE"/>
    <w:rsid w:val="00C31A72"/>
    <w:rsid w:val="00C31C2E"/>
    <w:rsid w:val="00C32340"/>
    <w:rsid w:val="00C323DA"/>
    <w:rsid w:val="00C327AB"/>
    <w:rsid w:val="00C32DD8"/>
    <w:rsid w:val="00C33167"/>
    <w:rsid w:val="00C33577"/>
    <w:rsid w:val="00C33BB5"/>
    <w:rsid w:val="00C33DFE"/>
    <w:rsid w:val="00C34435"/>
    <w:rsid w:val="00C34E1F"/>
    <w:rsid w:val="00C357C2"/>
    <w:rsid w:val="00C3591B"/>
    <w:rsid w:val="00C35B4A"/>
    <w:rsid w:val="00C35BCF"/>
    <w:rsid w:val="00C35C18"/>
    <w:rsid w:val="00C35D81"/>
    <w:rsid w:val="00C35FE6"/>
    <w:rsid w:val="00C363BC"/>
    <w:rsid w:val="00C36A37"/>
    <w:rsid w:val="00C36C97"/>
    <w:rsid w:val="00C36D55"/>
    <w:rsid w:val="00C3776E"/>
    <w:rsid w:val="00C37AE0"/>
    <w:rsid w:val="00C37E3A"/>
    <w:rsid w:val="00C40823"/>
    <w:rsid w:val="00C40D9E"/>
    <w:rsid w:val="00C40DDC"/>
    <w:rsid w:val="00C41A9B"/>
    <w:rsid w:val="00C41B99"/>
    <w:rsid w:val="00C41C62"/>
    <w:rsid w:val="00C41E62"/>
    <w:rsid w:val="00C4223B"/>
    <w:rsid w:val="00C424FF"/>
    <w:rsid w:val="00C4261F"/>
    <w:rsid w:val="00C4282A"/>
    <w:rsid w:val="00C42EF6"/>
    <w:rsid w:val="00C43562"/>
    <w:rsid w:val="00C43B7C"/>
    <w:rsid w:val="00C43BA8"/>
    <w:rsid w:val="00C44441"/>
    <w:rsid w:val="00C44614"/>
    <w:rsid w:val="00C44880"/>
    <w:rsid w:val="00C44A70"/>
    <w:rsid w:val="00C44A97"/>
    <w:rsid w:val="00C457F3"/>
    <w:rsid w:val="00C45EA5"/>
    <w:rsid w:val="00C463BA"/>
    <w:rsid w:val="00C46E9D"/>
    <w:rsid w:val="00C46F46"/>
    <w:rsid w:val="00C47588"/>
    <w:rsid w:val="00C47841"/>
    <w:rsid w:val="00C50C72"/>
    <w:rsid w:val="00C5104D"/>
    <w:rsid w:val="00C5122D"/>
    <w:rsid w:val="00C517F9"/>
    <w:rsid w:val="00C52016"/>
    <w:rsid w:val="00C52135"/>
    <w:rsid w:val="00C5239A"/>
    <w:rsid w:val="00C526E4"/>
    <w:rsid w:val="00C5273E"/>
    <w:rsid w:val="00C5280B"/>
    <w:rsid w:val="00C52BEB"/>
    <w:rsid w:val="00C52CDC"/>
    <w:rsid w:val="00C52D7D"/>
    <w:rsid w:val="00C54011"/>
    <w:rsid w:val="00C542E2"/>
    <w:rsid w:val="00C54386"/>
    <w:rsid w:val="00C544C4"/>
    <w:rsid w:val="00C54B11"/>
    <w:rsid w:val="00C54C4C"/>
    <w:rsid w:val="00C54C7B"/>
    <w:rsid w:val="00C5528F"/>
    <w:rsid w:val="00C5535D"/>
    <w:rsid w:val="00C557BB"/>
    <w:rsid w:val="00C558F7"/>
    <w:rsid w:val="00C55A3C"/>
    <w:rsid w:val="00C55A44"/>
    <w:rsid w:val="00C55A54"/>
    <w:rsid w:val="00C55E17"/>
    <w:rsid w:val="00C5613C"/>
    <w:rsid w:val="00C5619A"/>
    <w:rsid w:val="00C563D3"/>
    <w:rsid w:val="00C56828"/>
    <w:rsid w:val="00C56BAF"/>
    <w:rsid w:val="00C56C95"/>
    <w:rsid w:val="00C56ECD"/>
    <w:rsid w:val="00C5711A"/>
    <w:rsid w:val="00C57479"/>
    <w:rsid w:val="00C574B6"/>
    <w:rsid w:val="00C574E7"/>
    <w:rsid w:val="00C57E82"/>
    <w:rsid w:val="00C6004D"/>
    <w:rsid w:val="00C603C6"/>
    <w:rsid w:val="00C60413"/>
    <w:rsid w:val="00C604A2"/>
    <w:rsid w:val="00C60619"/>
    <w:rsid w:val="00C60DA7"/>
    <w:rsid w:val="00C61083"/>
    <w:rsid w:val="00C61959"/>
    <w:rsid w:val="00C6243F"/>
    <w:rsid w:val="00C62565"/>
    <w:rsid w:val="00C62669"/>
    <w:rsid w:val="00C626DA"/>
    <w:rsid w:val="00C6279E"/>
    <w:rsid w:val="00C627DF"/>
    <w:rsid w:val="00C63134"/>
    <w:rsid w:val="00C631B5"/>
    <w:rsid w:val="00C63206"/>
    <w:rsid w:val="00C63540"/>
    <w:rsid w:val="00C638FC"/>
    <w:rsid w:val="00C63A82"/>
    <w:rsid w:val="00C63D0F"/>
    <w:rsid w:val="00C64125"/>
    <w:rsid w:val="00C64354"/>
    <w:rsid w:val="00C64386"/>
    <w:rsid w:val="00C647D9"/>
    <w:rsid w:val="00C64A05"/>
    <w:rsid w:val="00C64B3E"/>
    <w:rsid w:val="00C6500E"/>
    <w:rsid w:val="00C65100"/>
    <w:rsid w:val="00C65316"/>
    <w:rsid w:val="00C653AE"/>
    <w:rsid w:val="00C65640"/>
    <w:rsid w:val="00C6567F"/>
    <w:rsid w:val="00C657D4"/>
    <w:rsid w:val="00C65863"/>
    <w:rsid w:val="00C65864"/>
    <w:rsid w:val="00C65B07"/>
    <w:rsid w:val="00C65BD9"/>
    <w:rsid w:val="00C66080"/>
    <w:rsid w:val="00C666BA"/>
    <w:rsid w:val="00C66723"/>
    <w:rsid w:val="00C6697D"/>
    <w:rsid w:val="00C66CC4"/>
    <w:rsid w:val="00C67351"/>
    <w:rsid w:val="00C67390"/>
    <w:rsid w:val="00C678E3"/>
    <w:rsid w:val="00C679F8"/>
    <w:rsid w:val="00C67C78"/>
    <w:rsid w:val="00C67DC2"/>
    <w:rsid w:val="00C70A2C"/>
    <w:rsid w:val="00C70CDF"/>
    <w:rsid w:val="00C712E7"/>
    <w:rsid w:val="00C71E2F"/>
    <w:rsid w:val="00C71F82"/>
    <w:rsid w:val="00C7248B"/>
    <w:rsid w:val="00C72658"/>
    <w:rsid w:val="00C72753"/>
    <w:rsid w:val="00C72A83"/>
    <w:rsid w:val="00C72D95"/>
    <w:rsid w:val="00C72EA5"/>
    <w:rsid w:val="00C72EEC"/>
    <w:rsid w:val="00C7357A"/>
    <w:rsid w:val="00C73608"/>
    <w:rsid w:val="00C73A63"/>
    <w:rsid w:val="00C73F00"/>
    <w:rsid w:val="00C74215"/>
    <w:rsid w:val="00C742DF"/>
    <w:rsid w:val="00C7448F"/>
    <w:rsid w:val="00C7453E"/>
    <w:rsid w:val="00C74640"/>
    <w:rsid w:val="00C74C05"/>
    <w:rsid w:val="00C75B41"/>
    <w:rsid w:val="00C75C6D"/>
    <w:rsid w:val="00C76352"/>
    <w:rsid w:val="00C763D4"/>
    <w:rsid w:val="00C76A1B"/>
    <w:rsid w:val="00C76AA2"/>
    <w:rsid w:val="00C76B0F"/>
    <w:rsid w:val="00C76C50"/>
    <w:rsid w:val="00C775FE"/>
    <w:rsid w:val="00C77ADC"/>
    <w:rsid w:val="00C77CEA"/>
    <w:rsid w:val="00C8042E"/>
    <w:rsid w:val="00C804C2"/>
    <w:rsid w:val="00C80846"/>
    <w:rsid w:val="00C808F9"/>
    <w:rsid w:val="00C80C81"/>
    <w:rsid w:val="00C812EA"/>
    <w:rsid w:val="00C816FA"/>
    <w:rsid w:val="00C81DA9"/>
    <w:rsid w:val="00C82422"/>
    <w:rsid w:val="00C828A1"/>
    <w:rsid w:val="00C82995"/>
    <w:rsid w:val="00C82B12"/>
    <w:rsid w:val="00C82BB6"/>
    <w:rsid w:val="00C82DA1"/>
    <w:rsid w:val="00C82E0F"/>
    <w:rsid w:val="00C8313B"/>
    <w:rsid w:val="00C831A6"/>
    <w:rsid w:val="00C836DD"/>
    <w:rsid w:val="00C83758"/>
    <w:rsid w:val="00C83878"/>
    <w:rsid w:val="00C83D93"/>
    <w:rsid w:val="00C83FA9"/>
    <w:rsid w:val="00C840D7"/>
    <w:rsid w:val="00C84136"/>
    <w:rsid w:val="00C8428C"/>
    <w:rsid w:val="00C848FA"/>
    <w:rsid w:val="00C84E81"/>
    <w:rsid w:val="00C85348"/>
    <w:rsid w:val="00C85C88"/>
    <w:rsid w:val="00C86078"/>
    <w:rsid w:val="00C86BDD"/>
    <w:rsid w:val="00C86CEA"/>
    <w:rsid w:val="00C86FEC"/>
    <w:rsid w:val="00C870B2"/>
    <w:rsid w:val="00C870B4"/>
    <w:rsid w:val="00C871BD"/>
    <w:rsid w:val="00C87805"/>
    <w:rsid w:val="00C87AA0"/>
    <w:rsid w:val="00C87CCC"/>
    <w:rsid w:val="00C90008"/>
    <w:rsid w:val="00C900CD"/>
    <w:rsid w:val="00C9039D"/>
    <w:rsid w:val="00C904F4"/>
    <w:rsid w:val="00C90985"/>
    <w:rsid w:val="00C90FE1"/>
    <w:rsid w:val="00C91343"/>
    <w:rsid w:val="00C9145F"/>
    <w:rsid w:val="00C915F2"/>
    <w:rsid w:val="00C920D0"/>
    <w:rsid w:val="00C9242A"/>
    <w:rsid w:val="00C92629"/>
    <w:rsid w:val="00C92A40"/>
    <w:rsid w:val="00C930D8"/>
    <w:rsid w:val="00C93459"/>
    <w:rsid w:val="00C93A5D"/>
    <w:rsid w:val="00C93BBA"/>
    <w:rsid w:val="00C9401C"/>
    <w:rsid w:val="00C94432"/>
    <w:rsid w:val="00C95263"/>
    <w:rsid w:val="00C95B7B"/>
    <w:rsid w:val="00C95E0B"/>
    <w:rsid w:val="00C95EA7"/>
    <w:rsid w:val="00C961DA"/>
    <w:rsid w:val="00C9646D"/>
    <w:rsid w:val="00C96732"/>
    <w:rsid w:val="00C96B6B"/>
    <w:rsid w:val="00C96C78"/>
    <w:rsid w:val="00C973C3"/>
    <w:rsid w:val="00C97744"/>
    <w:rsid w:val="00C97803"/>
    <w:rsid w:val="00C97918"/>
    <w:rsid w:val="00C97A08"/>
    <w:rsid w:val="00C97D02"/>
    <w:rsid w:val="00CA0147"/>
    <w:rsid w:val="00CA065E"/>
    <w:rsid w:val="00CA081A"/>
    <w:rsid w:val="00CA0A19"/>
    <w:rsid w:val="00CA0B5C"/>
    <w:rsid w:val="00CA1333"/>
    <w:rsid w:val="00CA152F"/>
    <w:rsid w:val="00CA1624"/>
    <w:rsid w:val="00CA18CF"/>
    <w:rsid w:val="00CA1C9C"/>
    <w:rsid w:val="00CA1EB9"/>
    <w:rsid w:val="00CA1EEE"/>
    <w:rsid w:val="00CA1F68"/>
    <w:rsid w:val="00CA2835"/>
    <w:rsid w:val="00CA32AE"/>
    <w:rsid w:val="00CA353E"/>
    <w:rsid w:val="00CA4014"/>
    <w:rsid w:val="00CA4656"/>
    <w:rsid w:val="00CA490C"/>
    <w:rsid w:val="00CA4C05"/>
    <w:rsid w:val="00CA4DC1"/>
    <w:rsid w:val="00CA4ECD"/>
    <w:rsid w:val="00CA4FF7"/>
    <w:rsid w:val="00CA51FD"/>
    <w:rsid w:val="00CA56DE"/>
    <w:rsid w:val="00CA5D06"/>
    <w:rsid w:val="00CA65BF"/>
    <w:rsid w:val="00CA66DC"/>
    <w:rsid w:val="00CA6B23"/>
    <w:rsid w:val="00CA6C67"/>
    <w:rsid w:val="00CA72A7"/>
    <w:rsid w:val="00CA771C"/>
    <w:rsid w:val="00CA7F4E"/>
    <w:rsid w:val="00CB01E7"/>
    <w:rsid w:val="00CB0636"/>
    <w:rsid w:val="00CB077F"/>
    <w:rsid w:val="00CB1325"/>
    <w:rsid w:val="00CB13F3"/>
    <w:rsid w:val="00CB143A"/>
    <w:rsid w:val="00CB165B"/>
    <w:rsid w:val="00CB288A"/>
    <w:rsid w:val="00CB291D"/>
    <w:rsid w:val="00CB2A25"/>
    <w:rsid w:val="00CB2CD3"/>
    <w:rsid w:val="00CB30F1"/>
    <w:rsid w:val="00CB32B6"/>
    <w:rsid w:val="00CB32D0"/>
    <w:rsid w:val="00CB3320"/>
    <w:rsid w:val="00CB3BB4"/>
    <w:rsid w:val="00CB4C23"/>
    <w:rsid w:val="00CB4C45"/>
    <w:rsid w:val="00CB4F0E"/>
    <w:rsid w:val="00CB4FA3"/>
    <w:rsid w:val="00CB516C"/>
    <w:rsid w:val="00CB51F9"/>
    <w:rsid w:val="00CB536D"/>
    <w:rsid w:val="00CB5963"/>
    <w:rsid w:val="00CB66CF"/>
    <w:rsid w:val="00CB69D3"/>
    <w:rsid w:val="00CB7307"/>
    <w:rsid w:val="00CB73F6"/>
    <w:rsid w:val="00CB7BF6"/>
    <w:rsid w:val="00CB7C2D"/>
    <w:rsid w:val="00CB7D05"/>
    <w:rsid w:val="00CB7FDD"/>
    <w:rsid w:val="00CC04F4"/>
    <w:rsid w:val="00CC09EB"/>
    <w:rsid w:val="00CC0D7F"/>
    <w:rsid w:val="00CC103A"/>
    <w:rsid w:val="00CC165F"/>
    <w:rsid w:val="00CC1D69"/>
    <w:rsid w:val="00CC204B"/>
    <w:rsid w:val="00CC25C9"/>
    <w:rsid w:val="00CC297E"/>
    <w:rsid w:val="00CC2A1C"/>
    <w:rsid w:val="00CC2E69"/>
    <w:rsid w:val="00CC331C"/>
    <w:rsid w:val="00CC335D"/>
    <w:rsid w:val="00CC33C4"/>
    <w:rsid w:val="00CC37F6"/>
    <w:rsid w:val="00CC4050"/>
    <w:rsid w:val="00CC436E"/>
    <w:rsid w:val="00CC5337"/>
    <w:rsid w:val="00CC5749"/>
    <w:rsid w:val="00CC57B7"/>
    <w:rsid w:val="00CC5A70"/>
    <w:rsid w:val="00CC6101"/>
    <w:rsid w:val="00CC611A"/>
    <w:rsid w:val="00CC616E"/>
    <w:rsid w:val="00CC735C"/>
    <w:rsid w:val="00CC7A54"/>
    <w:rsid w:val="00CC7A73"/>
    <w:rsid w:val="00CC7BBA"/>
    <w:rsid w:val="00CC7C30"/>
    <w:rsid w:val="00CD0464"/>
    <w:rsid w:val="00CD0D27"/>
    <w:rsid w:val="00CD151D"/>
    <w:rsid w:val="00CD1779"/>
    <w:rsid w:val="00CD1D2E"/>
    <w:rsid w:val="00CD1E99"/>
    <w:rsid w:val="00CD24CF"/>
    <w:rsid w:val="00CD279F"/>
    <w:rsid w:val="00CD284B"/>
    <w:rsid w:val="00CD2874"/>
    <w:rsid w:val="00CD28E9"/>
    <w:rsid w:val="00CD2EE5"/>
    <w:rsid w:val="00CD2FAF"/>
    <w:rsid w:val="00CD30A4"/>
    <w:rsid w:val="00CD31AA"/>
    <w:rsid w:val="00CD3342"/>
    <w:rsid w:val="00CD3FB3"/>
    <w:rsid w:val="00CD3FD6"/>
    <w:rsid w:val="00CD445A"/>
    <w:rsid w:val="00CD4559"/>
    <w:rsid w:val="00CD47C8"/>
    <w:rsid w:val="00CD482D"/>
    <w:rsid w:val="00CD4BD0"/>
    <w:rsid w:val="00CD52BB"/>
    <w:rsid w:val="00CD562B"/>
    <w:rsid w:val="00CD5685"/>
    <w:rsid w:val="00CD57AA"/>
    <w:rsid w:val="00CD5CBA"/>
    <w:rsid w:val="00CD6CB4"/>
    <w:rsid w:val="00CD72AC"/>
    <w:rsid w:val="00CD7447"/>
    <w:rsid w:val="00CD7539"/>
    <w:rsid w:val="00CD76AB"/>
    <w:rsid w:val="00CD7B69"/>
    <w:rsid w:val="00CD7C02"/>
    <w:rsid w:val="00CE0326"/>
    <w:rsid w:val="00CE039B"/>
    <w:rsid w:val="00CE06AA"/>
    <w:rsid w:val="00CE06B7"/>
    <w:rsid w:val="00CE0788"/>
    <w:rsid w:val="00CE08CB"/>
    <w:rsid w:val="00CE0A4A"/>
    <w:rsid w:val="00CE0A97"/>
    <w:rsid w:val="00CE0CDD"/>
    <w:rsid w:val="00CE0E8C"/>
    <w:rsid w:val="00CE251D"/>
    <w:rsid w:val="00CE2645"/>
    <w:rsid w:val="00CE26FD"/>
    <w:rsid w:val="00CE3A55"/>
    <w:rsid w:val="00CE3BCA"/>
    <w:rsid w:val="00CE42F7"/>
    <w:rsid w:val="00CE44BE"/>
    <w:rsid w:val="00CE4B77"/>
    <w:rsid w:val="00CE4C3D"/>
    <w:rsid w:val="00CE4E77"/>
    <w:rsid w:val="00CE5031"/>
    <w:rsid w:val="00CE507F"/>
    <w:rsid w:val="00CE562F"/>
    <w:rsid w:val="00CE5C20"/>
    <w:rsid w:val="00CE5FC5"/>
    <w:rsid w:val="00CE6355"/>
    <w:rsid w:val="00CE6CEB"/>
    <w:rsid w:val="00CE6FA2"/>
    <w:rsid w:val="00CE7579"/>
    <w:rsid w:val="00CE7618"/>
    <w:rsid w:val="00CE762F"/>
    <w:rsid w:val="00CE79AC"/>
    <w:rsid w:val="00CE7A20"/>
    <w:rsid w:val="00CE7A9F"/>
    <w:rsid w:val="00CE7B79"/>
    <w:rsid w:val="00CE7CCA"/>
    <w:rsid w:val="00CEC312"/>
    <w:rsid w:val="00CF0010"/>
    <w:rsid w:val="00CF0091"/>
    <w:rsid w:val="00CF0222"/>
    <w:rsid w:val="00CF0482"/>
    <w:rsid w:val="00CF0E8D"/>
    <w:rsid w:val="00CF1549"/>
    <w:rsid w:val="00CF17D5"/>
    <w:rsid w:val="00CF1C3D"/>
    <w:rsid w:val="00CF1D97"/>
    <w:rsid w:val="00CF1F11"/>
    <w:rsid w:val="00CF20D3"/>
    <w:rsid w:val="00CF216B"/>
    <w:rsid w:val="00CF252C"/>
    <w:rsid w:val="00CF2B7F"/>
    <w:rsid w:val="00CF2BB9"/>
    <w:rsid w:val="00CF3217"/>
    <w:rsid w:val="00CF32FD"/>
    <w:rsid w:val="00CF3371"/>
    <w:rsid w:val="00CF423A"/>
    <w:rsid w:val="00CF4772"/>
    <w:rsid w:val="00CF47AE"/>
    <w:rsid w:val="00CF4E24"/>
    <w:rsid w:val="00CF5D04"/>
    <w:rsid w:val="00CF5DDE"/>
    <w:rsid w:val="00CF5DE7"/>
    <w:rsid w:val="00CF6080"/>
    <w:rsid w:val="00CF679E"/>
    <w:rsid w:val="00CF71AD"/>
    <w:rsid w:val="00CF7360"/>
    <w:rsid w:val="00CF747A"/>
    <w:rsid w:val="00CF7B03"/>
    <w:rsid w:val="00CF7CC4"/>
    <w:rsid w:val="00CF7D00"/>
    <w:rsid w:val="00CF7E51"/>
    <w:rsid w:val="00CF7F91"/>
    <w:rsid w:val="00D01245"/>
    <w:rsid w:val="00D01678"/>
    <w:rsid w:val="00D0181F"/>
    <w:rsid w:val="00D01B47"/>
    <w:rsid w:val="00D01B6D"/>
    <w:rsid w:val="00D01DD8"/>
    <w:rsid w:val="00D02800"/>
    <w:rsid w:val="00D02812"/>
    <w:rsid w:val="00D029C6"/>
    <w:rsid w:val="00D02A29"/>
    <w:rsid w:val="00D02D98"/>
    <w:rsid w:val="00D02FC5"/>
    <w:rsid w:val="00D03501"/>
    <w:rsid w:val="00D03A1C"/>
    <w:rsid w:val="00D03DB6"/>
    <w:rsid w:val="00D049E3"/>
    <w:rsid w:val="00D04A05"/>
    <w:rsid w:val="00D04E5E"/>
    <w:rsid w:val="00D04E69"/>
    <w:rsid w:val="00D04FFD"/>
    <w:rsid w:val="00D054F0"/>
    <w:rsid w:val="00D05506"/>
    <w:rsid w:val="00D05E91"/>
    <w:rsid w:val="00D05E98"/>
    <w:rsid w:val="00D05EFD"/>
    <w:rsid w:val="00D06485"/>
    <w:rsid w:val="00D064FC"/>
    <w:rsid w:val="00D0650F"/>
    <w:rsid w:val="00D06688"/>
    <w:rsid w:val="00D06C14"/>
    <w:rsid w:val="00D072E7"/>
    <w:rsid w:val="00D07C61"/>
    <w:rsid w:val="00D07F56"/>
    <w:rsid w:val="00D0C13D"/>
    <w:rsid w:val="00D10039"/>
    <w:rsid w:val="00D10343"/>
    <w:rsid w:val="00D10407"/>
    <w:rsid w:val="00D10783"/>
    <w:rsid w:val="00D10A7B"/>
    <w:rsid w:val="00D10F26"/>
    <w:rsid w:val="00D11A99"/>
    <w:rsid w:val="00D12287"/>
    <w:rsid w:val="00D126D1"/>
    <w:rsid w:val="00D12AF6"/>
    <w:rsid w:val="00D131B9"/>
    <w:rsid w:val="00D133AD"/>
    <w:rsid w:val="00D13BB0"/>
    <w:rsid w:val="00D13CD9"/>
    <w:rsid w:val="00D1454D"/>
    <w:rsid w:val="00D145BA"/>
    <w:rsid w:val="00D148AB"/>
    <w:rsid w:val="00D14BBF"/>
    <w:rsid w:val="00D14CF9"/>
    <w:rsid w:val="00D14FA0"/>
    <w:rsid w:val="00D15500"/>
    <w:rsid w:val="00D1556F"/>
    <w:rsid w:val="00D157CC"/>
    <w:rsid w:val="00D15A28"/>
    <w:rsid w:val="00D15A86"/>
    <w:rsid w:val="00D15E00"/>
    <w:rsid w:val="00D16577"/>
    <w:rsid w:val="00D16CFA"/>
    <w:rsid w:val="00D1718A"/>
    <w:rsid w:val="00D177BA"/>
    <w:rsid w:val="00D17823"/>
    <w:rsid w:val="00D20178"/>
    <w:rsid w:val="00D2056A"/>
    <w:rsid w:val="00D205FA"/>
    <w:rsid w:val="00D21314"/>
    <w:rsid w:val="00D21BF8"/>
    <w:rsid w:val="00D22219"/>
    <w:rsid w:val="00D22428"/>
    <w:rsid w:val="00D2246E"/>
    <w:rsid w:val="00D22568"/>
    <w:rsid w:val="00D225B4"/>
    <w:rsid w:val="00D2275D"/>
    <w:rsid w:val="00D22970"/>
    <w:rsid w:val="00D22A00"/>
    <w:rsid w:val="00D22CAF"/>
    <w:rsid w:val="00D22F75"/>
    <w:rsid w:val="00D23623"/>
    <w:rsid w:val="00D238C8"/>
    <w:rsid w:val="00D23EA3"/>
    <w:rsid w:val="00D24590"/>
    <w:rsid w:val="00D2468E"/>
    <w:rsid w:val="00D24755"/>
    <w:rsid w:val="00D25076"/>
    <w:rsid w:val="00D2531E"/>
    <w:rsid w:val="00D256F5"/>
    <w:rsid w:val="00D258CB"/>
    <w:rsid w:val="00D25D80"/>
    <w:rsid w:val="00D25E36"/>
    <w:rsid w:val="00D260A2"/>
    <w:rsid w:val="00D26127"/>
    <w:rsid w:val="00D26896"/>
    <w:rsid w:val="00D26ABB"/>
    <w:rsid w:val="00D26DEE"/>
    <w:rsid w:val="00D26DF4"/>
    <w:rsid w:val="00D2732F"/>
    <w:rsid w:val="00D27D18"/>
    <w:rsid w:val="00D303C2"/>
    <w:rsid w:val="00D3040E"/>
    <w:rsid w:val="00D306FA"/>
    <w:rsid w:val="00D30D75"/>
    <w:rsid w:val="00D31184"/>
    <w:rsid w:val="00D31DC2"/>
    <w:rsid w:val="00D31DFA"/>
    <w:rsid w:val="00D32A79"/>
    <w:rsid w:val="00D32FCE"/>
    <w:rsid w:val="00D335FE"/>
    <w:rsid w:val="00D33816"/>
    <w:rsid w:val="00D33BD4"/>
    <w:rsid w:val="00D33FCA"/>
    <w:rsid w:val="00D3442C"/>
    <w:rsid w:val="00D34C03"/>
    <w:rsid w:val="00D34CF2"/>
    <w:rsid w:val="00D357AE"/>
    <w:rsid w:val="00D3617D"/>
    <w:rsid w:val="00D36196"/>
    <w:rsid w:val="00D36619"/>
    <w:rsid w:val="00D3678A"/>
    <w:rsid w:val="00D36A47"/>
    <w:rsid w:val="00D36A94"/>
    <w:rsid w:val="00D37092"/>
    <w:rsid w:val="00D3738D"/>
    <w:rsid w:val="00D37AA1"/>
    <w:rsid w:val="00D37F4A"/>
    <w:rsid w:val="00D37F59"/>
    <w:rsid w:val="00D40412"/>
    <w:rsid w:val="00D4092C"/>
    <w:rsid w:val="00D40CD7"/>
    <w:rsid w:val="00D40D86"/>
    <w:rsid w:val="00D40F75"/>
    <w:rsid w:val="00D41966"/>
    <w:rsid w:val="00D42034"/>
    <w:rsid w:val="00D4205B"/>
    <w:rsid w:val="00D42116"/>
    <w:rsid w:val="00D431CC"/>
    <w:rsid w:val="00D433DE"/>
    <w:rsid w:val="00D439E1"/>
    <w:rsid w:val="00D441CA"/>
    <w:rsid w:val="00D4434A"/>
    <w:rsid w:val="00D44485"/>
    <w:rsid w:val="00D4454A"/>
    <w:rsid w:val="00D447C7"/>
    <w:rsid w:val="00D44847"/>
    <w:rsid w:val="00D44AD8"/>
    <w:rsid w:val="00D45815"/>
    <w:rsid w:val="00D4597D"/>
    <w:rsid w:val="00D46030"/>
    <w:rsid w:val="00D46425"/>
    <w:rsid w:val="00D46438"/>
    <w:rsid w:val="00D46831"/>
    <w:rsid w:val="00D47CAC"/>
    <w:rsid w:val="00D500C0"/>
    <w:rsid w:val="00D50AE6"/>
    <w:rsid w:val="00D5102B"/>
    <w:rsid w:val="00D51A17"/>
    <w:rsid w:val="00D5236A"/>
    <w:rsid w:val="00D5250E"/>
    <w:rsid w:val="00D5281F"/>
    <w:rsid w:val="00D5288F"/>
    <w:rsid w:val="00D529CB"/>
    <w:rsid w:val="00D52C2A"/>
    <w:rsid w:val="00D52C8A"/>
    <w:rsid w:val="00D53030"/>
    <w:rsid w:val="00D533C0"/>
    <w:rsid w:val="00D541CC"/>
    <w:rsid w:val="00D54436"/>
    <w:rsid w:val="00D545D4"/>
    <w:rsid w:val="00D549F4"/>
    <w:rsid w:val="00D54A74"/>
    <w:rsid w:val="00D5508D"/>
    <w:rsid w:val="00D55339"/>
    <w:rsid w:val="00D55391"/>
    <w:rsid w:val="00D557B8"/>
    <w:rsid w:val="00D55C84"/>
    <w:rsid w:val="00D5623C"/>
    <w:rsid w:val="00D5659F"/>
    <w:rsid w:val="00D5662D"/>
    <w:rsid w:val="00D568DC"/>
    <w:rsid w:val="00D568F4"/>
    <w:rsid w:val="00D56C8F"/>
    <w:rsid w:val="00D56D28"/>
    <w:rsid w:val="00D56F88"/>
    <w:rsid w:val="00D57AD7"/>
    <w:rsid w:val="00D57B02"/>
    <w:rsid w:val="00D57D5B"/>
    <w:rsid w:val="00D60173"/>
    <w:rsid w:val="00D6040F"/>
    <w:rsid w:val="00D60773"/>
    <w:rsid w:val="00D60EE5"/>
    <w:rsid w:val="00D6152F"/>
    <w:rsid w:val="00D61A04"/>
    <w:rsid w:val="00D61EE7"/>
    <w:rsid w:val="00D61FF1"/>
    <w:rsid w:val="00D6267D"/>
    <w:rsid w:val="00D62872"/>
    <w:rsid w:val="00D62D9D"/>
    <w:rsid w:val="00D6324B"/>
    <w:rsid w:val="00D632D3"/>
    <w:rsid w:val="00D6332D"/>
    <w:rsid w:val="00D635D6"/>
    <w:rsid w:val="00D63946"/>
    <w:rsid w:val="00D63B3B"/>
    <w:rsid w:val="00D63E51"/>
    <w:rsid w:val="00D640A4"/>
    <w:rsid w:val="00D640B2"/>
    <w:rsid w:val="00D640CC"/>
    <w:rsid w:val="00D640D3"/>
    <w:rsid w:val="00D646C3"/>
    <w:rsid w:val="00D646E6"/>
    <w:rsid w:val="00D64C88"/>
    <w:rsid w:val="00D64E77"/>
    <w:rsid w:val="00D65026"/>
    <w:rsid w:val="00D6515F"/>
    <w:rsid w:val="00D6560C"/>
    <w:rsid w:val="00D6643A"/>
    <w:rsid w:val="00D66A4C"/>
    <w:rsid w:val="00D66BFA"/>
    <w:rsid w:val="00D66DDE"/>
    <w:rsid w:val="00D66DE6"/>
    <w:rsid w:val="00D67918"/>
    <w:rsid w:val="00D700D3"/>
    <w:rsid w:val="00D70287"/>
    <w:rsid w:val="00D706B1"/>
    <w:rsid w:val="00D713B2"/>
    <w:rsid w:val="00D71478"/>
    <w:rsid w:val="00D71799"/>
    <w:rsid w:val="00D71B09"/>
    <w:rsid w:val="00D71E40"/>
    <w:rsid w:val="00D72309"/>
    <w:rsid w:val="00D727B6"/>
    <w:rsid w:val="00D7283C"/>
    <w:rsid w:val="00D72919"/>
    <w:rsid w:val="00D7297A"/>
    <w:rsid w:val="00D72A96"/>
    <w:rsid w:val="00D72C1A"/>
    <w:rsid w:val="00D72DE6"/>
    <w:rsid w:val="00D734B5"/>
    <w:rsid w:val="00D7377E"/>
    <w:rsid w:val="00D73A9E"/>
    <w:rsid w:val="00D74564"/>
    <w:rsid w:val="00D745C0"/>
    <w:rsid w:val="00D7464D"/>
    <w:rsid w:val="00D746AC"/>
    <w:rsid w:val="00D74769"/>
    <w:rsid w:val="00D74C55"/>
    <w:rsid w:val="00D7557B"/>
    <w:rsid w:val="00D75C1A"/>
    <w:rsid w:val="00D75C77"/>
    <w:rsid w:val="00D75DD3"/>
    <w:rsid w:val="00D762CD"/>
    <w:rsid w:val="00D76CBB"/>
    <w:rsid w:val="00D76CDA"/>
    <w:rsid w:val="00D77286"/>
    <w:rsid w:val="00D777BF"/>
    <w:rsid w:val="00D7785B"/>
    <w:rsid w:val="00D77ACA"/>
    <w:rsid w:val="00D80265"/>
    <w:rsid w:val="00D8040B"/>
    <w:rsid w:val="00D8097B"/>
    <w:rsid w:val="00D80F6A"/>
    <w:rsid w:val="00D8178C"/>
    <w:rsid w:val="00D81CCC"/>
    <w:rsid w:val="00D821B0"/>
    <w:rsid w:val="00D82237"/>
    <w:rsid w:val="00D823B4"/>
    <w:rsid w:val="00D82654"/>
    <w:rsid w:val="00D82959"/>
    <w:rsid w:val="00D82FAF"/>
    <w:rsid w:val="00D83987"/>
    <w:rsid w:val="00D84728"/>
    <w:rsid w:val="00D8476F"/>
    <w:rsid w:val="00D847FF"/>
    <w:rsid w:val="00D848B8"/>
    <w:rsid w:val="00D85345"/>
    <w:rsid w:val="00D8561A"/>
    <w:rsid w:val="00D85820"/>
    <w:rsid w:val="00D85EB0"/>
    <w:rsid w:val="00D865ED"/>
    <w:rsid w:val="00D867E4"/>
    <w:rsid w:val="00D86810"/>
    <w:rsid w:val="00D86953"/>
    <w:rsid w:val="00D900B7"/>
    <w:rsid w:val="00D90C71"/>
    <w:rsid w:val="00D91060"/>
    <w:rsid w:val="00D9142C"/>
    <w:rsid w:val="00D920C7"/>
    <w:rsid w:val="00D9229F"/>
    <w:rsid w:val="00D9240B"/>
    <w:rsid w:val="00D9258C"/>
    <w:rsid w:val="00D929B1"/>
    <w:rsid w:val="00D92D4F"/>
    <w:rsid w:val="00D92D74"/>
    <w:rsid w:val="00D933A4"/>
    <w:rsid w:val="00D934F0"/>
    <w:rsid w:val="00D93702"/>
    <w:rsid w:val="00D94AE0"/>
    <w:rsid w:val="00D94C2C"/>
    <w:rsid w:val="00D94D40"/>
    <w:rsid w:val="00D95056"/>
    <w:rsid w:val="00D95797"/>
    <w:rsid w:val="00D95901"/>
    <w:rsid w:val="00D9654C"/>
    <w:rsid w:val="00D96579"/>
    <w:rsid w:val="00D9683B"/>
    <w:rsid w:val="00D97763"/>
    <w:rsid w:val="00D979CC"/>
    <w:rsid w:val="00D97B2F"/>
    <w:rsid w:val="00D97D37"/>
    <w:rsid w:val="00DA0477"/>
    <w:rsid w:val="00DA10C6"/>
    <w:rsid w:val="00DA1176"/>
    <w:rsid w:val="00DA1205"/>
    <w:rsid w:val="00DA1D3A"/>
    <w:rsid w:val="00DA1EDB"/>
    <w:rsid w:val="00DA202C"/>
    <w:rsid w:val="00DA279B"/>
    <w:rsid w:val="00DA2A27"/>
    <w:rsid w:val="00DA2C4E"/>
    <w:rsid w:val="00DA2FF0"/>
    <w:rsid w:val="00DA3378"/>
    <w:rsid w:val="00DA3613"/>
    <w:rsid w:val="00DA3F94"/>
    <w:rsid w:val="00DA4338"/>
    <w:rsid w:val="00DA4525"/>
    <w:rsid w:val="00DA47A9"/>
    <w:rsid w:val="00DA48F3"/>
    <w:rsid w:val="00DA4D9C"/>
    <w:rsid w:val="00DA4F0C"/>
    <w:rsid w:val="00DA5269"/>
    <w:rsid w:val="00DA5BE1"/>
    <w:rsid w:val="00DA5D2C"/>
    <w:rsid w:val="00DA5D82"/>
    <w:rsid w:val="00DA6027"/>
    <w:rsid w:val="00DA604A"/>
    <w:rsid w:val="00DA6476"/>
    <w:rsid w:val="00DA6F8E"/>
    <w:rsid w:val="00DA7547"/>
    <w:rsid w:val="00DA79E9"/>
    <w:rsid w:val="00DA7D3B"/>
    <w:rsid w:val="00DB00D3"/>
    <w:rsid w:val="00DB012B"/>
    <w:rsid w:val="00DB03E2"/>
    <w:rsid w:val="00DB0692"/>
    <w:rsid w:val="00DB0A5C"/>
    <w:rsid w:val="00DB0EDA"/>
    <w:rsid w:val="00DB1390"/>
    <w:rsid w:val="00DB1429"/>
    <w:rsid w:val="00DB15AE"/>
    <w:rsid w:val="00DB176D"/>
    <w:rsid w:val="00DB19A3"/>
    <w:rsid w:val="00DB28CB"/>
    <w:rsid w:val="00DB2A8B"/>
    <w:rsid w:val="00DB303F"/>
    <w:rsid w:val="00DB3994"/>
    <w:rsid w:val="00DB39A9"/>
    <w:rsid w:val="00DB3A8B"/>
    <w:rsid w:val="00DB3E1C"/>
    <w:rsid w:val="00DB3F81"/>
    <w:rsid w:val="00DB4099"/>
    <w:rsid w:val="00DB40F9"/>
    <w:rsid w:val="00DB4779"/>
    <w:rsid w:val="00DB4D77"/>
    <w:rsid w:val="00DB4FBC"/>
    <w:rsid w:val="00DB5352"/>
    <w:rsid w:val="00DB54D4"/>
    <w:rsid w:val="00DB5778"/>
    <w:rsid w:val="00DB59D5"/>
    <w:rsid w:val="00DB5CB0"/>
    <w:rsid w:val="00DB6254"/>
    <w:rsid w:val="00DB6285"/>
    <w:rsid w:val="00DB6593"/>
    <w:rsid w:val="00DB6B66"/>
    <w:rsid w:val="00DB705B"/>
    <w:rsid w:val="00DB7154"/>
    <w:rsid w:val="00DB79F4"/>
    <w:rsid w:val="00DB7A1A"/>
    <w:rsid w:val="00DC0307"/>
    <w:rsid w:val="00DC0462"/>
    <w:rsid w:val="00DC07FD"/>
    <w:rsid w:val="00DC0E80"/>
    <w:rsid w:val="00DC0FBB"/>
    <w:rsid w:val="00DC11EA"/>
    <w:rsid w:val="00DC14DE"/>
    <w:rsid w:val="00DC209A"/>
    <w:rsid w:val="00DC2130"/>
    <w:rsid w:val="00DC2190"/>
    <w:rsid w:val="00DC2219"/>
    <w:rsid w:val="00DC2483"/>
    <w:rsid w:val="00DC2717"/>
    <w:rsid w:val="00DC2846"/>
    <w:rsid w:val="00DC3D3C"/>
    <w:rsid w:val="00DC4195"/>
    <w:rsid w:val="00DC42DA"/>
    <w:rsid w:val="00DC49BF"/>
    <w:rsid w:val="00DC49CD"/>
    <w:rsid w:val="00DC4CF5"/>
    <w:rsid w:val="00DC4D29"/>
    <w:rsid w:val="00DC4D4E"/>
    <w:rsid w:val="00DC5110"/>
    <w:rsid w:val="00DC5242"/>
    <w:rsid w:val="00DC550B"/>
    <w:rsid w:val="00DC57A6"/>
    <w:rsid w:val="00DC62D1"/>
    <w:rsid w:val="00DC6783"/>
    <w:rsid w:val="00DC6C37"/>
    <w:rsid w:val="00DC6CEE"/>
    <w:rsid w:val="00DC6F1F"/>
    <w:rsid w:val="00DC789F"/>
    <w:rsid w:val="00DD0076"/>
    <w:rsid w:val="00DD0211"/>
    <w:rsid w:val="00DD06F0"/>
    <w:rsid w:val="00DD0A61"/>
    <w:rsid w:val="00DD0A73"/>
    <w:rsid w:val="00DD1290"/>
    <w:rsid w:val="00DD14FC"/>
    <w:rsid w:val="00DD19D1"/>
    <w:rsid w:val="00DD1DBE"/>
    <w:rsid w:val="00DD1E91"/>
    <w:rsid w:val="00DD25F5"/>
    <w:rsid w:val="00DD2C08"/>
    <w:rsid w:val="00DD2F53"/>
    <w:rsid w:val="00DD3477"/>
    <w:rsid w:val="00DD34FA"/>
    <w:rsid w:val="00DD3527"/>
    <w:rsid w:val="00DD3792"/>
    <w:rsid w:val="00DD3807"/>
    <w:rsid w:val="00DD39BF"/>
    <w:rsid w:val="00DD3A23"/>
    <w:rsid w:val="00DD3A4B"/>
    <w:rsid w:val="00DD3F2B"/>
    <w:rsid w:val="00DD40EC"/>
    <w:rsid w:val="00DD4243"/>
    <w:rsid w:val="00DD460E"/>
    <w:rsid w:val="00DD4728"/>
    <w:rsid w:val="00DD4849"/>
    <w:rsid w:val="00DD49EB"/>
    <w:rsid w:val="00DD4A08"/>
    <w:rsid w:val="00DD5306"/>
    <w:rsid w:val="00DD53FB"/>
    <w:rsid w:val="00DD5414"/>
    <w:rsid w:val="00DD5AD0"/>
    <w:rsid w:val="00DD5BCD"/>
    <w:rsid w:val="00DD5D5F"/>
    <w:rsid w:val="00DD5ED7"/>
    <w:rsid w:val="00DD6058"/>
    <w:rsid w:val="00DD6169"/>
    <w:rsid w:val="00DD61B7"/>
    <w:rsid w:val="00DD6758"/>
    <w:rsid w:val="00DD6A54"/>
    <w:rsid w:val="00DD6B7E"/>
    <w:rsid w:val="00DD6C30"/>
    <w:rsid w:val="00DD73E3"/>
    <w:rsid w:val="00DDAE3B"/>
    <w:rsid w:val="00DE0E4E"/>
    <w:rsid w:val="00DE0F67"/>
    <w:rsid w:val="00DE19B5"/>
    <w:rsid w:val="00DE1DD9"/>
    <w:rsid w:val="00DE2069"/>
    <w:rsid w:val="00DE2D85"/>
    <w:rsid w:val="00DE30D2"/>
    <w:rsid w:val="00DE322D"/>
    <w:rsid w:val="00DE3965"/>
    <w:rsid w:val="00DE3D1B"/>
    <w:rsid w:val="00DE3E27"/>
    <w:rsid w:val="00DE3E31"/>
    <w:rsid w:val="00DE43D1"/>
    <w:rsid w:val="00DE4564"/>
    <w:rsid w:val="00DE45B9"/>
    <w:rsid w:val="00DE4832"/>
    <w:rsid w:val="00DE4F34"/>
    <w:rsid w:val="00DE4F64"/>
    <w:rsid w:val="00DE52BF"/>
    <w:rsid w:val="00DE534E"/>
    <w:rsid w:val="00DE53EB"/>
    <w:rsid w:val="00DE589C"/>
    <w:rsid w:val="00DE5943"/>
    <w:rsid w:val="00DE5994"/>
    <w:rsid w:val="00DE5DBD"/>
    <w:rsid w:val="00DE621B"/>
    <w:rsid w:val="00DE6242"/>
    <w:rsid w:val="00DE6633"/>
    <w:rsid w:val="00DE66A1"/>
    <w:rsid w:val="00DE6BD9"/>
    <w:rsid w:val="00DE6C53"/>
    <w:rsid w:val="00DE6C5C"/>
    <w:rsid w:val="00DE6D2F"/>
    <w:rsid w:val="00DE6F15"/>
    <w:rsid w:val="00DE7479"/>
    <w:rsid w:val="00DE7676"/>
    <w:rsid w:val="00DE77E9"/>
    <w:rsid w:val="00DE7A55"/>
    <w:rsid w:val="00DE7AE3"/>
    <w:rsid w:val="00DE7CB6"/>
    <w:rsid w:val="00DE7F77"/>
    <w:rsid w:val="00DF0291"/>
    <w:rsid w:val="00DF02D5"/>
    <w:rsid w:val="00DF0345"/>
    <w:rsid w:val="00DF0907"/>
    <w:rsid w:val="00DF0CA9"/>
    <w:rsid w:val="00DF0CBA"/>
    <w:rsid w:val="00DF13BB"/>
    <w:rsid w:val="00DF1671"/>
    <w:rsid w:val="00DF17D9"/>
    <w:rsid w:val="00DF277B"/>
    <w:rsid w:val="00DF283D"/>
    <w:rsid w:val="00DF28B2"/>
    <w:rsid w:val="00DF2BFB"/>
    <w:rsid w:val="00DF2D2F"/>
    <w:rsid w:val="00DF2DE4"/>
    <w:rsid w:val="00DF341B"/>
    <w:rsid w:val="00DF3551"/>
    <w:rsid w:val="00DF3E02"/>
    <w:rsid w:val="00DF3E88"/>
    <w:rsid w:val="00DF4313"/>
    <w:rsid w:val="00DF450D"/>
    <w:rsid w:val="00DF4556"/>
    <w:rsid w:val="00DF503C"/>
    <w:rsid w:val="00DF5405"/>
    <w:rsid w:val="00DF54DA"/>
    <w:rsid w:val="00DF599D"/>
    <w:rsid w:val="00DF5F73"/>
    <w:rsid w:val="00DF5FE9"/>
    <w:rsid w:val="00DF617F"/>
    <w:rsid w:val="00DF63A3"/>
    <w:rsid w:val="00DF66D3"/>
    <w:rsid w:val="00DF6A2D"/>
    <w:rsid w:val="00DF6C2F"/>
    <w:rsid w:val="00DF6D5F"/>
    <w:rsid w:val="00DF7024"/>
    <w:rsid w:val="00DF71B3"/>
    <w:rsid w:val="00DF7278"/>
    <w:rsid w:val="00DF7497"/>
    <w:rsid w:val="00DF7851"/>
    <w:rsid w:val="00DF7E8B"/>
    <w:rsid w:val="00DF7F10"/>
    <w:rsid w:val="00E001D0"/>
    <w:rsid w:val="00E003BD"/>
    <w:rsid w:val="00E007B3"/>
    <w:rsid w:val="00E00DBE"/>
    <w:rsid w:val="00E0116B"/>
    <w:rsid w:val="00E01AEB"/>
    <w:rsid w:val="00E01D8E"/>
    <w:rsid w:val="00E0214D"/>
    <w:rsid w:val="00E02674"/>
    <w:rsid w:val="00E02764"/>
    <w:rsid w:val="00E028A7"/>
    <w:rsid w:val="00E028FB"/>
    <w:rsid w:val="00E02AAE"/>
    <w:rsid w:val="00E02BB3"/>
    <w:rsid w:val="00E02CDD"/>
    <w:rsid w:val="00E02E85"/>
    <w:rsid w:val="00E03020"/>
    <w:rsid w:val="00E0315C"/>
    <w:rsid w:val="00E03451"/>
    <w:rsid w:val="00E03738"/>
    <w:rsid w:val="00E03AA1"/>
    <w:rsid w:val="00E04470"/>
    <w:rsid w:val="00E04595"/>
    <w:rsid w:val="00E046E1"/>
    <w:rsid w:val="00E04785"/>
    <w:rsid w:val="00E04B5D"/>
    <w:rsid w:val="00E04D58"/>
    <w:rsid w:val="00E04EFE"/>
    <w:rsid w:val="00E0542B"/>
    <w:rsid w:val="00E0564D"/>
    <w:rsid w:val="00E056C4"/>
    <w:rsid w:val="00E05740"/>
    <w:rsid w:val="00E057A4"/>
    <w:rsid w:val="00E057CF"/>
    <w:rsid w:val="00E059C2"/>
    <w:rsid w:val="00E05E5A"/>
    <w:rsid w:val="00E05F77"/>
    <w:rsid w:val="00E061A5"/>
    <w:rsid w:val="00E06517"/>
    <w:rsid w:val="00E06710"/>
    <w:rsid w:val="00E07421"/>
    <w:rsid w:val="00E07474"/>
    <w:rsid w:val="00E075AA"/>
    <w:rsid w:val="00E075F8"/>
    <w:rsid w:val="00E0768B"/>
    <w:rsid w:val="00E07934"/>
    <w:rsid w:val="00E07A35"/>
    <w:rsid w:val="00E07A63"/>
    <w:rsid w:val="00E07B85"/>
    <w:rsid w:val="00E07D34"/>
    <w:rsid w:val="00E07D95"/>
    <w:rsid w:val="00E10004"/>
    <w:rsid w:val="00E1016E"/>
    <w:rsid w:val="00E1035A"/>
    <w:rsid w:val="00E10548"/>
    <w:rsid w:val="00E10B0D"/>
    <w:rsid w:val="00E10EAB"/>
    <w:rsid w:val="00E10F50"/>
    <w:rsid w:val="00E111CF"/>
    <w:rsid w:val="00E11836"/>
    <w:rsid w:val="00E11C1F"/>
    <w:rsid w:val="00E11E9B"/>
    <w:rsid w:val="00E123BA"/>
    <w:rsid w:val="00E123DF"/>
    <w:rsid w:val="00E125F0"/>
    <w:rsid w:val="00E12794"/>
    <w:rsid w:val="00E12D12"/>
    <w:rsid w:val="00E12FD2"/>
    <w:rsid w:val="00E1347D"/>
    <w:rsid w:val="00E1360C"/>
    <w:rsid w:val="00E13E9B"/>
    <w:rsid w:val="00E13F30"/>
    <w:rsid w:val="00E144E3"/>
    <w:rsid w:val="00E1511B"/>
    <w:rsid w:val="00E15202"/>
    <w:rsid w:val="00E15578"/>
    <w:rsid w:val="00E15CAF"/>
    <w:rsid w:val="00E1604A"/>
    <w:rsid w:val="00E161FE"/>
    <w:rsid w:val="00E165B8"/>
    <w:rsid w:val="00E16B19"/>
    <w:rsid w:val="00E16C7F"/>
    <w:rsid w:val="00E16C88"/>
    <w:rsid w:val="00E170E1"/>
    <w:rsid w:val="00E174BA"/>
    <w:rsid w:val="00E17528"/>
    <w:rsid w:val="00E17542"/>
    <w:rsid w:val="00E17D98"/>
    <w:rsid w:val="00E17E27"/>
    <w:rsid w:val="00E20ABD"/>
    <w:rsid w:val="00E20C93"/>
    <w:rsid w:val="00E20E66"/>
    <w:rsid w:val="00E21530"/>
    <w:rsid w:val="00E2160F"/>
    <w:rsid w:val="00E2185E"/>
    <w:rsid w:val="00E21A3E"/>
    <w:rsid w:val="00E22100"/>
    <w:rsid w:val="00E22442"/>
    <w:rsid w:val="00E22D87"/>
    <w:rsid w:val="00E22E0F"/>
    <w:rsid w:val="00E233F7"/>
    <w:rsid w:val="00E235B5"/>
    <w:rsid w:val="00E23B28"/>
    <w:rsid w:val="00E24088"/>
    <w:rsid w:val="00E244C6"/>
    <w:rsid w:val="00E247C9"/>
    <w:rsid w:val="00E248C2"/>
    <w:rsid w:val="00E24A95"/>
    <w:rsid w:val="00E24C37"/>
    <w:rsid w:val="00E24D88"/>
    <w:rsid w:val="00E2569C"/>
    <w:rsid w:val="00E25763"/>
    <w:rsid w:val="00E25BF7"/>
    <w:rsid w:val="00E25E32"/>
    <w:rsid w:val="00E26882"/>
    <w:rsid w:val="00E2694E"/>
    <w:rsid w:val="00E26CF5"/>
    <w:rsid w:val="00E26E99"/>
    <w:rsid w:val="00E272E4"/>
    <w:rsid w:val="00E2788D"/>
    <w:rsid w:val="00E27B6C"/>
    <w:rsid w:val="00E27F49"/>
    <w:rsid w:val="00E30015"/>
    <w:rsid w:val="00E30D6C"/>
    <w:rsid w:val="00E30E6A"/>
    <w:rsid w:val="00E30ECB"/>
    <w:rsid w:val="00E31176"/>
    <w:rsid w:val="00E32B4C"/>
    <w:rsid w:val="00E3304E"/>
    <w:rsid w:val="00E337D2"/>
    <w:rsid w:val="00E338B9"/>
    <w:rsid w:val="00E33A97"/>
    <w:rsid w:val="00E3401E"/>
    <w:rsid w:val="00E34DAA"/>
    <w:rsid w:val="00E3540A"/>
    <w:rsid w:val="00E3545E"/>
    <w:rsid w:val="00E35789"/>
    <w:rsid w:val="00E35A26"/>
    <w:rsid w:val="00E35D0C"/>
    <w:rsid w:val="00E3656D"/>
    <w:rsid w:val="00E366EC"/>
    <w:rsid w:val="00E36A37"/>
    <w:rsid w:val="00E36E4C"/>
    <w:rsid w:val="00E3721B"/>
    <w:rsid w:val="00E376FC"/>
    <w:rsid w:val="00E37791"/>
    <w:rsid w:val="00E37A5B"/>
    <w:rsid w:val="00E37B6F"/>
    <w:rsid w:val="00E401DB"/>
    <w:rsid w:val="00E40459"/>
    <w:rsid w:val="00E40589"/>
    <w:rsid w:val="00E40761"/>
    <w:rsid w:val="00E40BFA"/>
    <w:rsid w:val="00E40D5B"/>
    <w:rsid w:val="00E411FF"/>
    <w:rsid w:val="00E41265"/>
    <w:rsid w:val="00E41724"/>
    <w:rsid w:val="00E422E6"/>
    <w:rsid w:val="00E42C92"/>
    <w:rsid w:val="00E42CB3"/>
    <w:rsid w:val="00E431A5"/>
    <w:rsid w:val="00E432CE"/>
    <w:rsid w:val="00E4371E"/>
    <w:rsid w:val="00E43AE7"/>
    <w:rsid w:val="00E43B13"/>
    <w:rsid w:val="00E44144"/>
    <w:rsid w:val="00E44B2A"/>
    <w:rsid w:val="00E44B52"/>
    <w:rsid w:val="00E45461"/>
    <w:rsid w:val="00E45847"/>
    <w:rsid w:val="00E45A17"/>
    <w:rsid w:val="00E45E24"/>
    <w:rsid w:val="00E45EEF"/>
    <w:rsid w:val="00E466A3"/>
    <w:rsid w:val="00E46A13"/>
    <w:rsid w:val="00E46BB5"/>
    <w:rsid w:val="00E46C10"/>
    <w:rsid w:val="00E46EC4"/>
    <w:rsid w:val="00E46FA4"/>
    <w:rsid w:val="00E479D2"/>
    <w:rsid w:val="00E47CB8"/>
    <w:rsid w:val="00E51C99"/>
    <w:rsid w:val="00E524A7"/>
    <w:rsid w:val="00E524C0"/>
    <w:rsid w:val="00E5325A"/>
    <w:rsid w:val="00E536A8"/>
    <w:rsid w:val="00E539B1"/>
    <w:rsid w:val="00E53A24"/>
    <w:rsid w:val="00E53E9D"/>
    <w:rsid w:val="00E543E5"/>
    <w:rsid w:val="00E54747"/>
    <w:rsid w:val="00E547CD"/>
    <w:rsid w:val="00E54BA7"/>
    <w:rsid w:val="00E54C14"/>
    <w:rsid w:val="00E54EA0"/>
    <w:rsid w:val="00E54FF8"/>
    <w:rsid w:val="00E55007"/>
    <w:rsid w:val="00E550F2"/>
    <w:rsid w:val="00E55B84"/>
    <w:rsid w:val="00E55E07"/>
    <w:rsid w:val="00E55E28"/>
    <w:rsid w:val="00E55F3C"/>
    <w:rsid w:val="00E56765"/>
    <w:rsid w:val="00E56862"/>
    <w:rsid w:val="00E56944"/>
    <w:rsid w:val="00E56D32"/>
    <w:rsid w:val="00E57100"/>
    <w:rsid w:val="00E5741D"/>
    <w:rsid w:val="00E601EC"/>
    <w:rsid w:val="00E602BA"/>
    <w:rsid w:val="00E60532"/>
    <w:rsid w:val="00E60668"/>
    <w:rsid w:val="00E60829"/>
    <w:rsid w:val="00E60B81"/>
    <w:rsid w:val="00E60FD2"/>
    <w:rsid w:val="00E611DF"/>
    <w:rsid w:val="00E61494"/>
    <w:rsid w:val="00E615A4"/>
    <w:rsid w:val="00E6196B"/>
    <w:rsid w:val="00E6198C"/>
    <w:rsid w:val="00E61A7E"/>
    <w:rsid w:val="00E61B9E"/>
    <w:rsid w:val="00E61C78"/>
    <w:rsid w:val="00E61E95"/>
    <w:rsid w:val="00E62018"/>
    <w:rsid w:val="00E6202D"/>
    <w:rsid w:val="00E62176"/>
    <w:rsid w:val="00E622FB"/>
    <w:rsid w:val="00E6236A"/>
    <w:rsid w:val="00E62388"/>
    <w:rsid w:val="00E62C12"/>
    <w:rsid w:val="00E62CB9"/>
    <w:rsid w:val="00E63094"/>
    <w:rsid w:val="00E631AB"/>
    <w:rsid w:val="00E63844"/>
    <w:rsid w:val="00E63F70"/>
    <w:rsid w:val="00E640D7"/>
    <w:rsid w:val="00E64414"/>
    <w:rsid w:val="00E64C46"/>
    <w:rsid w:val="00E64F8B"/>
    <w:rsid w:val="00E657DC"/>
    <w:rsid w:val="00E660B7"/>
    <w:rsid w:val="00E660FF"/>
    <w:rsid w:val="00E662A7"/>
    <w:rsid w:val="00E66C5D"/>
    <w:rsid w:val="00E66F65"/>
    <w:rsid w:val="00E67159"/>
    <w:rsid w:val="00E67183"/>
    <w:rsid w:val="00E6735B"/>
    <w:rsid w:val="00E6775D"/>
    <w:rsid w:val="00E6788F"/>
    <w:rsid w:val="00E67BD8"/>
    <w:rsid w:val="00E70601"/>
    <w:rsid w:val="00E70AAD"/>
    <w:rsid w:val="00E70C2E"/>
    <w:rsid w:val="00E70D5D"/>
    <w:rsid w:val="00E70F4F"/>
    <w:rsid w:val="00E714F6"/>
    <w:rsid w:val="00E715D9"/>
    <w:rsid w:val="00E71672"/>
    <w:rsid w:val="00E71847"/>
    <w:rsid w:val="00E71B1E"/>
    <w:rsid w:val="00E71DFF"/>
    <w:rsid w:val="00E72952"/>
    <w:rsid w:val="00E72D6B"/>
    <w:rsid w:val="00E730D5"/>
    <w:rsid w:val="00E73456"/>
    <w:rsid w:val="00E73458"/>
    <w:rsid w:val="00E73839"/>
    <w:rsid w:val="00E7423A"/>
    <w:rsid w:val="00E745C4"/>
    <w:rsid w:val="00E74721"/>
    <w:rsid w:val="00E74AB5"/>
    <w:rsid w:val="00E74E2B"/>
    <w:rsid w:val="00E75C66"/>
    <w:rsid w:val="00E75C99"/>
    <w:rsid w:val="00E76288"/>
    <w:rsid w:val="00E76C1E"/>
    <w:rsid w:val="00E76CF8"/>
    <w:rsid w:val="00E77310"/>
    <w:rsid w:val="00E77315"/>
    <w:rsid w:val="00E7734E"/>
    <w:rsid w:val="00E7736F"/>
    <w:rsid w:val="00E8069A"/>
    <w:rsid w:val="00E80B9B"/>
    <w:rsid w:val="00E80E80"/>
    <w:rsid w:val="00E80EAF"/>
    <w:rsid w:val="00E8151B"/>
    <w:rsid w:val="00E81E6E"/>
    <w:rsid w:val="00E825D6"/>
    <w:rsid w:val="00E82823"/>
    <w:rsid w:val="00E834A1"/>
    <w:rsid w:val="00E83958"/>
    <w:rsid w:val="00E83C2C"/>
    <w:rsid w:val="00E83D5B"/>
    <w:rsid w:val="00E8447C"/>
    <w:rsid w:val="00E8447F"/>
    <w:rsid w:val="00E84CEC"/>
    <w:rsid w:val="00E84E90"/>
    <w:rsid w:val="00E852EA"/>
    <w:rsid w:val="00E85C1B"/>
    <w:rsid w:val="00E85C39"/>
    <w:rsid w:val="00E86149"/>
    <w:rsid w:val="00E861A1"/>
    <w:rsid w:val="00E86211"/>
    <w:rsid w:val="00E86A7F"/>
    <w:rsid w:val="00E8720B"/>
    <w:rsid w:val="00E87475"/>
    <w:rsid w:val="00E879B6"/>
    <w:rsid w:val="00E87C7E"/>
    <w:rsid w:val="00E87D08"/>
    <w:rsid w:val="00E90CDC"/>
    <w:rsid w:val="00E90D53"/>
    <w:rsid w:val="00E90D83"/>
    <w:rsid w:val="00E9140A"/>
    <w:rsid w:val="00E9159F"/>
    <w:rsid w:val="00E9198D"/>
    <w:rsid w:val="00E91A77"/>
    <w:rsid w:val="00E91DC5"/>
    <w:rsid w:val="00E9209E"/>
    <w:rsid w:val="00E9224D"/>
    <w:rsid w:val="00E922A6"/>
    <w:rsid w:val="00E92507"/>
    <w:rsid w:val="00E9269D"/>
    <w:rsid w:val="00E926ED"/>
    <w:rsid w:val="00E9299A"/>
    <w:rsid w:val="00E92AA3"/>
    <w:rsid w:val="00E92AF0"/>
    <w:rsid w:val="00E92D2F"/>
    <w:rsid w:val="00E930BA"/>
    <w:rsid w:val="00E9327F"/>
    <w:rsid w:val="00E9378A"/>
    <w:rsid w:val="00E93934"/>
    <w:rsid w:val="00E94242"/>
    <w:rsid w:val="00E94943"/>
    <w:rsid w:val="00E95239"/>
    <w:rsid w:val="00E953FA"/>
    <w:rsid w:val="00E95584"/>
    <w:rsid w:val="00E95967"/>
    <w:rsid w:val="00E95B2F"/>
    <w:rsid w:val="00E95F2A"/>
    <w:rsid w:val="00E961AF"/>
    <w:rsid w:val="00E96325"/>
    <w:rsid w:val="00E964B8"/>
    <w:rsid w:val="00E96556"/>
    <w:rsid w:val="00E96646"/>
    <w:rsid w:val="00E96CF5"/>
    <w:rsid w:val="00E96FC8"/>
    <w:rsid w:val="00E97412"/>
    <w:rsid w:val="00E97DF6"/>
    <w:rsid w:val="00EA010C"/>
    <w:rsid w:val="00EA080A"/>
    <w:rsid w:val="00EA0A91"/>
    <w:rsid w:val="00EA0C60"/>
    <w:rsid w:val="00EA10AA"/>
    <w:rsid w:val="00EA1509"/>
    <w:rsid w:val="00EA1528"/>
    <w:rsid w:val="00EA16BF"/>
    <w:rsid w:val="00EA19D6"/>
    <w:rsid w:val="00EA208F"/>
    <w:rsid w:val="00EA222F"/>
    <w:rsid w:val="00EA22EA"/>
    <w:rsid w:val="00EA24FC"/>
    <w:rsid w:val="00EA2C5B"/>
    <w:rsid w:val="00EA2D1A"/>
    <w:rsid w:val="00EA2E9B"/>
    <w:rsid w:val="00EA33C6"/>
    <w:rsid w:val="00EA3634"/>
    <w:rsid w:val="00EA39E2"/>
    <w:rsid w:val="00EA3DFD"/>
    <w:rsid w:val="00EA407B"/>
    <w:rsid w:val="00EA4264"/>
    <w:rsid w:val="00EA4573"/>
    <w:rsid w:val="00EA4BB6"/>
    <w:rsid w:val="00EA5071"/>
    <w:rsid w:val="00EA5979"/>
    <w:rsid w:val="00EA5AED"/>
    <w:rsid w:val="00EA5E59"/>
    <w:rsid w:val="00EA5FB6"/>
    <w:rsid w:val="00EA5FC2"/>
    <w:rsid w:val="00EA62C5"/>
    <w:rsid w:val="00EA744E"/>
    <w:rsid w:val="00EA7B28"/>
    <w:rsid w:val="00EA7C68"/>
    <w:rsid w:val="00EB0017"/>
    <w:rsid w:val="00EB0057"/>
    <w:rsid w:val="00EB020D"/>
    <w:rsid w:val="00EB03B4"/>
    <w:rsid w:val="00EB057C"/>
    <w:rsid w:val="00EB0F9F"/>
    <w:rsid w:val="00EB102B"/>
    <w:rsid w:val="00EB10AD"/>
    <w:rsid w:val="00EB1783"/>
    <w:rsid w:val="00EB18A6"/>
    <w:rsid w:val="00EB192F"/>
    <w:rsid w:val="00EB1A6F"/>
    <w:rsid w:val="00EB1CE5"/>
    <w:rsid w:val="00EB1F6D"/>
    <w:rsid w:val="00EB1F74"/>
    <w:rsid w:val="00EB26F1"/>
    <w:rsid w:val="00EB26F5"/>
    <w:rsid w:val="00EB34F4"/>
    <w:rsid w:val="00EB363C"/>
    <w:rsid w:val="00EB3EC6"/>
    <w:rsid w:val="00EB4514"/>
    <w:rsid w:val="00EB46FA"/>
    <w:rsid w:val="00EB4857"/>
    <w:rsid w:val="00EB4CC8"/>
    <w:rsid w:val="00EB4D04"/>
    <w:rsid w:val="00EB5103"/>
    <w:rsid w:val="00EB5257"/>
    <w:rsid w:val="00EB5446"/>
    <w:rsid w:val="00EB54AB"/>
    <w:rsid w:val="00EB5792"/>
    <w:rsid w:val="00EB5995"/>
    <w:rsid w:val="00EB59A3"/>
    <w:rsid w:val="00EB5C5E"/>
    <w:rsid w:val="00EB5CEF"/>
    <w:rsid w:val="00EB6003"/>
    <w:rsid w:val="00EB604D"/>
    <w:rsid w:val="00EB69B0"/>
    <w:rsid w:val="00EB6A91"/>
    <w:rsid w:val="00EB6B53"/>
    <w:rsid w:val="00EB6C54"/>
    <w:rsid w:val="00EB70A0"/>
    <w:rsid w:val="00EB70AC"/>
    <w:rsid w:val="00EB7321"/>
    <w:rsid w:val="00EB73BA"/>
    <w:rsid w:val="00EB7602"/>
    <w:rsid w:val="00EB7B7D"/>
    <w:rsid w:val="00EB7D69"/>
    <w:rsid w:val="00EB7FFC"/>
    <w:rsid w:val="00EC03E2"/>
    <w:rsid w:val="00EC0716"/>
    <w:rsid w:val="00EC0806"/>
    <w:rsid w:val="00EC080A"/>
    <w:rsid w:val="00EC0BEC"/>
    <w:rsid w:val="00EC0E5C"/>
    <w:rsid w:val="00EC1488"/>
    <w:rsid w:val="00EC166A"/>
    <w:rsid w:val="00EC169B"/>
    <w:rsid w:val="00EC1703"/>
    <w:rsid w:val="00EC176D"/>
    <w:rsid w:val="00EC1B81"/>
    <w:rsid w:val="00EC21D0"/>
    <w:rsid w:val="00EC221B"/>
    <w:rsid w:val="00EC2251"/>
    <w:rsid w:val="00EC2E76"/>
    <w:rsid w:val="00EC2F3A"/>
    <w:rsid w:val="00EC333A"/>
    <w:rsid w:val="00EC380F"/>
    <w:rsid w:val="00EC3C71"/>
    <w:rsid w:val="00EC3FEC"/>
    <w:rsid w:val="00EC4D50"/>
    <w:rsid w:val="00EC4DA3"/>
    <w:rsid w:val="00EC5689"/>
    <w:rsid w:val="00EC5AE9"/>
    <w:rsid w:val="00EC5CF0"/>
    <w:rsid w:val="00EC5EAF"/>
    <w:rsid w:val="00EC6151"/>
    <w:rsid w:val="00EC6463"/>
    <w:rsid w:val="00EC64F2"/>
    <w:rsid w:val="00EC6727"/>
    <w:rsid w:val="00EC6891"/>
    <w:rsid w:val="00EC752A"/>
    <w:rsid w:val="00EC75EE"/>
    <w:rsid w:val="00EC7CDB"/>
    <w:rsid w:val="00ED0119"/>
    <w:rsid w:val="00ED06DA"/>
    <w:rsid w:val="00ED08E1"/>
    <w:rsid w:val="00ED0C03"/>
    <w:rsid w:val="00ED0C3B"/>
    <w:rsid w:val="00ED14C4"/>
    <w:rsid w:val="00ED151A"/>
    <w:rsid w:val="00ED1DD7"/>
    <w:rsid w:val="00ED23BE"/>
    <w:rsid w:val="00ED28E2"/>
    <w:rsid w:val="00ED2992"/>
    <w:rsid w:val="00ED3328"/>
    <w:rsid w:val="00ED3540"/>
    <w:rsid w:val="00ED3CB9"/>
    <w:rsid w:val="00ED3EDB"/>
    <w:rsid w:val="00ED4071"/>
    <w:rsid w:val="00ED499F"/>
    <w:rsid w:val="00ED4D00"/>
    <w:rsid w:val="00ED5292"/>
    <w:rsid w:val="00ED556C"/>
    <w:rsid w:val="00ED57A0"/>
    <w:rsid w:val="00ED57ED"/>
    <w:rsid w:val="00ED6634"/>
    <w:rsid w:val="00ED6E49"/>
    <w:rsid w:val="00ED7583"/>
    <w:rsid w:val="00ED75EF"/>
    <w:rsid w:val="00ED793C"/>
    <w:rsid w:val="00EE108F"/>
    <w:rsid w:val="00EE110F"/>
    <w:rsid w:val="00EE15C9"/>
    <w:rsid w:val="00EE16E5"/>
    <w:rsid w:val="00EE1D5D"/>
    <w:rsid w:val="00EE2309"/>
    <w:rsid w:val="00EE2439"/>
    <w:rsid w:val="00EE2543"/>
    <w:rsid w:val="00EE2848"/>
    <w:rsid w:val="00EE2BFF"/>
    <w:rsid w:val="00EE32D6"/>
    <w:rsid w:val="00EE3A21"/>
    <w:rsid w:val="00EE505F"/>
    <w:rsid w:val="00EE517B"/>
    <w:rsid w:val="00EE54F1"/>
    <w:rsid w:val="00EE58A2"/>
    <w:rsid w:val="00EE5955"/>
    <w:rsid w:val="00EE5C74"/>
    <w:rsid w:val="00EE5D3C"/>
    <w:rsid w:val="00EE6347"/>
    <w:rsid w:val="00EE64C1"/>
    <w:rsid w:val="00EE674C"/>
    <w:rsid w:val="00EE6772"/>
    <w:rsid w:val="00EE68DE"/>
    <w:rsid w:val="00EE7053"/>
    <w:rsid w:val="00EE73C7"/>
    <w:rsid w:val="00EE7E0E"/>
    <w:rsid w:val="00EEA4C2"/>
    <w:rsid w:val="00EF03A5"/>
    <w:rsid w:val="00EF040D"/>
    <w:rsid w:val="00EF090E"/>
    <w:rsid w:val="00EF1281"/>
    <w:rsid w:val="00EF1F74"/>
    <w:rsid w:val="00EF2177"/>
    <w:rsid w:val="00EF2363"/>
    <w:rsid w:val="00EF2791"/>
    <w:rsid w:val="00EF285F"/>
    <w:rsid w:val="00EF2A9C"/>
    <w:rsid w:val="00EF2B3C"/>
    <w:rsid w:val="00EF32E7"/>
    <w:rsid w:val="00EF34B0"/>
    <w:rsid w:val="00EF36B5"/>
    <w:rsid w:val="00EF3C71"/>
    <w:rsid w:val="00EF3F9C"/>
    <w:rsid w:val="00EF41D6"/>
    <w:rsid w:val="00EF4253"/>
    <w:rsid w:val="00EF44AF"/>
    <w:rsid w:val="00EF4532"/>
    <w:rsid w:val="00EF4B11"/>
    <w:rsid w:val="00EF53C9"/>
    <w:rsid w:val="00EF56E9"/>
    <w:rsid w:val="00EF58C2"/>
    <w:rsid w:val="00EF59B3"/>
    <w:rsid w:val="00EF6176"/>
    <w:rsid w:val="00EF6201"/>
    <w:rsid w:val="00EF63A2"/>
    <w:rsid w:val="00EF6715"/>
    <w:rsid w:val="00EF6EEB"/>
    <w:rsid w:val="00EF70DC"/>
    <w:rsid w:val="00EF7A6B"/>
    <w:rsid w:val="00F001B8"/>
    <w:rsid w:val="00F00323"/>
    <w:rsid w:val="00F004B0"/>
    <w:rsid w:val="00F00C12"/>
    <w:rsid w:val="00F00FD8"/>
    <w:rsid w:val="00F01154"/>
    <w:rsid w:val="00F01813"/>
    <w:rsid w:val="00F0186B"/>
    <w:rsid w:val="00F021E7"/>
    <w:rsid w:val="00F02737"/>
    <w:rsid w:val="00F0301C"/>
    <w:rsid w:val="00F03688"/>
    <w:rsid w:val="00F03A31"/>
    <w:rsid w:val="00F03EB1"/>
    <w:rsid w:val="00F047B0"/>
    <w:rsid w:val="00F04C8A"/>
    <w:rsid w:val="00F052DD"/>
    <w:rsid w:val="00F064FC"/>
    <w:rsid w:val="00F066B3"/>
    <w:rsid w:val="00F06760"/>
    <w:rsid w:val="00F06A2F"/>
    <w:rsid w:val="00F06CCB"/>
    <w:rsid w:val="00F06FB5"/>
    <w:rsid w:val="00F071DB"/>
    <w:rsid w:val="00F07350"/>
    <w:rsid w:val="00F07753"/>
    <w:rsid w:val="00F07836"/>
    <w:rsid w:val="00F07970"/>
    <w:rsid w:val="00F07B82"/>
    <w:rsid w:val="00F07B89"/>
    <w:rsid w:val="00F10384"/>
    <w:rsid w:val="00F103C5"/>
    <w:rsid w:val="00F10567"/>
    <w:rsid w:val="00F11343"/>
    <w:rsid w:val="00F115A4"/>
    <w:rsid w:val="00F1183D"/>
    <w:rsid w:val="00F11F45"/>
    <w:rsid w:val="00F1227E"/>
    <w:rsid w:val="00F124AE"/>
    <w:rsid w:val="00F1285B"/>
    <w:rsid w:val="00F12B92"/>
    <w:rsid w:val="00F12F9D"/>
    <w:rsid w:val="00F1300F"/>
    <w:rsid w:val="00F1344F"/>
    <w:rsid w:val="00F134BE"/>
    <w:rsid w:val="00F138E7"/>
    <w:rsid w:val="00F139B3"/>
    <w:rsid w:val="00F13C8F"/>
    <w:rsid w:val="00F13CDD"/>
    <w:rsid w:val="00F13DED"/>
    <w:rsid w:val="00F1488F"/>
    <w:rsid w:val="00F149A4"/>
    <w:rsid w:val="00F14EF9"/>
    <w:rsid w:val="00F150DC"/>
    <w:rsid w:val="00F152C5"/>
    <w:rsid w:val="00F1541B"/>
    <w:rsid w:val="00F15467"/>
    <w:rsid w:val="00F157D5"/>
    <w:rsid w:val="00F15DBF"/>
    <w:rsid w:val="00F15F25"/>
    <w:rsid w:val="00F16582"/>
    <w:rsid w:val="00F16782"/>
    <w:rsid w:val="00F16AAD"/>
    <w:rsid w:val="00F16EC3"/>
    <w:rsid w:val="00F17B50"/>
    <w:rsid w:val="00F17F35"/>
    <w:rsid w:val="00F200E9"/>
    <w:rsid w:val="00F20724"/>
    <w:rsid w:val="00F209FA"/>
    <w:rsid w:val="00F20CEA"/>
    <w:rsid w:val="00F2147D"/>
    <w:rsid w:val="00F21B2C"/>
    <w:rsid w:val="00F2225D"/>
    <w:rsid w:val="00F225F3"/>
    <w:rsid w:val="00F226C3"/>
    <w:rsid w:val="00F22C1A"/>
    <w:rsid w:val="00F23229"/>
    <w:rsid w:val="00F233EF"/>
    <w:rsid w:val="00F2389B"/>
    <w:rsid w:val="00F241DF"/>
    <w:rsid w:val="00F242BC"/>
    <w:rsid w:val="00F243E1"/>
    <w:rsid w:val="00F24847"/>
    <w:rsid w:val="00F24B21"/>
    <w:rsid w:val="00F251B0"/>
    <w:rsid w:val="00F252F8"/>
    <w:rsid w:val="00F25521"/>
    <w:rsid w:val="00F2691E"/>
    <w:rsid w:val="00F26EA2"/>
    <w:rsid w:val="00F26EDD"/>
    <w:rsid w:val="00F27314"/>
    <w:rsid w:val="00F27457"/>
    <w:rsid w:val="00F30077"/>
    <w:rsid w:val="00F30155"/>
    <w:rsid w:val="00F30F82"/>
    <w:rsid w:val="00F3148D"/>
    <w:rsid w:val="00F31589"/>
    <w:rsid w:val="00F31660"/>
    <w:rsid w:val="00F31697"/>
    <w:rsid w:val="00F31AB1"/>
    <w:rsid w:val="00F31ACE"/>
    <w:rsid w:val="00F31B70"/>
    <w:rsid w:val="00F31E74"/>
    <w:rsid w:val="00F322D4"/>
    <w:rsid w:val="00F326D4"/>
    <w:rsid w:val="00F3272D"/>
    <w:rsid w:val="00F32A2D"/>
    <w:rsid w:val="00F33438"/>
    <w:rsid w:val="00F33AA4"/>
    <w:rsid w:val="00F33F5A"/>
    <w:rsid w:val="00F345BA"/>
    <w:rsid w:val="00F34928"/>
    <w:rsid w:val="00F34B8D"/>
    <w:rsid w:val="00F34E6B"/>
    <w:rsid w:val="00F35190"/>
    <w:rsid w:val="00F351A3"/>
    <w:rsid w:val="00F356CF"/>
    <w:rsid w:val="00F35772"/>
    <w:rsid w:val="00F361B7"/>
    <w:rsid w:val="00F368D6"/>
    <w:rsid w:val="00F36B09"/>
    <w:rsid w:val="00F36DB3"/>
    <w:rsid w:val="00F36EDE"/>
    <w:rsid w:val="00F37136"/>
    <w:rsid w:val="00F37568"/>
    <w:rsid w:val="00F375BD"/>
    <w:rsid w:val="00F37A8F"/>
    <w:rsid w:val="00F37B01"/>
    <w:rsid w:val="00F37B34"/>
    <w:rsid w:val="00F37BB3"/>
    <w:rsid w:val="00F40725"/>
    <w:rsid w:val="00F408BD"/>
    <w:rsid w:val="00F40AB3"/>
    <w:rsid w:val="00F40CC7"/>
    <w:rsid w:val="00F4170F"/>
    <w:rsid w:val="00F41911"/>
    <w:rsid w:val="00F41A85"/>
    <w:rsid w:val="00F41CFB"/>
    <w:rsid w:val="00F425BD"/>
    <w:rsid w:val="00F4282E"/>
    <w:rsid w:val="00F42A74"/>
    <w:rsid w:val="00F42B62"/>
    <w:rsid w:val="00F42E81"/>
    <w:rsid w:val="00F43568"/>
    <w:rsid w:val="00F43771"/>
    <w:rsid w:val="00F438BF"/>
    <w:rsid w:val="00F43B39"/>
    <w:rsid w:val="00F43CC6"/>
    <w:rsid w:val="00F442CC"/>
    <w:rsid w:val="00F44D62"/>
    <w:rsid w:val="00F44EBE"/>
    <w:rsid w:val="00F45622"/>
    <w:rsid w:val="00F45653"/>
    <w:rsid w:val="00F45685"/>
    <w:rsid w:val="00F459C8"/>
    <w:rsid w:val="00F45ED9"/>
    <w:rsid w:val="00F460CB"/>
    <w:rsid w:val="00F4654E"/>
    <w:rsid w:val="00F46951"/>
    <w:rsid w:val="00F46BDD"/>
    <w:rsid w:val="00F46C52"/>
    <w:rsid w:val="00F46F95"/>
    <w:rsid w:val="00F47563"/>
    <w:rsid w:val="00F47B48"/>
    <w:rsid w:val="00F500E8"/>
    <w:rsid w:val="00F501DD"/>
    <w:rsid w:val="00F505E9"/>
    <w:rsid w:val="00F50EE3"/>
    <w:rsid w:val="00F50FEE"/>
    <w:rsid w:val="00F51822"/>
    <w:rsid w:val="00F51C9F"/>
    <w:rsid w:val="00F51D2D"/>
    <w:rsid w:val="00F51FB7"/>
    <w:rsid w:val="00F52040"/>
    <w:rsid w:val="00F52948"/>
    <w:rsid w:val="00F5294C"/>
    <w:rsid w:val="00F52C4B"/>
    <w:rsid w:val="00F52DAE"/>
    <w:rsid w:val="00F545C4"/>
    <w:rsid w:val="00F54750"/>
    <w:rsid w:val="00F54D09"/>
    <w:rsid w:val="00F552EB"/>
    <w:rsid w:val="00F554F0"/>
    <w:rsid w:val="00F55B82"/>
    <w:rsid w:val="00F55FEC"/>
    <w:rsid w:val="00F56048"/>
    <w:rsid w:val="00F56201"/>
    <w:rsid w:val="00F563C3"/>
    <w:rsid w:val="00F56454"/>
    <w:rsid w:val="00F56567"/>
    <w:rsid w:val="00F56FD5"/>
    <w:rsid w:val="00F603CF"/>
    <w:rsid w:val="00F606C8"/>
    <w:rsid w:val="00F60CD7"/>
    <w:rsid w:val="00F60CE6"/>
    <w:rsid w:val="00F60F69"/>
    <w:rsid w:val="00F61493"/>
    <w:rsid w:val="00F6150F"/>
    <w:rsid w:val="00F61821"/>
    <w:rsid w:val="00F61DCC"/>
    <w:rsid w:val="00F62233"/>
    <w:rsid w:val="00F625BC"/>
    <w:rsid w:val="00F6277F"/>
    <w:rsid w:val="00F62B88"/>
    <w:rsid w:val="00F62DC6"/>
    <w:rsid w:val="00F632FC"/>
    <w:rsid w:val="00F63407"/>
    <w:rsid w:val="00F635D7"/>
    <w:rsid w:val="00F63C0E"/>
    <w:rsid w:val="00F6460C"/>
    <w:rsid w:val="00F65421"/>
    <w:rsid w:val="00F6545C"/>
    <w:rsid w:val="00F656D4"/>
    <w:rsid w:val="00F658D3"/>
    <w:rsid w:val="00F65B10"/>
    <w:rsid w:val="00F65C1F"/>
    <w:rsid w:val="00F65DAA"/>
    <w:rsid w:val="00F6675C"/>
    <w:rsid w:val="00F66770"/>
    <w:rsid w:val="00F66777"/>
    <w:rsid w:val="00F673DB"/>
    <w:rsid w:val="00F67902"/>
    <w:rsid w:val="00F67C50"/>
    <w:rsid w:val="00F67D87"/>
    <w:rsid w:val="00F71147"/>
    <w:rsid w:val="00F71159"/>
    <w:rsid w:val="00F71196"/>
    <w:rsid w:val="00F714D7"/>
    <w:rsid w:val="00F71CB1"/>
    <w:rsid w:val="00F7218B"/>
    <w:rsid w:val="00F72B0E"/>
    <w:rsid w:val="00F737E3"/>
    <w:rsid w:val="00F7388B"/>
    <w:rsid w:val="00F7395A"/>
    <w:rsid w:val="00F73A5B"/>
    <w:rsid w:val="00F74354"/>
    <w:rsid w:val="00F745A7"/>
    <w:rsid w:val="00F75B66"/>
    <w:rsid w:val="00F76148"/>
    <w:rsid w:val="00F76567"/>
    <w:rsid w:val="00F76845"/>
    <w:rsid w:val="00F7693E"/>
    <w:rsid w:val="00F76B18"/>
    <w:rsid w:val="00F76C26"/>
    <w:rsid w:val="00F77399"/>
    <w:rsid w:val="00F779C8"/>
    <w:rsid w:val="00F779C9"/>
    <w:rsid w:val="00F77FE8"/>
    <w:rsid w:val="00F8016E"/>
    <w:rsid w:val="00F80488"/>
    <w:rsid w:val="00F808D9"/>
    <w:rsid w:val="00F810C9"/>
    <w:rsid w:val="00F81139"/>
    <w:rsid w:val="00F814F3"/>
    <w:rsid w:val="00F81791"/>
    <w:rsid w:val="00F81877"/>
    <w:rsid w:val="00F81A83"/>
    <w:rsid w:val="00F81E95"/>
    <w:rsid w:val="00F82762"/>
    <w:rsid w:val="00F827F4"/>
    <w:rsid w:val="00F82B57"/>
    <w:rsid w:val="00F82F0F"/>
    <w:rsid w:val="00F83070"/>
    <w:rsid w:val="00F83130"/>
    <w:rsid w:val="00F838B3"/>
    <w:rsid w:val="00F83B12"/>
    <w:rsid w:val="00F83CF5"/>
    <w:rsid w:val="00F83DD2"/>
    <w:rsid w:val="00F83E02"/>
    <w:rsid w:val="00F845B3"/>
    <w:rsid w:val="00F84753"/>
    <w:rsid w:val="00F84AD4"/>
    <w:rsid w:val="00F85B7F"/>
    <w:rsid w:val="00F860A2"/>
    <w:rsid w:val="00F861DC"/>
    <w:rsid w:val="00F86265"/>
    <w:rsid w:val="00F86315"/>
    <w:rsid w:val="00F8633F"/>
    <w:rsid w:val="00F866BD"/>
    <w:rsid w:val="00F868CB"/>
    <w:rsid w:val="00F868EE"/>
    <w:rsid w:val="00F86BBA"/>
    <w:rsid w:val="00F86C07"/>
    <w:rsid w:val="00F87963"/>
    <w:rsid w:val="00F87CBF"/>
    <w:rsid w:val="00F907CE"/>
    <w:rsid w:val="00F9089B"/>
    <w:rsid w:val="00F90A13"/>
    <w:rsid w:val="00F90B3A"/>
    <w:rsid w:val="00F90D3D"/>
    <w:rsid w:val="00F9113B"/>
    <w:rsid w:val="00F9131A"/>
    <w:rsid w:val="00F91A4A"/>
    <w:rsid w:val="00F91B04"/>
    <w:rsid w:val="00F91DD6"/>
    <w:rsid w:val="00F921CF"/>
    <w:rsid w:val="00F92203"/>
    <w:rsid w:val="00F9224A"/>
    <w:rsid w:val="00F925D9"/>
    <w:rsid w:val="00F92B5B"/>
    <w:rsid w:val="00F92B6D"/>
    <w:rsid w:val="00F92FF0"/>
    <w:rsid w:val="00F937BB"/>
    <w:rsid w:val="00F938D4"/>
    <w:rsid w:val="00F93E4B"/>
    <w:rsid w:val="00F94085"/>
    <w:rsid w:val="00F94520"/>
    <w:rsid w:val="00F94881"/>
    <w:rsid w:val="00F94C2C"/>
    <w:rsid w:val="00F94CE5"/>
    <w:rsid w:val="00F95156"/>
    <w:rsid w:val="00F9544D"/>
    <w:rsid w:val="00F9597C"/>
    <w:rsid w:val="00F95CAC"/>
    <w:rsid w:val="00F95DA9"/>
    <w:rsid w:val="00F96112"/>
    <w:rsid w:val="00F96163"/>
    <w:rsid w:val="00F96A87"/>
    <w:rsid w:val="00F96B71"/>
    <w:rsid w:val="00F9714B"/>
    <w:rsid w:val="00F9753D"/>
    <w:rsid w:val="00F97A37"/>
    <w:rsid w:val="00F97AFE"/>
    <w:rsid w:val="00F97BE6"/>
    <w:rsid w:val="00F97DB7"/>
    <w:rsid w:val="00FA0318"/>
    <w:rsid w:val="00FA0703"/>
    <w:rsid w:val="00FA11ED"/>
    <w:rsid w:val="00FA122D"/>
    <w:rsid w:val="00FA26E1"/>
    <w:rsid w:val="00FA2A5D"/>
    <w:rsid w:val="00FA2F71"/>
    <w:rsid w:val="00FA34C2"/>
    <w:rsid w:val="00FA34E6"/>
    <w:rsid w:val="00FA37D5"/>
    <w:rsid w:val="00FA3940"/>
    <w:rsid w:val="00FA3AAA"/>
    <w:rsid w:val="00FA423C"/>
    <w:rsid w:val="00FA4525"/>
    <w:rsid w:val="00FA4629"/>
    <w:rsid w:val="00FA46D2"/>
    <w:rsid w:val="00FA4D7F"/>
    <w:rsid w:val="00FA5413"/>
    <w:rsid w:val="00FA54DA"/>
    <w:rsid w:val="00FA590A"/>
    <w:rsid w:val="00FA595D"/>
    <w:rsid w:val="00FA5A93"/>
    <w:rsid w:val="00FA5CBB"/>
    <w:rsid w:val="00FA66FD"/>
    <w:rsid w:val="00FA6706"/>
    <w:rsid w:val="00FA6BD6"/>
    <w:rsid w:val="00FA72C8"/>
    <w:rsid w:val="00FA75E2"/>
    <w:rsid w:val="00FA769F"/>
    <w:rsid w:val="00FB06D7"/>
    <w:rsid w:val="00FB0BDE"/>
    <w:rsid w:val="00FB0F60"/>
    <w:rsid w:val="00FB127F"/>
    <w:rsid w:val="00FB141D"/>
    <w:rsid w:val="00FB15E9"/>
    <w:rsid w:val="00FB1B6F"/>
    <w:rsid w:val="00FB1C11"/>
    <w:rsid w:val="00FB27FE"/>
    <w:rsid w:val="00FB2E01"/>
    <w:rsid w:val="00FB2E6A"/>
    <w:rsid w:val="00FB302C"/>
    <w:rsid w:val="00FB313C"/>
    <w:rsid w:val="00FB3702"/>
    <w:rsid w:val="00FB384F"/>
    <w:rsid w:val="00FB3864"/>
    <w:rsid w:val="00FB38EE"/>
    <w:rsid w:val="00FB4010"/>
    <w:rsid w:val="00FB46C8"/>
    <w:rsid w:val="00FB4898"/>
    <w:rsid w:val="00FB4A89"/>
    <w:rsid w:val="00FB4BC4"/>
    <w:rsid w:val="00FB509C"/>
    <w:rsid w:val="00FB59E7"/>
    <w:rsid w:val="00FB5C06"/>
    <w:rsid w:val="00FB5EED"/>
    <w:rsid w:val="00FB60B3"/>
    <w:rsid w:val="00FB68FA"/>
    <w:rsid w:val="00FB7E31"/>
    <w:rsid w:val="00FC0346"/>
    <w:rsid w:val="00FC0749"/>
    <w:rsid w:val="00FC13E5"/>
    <w:rsid w:val="00FC142E"/>
    <w:rsid w:val="00FC16B8"/>
    <w:rsid w:val="00FC173E"/>
    <w:rsid w:val="00FC17C2"/>
    <w:rsid w:val="00FC17F6"/>
    <w:rsid w:val="00FC1B3C"/>
    <w:rsid w:val="00FC1B65"/>
    <w:rsid w:val="00FC27BE"/>
    <w:rsid w:val="00FC27C6"/>
    <w:rsid w:val="00FC2937"/>
    <w:rsid w:val="00FC2B5B"/>
    <w:rsid w:val="00FC2BFE"/>
    <w:rsid w:val="00FC3D57"/>
    <w:rsid w:val="00FC3F5F"/>
    <w:rsid w:val="00FC41E6"/>
    <w:rsid w:val="00FC4ACA"/>
    <w:rsid w:val="00FC4E05"/>
    <w:rsid w:val="00FC552C"/>
    <w:rsid w:val="00FC5642"/>
    <w:rsid w:val="00FC568C"/>
    <w:rsid w:val="00FC649E"/>
    <w:rsid w:val="00FC691B"/>
    <w:rsid w:val="00FC6D5D"/>
    <w:rsid w:val="00FC75D7"/>
    <w:rsid w:val="00FC7799"/>
    <w:rsid w:val="00FC7935"/>
    <w:rsid w:val="00FC7C4A"/>
    <w:rsid w:val="00FC7C5D"/>
    <w:rsid w:val="00FD001D"/>
    <w:rsid w:val="00FD00FD"/>
    <w:rsid w:val="00FD03D4"/>
    <w:rsid w:val="00FD0579"/>
    <w:rsid w:val="00FD086A"/>
    <w:rsid w:val="00FD08FD"/>
    <w:rsid w:val="00FD0975"/>
    <w:rsid w:val="00FD0C1E"/>
    <w:rsid w:val="00FD0D5E"/>
    <w:rsid w:val="00FD0DD0"/>
    <w:rsid w:val="00FD1004"/>
    <w:rsid w:val="00FD13A1"/>
    <w:rsid w:val="00FD1C6A"/>
    <w:rsid w:val="00FD1FC5"/>
    <w:rsid w:val="00FD2B3D"/>
    <w:rsid w:val="00FD2D46"/>
    <w:rsid w:val="00FD3166"/>
    <w:rsid w:val="00FD32FE"/>
    <w:rsid w:val="00FD332F"/>
    <w:rsid w:val="00FD3498"/>
    <w:rsid w:val="00FD36F5"/>
    <w:rsid w:val="00FD4053"/>
    <w:rsid w:val="00FD44F9"/>
    <w:rsid w:val="00FD4F73"/>
    <w:rsid w:val="00FD4F86"/>
    <w:rsid w:val="00FD4F99"/>
    <w:rsid w:val="00FD527F"/>
    <w:rsid w:val="00FD5900"/>
    <w:rsid w:val="00FD5978"/>
    <w:rsid w:val="00FD5A08"/>
    <w:rsid w:val="00FD5A7F"/>
    <w:rsid w:val="00FD5EE4"/>
    <w:rsid w:val="00FD6083"/>
    <w:rsid w:val="00FD659B"/>
    <w:rsid w:val="00FD6A10"/>
    <w:rsid w:val="00FD6D6A"/>
    <w:rsid w:val="00FD70D8"/>
    <w:rsid w:val="00FD7368"/>
    <w:rsid w:val="00FD781A"/>
    <w:rsid w:val="00FE0829"/>
    <w:rsid w:val="00FE0884"/>
    <w:rsid w:val="00FE08A5"/>
    <w:rsid w:val="00FE092C"/>
    <w:rsid w:val="00FE10CD"/>
    <w:rsid w:val="00FE1280"/>
    <w:rsid w:val="00FE14D0"/>
    <w:rsid w:val="00FE1635"/>
    <w:rsid w:val="00FE1820"/>
    <w:rsid w:val="00FE18FA"/>
    <w:rsid w:val="00FE1953"/>
    <w:rsid w:val="00FE1A77"/>
    <w:rsid w:val="00FE1F21"/>
    <w:rsid w:val="00FE223A"/>
    <w:rsid w:val="00FE28E5"/>
    <w:rsid w:val="00FE2FB4"/>
    <w:rsid w:val="00FE30AF"/>
    <w:rsid w:val="00FE31BD"/>
    <w:rsid w:val="00FE3796"/>
    <w:rsid w:val="00FE3C1A"/>
    <w:rsid w:val="00FE3E44"/>
    <w:rsid w:val="00FE409A"/>
    <w:rsid w:val="00FE42AB"/>
    <w:rsid w:val="00FE42CF"/>
    <w:rsid w:val="00FE4753"/>
    <w:rsid w:val="00FE5741"/>
    <w:rsid w:val="00FE57EF"/>
    <w:rsid w:val="00FE6282"/>
    <w:rsid w:val="00FE643A"/>
    <w:rsid w:val="00FE7239"/>
    <w:rsid w:val="00FE7456"/>
    <w:rsid w:val="00FE75AD"/>
    <w:rsid w:val="00FE7CC3"/>
    <w:rsid w:val="00FF0746"/>
    <w:rsid w:val="00FF0981"/>
    <w:rsid w:val="00FF0F75"/>
    <w:rsid w:val="00FF1111"/>
    <w:rsid w:val="00FF129B"/>
    <w:rsid w:val="00FF12EA"/>
    <w:rsid w:val="00FF13BD"/>
    <w:rsid w:val="00FF196E"/>
    <w:rsid w:val="00FF2630"/>
    <w:rsid w:val="00FF2997"/>
    <w:rsid w:val="00FF2BCC"/>
    <w:rsid w:val="00FF2DDD"/>
    <w:rsid w:val="00FF364D"/>
    <w:rsid w:val="00FF3AF7"/>
    <w:rsid w:val="00FF4088"/>
    <w:rsid w:val="00FF431D"/>
    <w:rsid w:val="00FF45A0"/>
    <w:rsid w:val="00FF46A3"/>
    <w:rsid w:val="00FF4760"/>
    <w:rsid w:val="00FF4802"/>
    <w:rsid w:val="00FF4A01"/>
    <w:rsid w:val="00FF4C03"/>
    <w:rsid w:val="00FF50F2"/>
    <w:rsid w:val="00FF59D4"/>
    <w:rsid w:val="00FF5DC5"/>
    <w:rsid w:val="00FF6440"/>
    <w:rsid w:val="00FF65DF"/>
    <w:rsid w:val="00FF6726"/>
    <w:rsid w:val="00FF676F"/>
    <w:rsid w:val="00FF67FC"/>
    <w:rsid w:val="00FF688E"/>
    <w:rsid w:val="00FF74E5"/>
    <w:rsid w:val="00FF76EE"/>
    <w:rsid w:val="00FF770E"/>
    <w:rsid w:val="00FF7AED"/>
    <w:rsid w:val="00FF7E1A"/>
    <w:rsid w:val="00FF7EE2"/>
    <w:rsid w:val="01015237"/>
    <w:rsid w:val="01091D43"/>
    <w:rsid w:val="0109F0C3"/>
    <w:rsid w:val="010D49A8"/>
    <w:rsid w:val="010F7305"/>
    <w:rsid w:val="0127D4D1"/>
    <w:rsid w:val="013239F0"/>
    <w:rsid w:val="01395A58"/>
    <w:rsid w:val="0160D3B3"/>
    <w:rsid w:val="0165FC7C"/>
    <w:rsid w:val="016DDEF0"/>
    <w:rsid w:val="017346EB"/>
    <w:rsid w:val="017379BC"/>
    <w:rsid w:val="017CCDC5"/>
    <w:rsid w:val="017FCB76"/>
    <w:rsid w:val="018868A1"/>
    <w:rsid w:val="0195EFAA"/>
    <w:rsid w:val="019D2D8B"/>
    <w:rsid w:val="019EC274"/>
    <w:rsid w:val="019EEB7F"/>
    <w:rsid w:val="019F3FCE"/>
    <w:rsid w:val="01A459B8"/>
    <w:rsid w:val="01A9C75E"/>
    <w:rsid w:val="01AB3582"/>
    <w:rsid w:val="01BEDD5F"/>
    <w:rsid w:val="01CE5DFB"/>
    <w:rsid w:val="01D25F48"/>
    <w:rsid w:val="01D4F226"/>
    <w:rsid w:val="01D686AD"/>
    <w:rsid w:val="01E73075"/>
    <w:rsid w:val="01EEEA32"/>
    <w:rsid w:val="01FF56FC"/>
    <w:rsid w:val="0202E6BF"/>
    <w:rsid w:val="0206DBFE"/>
    <w:rsid w:val="02084EE9"/>
    <w:rsid w:val="020AC9DC"/>
    <w:rsid w:val="020FF2FE"/>
    <w:rsid w:val="02143690"/>
    <w:rsid w:val="021B514B"/>
    <w:rsid w:val="022141EC"/>
    <w:rsid w:val="022CCD94"/>
    <w:rsid w:val="0230306A"/>
    <w:rsid w:val="0237C074"/>
    <w:rsid w:val="023CC48B"/>
    <w:rsid w:val="0246CC74"/>
    <w:rsid w:val="0264A954"/>
    <w:rsid w:val="026D632E"/>
    <w:rsid w:val="02783A5F"/>
    <w:rsid w:val="02855C9B"/>
    <w:rsid w:val="0287201C"/>
    <w:rsid w:val="0291B866"/>
    <w:rsid w:val="029C1021"/>
    <w:rsid w:val="029E8060"/>
    <w:rsid w:val="02A171B5"/>
    <w:rsid w:val="02AA1CC5"/>
    <w:rsid w:val="02AEBDE2"/>
    <w:rsid w:val="02B05FBA"/>
    <w:rsid w:val="02B25A1D"/>
    <w:rsid w:val="02BE69BA"/>
    <w:rsid w:val="02BF66F3"/>
    <w:rsid w:val="02D3B548"/>
    <w:rsid w:val="02D6BE50"/>
    <w:rsid w:val="02E6FD62"/>
    <w:rsid w:val="02F2F757"/>
    <w:rsid w:val="02F74830"/>
    <w:rsid w:val="02F8B8D3"/>
    <w:rsid w:val="03029F47"/>
    <w:rsid w:val="0310C958"/>
    <w:rsid w:val="03172443"/>
    <w:rsid w:val="03240F9B"/>
    <w:rsid w:val="0326D26B"/>
    <w:rsid w:val="032FCF9A"/>
    <w:rsid w:val="03335253"/>
    <w:rsid w:val="0337ABE2"/>
    <w:rsid w:val="0338896C"/>
    <w:rsid w:val="0338FDEC"/>
    <w:rsid w:val="033C47DF"/>
    <w:rsid w:val="03464CD4"/>
    <w:rsid w:val="034AF739"/>
    <w:rsid w:val="0357D436"/>
    <w:rsid w:val="0364A08E"/>
    <w:rsid w:val="036D2574"/>
    <w:rsid w:val="036EA26B"/>
    <w:rsid w:val="0374F973"/>
    <w:rsid w:val="037584BC"/>
    <w:rsid w:val="03784082"/>
    <w:rsid w:val="0384A386"/>
    <w:rsid w:val="03951EC0"/>
    <w:rsid w:val="0396D684"/>
    <w:rsid w:val="039C2200"/>
    <w:rsid w:val="03A4A87A"/>
    <w:rsid w:val="03A890CC"/>
    <w:rsid w:val="03AB73E2"/>
    <w:rsid w:val="03AF61D0"/>
    <w:rsid w:val="03B32A5A"/>
    <w:rsid w:val="03B817D3"/>
    <w:rsid w:val="03BA425F"/>
    <w:rsid w:val="03BD4C77"/>
    <w:rsid w:val="03BE20B9"/>
    <w:rsid w:val="03D3EF37"/>
    <w:rsid w:val="03D56C59"/>
    <w:rsid w:val="03D7DF69"/>
    <w:rsid w:val="03EE3036"/>
    <w:rsid w:val="03F416FF"/>
    <w:rsid w:val="03F4555C"/>
    <w:rsid w:val="03F9980B"/>
    <w:rsid w:val="0403BC6F"/>
    <w:rsid w:val="0406B6CE"/>
    <w:rsid w:val="040A0B55"/>
    <w:rsid w:val="040B878A"/>
    <w:rsid w:val="0419C3EA"/>
    <w:rsid w:val="041A9C7E"/>
    <w:rsid w:val="041CD77D"/>
    <w:rsid w:val="041F3EFA"/>
    <w:rsid w:val="041F81B5"/>
    <w:rsid w:val="04262AC7"/>
    <w:rsid w:val="0429E7AA"/>
    <w:rsid w:val="04367068"/>
    <w:rsid w:val="04387C30"/>
    <w:rsid w:val="043BD949"/>
    <w:rsid w:val="043DE4BB"/>
    <w:rsid w:val="04401DD6"/>
    <w:rsid w:val="045273D0"/>
    <w:rsid w:val="0459F037"/>
    <w:rsid w:val="0464EE1A"/>
    <w:rsid w:val="04670282"/>
    <w:rsid w:val="0467E88A"/>
    <w:rsid w:val="046BBD49"/>
    <w:rsid w:val="046E830B"/>
    <w:rsid w:val="04741F4B"/>
    <w:rsid w:val="0476452D"/>
    <w:rsid w:val="048708E4"/>
    <w:rsid w:val="04897D7A"/>
    <w:rsid w:val="048D98C8"/>
    <w:rsid w:val="04971340"/>
    <w:rsid w:val="049C6D24"/>
    <w:rsid w:val="04BD6035"/>
    <w:rsid w:val="04BF4A68"/>
    <w:rsid w:val="04C094C2"/>
    <w:rsid w:val="04C6A4D6"/>
    <w:rsid w:val="04C79548"/>
    <w:rsid w:val="04DA02A1"/>
    <w:rsid w:val="04DEC71E"/>
    <w:rsid w:val="04E7D0C8"/>
    <w:rsid w:val="04EA673C"/>
    <w:rsid w:val="04EF12CC"/>
    <w:rsid w:val="04EFD294"/>
    <w:rsid w:val="04F7BD9C"/>
    <w:rsid w:val="04F87844"/>
    <w:rsid w:val="0506AA0F"/>
    <w:rsid w:val="05084992"/>
    <w:rsid w:val="050944D5"/>
    <w:rsid w:val="05118930"/>
    <w:rsid w:val="0512AF94"/>
    <w:rsid w:val="052635FD"/>
    <w:rsid w:val="0537B07D"/>
    <w:rsid w:val="053EDBA4"/>
    <w:rsid w:val="053F58FF"/>
    <w:rsid w:val="054953B0"/>
    <w:rsid w:val="054D9846"/>
    <w:rsid w:val="05529C37"/>
    <w:rsid w:val="0553353B"/>
    <w:rsid w:val="0556087F"/>
    <w:rsid w:val="055D7366"/>
    <w:rsid w:val="055D9CEB"/>
    <w:rsid w:val="055DF4E0"/>
    <w:rsid w:val="056918CA"/>
    <w:rsid w:val="0574CC7F"/>
    <w:rsid w:val="057B75C2"/>
    <w:rsid w:val="057C78C6"/>
    <w:rsid w:val="05882F9A"/>
    <w:rsid w:val="0589EAE5"/>
    <w:rsid w:val="058DF4DC"/>
    <w:rsid w:val="0593E6F0"/>
    <w:rsid w:val="05A1EF83"/>
    <w:rsid w:val="05ADCBF0"/>
    <w:rsid w:val="05AE46CA"/>
    <w:rsid w:val="05B38774"/>
    <w:rsid w:val="05C2E0C3"/>
    <w:rsid w:val="05CAA185"/>
    <w:rsid w:val="05D240C9"/>
    <w:rsid w:val="05D39B6B"/>
    <w:rsid w:val="05D49829"/>
    <w:rsid w:val="05D8FD15"/>
    <w:rsid w:val="05D939F8"/>
    <w:rsid w:val="05E41765"/>
    <w:rsid w:val="05ED9165"/>
    <w:rsid w:val="05F8EF29"/>
    <w:rsid w:val="06023CEC"/>
    <w:rsid w:val="0604E905"/>
    <w:rsid w:val="060917CC"/>
    <w:rsid w:val="060B37E4"/>
    <w:rsid w:val="06122394"/>
    <w:rsid w:val="06167466"/>
    <w:rsid w:val="06176409"/>
    <w:rsid w:val="062BBFAC"/>
    <w:rsid w:val="06322BFF"/>
    <w:rsid w:val="0638F3C3"/>
    <w:rsid w:val="063BE72A"/>
    <w:rsid w:val="06472848"/>
    <w:rsid w:val="0648D541"/>
    <w:rsid w:val="064CE607"/>
    <w:rsid w:val="065EAF96"/>
    <w:rsid w:val="0663A553"/>
    <w:rsid w:val="066FEC6A"/>
    <w:rsid w:val="06767F74"/>
    <w:rsid w:val="06777885"/>
    <w:rsid w:val="06968804"/>
    <w:rsid w:val="0699BDA9"/>
    <w:rsid w:val="0699E4B5"/>
    <w:rsid w:val="06A621E1"/>
    <w:rsid w:val="06AA8B0E"/>
    <w:rsid w:val="06AAB3E9"/>
    <w:rsid w:val="06AFDA00"/>
    <w:rsid w:val="06B1F97C"/>
    <w:rsid w:val="06B2FE54"/>
    <w:rsid w:val="06C02B9A"/>
    <w:rsid w:val="06DBFC9A"/>
    <w:rsid w:val="06E0056B"/>
    <w:rsid w:val="06E9ADD8"/>
    <w:rsid w:val="06F3817C"/>
    <w:rsid w:val="06F566A3"/>
    <w:rsid w:val="06F751D7"/>
    <w:rsid w:val="06F943C7"/>
    <w:rsid w:val="06FE08B4"/>
    <w:rsid w:val="0701C44C"/>
    <w:rsid w:val="07039E2B"/>
    <w:rsid w:val="07076FF9"/>
    <w:rsid w:val="070DFB08"/>
    <w:rsid w:val="070F9085"/>
    <w:rsid w:val="0710E37E"/>
    <w:rsid w:val="071650B7"/>
    <w:rsid w:val="07212FB1"/>
    <w:rsid w:val="072AB28E"/>
    <w:rsid w:val="073A557F"/>
    <w:rsid w:val="07400C0F"/>
    <w:rsid w:val="07433532"/>
    <w:rsid w:val="074A5C67"/>
    <w:rsid w:val="074B4F7A"/>
    <w:rsid w:val="074BA372"/>
    <w:rsid w:val="074DD80B"/>
    <w:rsid w:val="0754783F"/>
    <w:rsid w:val="07624520"/>
    <w:rsid w:val="07648F97"/>
    <w:rsid w:val="0765AABE"/>
    <w:rsid w:val="076AC320"/>
    <w:rsid w:val="07750A59"/>
    <w:rsid w:val="077674B1"/>
    <w:rsid w:val="077A832E"/>
    <w:rsid w:val="078444EA"/>
    <w:rsid w:val="07888D6B"/>
    <w:rsid w:val="079ACBD7"/>
    <w:rsid w:val="07A03013"/>
    <w:rsid w:val="07A0A73A"/>
    <w:rsid w:val="07A572A6"/>
    <w:rsid w:val="07ADDC98"/>
    <w:rsid w:val="07BA9DFF"/>
    <w:rsid w:val="07BC292B"/>
    <w:rsid w:val="07BC55B0"/>
    <w:rsid w:val="07BEFB9B"/>
    <w:rsid w:val="07C73829"/>
    <w:rsid w:val="07D7BA82"/>
    <w:rsid w:val="07E06979"/>
    <w:rsid w:val="07E20295"/>
    <w:rsid w:val="07E9C5AF"/>
    <w:rsid w:val="07ED39F8"/>
    <w:rsid w:val="07F4F126"/>
    <w:rsid w:val="07F8B7AF"/>
    <w:rsid w:val="0807A4F9"/>
    <w:rsid w:val="08142A7D"/>
    <w:rsid w:val="08143F74"/>
    <w:rsid w:val="0819BDF7"/>
    <w:rsid w:val="081CDB16"/>
    <w:rsid w:val="081FD930"/>
    <w:rsid w:val="0820DE7D"/>
    <w:rsid w:val="08221900"/>
    <w:rsid w:val="0822555A"/>
    <w:rsid w:val="0825A2B7"/>
    <w:rsid w:val="082E93D9"/>
    <w:rsid w:val="08305B44"/>
    <w:rsid w:val="0834D451"/>
    <w:rsid w:val="08357EEB"/>
    <w:rsid w:val="083A02BD"/>
    <w:rsid w:val="083B090B"/>
    <w:rsid w:val="083E8409"/>
    <w:rsid w:val="0844D25B"/>
    <w:rsid w:val="0855444B"/>
    <w:rsid w:val="085A9546"/>
    <w:rsid w:val="08674C49"/>
    <w:rsid w:val="086F949F"/>
    <w:rsid w:val="0890AF80"/>
    <w:rsid w:val="08944843"/>
    <w:rsid w:val="089FB0C9"/>
    <w:rsid w:val="08A40F2D"/>
    <w:rsid w:val="08A81776"/>
    <w:rsid w:val="08B37B1F"/>
    <w:rsid w:val="08B6BE6A"/>
    <w:rsid w:val="08BD08FE"/>
    <w:rsid w:val="08CE8E22"/>
    <w:rsid w:val="08E12404"/>
    <w:rsid w:val="08E342FA"/>
    <w:rsid w:val="08F2516B"/>
    <w:rsid w:val="08F508A4"/>
    <w:rsid w:val="08FA0417"/>
    <w:rsid w:val="09062CA5"/>
    <w:rsid w:val="090DE77D"/>
    <w:rsid w:val="090F6098"/>
    <w:rsid w:val="0915BE3E"/>
    <w:rsid w:val="09173017"/>
    <w:rsid w:val="091872CA"/>
    <w:rsid w:val="0918789F"/>
    <w:rsid w:val="091D70C3"/>
    <w:rsid w:val="09289BEE"/>
    <w:rsid w:val="0928B1C8"/>
    <w:rsid w:val="0929DACA"/>
    <w:rsid w:val="093DAE76"/>
    <w:rsid w:val="09424B43"/>
    <w:rsid w:val="09465355"/>
    <w:rsid w:val="094DA98A"/>
    <w:rsid w:val="095654E4"/>
    <w:rsid w:val="09566535"/>
    <w:rsid w:val="096ECE94"/>
    <w:rsid w:val="097DF3FF"/>
    <w:rsid w:val="098021EF"/>
    <w:rsid w:val="0983C086"/>
    <w:rsid w:val="098C9F20"/>
    <w:rsid w:val="098D5921"/>
    <w:rsid w:val="098F8A1E"/>
    <w:rsid w:val="09967951"/>
    <w:rsid w:val="099F5F0A"/>
    <w:rsid w:val="09A83FA2"/>
    <w:rsid w:val="09AEE322"/>
    <w:rsid w:val="09B53BE8"/>
    <w:rsid w:val="09B917D8"/>
    <w:rsid w:val="09BAE095"/>
    <w:rsid w:val="09BF87DC"/>
    <w:rsid w:val="09C14021"/>
    <w:rsid w:val="09C29258"/>
    <w:rsid w:val="09C88851"/>
    <w:rsid w:val="09C9596E"/>
    <w:rsid w:val="09CDD44E"/>
    <w:rsid w:val="09D06C19"/>
    <w:rsid w:val="09D1BDE9"/>
    <w:rsid w:val="09D919FD"/>
    <w:rsid w:val="09DF920E"/>
    <w:rsid w:val="09E4DF79"/>
    <w:rsid w:val="09E61C21"/>
    <w:rsid w:val="09F0E8AD"/>
    <w:rsid w:val="09F7FF76"/>
    <w:rsid w:val="0A122D6B"/>
    <w:rsid w:val="0A15CE72"/>
    <w:rsid w:val="0A1AE91D"/>
    <w:rsid w:val="0A1CBDD7"/>
    <w:rsid w:val="0A1FD021"/>
    <w:rsid w:val="0A24F9D1"/>
    <w:rsid w:val="0A446953"/>
    <w:rsid w:val="0A483DA2"/>
    <w:rsid w:val="0A491D77"/>
    <w:rsid w:val="0A54FDA8"/>
    <w:rsid w:val="0A594096"/>
    <w:rsid w:val="0A61A0B1"/>
    <w:rsid w:val="0A63C68E"/>
    <w:rsid w:val="0A66F7DA"/>
    <w:rsid w:val="0A91E86A"/>
    <w:rsid w:val="0AA44EDC"/>
    <w:rsid w:val="0AB44900"/>
    <w:rsid w:val="0ABF47CB"/>
    <w:rsid w:val="0AC642E6"/>
    <w:rsid w:val="0ACDC5F8"/>
    <w:rsid w:val="0AD7C99C"/>
    <w:rsid w:val="0AEFDF4E"/>
    <w:rsid w:val="0AF0EC6D"/>
    <w:rsid w:val="0AF6FEAA"/>
    <w:rsid w:val="0AF7F023"/>
    <w:rsid w:val="0AF8182A"/>
    <w:rsid w:val="0B0AC211"/>
    <w:rsid w:val="0B1C38EC"/>
    <w:rsid w:val="0B2764EB"/>
    <w:rsid w:val="0B2A0A85"/>
    <w:rsid w:val="0B32C173"/>
    <w:rsid w:val="0B34ED45"/>
    <w:rsid w:val="0B3A5D94"/>
    <w:rsid w:val="0B54903C"/>
    <w:rsid w:val="0B583308"/>
    <w:rsid w:val="0B775A82"/>
    <w:rsid w:val="0B77DCA9"/>
    <w:rsid w:val="0B7D3CA2"/>
    <w:rsid w:val="0B7DD79D"/>
    <w:rsid w:val="0B8E0CDA"/>
    <w:rsid w:val="0B8FBFA2"/>
    <w:rsid w:val="0BAF3C50"/>
    <w:rsid w:val="0BB26E9F"/>
    <w:rsid w:val="0BBF9484"/>
    <w:rsid w:val="0BBF98E2"/>
    <w:rsid w:val="0BC5E432"/>
    <w:rsid w:val="0BCBA3BF"/>
    <w:rsid w:val="0BD2F348"/>
    <w:rsid w:val="0BD699DF"/>
    <w:rsid w:val="0BD705D9"/>
    <w:rsid w:val="0BD9A27B"/>
    <w:rsid w:val="0BDBDECC"/>
    <w:rsid w:val="0BF685E8"/>
    <w:rsid w:val="0C05FDCE"/>
    <w:rsid w:val="0C08B6CD"/>
    <w:rsid w:val="0C0D0B9C"/>
    <w:rsid w:val="0C14C3B0"/>
    <w:rsid w:val="0C1B8359"/>
    <w:rsid w:val="0C2530AA"/>
    <w:rsid w:val="0C286D84"/>
    <w:rsid w:val="0C31A6ED"/>
    <w:rsid w:val="0C32A2CB"/>
    <w:rsid w:val="0C390FE1"/>
    <w:rsid w:val="0C4562C5"/>
    <w:rsid w:val="0C5225AC"/>
    <w:rsid w:val="0C5D34DB"/>
    <w:rsid w:val="0C5D3DCE"/>
    <w:rsid w:val="0C62814D"/>
    <w:rsid w:val="0C65021C"/>
    <w:rsid w:val="0C754F38"/>
    <w:rsid w:val="0C7AC9D9"/>
    <w:rsid w:val="0C7DC00A"/>
    <w:rsid w:val="0C8E2FFE"/>
    <w:rsid w:val="0C925368"/>
    <w:rsid w:val="0C9566F2"/>
    <w:rsid w:val="0C9A4339"/>
    <w:rsid w:val="0CA79DA5"/>
    <w:rsid w:val="0CB4734A"/>
    <w:rsid w:val="0CB5369E"/>
    <w:rsid w:val="0CB7C48A"/>
    <w:rsid w:val="0CBAD4C3"/>
    <w:rsid w:val="0CC20940"/>
    <w:rsid w:val="0CC28CA7"/>
    <w:rsid w:val="0CCB3DC7"/>
    <w:rsid w:val="0CD66CAA"/>
    <w:rsid w:val="0CDE426B"/>
    <w:rsid w:val="0CDEE525"/>
    <w:rsid w:val="0CE1E308"/>
    <w:rsid w:val="0CE242C2"/>
    <w:rsid w:val="0CE2A3F5"/>
    <w:rsid w:val="0CE32D63"/>
    <w:rsid w:val="0D0220A0"/>
    <w:rsid w:val="0D0DFB29"/>
    <w:rsid w:val="0D11F4AF"/>
    <w:rsid w:val="0D150AA5"/>
    <w:rsid w:val="0D261D34"/>
    <w:rsid w:val="0D28DE7B"/>
    <w:rsid w:val="0D2F39B9"/>
    <w:rsid w:val="0D3B694B"/>
    <w:rsid w:val="0D4B849F"/>
    <w:rsid w:val="0D57FD02"/>
    <w:rsid w:val="0D5AC416"/>
    <w:rsid w:val="0D7182FD"/>
    <w:rsid w:val="0D75813B"/>
    <w:rsid w:val="0D7FDE64"/>
    <w:rsid w:val="0D86FE0D"/>
    <w:rsid w:val="0D88280F"/>
    <w:rsid w:val="0D88C6FA"/>
    <w:rsid w:val="0D916BCE"/>
    <w:rsid w:val="0D9F199D"/>
    <w:rsid w:val="0DA8FDCF"/>
    <w:rsid w:val="0DB8BC55"/>
    <w:rsid w:val="0DC3C76C"/>
    <w:rsid w:val="0DC9B18E"/>
    <w:rsid w:val="0DD1DFEC"/>
    <w:rsid w:val="0DE1156A"/>
    <w:rsid w:val="0DE5BF77"/>
    <w:rsid w:val="0DE94C47"/>
    <w:rsid w:val="0DED9F17"/>
    <w:rsid w:val="0E142D8B"/>
    <w:rsid w:val="0E15CB6D"/>
    <w:rsid w:val="0E1FC4EC"/>
    <w:rsid w:val="0E26E60B"/>
    <w:rsid w:val="0E29B522"/>
    <w:rsid w:val="0E343783"/>
    <w:rsid w:val="0E3B0D18"/>
    <w:rsid w:val="0E3D9945"/>
    <w:rsid w:val="0E43B2E0"/>
    <w:rsid w:val="0E48011A"/>
    <w:rsid w:val="0E486791"/>
    <w:rsid w:val="0E59C04F"/>
    <w:rsid w:val="0E5A28B6"/>
    <w:rsid w:val="0E6B6EEA"/>
    <w:rsid w:val="0E6FE759"/>
    <w:rsid w:val="0E744815"/>
    <w:rsid w:val="0E79E284"/>
    <w:rsid w:val="0E7AC0E1"/>
    <w:rsid w:val="0E7D1295"/>
    <w:rsid w:val="0E867D84"/>
    <w:rsid w:val="0E884FEF"/>
    <w:rsid w:val="0E8F4C72"/>
    <w:rsid w:val="0E9232F6"/>
    <w:rsid w:val="0E959D85"/>
    <w:rsid w:val="0E9DFBFF"/>
    <w:rsid w:val="0EBBDB11"/>
    <w:rsid w:val="0EBCC033"/>
    <w:rsid w:val="0ED1680B"/>
    <w:rsid w:val="0EDF8EB8"/>
    <w:rsid w:val="0EE243D6"/>
    <w:rsid w:val="0EFEB292"/>
    <w:rsid w:val="0F01ACB6"/>
    <w:rsid w:val="0F01EDF7"/>
    <w:rsid w:val="0F0CFEB9"/>
    <w:rsid w:val="0F1AF61A"/>
    <w:rsid w:val="0F1CCA98"/>
    <w:rsid w:val="0F1E33D1"/>
    <w:rsid w:val="0F1EFA1E"/>
    <w:rsid w:val="0F36BCCA"/>
    <w:rsid w:val="0F3FFF9E"/>
    <w:rsid w:val="0F40CE04"/>
    <w:rsid w:val="0F51F309"/>
    <w:rsid w:val="0F56D350"/>
    <w:rsid w:val="0F6435E8"/>
    <w:rsid w:val="0F6DC50B"/>
    <w:rsid w:val="0F779044"/>
    <w:rsid w:val="0FAC763C"/>
    <w:rsid w:val="0FACC7AD"/>
    <w:rsid w:val="0FAD7FE8"/>
    <w:rsid w:val="0FBCF03A"/>
    <w:rsid w:val="0FC1CAB3"/>
    <w:rsid w:val="0FC41268"/>
    <w:rsid w:val="0FC8EEFF"/>
    <w:rsid w:val="0FD262D6"/>
    <w:rsid w:val="0FD5E7BD"/>
    <w:rsid w:val="0FDF923E"/>
    <w:rsid w:val="0FE5A779"/>
    <w:rsid w:val="0FF8262F"/>
    <w:rsid w:val="0FF86CE0"/>
    <w:rsid w:val="100A797E"/>
    <w:rsid w:val="1011550C"/>
    <w:rsid w:val="101B884E"/>
    <w:rsid w:val="102159B4"/>
    <w:rsid w:val="10239F2F"/>
    <w:rsid w:val="10290A2C"/>
    <w:rsid w:val="102CE465"/>
    <w:rsid w:val="102D9955"/>
    <w:rsid w:val="1033DBCA"/>
    <w:rsid w:val="1035E850"/>
    <w:rsid w:val="1037B02C"/>
    <w:rsid w:val="103D93E9"/>
    <w:rsid w:val="104AFC39"/>
    <w:rsid w:val="104EEA57"/>
    <w:rsid w:val="105476F6"/>
    <w:rsid w:val="1063FD63"/>
    <w:rsid w:val="1069FF5C"/>
    <w:rsid w:val="1072561E"/>
    <w:rsid w:val="10882B7D"/>
    <w:rsid w:val="10980103"/>
    <w:rsid w:val="109E85C9"/>
    <w:rsid w:val="109EC8BA"/>
    <w:rsid w:val="10A0E66B"/>
    <w:rsid w:val="10AA6012"/>
    <w:rsid w:val="10B5FBF7"/>
    <w:rsid w:val="10B9B0F3"/>
    <w:rsid w:val="10C9F70B"/>
    <w:rsid w:val="10D16C9B"/>
    <w:rsid w:val="10D28050"/>
    <w:rsid w:val="10D3F084"/>
    <w:rsid w:val="10D477BF"/>
    <w:rsid w:val="10D5A996"/>
    <w:rsid w:val="10E71F93"/>
    <w:rsid w:val="10EC364E"/>
    <w:rsid w:val="10FCCBD8"/>
    <w:rsid w:val="1100A8B9"/>
    <w:rsid w:val="110DCEE4"/>
    <w:rsid w:val="110FE4A9"/>
    <w:rsid w:val="1112CF70"/>
    <w:rsid w:val="11167D86"/>
    <w:rsid w:val="111FB355"/>
    <w:rsid w:val="112141E8"/>
    <w:rsid w:val="11440F5F"/>
    <w:rsid w:val="114A6C75"/>
    <w:rsid w:val="114BCA73"/>
    <w:rsid w:val="114D807F"/>
    <w:rsid w:val="11554B31"/>
    <w:rsid w:val="117ED39E"/>
    <w:rsid w:val="118B4ED2"/>
    <w:rsid w:val="118DF5BC"/>
    <w:rsid w:val="119CE437"/>
    <w:rsid w:val="11A00DD2"/>
    <w:rsid w:val="11A463C6"/>
    <w:rsid w:val="11AB4219"/>
    <w:rsid w:val="11CBD55F"/>
    <w:rsid w:val="11CDA43D"/>
    <w:rsid w:val="11D359D2"/>
    <w:rsid w:val="11E770C8"/>
    <w:rsid w:val="11F85F22"/>
    <w:rsid w:val="11FAEFE7"/>
    <w:rsid w:val="1204D67D"/>
    <w:rsid w:val="1209A6AF"/>
    <w:rsid w:val="12299DA6"/>
    <w:rsid w:val="122A9499"/>
    <w:rsid w:val="122B2FE0"/>
    <w:rsid w:val="1230577D"/>
    <w:rsid w:val="1239C213"/>
    <w:rsid w:val="123DECE5"/>
    <w:rsid w:val="1241F4B9"/>
    <w:rsid w:val="124223DA"/>
    <w:rsid w:val="125087A6"/>
    <w:rsid w:val="12548224"/>
    <w:rsid w:val="12554338"/>
    <w:rsid w:val="1256F3CC"/>
    <w:rsid w:val="12584F82"/>
    <w:rsid w:val="125D0709"/>
    <w:rsid w:val="126027A2"/>
    <w:rsid w:val="12686676"/>
    <w:rsid w:val="126C5778"/>
    <w:rsid w:val="127B9143"/>
    <w:rsid w:val="127E777C"/>
    <w:rsid w:val="1289DD75"/>
    <w:rsid w:val="128DB514"/>
    <w:rsid w:val="129006A5"/>
    <w:rsid w:val="12976DBB"/>
    <w:rsid w:val="129F0B5D"/>
    <w:rsid w:val="12A8712F"/>
    <w:rsid w:val="12AE6A4F"/>
    <w:rsid w:val="12B29A49"/>
    <w:rsid w:val="12B3E534"/>
    <w:rsid w:val="12B65EE5"/>
    <w:rsid w:val="12B7F213"/>
    <w:rsid w:val="12B8674C"/>
    <w:rsid w:val="12C1E407"/>
    <w:rsid w:val="12C6160E"/>
    <w:rsid w:val="12C78EBB"/>
    <w:rsid w:val="12C90879"/>
    <w:rsid w:val="12CF4D35"/>
    <w:rsid w:val="12D0D15E"/>
    <w:rsid w:val="12E31A02"/>
    <w:rsid w:val="12E92A3E"/>
    <w:rsid w:val="12EAA491"/>
    <w:rsid w:val="12F39F05"/>
    <w:rsid w:val="12F6577A"/>
    <w:rsid w:val="12FAD6E1"/>
    <w:rsid w:val="12FC45D0"/>
    <w:rsid w:val="12FDCD3A"/>
    <w:rsid w:val="1300971E"/>
    <w:rsid w:val="130B5F96"/>
    <w:rsid w:val="132819A6"/>
    <w:rsid w:val="132DFD7D"/>
    <w:rsid w:val="132F1CFB"/>
    <w:rsid w:val="13303890"/>
    <w:rsid w:val="13306541"/>
    <w:rsid w:val="1331D209"/>
    <w:rsid w:val="13347E4E"/>
    <w:rsid w:val="1349F4B5"/>
    <w:rsid w:val="134A64E0"/>
    <w:rsid w:val="134C6CC4"/>
    <w:rsid w:val="134CB410"/>
    <w:rsid w:val="135DDA6C"/>
    <w:rsid w:val="1363F882"/>
    <w:rsid w:val="13817DDF"/>
    <w:rsid w:val="1385E105"/>
    <w:rsid w:val="1397FE87"/>
    <w:rsid w:val="13B30B14"/>
    <w:rsid w:val="13B8FCAA"/>
    <w:rsid w:val="13B988C1"/>
    <w:rsid w:val="13BD2481"/>
    <w:rsid w:val="13C2356A"/>
    <w:rsid w:val="13CB595D"/>
    <w:rsid w:val="13D0E632"/>
    <w:rsid w:val="13D0FC92"/>
    <w:rsid w:val="13D59274"/>
    <w:rsid w:val="13D756C1"/>
    <w:rsid w:val="13DC9529"/>
    <w:rsid w:val="13F50FA6"/>
    <w:rsid w:val="14054181"/>
    <w:rsid w:val="140584AF"/>
    <w:rsid w:val="141BDC2A"/>
    <w:rsid w:val="141C5917"/>
    <w:rsid w:val="1424FCCE"/>
    <w:rsid w:val="1444D9EA"/>
    <w:rsid w:val="144691F4"/>
    <w:rsid w:val="14566ED0"/>
    <w:rsid w:val="14569E8C"/>
    <w:rsid w:val="146B8CC0"/>
    <w:rsid w:val="146E4F1C"/>
    <w:rsid w:val="146FED9F"/>
    <w:rsid w:val="14713301"/>
    <w:rsid w:val="1473BF36"/>
    <w:rsid w:val="147821E8"/>
    <w:rsid w:val="148595A5"/>
    <w:rsid w:val="1487869F"/>
    <w:rsid w:val="1497DBAC"/>
    <w:rsid w:val="14A07427"/>
    <w:rsid w:val="14A0B1B1"/>
    <w:rsid w:val="14A43222"/>
    <w:rsid w:val="14A61C9E"/>
    <w:rsid w:val="14ABFE86"/>
    <w:rsid w:val="14AF520A"/>
    <w:rsid w:val="14B10BBD"/>
    <w:rsid w:val="14B65DAA"/>
    <w:rsid w:val="14B738B9"/>
    <w:rsid w:val="14BBF084"/>
    <w:rsid w:val="14BE5A23"/>
    <w:rsid w:val="14C09B1C"/>
    <w:rsid w:val="14C73B14"/>
    <w:rsid w:val="14CA8C94"/>
    <w:rsid w:val="14CEB6B5"/>
    <w:rsid w:val="14D7A943"/>
    <w:rsid w:val="14DFF497"/>
    <w:rsid w:val="14E07689"/>
    <w:rsid w:val="14EA95C6"/>
    <w:rsid w:val="14F5A7E1"/>
    <w:rsid w:val="14FB71B1"/>
    <w:rsid w:val="150544FF"/>
    <w:rsid w:val="1505D578"/>
    <w:rsid w:val="150D3285"/>
    <w:rsid w:val="150EDF00"/>
    <w:rsid w:val="15128419"/>
    <w:rsid w:val="1524F78C"/>
    <w:rsid w:val="15251F10"/>
    <w:rsid w:val="153CDAFD"/>
    <w:rsid w:val="1543EF54"/>
    <w:rsid w:val="15451690"/>
    <w:rsid w:val="1546A337"/>
    <w:rsid w:val="1549E020"/>
    <w:rsid w:val="1550454E"/>
    <w:rsid w:val="15554400"/>
    <w:rsid w:val="15559A65"/>
    <w:rsid w:val="15595903"/>
    <w:rsid w:val="1561EE7E"/>
    <w:rsid w:val="1565979F"/>
    <w:rsid w:val="1567C4ED"/>
    <w:rsid w:val="1571A83A"/>
    <w:rsid w:val="15793A21"/>
    <w:rsid w:val="157C93AD"/>
    <w:rsid w:val="158A226C"/>
    <w:rsid w:val="159FD3DE"/>
    <w:rsid w:val="15A7F33A"/>
    <w:rsid w:val="15B07CC5"/>
    <w:rsid w:val="15B0EBAF"/>
    <w:rsid w:val="15B921CF"/>
    <w:rsid w:val="15BC1442"/>
    <w:rsid w:val="15DD2E29"/>
    <w:rsid w:val="15EABFA3"/>
    <w:rsid w:val="15F115E2"/>
    <w:rsid w:val="15F61FAF"/>
    <w:rsid w:val="15F92349"/>
    <w:rsid w:val="16066DE4"/>
    <w:rsid w:val="1609A019"/>
    <w:rsid w:val="161CFAF4"/>
    <w:rsid w:val="161E3ADB"/>
    <w:rsid w:val="1622CAD9"/>
    <w:rsid w:val="1625C6FC"/>
    <w:rsid w:val="1626F526"/>
    <w:rsid w:val="163904BE"/>
    <w:rsid w:val="16396AEA"/>
    <w:rsid w:val="163B0C46"/>
    <w:rsid w:val="163E902A"/>
    <w:rsid w:val="1645DB7C"/>
    <w:rsid w:val="164794F1"/>
    <w:rsid w:val="16504545"/>
    <w:rsid w:val="1653DC2F"/>
    <w:rsid w:val="16577B99"/>
    <w:rsid w:val="165AF0E9"/>
    <w:rsid w:val="166E1AD3"/>
    <w:rsid w:val="166F7E7C"/>
    <w:rsid w:val="16864513"/>
    <w:rsid w:val="16906FE9"/>
    <w:rsid w:val="169664FF"/>
    <w:rsid w:val="16983575"/>
    <w:rsid w:val="1698EB2C"/>
    <w:rsid w:val="169B9944"/>
    <w:rsid w:val="16A060A7"/>
    <w:rsid w:val="16A0D67E"/>
    <w:rsid w:val="16A5127E"/>
    <w:rsid w:val="16A7FA41"/>
    <w:rsid w:val="16BBDF56"/>
    <w:rsid w:val="16C13B7B"/>
    <w:rsid w:val="16C32168"/>
    <w:rsid w:val="16D0CDC9"/>
    <w:rsid w:val="16FEBFB9"/>
    <w:rsid w:val="1708AEB8"/>
    <w:rsid w:val="17097713"/>
    <w:rsid w:val="170D6E44"/>
    <w:rsid w:val="170F2BD0"/>
    <w:rsid w:val="1719083F"/>
    <w:rsid w:val="1738DF8C"/>
    <w:rsid w:val="173E8B18"/>
    <w:rsid w:val="1752843C"/>
    <w:rsid w:val="17555A12"/>
    <w:rsid w:val="1755DA57"/>
    <w:rsid w:val="177131E0"/>
    <w:rsid w:val="17766351"/>
    <w:rsid w:val="1776A410"/>
    <w:rsid w:val="1777648E"/>
    <w:rsid w:val="17802328"/>
    <w:rsid w:val="1786D6CC"/>
    <w:rsid w:val="17901121"/>
    <w:rsid w:val="1795B09E"/>
    <w:rsid w:val="179B5B26"/>
    <w:rsid w:val="179CCCDB"/>
    <w:rsid w:val="17A9F498"/>
    <w:rsid w:val="17AA1F9F"/>
    <w:rsid w:val="17B128AA"/>
    <w:rsid w:val="17C2609E"/>
    <w:rsid w:val="17D84051"/>
    <w:rsid w:val="17E9D954"/>
    <w:rsid w:val="17FE706C"/>
    <w:rsid w:val="1801C0E2"/>
    <w:rsid w:val="180C99FA"/>
    <w:rsid w:val="180E9B8E"/>
    <w:rsid w:val="1811CBBA"/>
    <w:rsid w:val="1819A8F1"/>
    <w:rsid w:val="182DF051"/>
    <w:rsid w:val="182E6C22"/>
    <w:rsid w:val="1845950F"/>
    <w:rsid w:val="18465692"/>
    <w:rsid w:val="1848A47C"/>
    <w:rsid w:val="18514AF0"/>
    <w:rsid w:val="18534225"/>
    <w:rsid w:val="1853497F"/>
    <w:rsid w:val="186FDCA8"/>
    <w:rsid w:val="18773244"/>
    <w:rsid w:val="18805839"/>
    <w:rsid w:val="1883E0EC"/>
    <w:rsid w:val="1884ACEB"/>
    <w:rsid w:val="1894FAD8"/>
    <w:rsid w:val="1899E0B5"/>
    <w:rsid w:val="189AC059"/>
    <w:rsid w:val="18A1E3D5"/>
    <w:rsid w:val="18A5C995"/>
    <w:rsid w:val="18B966B3"/>
    <w:rsid w:val="18BF5A70"/>
    <w:rsid w:val="18CD92A2"/>
    <w:rsid w:val="18CEDD04"/>
    <w:rsid w:val="18DC6236"/>
    <w:rsid w:val="18DD66C1"/>
    <w:rsid w:val="18DDA912"/>
    <w:rsid w:val="18EA6C96"/>
    <w:rsid w:val="18F69D09"/>
    <w:rsid w:val="1908F2E8"/>
    <w:rsid w:val="19191B52"/>
    <w:rsid w:val="191D088F"/>
    <w:rsid w:val="1922253B"/>
    <w:rsid w:val="1922A72D"/>
    <w:rsid w:val="193D516C"/>
    <w:rsid w:val="194101B4"/>
    <w:rsid w:val="194B8FFB"/>
    <w:rsid w:val="1956DC58"/>
    <w:rsid w:val="1957E61A"/>
    <w:rsid w:val="196000D9"/>
    <w:rsid w:val="196DB048"/>
    <w:rsid w:val="196F8E8C"/>
    <w:rsid w:val="19764ED6"/>
    <w:rsid w:val="1977588D"/>
    <w:rsid w:val="197AA795"/>
    <w:rsid w:val="19810593"/>
    <w:rsid w:val="198941A3"/>
    <w:rsid w:val="198E530D"/>
    <w:rsid w:val="198F49BA"/>
    <w:rsid w:val="1997554C"/>
    <w:rsid w:val="199D2047"/>
    <w:rsid w:val="19A827AC"/>
    <w:rsid w:val="19AEB039"/>
    <w:rsid w:val="19B94D42"/>
    <w:rsid w:val="19CFFFBC"/>
    <w:rsid w:val="19D278C5"/>
    <w:rsid w:val="19D44EF4"/>
    <w:rsid w:val="19D75A02"/>
    <w:rsid w:val="19D7D7AF"/>
    <w:rsid w:val="19D8B622"/>
    <w:rsid w:val="19E3F1DB"/>
    <w:rsid w:val="19E44866"/>
    <w:rsid w:val="19EBC5BC"/>
    <w:rsid w:val="19F13C6B"/>
    <w:rsid w:val="19F26039"/>
    <w:rsid w:val="19F5A238"/>
    <w:rsid w:val="19F6B38C"/>
    <w:rsid w:val="19F744A2"/>
    <w:rsid w:val="19FD885A"/>
    <w:rsid w:val="1A054550"/>
    <w:rsid w:val="1A0986A0"/>
    <w:rsid w:val="1A0CA456"/>
    <w:rsid w:val="1A18E341"/>
    <w:rsid w:val="1A192609"/>
    <w:rsid w:val="1A2399F0"/>
    <w:rsid w:val="1A2F1E5C"/>
    <w:rsid w:val="1A2F78E5"/>
    <w:rsid w:val="1A3176EE"/>
    <w:rsid w:val="1A387C0F"/>
    <w:rsid w:val="1A3FD667"/>
    <w:rsid w:val="1A3FE64F"/>
    <w:rsid w:val="1A41AB6A"/>
    <w:rsid w:val="1A456955"/>
    <w:rsid w:val="1A468AB0"/>
    <w:rsid w:val="1A49B6F4"/>
    <w:rsid w:val="1A558147"/>
    <w:rsid w:val="1A5CB07B"/>
    <w:rsid w:val="1A630014"/>
    <w:rsid w:val="1A6F3E5A"/>
    <w:rsid w:val="1A7221EA"/>
    <w:rsid w:val="1A76E9D5"/>
    <w:rsid w:val="1A8E8242"/>
    <w:rsid w:val="1A943576"/>
    <w:rsid w:val="1A94890A"/>
    <w:rsid w:val="1A96764C"/>
    <w:rsid w:val="1A9D87FB"/>
    <w:rsid w:val="1A9F7C00"/>
    <w:rsid w:val="1AA56267"/>
    <w:rsid w:val="1AA57BE0"/>
    <w:rsid w:val="1ABEE726"/>
    <w:rsid w:val="1AC3C9BF"/>
    <w:rsid w:val="1AC4DA83"/>
    <w:rsid w:val="1ACA8988"/>
    <w:rsid w:val="1AD71364"/>
    <w:rsid w:val="1AD7E7A6"/>
    <w:rsid w:val="1ADFB7DA"/>
    <w:rsid w:val="1B0A435F"/>
    <w:rsid w:val="1B0C9876"/>
    <w:rsid w:val="1B36D99E"/>
    <w:rsid w:val="1B3C5DCE"/>
    <w:rsid w:val="1B3CB6C0"/>
    <w:rsid w:val="1B3F280D"/>
    <w:rsid w:val="1B4B788A"/>
    <w:rsid w:val="1B4DD2A4"/>
    <w:rsid w:val="1B578CC5"/>
    <w:rsid w:val="1B5AB812"/>
    <w:rsid w:val="1B5C1E44"/>
    <w:rsid w:val="1B5E299E"/>
    <w:rsid w:val="1B6970B2"/>
    <w:rsid w:val="1B698E8A"/>
    <w:rsid w:val="1B6C0B00"/>
    <w:rsid w:val="1B7C7409"/>
    <w:rsid w:val="1B7D47EF"/>
    <w:rsid w:val="1B88FEDD"/>
    <w:rsid w:val="1B934FF1"/>
    <w:rsid w:val="1B945E6A"/>
    <w:rsid w:val="1B954228"/>
    <w:rsid w:val="1B9553CC"/>
    <w:rsid w:val="1BBF6794"/>
    <w:rsid w:val="1BC45FF8"/>
    <w:rsid w:val="1BCEBD31"/>
    <w:rsid w:val="1BD4CFC6"/>
    <w:rsid w:val="1BD65317"/>
    <w:rsid w:val="1BFBEBC0"/>
    <w:rsid w:val="1C0051F4"/>
    <w:rsid w:val="1C0EA623"/>
    <w:rsid w:val="1C1E99E0"/>
    <w:rsid w:val="1C2C7DD5"/>
    <w:rsid w:val="1C3238F9"/>
    <w:rsid w:val="1C3AE75F"/>
    <w:rsid w:val="1C3C967B"/>
    <w:rsid w:val="1C423F92"/>
    <w:rsid w:val="1C57E6A5"/>
    <w:rsid w:val="1C602EBD"/>
    <w:rsid w:val="1C6FCCA1"/>
    <w:rsid w:val="1C7207CD"/>
    <w:rsid w:val="1C769496"/>
    <w:rsid w:val="1C76AA38"/>
    <w:rsid w:val="1C77EE58"/>
    <w:rsid w:val="1C82F779"/>
    <w:rsid w:val="1C8D7604"/>
    <w:rsid w:val="1C9101D9"/>
    <w:rsid w:val="1C91248F"/>
    <w:rsid w:val="1C920401"/>
    <w:rsid w:val="1C97FDAC"/>
    <w:rsid w:val="1CA184F7"/>
    <w:rsid w:val="1CA2700A"/>
    <w:rsid w:val="1CA52789"/>
    <w:rsid w:val="1CC69956"/>
    <w:rsid w:val="1CCD249C"/>
    <w:rsid w:val="1CD9765B"/>
    <w:rsid w:val="1CE6724E"/>
    <w:rsid w:val="1CE9F5FA"/>
    <w:rsid w:val="1CF4548C"/>
    <w:rsid w:val="1D002B36"/>
    <w:rsid w:val="1D041FBE"/>
    <w:rsid w:val="1D043B92"/>
    <w:rsid w:val="1D0D2A31"/>
    <w:rsid w:val="1D0F765C"/>
    <w:rsid w:val="1D12C418"/>
    <w:rsid w:val="1D15F7CC"/>
    <w:rsid w:val="1D1AAC4B"/>
    <w:rsid w:val="1D1F6DE1"/>
    <w:rsid w:val="1D21C2AC"/>
    <w:rsid w:val="1D26D9A0"/>
    <w:rsid w:val="1D26E8BD"/>
    <w:rsid w:val="1D29C338"/>
    <w:rsid w:val="1D312111"/>
    <w:rsid w:val="1D319716"/>
    <w:rsid w:val="1D32A9FA"/>
    <w:rsid w:val="1D371D32"/>
    <w:rsid w:val="1D3E47F2"/>
    <w:rsid w:val="1D4314C5"/>
    <w:rsid w:val="1D5F294D"/>
    <w:rsid w:val="1D6E694E"/>
    <w:rsid w:val="1D757611"/>
    <w:rsid w:val="1D78CFD9"/>
    <w:rsid w:val="1D7B3917"/>
    <w:rsid w:val="1D7C3334"/>
    <w:rsid w:val="1D801E2E"/>
    <w:rsid w:val="1D8D900A"/>
    <w:rsid w:val="1DA97C91"/>
    <w:rsid w:val="1DAB5F8C"/>
    <w:rsid w:val="1DBCCDFA"/>
    <w:rsid w:val="1DC62304"/>
    <w:rsid w:val="1DD608B5"/>
    <w:rsid w:val="1DDA1197"/>
    <w:rsid w:val="1DDB7E88"/>
    <w:rsid w:val="1DDC640B"/>
    <w:rsid w:val="1DEAF17A"/>
    <w:rsid w:val="1DF928AD"/>
    <w:rsid w:val="1DFE0F4C"/>
    <w:rsid w:val="1E051D79"/>
    <w:rsid w:val="1E1290D8"/>
    <w:rsid w:val="1E159969"/>
    <w:rsid w:val="1E18FACE"/>
    <w:rsid w:val="1E1EE3CD"/>
    <w:rsid w:val="1E2BAE34"/>
    <w:rsid w:val="1E2FACD8"/>
    <w:rsid w:val="1E36C79D"/>
    <w:rsid w:val="1E3AFD07"/>
    <w:rsid w:val="1E3E7813"/>
    <w:rsid w:val="1E417C00"/>
    <w:rsid w:val="1E4C477D"/>
    <w:rsid w:val="1E4FD34F"/>
    <w:rsid w:val="1E51F861"/>
    <w:rsid w:val="1E53897C"/>
    <w:rsid w:val="1E5A77C8"/>
    <w:rsid w:val="1E61C430"/>
    <w:rsid w:val="1E676FDD"/>
    <w:rsid w:val="1E746F42"/>
    <w:rsid w:val="1E77FC5B"/>
    <w:rsid w:val="1E82416E"/>
    <w:rsid w:val="1E8A7D2F"/>
    <w:rsid w:val="1E916AFD"/>
    <w:rsid w:val="1E99CC26"/>
    <w:rsid w:val="1EA35C7A"/>
    <w:rsid w:val="1EA6712D"/>
    <w:rsid w:val="1EA94563"/>
    <w:rsid w:val="1EABF3DA"/>
    <w:rsid w:val="1EAC2745"/>
    <w:rsid w:val="1EAF4758"/>
    <w:rsid w:val="1EB667E1"/>
    <w:rsid w:val="1EC115BE"/>
    <w:rsid w:val="1EC237F4"/>
    <w:rsid w:val="1EC2AB05"/>
    <w:rsid w:val="1EC7E8A1"/>
    <w:rsid w:val="1EC998DB"/>
    <w:rsid w:val="1EE2AC30"/>
    <w:rsid w:val="1EE8FFE2"/>
    <w:rsid w:val="1EECEB21"/>
    <w:rsid w:val="1EEDFF86"/>
    <w:rsid w:val="1EFE710F"/>
    <w:rsid w:val="1F00D0D8"/>
    <w:rsid w:val="1F049995"/>
    <w:rsid w:val="1F07F4DD"/>
    <w:rsid w:val="1F0A440D"/>
    <w:rsid w:val="1F103559"/>
    <w:rsid w:val="1F1753F0"/>
    <w:rsid w:val="1F1A9DE3"/>
    <w:rsid w:val="1F1D3B2E"/>
    <w:rsid w:val="1F1F7FDE"/>
    <w:rsid w:val="1F231B9D"/>
    <w:rsid w:val="1F237D47"/>
    <w:rsid w:val="1F2D86F5"/>
    <w:rsid w:val="1F428130"/>
    <w:rsid w:val="1F47806A"/>
    <w:rsid w:val="1F483FFF"/>
    <w:rsid w:val="1F560DDE"/>
    <w:rsid w:val="1F5828BA"/>
    <w:rsid w:val="1F5AE958"/>
    <w:rsid w:val="1F5BAFDB"/>
    <w:rsid w:val="1F6D33FD"/>
    <w:rsid w:val="1F6F3E12"/>
    <w:rsid w:val="1F7061A6"/>
    <w:rsid w:val="1F8C5D81"/>
    <w:rsid w:val="1F91E967"/>
    <w:rsid w:val="1F9E0941"/>
    <w:rsid w:val="1F9E7317"/>
    <w:rsid w:val="1F9FDE51"/>
    <w:rsid w:val="1FB50BD5"/>
    <w:rsid w:val="1FB7FEF9"/>
    <w:rsid w:val="1FBAB42E"/>
    <w:rsid w:val="1FBF5C03"/>
    <w:rsid w:val="1FC6561D"/>
    <w:rsid w:val="1FC7CF2E"/>
    <w:rsid w:val="1FD6351F"/>
    <w:rsid w:val="1FD7FF1C"/>
    <w:rsid w:val="1FDABFD2"/>
    <w:rsid w:val="1FE41846"/>
    <w:rsid w:val="1FE60B42"/>
    <w:rsid w:val="1FFF0EEC"/>
    <w:rsid w:val="2002D7BA"/>
    <w:rsid w:val="200A9BBF"/>
    <w:rsid w:val="200C29AC"/>
    <w:rsid w:val="200D136F"/>
    <w:rsid w:val="200F5702"/>
    <w:rsid w:val="200FB638"/>
    <w:rsid w:val="201AE051"/>
    <w:rsid w:val="203093DC"/>
    <w:rsid w:val="20440541"/>
    <w:rsid w:val="204DC8D2"/>
    <w:rsid w:val="20513FBA"/>
    <w:rsid w:val="2054CF5A"/>
    <w:rsid w:val="2055BC1F"/>
    <w:rsid w:val="205C2087"/>
    <w:rsid w:val="2065693C"/>
    <w:rsid w:val="206A90D4"/>
    <w:rsid w:val="2070E1CD"/>
    <w:rsid w:val="207120BC"/>
    <w:rsid w:val="20735F33"/>
    <w:rsid w:val="2074B660"/>
    <w:rsid w:val="20968D91"/>
    <w:rsid w:val="209F170D"/>
    <w:rsid w:val="20A41330"/>
    <w:rsid w:val="20AB17F9"/>
    <w:rsid w:val="20B68B65"/>
    <w:rsid w:val="20B9A700"/>
    <w:rsid w:val="20BBAF6E"/>
    <w:rsid w:val="20C768C6"/>
    <w:rsid w:val="20D259DB"/>
    <w:rsid w:val="20DFB01D"/>
    <w:rsid w:val="20E665AB"/>
    <w:rsid w:val="20E9A148"/>
    <w:rsid w:val="20EF5D56"/>
    <w:rsid w:val="210046F6"/>
    <w:rsid w:val="21044415"/>
    <w:rsid w:val="2108938E"/>
    <w:rsid w:val="210BEFB9"/>
    <w:rsid w:val="2114BE1A"/>
    <w:rsid w:val="21269DD3"/>
    <w:rsid w:val="212C7968"/>
    <w:rsid w:val="2145D0FA"/>
    <w:rsid w:val="21553C44"/>
    <w:rsid w:val="21554122"/>
    <w:rsid w:val="2157E3AD"/>
    <w:rsid w:val="21621BB2"/>
    <w:rsid w:val="2163997B"/>
    <w:rsid w:val="21640FD1"/>
    <w:rsid w:val="217A1CA1"/>
    <w:rsid w:val="217A6749"/>
    <w:rsid w:val="2186F43D"/>
    <w:rsid w:val="218CCFFD"/>
    <w:rsid w:val="218E2E4E"/>
    <w:rsid w:val="219B1899"/>
    <w:rsid w:val="21A53390"/>
    <w:rsid w:val="21AC195B"/>
    <w:rsid w:val="21BB47CB"/>
    <w:rsid w:val="21BC9C65"/>
    <w:rsid w:val="21C7D0B2"/>
    <w:rsid w:val="21C92229"/>
    <w:rsid w:val="21CCF094"/>
    <w:rsid w:val="21D1D856"/>
    <w:rsid w:val="21D34A97"/>
    <w:rsid w:val="21D56071"/>
    <w:rsid w:val="21E9751C"/>
    <w:rsid w:val="21F350FB"/>
    <w:rsid w:val="21F77448"/>
    <w:rsid w:val="21FC8EDA"/>
    <w:rsid w:val="21FD6BA3"/>
    <w:rsid w:val="21FFD6F9"/>
    <w:rsid w:val="22017E1C"/>
    <w:rsid w:val="22085D1D"/>
    <w:rsid w:val="220ADC3C"/>
    <w:rsid w:val="22187843"/>
    <w:rsid w:val="221ED7E3"/>
    <w:rsid w:val="22299A12"/>
    <w:rsid w:val="222ED9AE"/>
    <w:rsid w:val="223672B2"/>
    <w:rsid w:val="22390E6D"/>
    <w:rsid w:val="22420D42"/>
    <w:rsid w:val="22439715"/>
    <w:rsid w:val="22467449"/>
    <w:rsid w:val="22471F59"/>
    <w:rsid w:val="224F6CB8"/>
    <w:rsid w:val="224FC19A"/>
    <w:rsid w:val="225C6DE9"/>
    <w:rsid w:val="22602858"/>
    <w:rsid w:val="22667FA9"/>
    <w:rsid w:val="2268CA1A"/>
    <w:rsid w:val="2269B887"/>
    <w:rsid w:val="226C8EE4"/>
    <w:rsid w:val="227249D9"/>
    <w:rsid w:val="2275F2F3"/>
    <w:rsid w:val="227662CC"/>
    <w:rsid w:val="228571A9"/>
    <w:rsid w:val="22891C2B"/>
    <w:rsid w:val="228C04AA"/>
    <w:rsid w:val="22937B99"/>
    <w:rsid w:val="22941AB6"/>
    <w:rsid w:val="22956497"/>
    <w:rsid w:val="2297DC79"/>
    <w:rsid w:val="229BFC82"/>
    <w:rsid w:val="22A064F3"/>
    <w:rsid w:val="22A451B2"/>
    <w:rsid w:val="22B4A0FE"/>
    <w:rsid w:val="22B617AA"/>
    <w:rsid w:val="22C65023"/>
    <w:rsid w:val="22C7B12F"/>
    <w:rsid w:val="22C8A50B"/>
    <w:rsid w:val="22C9B9A3"/>
    <w:rsid w:val="22D81590"/>
    <w:rsid w:val="22E349B5"/>
    <w:rsid w:val="22E9AA3D"/>
    <w:rsid w:val="22EF9E6E"/>
    <w:rsid w:val="230309A6"/>
    <w:rsid w:val="2311377B"/>
    <w:rsid w:val="2328B79C"/>
    <w:rsid w:val="233179BB"/>
    <w:rsid w:val="2336EF4E"/>
    <w:rsid w:val="233A5271"/>
    <w:rsid w:val="234B8C83"/>
    <w:rsid w:val="234CA19A"/>
    <w:rsid w:val="236102E6"/>
    <w:rsid w:val="236B48DE"/>
    <w:rsid w:val="236F35DC"/>
    <w:rsid w:val="23751C94"/>
    <w:rsid w:val="23813A01"/>
    <w:rsid w:val="2385B6D0"/>
    <w:rsid w:val="238899DE"/>
    <w:rsid w:val="2391D49C"/>
    <w:rsid w:val="23B71C6F"/>
    <w:rsid w:val="23BAEBB8"/>
    <w:rsid w:val="23C7F894"/>
    <w:rsid w:val="23EFAEE3"/>
    <w:rsid w:val="23FE2A5A"/>
    <w:rsid w:val="2424DB24"/>
    <w:rsid w:val="24263E7F"/>
    <w:rsid w:val="242A9754"/>
    <w:rsid w:val="24318EC4"/>
    <w:rsid w:val="243248DE"/>
    <w:rsid w:val="243D5F53"/>
    <w:rsid w:val="2446137E"/>
    <w:rsid w:val="2449228F"/>
    <w:rsid w:val="24560344"/>
    <w:rsid w:val="245A32FE"/>
    <w:rsid w:val="2461E140"/>
    <w:rsid w:val="2466FF20"/>
    <w:rsid w:val="24789EAA"/>
    <w:rsid w:val="24817C9E"/>
    <w:rsid w:val="2482D988"/>
    <w:rsid w:val="24947F97"/>
    <w:rsid w:val="24AFCC2F"/>
    <w:rsid w:val="24B56BAC"/>
    <w:rsid w:val="24B8301F"/>
    <w:rsid w:val="24B95A44"/>
    <w:rsid w:val="24C6EB29"/>
    <w:rsid w:val="24CB4C55"/>
    <w:rsid w:val="24CCC216"/>
    <w:rsid w:val="24D7487D"/>
    <w:rsid w:val="24DAB9CC"/>
    <w:rsid w:val="24E147D6"/>
    <w:rsid w:val="24E2970F"/>
    <w:rsid w:val="24EB2C75"/>
    <w:rsid w:val="24EC81C1"/>
    <w:rsid w:val="24F02A28"/>
    <w:rsid w:val="24F24085"/>
    <w:rsid w:val="250B6F99"/>
    <w:rsid w:val="250C8A83"/>
    <w:rsid w:val="250E7C2C"/>
    <w:rsid w:val="25114423"/>
    <w:rsid w:val="2513DD56"/>
    <w:rsid w:val="251B5425"/>
    <w:rsid w:val="251FEDC8"/>
    <w:rsid w:val="2524C95E"/>
    <w:rsid w:val="2525C78B"/>
    <w:rsid w:val="252B407C"/>
    <w:rsid w:val="252B913F"/>
    <w:rsid w:val="25370AE1"/>
    <w:rsid w:val="253F6882"/>
    <w:rsid w:val="25443208"/>
    <w:rsid w:val="25494531"/>
    <w:rsid w:val="25589C70"/>
    <w:rsid w:val="255CEB57"/>
    <w:rsid w:val="256DFECA"/>
    <w:rsid w:val="25840307"/>
    <w:rsid w:val="2596B83C"/>
    <w:rsid w:val="25A2994C"/>
    <w:rsid w:val="25A5EE69"/>
    <w:rsid w:val="25A9575C"/>
    <w:rsid w:val="25AB41A5"/>
    <w:rsid w:val="25ACBC09"/>
    <w:rsid w:val="25B7F56E"/>
    <w:rsid w:val="25C85088"/>
    <w:rsid w:val="25F39E11"/>
    <w:rsid w:val="25F96D11"/>
    <w:rsid w:val="260290C6"/>
    <w:rsid w:val="260B3135"/>
    <w:rsid w:val="261EE336"/>
    <w:rsid w:val="261FC6E5"/>
    <w:rsid w:val="26247C72"/>
    <w:rsid w:val="262842DC"/>
    <w:rsid w:val="26327E64"/>
    <w:rsid w:val="26333D3D"/>
    <w:rsid w:val="263756FF"/>
    <w:rsid w:val="2637E6C9"/>
    <w:rsid w:val="263CAC02"/>
    <w:rsid w:val="263FFC3A"/>
    <w:rsid w:val="2657352A"/>
    <w:rsid w:val="265DA2E6"/>
    <w:rsid w:val="265FFF02"/>
    <w:rsid w:val="266F0E0D"/>
    <w:rsid w:val="267526ED"/>
    <w:rsid w:val="267AF5FE"/>
    <w:rsid w:val="2680A17C"/>
    <w:rsid w:val="26817B4F"/>
    <w:rsid w:val="268DBDAE"/>
    <w:rsid w:val="26974898"/>
    <w:rsid w:val="26B9AA94"/>
    <w:rsid w:val="26D177EE"/>
    <w:rsid w:val="26DB2BF0"/>
    <w:rsid w:val="26E4F148"/>
    <w:rsid w:val="26F8629C"/>
    <w:rsid w:val="26F8A4B1"/>
    <w:rsid w:val="27161E14"/>
    <w:rsid w:val="271C7DE2"/>
    <w:rsid w:val="2727D8D5"/>
    <w:rsid w:val="27345572"/>
    <w:rsid w:val="27390227"/>
    <w:rsid w:val="27468215"/>
    <w:rsid w:val="274E3093"/>
    <w:rsid w:val="275172F7"/>
    <w:rsid w:val="27542239"/>
    <w:rsid w:val="2762CCA8"/>
    <w:rsid w:val="2764F3AD"/>
    <w:rsid w:val="2768335D"/>
    <w:rsid w:val="27754D5C"/>
    <w:rsid w:val="277ABCCC"/>
    <w:rsid w:val="2781A2EC"/>
    <w:rsid w:val="278899F9"/>
    <w:rsid w:val="27896A05"/>
    <w:rsid w:val="278F8956"/>
    <w:rsid w:val="278FCFF2"/>
    <w:rsid w:val="27B55438"/>
    <w:rsid w:val="27BA9D96"/>
    <w:rsid w:val="27BD7AC0"/>
    <w:rsid w:val="27C14AB9"/>
    <w:rsid w:val="27D45121"/>
    <w:rsid w:val="27D7D152"/>
    <w:rsid w:val="27E10824"/>
    <w:rsid w:val="27E6BA0D"/>
    <w:rsid w:val="27E8816D"/>
    <w:rsid w:val="27E91221"/>
    <w:rsid w:val="27EAB1CE"/>
    <w:rsid w:val="27F02058"/>
    <w:rsid w:val="27FCF35C"/>
    <w:rsid w:val="2807E9F0"/>
    <w:rsid w:val="280CA3F0"/>
    <w:rsid w:val="280D8176"/>
    <w:rsid w:val="280DF047"/>
    <w:rsid w:val="281C2902"/>
    <w:rsid w:val="281E9EB3"/>
    <w:rsid w:val="281FB544"/>
    <w:rsid w:val="282AAE48"/>
    <w:rsid w:val="28408164"/>
    <w:rsid w:val="28428BD8"/>
    <w:rsid w:val="284421CA"/>
    <w:rsid w:val="2849BCA4"/>
    <w:rsid w:val="284B55AF"/>
    <w:rsid w:val="284CFCB8"/>
    <w:rsid w:val="284F583A"/>
    <w:rsid w:val="2852CE27"/>
    <w:rsid w:val="285485BB"/>
    <w:rsid w:val="2857DE98"/>
    <w:rsid w:val="285CFBA9"/>
    <w:rsid w:val="2861A7B6"/>
    <w:rsid w:val="28642343"/>
    <w:rsid w:val="2868CC02"/>
    <w:rsid w:val="28770944"/>
    <w:rsid w:val="288919FC"/>
    <w:rsid w:val="2895844E"/>
    <w:rsid w:val="28A1F27C"/>
    <w:rsid w:val="28A4B0FF"/>
    <w:rsid w:val="28A6D18A"/>
    <w:rsid w:val="28AE63F2"/>
    <w:rsid w:val="28BFCC82"/>
    <w:rsid w:val="28C1CCDB"/>
    <w:rsid w:val="28C3DFCB"/>
    <w:rsid w:val="28D2ACF5"/>
    <w:rsid w:val="28D41D77"/>
    <w:rsid w:val="28DB8038"/>
    <w:rsid w:val="28DCB4A9"/>
    <w:rsid w:val="28EF9256"/>
    <w:rsid w:val="28F503B1"/>
    <w:rsid w:val="28F5B501"/>
    <w:rsid w:val="28F91D6C"/>
    <w:rsid w:val="2902DE64"/>
    <w:rsid w:val="2909298E"/>
    <w:rsid w:val="2918DC25"/>
    <w:rsid w:val="292133BF"/>
    <w:rsid w:val="29238063"/>
    <w:rsid w:val="29264DBF"/>
    <w:rsid w:val="292A6D43"/>
    <w:rsid w:val="293FF871"/>
    <w:rsid w:val="2942A889"/>
    <w:rsid w:val="2950DA87"/>
    <w:rsid w:val="2959B66D"/>
    <w:rsid w:val="29605CC4"/>
    <w:rsid w:val="29609B08"/>
    <w:rsid w:val="29619674"/>
    <w:rsid w:val="2961C938"/>
    <w:rsid w:val="296A1D1B"/>
    <w:rsid w:val="296A1F19"/>
    <w:rsid w:val="296A6839"/>
    <w:rsid w:val="296A6EBE"/>
    <w:rsid w:val="296E8A3E"/>
    <w:rsid w:val="2978F56C"/>
    <w:rsid w:val="2979B1A3"/>
    <w:rsid w:val="297F2C5D"/>
    <w:rsid w:val="29819671"/>
    <w:rsid w:val="2990EBA8"/>
    <w:rsid w:val="29960F78"/>
    <w:rsid w:val="29A835C0"/>
    <w:rsid w:val="29A8E0BB"/>
    <w:rsid w:val="29AE1352"/>
    <w:rsid w:val="29AF3E6F"/>
    <w:rsid w:val="29B296C0"/>
    <w:rsid w:val="29B2EF80"/>
    <w:rsid w:val="29B5E6B9"/>
    <w:rsid w:val="29B81D90"/>
    <w:rsid w:val="29CB9C09"/>
    <w:rsid w:val="29CF1679"/>
    <w:rsid w:val="29F186A9"/>
    <w:rsid w:val="29F32EBB"/>
    <w:rsid w:val="29FA9CB0"/>
    <w:rsid w:val="2A0D69FC"/>
    <w:rsid w:val="2A24E4EE"/>
    <w:rsid w:val="2A2B08B7"/>
    <w:rsid w:val="2A2EFD8D"/>
    <w:rsid w:val="2A317E8E"/>
    <w:rsid w:val="2A386C3B"/>
    <w:rsid w:val="2A40B02B"/>
    <w:rsid w:val="2A453333"/>
    <w:rsid w:val="2A48E750"/>
    <w:rsid w:val="2A64549C"/>
    <w:rsid w:val="2A742548"/>
    <w:rsid w:val="2A75F53C"/>
    <w:rsid w:val="2A7783C4"/>
    <w:rsid w:val="2A7C22B9"/>
    <w:rsid w:val="2A7CEE41"/>
    <w:rsid w:val="2A7DDB8F"/>
    <w:rsid w:val="2A80DE93"/>
    <w:rsid w:val="2A8217C4"/>
    <w:rsid w:val="2A83F7D5"/>
    <w:rsid w:val="2A886323"/>
    <w:rsid w:val="2A8FE0AF"/>
    <w:rsid w:val="2A977D13"/>
    <w:rsid w:val="2A988BB0"/>
    <w:rsid w:val="2A99D161"/>
    <w:rsid w:val="2A9B0DCD"/>
    <w:rsid w:val="2AABB81C"/>
    <w:rsid w:val="2AC415D8"/>
    <w:rsid w:val="2AC4BA89"/>
    <w:rsid w:val="2AD62ECB"/>
    <w:rsid w:val="2AE29CDF"/>
    <w:rsid w:val="2AE3430C"/>
    <w:rsid w:val="2AE3C9FA"/>
    <w:rsid w:val="2AEA333D"/>
    <w:rsid w:val="2AEDCEA6"/>
    <w:rsid w:val="2AEF776D"/>
    <w:rsid w:val="2AF129B9"/>
    <w:rsid w:val="2AF2B74C"/>
    <w:rsid w:val="2AFA1963"/>
    <w:rsid w:val="2AFA2F47"/>
    <w:rsid w:val="2B0262E0"/>
    <w:rsid w:val="2B03F5B1"/>
    <w:rsid w:val="2B0D4B7E"/>
    <w:rsid w:val="2B0DA0B8"/>
    <w:rsid w:val="2B1352C2"/>
    <w:rsid w:val="2B148541"/>
    <w:rsid w:val="2B1888C6"/>
    <w:rsid w:val="2B29BE6B"/>
    <w:rsid w:val="2B2C625C"/>
    <w:rsid w:val="2B2D1583"/>
    <w:rsid w:val="2B333318"/>
    <w:rsid w:val="2B374AD2"/>
    <w:rsid w:val="2B3A9B76"/>
    <w:rsid w:val="2B440621"/>
    <w:rsid w:val="2B441BEF"/>
    <w:rsid w:val="2B447926"/>
    <w:rsid w:val="2B5A9EF6"/>
    <w:rsid w:val="2B5F17D5"/>
    <w:rsid w:val="2B5F616E"/>
    <w:rsid w:val="2B6030DA"/>
    <w:rsid w:val="2B696835"/>
    <w:rsid w:val="2B6ED991"/>
    <w:rsid w:val="2B7416CE"/>
    <w:rsid w:val="2B755EA4"/>
    <w:rsid w:val="2B7CF5B5"/>
    <w:rsid w:val="2B812813"/>
    <w:rsid w:val="2B82B21B"/>
    <w:rsid w:val="2B833368"/>
    <w:rsid w:val="2B86B773"/>
    <w:rsid w:val="2B86D199"/>
    <w:rsid w:val="2B89C9C5"/>
    <w:rsid w:val="2B8C45C8"/>
    <w:rsid w:val="2B936BB9"/>
    <w:rsid w:val="2B9785E4"/>
    <w:rsid w:val="2BB1047C"/>
    <w:rsid w:val="2BB753FB"/>
    <w:rsid w:val="2BB936DC"/>
    <w:rsid w:val="2BC5977E"/>
    <w:rsid w:val="2BD762C1"/>
    <w:rsid w:val="2BDF817A"/>
    <w:rsid w:val="2BE36B19"/>
    <w:rsid w:val="2BEE3632"/>
    <w:rsid w:val="2BF0C578"/>
    <w:rsid w:val="2BF1C7E5"/>
    <w:rsid w:val="2C02DB7A"/>
    <w:rsid w:val="2C032BEB"/>
    <w:rsid w:val="2C03ACDC"/>
    <w:rsid w:val="2C0F87BA"/>
    <w:rsid w:val="2C160BAD"/>
    <w:rsid w:val="2C2F0E17"/>
    <w:rsid w:val="2C311E8E"/>
    <w:rsid w:val="2C366ABA"/>
    <w:rsid w:val="2C3BDE0A"/>
    <w:rsid w:val="2C44EC16"/>
    <w:rsid w:val="2C45E96D"/>
    <w:rsid w:val="2C57B43F"/>
    <w:rsid w:val="2C5C45CE"/>
    <w:rsid w:val="2C61330B"/>
    <w:rsid w:val="2C8EE54A"/>
    <w:rsid w:val="2C95FFA8"/>
    <w:rsid w:val="2C96B903"/>
    <w:rsid w:val="2C9B5E68"/>
    <w:rsid w:val="2CA91BDF"/>
    <w:rsid w:val="2CCCF2F5"/>
    <w:rsid w:val="2CCF3FA3"/>
    <w:rsid w:val="2CE671C2"/>
    <w:rsid w:val="2CE8F646"/>
    <w:rsid w:val="2CEA076E"/>
    <w:rsid w:val="2CEA3782"/>
    <w:rsid w:val="2CF07161"/>
    <w:rsid w:val="2CF7304B"/>
    <w:rsid w:val="2D028245"/>
    <w:rsid w:val="2D0B6D5A"/>
    <w:rsid w:val="2D129237"/>
    <w:rsid w:val="2D2D782E"/>
    <w:rsid w:val="2D2F1872"/>
    <w:rsid w:val="2D3419C0"/>
    <w:rsid w:val="2D365044"/>
    <w:rsid w:val="2D37C5FB"/>
    <w:rsid w:val="2D3BC147"/>
    <w:rsid w:val="2D3E9A4A"/>
    <w:rsid w:val="2D49E335"/>
    <w:rsid w:val="2D62D620"/>
    <w:rsid w:val="2D665E31"/>
    <w:rsid w:val="2D684920"/>
    <w:rsid w:val="2D6B41F6"/>
    <w:rsid w:val="2D7DEEEE"/>
    <w:rsid w:val="2D8529B8"/>
    <w:rsid w:val="2D883CF2"/>
    <w:rsid w:val="2D95DD51"/>
    <w:rsid w:val="2D96764F"/>
    <w:rsid w:val="2D9B0C2A"/>
    <w:rsid w:val="2D9F5295"/>
    <w:rsid w:val="2DA8F432"/>
    <w:rsid w:val="2DB87F55"/>
    <w:rsid w:val="2DC6D900"/>
    <w:rsid w:val="2DC6FBDD"/>
    <w:rsid w:val="2DCC5BF0"/>
    <w:rsid w:val="2DCCD639"/>
    <w:rsid w:val="2DCD6722"/>
    <w:rsid w:val="2DD040F4"/>
    <w:rsid w:val="2DD115AE"/>
    <w:rsid w:val="2DE08155"/>
    <w:rsid w:val="2DE451AB"/>
    <w:rsid w:val="2DEE110B"/>
    <w:rsid w:val="2DF51B68"/>
    <w:rsid w:val="2DFAE890"/>
    <w:rsid w:val="2E03EA96"/>
    <w:rsid w:val="2E067340"/>
    <w:rsid w:val="2E101F97"/>
    <w:rsid w:val="2E1C93A1"/>
    <w:rsid w:val="2E1F3E4F"/>
    <w:rsid w:val="2E31D009"/>
    <w:rsid w:val="2E340C2B"/>
    <w:rsid w:val="2E58F68C"/>
    <w:rsid w:val="2E65E644"/>
    <w:rsid w:val="2E6C12C9"/>
    <w:rsid w:val="2E734506"/>
    <w:rsid w:val="2E7FEDCB"/>
    <w:rsid w:val="2E82CC4C"/>
    <w:rsid w:val="2E8D1925"/>
    <w:rsid w:val="2EA7B915"/>
    <w:rsid w:val="2EB76BE9"/>
    <w:rsid w:val="2EC0B629"/>
    <w:rsid w:val="2EC2FF9A"/>
    <w:rsid w:val="2EC683DD"/>
    <w:rsid w:val="2ECAA9DA"/>
    <w:rsid w:val="2ED009C1"/>
    <w:rsid w:val="2ED3A966"/>
    <w:rsid w:val="2EE2E4E5"/>
    <w:rsid w:val="2EE90B34"/>
    <w:rsid w:val="2EEFB060"/>
    <w:rsid w:val="2EF7F7B4"/>
    <w:rsid w:val="2EFD24DF"/>
    <w:rsid w:val="2F046938"/>
    <w:rsid w:val="2F07CD8F"/>
    <w:rsid w:val="2F10C928"/>
    <w:rsid w:val="2F1616D9"/>
    <w:rsid w:val="2F25B15C"/>
    <w:rsid w:val="2F263ECB"/>
    <w:rsid w:val="2F2A2697"/>
    <w:rsid w:val="2F2C5DA5"/>
    <w:rsid w:val="2F33FFB9"/>
    <w:rsid w:val="2F3C2781"/>
    <w:rsid w:val="2F42ECDE"/>
    <w:rsid w:val="2F47287C"/>
    <w:rsid w:val="2F5BE8AD"/>
    <w:rsid w:val="2F62D190"/>
    <w:rsid w:val="2F6D8938"/>
    <w:rsid w:val="2F704055"/>
    <w:rsid w:val="2F8520D4"/>
    <w:rsid w:val="2F9C53CE"/>
    <w:rsid w:val="2FA63E85"/>
    <w:rsid w:val="2FA66DBF"/>
    <w:rsid w:val="2FA92867"/>
    <w:rsid w:val="2FBAE30F"/>
    <w:rsid w:val="2FBD89BC"/>
    <w:rsid w:val="2FC00020"/>
    <w:rsid w:val="2FC94D17"/>
    <w:rsid w:val="2FCD1A1F"/>
    <w:rsid w:val="2FCFAA6D"/>
    <w:rsid w:val="2FD25418"/>
    <w:rsid w:val="2FD4754C"/>
    <w:rsid w:val="2FD891B8"/>
    <w:rsid w:val="2FDFB641"/>
    <w:rsid w:val="2FE988BF"/>
    <w:rsid w:val="2FF04A0C"/>
    <w:rsid w:val="300E128A"/>
    <w:rsid w:val="30147BC0"/>
    <w:rsid w:val="30281223"/>
    <w:rsid w:val="3030D4D0"/>
    <w:rsid w:val="3030DFD5"/>
    <w:rsid w:val="303E9199"/>
    <w:rsid w:val="3043C8BC"/>
    <w:rsid w:val="304C4A89"/>
    <w:rsid w:val="304E532D"/>
    <w:rsid w:val="30519E88"/>
    <w:rsid w:val="30618E0B"/>
    <w:rsid w:val="3063EF3B"/>
    <w:rsid w:val="3064FFF5"/>
    <w:rsid w:val="306738C3"/>
    <w:rsid w:val="3073EB4E"/>
    <w:rsid w:val="30801257"/>
    <w:rsid w:val="3080FC6B"/>
    <w:rsid w:val="30876DD6"/>
    <w:rsid w:val="308F5B37"/>
    <w:rsid w:val="30918217"/>
    <w:rsid w:val="30B8FE6F"/>
    <w:rsid w:val="30C15F2C"/>
    <w:rsid w:val="30C2F421"/>
    <w:rsid w:val="30CB1ADD"/>
    <w:rsid w:val="30D857E3"/>
    <w:rsid w:val="30E7331E"/>
    <w:rsid w:val="30E8F0CD"/>
    <w:rsid w:val="30E97458"/>
    <w:rsid w:val="30E9CE55"/>
    <w:rsid w:val="30EA26C2"/>
    <w:rsid w:val="30F9B582"/>
    <w:rsid w:val="30FC72DA"/>
    <w:rsid w:val="30FFC512"/>
    <w:rsid w:val="310136F3"/>
    <w:rsid w:val="3105242C"/>
    <w:rsid w:val="310D270A"/>
    <w:rsid w:val="311B0E5E"/>
    <w:rsid w:val="311DFBD9"/>
    <w:rsid w:val="311EEEC3"/>
    <w:rsid w:val="311F8D4F"/>
    <w:rsid w:val="3140A38C"/>
    <w:rsid w:val="3147B9BD"/>
    <w:rsid w:val="314857B0"/>
    <w:rsid w:val="3157EE47"/>
    <w:rsid w:val="315BD081"/>
    <w:rsid w:val="315D5CD1"/>
    <w:rsid w:val="315EA3EE"/>
    <w:rsid w:val="3160BF21"/>
    <w:rsid w:val="3161280D"/>
    <w:rsid w:val="316C9124"/>
    <w:rsid w:val="31716E25"/>
    <w:rsid w:val="3176885A"/>
    <w:rsid w:val="3188337A"/>
    <w:rsid w:val="31A265D8"/>
    <w:rsid w:val="31A733EE"/>
    <w:rsid w:val="31A9E2EB"/>
    <w:rsid w:val="31AE901B"/>
    <w:rsid w:val="31AF28B5"/>
    <w:rsid w:val="31BBD967"/>
    <w:rsid w:val="31C728E7"/>
    <w:rsid w:val="31D2B946"/>
    <w:rsid w:val="31E044F2"/>
    <w:rsid w:val="31ECCB37"/>
    <w:rsid w:val="31EFBAED"/>
    <w:rsid w:val="31FB3982"/>
    <w:rsid w:val="31FE0953"/>
    <w:rsid w:val="320066E6"/>
    <w:rsid w:val="32006AA0"/>
    <w:rsid w:val="3201410B"/>
    <w:rsid w:val="322A181F"/>
    <w:rsid w:val="3235EDD3"/>
    <w:rsid w:val="323EC6C0"/>
    <w:rsid w:val="3251ED48"/>
    <w:rsid w:val="325AFFD8"/>
    <w:rsid w:val="32603FD1"/>
    <w:rsid w:val="32660F92"/>
    <w:rsid w:val="3266CCD6"/>
    <w:rsid w:val="326E96E2"/>
    <w:rsid w:val="327A2BD3"/>
    <w:rsid w:val="327F1107"/>
    <w:rsid w:val="3290D751"/>
    <w:rsid w:val="32A3D9F2"/>
    <w:rsid w:val="32AA5057"/>
    <w:rsid w:val="32ABA021"/>
    <w:rsid w:val="32B13345"/>
    <w:rsid w:val="32B9F98C"/>
    <w:rsid w:val="32BAB7F6"/>
    <w:rsid w:val="32BFBE8B"/>
    <w:rsid w:val="32C43348"/>
    <w:rsid w:val="32C7A06B"/>
    <w:rsid w:val="32C94D32"/>
    <w:rsid w:val="32CDB3AD"/>
    <w:rsid w:val="32D2A170"/>
    <w:rsid w:val="32DA9F72"/>
    <w:rsid w:val="32EC31CA"/>
    <w:rsid w:val="32F113C8"/>
    <w:rsid w:val="32FEA7A2"/>
    <w:rsid w:val="32FF1B8A"/>
    <w:rsid w:val="330770C8"/>
    <w:rsid w:val="331AD992"/>
    <w:rsid w:val="33284592"/>
    <w:rsid w:val="332BFAA7"/>
    <w:rsid w:val="332FF673"/>
    <w:rsid w:val="333420B7"/>
    <w:rsid w:val="333F5638"/>
    <w:rsid w:val="3341110D"/>
    <w:rsid w:val="33479D18"/>
    <w:rsid w:val="334B1501"/>
    <w:rsid w:val="33538139"/>
    <w:rsid w:val="336C3149"/>
    <w:rsid w:val="336E0562"/>
    <w:rsid w:val="338F0D4C"/>
    <w:rsid w:val="338FB69E"/>
    <w:rsid w:val="339496A6"/>
    <w:rsid w:val="3394C37E"/>
    <w:rsid w:val="33974123"/>
    <w:rsid w:val="339A1B99"/>
    <w:rsid w:val="339FAA76"/>
    <w:rsid w:val="33B0DFF7"/>
    <w:rsid w:val="33BCC3B0"/>
    <w:rsid w:val="33C1E63B"/>
    <w:rsid w:val="33D2EB8A"/>
    <w:rsid w:val="33D5CE58"/>
    <w:rsid w:val="33D9CD0D"/>
    <w:rsid w:val="33E31350"/>
    <w:rsid w:val="33E36D1F"/>
    <w:rsid w:val="33E4A22E"/>
    <w:rsid w:val="33F14DF7"/>
    <w:rsid w:val="33FA1E07"/>
    <w:rsid w:val="33FAF431"/>
    <w:rsid w:val="33FD6F2A"/>
    <w:rsid w:val="340863B2"/>
    <w:rsid w:val="340F30D0"/>
    <w:rsid w:val="341095DB"/>
    <w:rsid w:val="34112FEC"/>
    <w:rsid w:val="341A22A3"/>
    <w:rsid w:val="341B570C"/>
    <w:rsid w:val="341C3BAA"/>
    <w:rsid w:val="3442AFBA"/>
    <w:rsid w:val="3443394F"/>
    <w:rsid w:val="34667F18"/>
    <w:rsid w:val="3469D2C6"/>
    <w:rsid w:val="347EEA5B"/>
    <w:rsid w:val="348AD5D5"/>
    <w:rsid w:val="348E2C3D"/>
    <w:rsid w:val="34B159D2"/>
    <w:rsid w:val="34B6E6A5"/>
    <w:rsid w:val="34CC7BBE"/>
    <w:rsid w:val="34D0F579"/>
    <w:rsid w:val="34D971E3"/>
    <w:rsid w:val="34F6A36F"/>
    <w:rsid w:val="34FAEC4A"/>
    <w:rsid w:val="34FD704A"/>
    <w:rsid w:val="34FEB7AD"/>
    <w:rsid w:val="35070B9C"/>
    <w:rsid w:val="350980B7"/>
    <w:rsid w:val="350FD33D"/>
    <w:rsid w:val="3511C3AE"/>
    <w:rsid w:val="351ED66A"/>
    <w:rsid w:val="35245B68"/>
    <w:rsid w:val="3525B253"/>
    <w:rsid w:val="353645F0"/>
    <w:rsid w:val="35366AE7"/>
    <w:rsid w:val="35375BF7"/>
    <w:rsid w:val="353E50B6"/>
    <w:rsid w:val="35415FC5"/>
    <w:rsid w:val="354B005B"/>
    <w:rsid w:val="354F513A"/>
    <w:rsid w:val="35649BED"/>
    <w:rsid w:val="3565D341"/>
    <w:rsid w:val="356766C4"/>
    <w:rsid w:val="356A1F98"/>
    <w:rsid w:val="3572DF17"/>
    <w:rsid w:val="357B5A44"/>
    <w:rsid w:val="35880ADA"/>
    <w:rsid w:val="35AA12AE"/>
    <w:rsid w:val="35B22D31"/>
    <w:rsid w:val="35B3428C"/>
    <w:rsid w:val="35B75FE7"/>
    <w:rsid w:val="35BA3AC0"/>
    <w:rsid w:val="35C45706"/>
    <w:rsid w:val="35E0996A"/>
    <w:rsid w:val="35E907CF"/>
    <w:rsid w:val="35F0DDD0"/>
    <w:rsid w:val="360059E6"/>
    <w:rsid w:val="360E212E"/>
    <w:rsid w:val="36132506"/>
    <w:rsid w:val="361414AF"/>
    <w:rsid w:val="361F54A8"/>
    <w:rsid w:val="3624B4FC"/>
    <w:rsid w:val="36274270"/>
    <w:rsid w:val="3632A728"/>
    <w:rsid w:val="3633E618"/>
    <w:rsid w:val="363D163B"/>
    <w:rsid w:val="363FD75A"/>
    <w:rsid w:val="364186C8"/>
    <w:rsid w:val="3644490F"/>
    <w:rsid w:val="3648E72E"/>
    <w:rsid w:val="3651CA5C"/>
    <w:rsid w:val="3659F4BD"/>
    <w:rsid w:val="366362E3"/>
    <w:rsid w:val="367C04B5"/>
    <w:rsid w:val="36864B49"/>
    <w:rsid w:val="3694E550"/>
    <w:rsid w:val="369665D1"/>
    <w:rsid w:val="369AB733"/>
    <w:rsid w:val="36A02159"/>
    <w:rsid w:val="36ACB4C8"/>
    <w:rsid w:val="36B5BCE4"/>
    <w:rsid w:val="36C661D7"/>
    <w:rsid w:val="36CB4139"/>
    <w:rsid w:val="36CBF59D"/>
    <w:rsid w:val="36E0600B"/>
    <w:rsid w:val="36E0C4BA"/>
    <w:rsid w:val="36E21316"/>
    <w:rsid w:val="36E7F3D8"/>
    <w:rsid w:val="36F7FDDF"/>
    <w:rsid w:val="36F8580D"/>
    <w:rsid w:val="37087C12"/>
    <w:rsid w:val="370C6C65"/>
    <w:rsid w:val="370D0057"/>
    <w:rsid w:val="370D881F"/>
    <w:rsid w:val="370EBBCB"/>
    <w:rsid w:val="3710BE77"/>
    <w:rsid w:val="37150AC3"/>
    <w:rsid w:val="3716D208"/>
    <w:rsid w:val="3717A2FD"/>
    <w:rsid w:val="3743C118"/>
    <w:rsid w:val="3747AC12"/>
    <w:rsid w:val="37489D55"/>
    <w:rsid w:val="3749CCB3"/>
    <w:rsid w:val="37512444"/>
    <w:rsid w:val="3752BA75"/>
    <w:rsid w:val="375381C8"/>
    <w:rsid w:val="37573EEB"/>
    <w:rsid w:val="376A6402"/>
    <w:rsid w:val="3773B87F"/>
    <w:rsid w:val="3776A6B2"/>
    <w:rsid w:val="377C460B"/>
    <w:rsid w:val="378B2281"/>
    <w:rsid w:val="37912B38"/>
    <w:rsid w:val="37931DCA"/>
    <w:rsid w:val="379A559A"/>
    <w:rsid w:val="379E2258"/>
    <w:rsid w:val="37A59DBC"/>
    <w:rsid w:val="37ADF408"/>
    <w:rsid w:val="37B26ACA"/>
    <w:rsid w:val="37B755BA"/>
    <w:rsid w:val="37BF6A7E"/>
    <w:rsid w:val="37C2703B"/>
    <w:rsid w:val="37C28E39"/>
    <w:rsid w:val="37C9335C"/>
    <w:rsid w:val="37CCA880"/>
    <w:rsid w:val="37CD3EA0"/>
    <w:rsid w:val="37D71471"/>
    <w:rsid w:val="37D75779"/>
    <w:rsid w:val="37DED31F"/>
    <w:rsid w:val="37E86751"/>
    <w:rsid w:val="37EEA20C"/>
    <w:rsid w:val="37F2E566"/>
    <w:rsid w:val="37F5AE37"/>
    <w:rsid w:val="37F5FE0D"/>
    <w:rsid w:val="38069866"/>
    <w:rsid w:val="38085413"/>
    <w:rsid w:val="3811842A"/>
    <w:rsid w:val="3811C531"/>
    <w:rsid w:val="381552E8"/>
    <w:rsid w:val="383A2276"/>
    <w:rsid w:val="383AF4FC"/>
    <w:rsid w:val="383EBE3A"/>
    <w:rsid w:val="383F4C36"/>
    <w:rsid w:val="3869987C"/>
    <w:rsid w:val="38737671"/>
    <w:rsid w:val="387A8BAC"/>
    <w:rsid w:val="387CFDF0"/>
    <w:rsid w:val="38836BBD"/>
    <w:rsid w:val="38877505"/>
    <w:rsid w:val="389426B2"/>
    <w:rsid w:val="389B975F"/>
    <w:rsid w:val="38A83321"/>
    <w:rsid w:val="38AA1B3F"/>
    <w:rsid w:val="38ACFF2B"/>
    <w:rsid w:val="38B1F060"/>
    <w:rsid w:val="38BD8CCC"/>
    <w:rsid w:val="38BED862"/>
    <w:rsid w:val="38D06889"/>
    <w:rsid w:val="38D553A8"/>
    <w:rsid w:val="38D63A3E"/>
    <w:rsid w:val="38D94888"/>
    <w:rsid w:val="38E46561"/>
    <w:rsid w:val="38EC8DC3"/>
    <w:rsid w:val="38FC52A4"/>
    <w:rsid w:val="38FE34FA"/>
    <w:rsid w:val="38FED021"/>
    <w:rsid w:val="390F7245"/>
    <w:rsid w:val="3915F439"/>
    <w:rsid w:val="391EA647"/>
    <w:rsid w:val="393A26C7"/>
    <w:rsid w:val="393D6D22"/>
    <w:rsid w:val="3945023F"/>
    <w:rsid w:val="394E9EF6"/>
    <w:rsid w:val="395249B6"/>
    <w:rsid w:val="39604277"/>
    <w:rsid w:val="396A8909"/>
    <w:rsid w:val="396E7B03"/>
    <w:rsid w:val="396F8636"/>
    <w:rsid w:val="39769BF7"/>
    <w:rsid w:val="397D0B40"/>
    <w:rsid w:val="397D4699"/>
    <w:rsid w:val="397F24E3"/>
    <w:rsid w:val="398650CC"/>
    <w:rsid w:val="39875501"/>
    <w:rsid w:val="399706BC"/>
    <w:rsid w:val="39977AA7"/>
    <w:rsid w:val="39AF4989"/>
    <w:rsid w:val="39AF922D"/>
    <w:rsid w:val="39B775CE"/>
    <w:rsid w:val="39BA86D1"/>
    <w:rsid w:val="39BE3BD5"/>
    <w:rsid w:val="39C0CF3B"/>
    <w:rsid w:val="39D59643"/>
    <w:rsid w:val="39E3E197"/>
    <w:rsid w:val="39E8F92C"/>
    <w:rsid w:val="39EC6765"/>
    <w:rsid w:val="39F7A03D"/>
    <w:rsid w:val="39F8A446"/>
    <w:rsid w:val="3A04EB01"/>
    <w:rsid w:val="3A0869D4"/>
    <w:rsid w:val="3A09CC8E"/>
    <w:rsid w:val="3A165C0D"/>
    <w:rsid w:val="3A16DD5A"/>
    <w:rsid w:val="3A1C2444"/>
    <w:rsid w:val="3A20DFB1"/>
    <w:rsid w:val="3A22BBC9"/>
    <w:rsid w:val="3A2DE2BA"/>
    <w:rsid w:val="3A3994EA"/>
    <w:rsid w:val="3A3D0E9D"/>
    <w:rsid w:val="3A4849D4"/>
    <w:rsid w:val="3A4A53B6"/>
    <w:rsid w:val="3A4A7128"/>
    <w:rsid w:val="3A50BDD3"/>
    <w:rsid w:val="3A537F0B"/>
    <w:rsid w:val="3A5B8812"/>
    <w:rsid w:val="3A711603"/>
    <w:rsid w:val="3A76807E"/>
    <w:rsid w:val="3A799390"/>
    <w:rsid w:val="3A836143"/>
    <w:rsid w:val="3A929E1E"/>
    <w:rsid w:val="3A96711A"/>
    <w:rsid w:val="3AA12CCE"/>
    <w:rsid w:val="3AA5DA35"/>
    <w:rsid w:val="3AA8B7C3"/>
    <w:rsid w:val="3AA9A4FB"/>
    <w:rsid w:val="3AAB21FA"/>
    <w:rsid w:val="3ABDEACF"/>
    <w:rsid w:val="3AD4D179"/>
    <w:rsid w:val="3ADB0B13"/>
    <w:rsid w:val="3AE38165"/>
    <w:rsid w:val="3AE52A6B"/>
    <w:rsid w:val="3AEAF4F6"/>
    <w:rsid w:val="3AFB574C"/>
    <w:rsid w:val="3AFCB231"/>
    <w:rsid w:val="3AFD2E5D"/>
    <w:rsid w:val="3AFE6DBE"/>
    <w:rsid w:val="3B087590"/>
    <w:rsid w:val="3B0EB4F6"/>
    <w:rsid w:val="3B1061C9"/>
    <w:rsid w:val="3B15B25C"/>
    <w:rsid w:val="3B1632E1"/>
    <w:rsid w:val="3B1A92F8"/>
    <w:rsid w:val="3B1C49F8"/>
    <w:rsid w:val="3B1C7EDC"/>
    <w:rsid w:val="3B1FFD21"/>
    <w:rsid w:val="3B2E09C7"/>
    <w:rsid w:val="3B498409"/>
    <w:rsid w:val="3B502377"/>
    <w:rsid w:val="3B61A8F3"/>
    <w:rsid w:val="3B627AC3"/>
    <w:rsid w:val="3B68193F"/>
    <w:rsid w:val="3B6883B4"/>
    <w:rsid w:val="3B6EFFE8"/>
    <w:rsid w:val="3B7508CE"/>
    <w:rsid w:val="3B75F9F9"/>
    <w:rsid w:val="3B780137"/>
    <w:rsid w:val="3B795468"/>
    <w:rsid w:val="3B823422"/>
    <w:rsid w:val="3B8AC6CE"/>
    <w:rsid w:val="3B91C48A"/>
    <w:rsid w:val="3B9AA31F"/>
    <w:rsid w:val="3BAB45E8"/>
    <w:rsid w:val="3BB22C6E"/>
    <w:rsid w:val="3BC1D718"/>
    <w:rsid w:val="3BCBDA2A"/>
    <w:rsid w:val="3BCD9332"/>
    <w:rsid w:val="3BD63BA5"/>
    <w:rsid w:val="3BD8DA8F"/>
    <w:rsid w:val="3BD9D2F7"/>
    <w:rsid w:val="3BE35E6B"/>
    <w:rsid w:val="3BEB4905"/>
    <w:rsid w:val="3BEE2535"/>
    <w:rsid w:val="3BEE5568"/>
    <w:rsid w:val="3C0386C6"/>
    <w:rsid w:val="3C0E7FCE"/>
    <w:rsid w:val="3C1BDE1D"/>
    <w:rsid w:val="3C2A7BA5"/>
    <w:rsid w:val="3C2BF42E"/>
    <w:rsid w:val="3C3A0EBE"/>
    <w:rsid w:val="3C3E1CB0"/>
    <w:rsid w:val="3C422733"/>
    <w:rsid w:val="3C447917"/>
    <w:rsid w:val="3C47217C"/>
    <w:rsid w:val="3C569A37"/>
    <w:rsid w:val="3C63FAD1"/>
    <w:rsid w:val="3C6C024D"/>
    <w:rsid w:val="3C70704B"/>
    <w:rsid w:val="3C70EB1D"/>
    <w:rsid w:val="3C75FECC"/>
    <w:rsid w:val="3C830F42"/>
    <w:rsid w:val="3C90D08F"/>
    <w:rsid w:val="3C93D710"/>
    <w:rsid w:val="3C9A34C7"/>
    <w:rsid w:val="3C9A3E1F"/>
    <w:rsid w:val="3CA11470"/>
    <w:rsid w:val="3CADF5D5"/>
    <w:rsid w:val="3CB84F3D"/>
    <w:rsid w:val="3CC51515"/>
    <w:rsid w:val="3CD5F818"/>
    <w:rsid w:val="3CE12EA1"/>
    <w:rsid w:val="3CE29B19"/>
    <w:rsid w:val="3CE84F80"/>
    <w:rsid w:val="3CF94708"/>
    <w:rsid w:val="3CFB331E"/>
    <w:rsid w:val="3D04C0E7"/>
    <w:rsid w:val="3D142EF8"/>
    <w:rsid w:val="3D1F3C8F"/>
    <w:rsid w:val="3D236C72"/>
    <w:rsid w:val="3D32459B"/>
    <w:rsid w:val="3D41542A"/>
    <w:rsid w:val="3D4ACDB8"/>
    <w:rsid w:val="3D601C7B"/>
    <w:rsid w:val="3D69FFC7"/>
    <w:rsid w:val="3D6C653C"/>
    <w:rsid w:val="3D6FD26C"/>
    <w:rsid w:val="3D7469E6"/>
    <w:rsid w:val="3D7C2676"/>
    <w:rsid w:val="3D85D622"/>
    <w:rsid w:val="3D901A41"/>
    <w:rsid w:val="3D93C909"/>
    <w:rsid w:val="3D93CB6A"/>
    <w:rsid w:val="3D9E1C75"/>
    <w:rsid w:val="3DA403FB"/>
    <w:rsid w:val="3DACD59A"/>
    <w:rsid w:val="3DB227AF"/>
    <w:rsid w:val="3DB48410"/>
    <w:rsid w:val="3DD9D9B3"/>
    <w:rsid w:val="3DDB350B"/>
    <w:rsid w:val="3DF4C522"/>
    <w:rsid w:val="3DF58B4B"/>
    <w:rsid w:val="3DF74ADB"/>
    <w:rsid w:val="3DF842A3"/>
    <w:rsid w:val="3E0192A9"/>
    <w:rsid w:val="3E0664A0"/>
    <w:rsid w:val="3E08FAFA"/>
    <w:rsid w:val="3E2179AA"/>
    <w:rsid w:val="3E2A4AF3"/>
    <w:rsid w:val="3E2ABC11"/>
    <w:rsid w:val="3E34DFB2"/>
    <w:rsid w:val="3E35B823"/>
    <w:rsid w:val="3E35ED7F"/>
    <w:rsid w:val="3E41329C"/>
    <w:rsid w:val="3E480D98"/>
    <w:rsid w:val="3E4BFCBE"/>
    <w:rsid w:val="3E5793AC"/>
    <w:rsid w:val="3E5DEA0C"/>
    <w:rsid w:val="3E6131E9"/>
    <w:rsid w:val="3E6FF9DA"/>
    <w:rsid w:val="3E7C193B"/>
    <w:rsid w:val="3E81BB06"/>
    <w:rsid w:val="3E826E0F"/>
    <w:rsid w:val="3E86C414"/>
    <w:rsid w:val="3E899E85"/>
    <w:rsid w:val="3E97E79D"/>
    <w:rsid w:val="3EA7E222"/>
    <w:rsid w:val="3EAF6DE8"/>
    <w:rsid w:val="3EBABD39"/>
    <w:rsid w:val="3EC53A75"/>
    <w:rsid w:val="3ED7A46E"/>
    <w:rsid w:val="3EE6EF7F"/>
    <w:rsid w:val="3EE9CD30"/>
    <w:rsid w:val="3EF80480"/>
    <w:rsid w:val="3EF935B2"/>
    <w:rsid w:val="3EFB3C7E"/>
    <w:rsid w:val="3EFF5953"/>
    <w:rsid w:val="3F034205"/>
    <w:rsid w:val="3F038E65"/>
    <w:rsid w:val="3F1108FC"/>
    <w:rsid w:val="3F133F15"/>
    <w:rsid w:val="3F232996"/>
    <w:rsid w:val="3F233102"/>
    <w:rsid w:val="3F457B12"/>
    <w:rsid w:val="3F49BFCE"/>
    <w:rsid w:val="3F4DEEDF"/>
    <w:rsid w:val="3F5F5ECC"/>
    <w:rsid w:val="3F6142A3"/>
    <w:rsid w:val="3F685677"/>
    <w:rsid w:val="3F7675AC"/>
    <w:rsid w:val="3F770CE4"/>
    <w:rsid w:val="3F7D0022"/>
    <w:rsid w:val="3F81ECC7"/>
    <w:rsid w:val="3F8C58FA"/>
    <w:rsid w:val="3F900110"/>
    <w:rsid w:val="3F9B71CF"/>
    <w:rsid w:val="3FA17E52"/>
    <w:rsid w:val="3FA3F51A"/>
    <w:rsid w:val="3FAC1E2A"/>
    <w:rsid w:val="3FCF807B"/>
    <w:rsid w:val="3FD1C72A"/>
    <w:rsid w:val="3FD838A3"/>
    <w:rsid w:val="3FDF9ADC"/>
    <w:rsid w:val="3FE7DE6B"/>
    <w:rsid w:val="3FEA2658"/>
    <w:rsid w:val="3FF6A30C"/>
    <w:rsid w:val="4004B0E3"/>
    <w:rsid w:val="400719A1"/>
    <w:rsid w:val="4008AD7B"/>
    <w:rsid w:val="400DCD6D"/>
    <w:rsid w:val="40131442"/>
    <w:rsid w:val="4020228B"/>
    <w:rsid w:val="4033E4C4"/>
    <w:rsid w:val="40387031"/>
    <w:rsid w:val="403B8AB4"/>
    <w:rsid w:val="4041563A"/>
    <w:rsid w:val="404769D8"/>
    <w:rsid w:val="40522BD5"/>
    <w:rsid w:val="4054B311"/>
    <w:rsid w:val="40581F58"/>
    <w:rsid w:val="4068F32B"/>
    <w:rsid w:val="406D25BB"/>
    <w:rsid w:val="406EF661"/>
    <w:rsid w:val="4071E0D7"/>
    <w:rsid w:val="40779D7E"/>
    <w:rsid w:val="407A4BE8"/>
    <w:rsid w:val="4083EFE9"/>
    <w:rsid w:val="408CA792"/>
    <w:rsid w:val="4094B69A"/>
    <w:rsid w:val="409718DF"/>
    <w:rsid w:val="40989C7B"/>
    <w:rsid w:val="40B42575"/>
    <w:rsid w:val="40B5EF43"/>
    <w:rsid w:val="40C999C1"/>
    <w:rsid w:val="40CA7050"/>
    <w:rsid w:val="40CD3995"/>
    <w:rsid w:val="40D0A7E2"/>
    <w:rsid w:val="40D12DA8"/>
    <w:rsid w:val="40D93B31"/>
    <w:rsid w:val="40DF3AAC"/>
    <w:rsid w:val="40E363CA"/>
    <w:rsid w:val="40E6F638"/>
    <w:rsid w:val="40E74089"/>
    <w:rsid w:val="40FD1304"/>
    <w:rsid w:val="410B34FC"/>
    <w:rsid w:val="412313BE"/>
    <w:rsid w:val="413324D6"/>
    <w:rsid w:val="413947BE"/>
    <w:rsid w:val="413D0EAA"/>
    <w:rsid w:val="4146289D"/>
    <w:rsid w:val="414FE732"/>
    <w:rsid w:val="4151E2BB"/>
    <w:rsid w:val="415BDF5E"/>
    <w:rsid w:val="416142A0"/>
    <w:rsid w:val="4161937B"/>
    <w:rsid w:val="416F1256"/>
    <w:rsid w:val="41779E95"/>
    <w:rsid w:val="41873BD4"/>
    <w:rsid w:val="41900942"/>
    <w:rsid w:val="41A023A1"/>
    <w:rsid w:val="41AFF979"/>
    <w:rsid w:val="41B5A654"/>
    <w:rsid w:val="41B7A326"/>
    <w:rsid w:val="41BA5BB5"/>
    <w:rsid w:val="41C34A43"/>
    <w:rsid w:val="41C401CE"/>
    <w:rsid w:val="41C7DAFF"/>
    <w:rsid w:val="41CEEEB3"/>
    <w:rsid w:val="41D12AAB"/>
    <w:rsid w:val="41D19B7A"/>
    <w:rsid w:val="41D2A1B8"/>
    <w:rsid w:val="41D75B15"/>
    <w:rsid w:val="41E2D252"/>
    <w:rsid w:val="41E798BE"/>
    <w:rsid w:val="41E847DC"/>
    <w:rsid w:val="41F63C28"/>
    <w:rsid w:val="41F648FD"/>
    <w:rsid w:val="41F86DBC"/>
    <w:rsid w:val="41FBD3E1"/>
    <w:rsid w:val="41FDB74E"/>
    <w:rsid w:val="4206FF84"/>
    <w:rsid w:val="422BDC0B"/>
    <w:rsid w:val="422D93DD"/>
    <w:rsid w:val="42328F8D"/>
    <w:rsid w:val="423BBBB5"/>
    <w:rsid w:val="423C1360"/>
    <w:rsid w:val="423FD380"/>
    <w:rsid w:val="424E6F1E"/>
    <w:rsid w:val="4252400F"/>
    <w:rsid w:val="425A6DDB"/>
    <w:rsid w:val="4265B73E"/>
    <w:rsid w:val="426F2FFC"/>
    <w:rsid w:val="4275DBAB"/>
    <w:rsid w:val="42887FCD"/>
    <w:rsid w:val="4295C208"/>
    <w:rsid w:val="4295E7E8"/>
    <w:rsid w:val="429AA14B"/>
    <w:rsid w:val="42A14B3E"/>
    <w:rsid w:val="42A7B453"/>
    <w:rsid w:val="42ABE660"/>
    <w:rsid w:val="42AC2F00"/>
    <w:rsid w:val="42ACF216"/>
    <w:rsid w:val="42B724F1"/>
    <w:rsid w:val="42C29D80"/>
    <w:rsid w:val="42C49025"/>
    <w:rsid w:val="42C77DB0"/>
    <w:rsid w:val="42C83020"/>
    <w:rsid w:val="42DE9568"/>
    <w:rsid w:val="42E17B37"/>
    <w:rsid w:val="42EFAD11"/>
    <w:rsid w:val="42F6515E"/>
    <w:rsid w:val="430342D0"/>
    <w:rsid w:val="432D24F4"/>
    <w:rsid w:val="432E0C3A"/>
    <w:rsid w:val="4336577F"/>
    <w:rsid w:val="433A775C"/>
    <w:rsid w:val="4340F0D3"/>
    <w:rsid w:val="4344C187"/>
    <w:rsid w:val="434F60A6"/>
    <w:rsid w:val="436D69FA"/>
    <w:rsid w:val="43813B59"/>
    <w:rsid w:val="438E938F"/>
    <w:rsid w:val="438FF3B5"/>
    <w:rsid w:val="439BEA55"/>
    <w:rsid w:val="43B03B31"/>
    <w:rsid w:val="43B56FCE"/>
    <w:rsid w:val="43BFB4CD"/>
    <w:rsid w:val="43C3E2B2"/>
    <w:rsid w:val="43D2BFDB"/>
    <w:rsid w:val="43D38ADA"/>
    <w:rsid w:val="43D84C67"/>
    <w:rsid w:val="43E284CA"/>
    <w:rsid w:val="43E6B21E"/>
    <w:rsid w:val="43E7DDF5"/>
    <w:rsid w:val="43F0EBC7"/>
    <w:rsid w:val="43F159A0"/>
    <w:rsid w:val="43FEDBBC"/>
    <w:rsid w:val="4402DA11"/>
    <w:rsid w:val="4405B9D0"/>
    <w:rsid w:val="4407492E"/>
    <w:rsid w:val="440C20DE"/>
    <w:rsid w:val="440CB084"/>
    <w:rsid w:val="440EEE85"/>
    <w:rsid w:val="441477AF"/>
    <w:rsid w:val="4416B45A"/>
    <w:rsid w:val="4426BBB4"/>
    <w:rsid w:val="442C8DBF"/>
    <w:rsid w:val="442CF2D9"/>
    <w:rsid w:val="44391DF0"/>
    <w:rsid w:val="443D87E9"/>
    <w:rsid w:val="44488E24"/>
    <w:rsid w:val="4448DCF2"/>
    <w:rsid w:val="444A3766"/>
    <w:rsid w:val="444C61BB"/>
    <w:rsid w:val="44545B8C"/>
    <w:rsid w:val="4454904C"/>
    <w:rsid w:val="4465FA5E"/>
    <w:rsid w:val="446EDAE0"/>
    <w:rsid w:val="447532FC"/>
    <w:rsid w:val="4478809C"/>
    <w:rsid w:val="448C27A7"/>
    <w:rsid w:val="449A1555"/>
    <w:rsid w:val="449FF2D3"/>
    <w:rsid w:val="44A440E2"/>
    <w:rsid w:val="44A55004"/>
    <w:rsid w:val="44AD0D0D"/>
    <w:rsid w:val="44B5C1FD"/>
    <w:rsid w:val="44BE316A"/>
    <w:rsid w:val="44C4ED20"/>
    <w:rsid w:val="44C50A63"/>
    <w:rsid w:val="44CC20C7"/>
    <w:rsid w:val="44DF2403"/>
    <w:rsid w:val="44E04672"/>
    <w:rsid w:val="44E476C0"/>
    <w:rsid w:val="44EBFB50"/>
    <w:rsid w:val="44EE2D30"/>
    <w:rsid w:val="4501A777"/>
    <w:rsid w:val="450D6E80"/>
    <w:rsid w:val="4510BA7C"/>
    <w:rsid w:val="45118B79"/>
    <w:rsid w:val="451BA2ED"/>
    <w:rsid w:val="451ECB1D"/>
    <w:rsid w:val="452342DE"/>
    <w:rsid w:val="452C666C"/>
    <w:rsid w:val="45460D49"/>
    <w:rsid w:val="4556BA5E"/>
    <w:rsid w:val="455A426E"/>
    <w:rsid w:val="455D8BA2"/>
    <w:rsid w:val="455EDE32"/>
    <w:rsid w:val="4561099D"/>
    <w:rsid w:val="457FA11F"/>
    <w:rsid w:val="45812114"/>
    <w:rsid w:val="45856DD0"/>
    <w:rsid w:val="458941E9"/>
    <w:rsid w:val="45BCC99E"/>
    <w:rsid w:val="45C8DC8F"/>
    <w:rsid w:val="45CB10CB"/>
    <w:rsid w:val="45D06268"/>
    <w:rsid w:val="45D3B31F"/>
    <w:rsid w:val="45D73945"/>
    <w:rsid w:val="45DFE751"/>
    <w:rsid w:val="45E49848"/>
    <w:rsid w:val="45EA6BD4"/>
    <w:rsid w:val="45F1F255"/>
    <w:rsid w:val="45F6F512"/>
    <w:rsid w:val="45F916E6"/>
    <w:rsid w:val="46136332"/>
    <w:rsid w:val="4619AF62"/>
    <w:rsid w:val="4622FE02"/>
    <w:rsid w:val="464DF762"/>
    <w:rsid w:val="46515DF8"/>
    <w:rsid w:val="4651925E"/>
    <w:rsid w:val="4655A76E"/>
    <w:rsid w:val="46644B6D"/>
    <w:rsid w:val="46729BEB"/>
    <w:rsid w:val="467C26DC"/>
    <w:rsid w:val="467EC757"/>
    <w:rsid w:val="46881C2E"/>
    <w:rsid w:val="468BFA32"/>
    <w:rsid w:val="4693E0CB"/>
    <w:rsid w:val="469772F1"/>
    <w:rsid w:val="469A21DE"/>
    <w:rsid w:val="46AFDF0E"/>
    <w:rsid w:val="46B72ED0"/>
    <w:rsid w:val="46B948ED"/>
    <w:rsid w:val="46BC6A3A"/>
    <w:rsid w:val="46BFC274"/>
    <w:rsid w:val="46C705BC"/>
    <w:rsid w:val="46C8BF34"/>
    <w:rsid w:val="46CC12E2"/>
    <w:rsid w:val="46D7A57D"/>
    <w:rsid w:val="46DA8B72"/>
    <w:rsid w:val="46EB8DA4"/>
    <w:rsid w:val="46EDCA1A"/>
    <w:rsid w:val="46F1AC54"/>
    <w:rsid w:val="46FD715A"/>
    <w:rsid w:val="4709284B"/>
    <w:rsid w:val="4709481A"/>
    <w:rsid w:val="470DB326"/>
    <w:rsid w:val="47186CF5"/>
    <w:rsid w:val="4721CCA1"/>
    <w:rsid w:val="4728D6E8"/>
    <w:rsid w:val="472E12B7"/>
    <w:rsid w:val="474370B0"/>
    <w:rsid w:val="47588E25"/>
    <w:rsid w:val="47596557"/>
    <w:rsid w:val="475B45A8"/>
    <w:rsid w:val="475FFCED"/>
    <w:rsid w:val="47635931"/>
    <w:rsid w:val="4769C5BD"/>
    <w:rsid w:val="476D8226"/>
    <w:rsid w:val="476F33B5"/>
    <w:rsid w:val="4771EC65"/>
    <w:rsid w:val="47754CFB"/>
    <w:rsid w:val="477AFA21"/>
    <w:rsid w:val="477F55C7"/>
    <w:rsid w:val="478E142F"/>
    <w:rsid w:val="479BAA09"/>
    <w:rsid w:val="479CF07D"/>
    <w:rsid w:val="479F54FB"/>
    <w:rsid w:val="47B3363E"/>
    <w:rsid w:val="47B914C4"/>
    <w:rsid w:val="47BA9B7F"/>
    <w:rsid w:val="47BDAAC6"/>
    <w:rsid w:val="47C4888A"/>
    <w:rsid w:val="47C59A08"/>
    <w:rsid w:val="47D61992"/>
    <w:rsid w:val="47DA0B4B"/>
    <w:rsid w:val="47DD0EEB"/>
    <w:rsid w:val="47EF40EB"/>
    <w:rsid w:val="47EF6DA5"/>
    <w:rsid w:val="47F3034B"/>
    <w:rsid w:val="47F3E261"/>
    <w:rsid w:val="47FBFF82"/>
    <w:rsid w:val="4800D2CD"/>
    <w:rsid w:val="48051113"/>
    <w:rsid w:val="480D4B7D"/>
    <w:rsid w:val="480F93BD"/>
    <w:rsid w:val="48169F13"/>
    <w:rsid w:val="4816DC20"/>
    <w:rsid w:val="481A9532"/>
    <w:rsid w:val="481B9AEC"/>
    <w:rsid w:val="481C4FB4"/>
    <w:rsid w:val="481ED656"/>
    <w:rsid w:val="4824367F"/>
    <w:rsid w:val="4826234B"/>
    <w:rsid w:val="4829AE3E"/>
    <w:rsid w:val="48328BC7"/>
    <w:rsid w:val="483CAB1A"/>
    <w:rsid w:val="48436A16"/>
    <w:rsid w:val="484A82E3"/>
    <w:rsid w:val="484AFBC5"/>
    <w:rsid w:val="48536D9B"/>
    <w:rsid w:val="4859ADB3"/>
    <w:rsid w:val="485B8D26"/>
    <w:rsid w:val="485C2CBF"/>
    <w:rsid w:val="485D4180"/>
    <w:rsid w:val="485D6607"/>
    <w:rsid w:val="4863BF9A"/>
    <w:rsid w:val="48A22B60"/>
    <w:rsid w:val="48A2852C"/>
    <w:rsid w:val="48A6D3D7"/>
    <w:rsid w:val="48A7C495"/>
    <w:rsid w:val="48BB0EDD"/>
    <w:rsid w:val="48BE933B"/>
    <w:rsid w:val="48C1F25C"/>
    <w:rsid w:val="48C98330"/>
    <w:rsid w:val="48CBB605"/>
    <w:rsid w:val="48CF333A"/>
    <w:rsid w:val="48E63DD7"/>
    <w:rsid w:val="4901BEC2"/>
    <w:rsid w:val="4902A2E0"/>
    <w:rsid w:val="490B0416"/>
    <w:rsid w:val="4911BDFF"/>
    <w:rsid w:val="49266ECD"/>
    <w:rsid w:val="4926A50B"/>
    <w:rsid w:val="493A5F8C"/>
    <w:rsid w:val="493B79A0"/>
    <w:rsid w:val="493E971C"/>
    <w:rsid w:val="493F4337"/>
    <w:rsid w:val="494334C2"/>
    <w:rsid w:val="494D9C86"/>
    <w:rsid w:val="49509E64"/>
    <w:rsid w:val="49543F6B"/>
    <w:rsid w:val="495A8C62"/>
    <w:rsid w:val="495CCFE1"/>
    <w:rsid w:val="496873B8"/>
    <w:rsid w:val="499B9AE8"/>
    <w:rsid w:val="49A4F004"/>
    <w:rsid w:val="49A8A1F6"/>
    <w:rsid w:val="49AB5F5B"/>
    <w:rsid w:val="49B782A3"/>
    <w:rsid w:val="49C2A3B0"/>
    <w:rsid w:val="49E26362"/>
    <w:rsid w:val="49E5C163"/>
    <w:rsid w:val="49EA514D"/>
    <w:rsid w:val="49F3FD6F"/>
    <w:rsid w:val="49FF062E"/>
    <w:rsid w:val="4A265D32"/>
    <w:rsid w:val="4A2917C5"/>
    <w:rsid w:val="4A2DB391"/>
    <w:rsid w:val="4A2E5EA3"/>
    <w:rsid w:val="4A3051D5"/>
    <w:rsid w:val="4A42C557"/>
    <w:rsid w:val="4A4F7DEC"/>
    <w:rsid w:val="4A4FB113"/>
    <w:rsid w:val="4A5283B5"/>
    <w:rsid w:val="4A626576"/>
    <w:rsid w:val="4A67E9B2"/>
    <w:rsid w:val="4A6AA91C"/>
    <w:rsid w:val="4A6FCE58"/>
    <w:rsid w:val="4A77B7C7"/>
    <w:rsid w:val="4A85679B"/>
    <w:rsid w:val="4A8576BF"/>
    <w:rsid w:val="4A87BA52"/>
    <w:rsid w:val="4A89A1A3"/>
    <w:rsid w:val="4A8BBDEE"/>
    <w:rsid w:val="4A9F10CD"/>
    <w:rsid w:val="4AA14F69"/>
    <w:rsid w:val="4AA9CF25"/>
    <w:rsid w:val="4ABEAD54"/>
    <w:rsid w:val="4AC64592"/>
    <w:rsid w:val="4AC8807B"/>
    <w:rsid w:val="4ACD3AE1"/>
    <w:rsid w:val="4AD18ADD"/>
    <w:rsid w:val="4ADEFB14"/>
    <w:rsid w:val="4AFAF669"/>
    <w:rsid w:val="4AFB692B"/>
    <w:rsid w:val="4B0D4A89"/>
    <w:rsid w:val="4B17A08A"/>
    <w:rsid w:val="4B33A044"/>
    <w:rsid w:val="4B35A6E0"/>
    <w:rsid w:val="4B37B943"/>
    <w:rsid w:val="4B45009A"/>
    <w:rsid w:val="4B491CCD"/>
    <w:rsid w:val="4B4AE26C"/>
    <w:rsid w:val="4B4FBDB6"/>
    <w:rsid w:val="4B57CEDE"/>
    <w:rsid w:val="4B5B3A83"/>
    <w:rsid w:val="4B63CD41"/>
    <w:rsid w:val="4B645634"/>
    <w:rsid w:val="4B6D7734"/>
    <w:rsid w:val="4B6E969D"/>
    <w:rsid w:val="4B786045"/>
    <w:rsid w:val="4B7C3B8E"/>
    <w:rsid w:val="4B801BF0"/>
    <w:rsid w:val="4B8B0E5D"/>
    <w:rsid w:val="4B971819"/>
    <w:rsid w:val="4BA33933"/>
    <w:rsid w:val="4BA46135"/>
    <w:rsid w:val="4BAF03A0"/>
    <w:rsid w:val="4BB0180D"/>
    <w:rsid w:val="4BB315C1"/>
    <w:rsid w:val="4BB361C7"/>
    <w:rsid w:val="4BC4C5AA"/>
    <w:rsid w:val="4BC80A36"/>
    <w:rsid w:val="4BF07E58"/>
    <w:rsid w:val="4BF6D1E4"/>
    <w:rsid w:val="4BF99BBC"/>
    <w:rsid w:val="4BFC4A09"/>
    <w:rsid w:val="4BFD1A99"/>
    <w:rsid w:val="4C0A971B"/>
    <w:rsid w:val="4C0C1781"/>
    <w:rsid w:val="4C0DCCDF"/>
    <w:rsid w:val="4C1A4886"/>
    <w:rsid w:val="4C237AA6"/>
    <w:rsid w:val="4C2AC772"/>
    <w:rsid w:val="4C3ECCF9"/>
    <w:rsid w:val="4C4077AD"/>
    <w:rsid w:val="4C43C50B"/>
    <w:rsid w:val="4C5052CB"/>
    <w:rsid w:val="4C5CE2E4"/>
    <w:rsid w:val="4C742172"/>
    <w:rsid w:val="4C89ABE0"/>
    <w:rsid w:val="4C89CB55"/>
    <w:rsid w:val="4C8C4DB0"/>
    <w:rsid w:val="4C9886A1"/>
    <w:rsid w:val="4C98C693"/>
    <w:rsid w:val="4C9E6F64"/>
    <w:rsid w:val="4CA22BB7"/>
    <w:rsid w:val="4CA23B69"/>
    <w:rsid w:val="4CB0B3B8"/>
    <w:rsid w:val="4CB5549F"/>
    <w:rsid w:val="4CB60F71"/>
    <w:rsid w:val="4CBAD0B1"/>
    <w:rsid w:val="4CC31199"/>
    <w:rsid w:val="4CC4A9CF"/>
    <w:rsid w:val="4CC4C897"/>
    <w:rsid w:val="4CDFF1B1"/>
    <w:rsid w:val="4CF2B433"/>
    <w:rsid w:val="4CF47CAD"/>
    <w:rsid w:val="4CF5442C"/>
    <w:rsid w:val="4CF636EE"/>
    <w:rsid w:val="4CF89C4F"/>
    <w:rsid w:val="4CFAE33F"/>
    <w:rsid w:val="4CFBA269"/>
    <w:rsid w:val="4D116CF8"/>
    <w:rsid w:val="4D126042"/>
    <w:rsid w:val="4D180FC8"/>
    <w:rsid w:val="4D188AAB"/>
    <w:rsid w:val="4D2072B0"/>
    <w:rsid w:val="4D291DB0"/>
    <w:rsid w:val="4D34EC1B"/>
    <w:rsid w:val="4D357BB0"/>
    <w:rsid w:val="4D3A9A29"/>
    <w:rsid w:val="4D3BA265"/>
    <w:rsid w:val="4D3FA3F3"/>
    <w:rsid w:val="4D401079"/>
    <w:rsid w:val="4D42A6B4"/>
    <w:rsid w:val="4D541612"/>
    <w:rsid w:val="4D55466A"/>
    <w:rsid w:val="4D5C3C04"/>
    <w:rsid w:val="4D61A564"/>
    <w:rsid w:val="4D7667A9"/>
    <w:rsid w:val="4D8392C0"/>
    <w:rsid w:val="4D86649E"/>
    <w:rsid w:val="4D8D2775"/>
    <w:rsid w:val="4D9162BF"/>
    <w:rsid w:val="4D93EE48"/>
    <w:rsid w:val="4D9556FC"/>
    <w:rsid w:val="4DA36A70"/>
    <w:rsid w:val="4DA448F3"/>
    <w:rsid w:val="4DA5E9E6"/>
    <w:rsid w:val="4DB7BFAA"/>
    <w:rsid w:val="4DBC1463"/>
    <w:rsid w:val="4DC2693F"/>
    <w:rsid w:val="4DDE2B2E"/>
    <w:rsid w:val="4DEFB2B0"/>
    <w:rsid w:val="4DF8BF67"/>
    <w:rsid w:val="4DF90732"/>
    <w:rsid w:val="4DFA1402"/>
    <w:rsid w:val="4DFA2C91"/>
    <w:rsid w:val="4DFE6702"/>
    <w:rsid w:val="4E018CD3"/>
    <w:rsid w:val="4E1CB82A"/>
    <w:rsid w:val="4E23CE6E"/>
    <w:rsid w:val="4E29599D"/>
    <w:rsid w:val="4E3BE5E7"/>
    <w:rsid w:val="4E487999"/>
    <w:rsid w:val="4E5D2BB0"/>
    <w:rsid w:val="4E5FEA00"/>
    <w:rsid w:val="4E92B2F7"/>
    <w:rsid w:val="4EA4F820"/>
    <w:rsid w:val="4EA80E21"/>
    <w:rsid w:val="4EAE66C7"/>
    <w:rsid w:val="4EB9C5A9"/>
    <w:rsid w:val="4EBD9459"/>
    <w:rsid w:val="4EC1CF0E"/>
    <w:rsid w:val="4ED41A7F"/>
    <w:rsid w:val="4ED9C672"/>
    <w:rsid w:val="4EE2F2F7"/>
    <w:rsid w:val="4EFC5155"/>
    <w:rsid w:val="4F007905"/>
    <w:rsid w:val="4F055895"/>
    <w:rsid w:val="4F061277"/>
    <w:rsid w:val="4F077F35"/>
    <w:rsid w:val="4F0ABD33"/>
    <w:rsid w:val="4F0F5655"/>
    <w:rsid w:val="4F334D0B"/>
    <w:rsid w:val="4F41978A"/>
    <w:rsid w:val="4F43B387"/>
    <w:rsid w:val="4F582E6C"/>
    <w:rsid w:val="4F588BEF"/>
    <w:rsid w:val="4F60B83A"/>
    <w:rsid w:val="4F61B2CF"/>
    <w:rsid w:val="4F63F8BC"/>
    <w:rsid w:val="4F67B7A6"/>
    <w:rsid w:val="4F6DDCC3"/>
    <w:rsid w:val="4F715BF5"/>
    <w:rsid w:val="4F7ADF6C"/>
    <w:rsid w:val="4F7ED3DF"/>
    <w:rsid w:val="4F857949"/>
    <w:rsid w:val="4F85A154"/>
    <w:rsid w:val="4F87C82D"/>
    <w:rsid w:val="4F8D30AE"/>
    <w:rsid w:val="4F94AADC"/>
    <w:rsid w:val="4F9E400F"/>
    <w:rsid w:val="4FAE6A8B"/>
    <w:rsid w:val="4FB2E571"/>
    <w:rsid w:val="4FB7A6F0"/>
    <w:rsid w:val="4FC0784B"/>
    <w:rsid w:val="4FC23DD0"/>
    <w:rsid w:val="4FC3BF0A"/>
    <w:rsid w:val="4FC6BBA0"/>
    <w:rsid w:val="4FD300BE"/>
    <w:rsid w:val="4FFE9AC7"/>
    <w:rsid w:val="5006E0E1"/>
    <w:rsid w:val="5016213C"/>
    <w:rsid w:val="501E538F"/>
    <w:rsid w:val="502A0F79"/>
    <w:rsid w:val="502D8F0E"/>
    <w:rsid w:val="502FFD4B"/>
    <w:rsid w:val="50397935"/>
    <w:rsid w:val="50464825"/>
    <w:rsid w:val="50474915"/>
    <w:rsid w:val="50517A4E"/>
    <w:rsid w:val="50620423"/>
    <w:rsid w:val="5072D660"/>
    <w:rsid w:val="5076ECAB"/>
    <w:rsid w:val="507C16A7"/>
    <w:rsid w:val="507DBF33"/>
    <w:rsid w:val="508186B4"/>
    <w:rsid w:val="50887DCB"/>
    <w:rsid w:val="508AC78A"/>
    <w:rsid w:val="509C29F7"/>
    <w:rsid w:val="50A63503"/>
    <w:rsid w:val="50AA7EF7"/>
    <w:rsid w:val="50AFC8A8"/>
    <w:rsid w:val="50B12C72"/>
    <w:rsid w:val="50B96CD7"/>
    <w:rsid w:val="50C052EA"/>
    <w:rsid w:val="50C392A5"/>
    <w:rsid w:val="50C66D3D"/>
    <w:rsid w:val="50D7C909"/>
    <w:rsid w:val="50DCFD0E"/>
    <w:rsid w:val="50DED3FD"/>
    <w:rsid w:val="50DF88A4"/>
    <w:rsid w:val="50E6C531"/>
    <w:rsid w:val="50EAE543"/>
    <w:rsid w:val="50EC9636"/>
    <w:rsid w:val="50EFAED6"/>
    <w:rsid w:val="50F03590"/>
    <w:rsid w:val="50F1B85C"/>
    <w:rsid w:val="50F25DBA"/>
    <w:rsid w:val="50F540EE"/>
    <w:rsid w:val="50FD258B"/>
    <w:rsid w:val="50FEB9CC"/>
    <w:rsid w:val="5102B082"/>
    <w:rsid w:val="5112096D"/>
    <w:rsid w:val="51191969"/>
    <w:rsid w:val="511C14BC"/>
    <w:rsid w:val="5123164E"/>
    <w:rsid w:val="5132C3C2"/>
    <w:rsid w:val="5134C3B8"/>
    <w:rsid w:val="51457171"/>
    <w:rsid w:val="51474178"/>
    <w:rsid w:val="5147DBE1"/>
    <w:rsid w:val="514B2ED0"/>
    <w:rsid w:val="514E2799"/>
    <w:rsid w:val="51575813"/>
    <w:rsid w:val="51629472"/>
    <w:rsid w:val="5168E326"/>
    <w:rsid w:val="516D9558"/>
    <w:rsid w:val="516EB24E"/>
    <w:rsid w:val="517804AB"/>
    <w:rsid w:val="517E6FBE"/>
    <w:rsid w:val="517F3D6D"/>
    <w:rsid w:val="5187FF33"/>
    <w:rsid w:val="518BC78F"/>
    <w:rsid w:val="518D06A6"/>
    <w:rsid w:val="5190EAD9"/>
    <w:rsid w:val="519A14C9"/>
    <w:rsid w:val="519A6B28"/>
    <w:rsid w:val="519A8B69"/>
    <w:rsid w:val="51ACE5AA"/>
    <w:rsid w:val="51B45237"/>
    <w:rsid w:val="51B727AA"/>
    <w:rsid w:val="51C9A1C4"/>
    <w:rsid w:val="51CEFFFB"/>
    <w:rsid w:val="51DC5E90"/>
    <w:rsid w:val="51E4307F"/>
    <w:rsid w:val="51F44CC6"/>
    <w:rsid w:val="5206A73C"/>
    <w:rsid w:val="520A0244"/>
    <w:rsid w:val="52116344"/>
    <w:rsid w:val="5213F97F"/>
    <w:rsid w:val="521D5715"/>
    <w:rsid w:val="521EAEAB"/>
    <w:rsid w:val="52258EE1"/>
    <w:rsid w:val="52266310"/>
    <w:rsid w:val="522B7333"/>
    <w:rsid w:val="522E61F5"/>
    <w:rsid w:val="522E9716"/>
    <w:rsid w:val="52359C2D"/>
    <w:rsid w:val="524A661C"/>
    <w:rsid w:val="52526F6E"/>
    <w:rsid w:val="525345C3"/>
    <w:rsid w:val="5254B80E"/>
    <w:rsid w:val="525AC67C"/>
    <w:rsid w:val="525AD4FA"/>
    <w:rsid w:val="52622571"/>
    <w:rsid w:val="5265D292"/>
    <w:rsid w:val="526C6CCE"/>
    <w:rsid w:val="526E5790"/>
    <w:rsid w:val="527FB710"/>
    <w:rsid w:val="528854F1"/>
    <w:rsid w:val="52889E75"/>
    <w:rsid w:val="529164DB"/>
    <w:rsid w:val="529F5AC3"/>
    <w:rsid w:val="52B0235B"/>
    <w:rsid w:val="52B3813B"/>
    <w:rsid w:val="52BCF139"/>
    <w:rsid w:val="52BDA907"/>
    <w:rsid w:val="52C58D29"/>
    <w:rsid w:val="52CA77DE"/>
    <w:rsid w:val="52CB12AF"/>
    <w:rsid w:val="52CC7855"/>
    <w:rsid w:val="52E3FA6E"/>
    <w:rsid w:val="52EA7CAA"/>
    <w:rsid w:val="530B2B15"/>
    <w:rsid w:val="530CFA57"/>
    <w:rsid w:val="531081C4"/>
    <w:rsid w:val="53117CED"/>
    <w:rsid w:val="5316A46C"/>
    <w:rsid w:val="531BCC14"/>
    <w:rsid w:val="531C7E5E"/>
    <w:rsid w:val="53208E3A"/>
    <w:rsid w:val="5323E110"/>
    <w:rsid w:val="53267F2D"/>
    <w:rsid w:val="532821EE"/>
    <w:rsid w:val="532D6177"/>
    <w:rsid w:val="5339D2DB"/>
    <w:rsid w:val="533D8510"/>
    <w:rsid w:val="533E0D5F"/>
    <w:rsid w:val="53491D9A"/>
    <w:rsid w:val="534BDDD1"/>
    <w:rsid w:val="534D29AD"/>
    <w:rsid w:val="5352240B"/>
    <w:rsid w:val="5356D55F"/>
    <w:rsid w:val="5357867A"/>
    <w:rsid w:val="535FC754"/>
    <w:rsid w:val="5364D999"/>
    <w:rsid w:val="53652AA1"/>
    <w:rsid w:val="538649E4"/>
    <w:rsid w:val="53876B55"/>
    <w:rsid w:val="53880FBD"/>
    <w:rsid w:val="5388E656"/>
    <w:rsid w:val="538E2C70"/>
    <w:rsid w:val="53917F15"/>
    <w:rsid w:val="539B7634"/>
    <w:rsid w:val="53A38E44"/>
    <w:rsid w:val="53A72986"/>
    <w:rsid w:val="53B6734D"/>
    <w:rsid w:val="53BC7486"/>
    <w:rsid w:val="53BCD9B0"/>
    <w:rsid w:val="53BF0826"/>
    <w:rsid w:val="53C053F7"/>
    <w:rsid w:val="53C20E0A"/>
    <w:rsid w:val="53D3F34B"/>
    <w:rsid w:val="53DB908A"/>
    <w:rsid w:val="53E35617"/>
    <w:rsid w:val="53F12195"/>
    <w:rsid w:val="53F1B921"/>
    <w:rsid w:val="53F70258"/>
    <w:rsid w:val="53F8F6BC"/>
    <w:rsid w:val="53FC224D"/>
    <w:rsid w:val="5400EF31"/>
    <w:rsid w:val="5402CAFF"/>
    <w:rsid w:val="540776EF"/>
    <w:rsid w:val="54166A11"/>
    <w:rsid w:val="54167B24"/>
    <w:rsid w:val="541C6435"/>
    <w:rsid w:val="54216D53"/>
    <w:rsid w:val="54221D55"/>
    <w:rsid w:val="5425010E"/>
    <w:rsid w:val="542629D5"/>
    <w:rsid w:val="542F31FB"/>
    <w:rsid w:val="543B903E"/>
    <w:rsid w:val="543CB0E3"/>
    <w:rsid w:val="5448E789"/>
    <w:rsid w:val="544B62AC"/>
    <w:rsid w:val="544EA082"/>
    <w:rsid w:val="545B7481"/>
    <w:rsid w:val="54625C2C"/>
    <w:rsid w:val="547755E0"/>
    <w:rsid w:val="547A3912"/>
    <w:rsid w:val="54826470"/>
    <w:rsid w:val="54833474"/>
    <w:rsid w:val="54854625"/>
    <w:rsid w:val="5487DBCD"/>
    <w:rsid w:val="54886D3A"/>
    <w:rsid w:val="5488DEEA"/>
    <w:rsid w:val="549BE60D"/>
    <w:rsid w:val="549D0229"/>
    <w:rsid w:val="549F0FC6"/>
    <w:rsid w:val="549F20D6"/>
    <w:rsid w:val="54C743C3"/>
    <w:rsid w:val="54CA851E"/>
    <w:rsid w:val="54CAA6A1"/>
    <w:rsid w:val="54CC8F48"/>
    <w:rsid w:val="54D76F2E"/>
    <w:rsid w:val="54EE0976"/>
    <w:rsid w:val="54EE6DF3"/>
    <w:rsid w:val="54F03065"/>
    <w:rsid w:val="54FCC1E6"/>
    <w:rsid w:val="55032F48"/>
    <w:rsid w:val="551040EE"/>
    <w:rsid w:val="5513C3CC"/>
    <w:rsid w:val="5534A92C"/>
    <w:rsid w:val="553C8F98"/>
    <w:rsid w:val="553E0A95"/>
    <w:rsid w:val="553F77F7"/>
    <w:rsid w:val="554089E5"/>
    <w:rsid w:val="554105F6"/>
    <w:rsid w:val="55412FA5"/>
    <w:rsid w:val="554AF9D2"/>
    <w:rsid w:val="5554D7B1"/>
    <w:rsid w:val="5557C6AE"/>
    <w:rsid w:val="5563C1FC"/>
    <w:rsid w:val="5568EB9E"/>
    <w:rsid w:val="556B1828"/>
    <w:rsid w:val="5573BF6E"/>
    <w:rsid w:val="5590A72B"/>
    <w:rsid w:val="5592D2B9"/>
    <w:rsid w:val="55A40D90"/>
    <w:rsid w:val="55A6075C"/>
    <w:rsid w:val="55B34B8D"/>
    <w:rsid w:val="55B4B85A"/>
    <w:rsid w:val="55BDB791"/>
    <w:rsid w:val="55C37570"/>
    <w:rsid w:val="55C38020"/>
    <w:rsid w:val="55C3B771"/>
    <w:rsid w:val="55CEAD32"/>
    <w:rsid w:val="55D5E723"/>
    <w:rsid w:val="55E4C0C6"/>
    <w:rsid w:val="55EAF0BA"/>
    <w:rsid w:val="55FDA515"/>
    <w:rsid w:val="5601B41D"/>
    <w:rsid w:val="56050C74"/>
    <w:rsid w:val="560605CD"/>
    <w:rsid w:val="5609E939"/>
    <w:rsid w:val="561095B8"/>
    <w:rsid w:val="56274F3D"/>
    <w:rsid w:val="563243C5"/>
    <w:rsid w:val="5636379D"/>
    <w:rsid w:val="5646F8EC"/>
    <w:rsid w:val="5649CD14"/>
    <w:rsid w:val="564FC578"/>
    <w:rsid w:val="5650CA3A"/>
    <w:rsid w:val="5650FBD0"/>
    <w:rsid w:val="5654B01D"/>
    <w:rsid w:val="5659C10E"/>
    <w:rsid w:val="565BE036"/>
    <w:rsid w:val="565F4406"/>
    <w:rsid w:val="5660C3A9"/>
    <w:rsid w:val="5661FCD0"/>
    <w:rsid w:val="5668A3C0"/>
    <w:rsid w:val="566CF3CF"/>
    <w:rsid w:val="56743230"/>
    <w:rsid w:val="56782DB7"/>
    <w:rsid w:val="567E4B8C"/>
    <w:rsid w:val="5687FD36"/>
    <w:rsid w:val="568A3E54"/>
    <w:rsid w:val="568A7E94"/>
    <w:rsid w:val="56900B07"/>
    <w:rsid w:val="56972B51"/>
    <w:rsid w:val="56A20A1D"/>
    <w:rsid w:val="56A4E7A8"/>
    <w:rsid w:val="56C4EB02"/>
    <w:rsid w:val="56C5A1EB"/>
    <w:rsid w:val="56D054F3"/>
    <w:rsid w:val="56D2A9F7"/>
    <w:rsid w:val="5705AF4B"/>
    <w:rsid w:val="57246BB3"/>
    <w:rsid w:val="572D36F9"/>
    <w:rsid w:val="572D9CBA"/>
    <w:rsid w:val="572EA31A"/>
    <w:rsid w:val="5734C563"/>
    <w:rsid w:val="574319CF"/>
    <w:rsid w:val="5744CBDE"/>
    <w:rsid w:val="574F9DD9"/>
    <w:rsid w:val="57562EEE"/>
    <w:rsid w:val="5757B50B"/>
    <w:rsid w:val="57592308"/>
    <w:rsid w:val="575A68ED"/>
    <w:rsid w:val="575CB571"/>
    <w:rsid w:val="575D9F98"/>
    <w:rsid w:val="576A2D69"/>
    <w:rsid w:val="577557EC"/>
    <w:rsid w:val="5786C11B"/>
    <w:rsid w:val="5788BF94"/>
    <w:rsid w:val="57AE33E7"/>
    <w:rsid w:val="57AF6319"/>
    <w:rsid w:val="57B4B2F5"/>
    <w:rsid w:val="57B693E5"/>
    <w:rsid w:val="57B6FE6D"/>
    <w:rsid w:val="57BEAC0F"/>
    <w:rsid w:val="57C5949E"/>
    <w:rsid w:val="57D207FE"/>
    <w:rsid w:val="57D3D5E1"/>
    <w:rsid w:val="57D8EDFC"/>
    <w:rsid w:val="57D9BCC0"/>
    <w:rsid w:val="57DD8C1B"/>
    <w:rsid w:val="57E08DCA"/>
    <w:rsid w:val="57ED2BDD"/>
    <w:rsid w:val="57EF550B"/>
    <w:rsid w:val="57F2912B"/>
    <w:rsid w:val="5804E74F"/>
    <w:rsid w:val="58053121"/>
    <w:rsid w:val="5806CC46"/>
    <w:rsid w:val="580766DE"/>
    <w:rsid w:val="58104761"/>
    <w:rsid w:val="58130787"/>
    <w:rsid w:val="5827F60A"/>
    <w:rsid w:val="583492C2"/>
    <w:rsid w:val="58367C4B"/>
    <w:rsid w:val="58387FB0"/>
    <w:rsid w:val="5840BE26"/>
    <w:rsid w:val="584D57D6"/>
    <w:rsid w:val="585350BA"/>
    <w:rsid w:val="585D1C22"/>
    <w:rsid w:val="585F4472"/>
    <w:rsid w:val="58658BCD"/>
    <w:rsid w:val="58728AA4"/>
    <w:rsid w:val="5875E55A"/>
    <w:rsid w:val="58803577"/>
    <w:rsid w:val="58818E3F"/>
    <w:rsid w:val="58829985"/>
    <w:rsid w:val="58834BF5"/>
    <w:rsid w:val="588626A9"/>
    <w:rsid w:val="5887347D"/>
    <w:rsid w:val="58909ADD"/>
    <w:rsid w:val="5893A29A"/>
    <w:rsid w:val="589E7728"/>
    <w:rsid w:val="58A28950"/>
    <w:rsid w:val="58AA643B"/>
    <w:rsid w:val="58BB7658"/>
    <w:rsid w:val="58BDA167"/>
    <w:rsid w:val="58D818C6"/>
    <w:rsid w:val="58DD65DA"/>
    <w:rsid w:val="58E73A52"/>
    <w:rsid w:val="58F91A6E"/>
    <w:rsid w:val="58FD3A86"/>
    <w:rsid w:val="590F8806"/>
    <w:rsid w:val="591AC096"/>
    <w:rsid w:val="591CEEA8"/>
    <w:rsid w:val="59234A27"/>
    <w:rsid w:val="59254B2D"/>
    <w:rsid w:val="592E876B"/>
    <w:rsid w:val="59359814"/>
    <w:rsid w:val="593D0ED7"/>
    <w:rsid w:val="5946507A"/>
    <w:rsid w:val="59504B10"/>
    <w:rsid w:val="5952315C"/>
    <w:rsid w:val="5952941D"/>
    <w:rsid w:val="59571D3C"/>
    <w:rsid w:val="595E9AD0"/>
    <w:rsid w:val="596C3A9A"/>
    <w:rsid w:val="596F77B3"/>
    <w:rsid w:val="5979428D"/>
    <w:rsid w:val="5987A1CE"/>
    <w:rsid w:val="598FA526"/>
    <w:rsid w:val="599161D0"/>
    <w:rsid w:val="5995C41E"/>
    <w:rsid w:val="5998F6B4"/>
    <w:rsid w:val="599FD9CC"/>
    <w:rsid w:val="59B17DA7"/>
    <w:rsid w:val="59B982BB"/>
    <w:rsid w:val="59BC1DC4"/>
    <w:rsid w:val="59C1A1AD"/>
    <w:rsid w:val="59C26D2F"/>
    <w:rsid w:val="59D70705"/>
    <w:rsid w:val="59EE6A95"/>
    <w:rsid w:val="5A09B7ED"/>
    <w:rsid w:val="5A11C197"/>
    <w:rsid w:val="5A1746A9"/>
    <w:rsid w:val="5A17BBC8"/>
    <w:rsid w:val="5A1AEA58"/>
    <w:rsid w:val="5A1F5473"/>
    <w:rsid w:val="5A3A1E9F"/>
    <w:rsid w:val="5A3F58DB"/>
    <w:rsid w:val="5A4210CC"/>
    <w:rsid w:val="5A4FF6E3"/>
    <w:rsid w:val="5A51A038"/>
    <w:rsid w:val="5A52A21D"/>
    <w:rsid w:val="5A5621F7"/>
    <w:rsid w:val="5A565142"/>
    <w:rsid w:val="5A5A367E"/>
    <w:rsid w:val="5A5BC4D3"/>
    <w:rsid w:val="5A5C0C75"/>
    <w:rsid w:val="5A6D79F2"/>
    <w:rsid w:val="5A791D71"/>
    <w:rsid w:val="5A82FA99"/>
    <w:rsid w:val="5A85732B"/>
    <w:rsid w:val="5A971911"/>
    <w:rsid w:val="5AA7C16F"/>
    <w:rsid w:val="5AAA88E8"/>
    <w:rsid w:val="5AB8461D"/>
    <w:rsid w:val="5ABA9D88"/>
    <w:rsid w:val="5ABE61DD"/>
    <w:rsid w:val="5ABF715C"/>
    <w:rsid w:val="5AC1A77C"/>
    <w:rsid w:val="5AC7132F"/>
    <w:rsid w:val="5AC7E4BB"/>
    <w:rsid w:val="5ACA3F16"/>
    <w:rsid w:val="5ACC5377"/>
    <w:rsid w:val="5ACE9E10"/>
    <w:rsid w:val="5ADC935A"/>
    <w:rsid w:val="5ADD2FFB"/>
    <w:rsid w:val="5AEC53B7"/>
    <w:rsid w:val="5AF545D6"/>
    <w:rsid w:val="5B0D7DBB"/>
    <w:rsid w:val="5B0F649C"/>
    <w:rsid w:val="5B10A4E9"/>
    <w:rsid w:val="5B199E92"/>
    <w:rsid w:val="5B1D3E37"/>
    <w:rsid w:val="5B292DE4"/>
    <w:rsid w:val="5B2B7587"/>
    <w:rsid w:val="5B34F5F7"/>
    <w:rsid w:val="5B3A210C"/>
    <w:rsid w:val="5B3C78D3"/>
    <w:rsid w:val="5B408ED8"/>
    <w:rsid w:val="5B43BF0A"/>
    <w:rsid w:val="5B4A8786"/>
    <w:rsid w:val="5B4E47E5"/>
    <w:rsid w:val="5B4E970F"/>
    <w:rsid w:val="5B565036"/>
    <w:rsid w:val="5B5F54C0"/>
    <w:rsid w:val="5B67899A"/>
    <w:rsid w:val="5B71C592"/>
    <w:rsid w:val="5B7EA220"/>
    <w:rsid w:val="5B93F117"/>
    <w:rsid w:val="5B972DD4"/>
    <w:rsid w:val="5BA20AFB"/>
    <w:rsid w:val="5BA91FAD"/>
    <w:rsid w:val="5BAA0736"/>
    <w:rsid w:val="5BB68312"/>
    <w:rsid w:val="5BB75786"/>
    <w:rsid w:val="5BBD935F"/>
    <w:rsid w:val="5BC83B9F"/>
    <w:rsid w:val="5BCFCB76"/>
    <w:rsid w:val="5BE2C925"/>
    <w:rsid w:val="5BE72BFB"/>
    <w:rsid w:val="5BF4B982"/>
    <w:rsid w:val="5BF4C691"/>
    <w:rsid w:val="5BF71170"/>
    <w:rsid w:val="5BFB5869"/>
    <w:rsid w:val="5C00E69F"/>
    <w:rsid w:val="5C08B47E"/>
    <w:rsid w:val="5C0B1426"/>
    <w:rsid w:val="5C0EFEC0"/>
    <w:rsid w:val="5C1051C5"/>
    <w:rsid w:val="5C117F66"/>
    <w:rsid w:val="5C1E8419"/>
    <w:rsid w:val="5C293017"/>
    <w:rsid w:val="5C2E8B9D"/>
    <w:rsid w:val="5C3A3845"/>
    <w:rsid w:val="5C41CA90"/>
    <w:rsid w:val="5C41D2B1"/>
    <w:rsid w:val="5C452017"/>
    <w:rsid w:val="5C494E70"/>
    <w:rsid w:val="5C4E7195"/>
    <w:rsid w:val="5C52E0B3"/>
    <w:rsid w:val="5C586CE8"/>
    <w:rsid w:val="5C5AE8B1"/>
    <w:rsid w:val="5C5F94E1"/>
    <w:rsid w:val="5C627042"/>
    <w:rsid w:val="5C663916"/>
    <w:rsid w:val="5C700FA8"/>
    <w:rsid w:val="5C7351D9"/>
    <w:rsid w:val="5C7699EE"/>
    <w:rsid w:val="5C7DD699"/>
    <w:rsid w:val="5C8ED3E0"/>
    <w:rsid w:val="5C9968ED"/>
    <w:rsid w:val="5C99DEA7"/>
    <w:rsid w:val="5C9AF5C0"/>
    <w:rsid w:val="5C9C2AEB"/>
    <w:rsid w:val="5C9DC5F3"/>
    <w:rsid w:val="5CAEF959"/>
    <w:rsid w:val="5CBAB08D"/>
    <w:rsid w:val="5CC4FA9C"/>
    <w:rsid w:val="5CCA9B55"/>
    <w:rsid w:val="5CD10B9B"/>
    <w:rsid w:val="5CDAC66F"/>
    <w:rsid w:val="5CF00459"/>
    <w:rsid w:val="5CFB5C6F"/>
    <w:rsid w:val="5D15E0EA"/>
    <w:rsid w:val="5D1E649E"/>
    <w:rsid w:val="5D21583D"/>
    <w:rsid w:val="5D25F2EE"/>
    <w:rsid w:val="5D27169B"/>
    <w:rsid w:val="5D294C4B"/>
    <w:rsid w:val="5D2E932B"/>
    <w:rsid w:val="5D30840B"/>
    <w:rsid w:val="5D370BB3"/>
    <w:rsid w:val="5D42D8B6"/>
    <w:rsid w:val="5D4AC894"/>
    <w:rsid w:val="5D8E4EEB"/>
    <w:rsid w:val="5D9025C7"/>
    <w:rsid w:val="5D961FA8"/>
    <w:rsid w:val="5D990A0C"/>
    <w:rsid w:val="5D9C5914"/>
    <w:rsid w:val="5DA03774"/>
    <w:rsid w:val="5DA406E7"/>
    <w:rsid w:val="5DA8B80A"/>
    <w:rsid w:val="5DC0D250"/>
    <w:rsid w:val="5DD3ADEB"/>
    <w:rsid w:val="5DD63D51"/>
    <w:rsid w:val="5DDABB1A"/>
    <w:rsid w:val="5DE979B7"/>
    <w:rsid w:val="5DF4A1EE"/>
    <w:rsid w:val="5DF8BFD6"/>
    <w:rsid w:val="5E0CAD0C"/>
    <w:rsid w:val="5E0F9DD2"/>
    <w:rsid w:val="5E13238B"/>
    <w:rsid w:val="5E1A5D5D"/>
    <w:rsid w:val="5E25D30E"/>
    <w:rsid w:val="5E26C128"/>
    <w:rsid w:val="5E273EC8"/>
    <w:rsid w:val="5E2BFD7D"/>
    <w:rsid w:val="5E3F12F6"/>
    <w:rsid w:val="5E556D42"/>
    <w:rsid w:val="5E7428D3"/>
    <w:rsid w:val="5E7C6C5F"/>
    <w:rsid w:val="5E80DBB6"/>
    <w:rsid w:val="5E81B163"/>
    <w:rsid w:val="5E8A8C08"/>
    <w:rsid w:val="5EA2240A"/>
    <w:rsid w:val="5EA38DD7"/>
    <w:rsid w:val="5EA8FF45"/>
    <w:rsid w:val="5EB3B0E7"/>
    <w:rsid w:val="5ECD8A9F"/>
    <w:rsid w:val="5EFD55F6"/>
    <w:rsid w:val="5F013A48"/>
    <w:rsid w:val="5F07E3A9"/>
    <w:rsid w:val="5F08EBA8"/>
    <w:rsid w:val="5F2FB88D"/>
    <w:rsid w:val="5F32C091"/>
    <w:rsid w:val="5F3A2AFC"/>
    <w:rsid w:val="5F3A7507"/>
    <w:rsid w:val="5F3ADFA3"/>
    <w:rsid w:val="5F3CF0AA"/>
    <w:rsid w:val="5F452A37"/>
    <w:rsid w:val="5F471513"/>
    <w:rsid w:val="5F47F287"/>
    <w:rsid w:val="5F4E4A2C"/>
    <w:rsid w:val="5F537C6C"/>
    <w:rsid w:val="5F5B4FC6"/>
    <w:rsid w:val="5F5C7023"/>
    <w:rsid w:val="5F62FDE3"/>
    <w:rsid w:val="5F6DE863"/>
    <w:rsid w:val="5F724C2D"/>
    <w:rsid w:val="5F7433BB"/>
    <w:rsid w:val="5F8F6FB3"/>
    <w:rsid w:val="5F92D05B"/>
    <w:rsid w:val="5FA80AC5"/>
    <w:rsid w:val="5FC5735D"/>
    <w:rsid w:val="5FC674A2"/>
    <w:rsid w:val="5FDD42D2"/>
    <w:rsid w:val="5FDFB1D0"/>
    <w:rsid w:val="5FE00BED"/>
    <w:rsid w:val="5FE71E92"/>
    <w:rsid w:val="5FE7811E"/>
    <w:rsid w:val="5FF76016"/>
    <w:rsid w:val="60010963"/>
    <w:rsid w:val="600CAA27"/>
    <w:rsid w:val="60143B29"/>
    <w:rsid w:val="6023CCE0"/>
    <w:rsid w:val="602E96F9"/>
    <w:rsid w:val="60304BCF"/>
    <w:rsid w:val="60343C4E"/>
    <w:rsid w:val="604795EB"/>
    <w:rsid w:val="604B820A"/>
    <w:rsid w:val="604F54A1"/>
    <w:rsid w:val="60535544"/>
    <w:rsid w:val="60563C17"/>
    <w:rsid w:val="6059C765"/>
    <w:rsid w:val="605D4AA0"/>
    <w:rsid w:val="60677825"/>
    <w:rsid w:val="606AA9EB"/>
    <w:rsid w:val="606EE9AC"/>
    <w:rsid w:val="60702C32"/>
    <w:rsid w:val="60724073"/>
    <w:rsid w:val="607AD07C"/>
    <w:rsid w:val="607D000F"/>
    <w:rsid w:val="60871B74"/>
    <w:rsid w:val="609813D2"/>
    <w:rsid w:val="609D0FDB"/>
    <w:rsid w:val="609EDC63"/>
    <w:rsid w:val="609EEC55"/>
    <w:rsid w:val="60A14B09"/>
    <w:rsid w:val="60A7DA68"/>
    <w:rsid w:val="60ACAA00"/>
    <w:rsid w:val="60AF16B1"/>
    <w:rsid w:val="60B35AFC"/>
    <w:rsid w:val="60B41E2D"/>
    <w:rsid w:val="60B7C1F2"/>
    <w:rsid w:val="60BDFB1E"/>
    <w:rsid w:val="60C9B0A7"/>
    <w:rsid w:val="60D93DFC"/>
    <w:rsid w:val="60DBA7A9"/>
    <w:rsid w:val="60DCA315"/>
    <w:rsid w:val="60E7EEF8"/>
    <w:rsid w:val="60EE4E7D"/>
    <w:rsid w:val="60F33C6F"/>
    <w:rsid w:val="60F8A4EB"/>
    <w:rsid w:val="61045BEF"/>
    <w:rsid w:val="6104F460"/>
    <w:rsid w:val="61095C70"/>
    <w:rsid w:val="610BC450"/>
    <w:rsid w:val="61105049"/>
    <w:rsid w:val="6111612B"/>
    <w:rsid w:val="61169A2F"/>
    <w:rsid w:val="611C1648"/>
    <w:rsid w:val="6127EED5"/>
    <w:rsid w:val="6135B10B"/>
    <w:rsid w:val="613A8D71"/>
    <w:rsid w:val="614C867C"/>
    <w:rsid w:val="61656F52"/>
    <w:rsid w:val="616ACE1B"/>
    <w:rsid w:val="616ED14A"/>
    <w:rsid w:val="616F93A2"/>
    <w:rsid w:val="6187C5D5"/>
    <w:rsid w:val="61982CF2"/>
    <w:rsid w:val="619AC353"/>
    <w:rsid w:val="61A0C448"/>
    <w:rsid w:val="61A24900"/>
    <w:rsid w:val="61C4B8CD"/>
    <w:rsid w:val="61DA8638"/>
    <w:rsid w:val="61DC8226"/>
    <w:rsid w:val="61EA1E8B"/>
    <w:rsid w:val="61EFA498"/>
    <w:rsid w:val="61F1AAC4"/>
    <w:rsid w:val="61F7203D"/>
    <w:rsid w:val="61F7A066"/>
    <w:rsid w:val="61F84868"/>
    <w:rsid w:val="62083DF7"/>
    <w:rsid w:val="620B673B"/>
    <w:rsid w:val="62101A82"/>
    <w:rsid w:val="62113331"/>
    <w:rsid w:val="6213466B"/>
    <w:rsid w:val="6217865E"/>
    <w:rsid w:val="6218B5C1"/>
    <w:rsid w:val="622F12E2"/>
    <w:rsid w:val="6243384A"/>
    <w:rsid w:val="624EE494"/>
    <w:rsid w:val="6252704B"/>
    <w:rsid w:val="62548BED"/>
    <w:rsid w:val="625755C7"/>
    <w:rsid w:val="625884A5"/>
    <w:rsid w:val="6264AA92"/>
    <w:rsid w:val="6269CB94"/>
    <w:rsid w:val="626FC538"/>
    <w:rsid w:val="62821609"/>
    <w:rsid w:val="62832F14"/>
    <w:rsid w:val="62850758"/>
    <w:rsid w:val="628B465D"/>
    <w:rsid w:val="628CF840"/>
    <w:rsid w:val="628E79FE"/>
    <w:rsid w:val="629321D5"/>
    <w:rsid w:val="6293786F"/>
    <w:rsid w:val="629795B4"/>
    <w:rsid w:val="62A01126"/>
    <w:rsid w:val="62AE7CC6"/>
    <w:rsid w:val="62AF46CC"/>
    <w:rsid w:val="62B0EFAC"/>
    <w:rsid w:val="62B660CC"/>
    <w:rsid w:val="62BC9344"/>
    <w:rsid w:val="62BD6637"/>
    <w:rsid w:val="62C513EE"/>
    <w:rsid w:val="62CFDC21"/>
    <w:rsid w:val="62D0B448"/>
    <w:rsid w:val="62D27C64"/>
    <w:rsid w:val="62D53997"/>
    <w:rsid w:val="62E02B11"/>
    <w:rsid w:val="62E056CF"/>
    <w:rsid w:val="62E32158"/>
    <w:rsid w:val="62E71B7D"/>
    <w:rsid w:val="62EFD06E"/>
    <w:rsid w:val="62F2BFF3"/>
    <w:rsid w:val="63082858"/>
    <w:rsid w:val="632772FE"/>
    <w:rsid w:val="6329745F"/>
    <w:rsid w:val="632AFCA2"/>
    <w:rsid w:val="633D639B"/>
    <w:rsid w:val="6345CD9C"/>
    <w:rsid w:val="63503015"/>
    <w:rsid w:val="6351A18F"/>
    <w:rsid w:val="635D4887"/>
    <w:rsid w:val="635D9B94"/>
    <w:rsid w:val="6367EF40"/>
    <w:rsid w:val="63728A09"/>
    <w:rsid w:val="639804A2"/>
    <w:rsid w:val="63A2A4BC"/>
    <w:rsid w:val="63A637EE"/>
    <w:rsid w:val="63AF6994"/>
    <w:rsid w:val="63B3615D"/>
    <w:rsid w:val="63B58BC7"/>
    <w:rsid w:val="63C19A77"/>
    <w:rsid w:val="63D20032"/>
    <w:rsid w:val="63D4AB6B"/>
    <w:rsid w:val="63D4CFBB"/>
    <w:rsid w:val="63D5184F"/>
    <w:rsid w:val="63D720AF"/>
    <w:rsid w:val="63DA96F1"/>
    <w:rsid w:val="63F6D929"/>
    <w:rsid w:val="6402DBFA"/>
    <w:rsid w:val="64032C82"/>
    <w:rsid w:val="640DFD12"/>
    <w:rsid w:val="641D023F"/>
    <w:rsid w:val="642247AA"/>
    <w:rsid w:val="643489BD"/>
    <w:rsid w:val="644314F4"/>
    <w:rsid w:val="644B2420"/>
    <w:rsid w:val="644DB492"/>
    <w:rsid w:val="6453660A"/>
    <w:rsid w:val="6463812A"/>
    <w:rsid w:val="6464A3D5"/>
    <w:rsid w:val="6465FCCE"/>
    <w:rsid w:val="646C2012"/>
    <w:rsid w:val="6473156D"/>
    <w:rsid w:val="64783268"/>
    <w:rsid w:val="648BCA56"/>
    <w:rsid w:val="649250C5"/>
    <w:rsid w:val="6493EFB4"/>
    <w:rsid w:val="6495930E"/>
    <w:rsid w:val="64A06812"/>
    <w:rsid w:val="64A7587B"/>
    <w:rsid w:val="64A811C5"/>
    <w:rsid w:val="64BAEBC6"/>
    <w:rsid w:val="64BDCDD0"/>
    <w:rsid w:val="64CE0293"/>
    <w:rsid w:val="64E3094F"/>
    <w:rsid w:val="64E37A74"/>
    <w:rsid w:val="64E99241"/>
    <w:rsid w:val="64EF570B"/>
    <w:rsid w:val="64F46891"/>
    <w:rsid w:val="64F8FB8F"/>
    <w:rsid w:val="64FBDDCA"/>
    <w:rsid w:val="64FF5F07"/>
    <w:rsid w:val="650446D0"/>
    <w:rsid w:val="650D15D6"/>
    <w:rsid w:val="6513721E"/>
    <w:rsid w:val="652099B6"/>
    <w:rsid w:val="65222425"/>
    <w:rsid w:val="6523654A"/>
    <w:rsid w:val="652A8CA2"/>
    <w:rsid w:val="652B2B31"/>
    <w:rsid w:val="652D7E33"/>
    <w:rsid w:val="6532D468"/>
    <w:rsid w:val="65332C60"/>
    <w:rsid w:val="6535264B"/>
    <w:rsid w:val="653B8E5C"/>
    <w:rsid w:val="6544E466"/>
    <w:rsid w:val="65522870"/>
    <w:rsid w:val="655582F8"/>
    <w:rsid w:val="6558CE26"/>
    <w:rsid w:val="655A065F"/>
    <w:rsid w:val="655D0EB6"/>
    <w:rsid w:val="6562A5AC"/>
    <w:rsid w:val="656D4E37"/>
    <w:rsid w:val="65798D21"/>
    <w:rsid w:val="6579F2B9"/>
    <w:rsid w:val="657A4FC8"/>
    <w:rsid w:val="657FFBE2"/>
    <w:rsid w:val="6580DE13"/>
    <w:rsid w:val="6586D4B3"/>
    <w:rsid w:val="65892EF0"/>
    <w:rsid w:val="658E55CB"/>
    <w:rsid w:val="65969C68"/>
    <w:rsid w:val="659A1053"/>
    <w:rsid w:val="659EFC79"/>
    <w:rsid w:val="65A7B7B1"/>
    <w:rsid w:val="65A7C8E5"/>
    <w:rsid w:val="65A81AC8"/>
    <w:rsid w:val="65B9A8C6"/>
    <w:rsid w:val="65C05B74"/>
    <w:rsid w:val="65CD4729"/>
    <w:rsid w:val="65CDAC5C"/>
    <w:rsid w:val="65D6DFC4"/>
    <w:rsid w:val="65E6E628"/>
    <w:rsid w:val="65E9AD0D"/>
    <w:rsid w:val="65EB90E4"/>
    <w:rsid w:val="65EC91F4"/>
    <w:rsid w:val="65EFD9AD"/>
    <w:rsid w:val="65F5FA67"/>
    <w:rsid w:val="65F854B0"/>
    <w:rsid w:val="65F9AAEC"/>
    <w:rsid w:val="66076759"/>
    <w:rsid w:val="6609B9A6"/>
    <w:rsid w:val="6613FD96"/>
    <w:rsid w:val="661E1B52"/>
    <w:rsid w:val="6621FCD6"/>
    <w:rsid w:val="6631C5E2"/>
    <w:rsid w:val="66327E90"/>
    <w:rsid w:val="663639E4"/>
    <w:rsid w:val="664FDB79"/>
    <w:rsid w:val="6652C182"/>
    <w:rsid w:val="66654118"/>
    <w:rsid w:val="66759A6D"/>
    <w:rsid w:val="6675FD20"/>
    <w:rsid w:val="66790099"/>
    <w:rsid w:val="66A0C7EA"/>
    <w:rsid w:val="66B3A080"/>
    <w:rsid w:val="66BB9F03"/>
    <w:rsid w:val="66C0F5E3"/>
    <w:rsid w:val="66C754E2"/>
    <w:rsid w:val="66CFF293"/>
    <w:rsid w:val="66D893EF"/>
    <w:rsid w:val="66DC892A"/>
    <w:rsid w:val="66DF66F4"/>
    <w:rsid w:val="66EDF8D1"/>
    <w:rsid w:val="6700FF7C"/>
    <w:rsid w:val="6727C4E9"/>
    <w:rsid w:val="673F0627"/>
    <w:rsid w:val="674D0ECE"/>
    <w:rsid w:val="674F56C5"/>
    <w:rsid w:val="6753C011"/>
    <w:rsid w:val="6758E4E5"/>
    <w:rsid w:val="675BB2D7"/>
    <w:rsid w:val="675DAD6D"/>
    <w:rsid w:val="67614027"/>
    <w:rsid w:val="6769171B"/>
    <w:rsid w:val="676C5474"/>
    <w:rsid w:val="676F8E90"/>
    <w:rsid w:val="6770887F"/>
    <w:rsid w:val="6786E63B"/>
    <w:rsid w:val="6791416B"/>
    <w:rsid w:val="679291E4"/>
    <w:rsid w:val="6796E1F4"/>
    <w:rsid w:val="6799CBB2"/>
    <w:rsid w:val="67AF37A5"/>
    <w:rsid w:val="67AF691E"/>
    <w:rsid w:val="67C030B0"/>
    <w:rsid w:val="67CB463A"/>
    <w:rsid w:val="67D46BFD"/>
    <w:rsid w:val="67DD2AFE"/>
    <w:rsid w:val="67DD936F"/>
    <w:rsid w:val="67E9F942"/>
    <w:rsid w:val="67ED18D4"/>
    <w:rsid w:val="67EF6491"/>
    <w:rsid w:val="67F27EC4"/>
    <w:rsid w:val="67F787EC"/>
    <w:rsid w:val="68069F87"/>
    <w:rsid w:val="680E959F"/>
    <w:rsid w:val="680E9EBE"/>
    <w:rsid w:val="681922EE"/>
    <w:rsid w:val="681E603D"/>
    <w:rsid w:val="682642B1"/>
    <w:rsid w:val="6826E584"/>
    <w:rsid w:val="6831333E"/>
    <w:rsid w:val="6834549A"/>
    <w:rsid w:val="683E73E3"/>
    <w:rsid w:val="6842DBE2"/>
    <w:rsid w:val="684A7923"/>
    <w:rsid w:val="68549CBD"/>
    <w:rsid w:val="68566C87"/>
    <w:rsid w:val="68616895"/>
    <w:rsid w:val="68632E70"/>
    <w:rsid w:val="6869E6A7"/>
    <w:rsid w:val="68783FDA"/>
    <w:rsid w:val="68788E86"/>
    <w:rsid w:val="687BE225"/>
    <w:rsid w:val="687C295A"/>
    <w:rsid w:val="688287EF"/>
    <w:rsid w:val="688EF431"/>
    <w:rsid w:val="68A0A9DA"/>
    <w:rsid w:val="68A2B5B4"/>
    <w:rsid w:val="68A8D7CD"/>
    <w:rsid w:val="68B5FD8C"/>
    <w:rsid w:val="68BA63A1"/>
    <w:rsid w:val="68BD4275"/>
    <w:rsid w:val="68D5AC70"/>
    <w:rsid w:val="68D6D9CB"/>
    <w:rsid w:val="68DAA79F"/>
    <w:rsid w:val="68DB617F"/>
    <w:rsid w:val="68DC56E0"/>
    <w:rsid w:val="68E6B98E"/>
    <w:rsid w:val="68E8409F"/>
    <w:rsid w:val="68EC5171"/>
    <w:rsid w:val="68F0EABD"/>
    <w:rsid w:val="68F6F306"/>
    <w:rsid w:val="68F960FD"/>
    <w:rsid w:val="69077F45"/>
    <w:rsid w:val="691DCCC1"/>
    <w:rsid w:val="692033D1"/>
    <w:rsid w:val="6921567B"/>
    <w:rsid w:val="6928456B"/>
    <w:rsid w:val="6932DAA2"/>
    <w:rsid w:val="69352B33"/>
    <w:rsid w:val="69415B77"/>
    <w:rsid w:val="69542E8B"/>
    <w:rsid w:val="6968F0E7"/>
    <w:rsid w:val="69740A55"/>
    <w:rsid w:val="6974EDBA"/>
    <w:rsid w:val="697DB904"/>
    <w:rsid w:val="69873292"/>
    <w:rsid w:val="6989F05D"/>
    <w:rsid w:val="698E6FB4"/>
    <w:rsid w:val="698EA026"/>
    <w:rsid w:val="698FC3A4"/>
    <w:rsid w:val="6992DA45"/>
    <w:rsid w:val="6999D4C3"/>
    <w:rsid w:val="699FE777"/>
    <w:rsid w:val="69A87DA0"/>
    <w:rsid w:val="69AB2DAB"/>
    <w:rsid w:val="69B34A01"/>
    <w:rsid w:val="69BE54D4"/>
    <w:rsid w:val="69BE6D86"/>
    <w:rsid w:val="69BF2CC5"/>
    <w:rsid w:val="69CA3CBD"/>
    <w:rsid w:val="69CD995E"/>
    <w:rsid w:val="69D08177"/>
    <w:rsid w:val="69FDFE2B"/>
    <w:rsid w:val="6A0CC8AD"/>
    <w:rsid w:val="6A0E4886"/>
    <w:rsid w:val="6A11CBA1"/>
    <w:rsid w:val="6A21FF76"/>
    <w:rsid w:val="6A22758F"/>
    <w:rsid w:val="6A2561CB"/>
    <w:rsid w:val="6A2D51ED"/>
    <w:rsid w:val="6A2D8719"/>
    <w:rsid w:val="6A2EF8DF"/>
    <w:rsid w:val="6A334DF6"/>
    <w:rsid w:val="6A3F3FE9"/>
    <w:rsid w:val="6A428676"/>
    <w:rsid w:val="6A4459D3"/>
    <w:rsid w:val="6A55223B"/>
    <w:rsid w:val="6A5EEB82"/>
    <w:rsid w:val="6A69AA34"/>
    <w:rsid w:val="6A72FC01"/>
    <w:rsid w:val="6A73FF91"/>
    <w:rsid w:val="6A887AEB"/>
    <w:rsid w:val="6A8B00EA"/>
    <w:rsid w:val="6A8B3B57"/>
    <w:rsid w:val="6A8B5493"/>
    <w:rsid w:val="6A9E7BF6"/>
    <w:rsid w:val="6A9FCB0D"/>
    <w:rsid w:val="6AA789E7"/>
    <w:rsid w:val="6AAADF12"/>
    <w:rsid w:val="6ABEB6C9"/>
    <w:rsid w:val="6AC58307"/>
    <w:rsid w:val="6AC5D2BF"/>
    <w:rsid w:val="6AD5199F"/>
    <w:rsid w:val="6ADABF86"/>
    <w:rsid w:val="6AE375FE"/>
    <w:rsid w:val="6AE6386F"/>
    <w:rsid w:val="6AFA3C8B"/>
    <w:rsid w:val="6AFCE5BD"/>
    <w:rsid w:val="6AFE9699"/>
    <w:rsid w:val="6B02B854"/>
    <w:rsid w:val="6B061253"/>
    <w:rsid w:val="6B07296A"/>
    <w:rsid w:val="6B0B6C17"/>
    <w:rsid w:val="6B0D3779"/>
    <w:rsid w:val="6B0F5416"/>
    <w:rsid w:val="6B149997"/>
    <w:rsid w:val="6B15F545"/>
    <w:rsid w:val="6B18BF1C"/>
    <w:rsid w:val="6B1A04FF"/>
    <w:rsid w:val="6B2BAA6D"/>
    <w:rsid w:val="6B344F0C"/>
    <w:rsid w:val="6B419951"/>
    <w:rsid w:val="6B4DEBD1"/>
    <w:rsid w:val="6B4F5192"/>
    <w:rsid w:val="6B59DDA0"/>
    <w:rsid w:val="6B5D9B79"/>
    <w:rsid w:val="6B5DA7E6"/>
    <w:rsid w:val="6B5DF126"/>
    <w:rsid w:val="6B608FFC"/>
    <w:rsid w:val="6B6E09EE"/>
    <w:rsid w:val="6B70993E"/>
    <w:rsid w:val="6B72DAA0"/>
    <w:rsid w:val="6B7509B8"/>
    <w:rsid w:val="6B94A780"/>
    <w:rsid w:val="6B9E8F19"/>
    <w:rsid w:val="6BA60819"/>
    <w:rsid w:val="6BA706AD"/>
    <w:rsid w:val="6BB706A9"/>
    <w:rsid w:val="6BC99632"/>
    <w:rsid w:val="6BD8A90E"/>
    <w:rsid w:val="6BE3DE63"/>
    <w:rsid w:val="6BE546AA"/>
    <w:rsid w:val="6BE63790"/>
    <w:rsid w:val="6BE7D9B2"/>
    <w:rsid w:val="6BF4293A"/>
    <w:rsid w:val="6BF63A74"/>
    <w:rsid w:val="6BF8A83F"/>
    <w:rsid w:val="6BFA0D4E"/>
    <w:rsid w:val="6C08D26C"/>
    <w:rsid w:val="6C0A1E07"/>
    <w:rsid w:val="6C11C97F"/>
    <w:rsid w:val="6C1628FC"/>
    <w:rsid w:val="6C1E8E30"/>
    <w:rsid w:val="6C2EF9E9"/>
    <w:rsid w:val="6C46C95E"/>
    <w:rsid w:val="6C560489"/>
    <w:rsid w:val="6C6AB1E8"/>
    <w:rsid w:val="6C6B767D"/>
    <w:rsid w:val="6C77275F"/>
    <w:rsid w:val="6C7F5D99"/>
    <w:rsid w:val="6C7FC44C"/>
    <w:rsid w:val="6C8079DC"/>
    <w:rsid w:val="6C811CF0"/>
    <w:rsid w:val="6C82DD03"/>
    <w:rsid w:val="6C858309"/>
    <w:rsid w:val="6C8BE89F"/>
    <w:rsid w:val="6C8BF96D"/>
    <w:rsid w:val="6C92CA2A"/>
    <w:rsid w:val="6CA74950"/>
    <w:rsid w:val="6CAA300C"/>
    <w:rsid w:val="6CAAC6A2"/>
    <w:rsid w:val="6CAC0531"/>
    <w:rsid w:val="6CB02416"/>
    <w:rsid w:val="6CB941EC"/>
    <w:rsid w:val="6CC08E9B"/>
    <w:rsid w:val="6CE206C2"/>
    <w:rsid w:val="6CE89B36"/>
    <w:rsid w:val="6CEA8B91"/>
    <w:rsid w:val="6CEC1E8B"/>
    <w:rsid w:val="6CEFB33C"/>
    <w:rsid w:val="6D01E4B1"/>
    <w:rsid w:val="6D13F002"/>
    <w:rsid w:val="6D1F6352"/>
    <w:rsid w:val="6D2236D4"/>
    <w:rsid w:val="6D25CEC1"/>
    <w:rsid w:val="6D29147E"/>
    <w:rsid w:val="6D332609"/>
    <w:rsid w:val="6D3453E4"/>
    <w:rsid w:val="6D453B59"/>
    <w:rsid w:val="6D45D8FF"/>
    <w:rsid w:val="6D4AF09E"/>
    <w:rsid w:val="6D51DF91"/>
    <w:rsid w:val="6D5C469E"/>
    <w:rsid w:val="6D5D0B7D"/>
    <w:rsid w:val="6D5DAEF2"/>
    <w:rsid w:val="6D5E4B1F"/>
    <w:rsid w:val="6D5F5451"/>
    <w:rsid w:val="6D5FC9B7"/>
    <w:rsid w:val="6D73ED80"/>
    <w:rsid w:val="6D7574F1"/>
    <w:rsid w:val="6D77498B"/>
    <w:rsid w:val="6D7997A2"/>
    <w:rsid w:val="6D7B8DB1"/>
    <w:rsid w:val="6D8093E1"/>
    <w:rsid w:val="6DB25C72"/>
    <w:rsid w:val="6DB7C59F"/>
    <w:rsid w:val="6DBDCCB1"/>
    <w:rsid w:val="6DC40D59"/>
    <w:rsid w:val="6DCD032C"/>
    <w:rsid w:val="6DD7F231"/>
    <w:rsid w:val="6DEB48CB"/>
    <w:rsid w:val="6DEDB765"/>
    <w:rsid w:val="6DF7F650"/>
    <w:rsid w:val="6DF9059D"/>
    <w:rsid w:val="6E08558E"/>
    <w:rsid w:val="6E0C898D"/>
    <w:rsid w:val="6E0E6F15"/>
    <w:rsid w:val="6E12F7C0"/>
    <w:rsid w:val="6E1CC869"/>
    <w:rsid w:val="6E2E2FA9"/>
    <w:rsid w:val="6E2F048A"/>
    <w:rsid w:val="6E357214"/>
    <w:rsid w:val="6E38874C"/>
    <w:rsid w:val="6E3ECA2C"/>
    <w:rsid w:val="6E44D651"/>
    <w:rsid w:val="6E4839EE"/>
    <w:rsid w:val="6E4959CD"/>
    <w:rsid w:val="6E516E91"/>
    <w:rsid w:val="6E517252"/>
    <w:rsid w:val="6E52676B"/>
    <w:rsid w:val="6E62BEF4"/>
    <w:rsid w:val="6E66B2C6"/>
    <w:rsid w:val="6E6D96F2"/>
    <w:rsid w:val="6E6F235F"/>
    <w:rsid w:val="6E70403D"/>
    <w:rsid w:val="6E760B7F"/>
    <w:rsid w:val="6E7DD723"/>
    <w:rsid w:val="6E80AB21"/>
    <w:rsid w:val="6E852BD3"/>
    <w:rsid w:val="6E86B578"/>
    <w:rsid w:val="6E90B4E1"/>
    <w:rsid w:val="6E91C468"/>
    <w:rsid w:val="6E9668DF"/>
    <w:rsid w:val="6E986960"/>
    <w:rsid w:val="6E9E0E64"/>
    <w:rsid w:val="6EA86261"/>
    <w:rsid w:val="6EAC2E61"/>
    <w:rsid w:val="6EACECB0"/>
    <w:rsid w:val="6EB4F703"/>
    <w:rsid w:val="6EB9914B"/>
    <w:rsid w:val="6EBA3BDD"/>
    <w:rsid w:val="6EC053A4"/>
    <w:rsid w:val="6EC66009"/>
    <w:rsid w:val="6ECAC586"/>
    <w:rsid w:val="6ED18CD6"/>
    <w:rsid w:val="6ED5077F"/>
    <w:rsid w:val="6EDD2B45"/>
    <w:rsid w:val="6EE1B25A"/>
    <w:rsid w:val="6EE376CA"/>
    <w:rsid w:val="6EFB90C3"/>
    <w:rsid w:val="6EFE7EC5"/>
    <w:rsid w:val="6F013B95"/>
    <w:rsid w:val="6F0F6E31"/>
    <w:rsid w:val="6F11754F"/>
    <w:rsid w:val="6F1407D3"/>
    <w:rsid w:val="6F28BA5F"/>
    <w:rsid w:val="6F39D823"/>
    <w:rsid w:val="6F48A641"/>
    <w:rsid w:val="6F4DB34A"/>
    <w:rsid w:val="6F53D42F"/>
    <w:rsid w:val="6F5CD436"/>
    <w:rsid w:val="6F5ED5EB"/>
    <w:rsid w:val="6F82C66D"/>
    <w:rsid w:val="6F92D92F"/>
    <w:rsid w:val="6F96195B"/>
    <w:rsid w:val="6FA95ADC"/>
    <w:rsid w:val="6FB77648"/>
    <w:rsid w:val="6FBE9F04"/>
    <w:rsid w:val="6FC3CE51"/>
    <w:rsid w:val="6FC51CF9"/>
    <w:rsid w:val="6FCA409A"/>
    <w:rsid w:val="6FDA9A8D"/>
    <w:rsid w:val="6FDAA29A"/>
    <w:rsid w:val="6FDCFEF0"/>
    <w:rsid w:val="6FE25F97"/>
    <w:rsid w:val="6FE44BF8"/>
    <w:rsid w:val="6FEA0B22"/>
    <w:rsid w:val="6FEA8882"/>
    <w:rsid w:val="6FF3BAC4"/>
    <w:rsid w:val="6FF8523B"/>
    <w:rsid w:val="6FFECEA7"/>
    <w:rsid w:val="70027540"/>
    <w:rsid w:val="70068D22"/>
    <w:rsid w:val="7006F225"/>
    <w:rsid w:val="7009B1D9"/>
    <w:rsid w:val="700DAA77"/>
    <w:rsid w:val="701ACB0F"/>
    <w:rsid w:val="701FDF59"/>
    <w:rsid w:val="70316D68"/>
    <w:rsid w:val="703CD59C"/>
    <w:rsid w:val="70451D7C"/>
    <w:rsid w:val="70565591"/>
    <w:rsid w:val="70594BC6"/>
    <w:rsid w:val="705AB1D2"/>
    <w:rsid w:val="705CC3DE"/>
    <w:rsid w:val="706519E6"/>
    <w:rsid w:val="70796807"/>
    <w:rsid w:val="708E874F"/>
    <w:rsid w:val="7095F4E8"/>
    <w:rsid w:val="7097E8CD"/>
    <w:rsid w:val="709A0616"/>
    <w:rsid w:val="709BA73E"/>
    <w:rsid w:val="709F6FCD"/>
    <w:rsid w:val="70A1F9EE"/>
    <w:rsid w:val="70A43DC0"/>
    <w:rsid w:val="70A5293C"/>
    <w:rsid w:val="70A6862B"/>
    <w:rsid w:val="70AA785C"/>
    <w:rsid w:val="70ADFBED"/>
    <w:rsid w:val="70B9096E"/>
    <w:rsid w:val="70BDBC6C"/>
    <w:rsid w:val="70C18325"/>
    <w:rsid w:val="70C43EF4"/>
    <w:rsid w:val="70C638CF"/>
    <w:rsid w:val="70D1DB5A"/>
    <w:rsid w:val="70DD4DD7"/>
    <w:rsid w:val="70DE658D"/>
    <w:rsid w:val="70E8118E"/>
    <w:rsid w:val="70EDEF0B"/>
    <w:rsid w:val="70F80810"/>
    <w:rsid w:val="70F886E2"/>
    <w:rsid w:val="70FA244D"/>
    <w:rsid w:val="70FBFCA2"/>
    <w:rsid w:val="70FF9503"/>
    <w:rsid w:val="7112E134"/>
    <w:rsid w:val="7120B2FC"/>
    <w:rsid w:val="71381DBC"/>
    <w:rsid w:val="71422026"/>
    <w:rsid w:val="7142F43E"/>
    <w:rsid w:val="7143E0E3"/>
    <w:rsid w:val="71466A2B"/>
    <w:rsid w:val="7163CE42"/>
    <w:rsid w:val="7168254E"/>
    <w:rsid w:val="716C8035"/>
    <w:rsid w:val="717CD264"/>
    <w:rsid w:val="7191B995"/>
    <w:rsid w:val="719B1262"/>
    <w:rsid w:val="71A226CF"/>
    <w:rsid w:val="71BF9392"/>
    <w:rsid w:val="71CF3073"/>
    <w:rsid w:val="71D48148"/>
    <w:rsid w:val="71DDF95E"/>
    <w:rsid w:val="71E58E66"/>
    <w:rsid w:val="720472D3"/>
    <w:rsid w:val="7205D2D0"/>
    <w:rsid w:val="720A1CBA"/>
    <w:rsid w:val="720D79AF"/>
    <w:rsid w:val="721A16A5"/>
    <w:rsid w:val="7224A97B"/>
    <w:rsid w:val="72264CC9"/>
    <w:rsid w:val="72477A5D"/>
    <w:rsid w:val="725ACB92"/>
    <w:rsid w:val="7269EC9E"/>
    <w:rsid w:val="727DFF2C"/>
    <w:rsid w:val="72881A3B"/>
    <w:rsid w:val="728902E1"/>
    <w:rsid w:val="72A0FC4E"/>
    <w:rsid w:val="72A1F563"/>
    <w:rsid w:val="72AEE9C4"/>
    <w:rsid w:val="72B195DE"/>
    <w:rsid w:val="72B2B176"/>
    <w:rsid w:val="72B4AFA1"/>
    <w:rsid w:val="72BFEDBE"/>
    <w:rsid w:val="72C40DED"/>
    <w:rsid w:val="72CE43AB"/>
    <w:rsid w:val="72DD3833"/>
    <w:rsid w:val="72F39A00"/>
    <w:rsid w:val="72F9A05B"/>
    <w:rsid w:val="72FC4E8F"/>
    <w:rsid w:val="7304CE19"/>
    <w:rsid w:val="7306DA54"/>
    <w:rsid w:val="73074563"/>
    <w:rsid w:val="731C2757"/>
    <w:rsid w:val="732CE016"/>
    <w:rsid w:val="732ED2F6"/>
    <w:rsid w:val="7333D0A0"/>
    <w:rsid w:val="7334F7C5"/>
    <w:rsid w:val="73369B56"/>
    <w:rsid w:val="7338D7C3"/>
    <w:rsid w:val="7339196C"/>
    <w:rsid w:val="73447AAE"/>
    <w:rsid w:val="734B0455"/>
    <w:rsid w:val="735121B8"/>
    <w:rsid w:val="73654FCC"/>
    <w:rsid w:val="736FDB3C"/>
    <w:rsid w:val="73734EF8"/>
    <w:rsid w:val="737988BB"/>
    <w:rsid w:val="737CC550"/>
    <w:rsid w:val="737FA598"/>
    <w:rsid w:val="738566BD"/>
    <w:rsid w:val="738E85E6"/>
    <w:rsid w:val="7392A944"/>
    <w:rsid w:val="739712C4"/>
    <w:rsid w:val="73B8B739"/>
    <w:rsid w:val="73BDEEF0"/>
    <w:rsid w:val="73C18DF1"/>
    <w:rsid w:val="73C2D731"/>
    <w:rsid w:val="73C9B05A"/>
    <w:rsid w:val="73CD95AA"/>
    <w:rsid w:val="73D28424"/>
    <w:rsid w:val="73D2AFD9"/>
    <w:rsid w:val="73D4132A"/>
    <w:rsid w:val="73E018F3"/>
    <w:rsid w:val="73E841AE"/>
    <w:rsid w:val="73EA0291"/>
    <w:rsid w:val="73F28EC6"/>
    <w:rsid w:val="73F2EE35"/>
    <w:rsid w:val="73F3D9B1"/>
    <w:rsid w:val="73F89515"/>
    <w:rsid w:val="73FE438A"/>
    <w:rsid w:val="740050E7"/>
    <w:rsid w:val="74196900"/>
    <w:rsid w:val="741FE598"/>
    <w:rsid w:val="7428D10D"/>
    <w:rsid w:val="74359D35"/>
    <w:rsid w:val="74364633"/>
    <w:rsid w:val="7440C8BE"/>
    <w:rsid w:val="74451458"/>
    <w:rsid w:val="744BBAF4"/>
    <w:rsid w:val="7458E451"/>
    <w:rsid w:val="7458FEB7"/>
    <w:rsid w:val="745C25C7"/>
    <w:rsid w:val="745D978C"/>
    <w:rsid w:val="746114F2"/>
    <w:rsid w:val="74687770"/>
    <w:rsid w:val="747072DC"/>
    <w:rsid w:val="747886A7"/>
    <w:rsid w:val="747AB979"/>
    <w:rsid w:val="7481D65E"/>
    <w:rsid w:val="7484AD63"/>
    <w:rsid w:val="748A744B"/>
    <w:rsid w:val="748C6048"/>
    <w:rsid w:val="74973EDF"/>
    <w:rsid w:val="7499C9BE"/>
    <w:rsid w:val="7499FD85"/>
    <w:rsid w:val="74B10A91"/>
    <w:rsid w:val="74B4DCAB"/>
    <w:rsid w:val="74B76BC1"/>
    <w:rsid w:val="74BAA584"/>
    <w:rsid w:val="74BBB86A"/>
    <w:rsid w:val="74BCCA31"/>
    <w:rsid w:val="74C2B503"/>
    <w:rsid w:val="74C63F0E"/>
    <w:rsid w:val="74C74781"/>
    <w:rsid w:val="74C90BCB"/>
    <w:rsid w:val="74D0B20A"/>
    <w:rsid w:val="74E03214"/>
    <w:rsid w:val="74E66BF9"/>
    <w:rsid w:val="74F3AD1B"/>
    <w:rsid w:val="74F42BA5"/>
    <w:rsid w:val="74F5F84E"/>
    <w:rsid w:val="74F63707"/>
    <w:rsid w:val="75070300"/>
    <w:rsid w:val="75119226"/>
    <w:rsid w:val="751BAE53"/>
    <w:rsid w:val="75250B10"/>
    <w:rsid w:val="753E7331"/>
    <w:rsid w:val="75430979"/>
    <w:rsid w:val="75560283"/>
    <w:rsid w:val="7560AAF0"/>
    <w:rsid w:val="7564E452"/>
    <w:rsid w:val="756977FE"/>
    <w:rsid w:val="756CEE39"/>
    <w:rsid w:val="756FE38B"/>
    <w:rsid w:val="75781285"/>
    <w:rsid w:val="757B6E3C"/>
    <w:rsid w:val="757D6750"/>
    <w:rsid w:val="757D7296"/>
    <w:rsid w:val="7581D2AD"/>
    <w:rsid w:val="7584120F"/>
    <w:rsid w:val="75883079"/>
    <w:rsid w:val="758A57D5"/>
    <w:rsid w:val="758BD67C"/>
    <w:rsid w:val="758D0AEF"/>
    <w:rsid w:val="75A4A3CF"/>
    <w:rsid w:val="75AC80C3"/>
    <w:rsid w:val="75BC625E"/>
    <w:rsid w:val="75BFE854"/>
    <w:rsid w:val="75BFEB25"/>
    <w:rsid w:val="75C6F25B"/>
    <w:rsid w:val="75C6FC11"/>
    <w:rsid w:val="75CBA2AF"/>
    <w:rsid w:val="75D98E67"/>
    <w:rsid w:val="75DDFF97"/>
    <w:rsid w:val="75DED231"/>
    <w:rsid w:val="75E2DE19"/>
    <w:rsid w:val="75F27259"/>
    <w:rsid w:val="75F2A55C"/>
    <w:rsid w:val="75FD417D"/>
    <w:rsid w:val="75FE37E2"/>
    <w:rsid w:val="76103F0C"/>
    <w:rsid w:val="76120254"/>
    <w:rsid w:val="76152826"/>
    <w:rsid w:val="7624A151"/>
    <w:rsid w:val="762B0754"/>
    <w:rsid w:val="7633EF51"/>
    <w:rsid w:val="7639EE2C"/>
    <w:rsid w:val="763EFA1A"/>
    <w:rsid w:val="7643342F"/>
    <w:rsid w:val="76462578"/>
    <w:rsid w:val="764841A6"/>
    <w:rsid w:val="764BEBE1"/>
    <w:rsid w:val="765531E0"/>
    <w:rsid w:val="765C219A"/>
    <w:rsid w:val="76600CEA"/>
    <w:rsid w:val="7660AE9B"/>
    <w:rsid w:val="766A6042"/>
    <w:rsid w:val="766E72BF"/>
    <w:rsid w:val="768622EA"/>
    <w:rsid w:val="7699B4E3"/>
    <w:rsid w:val="76A0A26B"/>
    <w:rsid w:val="76A3F20A"/>
    <w:rsid w:val="76A6AEB8"/>
    <w:rsid w:val="76AB5188"/>
    <w:rsid w:val="76D20A45"/>
    <w:rsid w:val="76DF5B91"/>
    <w:rsid w:val="76EFC5AE"/>
    <w:rsid w:val="76F2919E"/>
    <w:rsid w:val="76F65515"/>
    <w:rsid w:val="7701100F"/>
    <w:rsid w:val="7703E447"/>
    <w:rsid w:val="7705BE39"/>
    <w:rsid w:val="770953AF"/>
    <w:rsid w:val="7712A694"/>
    <w:rsid w:val="77153D16"/>
    <w:rsid w:val="772B917B"/>
    <w:rsid w:val="773FE785"/>
    <w:rsid w:val="774EFA50"/>
    <w:rsid w:val="77529077"/>
    <w:rsid w:val="7759250E"/>
    <w:rsid w:val="775C7404"/>
    <w:rsid w:val="7765E87F"/>
    <w:rsid w:val="77916587"/>
    <w:rsid w:val="77992ABB"/>
    <w:rsid w:val="77A08BBA"/>
    <w:rsid w:val="77A6F663"/>
    <w:rsid w:val="77A7FA25"/>
    <w:rsid w:val="77B4477D"/>
    <w:rsid w:val="77B858AD"/>
    <w:rsid w:val="77C9BFFE"/>
    <w:rsid w:val="77DA3AD0"/>
    <w:rsid w:val="77DA89EB"/>
    <w:rsid w:val="77DE7A27"/>
    <w:rsid w:val="77FE8A9A"/>
    <w:rsid w:val="78016B43"/>
    <w:rsid w:val="78076D4F"/>
    <w:rsid w:val="780B91E2"/>
    <w:rsid w:val="780BFDAF"/>
    <w:rsid w:val="78149E22"/>
    <w:rsid w:val="781BA8B5"/>
    <w:rsid w:val="7825BF59"/>
    <w:rsid w:val="78271749"/>
    <w:rsid w:val="782BDBDA"/>
    <w:rsid w:val="782EE08A"/>
    <w:rsid w:val="783AAA2E"/>
    <w:rsid w:val="7848B073"/>
    <w:rsid w:val="784A3945"/>
    <w:rsid w:val="784C6E26"/>
    <w:rsid w:val="785521A2"/>
    <w:rsid w:val="787E3F83"/>
    <w:rsid w:val="7882C41F"/>
    <w:rsid w:val="7889C855"/>
    <w:rsid w:val="78928B72"/>
    <w:rsid w:val="78950C14"/>
    <w:rsid w:val="789790AE"/>
    <w:rsid w:val="7898795F"/>
    <w:rsid w:val="78A485F9"/>
    <w:rsid w:val="78A8149D"/>
    <w:rsid w:val="78AF6041"/>
    <w:rsid w:val="78B40B7A"/>
    <w:rsid w:val="78B89AB5"/>
    <w:rsid w:val="78B9DBF2"/>
    <w:rsid w:val="78BECB4A"/>
    <w:rsid w:val="78D0FD9D"/>
    <w:rsid w:val="78D5698A"/>
    <w:rsid w:val="78DADE7C"/>
    <w:rsid w:val="78F00BD0"/>
    <w:rsid w:val="78F0CD80"/>
    <w:rsid w:val="78F55A69"/>
    <w:rsid w:val="78F6653A"/>
    <w:rsid w:val="78FABB58"/>
    <w:rsid w:val="7901F29D"/>
    <w:rsid w:val="79062202"/>
    <w:rsid w:val="7908D59E"/>
    <w:rsid w:val="790D69C9"/>
    <w:rsid w:val="79185D47"/>
    <w:rsid w:val="791B1313"/>
    <w:rsid w:val="791C4C9E"/>
    <w:rsid w:val="79334CB4"/>
    <w:rsid w:val="7933A6C3"/>
    <w:rsid w:val="793CCF50"/>
    <w:rsid w:val="79426653"/>
    <w:rsid w:val="79429184"/>
    <w:rsid w:val="79435042"/>
    <w:rsid w:val="794CC8E8"/>
    <w:rsid w:val="794EEAA4"/>
    <w:rsid w:val="79537110"/>
    <w:rsid w:val="79603615"/>
    <w:rsid w:val="7960FAF6"/>
    <w:rsid w:val="7962EDEB"/>
    <w:rsid w:val="7967DB28"/>
    <w:rsid w:val="79685D7E"/>
    <w:rsid w:val="796A650F"/>
    <w:rsid w:val="7982028A"/>
    <w:rsid w:val="7982BED0"/>
    <w:rsid w:val="798945D0"/>
    <w:rsid w:val="798FD9E4"/>
    <w:rsid w:val="7995113E"/>
    <w:rsid w:val="799B90EF"/>
    <w:rsid w:val="79A42568"/>
    <w:rsid w:val="79A67015"/>
    <w:rsid w:val="79AA5E27"/>
    <w:rsid w:val="79AEEE2E"/>
    <w:rsid w:val="79B1EE1B"/>
    <w:rsid w:val="79B4AA4F"/>
    <w:rsid w:val="79B6C5E2"/>
    <w:rsid w:val="79C47532"/>
    <w:rsid w:val="79CBC751"/>
    <w:rsid w:val="79CD92C9"/>
    <w:rsid w:val="79CDF91B"/>
    <w:rsid w:val="79DB5052"/>
    <w:rsid w:val="79DF8635"/>
    <w:rsid w:val="79E03D20"/>
    <w:rsid w:val="79E0C005"/>
    <w:rsid w:val="79E24DE7"/>
    <w:rsid w:val="7A0451C9"/>
    <w:rsid w:val="7A0F20C9"/>
    <w:rsid w:val="7A164316"/>
    <w:rsid w:val="7A172DB7"/>
    <w:rsid w:val="7A2F2117"/>
    <w:rsid w:val="7A305F6E"/>
    <w:rsid w:val="7A31612C"/>
    <w:rsid w:val="7A3B3930"/>
    <w:rsid w:val="7A4AF370"/>
    <w:rsid w:val="7A5C1769"/>
    <w:rsid w:val="7A5C4DBF"/>
    <w:rsid w:val="7A5F5306"/>
    <w:rsid w:val="7A60843B"/>
    <w:rsid w:val="7A6260D7"/>
    <w:rsid w:val="7A6CD1D0"/>
    <w:rsid w:val="7A6DA458"/>
    <w:rsid w:val="7A6E18BC"/>
    <w:rsid w:val="7A759364"/>
    <w:rsid w:val="7A78B452"/>
    <w:rsid w:val="7A7CC0A7"/>
    <w:rsid w:val="7A81306D"/>
    <w:rsid w:val="7A82FE24"/>
    <w:rsid w:val="7A86F91F"/>
    <w:rsid w:val="7A90144D"/>
    <w:rsid w:val="7A982116"/>
    <w:rsid w:val="7AA65BAF"/>
    <w:rsid w:val="7AB215C2"/>
    <w:rsid w:val="7ABC545B"/>
    <w:rsid w:val="7AC13C3D"/>
    <w:rsid w:val="7ACB689A"/>
    <w:rsid w:val="7ACDE07C"/>
    <w:rsid w:val="7AD76CD4"/>
    <w:rsid w:val="7AD7A4BB"/>
    <w:rsid w:val="7ADF9553"/>
    <w:rsid w:val="7AE287D4"/>
    <w:rsid w:val="7AE4E72C"/>
    <w:rsid w:val="7AE5ABB9"/>
    <w:rsid w:val="7AEE06CF"/>
    <w:rsid w:val="7AEF4ECF"/>
    <w:rsid w:val="7AF4A963"/>
    <w:rsid w:val="7AF81BDA"/>
    <w:rsid w:val="7AF8E6D1"/>
    <w:rsid w:val="7B01950D"/>
    <w:rsid w:val="7B13261D"/>
    <w:rsid w:val="7B25253E"/>
    <w:rsid w:val="7B269724"/>
    <w:rsid w:val="7B2E43CB"/>
    <w:rsid w:val="7B387BCE"/>
    <w:rsid w:val="7B3955B7"/>
    <w:rsid w:val="7B4075E2"/>
    <w:rsid w:val="7B452AE0"/>
    <w:rsid w:val="7B486457"/>
    <w:rsid w:val="7B507F1E"/>
    <w:rsid w:val="7B52589B"/>
    <w:rsid w:val="7B5C9E55"/>
    <w:rsid w:val="7B6BF868"/>
    <w:rsid w:val="7B72EB44"/>
    <w:rsid w:val="7B77772F"/>
    <w:rsid w:val="7B7E2EC5"/>
    <w:rsid w:val="7B8A1219"/>
    <w:rsid w:val="7B8DD959"/>
    <w:rsid w:val="7BA33DCA"/>
    <w:rsid w:val="7BADD93C"/>
    <w:rsid w:val="7BAE3AD5"/>
    <w:rsid w:val="7BB14E5F"/>
    <w:rsid w:val="7BB3A215"/>
    <w:rsid w:val="7BCD318D"/>
    <w:rsid w:val="7BE2959E"/>
    <w:rsid w:val="7BE45424"/>
    <w:rsid w:val="7BE5AFC5"/>
    <w:rsid w:val="7BEAB82C"/>
    <w:rsid w:val="7C02A1FF"/>
    <w:rsid w:val="7C049974"/>
    <w:rsid w:val="7C0E5E05"/>
    <w:rsid w:val="7C109F24"/>
    <w:rsid w:val="7C24BB40"/>
    <w:rsid w:val="7C24DEBE"/>
    <w:rsid w:val="7C2E5023"/>
    <w:rsid w:val="7C3803FD"/>
    <w:rsid w:val="7C517E27"/>
    <w:rsid w:val="7C58FCC5"/>
    <w:rsid w:val="7C5C4BDB"/>
    <w:rsid w:val="7C623585"/>
    <w:rsid w:val="7C62CE1A"/>
    <w:rsid w:val="7C66D520"/>
    <w:rsid w:val="7C6EBF7C"/>
    <w:rsid w:val="7C75E191"/>
    <w:rsid w:val="7C87CC79"/>
    <w:rsid w:val="7C92B9E7"/>
    <w:rsid w:val="7C93368D"/>
    <w:rsid w:val="7CA49ED7"/>
    <w:rsid w:val="7CAA3CD8"/>
    <w:rsid w:val="7CB4E74D"/>
    <w:rsid w:val="7CB9C7FB"/>
    <w:rsid w:val="7CBEF6EA"/>
    <w:rsid w:val="7CC4FCE9"/>
    <w:rsid w:val="7CCA6C85"/>
    <w:rsid w:val="7CCC2D91"/>
    <w:rsid w:val="7CCD063F"/>
    <w:rsid w:val="7CDCCAA2"/>
    <w:rsid w:val="7CEFCE0A"/>
    <w:rsid w:val="7CF1A5CE"/>
    <w:rsid w:val="7CFFE28C"/>
    <w:rsid w:val="7D048935"/>
    <w:rsid w:val="7D0B86BB"/>
    <w:rsid w:val="7D0E630E"/>
    <w:rsid w:val="7D0E7C8C"/>
    <w:rsid w:val="7D18BB19"/>
    <w:rsid w:val="7D3148B9"/>
    <w:rsid w:val="7D37CCF6"/>
    <w:rsid w:val="7D4E25EA"/>
    <w:rsid w:val="7D520C17"/>
    <w:rsid w:val="7D5368B7"/>
    <w:rsid w:val="7D57D2A8"/>
    <w:rsid w:val="7D5C0416"/>
    <w:rsid w:val="7D60C059"/>
    <w:rsid w:val="7D60E380"/>
    <w:rsid w:val="7D616EC3"/>
    <w:rsid w:val="7D647C29"/>
    <w:rsid w:val="7D673A10"/>
    <w:rsid w:val="7D67E270"/>
    <w:rsid w:val="7D68ECBC"/>
    <w:rsid w:val="7D6901EE"/>
    <w:rsid w:val="7D6B2B0F"/>
    <w:rsid w:val="7D848AAE"/>
    <w:rsid w:val="7D8A6C52"/>
    <w:rsid w:val="7D90BA83"/>
    <w:rsid w:val="7D9D9F71"/>
    <w:rsid w:val="7D9E7260"/>
    <w:rsid w:val="7DA32760"/>
    <w:rsid w:val="7DA6679C"/>
    <w:rsid w:val="7DA741C1"/>
    <w:rsid w:val="7DAA3F4F"/>
    <w:rsid w:val="7DAAF7AE"/>
    <w:rsid w:val="7DACA62F"/>
    <w:rsid w:val="7DB82446"/>
    <w:rsid w:val="7DB898A1"/>
    <w:rsid w:val="7DBD396A"/>
    <w:rsid w:val="7DBF285D"/>
    <w:rsid w:val="7DC437B6"/>
    <w:rsid w:val="7DC55FCF"/>
    <w:rsid w:val="7DC813C8"/>
    <w:rsid w:val="7DD01711"/>
    <w:rsid w:val="7DD35964"/>
    <w:rsid w:val="7DD4B406"/>
    <w:rsid w:val="7DE00E04"/>
    <w:rsid w:val="7DE6408B"/>
    <w:rsid w:val="7DFE05E6"/>
    <w:rsid w:val="7E0AD510"/>
    <w:rsid w:val="7E232752"/>
    <w:rsid w:val="7E2B74E5"/>
    <w:rsid w:val="7E2C17CA"/>
    <w:rsid w:val="7E2CABC2"/>
    <w:rsid w:val="7E31B7FD"/>
    <w:rsid w:val="7E440D71"/>
    <w:rsid w:val="7E48AFB5"/>
    <w:rsid w:val="7E5323B4"/>
    <w:rsid w:val="7E54370D"/>
    <w:rsid w:val="7E590E08"/>
    <w:rsid w:val="7E5D2296"/>
    <w:rsid w:val="7E603B41"/>
    <w:rsid w:val="7E6AF27D"/>
    <w:rsid w:val="7E70CA63"/>
    <w:rsid w:val="7E70DBE8"/>
    <w:rsid w:val="7E7A36BF"/>
    <w:rsid w:val="7E8434EC"/>
    <w:rsid w:val="7E8DCA4D"/>
    <w:rsid w:val="7E9BC403"/>
    <w:rsid w:val="7EA4C6C8"/>
    <w:rsid w:val="7EBCF9D8"/>
    <w:rsid w:val="7EBDCEF9"/>
    <w:rsid w:val="7ECBDB25"/>
    <w:rsid w:val="7EDB2F93"/>
    <w:rsid w:val="7EE19A25"/>
    <w:rsid w:val="7EE360FD"/>
    <w:rsid w:val="7EE8214E"/>
    <w:rsid w:val="7EEFC1B7"/>
    <w:rsid w:val="7EF00342"/>
    <w:rsid w:val="7F075A3E"/>
    <w:rsid w:val="7F0C97A6"/>
    <w:rsid w:val="7F0EB203"/>
    <w:rsid w:val="7F120F15"/>
    <w:rsid w:val="7F17E663"/>
    <w:rsid w:val="7F266177"/>
    <w:rsid w:val="7F2A5969"/>
    <w:rsid w:val="7F2E6D79"/>
    <w:rsid w:val="7F39C7D6"/>
    <w:rsid w:val="7F423789"/>
    <w:rsid w:val="7F484322"/>
    <w:rsid w:val="7F49FB71"/>
    <w:rsid w:val="7F4B9C00"/>
    <w:rsid w:val="7F590D99"/>
    <w:rsid w:val="7F746FC6"/>
    <w:rsid w:val="7F7B1806"/>
    <w:rsid w:val="7F7C4875"/>
    <w:rsid w:val="7F7EC2A6"/>
    <w:rsid w:val="7F808E69"/>
    <w:rsid w:val="7F8320D0"/>
    <w:rsid w:val="7F871010"/>
    <w:rsid w:val="7F9966A9"/>
    <w:rsid w:val="7FA62209"/>
    <w:rsid w:val="7FA8DB18"/>
    <w:rsid w:val="7FA9C492"/>
    <w:rsid w:val="7FB47768"/>
    <w:rsid w:val="7FB496DB"/>
    <w:rsid w:val="7FBB712A"/>
    <w:rsid w:val="7FC2CAF8"/>
    <w:rsid w:val="7FC7F96B"/>
    <w:rsid w:val="7FCA91D0"/>
    <w:rsid w:val="7FCB8AB6"/>
    <w:rsid w:val="7FD73A71"/>
    <w:rsid w:val="7FF3BB7C"/>
  </w:rsids>
  <m:mathPr>
    <m:mathFont m:val="Cambria Math"/>
    <m:brkBin m:val="before"/>
    <m:brkBinSub m:val="--"/>
    <m:smallFrac m:val="0"/>
    <m:dispDef/>
    <m:lMargin m:val="0"/>
    <m:rMargin m:val="0"/>
    <m:defJc m:val="centerGroup"/>
    <m:wrapIndent m:val="1440"/>
    <m:intLim m:val="subSup"/>
    <m:naryLim m:val="undOvr"/>
  </m:mathPr>
  <w:themeFontLang w:val="en-GB"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1931B84"/>
  <w15:docId w15:val="{F4517221-A8DA-4BA5-A409-5D8E2B602C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qFormat="1"/>
    <w:lsdException w:name="heading 1" w:uiPriority="0" w:qFormat="1"/>
    <w:lsdException w:name="heading 2" w:semiHidden="1" w:uiPriority="0" w:qFormat="1"/>
    <w:lsdException w:name="heading 3" w:semiHidden="1" w:uiPriority="0" w:qFormat="1"/>
    <w:lsdException w:name="heading 4" w:semiHidden="1" w:uiPriority="0"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99"/>
    <w:qFormat/>
    <w:rsid w:val="00E81E6E"/>
  </w:style>
  <w:style w:type="paragraph" w:styleId="Heading1">
    <w:name w:val="heading 1"/>
    <w:basedOn w:val="Normal"/>
    <w:next w:val="Normal"/>
    <w:link w:val="Heading1Char"/>
    <w:qFormat/>
    <w:rsid w:val="00214C6C"/>
    <w:pPr>
      <w:keepNext/>
      <w:keepLines/>
      <w:numPr>
        <w:numId w:val="56"/>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qFormat/>
    <w:rsid w:val="00D22CAF"/>
    <w:pPr>
      <w:keepNext/>
      <w:keepLines/>
      <w:numPr>
        <w:ilvl w:val="1"/>
        <w:numId w:val="56"/>
      </w:numPr>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qFormat/>
    <w:rsid w:val="00D22CAF"/>
    <w:pPr>
      <w:keepNext/>
      <w:keepLines/>
      <w:numPr>
        <w:ilvl w:val="2"/>
        <w:numId w:val="56"/>
      </w:numPr>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EFSABodytext"/>
    <w:link w:val="Heading4Char"/>
    <w:qFormat/>
    <w:rsid w:val="00CC165F"/>
    <w:pPr>
      <w:keepNext/>
      <w:numPr>
        <w:ilvl w:val="3"/>
        <w:numId w:val="56"/>
      </w:numPr>
      <w:spacing w:after="240" w:line="240" w:lineRule="auto"/>
      <w:jc w:val="both"/>
      <w:outlineLvl w:val="3"/>
    </w:pPr>
    <w:rPr>
      <w:rFonts w:ascii="Times New Roman" w:eastAsia="Times New Roman" w:hAnsi="Times New Roman" w:cs="Times New Roman"/>
      <w:sz w:val="24"/>
      <w:szCs w:val="20"/>
    </w:rPr>
  </w:style>
  <w:style w:type="paragraph" w:styleId="Heading5">
    <w:name w:val="heading 5"/>
    <w:basedOn w:val="Normal"/>
    <w:next w:val="Normal"/>
    <w:link w:val="Heading5Char"/>
    <w:uiPriority w:val="9"/>
    <w:semiHidden/>
    <w:qFormat/>
    <w:rsid w:val="00EF285F"/>
    <w:pPr>
      <w:keepNext/>
      <w:keepLines/>
      <w:numPr>
        <w:ilvl w:val="4"/>
        <w:numId w:val="56"/>
      </w:numPr>
      <w:spacing w:before="40" w:after="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qFormat/>
    <w:rsid w:val="00EF285F"/>
    <w:pPr>
      <w:keepNext/>
      <w:keepLines/>
      <w:numPr>
        <w:ilvl w:val="5"/>
        <w:numId w:val="56"/>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EF285F"/>
    <w:pPr>
      <w:keepNext/>
      <w:keepLines/>
      <w:numPr>
        <w:ilvl w:val="6"/>
        <w:numId w:val="56"/>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EF285F"/>
    <w:pPr>
      <w:keepNext/>
      <w:keepLines/>
      <w:numPr>
        <w:ilvl w:val="7"/>
        <w:numId w:val="56"/>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F285F"/>
    <w:pPr>
      <w:keepNext/>
      <w:keepLines/>
      <w:numPr>
        <w:ilvl w:val="8"/>
        <w:numId w:val="5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FSAAppendixtitle">
    <w:name w:val="EFSA_Appendix title"/>
    <w:next w:val="EFSABodytext"/>
    <w:link w:val="EFSAAppendixtitleChar"/>
    <w:qFormat/>
    <w:rsid w:val="005A67A2"/>
    <w:pPr>
      <w:keepNext/>
      <w:numPr>
        <w:numId w:val="7"/>
      </w:numPr>
      <w:suppressLineNumbers/>
      <w:suppressAutoHyphens/>
      <w:spacing w:before="240" w:after="120" w:line="240" w:lineRule="auto"/>
      <w:jc w:val="both"/>
      <w:outlineLvl w:val="0"/>
    </w:pPr>
    <w:rPr>
      <w:rFonts w:ascii="Tahoma" w:eastAsia="Times New Roman" w:hAnsi="Tahoma" w:cs="Mangal"/>
      <w:b/>
      <w:iCs/>
      <w:sz w:val="24"/>
      <w:szCs w:val="24"/>
      <w:lang w:eastAsia="en-GB"/>
    </w:rPr>
  </w:style>
  <w:style w:type="character" w:customStyle="1" w:styleId="EFSAAppendixtitleChar">
    <w:name w:val="EFSA_Appendix title Char"/>
    <w:basedOn w:val="DefaultParagraphFont"/>
    <w:link w:val="EFSAAppendixtitle"/>
    <w:rsid w:val="005A67A2"/>
    <w:rPr>
      <w:rFonts w:ascii="Tahoma" w:eastAsia="Times New Roman" w:hAnsi="Tahoma" w:cs="Mangal"/>
      <w:b/>
      <w:iCs/>
      <w:sz w:val="24"/>
      <w:szCs w:val="24"/>
      <w:lang w:eastAsia="en-GB"/>
    </w:rPr>
  </w:style>
  <w:style w:type="paragraph" w:styleId="Caption">
    <w:name w:val="caption"/>
    <w:basedOn w:val="Normal"/>
    <w:next w:val="Normal"/>
    <w:uiPriority w:val="35"/>
    <w:qFormat/>
    <w:rsid w:val="00214C6C"/>
    <w:pPr>
      <w:spacing w:line="240" w:lineRule="auto"/>
    </w:pPr>
    <w:rPr>
      <w:b/>
      <w:bCs/>
      <w:color w:val="4F81BD" w:themeColor="accent1"/>
      <w:sz w:val="18"/>
      <w:szCs w:val="18"/>
    </w:rPr>
  </w:style>
  <w:style w:type="paragraph" w:customStyle="1" w:styleId="EFSAHeading1nonumber">
    <w:name w:val="EFSA_Heading 1 (no number)"/>
    <w:basedOn w:val="Normal"/>
    <w:next w:val="EFSABodytext"/>
    <w:link w:val="EFSAHeading1nonumberChar"/>
    <w:qFormat/>
    <w:rsid w:val="00FC75D7"/>
    <w:pPr>
      <w:keepNext/>
      <w:spacing w:before="240" w:after="120" w:line="240" w:lineRule="auto"/>
      <w:outlineLvl w:val="0"/>
    </w:pPr>
    <w:rPr>
      <w:rFonts w:ascii="Tahoma" w:hAnsi="Tahoma"/>
      <w:b/>
      <w:sz w:val="24"/>
      <w:szCs w:val="24"/>
    </w:rPr>
  </w:style>
  <w:style w:type="character" w:customStyle="1" w:styleId="EFSAHeading1nonumberChar">
    <w:name w:val="EFSA_Heading 1 (no number) Char"/>
    <w:basedOn w:val="DefaultParagraphFont"/>
    <w:link w:val="EFSAHeading1nonumber"/>
    <w:rsid w:val="00FC75D7"/>
    <w:rPr>
      <w:rFonts w:ascii="Tahoma" w:hAnsi="Tahoma"/>
      <w:b/>
      <w:sz w:val="24"/>
      <w:szCs w:val="24"/>
    </w:rPr>
  </w:style>
  <w:style w:type="paragraph" w:customStyle="1" w:styleId="EFSAAuthor">
    <w:name w:val="EFSA_Author"/>
    <w:next w:val="EFSABodytext"/>
    <w:link w:val="EFSAAuthorChar"/>
    <w:qFormat/>
    <w:rsid w:val="00FC75D7"/>
    <w:pPr>
      <w:spacing w:before="240" w:after="120" w:line="240" w:lineRule="auto"/>
      <w:jc w:val="center"/>
    </w:pPr>
    <w:rPr>
      <w:rFonts w:ascii="Tahoma" w:hAnsi="Tahoma"/>
      <w:b/>
      <w:sz w:val="28"/>
      <w:szCs w:val="24"/>
    </w:rPr>
  </w:style>
  <w:style w:type="character" w:customStyle="1" w:styleId="EFSAAuthorChar">
    <w:name w:val="EFSA_Author Char"/>
    <w:basedOn w:val="EFSAHeading1nonumberChar"/>
    <w:link w:val="EFSAAuthor"/>
    <w:rsid w:val="00FC75D7"/>
    <w:rPr>
      <w:rFonts w:ascii="Tahoma" w:hAnsi="Tahoma"/>
      <w:b/>
      <w:sz w:val="28"/>
      <w:szCs w:val="24"/>
    </w:rPr>
  </w:style>
  <w:style w:type="paragraph" w:customStyle="1" w:styleId="EFSABodytext">
    <w:name w:val="EFSA_Body text"/>
    <w:basedOn w:val="Normal"/>
    <w:link w:val="EFSABodytextChar"/>
    <w:qFormat/>
    <w:rsid w:val="00214C6C"/>
    <w:pPr>
      <w:spacing w:after="120" w:line="240" w:lineRule="auto"/>
      <w:jc w:val="both"/>
    </w:pPr>
    <w:rPr>
      <w:rFonts w:ascii="Tahoma" w:hAnsi="Tahoma"/>
      <w:sz w:val="20"/>
      <w:szCs w:val="20"/>
    </w:rPr>
  </w:style>
  <w:style w:type="character" w:customStyle="1" w:styleId="EFSABodytextChar">
    <w:name w:val="EFSA_Body text Char"/>
    <w:basedOn w:val="DefaultParagraphFont"/>
    <w:link w:val="EFSABodytext"/>
    <w:rsid w:val="00214C6C"/>
    <w:rPr>
      <w:rFonts w:ascii="Tahoma" w:hAnsi="Tahoma"/>
      <w:sz w:val="20"/>
      <w:szCs w:val="20"/>
    </w:rPr>
  </w:style>
  <w:style w:type="paragraph" w:customStyle="1" w:styleId="EFSABullet1">
    <w:name w:val="EFSA_Bullet 1"/>
    <w:basedOn w:val="EFSABodytext"/>
    <w:link w:val="EFSABullet1Char"/>
    <w:qFormat/>
    <w:rsid w:val="00214C6C"/>
    <w:pPr>
      <w:numPr>
        <w:numId w:val="9"/>
      </w:numPr>
    </w:pPr>
  </w:style>
  <w:style w:type="character" w:customStyle="1" w:styleId="EFSABullet1Char">
    <w:name w:val="EFSA_Bullet 1 Char"/>
    <w:basedOn w:val="EFSABodytextChar"/>
    <w:link w:val="EFSABullet1"/>
    <w:rsid w:val="00214C6C"/>
    <w:rPr>
      <w:rFonts w:ascii="Tahoma" w:hAnsi="Tahoma"/>
      <w:sz w:val="20"/>
      <w:szCs w:val="20"/>
    </w:rPr>
  </w:style>
  <w:style w:type="paragraph" w:customStyle="1" w:styleId="EFSABullet2">
    <w:name w:val="EFSA_Bullet 2"/>
    <w:basedOn w:val="EFSABodytext"/>
    <w:link w:val="EFSABullet2Char"/>
    <w:qFormat/>
    <w:rsid w:val="00214C6C"/>
    <w:pPr>
      <w:numPr>
        <w:ilvl w:val="1"/>
        <w:numId w:val="9"/>
      </w:numPr>
    </w:pPr>
  </w:style>
  <w:style w:type="character" w:customStyle="1" w:styleId="EFSABullet2Char">
    <w:name w:val="EFSA_Bullet 2 Char"/>
    <w:basedOn w:val="EFSABodytextChar"/>
    <w:link w:val="EFSABullet2"/>
    <w:rsid w:val="00214C6C"/>
    <w:rPr>
      <w:rFonts w:ascii="Tahoma" w:hAnsi="Tahoma"/>
      <w:sz w:val="20"/>
      <w:szCs w:val="20"/>
    </w:rPr>
  </w:style>
  <w:style w:type="paragraph" w:customStyle="1" w:styleId="EFSADates">
    <w:name w:val="EFSA_Dates"/>
    <w:link w:val="EFSADatesChar"/>
    <w:qFormat/>
    <w:rsid w:val="00214C6C"/>
    <w:pPr>
      <w:spacing w:before="120" w:after="0" w:line="240" w:lineRule="auto"/>
    </w:pPr>
    <w:rPr>
      <w:rFonts w:ascii="Calibri" w:hAnsi="Calibri"/>
      <w:sz w:val="18"/>
      <w:lang w:val="en-US"/>
    </w:rPr>
  </w:style>
  <w:style w:type="character" w:customStyle="1" w:styleId="EFSADatesChar">
    <w:name w:val="EFSA_Dates Char"/>
    <w:basedOn w:val="DefaultParagraphFont"/>
    <w:link w:val="EFSADates"/>
    <w:rsid w:val="00214C6C"/>
    <w:rPr>
      <w:rFonts w:ascii="Calibri" w:hAnsi="Calibri"/>
      <w:sz w:val="18"/>
      <w:lang w:val="en-US"/>
    </w:rPr>
  </w:style>
  <w:style w:type="paragraph" w:customStyle="1" w:styleId="EFSADocsprovided">
    <w:name w:val="EFSA_Docs provided"/>
    <w:basedOn w:val="EFSABodytext"/>
    <w:link w:val="EFSADocsprovidedChar"/>
    <w:qFormat/>
    <w:rsid w:val="005A67A2"/>
    <w:pPr>
      <w:keepNext/>
      <w:numPr>
        <w:numId w:val="10"/>
      </w:numPr>
      <w:spacing w:after="240"/>
    </w:pPr>
  </w:style>
  <w:style w:type="character" w:customStyle="1" w:styleId="EFSADocsprovidedChar">
    <w:name w:val="EFSA_Docs provided Char"/>
    <w:basedOn w:val="EFSABodytextChar"/>
    <w:link w:val="EFSADocsprovided"/>
    <w:rsid w:val="005A67A2"/>
    <w:rPr>
      <w:rFonts w:ascii="Tahoma" w:hAnsi="Tahoma"/>
      <w:sz w:val="20"/>
      <w:szCs w:val="20"/>
    </w:rPr>
  </w:style>
  <w:style w:type="paragraph" w:customStyle="1" w:styleId="EFSATablefootnote">
    <w:name w:val="EFSA_Table footnote"/>
    <w:basedOn w:val="EFSABodytext"/>
    <w:link w:val="EFSATablefootnoteChar"/>
    <w:qFormat/>
    <w:rsid w:val="00214C6C"/>
    <w:pPr>
      <w:numPr>
        <w:numId w:val="11"/>
      </w:numPr>
      <w:tabs>
        <w:tab w:val="left" w:pos="426"/>
      </w:tabs>
      <w:contextualSpacing/>
      <w:jc w:val="left"/>
    </w:pPr>
    <w:rPr>
      <w:sz w:val="16"/>
    </w:rPr>
  </w:style>
  <w:style w:type="character" w:customStyle="1" w:styleId="EFSATablefootnoteChar">
    <w:name w:val="EFSA_Table footnote Char"/>
    <w:basedOn w:val="EFSABodytextChar"/>
    <w:link w:val="EFSATablefootnote"/>
    <w:rsid w:val="00214C6C"/>
    <w:rPr>
      <w:rFonts w:ascii="Tahoma" w:hAnsi="Tahoma"/>
      <w:sz w:val="16"/>
      <w:szCs w:val="20"/>
    </w:rPr>
  </w:style>
  <w:style w:type="paragraph" w:customStyle="1" w:styleId="EFSATablelegend">
    <w:name w:val="EFSA_Table legend"/>
    <w:basedOn w:val="EFSATablefootnote"/>
    <w:link w:val="EFSATablelegendChar"/>
    <w:qFormat/>
    <w:rsid w:val="00214C6C"/>
    <w:pPr>
      <w:numPr>
        <w:numId w:val="0"/>
      </w:numPr>
      <w:spacing w:after="0"/>
      <w:contextualSpacing w:val="0"/>
    </w:pPr>
  </w:style>
  <w:style w:type="character" w:customStyle="1" w:styleId="EFSATablelegendChar">
    <w:name w:val="EFSA_Table legend Char"/>
    <w:basedOn w:val="EFSATablefootnoteChar"/>
    <w:link w:val="EFSATablelegend"/>
    <w:rsid w:val="00214C6C"/>
    <w:rPr>
      <w:rFonts w:ascii="Tahoma" w:hAnsi="Tahoma"/>
      <w:sz w:val="16"/>
      <w:szCs w:val="20"/>
    </w:rPr>
  </w:style>
  <w:style w:type="paragraph" w:customStyle="1" w:styleId="EFSAFigurelegend">
    <w:name w:val="EFSA_Figure legend"/>
    <w:basedOn w:val="EFSATablelegend"/>
    <w:link w:val="EFSAFigurelegendChar"/>
    <w:qFormat/>
    <w:rsid w:val="00214C6C"/>
    <w:pPr>
      <w:autoSpaceDE w:val="0"/>
      <w:autoSpaceDN w:val="0"/>
      <w:adjustRightInd w:val="0"/>
    </w:pPr>
    <w:rPr>
      <w:rFonts w:cs="Arial"/>
      <w:szCs w:val="18"/>
    </w:rPr>
  </w:style>
  <w:style w:type="character" w:customStyle="1" w:styleId="EFSAFigurelegendChar">
    <w:name w:val="EFSA_Figure legend Char"/>
    <w:basedOn w:val="EFSATablefootnoteChar"/>
    <w:link w:val="EFSAFigurelegend"/>
    <w:rsid w:val="00214C6C"/>
    <w:rPr>
      <w:rFonts w:ascii="Tahoma" w:hAnsi="Tahoma" w:cs="Arial"/>
      <w:sz w:val="16"/>
      <w:szCs w:val="18"/>
    </w:rPr>
  </w:style>
  <w:style w:type="paragraph" w:customStyle="1" w:styleId="EFSAFiguretitle">
    <w:name w:val="EFSA_Figure title"/>
    <w:basedOn w:val="Normal"/>
    <w:next w:val="EFSABodytext"/>
    <w:link w:val="EFSAFiguretitleChar"/>
    <w:rsid w:val="008F4828"/>
    <w:pPr>
      <w:numPr>
        <w:numId w:val="12"/>
      </w:numPr>
      <w:tabs>
        <w:tab w:val="left" w:pos="1080"/>
      </w:tabs>
      <w:spacing w:before="240" w:after="240" w:line="240" w:lineRule="auto"/>
      <w:ind w:left="1021" w:hanging="1021"/>
      <w:jc w:val="both"/>
    </w:pPr>
    <w:rPr>
      <w:rFonts w:ascii="Tahoma" w:eastAsia="Times New Roman" w:hAnsi="Tahoma" w:cs="Times New Roman"/>
      <w:sz w:val="20"/>
      <w:szCs w:val="20"/>
    </w:rPr>
  </w:style>
  <w:style w:type="character" w:customStyle="1" w:styleId="EFSAFiguretitleChar">
    <w:name w:val="EFSA_Figure title Char"/>
    <w:basedOn w:val="DefaultParagraphFont"/>
    <w:link w:val="EFSAFiguretitle"/>
    <w:rsid w:val="008F4828"/>
    <w:rPr>
      <w:rFonts w:ascii="Tahoma" w:eastAsia="Times New Roman" w:hAnsi="Tahoma" w:cs="Times New Roman"/>
      <w:sz w:val="20"/>
      <w:szCs w:val="20"/>
    </w:rPr>
  </w:style>
  <w:style w:type="paragraph" w:customStyle="1" w:styleId="EFSAFooter">
    <w:name w:val="EFSA_Footer"/>
    <w:basedOn w:val="Normal"/>
    <w:link w:val="EFSAFooterChar"/>
    <w:qFormat/>
    <w:rsid w:val="00214C6C"/>
    <w:pPr>
      <w:tabs>
        <w:tab w:val="right" w:pos="10206"/>
      </w:tabs>
      <w:spacing w:after="0" w:line="240" w:lineRule="auto"/>
    </w:pPr>
    <w:rPr>
      <w:sz w:val="16"/>
      <w:szCs w:val="16"/>
    </w:rPr>
  </w:style>
  <w:style w:type="character" w:customStyle="1" w:styleId="EFSAFooterChar">
    <w:name w:val="EFSA_Footer Char"/>
    <w:basedOn w:val="DefaultParagraphFont"/>
    <w:link w:val="EFSAFooter"/>
    <w:rsid w:val="00214C6C"/>
    <w:rPr>
      <w:sz w:val="16"/>
      <w:szCs w:val="16"/>
    </w:rPr>
  </w:style>
  <w:style w:type="paragraph" w:customStyle="1" w:styleId="EFSAFootnote">
    <w:name w:val="EFSA_Footnote"/>
    <w:basedOn w:val="FootnoteText"/>
    <w:link w:val="EFSAFootnoteChar"/>
    <w:qFormat/>
    <w:rsid w:val="00214C6C"/>
    <w:pPr>
      <w:ind w:left="142" w:hanging="142"/>
      <w:jc w:val="both"/>
    </w:pPr>
    <w:rPr>
      <w:rFonts w:ascii="Tahoma" w:hAnsi="Tahoma"/>
      <w:sz w:val="16"/>
    </w:rPr>
  </w:style>
  <w:style w:type="character" w:customStyle="1" w:styleId="EFSAFootnoteChar">
    <w:name w:val="EFSA_Footnote Char"/>
    <w:basedOn w:val="FootnoteTextChar"/>
    <w:link w:val="EFSAFootnote"/>
    <w:rsid w:val="00214C6C"/>
    <w:rPr>
      <w:rFonts w:ascii="Tahoma" w:hAnsi="Tahoma"/>
      <w:sz w:val="16"/>
      <w:szCs w:val="20"/>
    </w:rPr>
  </w:style>
  <w:style w:type="paragraph" w:styleId="FootnoteText">
    <w:name w:val="footnote text"/>
    <w:aliases w:val="EFSA op_Footnote,FEEDAP Op_Footnote,EFSA_Footnote Text,FT,DAR001"/>
    <w:basedOn w:val="Normal"/>
    <w:link w:val="FootnoteTextChar"/>
    <w:qFormat/>
    <w:rsid w:val="00214C6C"/>
    <w:pPr>
      <w:spacing w:after="0" w:line="240" w:lineRule="auto"/>
    </w:pPr>
    <w:rPr>
      <w:sz w:val="20"/>
      <w:szCs w:val="20"/>
    </w:rPr>
  </w:style>
  <w:style w:type="character" w:customStyle="1" w:styleId="FootnoteTextChar">
    <w:name w:val="Footnote Text Char"/>
    <w:aliases w:val="EFSA op_Footnote Char,FEEDAP Op_Footnote Char,EFSA_Footnote Text Char,FT Char,DAR001 Char"/>
    <w:basedOn w:val="DefaultParagraphFont"/>
    <w:link w:val="FootnoteText"/>
    <w:rsid w:val="00214C6C"/>
    <w:rPr>
      <w:sz w:val="20"/>
      <w:szCs w:val="20"/>
    </w:rPr>
  </w:style>
  <w:style w:type="paragraph" w:customStyle="1" w:styleId="EFSAHeading1">
    <w:name w:val="EFSA_Heading 1"/>
    <w:basedOn w:val="Heading1"/>
    <w:next w:val="EFSABodytext"/>
    <w:link w:val="EFSAHeading1Char"/>
    <w:qFormat/>
    <w:rsid w:val="00752B9F"/>
    <w:pPr>
      <w:keepLines w:val="0"/>
      <w:numPr>
        <w:numId w:val="15"/>
      </w:numPr>
      <w:spacing w:before="240" w:after="120" w:line="240" w:lineRule="auto"/>
      <w:ind w:left="851" w:hanging="851"/>
    </w:pPr>
    <w:rPr>
      <w:rFonts w:ascii="Tahoma" w:hAnsi="Tahoma"/>
      <w:color w:val="auto"/>
      <w:sz w:val="24"/>
    </w:rPr>
  </w:style>
  <w:style w:type="character" w:customStyle="1" w:styleId="EFSAHeading1Char">
    <w:name w:val="EFSA_Heading 1 Char"/>
    <w:basedOn w:val="Heading1Char"/>
    <w:link w:val="EFSAHeading1"/>
    <w:rsid w:val="00752B9F"/>
    <w:rPr>
      <w:rFonts w:ascii="Tahoma" w:eastAsiaTheme="majorEastAsia" w:hAnsi="Tahoma" w:cstheme="majorBidi"/>
      <w:b/>
      <w:bCs/>
      <w:color w:val="365F91" w:themeColor="accent1" w:themeShade="BF"/>
      <w:sz w:val="24"/>
      <w:szCs w:val="28"/>
    </w:rPr>
  </w:style>
  <w:style w:type="character" w:customStyle="1" w:styleId="Heading1Char">
    <w:name w:val="Heading 1 Char"/>
    <w:basedOn w:val="DefaultParagraphFont"/>
    <w:link w:val="Heading1"/>
    <w:uiPriority w:val="9"/>
    <w:semiHidden/>
    <w:rsid w:val="00214C6C"/>
    <w:rPr>
      <w:rFonts w:asciiTheme="majorHAnsi" w:eastAsiaTheme="majorEastAsia" w:hAnsiTheme="majorHAnsi" w:cstheme="majorBidi"/>
      <w:b/>
      <w:bCs/>
      <w:color w:val="365F91" w:themeColor="accent1" w:themeShade="BF"/>
      <w:sz w:val="28"/>
      <w:szCs w:val="28"/>
    </w:rPr>
  </w:style>
  <w:style w:type="paragraph" w:customStyle="1" w:styleId="EFSAHeading2">
    <w:name w:val="EFSA_Heading 2"/>
    <w:basedOn w:val="Normal"/>
    <w:next w:val="EFSABodytext"/>
    <w:link w:val="EFSAHeading2Char"/>
    <w:qFormat/>
    <w:rsid w:val="00752B9F"/>
    <w:pPr>
      <w:keepNext/>
      <w:numPr>
        <w:ilvl w:val="1"/>
        <w:numId w:val="15"/>
      </w:numPr>
      <w:spacing w:before="240" w:after="120" w:line="240" w:lineRule="auto"/>
      <w:ind w:left="851" w:hanging="851"/>
      <w:outlineLvl w:val="1"/>
    </w:pPr>
    <w:rPr>
      <w:rFonts w:ascii="Tahoma" w:eastAsiaTheme="majorEastAsia" w:hAnsi="Tahoma" w:cstheme="majorBidi"/>
      <w:b/>
      <w:bCs/>
      <w:color w:val="7F7F7F" w:themeColor="text1" w:themeTint="80"/>
      <w:sz w:val="24"/>
      <w:szCs w:val="28"/>
    </w:rPr>
  </w:style>
  <w:style w:type="character" w:customStyle="1" w:styleId="EFSAHeading2Char">
    <w:name w:val="EFSA_Heading 2 Char"/>
    <w:basedOn w:val="EFSAHeading1Char"/>
    <w:link w:val="EFSAHeading2"/>
    <w:rsid w:val="00752B9F"/>
    <w:rPr>
      <w:rFonts w:ascii="Tahoma" w:eastAsiaTheme="majorEastAsia" w:hAnsi="Tahoma" w:cstheme="majorBidi"/>
      <w:b/>
      <w:bCs/>
      <w:color w:val="7F7F7F" w:themeColor="text1" w:themeTint="80"/>
      <w:sz w:val="24"/>
      <w:szCs w:val="28"/>
    </w:rPr>
  </w:style>
  <w:style w:type="paragraph" w:customStyle="1" w:styleId="EFSAHeading3">
    <w:name w:val="EFSA_Heading 3"/>
    <w:basedOn w:val="EFSAHeading2"/>
    <w:next w:val="EFSABodytext"/>
    <w:link w:val="EFSAHeading3Char"/>
    <w:qFormat/>
    <w:rsid w:val="00752B9F"/>
    <w:pPr>
      <w:numPr>
        <w:ilvl w:val="2"/>
      </w:numPr>
      <w:outlineLvl w:val="2"/>
    </w:pPr>
    <w:rPr>
      <w:sz w:val="22"/>
    </w:rPr>
  </w:style>
  <w:style w:type="character" w:customStyle="1" w:styleId="EFSAHeading3Char">
    <w:name w:val="EFSA_Heading 3 Char"/>
    <w:basedOn w:val="EFSAHeading2Char"/>
    <w:link w:val="EFSAHeading3"/>
    <w:rsid w:val="00752B9F"/>
    <w:rPr>
      <w:rFonts w:ascii="Tahoma" w:eastAsiaTheme="majorEastAsia" w:hAnsi="Tahoma" w:cstheme="majorBidi"/>
      <w:b/>
      <w:bCs/>
      <w:color w:val="7F7F7F" w:themeColor="text1" w:themeTint="80"/>
      <w:sz w:val="24"/>
      <w:szCs w:val="28"/>
    </w:rPr>
  </w:style>
  <w:style w:type="paragraph" w:customStyle="1" w:styleId="EFSAHeading4">
    <w:name w:val="EFSA_Heading 4"/>
    <w:basedOn w:val="Normal"/>
    <w:next w:val="EFSABodytext"/>
    <w:link w:val="EFSAHeading4Char"/>
    <w:qFormat/>
    <w:rsid w:val="00214C6C"/>
    <w:pPr>
      <w:keepNext/>
      <w:spacing w:before="240" w:after="120" w:line="240" w:lineRule="auto"/>
      <w:outlineLvl w:val="3"/>
    </w:pPr>
    <w:rPr>
      <w:rFonts w:ascii="Tahoma" w:hAnsi="Tahoma"/>
      <w:b/>
      <w:sz w:val="20"/>
      <w:szCs w:val="20"/>
    </w:rPr>
  </w:style>
  <w:style w:type="character" w:customStyle="1" w:styleId="EFSAHeading4Char">
    <w:name w:val="EFSA_Heading 4 Char"/>
    <w:basedOn w:val="DefaultParagraphFont"/>
    <w:link w:val="EFSAHeading4"/>
    <w:rsid w:val="00214C6C"/>
    <w:rPr>
      <w:rFonts w:ascii="Tahoma" w:hAnsi="Tahoma"/>
      <w:b/>
      <w:sz w:val="20"/>
      <w:szCs w:val="20"/>
    </w:rPr>
  </w:style>
  <w:style w:type="paragraph" w:customStyle="1" w:styleId="EFSAHeading5">
    <w:name w:val="EFSA_Heading 5"/>
    <w:basedOn w:val="EFSAHeading4"/>
    <w:next w:val="EFSABodytext"/>
    <w:link w:val="EFSAHeading5Char"/>
    <w:qFormat/>
    <w:rsid w:val="00214C6C"/>
    <w:pPr>
      <w:outlineLvl w:val="4"/>
    </w:pPr>
    <w:rPr>
      <w:b w:val="0"/>
      <w:i/>
    </w:rPr>
  </w:style>
  <w:style w:type="character" w:customStyle="1" w:styleId="EFSAHeading5Char">
    <w:name w:val="EFSA_Heading 5 Char"/>
    <w:basedOn w:val="EFSAHeading4Char"/>
    <w:link w:val="EFSAHeading5"/>
    <w:rsid w:val="00214C6C"/>
    <w:rPr>
      <w:rFonts w:ascii="Tahoma" w:hAnsi="Tahoma"/>
      <w:b w:val="0"/>
      <w:i/>
      <w:sz w:val="20"/>
      <w:szCs w:val="20"/>
    </w:rPr>
  </w:style>
  <w:style w:type="numbering" w:customStyle="1" w:styleId="EFSAListbullets">
    <w:name w:val="EFSA_List bullets"/>
    <w:basedOn w:val="NoList"/>
    <w:uiPriority w:val="99"/>
    <w:rsid w:val="00214C6C"/>
    <w:pPr>
      <w:numPr>
        <w:numId w:val="16"/>
      </w:numPr>
    </w:pPr>
  </w:style>
  <w:style w:type="paragraph" w:customStyle="1" w:styleId="EFSAListnumbered">
    <w:name w:val="EFSA_List numbered"/>
    <w:basedOn w:val="ListParagraph"/>
    <w:link w:val="EFSAListnumberedChar"/>
    <w:qFormat/>
    <w:rsid w:val="00214C6C"/>
    <w:pPr>
      <w:numPr>
        <w:numId w:val="17"/>
      </w:numPr>
      <w:suppressAutoHyphens/>
      <w:spacing w:after="120" w:line="240" w:lineRule="auto"/>
      <w:contextualSpacing w:val="0"/>
    </w:pPr>
    <w:rPr>
      <w:rFonts w:ascii="Tahoma" w:eastAsia="Times New Roman" w:hAnsi="Tahoma" w:cs="Times New Roman"/>
      <w:sz w:val="20"/>
      <w:szCs w:val="20"/>
      <w:lang w:eastAsia="en-GB"/>
    </w:rPr>
  </w:style>
  <w:style w:type="character" w:customStyle="1" w:styleId="EFSAListnumberedChar">
    <w:name w:val="EFSA_List numbered Char"/>
    <w:basedOn w:val="DefaultParagraphFont"/>
    <w:link w:val="EFSAListnumbered"/>
    <w:rsid w:val="00214C6C"/>
    <w:rPr>
      <w:rFonts w:ascii="Tahoma" w:eastAsia="Times New Roman" w:hAnsi="Tahoma" w:cs="Times New Roman"/>
      <w:sz w:val="20"/>
      <w:szCs w:val="20"/>
      <w:lang w:eastAsia="en-GB"/>
    </w:rPr>
  </w:style>
  <w:style w:type="paragraph" w:styleId="ListParagraph">
    <w:name w:val="List Paragraph"/>
    <w:basedOn w:val="Normal"/>
    <w:uiPriority w:val="34"/>
    <w:qFormat/>
    <w:rsid w:val="00214C6C"/>
    <w:pPr>
      <w:ind w:left="720"/>
      <w:contextualSpacing/>
    </w:pPr>
  </w:style>
  <w:style w:type="paragraph" w:customStyle="1" w:styleId="EFSAOutputcategory">
    <w:name w:val="EFSA_Output category"/>
    <w:link w:val="EFSAOutputcategoryChar"/>
    <w:qFormat/>
    <w:rsid w:val="00214C6C"/>
    <w:pPr>
      <w:spacing w:before="240" w:after="240" w:line="240" w:lineRule="auto"/>
    </w:pPr>
    <w:rPr>
      <w:rFonts w:ascii="Calibri" w:eastAsiaTheme="majorEastAsia" w:hAnsi="Calibri" w:cstheme="majorBidi"/>
      <w:b/>
      <w:iCs/>
      <w:caps/>
      <w:color w:val="171796"/>
      <w:sz w:val="32"/>
      <w:szCs w:val="32"/>
    </w:rPr>
  </w:style>
  <w:style w:type="character" w:customStyle="1" w:styleId="EFSAOutputcategoryChar">
    <w:name w:val="EFSA_Output category Char"/>
    <w:basedOn w:val="DefaultParagraphFont"/>
    <w:link w:val="EFSAOutputcategory"/>
    <w:rsid w:val="00214C6C"/>
    <w:rPr>
      <w:rFonts w:ascii="Calibri" w:eastAsiaTheme="majorEastAsia" w:hAnsi="Calibri" w:cstheme="majorBidi"/>
      <w:b/>
      <w:iCs/>
      <w:caps/>
      <w:color w:val="171796"/>
      <w:sz w:val="32"/>
      <w:szCs w:val="32"/>
    </w:rPr>
  </w:style>
  <w:style w:type="paragraph" w:customStyle="1" w:styleId="EFSAOutputtitle">
    <w:name w:val="EFSA_Output title"/>
    <w:basedOn w:val="Normal"/>
    <w:next w:val="EFSAAuthor"/>
    <w:link w:val="EFSAOutputtitleChar"/>
    <w:qFormat/>
    <w:rsid w:val="00214C6C"/>
    <w:pPr>
      <w:spacing w:before="360" w:after="240" w:line="240" w:lineRule="auto"/>
      <w:jc w:val="center"/>
    </w:pPr>
    <w:rPr>
      <w:rFonts w:ascii="Tahoma" w:hAnsi="Tahoma"/>
      <w:b/>
      <w:sz w:val="32"/>
      <w:szCs w:val="32"/>
    </w:rPr>
  </w:style>
  <w:style w:type="character" w:customStyle="1" w:styleId="EFSAOutputtitleChar">
    <w:name w:val="EFSA_Output title Char"/>
    <w:basedOn w:val="DefaultParagraphFont"/>
    <w:link w:val="EFSAOutputtitle"/>
    <w:rsid w:val="00214C6C"/>
    <w:rPr>
      <w:rFonts w:ascii="Tahoma" w:hAnsi="Tahoma"/>
      <w:b/>
      <w:sz w:val="32"/>
      <w:szCs w:val="32"/>
    </w:rPr>
  </w:style>
  <w:style w:type="paragraph" w:customStyle="1" w:styleId="EFSAReferences">
    <w:name w:val="EFSA_References"/>
    <w:basedOn w:val="Normal"/>
    <w:link w:val="EFSAReferencesChar"/>
    <w:qFormat/>
    <w:rsid w:val="005A67A2"/>
    <w:pPr>
      <w:keepNext/>
      <w:tabs>
        <w:tab w:val="left" w:pos="284"/>
      </w:tabs>
      <w:spacing w:after="120" w:line="240" w:lineRule="auto"/>
      <w:ind w:left="284" w:hanging="284"/>
      <w:jc w:val="both"/>
    </w:pPr>
    <w:rPr>
      <w:rFonts w:ascii="Tahoma" w:eastAsia="Times New Roman" w:hAnsi="Tahoma" w:cs="Times New Roman"/>
      <w:color w:val="000000"/>
      <w:sz w:val="20"/>
      <w:szCs w:val="20"/>
    </w:rPr>
  </w:style>
  <w:style w:type="character" w:customStyle="1" w:styleId="EFSAReferencesChar">
    <w:name w:val="EFSA_References Char"/>
    <w:basedOn w:val="DefaultParagraphFont"/>
    <w:link w:val="EFSAReferences"/>
    <w:rsid w:val="005A67A2"/>
    <w:rPr>
      <w:rFonts w:ascii="Tahoma" w:eastAsia="Times New Roman" w:hAnsi="Tahoma" w:cs="Times New Roman"/>
      <w:color w:val="000000"/>
      <w:sz w:val="20"/>
      <w:szCs w:val="20"/>
    </w:rPr>
  </w:style>
  <w:style w:type="paragraph" w:customStyle="1" w:styleId="EFSAShorttitle">
    <w:name w:val="EFSA_Short title"/>
    <w:link w:val="EFSAShorttitleChar"/>
    <w:qFormat/>
    <w:rsid w:val="00214C6C"/>
    <w:pPr>
      <w:spacing w:after="0" w:line="240" w:lineRule="auto"/>
    </w:pPr>
    <w:rPr>
      <w:rFonts w:ascii="Calibri" w:eastAsiaTheme="majorEastAsia" w:hAnsi="Calibri" w:cstheme="majorBidi"/>
      <w:b/>
      <w:iCs/>
      <w:color w:val="171796"/>
      <w:sz w:val="18"/>
      <w:szCs w:val="24"/>
    </w:rPr>
  </w:style>
  <w:style w:type="character" w:customStyle="1" w:styleId="EFSAShorttitleChar">
    <w:name w:val="EFSA_Short title Char"/>
    <w:basedOn w:val="DefaultParagraphFont"/>
    <w:link w:val="EFSAShorttitle"/>
    <w:rsid w:val="00214C6C"/>
    <w:rPr>
      <w:rFonts w:ascii="Calibri" w:eastAsiaTheme="majorEastAsia" w:hAnsi="Calibri" w:cstheme="majorBidi"/>
      <w:b/>
      <w:iCs/>
      <w:color w:val="171796"/>
      <w:sz w:val="18"/>
      <w:szCs w:val="24"/>
    </w:rPr>
  </w:style>
  <w:style w:type="paragraph" w:customStyle="1" w:styleId="EFSATabledata">
    <w:name w:val="EFSA_Table data"/>
    <w:basedOn w:val="EFSABodytext"/>
    <w:link w:val="EFSATabledataChar"/>
    <w:qFormat/>
    <w:rsid w:val="00214C6C"/>
    <w:pPr>
      <w:spacing w:after="0"/>
      <w:jc w:val="center"/>
    </w:pPr>
    <w:rPr>
      <w:sz w:val="18"/>
    </w:rPr>
  </w:style>
  <w:style w:type="character" w:customStyle="1" w:styleId="EFSATabledataChar">
    <w:name w:val="EFSA_Table data Char"/>
    <w:basedOn w:val="EFSABodytextChar"/>
    <w:link w:val="EFSATabledata"/>
    <w:rsid w:val="00214C6C"/>
    <w:rPr>
      <w:rFonts w:ascii="Tahoma" w:hAnsi="Tahoma"/>
      <w:sz w:val="18"/>
      <w:szCs w:val="20"/>
    </w:rPr>
  </w:style>
  <w:style w:type="paragraph" w:customStyle="1" w:styleId="EFSATablefirstcolumn">
    <w:name w:val="EFSA_Table first column"/>
    <w:basedOn w:val="EFSATabledata"/>
    <w:link w:val="EFSATablefirstcolumnChar"/>
    <w:qFormat/>
    <w:rsid w:val="00214C6C"/>
    <w:pPr>
      <w:jc w:val="left"/>
    </w:pPr>
    <w:rPr>
      <w:b/>
    </w:rPr>
  </w:style>
  <w:style w:type="character" w:customStyle="1" w:styleId="EFSATablefirstcolumnChar">
    <w:name w:val="EFSA_Table first column Char"/>
    <w:basedOn w:val="EFSATabledataChar"/>
    <w:link w:val="EFSATablefirstcolumn"/>
    <w:rsid w:val="00214C6C"/>
    <w:rPr>
      <w:rFonts w:ascii="Tahoma" w:hAnsi="Tahoma"/>
      <w:b/>
      <w:sz w:val="18"/>
      <w:szCs w:val="20"/>
    </w:rPr>
  </w:style>
  <w:style w:type="paragraph" w:customStyle="1" w:styleId="EFSATableheadingrow">
    <w:name w:val="EFSA_Table heading row"/>
    <w:basedOn w:val="EFSATabledata"/>
    <w:link w:val="EFSATableheadingrowChar"/>
    <w:qFormat/>
    <w:rsid w:val="00214C6C"/>
    <w:rPr>
      <w:b/>
    </w:rPr>
  </w:style>
  <w:style w:type="character" w:customStyle="1" w:styleId="EFSATableheadingrowChar">
    <w:name w:val="EFSA_Table heading row Char"/>
    <w:basedOn w:val="EFSATabledataChar"/>
    <w:link w:val="EFSATableheadingrow"/>
    <w:rsid w:val="00214C6C"/>
    <w:rPr>
      <w:rFonts w:ascii="Tahoma" w:hAnsi="Tahoma"/>
      <w:b/>
      <w:sz w:val="18"/>
      <w:szCs w:val="20"/>
    </w:rPr>
  </w:style>
  <w:style w:type="paragraph" w:customStyle="1" w:styleId="EFSATabletitle">
    <w:name w:val="EFSA_Table title"/>
    <w:basedOn w:val="EFSABodytext"/>
    <w:next w:val="EFSABodytext"/>
    <w:link w:val="EFSATabletitleChar"/>
    <w:qFormat/>
    <w:rsid w:val="00CB13F3"/>
    <w:pPr>
      <w:numPr>
        <w:numId w:val="18"/>
      </w:numPr>
      <w:tabs>
        <w:tab w:val="left" w:pos="1080"/>
      </w:tabs>
      <w:spacing w:before="240" w:after="240"/>
    </w:pPr>
  </w:style>
  <w:style w:type="character" w:customStyle="1" w:styleId="EFSATabletitleChar">
    <w:name w:val="EFSA_Table title Char"/>
    <w:basedOn w:val="EFSABodytextChar"/>
    <w:link w:val="EFSATabletitle"/>
    <w:rsid w:val="00CB13F3"/>
    <w:rPr>
      <w:rFonts w:ascii="Tahoma" w:hAnsi="Tahoma"/>
      <w:sz w:val="20"/>
      <w:szCs w:val="20"/>
    </w:rPr>
  </w:style>
  <w:style w:type="character" w:styleId="SubtleEmphasis">
    <w:name w:val="Subtle Emphasis"/>
    <w:qFormat/>
    <w:rsid w:val="00214C6C"/>
    <w:rPr>
      <w:rFonts w:ascii="Verdana" w:hAnsi="Verdana"/>
      <w:iCs/>
      <w:color w:val="000000"/>
      <w:sz w:val="20"/>
    </w:rPr>
  </w:style>
  <w:style w:type="paragraph" w:styleId="Header">
    <w:name w:val="header"/>
    <w:basedOn w:val="Normal"/>
    <w:link w:val="HeaderChar"/>
    <w:semiHidden/>
    <w:rsid w:val="00214C6C"/>
    <w:pPr>
      <w:suppressLineNumbers/>
      <w:tabs>
        <w:tab w:val="center" w:pos="4513"/>
        <w:tab w:val="right" w:pos="9026"/>
      </w:tabs>
      <w:suppressAutoHyphens/>
      <w:spacing w:after="120" w:line="240" w:lineRule="auto"/>
    </w:pPr>
    <w:rPr>
      <w:rFonts w:ascii="Tahoma" w:eastAsia="Times New Roman" w:hAnsi="Tahoma" w:cs="Times New Roman"/>
      <w:sz w:val="20"/>
      <w:szCs w:val="20"/>
      <w:lang w:eastAsia="en-GB"/>
    </w:rPr>
  </w:style>
  <w:style w:type="character" w:customStyle="1" w:styleId="HeaderChar">
    <w:name w:val="Header Char"/>
    <w:basedOn w:val="DefaultParagraphFont"/>
    <w:link w:val="Header"/>
    <w:semiHidden/>
    <w:rsid w:val="00214C6C"/>
    <w:rPr>
      <w:rFonts w:ascii="Tahoma" w:eastAsia="Times New Roman" w:hAnsi="Tahoma" w:cs="Times New Roman"/>
      <w:sz w:val="20"/>
      <w:szCs w:val="20"/>
      <w:lang w:eastAsia="en-GB"/>
    </w:rPr>
  </w:style>
  <w:style w:type="paragraph" w:styleId="TOC1">
    <w:name w:val="toc 1"/>
    <w:basedOn w:val="Normal"/>
    <w:uiPriority w:val="39"/>
    <w:qFormat/>
    <w:rsid w:val="00ED57A0"/>
    <w:pPr>
      <w:tabs>
        <w:tab w:val="right" w:leader="dot" w:pos="9072"/>
      </w:tabs>
      <w:suppressAutoHyphens/>
      <w:spacing w:after="0" w:line="240" w:lineRule="auto"/>
      <w:ind w:left="680" w:hanging="680"/>
    </w:pPr>
    <w:rPr>
      <w:rFonts w:ascii="Tahoma" w:eastAsia="Times New Roman" w:hAnsi="Tahoma" w:cs="Times New Roman"/>
      <w:sz w:val="20"/>
      <w:szCs w:val="20"/>
      <w:lang w:eastAsia="en-GB"/>
    </w:rPr>
  </w:style>
  <w:style w:type="paragraph" w:styleId="TOC2">
    <w:name w:val="toc 2"/>
    <w:basedOn w:val="Normal"/>
    <w:uiPriority w:val="39"/>
    <w:qFormat/>
    <w:rsid w:val="00646303"/>
    <w:pPr>
      <w:tabs>
        <w:tab w:val="right" w:leader="dot" w:pos="9072"/>
      </w:tabs>
      <w:suppressAutoHyphens/>
      <w:spacing w:after="0" w:line="240" w:lineRule="auto"/>
      <w:ind w:left="680" w:hanging="680"/>
    </w:pPr>
    <w:rPr>
      <w:rFonts w:ascii="Tahoma" w:eastAsia="Times New Roman" w:hAnsi="Tahoma" w:cs="Times New Roman"/>
      <w:sz w:val="20"/>
      <w:szCs w:val="20"/>
      <w:lang w:eastAsia="en-GB"/>
    </w:rPr>
  </w:style>
  <w:style w:type="paragraph" w:styleId="TOC3">
    <w:name w:val="toc 3"/>
    <w:basedOn w:val="Normal"/>
    <w:uiPriority w:val="39"/>
    <w:qFormat/>
    <w:rsid w:val="00646303"/>
    <w:pPr>
      <w:tabs>
        <w:tab w:val="right" w:leader="dot" w:pos="9072"/>
      </w:tabs>
      <w:suppressAutoHyphens/>
      <w:spacing w:after="0" w:line="240" w:lineRule="auto"/>
      <w:ind w:left="680" w:hanging="680"/>
    </w:pPr>
    <w:rPr>
      <w:rFonts w:ascii="Tahoma" w:eastAsia="Times New Roman" w:hAnsi="Tahoma" w:cs="Times New Roman"/>
      <w:sz w:val="20"/>
      <w:szCs w:val="20"/>
      <w:lang w:eastAsia="en-GB"/>
    </w:rPr>
  </w:style>
  <w:style w:type="character" w:styleId="FootnoteReference">
    <w:name w:val="footnote reference"/>
    <w:aliases w:val="Footnote Reference/, Carattere Carattere3 Char Char Zchn Zchn,Carattere Carattere3 Char Char Zchn Zchn"/>
    <w:basedOn w:val="DefaultParagraphFont"/>
    <w:link w:val="CarattereCarattere3CharChar"/>
    <w:uiPriority w:val="99"/>
    <w:rsid w:val="00214C6C"/>
    <w:rPr>
      <w:vertAlign w:val="superscript"/>
    </w:rPr>
  </w:style>
  <w:style w:type="table" w:styleId="TableGrid">
    <w:name w:val="Table Grid"/>
    <w:basedOn w:val="TableNormal"/>
    <w:uiPriority w:val="59"/>
    <w:rsid w:val="00214C6C"/>
    <w:pPr>
      <w:spacing w:after="0" w:line="240" w:lineRule="auto"/>
    </w:pPr>
    <w:rPr>
      <w:rFonts w:ascii="Tahoma" w:eastAsia="Times New Roman" w:hAnsi="Tahoma"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rsid w:val="00214C6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14C6C"/>
    <w:rPr>
      <w:rFonts w:ascii="Tahoma" w:hAnsi="Tahoma" w:cs="Tahoma"/>
      <w:sz w:val="16"/>
      <w:szCs w:val="16"/>
    </w:rPr>
  </w:style>
  <w:style w:type="character" w:customStyle="1" w:styleId="Heading2Char">
    <w:name w:val="Heading 2 Char"/>
    <w:basedOn w:val="DefaultParagraphFont"/>
    <w:link w:val="Heading2"/>
    <w:rsid w:val="00D22CA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D22CAF"/>
    <w:rPr>
      <w:rFonts w:asciiTheme="majorHAnsi" w:eastAsiaTheme="majorEastAsia" w:hAnsiTheme="majorHAnsi" w:cstheme="majorBidi"/>
      <w:b/>
      <w:bCs/>
      <w:color w:val="4F81BD" w:themeColor="accent1"/>
    </w:rPr>
  </w:style>
  <w:style w:type="paragraph" w:styleId="Footer">
    <w:name w:val="footer"/>
    <w:basedOn w:val="Normal"/>
    <w:link w:val="FooterChar"/>
    <w:uiPriority w:val="99"/>
    <w:semiHidden/>
    <w:rsid w:val="007D4655"/>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7D4655"/>
  </w:style>
  <w:style w:type="character" w:styleId="LineNumber">
    <w:name w:val="line number"/>
    <w:basedOn w:val="DefaultParagraphFont"/>
    <w:uiPriority w:val="99"/>
    <w:semiHidden/>
    <w:rsid w:val="00EA0C60"/>
  </w:style>
  <w:style w:type="paragraph" w:styleId="TOCHeading">
    <w:name w:val="TOC Heading"/>
    <w:basedOn w:val="Heading1"/>
    <w:next w:val="Normal"/>
    <w:uiPriority w:val="39"/>
    <w:unhideWhenUsed/>
    <w:qFormat/>
    <w:rsid w:val="001219D4"/>
    <w:pPr>
      <w:outlineLvl w:val="9"/>
    </w:pPr>
    <w:rPr>
      <w:lang w:val="en-US" w:eastAsia="ja-JP"/>
    </w:rPr>
  </w:style>
  <w:style w:type="character" w:styleId="Hyperlink">
    <w:name w:val="Hyperlink"/>
    <w:basedOn w:val="DefaultParagraphFont"/>
    <w:uiPriority w:val="99"/>
    <w:unhideWhenUsed/>
    <w:rsid w:val="001219D4"/>
    <w:rPr>
      <w:color w:val="0000FF" w:themeColor="hyperlink"/>
      <w:u w:val="single"/>
    </w:rPr>
  </w:style>
  <w:style w:type="paragraph" w:styleId="TOC4">
    <w:name w:val="toc 4"/>
    <w:next w:val="Normal"/>
    <w:autoRedefine/>
    <w:uiPriority w:val="39"/>
    <w:rsid w:val="00ED57A0"/>
    <w:pPr>
      <w:tabs>
        <w:tab w:val="right" w:leader="dot" w:pos="9072"/>
      </w:tabs>
      <w:spacing w:after="0" w:line="240" w:lineRule="auto"/>
      <w:ind w:left="680" w:hanging="680"/>
    </w:pPr>
    <w:rPr>
      <w:rFonts w:ascii="Tahoma" w:hAnsi="Tahoma"/>
      <w:sz w:val="20"/>
    </w:rPr>
  </w:style>
  <w:style w:type="paragraph" w:styleId="TOC5">
    <w:name w:val="toc 5"/>
    <w:next w:val="Normal"/>
    <w:autoRedefine/>
    <w:uiPriority w:val="39"/>
    <w:rsid w:val="00ED57A0"/>
    <w:pPr>
      <w:tabs>
        <w:tab w:val="right" w:leader="dot" w:pos="9072"/>
      </w:tabs>
      <w:spacing w:after="0" w:line="240" w:lineRule="auto"/>
      <w:ind w:left="1247" w:hanging="1247"/>
    </w:pPr>
    <w:rPr>
      <w:rFonts w:ascii="Tahoma" w:hAnsi="Tahoma"/>
      <w:sz w:val="20"/>
    </w:rPr>
  </w:style>
  <w:style w:type="table" w:customStyle="1" w:styleId="EFSAtable">
    <w:name w:val="EFSA table"/>
    <w:basedOn w:val="TableNormal"/>
    <w:uiPriority w:val="99"/>
    <w:rsid w:val="00CB13F3"/>
    <w:pPr>
      <w:spacing w:after="0" w:line="240" w:lineRule="auto"/>
    </w:pPr>
    <w:tblPr>
      <w:tblBorders>
        <w:insideH w:val="single" w:sz="4" w:space="0" w:color="D9D9D9" w:themeColor="background1" w:themeShade="D9"/>
        <w:insideV w:val="single" w:sz="4" w:space="0" w:color="D9D9D9" w:themeColor="background1" w:themeShade="D9"/>
      </w:tblBorders>
    </w:tblPr>
    <w:tblStylePr w:type="firstRow">
      <w:rPr>
        <w:rFonts w:ascii="@NSimSun" w:hAnsi="@NSimSun"/>
        <w:sz w:val="18"/>
      </w:rPr>
      <w:tblPr/>
      <w:tcPr>
        <w:tcBorders>
          <w:top w:val="single" w:sz="12" w:space="0" w:color="000000" w:themeColor="text1"/>
        </w:tcBorders>
      </w:tcPr>
    </w:tblStylePr>
    <w:tblStylePr w:type="lastRow">
      <w:tblPr/>
      <w:tcPr>
        <w:tcBorders>
          <w:bottom w:val="single" w:sz="12" w:space="0" w:color="000000" w:themeColor="text1"/>
        </w:tcBorders>
      </w:tcPr>
    </w:tblStylePr>
  </w:style>
  <w:style w:type="paragraph" w:customStyle="1" w:styleId="EFSAAnnextitle">
    <w:name w:val="EFSA_Annex title"/>
    <w:next w:val="EFSABodytext"/>
    <w:uiPriority w:val="99"/>
    <w:qFormat/>
    <w:rsid w:val="005A67A2"/>
    <w:pPr>
      <w:keepNext/>
      <w:numPr>
        <w:numId w:val="20"/>
      </w:numPr>
      <w:spacing w:before="240" w:after="120" w:line="240" w:lineRule="auto"/>
      <w:ind w:left="1418" w:hanging="1418"/>
    </w:pPr>
    <w:rPr>
      <w:rFonts w:ascii="Tahoma" w:eastAsia="Times New Roman" w:hAnsi="Tahoma" w:cs="Mangal"/>
      <w:b/>
      <w:iCs/>
      <w:sz w:val="24"/>
      <w:szCs w:val="24"/>
      <w:lang w:eastAsia="en-GB"/>
    </w:rPr>
  </w:style>
  <w:style w:type="character" w:styleId="FollowedHyperlink">
    <w:name w:val="FollowedHyperlink"/>
    <w:basedOn w:val="DefaultParagraphFont"/>
    <w:uiPriority w:val="99"/>
    <w:semiHidden/>
    <w:rsid w:val="0048503C"/>
    <w:rPr>
      <w:color w:val="800080" w:themeColor="followedHyperlink"/>
      <w:u w:val="single"/>
    </w:rPr>
  </w:style>
  <w:style w:type="character" w:customStyle="1" w:styleId="EFSABodytextCharChar">
    <w:name w:val="EFSA_Body text Char Char"/>
    <w:rsid w:val="0084417E"/>
    <w:rPr>
      <w:sz w:val="24"/>
      <w:szCs w:val="24"/>
      <w:lang w:eastAsia="en-US"/>
    </w:rPr>
  </w:style>
  <w:style w:type="paragraph" w:styleId="ListBullet5">
    <w:name w:val="List Bullet 5"/>
    <w:basedOn w:val="Normal"/>
    <w:autoRedefine/>
    <w:rsid w:val="0084417E"/>
    <w:pPr>
      <w:numPr>
        <w:numId w:val="22"/>
      </w:numPr>
      <w:spacing w:after="240" w:line="240" w:lineRule="auto"/>
      <w:jc w:val="both"/>
    </w:pPr>
    <w:rPr>
      <w:rFonts w:ascii="Times New Roman" w:eastAsia="Times New Roman" w:hAnsi="Times New Roman" w:cs="Times New Roman"/>
      <w:sz w:val="24"/>
      <w:szCs w:val="20"/>
    </w:rPr>
  </w:style>
  <w:style w:type="character" w:customStyle="1" w:styleId="current-selection">
    <w:name w:val="current-selection"/>
    <w:basedOn w:val="DefaultParagraphFont"/>
    <w:rsid w:val="009279D9"/>
  </w:style>
  <w:style w:type="character" w:customStyle="1" w:styleId="a">
    <w:name w:val="_"/>
    <w:basedOn w:val="DefaultParagraphFont"/>
    <w:rsid w:val="009279D9"/>
  </w:style>
  <w:style w:type="paragraph" w:customStyle="1" w:styleId="EFSAfootnote0">
    <w:name w:val="EFSA_footnote"/>
    <w:basedOn w:val="Normal"/>
    <w:rsid w:val="00570569"/>
    <w:pPr>
      <w:tabs>
        <w:tab w:val="left" w:pos="170"/>
      </w:tabs>
      <w:spacing w:after="0" w:line="240" w:lineRule="auto"/>
      <w:ind w:left="170" w:hanging="170"/>
      <w:jc w:val="both"/>
    </w:pPr>
    <w:rPr>
      <w:rFonts w:ascii="Times New Roman" w:eastAsia="Times New Roman" w:hAnsi="Times New Roman" w:cs="Times New Roman"/>
      <w:sz w:val="18"/>
      <w:szCs w:val="18"/>
    </w:rPr>
  </w:style>
  <w:style w:type="character" w:customStyle="1" w:styleId="Heading4Char">
    <w:name w:val="Heading 4 Char"/>
    <w:basedOn w:val="DefaultParagraphFont"/>
    <w:link w:val="Heading4"/>
    <w:rsid w:val="00CC165F"/>
    <w:rPr>
      <w:rFonts w:ascii="Times New Roman" w:eastAsia="Times New Roman" w:hAnsi="Times New Roman" w:cs="Times New Roman"/>
      <w:sz w:val="24"/>
      <w:szCs w:val="20"/>
    </w:rPr>
  </w:style>
  <w:style w:type="paragraph" w:customStyle="1" w:styleId="ListDash">
    <w:name w:val="List Dash"/>
    <w:basedOn w:val="Normal"/>
    <w:rsid w:val="00CC165F"/>
    <w:pPr>
      <w:numPr>
        <w:numId w:val="26"/>
      </w:numPr>
      <w:spacing w:after="240" w:line="240" w:lineRule="auto"/>
      <w:jc w:val="both"/>
    </w:pPr>
    <w:rPr>
      <w:rFonts w:ascii="Times New Roman" w:eastAsia="Times New Roman" w:hAnsi="Times New Roman" w:cs="Times New Roman"/>
      <w:sz w:val="24"/>
      <w:szCs w:val="20"/>
    </w:rPr>
  </w:style>
  <w:style w:type="paragraph" w:customStyle="1" w:styleId="EFSATableTitles">
    <w:name w:val="EFSA_TableTitles"/>
    <w:basedOn w:val="EFSABodytext"/>
    <w:next w:val="EFSABodytext"/>
    <w:link w:val="EFSATableTitlesChar"/>
    <w:autoRedefine/>
    <w:rsid w:val="007C14B8"/>
    <w:rPr>
      <w:rFonts w:ascii="Times New Roman" w:eastAsia="Times New Roman" w:hAnsi="Times New Roman" w:cs="Times New Roman"/>
      <w:sz w:val="22"/>
      <w:szCs w:val="22"/>
    </w:rPr>
  </w:style>
  <w:style w:type="character" w:customStyle="1" w:styleId="EFSATableTitlesChar">
    <w:name w:val="EFSA_TableTitles Char"/>
    <w:link w:val="EFSATableTitles"/>
    <w:rsid w:val="007C14B8"/>
    <w:rPr>
      <w:rFonts w:ascii="Times New Roman" w:eastAsia="Times New Roman" w:hAnsi="Times New Roman" w:cs="Times New Roman"/>
    </w:rPr>
  </w:style>
  <w:style w:type="paragraph" w:customStyle="1" w:styleId="AddressTL">
    <w:name w:val="AddressTL"/>
    <w:basedOn w:val="Normal"/>
    <w:next w:val="Normal"/>
    <w:rsid w:val="00CC165F"/>
    <w:pPr>
      <w:spacing w:after="720" w:line="240" w:lineRule="auto"/>
    </w:pPr>
    <w:rPr>
      <w:rFonts w:ascii="Times New Roman" w:eastAsia="Times New Roman" w:hAnsi="Times New Roman" w:cs="Times New Roman"/>
      <w:sz w:val="24"/>
      <w:szCs w:val="20"/>
    </w:rPr>
  </w:style>
  <w:style w:type="paragraph" w:customStyle="1" w:styleId="EFSATablefootnote6pt">
    <w:name w:val="EFSA_Table footnote + 6pt"/>
    <w:basedOn w:val="EFSATablefootnote"/>
    <w:next w:val="EFSABodytext"/>
    <w:link w:val="EFSATablefootnote6ptChar"/>
    <w:autoRedefine/>
    <w:rsid w:val="00CC165F"/>
    <w:pPr>
      <w:numPr>
        <w:numId w:val="0"/>
      </w:numPr>
      <w:tabs>
        <w:tab w:val="clear" w:pos="426"/>
      </w:tabs>
      <w:autoSpaceDE w:val="0"/>
      <w:autoSpaceDN w:val="0"/>
      <w:adjustRightInd w:val="0"/>
      <w:spacing w:after="0" w:line="320" w:lineRule="exact"/>
      <w:contextualSpacing w:val="0"/>
      <w:jc w:val="both"/>
    </w:pPr>
    <w:rPr>
      <w:rFonts w:ascii="Times New Roman" w:eastAsia="Times New Roman" w:hAnsi="Times New Roman" w:cs="Arial"/>
      <w:sz w:val="18"/>
      <w:szCs w:val="18"/>
    </w:rPr>
  </w:style>
  <w:style w:type="character" w:customStyle="1" w:styleId="EFSATablefootnote6ptChar">
    <w:name w:val="EFSA_Table footnote + 6pt Char"/>
    <w:basedOn w:val="DefaultParagraphFont"/>
    <w:link w:val="EFSATablefootnote6pt"/>
    <w:rsid w:val="00CC165F"/>
    <w:rPr>
      <w:rFonts w:ascii="Times New Roman" w:eastAsia="Times New Roman" w:hAnsi="Times New Roman" w:cs="Arial"/>
      <w:sz w:val="18"/>
      <w:szCs w:val="18"/>
    </w:rPr>
  </w:style>
  <w:style w:type="character" w:styleId="CommentReference">
    <w:name w:val="annotation reference"/>
    <w:uiPriority w:val="99"/>
    <w:rsid w:val="00CC165F"/>
    <w:rPr>
      <w:sz w:val="16"/>
      <w:szCs w:val="16"/>
    </w:rPr>
  </w:style>
  <w:style w:type="character" w:customStyle="1" w:styleId="msoins0">
    <w:name w:val="msoins"/>
    <w:basedOn w:val="DefaultParagraphFont"/>
    <w:rsid w:val="006D534E"/>
  </w:style>
  <w:style w:type="paragraph" w:styleId="CommentText">
    <w:name w:val="annotation text"/>
    <w:basedOn w:val="Normal"/>
    <w:link w:val="CommentTextChar"/>
    <w:uiPriority w:val="99"/>
    <w:rsid w:val="007C14B8"/>
    <w:pPr>
      <w:spacing w:after="240" w:line="240" w:lineRule="auto"/>
      <w:jc w:val="both"/>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rsid w:val="007C14B8"/>
    <w:rPr>
      <w:rFonts w:ascii="Times New Roman" w:eastAsia="Times New Roman" w:hAnsi="Times New Roman" w:cs="Times New Roman"/>
      <w:sz w:val="20"/>
      <w:szCs w:val="20"/>
    </w:rPr>
  </w:style>
  <w:style w:type="paragraph" w:customStyle="1" w:styleId="EFSATableFootnote0">
    <w:name w:val="EFSA_Table Footnote"/>
    <w:basedOn w:val="EFSABodytext"/>
    <w:link w:val="EFSATableFootnoteCharChar"/>
    <w:autoRedefine/>
    <w:rsid w:val="000C5F78"/>
    <w:pPr>
      <w:autoSpaceDE w:val="0"/>
      <w:autoSpaceDN w:val="0"/>
      <w:adjustRightInd w:val="0"/>
      <w:spacing w:after="0" w:line="320" w:lineRule="exact"/>
    </w:pPr>
    <w:rPr>
      <w:rFonts w:ascii="Times New Roman" w:eastAsia="Times New Roman" w:hAnsi="Times New Roman" w:cs="Arial"/>
      <w:sz w:val="18"/>
      <w:szCs w:val="18"/>
    </w:rPr>
  </w:style>
  <w:style w:type="character" w:customStyle="1" w:styleId="EFSATableFootnoteCharChar">
    <w:name w:val="EFSA_Table Footnote Char Char"/>
    <w:link w:val="EFSATableFootnote0"/>
    <w:rsid w:val="000C5F78"/>
    <w:rPr>
      <w:rFonts w:ascii="Times New Roman" w:eastAsia="Times New Roman" w:hAnsi="Times New Roman" w:cs="Arial"/>
      <w:sz w:val="18"/>
      <w:szCs w:val="18"/>
    </w:rPr>
  </w:style>
  <w:style w:type="character" w:customStyle="1" w:styleId="TableTextChar">
    <w:name w:val="Table Text Char"/>
    <w:link w:val="TableText"/>
    <w:locked/>
    <w:rsid w:val="00545DBE"/>
    <w:rPr>
      <w:rFonts w:ascii="Calibri" w:eastAsia="Calibri" w:hAnsi="Calibri"/>
      <w:color w:val="000000"/>
    </w:rPr>
  </w:style>
  <w:style w:type="paragraph" w:customStyle="1" w:styleId="TableText">
    <w:name w:val="Table Text"/>
    <w:next w:val="Normal"/>
    <w:link w:val="TableTextChar"/>
    <w:qFormat/>
    <w:rsid w:val="00545DBE"/>
    <w:pPr>
      <w:autoSpaceDE w:val="0"/>
      <w:autoSpaceDN w:val="0"/>
      <w:adjustRightInd w:val="0"/>
      <w:spacing w:after="0" w:line="240" w:lineRule="auto"/>
    </w:pPr>
    <w:rPr>
      <w:rFonts w:ascii="Calibri" w:eastAsia="Calibri" w:hAnsi="Calibri"/>
      <w:color w:val="000000"/>
    </w:rPr>
  </w:style>
  <w:style w:type="character" w:customStyle="1" w:styleId="TableNumbersChar">
    <w:name w:val="Table Numbers Char"/>
    <w:link w:val="TableNumbers"/>
    <w:locked/>
    <w:rsid w:val="00545DBE"/>
    <w:rPr>
      <w:rFonts w:ascii="Calibri" w:eastAsia="Calibri" w:hAnsi="Calibri"/>
      <w:color w:val="000000"/>
    </w:rPr>
  </w:style>
  <w:style w:type="paragraph" w:customStyle="1" w:styleId="TableNumbers">
    <w:name w:val="Table Numbers"/>
    <w:basedOn w:val="Normal"/>
    <w:next w:val="Normal"/>
    <w:link w:val="TableNumbersChar"/>
    <w:qFormat/>
    <w:rsid w:val="00545DBE"/>
    <w:pPr>
      <w:autoSpaceDE w:val="0"/>
      <w:autoSpaceDN w:val="0"/>
      <w:adjustRightInd w:val="0"/>
      <w:spacing w:after="0" w:line="240" w:lineRule="auto"/>
      <w:jc w:val="center"/>
    </w:pPr>
    <w:rPr>
      <w:rFonts w:ascii="Calibri" w:eastAsia="Calibri" w:hAnsi="Calibri"/>
      <w:color w:val="000000"/>
    </w:rPr>
  </w:style>
  <w:style w:type="character" w:customStyle="1" w:styleId="TableHeadingChar">
    <w:name w:val="Table Heading Char"/>
    <w:link w:val="TableHeading"/>
    <w:locked/>
    <w:rsid w:val="00545DBE"/>
    <w:rPr>
      <w:rFonts w:ascii="Calibri" w:eastAsia="Calibri" w:hAnsi="Calibri"/>
      <w:b/>
      <w:bCs/>
    </w:rPr>
  </w:style>
  <w:style w:type="paragraph" w:customStyle="1" w:styleId="TableHeading">
    <w:name w:val="Table Heading"/>
    <w:next w:val="Normal"/>
    <w:link w:val="TableHeadingChar"/>
    <w:qFormat/>
    <w:rsid w:val="00545DBE"/>
    <w:pPr>
      <w:spacing w:after="0" w:line="240" w:lineRule="auto"/>
      <w:jc w:val="center"/>
    </w:pPr>
    <w:rPr>
      <w:rFonts w:ascii="Calibri" w:eastAsia="Calibri" w:hAnsi="Calibri"/>
      <w:b/>
      <w:bCs/>
    </w:rPr>
  </w:style>
  <w:style w:type="character" w:customStyle="1" w:styleId="TableTextBoldChar">
    <w:name w:val="Table Text Bold Char"/>
    <w:link w:val="TableTextBold"/>
    <w:locked/>
    <w:rsid w:val="00545DBE"/>
    <w:rPr>
      <w:rFonts w:ascii="Calibri" w:eastAsia="Calibri" w:hAnsi="Calibri"/>
      <w:b/>
      <w:color w:val="000000"/>
    </w:rPr>
  </w:style>
  <w:style w:type="paragraph" w:customStyle="1" w:styleId="TableTextBold">
    <w:name w:val="Table Text Bold"/>
    <w:basedOn w:val="TableText"/>
    <w:link w:val="TableTextBoldChar"/>
    <w:qFormat/>
    <w:rsid w:val="00545DBE"/>
    <w:rPr>
      <w:b/>
    </w:rPr>
  </w:style>
  <w:style w:type="character" w:customStyle="1" w:styleId="TableNumbersBoldChar">
    <w:name w:val="Table Numbers Bold Char"/>
    <w:link w:val="TableNumbersBold"/>
    <w:locked/>
    <w:rsid w:val="00545DBE"/>
    <w:rPr>
      <w:rFonts w:ascii="Calibri" w:eastAsia="Calibri" w:hAnsi="Calibri"/>
      <w:b/>
      <w:color w:val="000000"/>
    </w:rPr>
  </w:style>
  <w:style w:type="paragraph" w:customStyle="1" w:styleId="TableNumbersBold">
    <w:name w:val="Table Numbers Bold"/>
    <w:basedOn w:val="TableNumbers"/>
    <w:link w:val="TableNumbersBoldChar"/>
    <w:qFormat/>
    <w:rsid w:val="00545DBE"/>
    <w:rPr>
      <w:b/>
    </w:rPr>
  </w:style>
  <w:style w:type="paragraph" w:customStyle="1" w:styleId="EFSAStyleTitle1">
    <w:name w:val="EFSA_StyleTitle1"/>
    <w:basedOn w:val="Title"/>
    <w:next w:val="EFSABodytext"/>
    <w:link w:val="EFSAStyleTitle1CharChar"/>
    <w:autoRedefine/>
    <w:rsid w:val="00545DBE"/>
    <w:pPr>
      <w:keepNext/>
      <w:pBdr>
        <w:bottom w:val="none" w:sz="0" w:space="0" w:color="auto"/>
      </w:pBdr>
      <w:spacing w:after="120"/>
      <w:contextualSpacing w:val="0"/>
      <w:outlineLvl w:val="0"/>
    </w:pPr>
    <w:rPr>
      <w:rFonts w:ascii="Times New Roman" w:eastAsia="Times New Roman" w:hAnsi="Times New Roman" w:cs="Arial"/>
      <w:b/>
      <w:bCs/>
      <w:smallCaps/>
      <w:color w:val="auto"/>
      <w:spacing w:val="0"/>
      <w:sz w:val="24"/>
      <w:szCs w:val="22"/>
    </w:rPr>
  </w:style>
  <w:style w:type="character" w:customStyle="1" w:styleId="EFSAStyleTitle1CharChar">
    <w:name w:val="EFSA_StyleTitle1 Char Char"/>
    <w:link w:val="EFSAStyleTitle1"/>
    <w:rsid w:val="00545DBE"/>
    <w:rPr>
      <w:rFonts w:ascii="Times New Roman" w:eastAsia="Times New Roman" w:hAnsi="Times New Roman" w:cs="Arial"/>
      <w:b/>
      <w:bCs/>
      <w:smallCaps/>
      <w:kern w:val="28"/>
      <w:sz w:val="24"/>
    </w:rPr>
  </w:style>
  <w:style w:type="paragraph" w:styleId="Title">
    <w:name w:val="Title"/>
    <w:basedOn w:val="Normal"/>
    <w:next w:val="Normal"/>
    <w:link w:val="TitleChar"/>
    <w:uiPriority w:val="10"/>
    <w:semiHidden/>
    <w:qFormat/>
    <w:rsid w:val="00545DB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semiHidden/>
    <w:rsid w:val="00545DBE"/>
    <w:rPr>
      <w:rFonts w:asciiTheme="majorHAnsi" w:eastAsiaTheme="majorEastAsia" w:hAnsiTheme="majorHAnsi" w:cstheme="majorBidi"/>
      <w:color w:val="17365D" w:themeColor="text2" w:themeShade="BF"/>
      <w:spacing w:val="5"/>
      <w:kern w:val="28"/>
      <w:sz w:val="52"/>
      <w:szCs w:val="52"/>
    </w:rPr>
  </w:style>
  <w:style w:type="paragraph" w:customStyle="1" w:styleId="MinutesBodytext">
    <w:name w:val="Minutes_Bodytext"/>
    <w:basedOn w:val="Normal"/>
    <w:rsid w:val="00545DBE"/>
    <w:pPr>
      <w:suppressAutoHyphens/>
      <w:spacing w:after="120" w:line="240" w:lineRule="auto"/>
    </w:pPr>
    <w:rPr>
      <w:rFonts w:ascii="Arial" w:eastAsia="Times New Roman" w:hAnsi="Arial" w:cs="Arial"/>
      <w:color w:val="000000"/>
      <w:lang w:eastAsia="ar-SA"/>
    </w:rPr>
  </w:style>
  <w:style w:type="character" w:styleId="Strong">
    <w:name w:val="Strong"/>
    <w:qFormat/>
    <w:rsid w:val="00545DBE"/>
    <w:rPr>
      <w:b/>
      <w:bCs/>
    </w:rPr>
  </w:style>
  <w:style w:type="character" w:customStyle="1" w:styleId="EFSAHeading2CharChar">
    <w:name w:val="EFSA_Heading 2 Char Char"/>
    <w:rsid w:val="001F2992"/>
    <w:rPr>
      <w:rFonts w:cs="Arial"/>
      <w:b/>
      <w:bCs/>
      <w:sz w:val="24"/>
      <w:szCs w:val="22"/>
      <w:lang w:eastAsia="en-US"/>
    </w:rPr>
  </w:style>
  <w:style w:type="paragraph" w:customStyle="1" w:styleId="Default">
    <w:name w:val="Default"/>
    <w:rsid w:val="00B23CD8"/>
    <w:pPr>
      <w:autoSpaceDE w:val="0"/>
      <w:autoSpaceDN w:val="0"/>
      <w:adjustRightInd w:val="0"/>
      <w:spacing w:after="0" w:line="240" w:lineRule="auto"/>
    </w:pPr>
    <w:rPr>
      <w:rFonts w:ascii="Franklin Gothic" w:eastAsia="Times New Roman" w:hAnsi="Franklin Gothic" w:cs="Franklin Gothic"/>
      <w:color w:val="000000"/>
      <w:sz w:val="24"/>
      <w:szCs w:val="24"/>
      <w:lang w:val="en-US"/>
    </w:rPr>
  </w:style>
  <w:style w:type="paragraph" w:customStyle="1" w:styleId="EFSABODYCOPY">
    <w:name w:val="EFSA BODY COPY"/>
    <w:basedOn w:val="Normal"/>
    <w:link w:val="EFSABODYCOPYChar"/>
    <w:qFormat/>
    <w:rsid w:val="000134D0"/>
    <w:pPr>
      <w:spacing w:after="120" w:line="240" w:lineRule="auto"/>
    </w:pPr>
    <w:rPr>
      <w:rFonts w:ascii="Verdana" w:eastAsia="Calibri" w:hAnsi="Verdana" w:cs="Times New Roman"/>
      <w:sz w:val="20"/>
    </w:rPr>
  </w:style>
  <w:style w:type="character" w:customStyle="1" w:styleId="EFSABODYCOPYChar">
    <w:name w:val="EFSA BODY COPY Char"/>
    <w:basedOn w:val="DefaultParagraphFont"/>
    <w:link w:val="EFSABODYCOPY"/>
    <w:rsid w:val="000134D0"/>
    <w:rPr>
      <w:rFonts w:ascii="Verdana" w:eastAsia="Calibri" w:hAnsi="Verdana" w:cs="Times New Roman"/>
      <w:sz w:val="20"/>
    </w:rPr>
  </w:style>
  <w:style w:type="paragraph" w:customStyle="1" w:styleId="EFSAFOOTER0">
    <w:name w:val="EFSA FOOTER"/>
    <w:basedOn w:val="EFSABODYCOPY"/>
    <w:link w:val="EFSAFOOTERChar0"/>
    <w:qFormat/>
    <w:rsid w:val="000134D0"/>
    <w:pPr>
      <w:spacing w:after="0"/>
      <w:jc w:val="center"/>
    </w:pPr>
    <w:rPr>
      <w:color w:val="171796"/>
      <w:sz w:val="16"/>
      <w:szCs w:val="16"/>
    </w:rPr>
  </w:style>
  <w:style w:type="character" w:customStyle="1" w:styleId="EFSAFOOTERChar0">
    <w:name w:val="EFSA FOOTER Char"/>
    <w:basedOn w:val="DefaultParagraphFont"/>
    <w:link w:val="EFSAFOOTER0"/>
    <w:rsid w:val="000134D0"/>
    <w:rPr>
      <w:rFonts w:ascii="Verdana" w:eastAsia="Calibri" w:hAnsi="Verdana" w:cs="Times New Roman"/>
      <w:color w:val="171796"/>
      <w:sz w:val="16"/>
      <w:szCs w:val="16"/>
    </w:rPr>
  </w:style>
  <w:style w:type="character" w:customStyle="1" w:styleId="apple-converted-space">
    <w:name w:val="apple-converted-space"/>
    <w:basedOn w:val="DefaultParagraphFont"/>
    <w:rsid w:val="006C0653"/>
  </w:style>
  <w:style w:type="character" w:styleId="Emphasis">
    <w:name w:val="Emphasis"/>
    <w:basedOn w:val="DefaultParagraphFont"/>
    <w:uiPriority w:val="20"/>
    <w:qFormat/>
    <w:rsid w:val="006C0653"/>
    <w:rPr>
      <w:i/>
      <w:iCs/>
    </w:rPr>
  </w:style>
  <w:style w:type="paragraph" w:styleId="CommentSubject">
    <w:name w:val="annotation subject"/>
    <w:basedOn w:val="CommentText"/>
    <w:next w:val="CommentText"/>
    <w:link w:val="CommentSubjectChar"/>
    <w:uiPriority w:val="99"/>
    <w:semiHidden/>
    <w:unhideWhenUsed/>
    <w:rsid w:val="00E3721B"/>
    <w:pPr>
      <w:spacing w:after="200"/>
      <w:jc w:val="left"/>
    </w:pPr>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E3721B"/>
    <w:rPr>
      <w:rFonts w:ascii="Times New Roman" w:eastAsia="Times New Roman" w:hAnsi="Times New Roman" w:cs="Times New Roman"/>
      <w:b/>
      <w:bCs/>
      <w:sz w:val="20"/>
      <w:szCs w:val="20"/>
    </w:rPr>
  </w:style>
  <w:style w:type="paragraph" w:styleId="NormalWeb">
    <w:name w:val="Normal (Web)"/>
    <w:basedOn w:val="Normal"/>
    <w:uiPriority w:val="99"/>
    <w:unhideWhenUsed/>
    <w:rsid w:val="00A638BC"/>
    <w:pPr>
      <w:spacing w:before="100" w:beforeAutospacing="1" w:after="100" w:afterAutospacing="1" w:line="240" w:lineRule="auto"/>
    </w:pPr>
    <w:rPr>
      <w:rFonts w:ascii="Times New Roman" w:hAnsi="Times New Roman" w:cs="Times New Roman"/>
      <w:sz w:val="24"/>
      <w:szCs w:val="24"/>
      <w:lang w:val="de-DE" w:eastAsia="de-DE"/>
    </w:rPr>
  </w:style>
  <w:style w:type="paragraph" w:customStyle="1" w:styleId="EFSASUBTITLE2">
    <w:name w:val="EFSA SUBTITLE 2"/>
    <w:basedOn w:val="Normal"/>
    <w:next w:val="EFSABODYCOPY"/>
    <w:link w:val="EFSASUBTITLE2Char"/>
    <w:qFormat/>
    <w:rsid w:val="009E254B"/>
    <w:pPr>
      <w:spacing w:before="360" w:after="240" w:line="240" w:lineRule="auto"/>
    </w:pPr>
    <w:rPr>
      <w:rFonts w:ascii="Verdana" w:eastAsia="Calibri" w:hAnsi="Verdana" w:cs="Times New Roman"/>
      <w:b/>
      <w:sz w:val="24"/>
      <w:szCs w:val="24"/>
    </w:rPr>
  </w:style>
  <w:style w:type="character" w:customStyle="1" w:styleId="EFSASUBTITLE2Char">
    <w:name w:val="EFSA SUBTITLE 2 Char"/>
    <w:basedOn w:val="DefaultParagraphFont"/>
    <w:link w:val="EFSASUBTITLE2"/>
    <w:rsid w:val="009E254B"/>
    <w:rPr>
      <w:rFonts w:ascii="Verdana" w:eastAsia="Calibri" w:hAnsi="Verdana" w:cs="Times New Roman"/>
      <w:b/>
      <w:sz w:val="24"/>
      <w:szCs w:val="24"/>
    </w:rPr>
  </w:style>
  <w:style w:type="paragraph" w:styleId="Revision">
    <w:name w:val="Revision"/>
    <w:hidden/>
    <w:uiPriority w:val="99"/>
    <w:semiHidden/>
    <w:rsid w:val="00752B8B"/>
    <w:pPr>
      <w:spacing w:after="0" w:line="240" w:lineRule="auto"/>
    </w:pPr>
  </w:style>
  <w:style w:type="character" w:styleId="UnresolvedMention">
    <w:name w:val="Unresolved Mention"/>
    <w:basedOn w:val="DefaultParagraphFont"/>
    <w:uiPriority w:val="99"/>
    <w:unhideWhenUsed/>
    <w:rsid w:val="00631860"/>
    <w:rPr>
      <w:color w:val="605E5C"/>
      <w:shd w:val="clear" w:color="auto" w:fill="E1DFDD"/>
    </w:rPr>
  </w:style>
  <w:style w:type="character" w:customStyle="1" w:styleId="Heading5Char">
    <w:name w:val="Heading 5 Char"/>
    <w:basedOn w:val="DefaultParagraphFont"/>
    <w:link w:val="Heading5"/>
    <w:uiPriority w:val="9"/>
    <w:semiHidden/>
    <w:rsid w:val="00EF285F"/>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uiPriority w:val="9"/>
    <w:semiHidden/>
    <w:rsid w:val="00EF285F"/>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EF285F"/>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EF285F"/>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EF285F"/>
    <w:rPr>
      <w:rFonts w:asciiTheme="majorHAnsi" w:eastAsiaTheme="majorEastAsia" w:hAnsiTheme="majorHAnsi" w:cstheme="majorBidi"/>
      <w:i/>
      <w:iCs/>
      <w:color w:val="272727" w:themeColor="text1" w:themeTint="D8"/>
      <w:sz w:val="21"/>
      <w:szCs w:val="21"/>
    </w:rPr>
  </w:style>
  <w:style w:type="character" w:styleId="PlaceholderText">
    <w:name w:val="Placeholder Text"/>
    <w:basedOn w:val="DefaultParagraphFont"/>
    <w:uiPriority w:val="99"/>
    <w:semiHidden/>
    <w:rsid w:val="00A81933"/>
    <w:rPr>
      <w:color w:val="808080"/>
    </w:rPr>
  </w:style>
  <w:style w:type="character" w:customStyle="1" w:styleId="VerbatimChar">
    <w:name w:val="Verbatim Char"/>
    <w:basedOn w:val="DefaultParagraphFont"/>
    <w:link w:val="SourceCode"/>
    <w:rsid w:val="00243DF5"/>
    <w:rPr>
      <w:rFonts w:ascii="Consolas" w:hAnsi="Consolas"/>
      <w:shd w:val="clear" w:color="auto" w:fill="F8F8F8"/>
    </w:rPr>
  </w:style>
  <w:style w:type="paragraph" w:customStyle="1" w:styleId="SourceCode">
    <w:name w:val="Source Code"/>
    <w:basedOn w:val="Normal"/>
    <w:link w:val="VerbatimChar"/>
    <w:rsid w:val="00243DF5"/>
    <w:pPr>
      <w:shd w:val="clear" w:color="auto" w:fill="F8F8F8"/>
      <w:wordWrap w:val="0"/>
      <w:spacing w:line="240" w:lineRule="auto"/>
    </w:pPr>
    <w:rPr>
      <w:rFonts w:ascii="Consolas" w:hAnsi="Consolas"/>
    </w:rPr>
  </w:style>
  <w:style w:type="character" w:customStyle="1" w:styleId="vol">
    <w:name w:val="vol"/>
    <w:basedOn w:val="DefaultParagraphFont"/>
    <w:rsid w:val="00C117A7"/>
  </w:style>
  <w:style w:type="character" w:styleId="Mention">
    <w:name w:val="Mention"/>
    <w:basedOn w:val="DefaultParagraphFont"/>
    <w:uiPriority w:val="99"/>
    <w:unhideWhenUsed/>
    <w:rsid w:val="00FD5978"/>
    <w:rPr>
      <w:color w:val="2B579A"/>
      <w:shd w:val="clear" w:color="auto" w:fill="E6E6E6"/>
    </w:rPr>
  </w:style>
  <w:style w:type="table" w:styleId="GridTable4-Accent3">
    <w:name w:val="Grid Table 4 Accent 3"/>
    <w:basedOn w:val="TableNormal"/>
    <w:uiPriority w:val="49"/>
    <w:rsid w:val="00F00C12"/>
    <w:pPr>
      <w:spacing w:after="0" w:line="240" w:lineRule="auto"/>
    </w:pPr>
    <w:rPr>
      <w:lang w:val="en-US"/>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CarattereCarattere3CharChar">
    <w:name w:val="Carattere Carattere3 Char Char"/>
    <w:basedOn w:val="Normal"/>
    <w:link w:val="FootnoteReference"/>
    <w:uiPriority w:val="99"/>
    <w:qFormat/>
    <w:rsid w:val="00F00C12"/>
    <w:pPr>
      <w:spacing w:after="220" w:line="259" w:lineRule="auto"/>
      <w:jc w:val="both"/>
    </w:pPr>
    <w:rPr>
      <w:vertAlign w:val="superscript"/>
    </w:rPr>
  </w:style>
  <w:style w:type="numbering" w:customStyle="1" w:styleId="EFSAheadinglist">
    <w:name w:val="EFSA_heading list"/>
    <w:uiPriority w:val="99"/>
    <w:rsid w:val="00EE517B"/>
    <w:pPr>
      <w:numPr>
        <w:numId w:val="9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29908745">
      <w:bodyDiv w:val="1"/>
      <w:marLeft w:val="0"/>
      <w:marRight w:val="0"/>
      <w:marTop w:val="0"/>
      <w:marBottom w:val="0"/>
      <w:divBdr>
        <w:top w:val="none" w:sz="0" w:space="0" w:color="auto"/>
        <w:left w:val="none" w:sz="0" w:space="0" w:color="auto"/>
        <w:bottom w:val="none" w:sz="0" w:space="0" w:color="auto"/>
        <w:right w:val="none" w:sz="0" w:space="0" w:color="auto"/>
      </w:divBdr>
    </w:div>
    <w:div w:id="496119340">
      <w:bodyDiv w:val="1"/>
      <w:marLeft w:val="0"/>
      <w:marRight w:val="0"/>
      <w:marTop w:val="0"/>
      <w:marBottom w:val="0"/>
      <w:divBdr>
        <w:top w:val="none" w:sz="0" w:space="0" w:color="auto"/>
        <w:left w:val="none" w:sz="0" w:space="0" w:color="auto"/>
        <w:bottom w:val="none" w:sz="0" w:space="0" w:color="auto"/>
        <w:right w:val="none" w:sz="0" w:space="0" w:color="auto"/>
      </w:divBdr>
    </w:div>
    <w:div w:id="535965667">
      <w:bodyDiv w:val="1"/>
      <w:marLeft w:val="0"/>
      <w:marRight w:val="0"/>
      <w:marTop w:val="0"/>
      <w:marBottom w:val="0"/>
      <w:divBdr>
        <w:top w:val="none" w:sz="0" w:space="0" w:color="auto"/>
        <w:left w:val="none" w:sz="0" w:space="0" w:color="auto"/>
        <w:bottom w:val="none" w:sz="0" w:space="0" w:color="auto"/>
        <w:right w:val="none" w:sz="0" w:space="0" w:color="auto"/>
      </w:divBdr>
      <w:divsChild>
        <w:div w:id="1875344400">
          <w:marLeft w:val="0"/>
          <w:marRight w:val="0"/>
          <w:marTop w:val="0"/>
          <w:marBottom w:val="0"/>
          <w:divBdr>
            <w:top w:val="none" w:sz="0" w:space="0" w:color="auto"/>
            <w:left w:val="none" w:sz="0" w:space="0" w:color="auto"/>
            <w:bottom w:val="none" w:sz="0" w:space="0" w:color="auto"/>
            <w:right w:val="none" w:sz="0" w:space="0" w:color="auto"/>
          </w:divBdr>
          <w:divsChild>
            <w:div w:id="472329212">
              <w:marLeft w:val="0"/>
              <w:marRight w:val="0"/>
              <w:marTop w:val="0"/>
              <w:marBottom w:val="0"/>
              <w:divBdr>
                <w:top w:val="none" w:sz="0" w:space="0" w:color="auto"/>
                <w:left w:val="none" w:sz="0" w:space="0" w:color="auto"/>
                <w:bottom w:val="none" w:sz="0" w:space="0" w:color="auto"/>
                <w:right w:val="none" w:sz="0" w:space="0" w:color="auto"/>
              </w:divBdr>
              <w:divsChild>
                <w:div w:id="975524987">
                  <w:marLeft w:val="0"/>
                  <w:marRight w:val="0"/>
                  <w:marTop w:val="181"/>
                  <w:marBottom w:val="181"/>
                  <w:divBdr>
                    <w:top w:val="none" w:sz="0" w:space="0" w:color="auto"/>
                    <w:left w:val="none" w:sz="0" w:space="0" w:color="auto"/>
                    <w:bottom w:val="none" w:sz="0" w:space="0" w:color="auto"/>
                    <w:right w:val="none" w:sz="0" w:space="0" w:color="auto"/>
                  </w:divBdr>
                  <w:divsChild>
                    <w:div w:id="408696917">
                      <w:marLeft w:val="0"/>
                      <w:marRight w:val="0"/>
                      <w:marTop w:val="0"/>
                      <w:marBottom w:val="0"/>
                      <w:divBdr>
                        <w:top w:val="none" w:sz="0" w:space="0" w:color="auto"/>
                        <w:left w:val="none" w:sz="0" w:space="0" w:color="auto"/>
                        <w:bottom w:val="none" w:sz="0" w:space="0" w:color="auto"/>
                        <w:right w:val="none" w:sz="0" w:space="0" w:color="auto"/>
                      </w:divBdr>
                      <w:divsChild>
                        <w:div w:id="16857601">
                          <w:marLeft w:val="0"/>
                          <w:marRight w:val="0"/>
                          <w:marTop w:val="0"/>
                          <w:marBottom w:val="0"/>
                          <w:divBdr>
                            <w:top w:val="none" w:sz="0" w:space="0" w:color="auto"/>
                            <w:left w:val="none" w:sz="0" w:space="0" w:color="auto"/>
                            <w:bottom w:val="none" w:sz="0" w:space="0" w:color="auto"/>
                            <w:right w:val="none" w:sz="0" w:space="0" w:color="auto"/>
                          </w:divBdr>
                        </w:div>
                        <w:div w:id="1123302907">
                          <w:marLeft w:val="0"/>
                          <w:marRight w:val="0"/>
                          <w:marTop w:val="0"/>
                          <w:marBottom w:val="0"/>
                          <w:divBdr>
                            <w:top w:val="none" w:sz="0" w:space="0" w:color="auto"/>
                            <w:left w:val="none" w:sz="0" w:space="0" w:color="auto"/>
                            <w:bottom w:val="none" w:sz="0" w:space="0" w:color="auto"/>
                            <w:right w:val="none" w:sz="0" w:space="0" w:color="auto"/>
                          </w:divBdr>
                        </w:div>
                        <w:div w:id="1304892134">
                          <w:marLeft w:val="0"/>
                          <w:marRight w:val="0"/>
                          <w:marTop w:val="0"/>
                          <w:marBottom w:val="0"/>
                          <w:divBdr>
                            <w:top w:val="none" w:sz="0" w:space="0" w:color="auto"/>
                            <w:left w:val="none" w:sz="0" w:space="0" w:color="auto"/>
                            <w:bottom w:val="none" w:sz="0" w:space="0" w:color="auto"/>
                            <w:right w:val="none" w:sz="0" w:space="0" w:color="auto"/>
                          </w:divBdr>
                        </w:div>
                        <w:div w:id="1799254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2711495">
      <w:bodyDiv w:val="1"/>
      <w:marLeft w:val="0"/>
      <w:marRight w:val="0"/>
      <w:marTop w:val="0"/>
      <w:marBottom w:val="0"/>
      <w:divBdr>
        <w:top w:val="none" w:sz="0" w:space="0" w:color="auto"/>
        <w:left w:val="none" w:sz="0" w:space="0" w:color="auto"/>
        <w:bottom w:val="none" w:sz="0" w:space="0" w:color="auto"/>
        <w:right w:val="none" w:sz="0" w:space="0" w:color="auto"/>
      </w:divBdr>
    </w:div>
    <w:div w:id="1373844435">
      <w:bodyDiv w:val="1"/>
      <w:marLeft w:val="0"/>
      <w:marRight w:val="0"/>
      <w:marTop w:val="0"/>
      <w:marBottom w:val="0"/>
      <w:divBdr>
        <w:top w:val="none" w:sz="0" w:space="0" w:color="auto"/>
        <w:left w:val="none" w:sz="0" w:space="0" w:color="auto"/>
        <w:bottom w:val="none" w:sz="0" w:space="0" w:color="auto"/>
        <w:right w:val="none" w:sz="0" w:space="0" w:color="auto"/>
      </w:divBdr>
    </w:div>
    <w:div w:id="1540896282">
      <w:bodyDiv w:val="1"/>
      <w:marLeft w:val="0"/>
      <w:marRight w:val="0"/>
      <w:marTop w:val="0"/>
      <w:marBottom w:val="0"/>
      <w:divBdr>
        <w:top w:val="none" w:sz="0" w:space="0" w:color="auto"/>
        <w:left w:val="none" w:sz="0" w:space="0" w:color="auto"/>
        <w:bottom w:val="none" w:sz="0" w:space="0" w:color="auto"/>
        <w:right w:val="none" w:sz="0" w:space="0" w:color="auto"/>
      </w:divBdr>
      <w:divsChild>
        <w:div w:id="826436294">
          <w:marLeft w:val="0"/>
          <w:marRight w:val="0"/>
          <w:marTop w:val="0"/>
          <w:marBottom w:val="0"/>
          <w:divBdr>
            <w:top w:val="none" w:sz="0" w:space="0" w:color="auto"/>
            <w:left w:val="none" w:sz="0" w:space="0" w:color="auto"/>
            <w:bottom w:val="none" w:sz="0" w:space="0" w:color="auto"/>
            <w:right w:val="none" w:sz="0" w:space="0" w:color="auto"/>
          </w:divBdr>
        </w:div>
        <w:div w:id="962685854">
          <w:marLeft w:val="0"/>
          <w:marRight w:val="0"/>
          <w:marTop w:val="0"/>
          <w:marBottom w:val="0"/>
          <w:divBdr>
            <w:top w:val="none" w:sz="0" w:space="0" w:color="auto"/>
            <w:left w:val="none" w:sz="0" w:space="0" w:color="auto"/>
            <w:bottom w:val="none" w:sz="0" w:space="0" w:color="auto"/>
            <w:right w:val="none" w:sz="0" w:space="0" w:color="auto"/>
          </w:divBdr>
        </w:div>
        <w:div w:id="1147360604">
          <w:marLeft w:val="0"/>
          <w:marRight w:val="0"/>
          <w:marTop w:val="0"/>
          <w:marBottom w:val="0"/>
          <w:divBdr>
            <w:top w:val="none" w:sz="0" w:space="0" w:color="auto"/>
            <w:left w:val="none" w:sz="0" w:space="0" w:color="auto"/>
            <w:bottom w:val="none" w:sz="0" w:space="0" w:color="auto"/>
            <w:right w:val="none" w:sz="0" w:space="0" w:color="auto"/>
          </w:divBdr>
        </w:div>
      </w:divsChild>
    </w:div>
    <w:div w:id="1636520270">
      <w:bodyDiv w:val="1"/>
      <w:marLeft w:val="0"/>
      <w:marRight w:val="0"/>
      <w:marTop w:val="0"/>
      <w:marBottom w:val="0"/>
      <w:divBdr>
        <w:top w:val="none" w:sz="0" w:space="0" w:color="auto"/>
        <w:left w:val="none" w:sz="0" w:space="0" w:color="auto"/>
        <w:bottom w:val="none" w:sz="0" w:space="0" w:color="auto"/>
        <w:right w:val="none" w:sz="0" w:space="0" w:color="auto"/>
      </w:divBdr>
    </w:div>
    <w:div w:id="1666319486">
      <w:bodyDiv w:val="1"/>
      <w:marLeft w:val="0"/>
      <w:marRight w:val="0"/>
      <w:marTop w:val="0"/>
      <w:marBottom w:val="0"/>
      <w:divBdr>
        <w:top w:val="none" w:sz="0" w:space="0" w:color="auto"/>
        <w:left w:val="none" w:sz="0" w:space="0" w:color="auto"/>
        <w:bottom w:val="none" w:sz="0" w:space="0" w:color="auto"/>
        <w:right w:val="none" w:sz="0" w:space="0" w:color="auto"/>
      </w:divBdr>
      <w:divsChild>
        <w:div w:id="484207976">
          <w:marLeft w:val="0"/>
          <w:marRight w:val="0"/>
          <w:marTop w:val="0"/>
          <w:marBottom w:val="0"/>
          <w:divBdr>
            <w:top w:val="none" w:sz="0" w:space="0" w:color="auto"/>
            <w:left w:val="none" w:sz="0" w:space="0" w:color="auto"/>
            <w:bottom w:val="none" w:sz="0" w:space="0" w:color="auto"/>
            <w:right w:val="none" w:sz="0" w:space="0" w:color="auto"/>
          </w:divBdr>
          <w:divsChild>
            <w:div w:id="1380322058">
              <w:marLeft w:val="0"/>
              <w:marRight w:val="0"/>
              <w:marTop w:val="0"/>
              <w:marBottom w:val="0"/>
              <w:divBdr>
                <w:top w:val="none" w:sz="0" w:space="0" w:color="auto"/>
                <w:left w:val="none" w:sz="0" w:space="0" w:color="auto"/>
                <w:bottom w:val="none" w:sz="0" w:space="0" w:color="auto"/>
                <w:right w:val="none" w:sz="0" w:space="0" w:color="auto"/>
              </w:divBdr>
              <w:divsChild>
                <w:div w:id="347029284">
                  <w:marLeft w:val="0"/>
                  <w:marRight w:val="0"/>
                  <w:marTop w:val="181"/>
                  <w:marBottom w:val="181"/>
                  <w:divBdr>
                    <w:top w:val="none" w:sz="0" w:space="0" w:color="auto"/>
                    <w:left w:val="none" w:sz="0" w:space="0" w:color="auto"/>
                    <w:bottom w:val="none" w:sz="0" w:space="0" w:color="auto"/>
                    <w:right w:val="none" w:sz="0" w:space="0" w:color="auto"/>
                  </w:divBdr>
                  <w:divsChild>
                    <w:div w:id="676884391">
                      <w:marLeft w:val="0"/>
                      <w:marRight w:val="0"/>
                      <w:marTop w:val="0"/>
                      <w:marBottom w:val="0"/>
                      <w:divBdr>
                        <w:top w:val="none" w:sz="0" w:space="0" w:color="auto"/>
                        <w:left w:val="none" w:sz="0" w:space="0" w:color="auto"/>
                        <w:bottom w:val="none" w:sz="0" w:space="0" w:color="auto"/>
                        <w:right w:val="none" w:sz="0" w:space="0" w:color="auto"/>
                      </w:divBdr>
                      <w:divsChild>
                        <w:div w:id="560749102">
                          <w:marLeft w:val="0"/>
                          <w:marRight w:val="0"/>
                          <w:marTop w:val="0"/>
                          <w:marBottom w:val="0"/>
                          <w:divBdr>
                            <w:top w:val="none" w:sz="0" w:space="0" w:color="auto"/>
                            <w:left w:val="none" w:sz="0" w:space="0" w:color="auto"/>
                            <w:bottom w:val="none" w:sz="0" w:space="0" w:color="auto"/>
                            <w:right w:val="none" w:sz="0" w:space="0" w:color="auto"/>
                          </w:divBdr>
                        </w:div>
                        <w:div w:id="1222061418">
                          <w:marLeft w:val="0"/>
                          <w:marRight w:val="0"/>
                          <w:marTop w:val="0"/>
                          <w:marBottom w:val="0"/>
                          <w:divBdr>
                            <w:top w:val="none" w:sz="0" w:space="0" w:color="auto"/>
                            <w:left w:val="none" w:sz="0" w:space="0" w:color="auto"/>
                            <w:bottom w:val="none" w:sz="0" w:space="0" w:color="auto"/>
                            <w:right w:val="none" w:sz="0" w:space="0" w:color="auto"/>
                          </w:divBdr>
                        </w:div>
                        <w:div w:id="1240746392">
                          <w:marLeft w:val="0"/>
                          <w:marRight w:val="0"/>
                          <w:marTop w:val="0"/>
                          <w:marBottom w:val="0"/>
                          <w:divBdr>
                            <w:top w:val="none" w:sz="0" w:space="0" w:color="auto"/>
                            <w:left w:val="none" w:sz="0" w:space="0" w:color="auto"/>
                            <w:bottom w:val="none" w:sz="0" w:space="0" w:color="auto"/>
                            <w:right w:val="none" w:sz="0" w:space="0" w:color="auto"/>
                          </w:divBdr>
                        </w:div>
                        <w:div w:id="207319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researchgate.net/journal/1096-0929_Toxicological_Sciences" TargetMode="External"/><Relationship Id="rId21" Type="http://schemas.openxmlformats.org/officeDocument/2006/relationships/image" Target="media/image6.png"/><Relationship Id="rId42" Type="http://schemas.openxmlformats.org/officeDocument/2006/relationships/image" Target="media/image15.png"/><Relationship Id="rId47" Type="http://schemas.openxmlformats.org/officeDocument/2006/relationships/image" Target="media/image20.png"/><Relationship Id="rId63" Type="http://schemas.openxmlformats.org/officeDocument/2006/relationships/image" Target="media/image36.png"/><Relationship Id="rId68" Type="http://schemas.openxmlformats.org/officeDocument/2006/relationships/image" Target="media/image41.png"/><Relationship Id="rId16" Type="http://schemas.openxmlformats.org/officeDocument/2006/relationships/image" Target="media/image4.png"/><Relationship Id="rId11" Type="http://schemas.openxmlformats.org/officeDocument/2006/relationships/hyperlink" Target="https://www.efsa.europa.eu/en/efsajournal/pub/4658" TargetMode="External"/><Relationship Id="rId32" Type="http://schemas.openxmlformats.org/officeDocument/2006/relationships/header" Target="header3.xml"/><Relationship Id="rId37" Type="http://schemas.openxmlformats.org/officeDocument/2006/relationships/footer" Target="footer5.xml"/><Relationship Id="rId53" Type="http://schemas.openxmlformats.org/officeDocument/2006/relationships/image" Target="media/image26.png"/><Relationship Id="rId58" Type="http://schemas.openxmlformats.org/officeDocument/2006/relationships/image" Target="media/image31.png"/><Relationship Id="rId74" Type="http://schemas.openxmlformats.org/officeDocument/2006/relationships/image" Target="media/image47.png"/><Relationship Id="rId79"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34.png"/><Relationship Id="rId19" Type="http://schemas.openxmlformats.org/officeDocument/2006/relationships/hyperlink" Target="https://r4eu.efsa.europa.eu/" TargetMode="External"/><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hyperlink" Target="http://www.who.int/ipcs/methods/harmonization/areas/hazard_assessment/en/" TargetMode="External"/><Relationship Id="rId30" Type="http://schemas.openxmlformats.org/officeDocument/2006/relationships/hyperlink" Target="https://ebookcentral.proquest.com/lib/ubhasselt/detail.action?docID=5754481" TargetMode="External"/><Relationship Id="rId35" Type="http://schemas.openxmlformats.org/officeDocument/2006/relationships/header" Target="header5.xml"/><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image" Target="media/image29.png"/><Relationship Id="rId64" Type="http://schemas.openxmlformats.org/officeDocument/2006/relationships/image" Target="media/image37.png"/><Relationship Id="rId69" Type="http://schemas.openxmlformats.org/officeDocument/2006/relationships/image" Target="media/image42.png"/><Relationship Id="rId77" Type="http://schemas.openxmlformats.org/officeDocument/2006/relationships/image" Target="media/image50.png"/><Relationship Id="rId8" Type="http://schemas.openxmlformats.org/officeDocument/2006/relationships/webSettings" Target="webSettings.xml"/><Relationship Id="rId51" Type="http://schemas.openxmlformats.org/officeDocument/2006/relationships/image" Target="media/image24.png"/><Relationship Id="rId72" Type="http://schemas.openxmlformats.org/officeDocument/2006/relationships/image" Target="media/image45.png"/><Relationship Id="rId80" Type="http://schemas.openxmlformats.org/officeDocument/2006/relationships/glossaryDocument" Target="glossary/document.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www.epa.gov/bmds" TargetMode="External"/><Relationship Id="rId25" Type="http://schemas.openxmlformats.org/officeDocument/2006/relationships/hyperlink" Target="https://doi.org/10.1002/env.2630" TargetMode="External"/><Relationship Id="rId33" Type="http://schemas.openxmlformats.org/officeDocument/2006/relationships/footer" Target="footer3.xml"/><Relationship Id="rId38" Type="http://schemas.openxmlformats.org/officeDocument/2006/relationships/header" Target="header6.xml"/><Relationship Id="rId46" Type="http://schemas.openxmlformats.org/officeDocument/2006/relationships/image" Target="media/image19.png"/><Relationship Id="rId59" Type="http://schemas.openxmlformats.org/officeDocument/2006/relationships/image" Target="media/image32.png"/><Relationship Id="rId67" Type="http://schemas.openxmlformats.org/officeDocument/2006/relationships/image" Target="media/image40.png"/><Relationship Id="rId20" Type="http://schemas.openxmlformats.org/officeDocument/2006/relationships/image" Target="media/image5.png"/><Relationship Id="rId41" Type="http://schemas.openxmlformats.org/officeDocument/2006/relationships/image" Target="media/image14.png"/><Relationship Id="rId54" Type="http://schemas.openxmlformats.org/officeDocument/2006/relationships/image" Target="media/image27.png"/><Relationship Id="rId62" Type="http://schemas.openxmlformats.org/officeDocument/2006/relationships/image" Target="media/image35.png"/><Relationship Id="rId70" Type="http://schemas.openxmlformats.org/officeDocument/2006/relationships/image" Target="media/image43.png"/><Relationship Id="rId75" Type="http://schemas.openxmlformats.org/officeDocument/2006/relationships/image" Target="media/image48.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hyperlink" Target="http://www.inchem.org/documents/jmpr/jmpmono/v2003pr03.htm" TargetMode="External"/><Relationship Id="rId36" Type="http://schemas.openxmlformats.org/officeDocument/2006/relationships/footer" Target="footer4.xml"/><Relationship Id="rId49" Type="http://schemas.openxmlformats.org/officeDocument/2006/relationships/image" Target="media/image22.png"/><Relationship Id="rId57" Type="http://schemas.openxmlformats.org/officeDocument/2006/relationships/image" Target="media/image30.png"/><Relationship Id="rId10" Type="http://schemas.openxmlformats.org/officeDocument/2006/relationships/endnotes" Target="endnotes.xml"/><Relationship Id="rId31" Type="http://schemas.openxmlformats.org/officeDocument/2006/relationships/hyperlink" Target="https://www.researchgate.net/journal/1096-0929_Toxicological_Sciences" TargetMode="External"/><Relationship Id="rId44" Type="http://schemas.openxmlformats.org/officeDocument/2006/relationships/image" Target="media/image17.png"/><Relationship Id="rId52" Type="http://schemas.openxmlformats.org/officeDocument/2006/relationships/image" Target="media/image25.png"/><Relationship Id="rId60" Type="http://schemas.openxmlformats.org/officeDocument/2006/relationships/image" Target="media/image33.png"/><Relationship Id="rId65" Type="http://schemas.openxmlformats.org/officeDocument/2006/relationships/image" Target="media/image38.png"/><Relationship Id="rId73" Type="http://schemas.openxmlformats.org/officeDocument/2006/relationships/image" Target="media/image46.png"/><Relationship Id="rId78" Type="http://schemas.openxmlformats.org/officeDocument/2006/relationships/footer" Target="footer7.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yperlink" Target="http://www.rivm.nl/proast" TargetMode="External"/><Relationship Id="rId39" Type="http://schemas.openxmlformats.org/officeDocument/2006/relationships/footer" Target="footer6.xml"/><Relationship Id="rId34" Type="http://schemas.openxmlformats.org/officeDocument/2006/relationships/header" Target="header4.xml"/><Relationship Id="rId50" Type="http://schemas.openxmlformats.org/officeDocument/2006/relationships/image" Target="media/image23.png"/><Relationship Id="rId55" Type="http://schemas.openxmlformats.org/officeDocument/2006/relationships/image" Target="media/image28.png"/><Relationship Id="rId76" Type="http://schemas.openxmlformats.org/officeDocument/2006/relationships/image" Target="media/image49.png"/><Relationship Id="rId7" Type="http://schemas.openxmlformats.org/officeDocument/2006/relationships/settings" Target="settings.xml"/><Relationship Id="rId71" Type="http://schemas.openxmlformats.org/officeDocument/2006/relationships/image" Target="media/image44.png"/><Relationship Id="rId2" Type="http://schemas.openxmlformats.org/officeDocument/2006/relationships/customXml" Target="../customXml/item2.xml"/><Relationship Id="rId29" Type="http://schemas.openxmlformats.org/officeDocument/2006/relationships/hyperlink" Target="https://www.researchgate.net/journal/1096-0929_Toxicological_Sciences" TargetMode="External"/><Relationship Id="rId24" Type="http://schemas.openxmlformats.org/officeDocument/2006/relationships/image" Target="media/image9.png"/><Relationship Id="rId40" Type="http://schemas.openxmlformats.org/officeDocument/2006/relationships/image" Target="media/image13.png"/><Relationship Id="rId45" Type="http://schemas.openxmlformats.org/officeDocument/2006/relationships/image" Target="media/image18.png"/><Relationship Id="rId66" Type="http://schemas.openxmlformats.org/officeDocument/2006/relationships/image" Target="media/image39.png"/></Relationships>
</file>

<file path=word/_rels/footer2.xml.rels><?xml version="1.0" encoding="UTF-8" standalone="yes"?>
<Relationships xmlns="http://schemas.openxmlformats.org/package/2006/relationships"><Relationship Id="rId2" Type="http://schemas.openxmlformats.org/officeDocument/2006/relationships/hyperlink" Target="http://www.efsa.europa.eu/efsajournal" TargetMode="External"/><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2" Type="http://schemas.openxmlformats.org/officeDocument/2006/relationships/hyperlink" Target="http://www.efsa.europa.eu/efsajournal" TargetMode="External"/><Relationship Id="rId1" Type="http://schemas.openxmlformats.org/officeDocument/2006/relationships/image" Target="media/image3.jpg"/></Relationships>
</file>

<file path=word/_rels/footer4.xml.rels><?xml version="1.0" encoding="UTF-8" standalone="yes"?>
<Relationships xmlns="http://schemas.openxmlformats.org/package/2006/relationships"><Relationship Id="rId1" Type="http://schemas.openxmlformats.org/officeDocument/2006/relationships/image" Target="media/image12.jpeg"/></Relationships>
</file>

<file path=word/_rels/footer5.xml.rels><?xml version="1.0" encoding="UTF-8" standalone="yes"?>
<Relationships xmlns="http://schemas.openxmlformats.org/package/2006/relationships"><Relationship Id="rId2" Type="http://schemas.openxmlformats.org/officeDocument/2006/relationships/hyperlink" Target="http://www.efsa.europa.eu/efsajournal" TargetMode="External"/><Relationship Id="rId1" Type="http://schemas.openxmlformats.org/officeDocument/2006/relationships/image" Target="media/image3.jpg"/></Relationships>
</file>

<file path=word/_rels/footer7.xml.rels><?xml version="1.0" encoding="UTF-8" standalone="yes"?>
<Relationships xmlns="http://schemas.openxmlformats.org/package/2006/relationships"><Relationship Id="rId1" Type="http://schemas.openxmlformats.org/officeDocument/2006/relationships/image" Target="media/image3.jpg"/></Relationships>
</file>

<file path=word/_rels/footnotes.xml.rels><?xml version="1.0" encoding="UTF-8" standalone="yes"?>
<Relationships xmlns="http://schemas.openxmlformats.org/package/2006/relationships"><Relationship Id="rId3" Type="http://schemas.openxmlformats.org/officeDocument/2006/relationships/hyperlink" Target="https://www.who.int/docs/default-source/food-safety/publications/chapter5-dose-response.pdf?sfvrsn=32edc2c6_5" TargetMode="External"/><Relationship Id="rId2" Type="http://schemas.openxmlformats.org/officeDocument/2006/relationships/hyperlink" Target="https://www.efsa.europa.eu/en/events/event/170301-0" TargetMode="External"/><Relationship Id="rId1" Type="http://schemas.openxmlformats.org/officeDocument/2006/relationships/hyperlink" Target="https://www.efsa.europa.eu/en/events/event/170301-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2" Type="http://schemas.openxmlformats.org/officeDocument/2006/relationships/image" Target="media/image11.jpeg"/><Relationship Id="rId1" Type="http://schemas.openxmlformats.org/officeDocument/2006/relationships/image" Target="media/image10.png"/></Relationships>
</file>

<file path=word/_rels/header5.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EDAF2FEB37BA4E8EAFC9DE1265A28CB0"/>
        <w:category>
          <w:name w:val="General"/>
          <w:gallery w:val="placeholder"/>
        </w:category>
        <w:types>
          <w:type w:val="bbPlcHdr"/>
        </w:types>
        <w:behaviors>
          <w:behavior w:val="content"/>
        </w:behaviors>
        <w:guid w:val="{0CE53F8B-999E-4E16-9535-2A7D62F460ED}"/>
      </w:docPartPr>
      <w:docPartBody>
        <w:p w:rsidR="00B27A47" w:rsidRDefault="008464D3" w:rsidP="008464D3">
          <w:pPr>
            <w:pStyle w:val="EDAF2FEB37BA4E8EAFC9DE1265A28CB0"/>
          </w:pPr>
          <w:r w:rsidRPr="00DD6E85">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Yu Gothic"/>
    <w:charset w:val="01"/>
    <w:family w:val="auto"/>
    <w:pitch w:val="variable"/>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angal">
    <w:panose1 w:val="00000400000000000000"/>
    <w:charset w:val="00"/>
    <w:family w:val="roman"/>
    <w:pitch w:val="variable"/>
    <w:sig w:usb0="00008003" w:usb1="00000000" w:usb2="00000000" w:usb3="00000000" w:csb0="00000001" w:csb1="00000000"/>
  </w:font>
  <w:font w:name="@NSimSun">
    <w:charset w:val="86"/>
    <w:family w:val="modern"/>
    <w:pitch w:val="fixed"/>
    <w:sig w:usb0="00000283" w:usb1="288F0000" w:usb2="00000016" w:usb3="00000000" w:csb0="00040001" w:csb1="00000000"/>
  </w:font>
  <w:font w:name="Franklin Gothic">
    <w:altName w:val="Times New Roman"/>
    <w:charset w:val="00"/>
    <w:family w:val="auto"/>
    <w:pitch w:val="variable"/>
    <w:sig w:usb0="800002EF" w:usb1="4000005B" w:usb2="00000000" w:usb3="00000000" w:csb0="0000009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Open Sans">
    <w:charset w:val="00"/>
    <w:family w:val="swiss"/>
    <w:pitch w:val="variable"/>
    <w:sig w:usb0="E00002EF" w:usb1="4000205B" w:usb2="00000028" w:usb3="00000000" w:csb0="0000019F" w:csb1="00000000"/>
  </w:font>
  <w:font w:name="ArialUnicodeMS">
    <w:altName w:val="Arial"/>
    <w:charset w:val="00"/>
    <w:family w:val="roman"/>
    <w:pitch w:val="default"/>
  </w:font>
  <w:font w:name="AdvP641C">
    <w:altName w:val="Cambria"/>
    <w:panose1 w:val="00000000000000000000"/>
    <w:charset w:val="00"/>
    <w:family w:val="auto"/>
    <w:notTrueType/>
    <w:pitch w:val="variable"/>
    <w:sig w:usb0="00000003" w:usb1="00000000" w:usb2="00000000" w:usb3="00000000" w:csb0="00000001" w:csb1="00000000"/>
  </w:font>
  <w:font w:name="Yu Mincho">
    <w:altName w:val="Yu Gothic"/>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64D3"/>
    <w:rsid w:val="00282088"/>
    <w:rsid w:val="002A2707"/>
    <w:rsid w:val="002A2AD2"/>
    <w:rsid w:val="002F27AB"/>
    <w:rsid w:val="00304883"/>
    <w:rsid w:val="003836C2"/>
    <w:rsid w:val="0042030D"/>
    <w:rsid w:val="00433413"/>
    <w:rsid w:val="00481DBF"/>
    <w:rsid w:val="004A57EE"/>
    <w:rsid w:val="00535086"/>
    <w:rsid w:val="00546D0D"/>
    <w:rsid w:val="00572764"/>
    <w:rsid w:val="005E4C05"/>
    <w:rsid w:val="006532F8"/>
    <w:rsid w:val="0067011C"/>
    <w:rsid w:val="00677D27"/>
    <w:rsid w:val="006F4D58"/>
    <w:rsid w:val="00710EC0"/>
    <w:rsid w:val="00766592"/>
    <w:rsid w:val="007A42A6"/>
    <w:rsid w:val="007D3722"/>
    <w:rsid w:val="00810D68"/>
    <w:rsid w:val="008464D3"/>
    <w:rsid w:val="00882DBF"/>
    <w:rsid w:val="00890D2D"/>
    <w:rsid w:val="00AE1B61"/>
    <w:rsid w:val="00B27A47"/>
    <w:rsid w:val="00B910FB"/>
    <w:rsid w:val="00C4053A"/>
    <w:rsid w:val="00CD6257"/>
    <w:rsid w:val="00D17DC4"/>
    <w:rsid w:val="00D569A8"/>
    <w:rsid w:val="00DA1F8E"/>
    <w:rsid w:val="00E46246"/>
    <w:rsid w:val="00ED2DC0"/>
    <w:rsid w:val="00F870EC"/>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82DBF"/>
    <w:rPr>
      <w:color w:val="808080"/>
    </w:rPr>
  </w:style>
  <w:style w:type="paragraph" w:customStyle="1" w:styleId="EDAF2FEB37BA4E8EAFC9DE1265A28CB0">
    <w:name w:val="EDAF2FEB37BA4E8EAFC9DE1265A28CB0"/>
    <w:rsid w:val="008464D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ABC1DF2B4ABF1F4D9336EEC48C80F82B" ma:contentTypeVersion="11" ma:contentTypeDescription="Create a new document." ma:contentTypeScope="" ma:versionID="f71b8e9f128cff78c29a86f87bf22cce">
  <xsd:schema xmlns:xsd="http://www.w3.org/2001/XMLSchema" xmlns:xs="http://www.w3.org/2001/XMLSchema" xmlns:p="http://schemas.microsoft.com/office/2006/metadata/properties" xmlns:ns2="fdaef4b4-6e49-48de-9f0e-98f27bd4b460" xmlns:ns3="01559d48-7e8f-4e8f-acaf-57334446dd85" targetNamespace="http://schemas.microsoft.com/office/2006/metadata/properties" ma:root="true" ma:fieldsID="91971dcb953967d39d31e6f492dbb8e1" ns2:_="" ns3:_="">
    <xsd:import namespace="fdaef4b4-6e49-48de-9f0e-98f27bd4b460"/>
    <xsd:import namespace="01559d48-7e8f-4e8f-acaf-57334446dd8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aef4b4-6e49-48de-9f0e-98f27bd4b46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559d48-7e8f-4e8f-acaf-57334446dd85"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29E1370-005D-4018-A8E0-8D70A7E2853D}">
  <ds:schemaRefs>
    <ds:schemaRef ds:uri="http://schemas.microsoft.com/sharepoint/v3/contenttype/forms"/>
  </ds:schemaRefs>
</ds:datastoreItem>
</file>

<file path=customXml/itemProps2.xml><?xml version="1.0" encoding="utf-8"?>
<ds:datastoreItem xmlns:ds="http://schemas.openxmlformats.org/officeDocument/2006/customXml" ds:itemID="{FBD91688-BEB8-4CAA-B085-ED334DF6AE93}">
  <ds:schemaRefs>
    <ds:schemaRef ds:uri="http://schemas.openxmlformats.org/officeDocument/2006/bibliography"/>
  </ds:schemaRefs>
</ds:datastoreItem>
</file>

<file path=customXml/itemProps3.xml><?xml version="1.0" encoding="utf-8"?>
<ds:datastoreItem xmlns:ds="http://schemas.openxmlformats.org/officeDocument/2006/customXml" ds:itemID="{F2E7349F-D61A-497B-B34C-E2717F0633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daef4b4-6e49-48de-9f0e-98f27bd4b460"/>
    <ds:schemaRef ds:uri="01559d48-7e8f-4e8f-acaf-57334446dd8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BA40A74-94A2-45C6-B2DB-CCE9FA2200F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1</Pages>
  <Words>27741</Words>
  <Characters>158126</Characters>
  <Application>Microsoft Office Word</Application>
  <DocSecurity>0</DocSecurity>
  <Lines>1317</Lines>
  <Paragraphs>370</Paragraphs>
  <ScaleCrop>false</ScaleCrop>
  <Company>EFSA</Company>
  <LinksUpToDate>false</LinksUpToDate>
  <CharactersWithSpaces>185497</CharactersWithSpaces>
  <SharedDoc>false</SharedDoc>
  <HLinks>
    <vt:vector size="348" baseType="variant">
      <vt:variant>
        <vt:i4>917512</vt:i4>
      </vt:variant>
      <vt:variant>
        <vt:i4>327</vt:i4>
      </vt:variant>
      <vt:variant>
        <vt:i4>0</vt:i4>
      </vt:variant>
      <vt:variant>
        <vt:i4>5</vt:i4>
      </vt:variant>
      <vt:variant>
        <vt:lpwstr>https://www.researchgate.net/journal/1096-0929_Toxicological_Sciences</vt:lpwstr>
      </vt:variant>
      <vt:variant>
        <vt:lpwstr/>
      </vt:variant>
      <vt:variant>
        <vt:i4>2097270</vt:i4>
      </vt:variant>
      <vt:variant>
        <vt:i4>324</vt:i4>
      </vt:variant>
      <vt:variant>
        <vt:i4>0</vt:i4>
      </vt:variant>
      <vt:variant>
        <vt:i4>5</vt:i4>
      </vt:variant>
      <vt:variant>
        <vt:lpwstr>https://ebookcentral.proquest.com/lib/ubhasselt/detail.action?docID=5754481</vt:lpwstr>
      </vt:variant>
      <vt:variant>
        <vt:lpwstr/>
      </vt:variant>
      <vt:variant>
        <vt:i4>917512</vt:i4>
      </vt:variant>
      <vt:variant>
        <vt:i4>321</vt:i4>
      </vt:variant>
      <vt:variant>
        <vt:i4>0</vt:i4>
      </vt:variant>
      <vt:variant>
        <vt:i4>5</vt:i4>
      </vt:variant>
      <vt:variant>
        <vt:lpwstr>https://www.researchgate.net/journal/1096-0929_Toxicological_Sciences</vt:lpwstr>
      </vt:variant>
      <vt:variant>
        <vt:lpwstr/>
      </vt:variant>
      <vt:variant>
        <vt:i4>2555944</vt:i4>
      </vt:variant>
      <vt:variant>
        <vt:i4>318</vt:i4>
      </vt:variant>
      <vt:variant>
        <vt:i4>0</vt:i4>
      </vt:variant>
      <vt:variant>
        <vt:i4>5</vt:i4>
      </vt:variant>
      <vt:variant>
        <vt:lpwstr>http://www.inchem.org/documents/jmpr/jmpmono/v2003pr03.htm</vt:lpwstr>
      </vt:variant>
      <vt:variant>
        <vt:lpwstr/>
      </vt:variant>
      <vt:variant>
        <vt:i4>1704050</vt:i4>
      </vt:variant>
      <vt:variant>
        <vt:i4>315</vt:i4>
      </vt:variant>
      <vt:variant>
        <vt:i4>0</vt:i4>
      </vt:variant>
      <vt:variant>
        <vt:i4>5</vt:i4>
      </vt:variant>
      <vt:variant>
        <vt:lpwstr>http://www.who.int/ipcs/methods/harmonization/areas/hazard_assessment/en/</vt:lpwstr>
      </vt:variant>
      <vt:variant>
        <vt:lpwstr/>
      </vt:variant>
      <vt:variant>
        <vt:i4>917512</vt:i4>
      </vt:variant>
      <vt:variant>
        <vt:i4>312</vt:i4>
      </vt:variant>
      <vt:variant>
        <vt:i4>0</vt:i4>
      </vt:variant>
      <vt:variant>
        <vt:i4>5</vt:i4>
      </vt:variant>
      <vt:variant>
        <vt:lpwstr>https://www.researchgate.net/journal/1096-0929_Toxicological_Sciences</vt:lpwstr>
      </vt:variant>
      <vt:variant>
        <vt:lpwstr/>
      </vt:variant>
      <vt:variant>
        <vt:i4>5570634</vt:i4>
      </vt:variant>
      <vt:variant>
        <vt:i4>309</vt:i4>
      </vt:variant>
      <vt:variant>
        <vt:i4>0</vt:i4>
      </vt:variant>
      <vt:variant>
        <vt:i4>5</vt:i4>
      </vt:variant>
      <vt:variant>
        <vt:lpwstr>https://doi.org/10.1002/env.2630</vt:lpwstr>
      </vt:variant>
      <vt:variant>
        <vt:lpwstr/>
      </vt:variant>
      <vt:variant>
        <vt:i4>5832770</vt:i4>
      </vt:variant>
      <vt:variant>
        <vt:i4>267</vt:i4>
      </vt:variant>
      <vt:variant>
        <vt:i4>0</vt:i4>
      </vt:variant>
      <vt:variant>
        <vt:i4>5</vt:i4>
      </vt:variant>
      <vt:variant>
        <vt:lpwstr>https://r4eu.efsa.europa.eu/</vt:lpwstr>
      </vt:variant>
      <vt:variant>
        <vt:lpwstr/>
      </vt:variant>
      <vt:variant>
        <vt:i4>65542</vt:i4>
      </vt:variant>
      <vt:variant>
        <vt:i4>264</vt:i4>
      </vt:variant>
      <vt:variant>
        <vt:i4>0</vt:i4>
      </vt:variant>
      <vt:variant>
        <vt:i4>5</vt:i4>
      </vt:variant>
      <vt:variant>
        <vt:lpwstr>http://www.rivm.nl/proast</vt:lpwstr>
      </vt:variant>
      <vt:variant>
        <vt:lpwstr/>
      </vt:variant>
      <vt:variant>
        <vt:i4>3670051</vt:i4>
      </vt:variant>
      <vt:variant>
        <vt:i4>261</vt:i4>
      </vt:variant>
      <vt:variant>
        <vt:i4>0</vt:i4>
      </vt:variant>
      <vt:variant>
        <vt:i4>5</vt:i4>
      </vt:variant>
      <vt:variant>
        <vt:lpwstr>http://www.epa.gov/bmds</vt:lpwstr>
      </vt:variant>
      <vt:variant>
        <vt:lpwstr/>
      </vt:variant>
      <vt:variant>
        <vt:i4>1376312</vt:i4>
      </vt:variant>
      <vt:variant>
        <vt:i4>233</vt:i4>
      </vt:variant>
      <vt:variant>
        <vt:i4>0</vt:i4>
      </vt:variant>
      <vt:variant>
        <vt:i4>5</vt:i4>
      </vt:variant>
      <vt:variant>
        <vt:lpwstr/>
      </vt:variant>
      <vt:variant>
        <vt:lpwstr>_Toc94255360</vt:lpwstr>
      </vt:variant>
      <vt:variant>
        <vt:i4>1835067</vt:i4>
      </vt:variant>
      <vt:variant>
        <vt:i4>227</vt:i4>
      </vt:variant>
      <vt:variant>
        <vt:i4>0</vt:i4>
      </vt:variant>
      <vt:variant>
        <vt:i4>5</vt:i4>
      </vt:variant>
      <vt:variant>
        <vt:lpwstr/>
      </vt:variant>
      <vt:variant>
        <vt:lpwstr>_Toc94255359</vt:lpwstr>
      </vt:variant>
      <vt:variant>
        <vt:i4>1900603</vt:i4>
      </vt:variant>
      <vt:variant>
        <vt:i4>221</vt:i4>
      </vt:variant>
      <vt:variant>
        <vt:i4>0</vt:i4>
      </vt:variant>
      <vt:variant>
        <vt:i4>5</vt:i4>
      </vt:variant>
      <vt:variant>
        <vt:lpwstr/>
      </vt:variant>
      <vt:variant>
        <vt:lpwstr>_Toc94255358</vt:lpwstr>
      </vt:variant>
      <vt:variant>
        <vt:i4>1179707</vt:i4>
      </vt:variant>
      <vt:variant>
        <vt:i4>215</vt:i4>
      </vt:variant>
      <vt:variant>
        <vt:i4>0</vt:i4>
      </vt:variant>
      <vt:variant>
        <vt:i4>5</vt:i4>
      </vt:variant>
      <vt:variant>
        <vt:lpwstr/>
      </vt:variant>
      <vt:variant>
        <vt:lpwstr>_Toc94255357</vt:lpwstr>
      </vt:variant>
      <vt:variant>
        <vt:i4>1245243</vt:i4>
      </vt:variant>
      <vt:variant>
        <vt:i4>209</vt:i4>
      </vt:variant>
      <vt:variant>
        <vt:i4>0</vt:i4>
      </vt:variant>
      <vt:variant>
        <vt:i4>5</vt:i4>
      </vt:variant>
      <vt:variant>
        <vt:lpwstr/>
      </vt:variant>
      <vt:variant>
        <vt:lpwstr>_Toc94255356</vt:lpwstr>
      </vt:variant>
      <vt:variant>
        <vt:i4>1048635</vt:i4>
      </vt:variant>
      <vt:variant>
        <vt:i4>203</vt:i4>
      </vt:variant>
      <vt:variant>
        <vt:i4>0</vt:i4>
      </vt:variant>
      <vt:variant>
        <vt:i4>5</vt:i4>
      </vt:variant>
      <vt:variant>
        <vt:lpwstr/>
      </vt:variant>
      <vt:variant>
        <vt:lpwstr>_Toc94255355</vt:lpwstr>
      </vt:variant>
      <vt:variant>
        <vt:i4>1114171</vt:i4>
      </vt:variant>
      <vt:variant>
        <vt:i4>197</vt:i4>
      </vt:variant>
      <vt:variant>
        <vt:i4>0</vt:i4>
      </vt:variant>
      <vt:variant>
        <vt:i4>5</vt:i4>
      </vt:variant>
      <vt:variant>
        <vt:lpwstr/>
      </vt:variant>
      <vt:variant>
        <vt:lpwstr>_Toc94255354</vt:lpwstr>
      </vt:variant>
      <vt:variant>
        <vt:i4>1441851</vt:i4>
      </vt:variant>
      <vt:variant>
        <vt:i4>191</vt:i4>
      </vt:variant>
      <vt:variant>
        <vt:i4>0</vt:i4>
      </vt:variant>
      <vt:variant>
        <vt:i4>5</vt:i4>
      </vt:variant>
      <vt:variant>
        <vt:lpwstr/>
      </vt:variant>
      <vt:variant>
        <vt:lpwstr>_Toc94255353</vt:lpwstr>
      </vt:variant>
      <vt:variant>
        <vt:i4>1507387</vt:i4>
      </vt:variant>
      <vt:variant>
        <vt:i4>185</vt:i4>
      </vt:variant>
      <vt:variant>
        <vt:i4>0</vt:i4>
      </vt:variant>
      <vt:variant>
        <vt:i4>5</vt:i4>
      </vt:variant>
      <vt:variant>
        <vt:lpwstr/>
      </vt:variant>
      <vt:variant>
        <vt:lpwstr>_Toc94255352</vt:lpwstr>
      </vt:variant>
      <vt:variant>
        <vt:i4>1310779</vt:i4>
      </vt:variant>
      <vt:variant>
        <vt:i4>179</vt:i4>
      </vt:variant>
      <vt:variant>
        <vt:i4>0</vt:i4>
      </vt:variant>
      <vt:variant>
        <vt:i4>5</vt:i4>
      </vt:variant>
      <vt:variant>
        <vt:lpwstr/>
      </vt:variant>
      <vt:variant>
        <vt:lpwstr>_Toc94255351</vt:lpwstr>
      </vt:variant>
      <vt:variant>
        <vt:i4>1376315</vt:i4>
      </vt:variant>
      <vt:variant>
        <vt:i4>173</vt:i4>
      </vt:variant>
      <vt:variant>
        <vt:i4>0</vt:i4>
      </vt:variant>
      <vt:variant>
        <vt:i4>5</vt:i4>
      </vt:variant>
      <vt:variant>
        <vt:lpwstr/>
      </vt:variant>
      <vt:variant>
        <vt:lpwstr>_Toc94255350</vt:lpwstr>
      </vt:variant>
      <vt:variant>
        <vt:i4>1835066</vt:i4>
      </vt:variant>
      <vt:variant>
        <vt:i4>167</vt:i4>
      </vt:variant>
      <vt:variant>
        <vt:i4>0</vt:i4>
      </vt:variant>
      <vt:variant>
        <vt:i4>5</vt:i4>
      </vt:variant>
      <vt:variant>
        <vt:lpwstr/>
      </vt:variant>
      <vt:variant>
        <vt:lpwstr>_Toc94255349</vt:lpwstr>
      </vt:variant>
      <vt:variant>
        <vt:i4>1900602</vt:i4>
      </vt:variant>
      <vt:variant>
        <vt:i4>161</vt:i4>
      </vt:variant>
      <vt:variant>
        <vt:i4>0</vt:i4>
      </vt:variant>
      <vt:variant>
        <vt:i4>5</vt:i4>
      </vt:variant>
      <vt:variant>
        <vt:lpwstr/>
      </vt:variant>
      <vt:variant>
        <vt:lpwstr>_Toc94255348</vt:lpwstr>
      </vt:variant>
      <vt:variant>
        <vt:i4>1179706</vt:i4>
      </vt:variant>
      <vt:variant>
        <vt:i4>155</vt:i4>
      </vt:variant>
      <vt:variant>
        <vt:i4>0</vt:i4>
      </vt:variant>
      <vt:variant>
        <vt:i4>5</vt:i4>
      </vt:variant>
      <vt:variant>
        <vt:lpwstr/>
      </vt:variant>
      <vt:variant>
        <vt:lpwstr>_Toc94255347</vt:lpwstr>
      </vt:variant>
      <vt:variant>
        <vt:i4>1245242</vt:i4>
      </vt:variant>
      <vt:variant>
        <vt:i4>149</vt:i4>
      </vt:variant>
      <vt:variant>
        <vt:i4>0</vt:i4>
      </vt:variant>
      <vt:variant>
        <vt:i4>5</vt:i4>
      </vt:variant>
      <vt:variant>
        <vt:lpwstr/>
      </vt:variant>
      <vt:variant>
        <vt:lpwstr>_Toc94255346</vt:lpwstr>
      </vt:variant>
      <vt:variant>
        <vt:i4>1048634</vt:i4>
      </vt:variant>
      <vt:variant>
        <vt:i4>143</vt:i4>
      </vt:variant>
      <vt:variant>
        <vt:i4>0</vt:i4>
      </vt:variant>
      <vt:variant>
        <vt:i4>5</vt:i4>
      </vt:variant>
      <vt:variant>
        <vt:lpwstr/>
      </vt:variant>
      <vt:variant>
        <vt:lpwstr>_Toc94255345</vt:lpwstr>
      </vt:variant>
      <vt:variant>
        <vt:i4>1114170</vt:i4>
      </vt:variant>
      <vt:variant>
        <vt:i4>137</vt:i4>
      </vt:variant>
      <vt:variant>
        <vt:i4>0</vt:i4>
      </vt:variant>
      <vt:variant>
        <vt:i4>5</vt:i4>
      </vt:variant>
      <vt:variant>
        <vt:lpwstr/>
      </vt:variant>
      <vt:variant>
        <vt:lpwstr>_Toc94255344</vt:lpwstr>
      </vt:variant>
      <vt:variant>
        <vt:i4>1441850</vt:i4>
      </vt:variant>
      <vt:variant>
        <vt:i4>131</vt:i4>
      </vt:variant>
      <vt:variant>
        <vt:i4>0</vt:i4>
      </vt:variant>
      <vt:variant>
        <vt:i4>5</vt:i4>
      </vt:variant>
      <vt:variant>
        <vt:lpwstr/>
      </vt:variant>
      <vt:variant>
        <vt:lpwstr>_Toc94255343</vt:lpwstr>
      </vt:variant>
      <vt:variant>
        <vt:i4>1507386</vt:i4>
      </vt:variant>
      <vt:variant>
        <vt:i4>125</vt:i4>
      </vt:variant>
      <vt:variant>
        <vt:i4>0</vt:i4>
      </vt:variant>
      <vt:variant>
        <vt:i4>5</vt:i4>
      </vt:variant>
      <vt:variant>
        <vt:lpwstr/>
      </vt:variant>
      <vt:variant>
        <vt:lpwstr>_Toc94255342</vt:lpwstr>
      </vt:variant>
      <vt:variant>
        <vt:i4>1310778</vt:i4>
      </vt:variant>
      <vt:variant>
        <vt:i4>119</vt:i4>
      </vt:variant>
      <vt:variant>
        <vt:i4>0</vt:i4>
      </vt:variant>
      <vt:variant>
        <vt:i4>5</vt:i4>
      </vt:variant>
      <vt:variant>
        <vt:lpwstr/>
      </vt:variant>
      <vt:variant>
        <vt:lpwstr>_Toc94255341</vt:lpwstr>
      </vt:variant>
      <vt:variant>
        <vt:i4>1376314</vt:i4>
      </vt:variant>
      <vt:variant>
        <vt:i4>113</vt:i4>
      </vt:variant>
      <vt:variant>
        <vt:i4>0</vt:i4>
      </vt:variant>
      <vt:variant>
        <vt:i4>5</vt:i4>
      </vt:variant>
      <vt:variant>
        <vt:lpwstr/>
      </vt:variant>
      <vt:variant>
        <vt:lpwstr>_Toc94255340</vt:lpwstr>
      </vt:variant>
      <vt:variant>
        <vt:i4>1835069</vt:i4>
      </vt:variant>
      <vt:variant>
        <vt:i4>107</vt:i4>
      </vt:variant>
      <vt:variant>
        <vt:i4>0</vt:i4>
      </vt:variant>
      <vt:variant>
        <vt:i4>5</vt:i4>
      </vt:variant>
      <vt:variant>
        <vt:lpwstr/>
      </vt:variant>
      <vt:variant>
        <vt:lpwstr>_Toc94255339</vt:lpwstr>
      </vt:variant>
      <vt:variant>
        <vt:i4>1900605</vt:i4>
      </vt:variant>
      <vt:variant>
        <vt:i4>101</vt:i4>
      </vt:variant>
      <vt:variant>
        <vt:i4>0</vt:i4>
      </vt:variant>
      <vt:variant>
        <vt:i4>5</vt:i4>
      </vt:variant>
      <vt:variant>
        <vt:lpwstr/>
      </vt:variant>
      <vt:variant>
        <vt:lpwstr>_Toc94255338</vt:lpwstr>
      </vt:variant>
      <vt:variant>
        <vt:i4>1179709</vt:i4>
      </vt:variant>
      <vt:variant>
        <vt:i4>95</vt:i4>
      </vt:variant>
      <vt:variant>
        <vt:i4>0</vt:i4>
      </vt:variant>
      <vt:variant>
        <vt:i4>5</vt:i4>
      </vt:variant>
      <vt:variant>
        <vt:lpwstr/>
      </vt:variant>
      <vt:variant>
        <vt:lpwstr>_Toc94255337</vt:lpwstr>
      </vt:variant>
      <vt:variant>
        <vt:i4>1245245</vt:i4>
      </vt:variant>
      <vt:variant>
        <vt:i4>89</vt:i4>
      </vt:variant>
      <vt:variant>
        <vt:i4>0</vt:i4>
      </vt:variant>
      <vt:variant>
        <vt:i4>5</vt:i4>
      </vt:variant>
      <vt:variant>
        <vt:lpwstr/>
      </vt:variant>
      <vt:variant>
        <vt:lpwstr>_Toc94255336</vt:lpwstr>
      </vt:variant>
      <vt:variant>
        <vt:i4>1048637</vt:i4>
      </vt:variant>
      <vt:variant>
        <vt:i4>83</vt:i4>
      </vt:variant>
      <vt:variant>
        <vt:i4>0</vt:i4>
      </vt:variant>
      <vt:variant>
        <vt:i4>5</vt:i4>
      </vt:variant>
      <vt:variant>
        <vt:lpwstr/>
      </vt:variant>
      <vt:variant>
        <vt:lpwstr>_Toc94255335</vt:lpwstr>
      </vt:variant>
      <vt:variant>
        <vt:i4>1114173</vt:i4>
      </vt:variant>
      <vt:variant>
        <vt:i4>77</vt:i4>
      </vt:variant>
      <vt:variant>
        <vt:i4>0</vt:i4>
      </vt:variant>
      <vt:variant>
        <vt:i4>5</vt:i4>
      </vt:variant>
      <vt:variant>
        <vt:lpwstr/>
      </vt:variant>
      <vt:variant>
        <vt:lpwstr>_Toc94255334</vt:lpwstr>
      </vt:variant>
      <vt:variant>
        <vt:i4>1441853</vt:i4>
      </vt:variant>
      <vt:variant>
        <vt:i4>71</vt:i4>
      </vt:variant>
      <vt:variant>
        <vt:i4>0</vt:i4>
      </vt:variant>
      <vt:variant>
        <vt:i4>5</vt:i4>
      </vt:variant>
      <vt:variant>
        <vt:lpwstr/>
      </vt:variant>
      <vt:variant>
        <vt:lpwstr>_Toc94255333</vt:lpwstr>
      </vt:variant>
      <vt:variant>
        <vt:i4>1507389</vt:i4>
      </vt:variant>
      <vt:variant>
        <vt:i4>65</vt:i4>
      </vt:variant>
      <vt:variant>
        <vt:i4>0</vt:i4>
      </vt:variant>
      <vt:variant>
        <vt:i4>5</vt:i4>
      </vt:variant>
      <vt:variant>
        <vt:lpwstr/>
      </vt:variant>
      <vt:variant>
        <vt:lpwstr>_Toc94255332</vt:lpwstr>
      </vt:variant>
      <vt:variant>
        <vt:i4>1310781</vt:i4>
      </vt:variant>
      <vt:variant>
        <vt:i4>59</vt:i4>
      </vt:variant>
      <vt:variant>
        <vt:i4>0</vt:i4>
      </vt:variant>
      <vt:variant>
        <vt:i4>5</vt:i4>
      </vt:variant>
      <vt:variant>
        <vt:lpwstr/>
      </vt:variant>
      <vt:variant>
        <vt:lpwstr>_Toc94255331</vt:lpwstr>
      </vt:variant>
      <vt:variant>
        <vt:i4>1376317</vt:i4>
      </vt:variant>
      <vt:variant>
        <vt:i4>53</vt:i4>
      </vt:variant>
      <vt:variant>
        <vt:i4>0</vt:i4>
      </vt:variant>
      <vt:variant>
        <vt:i4>5</vt:i4>
      </vt:variant>
      <vt:variant>
        <vt:lpwstr/>
      </vt:variant>
      <vt:variant>
        <vt:lpwstr>_Toc94255330</vt:lpwstr>
      </vt:variant>
      <vt:variant>
        <vt:i4>1835068</vt:i4>
      </vt:variant>
      <vt:variant>
        <vt:i4>47</vt:i4>
      </vt:variant>
      <vt:variant>
        <vt:i4>0</vt:i4>
      </vt:variant>
      <vt:variant>
        <vt:i4>5</vt:i4>
      </vt:variant>
      <vt:variant>
        <vt:lpwstr/>
      </vt:variant>
      <vt:variant>
        <vt:lpwstr>_Toc94255329</vt:lpwstr>
      </vt:variant>
      <vt:variant>
        <vt:i4>1900604</vt:i4>
      </vt:variant>
      <vt:variant>
        <vt:i4>41</vt:i4>
      </vt:variant>
      <vt:variant>
        <vt:i4>0</vt:i4>
      </vt:variant>
      <vt:variant>
        <vt:i4>5</vt:i4>
      </vt:variant>
      <vt:variant>
        <vt:lpwstr/>
      </vt:variant>
      <vt:variant>
        <vt:lpwstr>_Toc94255328</vt:lpwstr>
      </vt:variant>
      <vt:variant>
        <vt:i4>1179708</vt:i4>
      </vt:variant>
      <vt:variant>
        <vt:i4>35</vt:i4>
      </vt:variant>
      <vt:variant>
        <vt:i4>0</vt:i4>
      </vt:variant>
      <vt:variant>
        <vt:i4>5</vt:i4>
      </vt:variant>
      <vt:variant>
        <vt:lpwstr/>
      </vt:variant>
      <vt:variant>
        <vt:lpwstr>_Toc94255327</vt:lpwstr>
      </vt:variant>
      <vt:variant>
        <vt:i4>1245244</vt:i4>
      </vt:variant>
      <vt:variant>
        <vt:i4>29</vt:i4>
      </vt:variant>
      <vt:variant>
        <vt:i4>0</vt:i4>
      </vt:variant>
      <vt:variant>
        <vt:i4>5</vt:i4>
      </vt:variant>
      <vt:variant>
        <vt:lpwstr/>
      </vt:variant>
      <vt:variant>
        <vt:lpwstr>_Toc94255326</vt:lpwstr>
      </vt:variant>
      <vt:variant>
        <vt:i4>1048636</vt:i4>
      </vt:variant>
      <vt:variant>
        <vt:i4>23</vt:i4>
      </vt:variant>
      <vt:variant>
        <vt:i4>0</vt:i4>
      </vt:variant>
      <vt:variant>
        <vt:i4>5</vt:i4>
      </vt:variant>
      <vt:variant>
        <vt:lpwstr/>
      </vt:variant>
      <vt:variant>
        <vt:lpwstr>_Toc94255325</vt:lpwstr>
      </vt:variant>
      <vt:variant>
        <vt:i4>1114172</vt:i4>
      </vt:variant>
      <vt:variant>
        <vt:i4>17</vt:i4>
      </vt:variant>
      <vt:variant>
        <vt:i4>0</vt:i4>
      </vt:variant>
      <vt:variant>
        <vt:i4>5</vt:i4>
      </vt:variant>
      <vt:variant>
        <vt:lpwstr/>
      </vt:variant>
      <vt:variant>
        <vt:lpwstr>_Toc94255324</vt:lpwstr>
      </vt:variant>
      <vt:variant>
        <vt:i4>1441852</vt:i4>
      </vt:variant>
      <vt:variant>
        <vt:i4>11</vt:i4>
      </vt:variant>
      <vt:variant>
        <vt:i4>0</vt:i4>
      </vt:variant>
      <vt:variant>
        <vt:i4>5</vt:i4>
      </vt:variant>
      <vt:variant>
        <vt:lpwstr/>
      </vt:variant>
      <vt:variant>
        <vt:lpwstr>_Toc94255323</vt:lpwstr>
      </vt:variant>
      <vt:variant>
        <vt:i4>1507388</vt:i4>
      </vt:variant>
      <vt:variant>
        <vt:i4>5</vt:i4>
      </vt:variant>
      <vt:variant>
        <vt:i4>0</vt:i4>
      </vt:variant>
      <vt:variant>
        <vt:i4>5</vt:i4>
      </vt:variant>
      <vt:variant>
        <vt:lpwstr/>
      </vt:variant>
      <vt:variant>
        <vt:lpwstr>_Toc94255322</vt:lpwstr>
      </vt:variant>
      <vt:variant>
        <vt:i4>3735615</vt:i4>
      </vt:variant>
      <vt:variant>
        <vt:i4>0</vt:i4>
      </vt:variant>
      <vt:variant>
        <vt:i4>0</vt:i4>
      </vt:variant>
      <vt:variant>
        <vt:i4>5</vt:i4>
      </vt:variant>
      <vt:variant>
        <vt:lpwstr>https://www.efsa.europa.eu/en/efsajournal/pub/4658</vt:lpwstr>
      </vt:variant>
      <vt:variant>
        <vt:lpwstr/>
      </vt:variant>
      <vt:variant>
        <vt:i4>7667800</vt:i4>
      </vt:variant>
      <vt:variant>
        <vt:i4>6</vt:i4>
      </vt:variant>
      <vt:variant>
        <vt:i4>0</vt:i4>
      </vt:variant>
      <vt:variant>
        <vt:i4>5</vt:i4>
      </vt:variant>
      <vt:variant>
        <vt:lpwstr>https://www.who.int/docs/default-source/food-safety/publications/chapter5-dose-response.pdf?sfvrsn=32edc2c6_5</vt:lpwstr>
      </vt:variant>
      <vt:variant>
        <vt:lpwstr/>
      </vt:variant>
      <vt:variant>
        <vt:i4>3801214</vt:i4>
      </vt:variant>
      <vt:variant>
        <vt:i4>3</vt:i4>
      </vt:variant>
      <vt:variant>
        <vt:i4>0</vt:i4>
      </vt:variant>
      <vt:variant>
        <vt:i4>5</vt:i4>
      </vt:variant>
      <vt:variant>
        <vt:lpwstr>https://www.efsa.europa.eu/en/events/event/170301-0</vt:lpwstr>
      </vt:variant>
      <vt:variant>
        <vt:lpwstr/>
      </vt:variant>
      <vt:variant>
        <vt:i4>3801214</vt:i4>
      </vt:variant>
      <vt:variant>
        <vt:i4>0</vt:i4>
      </vt:variant>
      <vt:variant>
        <vt:i4>0</vt:i4>
      </vt:variant>
      <vt:variant>
        <vt:i4>5</vt:i4>
      </vt:variant>
      <vt:variant>
        <vt:lpwstr>https://www.efsa.europa.eu/en/events/event/170301-0</vt:lpwstr>
      </vt:variant>
      <vt:variant>
        <vt:lpwstr/>
      </vt:variant>
      <vt:variant>
        <vt:i4>5832716</vt:i4>
      </vt:variant>
      <vt:variant>
        <vt:i4>15</vt:i4>
      </vt:variant>
      <vt:variant>
        <vt:i4>0</vt:i4>
      </vt:variant>
      <vt:variant>
        <vt:i4>5</vt:i4>
      </vt:variant>
      <vt:variant>
        <vt:lpwstr>http://www.efsa.europa.eu/efsajournal</vt:lpwstr>
      </vt:variant>
      <vt:variant>
        <vt:lpwstr/>
      </vt:variant>
      <vt:variant>
        <vt:i4>5832716</vt:i4>
      </vt:variant>
      <vt:variant>
        <vt:i4>6</vt:i4>
      </vt:variant>
      <vt:variant>
        <vt:i4>0</vt:i4>
      </vt:variant>
      <vt:variant>
        <vt:i4>5</vt:i4>
      </vt:variant>
      <vt:variant>
        <vt:lpwstr>http://www.efsa.europa.eu/efsajournal</vt:lpwstr>
      </vt:variant>
      <vt:variant>
        <vt:lpwstr/>
      </vt:variant>
      <vt:variant>
        <vt:i4>5832716</vt:i4>
      </vt:variant>
      <vt:variant>
        <vt:i4>0</vt:i4>
      </vt:variant>
      <vt:variant>
        <vt:i4>0</vt:i4>
      </vt:variant>
      <vt:variant>
        <vt:i4>5</vt:i4>
      </vt:variant>
      <vt:variant>
        <vt:lpwstr>http://www.efsa.europa.eu/efsajournal</vt:lpwstr>
      </vt:variant>
      <vt:variant>
        <vt:lpwstr/>
      </vt:variant>
      <vt:variant>
        <vt:i4>8323160</vt:i4>
      </vt:variant>
      <vt:variant>
        <vt:i4>3</vt:i4>
      </vt:variant>
      <vt:variant>
        <vt:i4>0</vt:i4>
      </vt:variant>
      <vt:variant>
        <vt:i4>5</vt:i4>
      </vt:variant>
      <vt:variant>
        <vt:lpwstr>mailto:Bernard.BOTTEX@efsa.europa.eu</vt:lpwstr>
      </vt:variant>
      <vt:variant>
        <vt:lpwstr/>
      </vt:variant>
      <vt:variant>
        <vt:i4>1048615</vt:i4>
      </vt:variant>
      <vt:variant>
        <vt:i4>0</vt:i4>
      </vt:variant>
      <vt:variant>
        <vt:i4>0</vt:i4>
      </vt:variant>
      <vt:variant>
        <vt:i4>5</vt:i4>
      </vt:variant>
      <vt:variant>
        <vt:lpwstr>mailto:Jose.CORTINASABRAHANTES@efsa.europa.eu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BOTTEX Bernard</dc:creator>
  <cp:keywords/>
  <cp:lastModifiedBy>CORTIÑAS ABRAHANTES José</cp:lastModifiedBy>
  <cp:revision>3</cp:revision>
  <cp:lastPrinted>2021-09-16T02:27:00Z</cp:lastPrinted>
  <dcterms:created xsi:type="dcterms:W3CDTF">2022-02-11T08:12:00Z</dcterms:created>
  <dcterms:modified xsi:type="dcterms:W3CDTF">2022-02-11T08:13:00Z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0x010100ABC1DF2B4ABF1F4D9336EEC48C80F82B</vt:lpwstr>
  </property>
</Properties>
</file>