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AD" w:rsidRPr="00BA05F7" w:rsidRDefault="008C68AD" w:rsidP="00D54081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present dataset contains original </w:t>
      </w:r>
      <w:r w:rsidR="00BA05F7">
        <w:rPr>
          <w:rFonts w:ascii="Arial" w:hAnsi="Arial" w:cs="Arial"/>
          <w:lang w:val="en-US"/>
        </w:rPr>
        <w:t xml:space="preserve">data and metadata published </w:t>
      </w:r>
      <w:proofErr w:type="gramStart"/>
      <w:r w:rsidR="00BA05F7">
        <w:rPr>
          <w:rFonts w:ascii="Arial" w:hAnsi="Arial" w:cs="Arial"/>
          <w:lang w:val="en-US"/>
        </w:rPr>
        <w:t>in :</w:t>
      </w:r>
      <w:proofErr w:type="gramEnd"/>
      <w:r w:rsidR="00BA05F7">
        <w:rPr>
          <w:rFonts w:ascii="Arial" w:hAnsi="Arial" w:cs="Arial"/>
          <w:lang w:val="en-US"/>
        </w:rPr>
        <w:t xml:space="preserve"> </w:t>
      </w:r>
    </w:p>
    <w:p w:rsidR="00C058E5" w:rsidRPr="00BA05F7" w:rsidRDefault="00FC137E" w:rsidP="005C301E">
      <w:pPr>
        <w:spacing w:after="80" w:line="360" w:lineRule="auto"/>
        <w:ind w:left="426" w:hanging="426"/>
        <w:jc w:val="center"/>
        <w:rPr>
          <w:rFonts w:ascii="Arial" w:hAnsi="Arial" w:cs="Arial"/>
          <w:lang w:val="en-US"/>
        </w:rPr>
      </w:pPr>
      <w:proofErr w:type="spellStart"/>
      <w:proofErr w:type="gramStart"/>
      <w:r w:rsidRPr="00BA05F7">
        <w:rPr>
          <w:rFonts w:ascii="Arial" w:hAnsi="Arial" w:cs="Arial"/>
          <w:lang w:val="en-US"/>
        </w:rPr>
        <w:t>bioRxiv</w:t>
      </w:r>
      <w:proofErr w:type="spellEnd"/>
      <w:proofErr w:type="gramEnd"/>
      <w:r w:rsidRPr="00BA05F7">
        <w:rPr>
          <w:rFonts w:ascii="Arial" w:hAnsi="Arial" w:cs="Arial"/>
          <w:lang w:val="en-US"/>
        </w:rPr>
        <w:t>, 202</w:t>
      </w:r>
      <w:r w:rsidR="00BC3686" w:rsidRPr="00BA05F7">
        <w:rPr>
          <w:rFonts w:ascii="Arial" w:hAnsi="Arial" w:cs="Arial"/>
          <w:lang w:val="en-US"/>
        </w:rPr>
        <w:t>3</w:t>
      </w:r>
      <w:r w:rsidRPr="00BA05F7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Pr="00BA05F7">
        <w:rPr>
          <w:rFonts w:ascii="Arial" w:hAnsi="Arial" w:cs="Arial"/>
          <w:lang w:val="en-US"/>
        </w:rPr>
        <w:t>doi</w:t>
      </w:r>
      <w:proofErr w:type="spellEnd"/>
      <w:proofErr w:type="gramEnd"/>
      <w:r w:rsidRPr="00BA05F7">
        <w:rPr>
          <w:rFonts w:ascii="Arial" w:hAnsi="Arial" w:cs="Arial"/>
          <w:lang w:val="en-US"/>
        </w:rPr>
        <w:t xml:space="preserve">: </w:t>
      </w:r>
      <w:r w:rsidR="00BA05F7" w:rsidRPr="00BA05F7">
        <w:rPr>
          <w:rFonts w:ascii="Arial" w:hAnsi="Arial" w:cs="Arial"/>
          <w:bCs/>
          <w:shd w:val="clear" w:color="auto" w:fill="FFFFFF"/>
          <w:lang w:val="en-US"/>
        </w:rPr>
        <w:t>10.5281/zenodo.7623898</w:t>
      </w:r>
    </w:p>
    <w:p w:rsidR="00FC137E" w:rsidRPr="00BA05F7" w:rsidRDefault="00FC137E" w:rsidP="005C301E">
      <w:pPr>
        <w:spacing w:after="80" w:line="360" w:lineRule="auto"/>
        <w:ind w:left="426" w:hanging="426"/>
        <w:jc w:val="center"/>
        <w:rPr>
          <w:rFonts w:ascii="Arial" w:hAnsi="Arial" w:cs="Arial"/>
          <w:i/>
          <w:lang w:val="en-GB"/>
        </w:rPr>
      </w:pPr>
    </w:p>
    <w:p w:rsidR="008C68AD" w:rsidRPr="00BA05F7" w:rsidRDefault="005C301E" w:rsidP="00941CB9">
      <w:pPr>
        <w:spacing w:after="80" w:line="360" w:lineRule="auto"/>
        <w:rPr>
          <w:rFonts w:ascii="Arial" w:hAnsi="Arial" w:cs="Arial"/>
          <w:lang w:val="en-US"/>
        </w:rPr>
      </w:pPr>
      <w:r w:rsidRPr="00BA05F7">
        <w:rPr>
          <w:rFonts w:ascii="Arial" w:hAnsi="Arial" w:cs="Arial"/>
          <w:lang w:val="en-US"/>
        </w:rPr>
        <w:t>“</w:t>
      </w:r>
      <w:r w:rsidR="008C68AD" w:rsidRPr="00BA05F7">
        <w:rPr>
          <w:rFonts w:ascii="Arial" w:hAnsi="Arial" w:cs="Arial"/>
          <w:lang w:val="en-US"/>
        </w:rPr>
        <w:t>Metadata.pdf</w:t>
      </w:r>
      <w:r w:rsidRPr="00BA05F7">
        <w:rPr>
          <w:rFonts w:ascii="Arial" w:hAnsi="Arial" w:cs="Arial"/>
          <w:lang w:val="en-US"/>
        </w:rPr>
        <w:t>”</w:t>
      </w:r>
      <w:r w:rsidR="008C68AD" w:rsidRPr="00BA05F7">
        <w:rPr>
          <w:rFonts w:ascii="Arial" w:hAnsi="Arial" w:cs="Arial"/>
          <w:lang w:val="en-US"/>
        </w:rPr>
        <w:t xml:space="preserve"> contains values of the </w:t>
      </w:r>
      <w:r w:rsidR="00BC3686" w:rsidRPr="00BA05F7">
        <w:rPr>
          <w:rFonts w:ascii="Arial" w:hAnsi="Arial" w:cs="Arial"/>
          <w:lang w:val="en-US"/>
        </w:rPr>
        <w:t>analysis for calcium imaging experiments</w:t>
      </w:r>
      <w:r w:rsidRPr="00BA05F7">
        <w:rPr>
          <w:rFonts w:ascii="Arial" w:hAnsi="Arial" w:cs="Arial"/>
          <w:lang w:val="en-US"/>
        </w:rPr>
        <w:t>.</w:t>
      </w:r>
      <w:r w:rsidR="008C68AD" w:rsidRPr="00BA05F7">
        <w:rPr>
          <w:rFonts w:ascii="Arial" w:hAnsi="Arial" w:cs="Arial"/>
          <w:lang w:val="en-US"/>
        </w:rPr>
        <w:t xml:space="preserve"> </w:t>
      </w:r>
    </w:p>
    <w:p w:rsidR="008C68AD" w:rsidRPr="00BA05F7" w:rsidRDefault="008C68AD" w:rsidP="00D54081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</w:p>
    <w:p w:rsidR="008C68AD" w:rsidRDefault="008C68AD" w:rsidP="005C301E">
      <w:pPr>
        <w:spacing w:after="80" w:line="360" w:lineRule="auto"/>
        <w:ind w:left="426" w:hanging="42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Data</w:t>
      </w:r>
      <w:r w:rsidR="005C301E">
        <w:rPr>
          <w:rFonts w:ascii="Arial" w:hAnsi="Arial" w:cs="Arial"/>
          <w:lang w:val="en-US"/>
        </w:rPr>
        <w:t xml:space="preserve"> are contained in </w:t>
      </w:r>
      <w:proofErr w:type="spellStart"/>
      <w:r w:rsidR="00252016">
        <w:rPr>
          <w:rFonts w:ascii="Arial" w:hAnsi="Arial" w:cs="Arial"/>
          <w:lang w:val="en-US"/>
        </w:rPr>
        <w:t>matlab</w:t>
      </w:r>
      <w:proofErr w:type="spellEnd"/>
      <w:r w:rsidR="00252016">
        <w:rPr>
          <w:rFonts w:ascii="Arial" w:hAnsi="Arial" w:cs="Arial"/>
          <w:lang w:val="en-US"/>
        </w:rPr>
        <w:t xml:space="preserve"> files (.mat)</w:t>
      </w:r>
      <w:r w:rsidR="005C301E">
        <w:rPr>
          <w:rFonts w:ascii="Arial" w:hAnsi="Arial" w:cs="Arial"/>
          <w:lang w:val="en-US"/>
        </w:rPr>
        <w:t xml:space="preserve"> named with the corresponding Figure</w:t>
      </w:r>
      <w:r w:rsidR="00252016">
        <w:rPr>
          <w:rFonts w:ascii="Arial" w:hAnsi="Arial" w:cs="Arial"/>
          <w:lang w:val="en-US"/>
        </w:rPr>
        <w:t xml:space="preserve"> (with panel or blocker when different experiments are presented in the same figure)</w:t>
      </w:r>
      <w:r w:rsidR="005C301E">
        <w:rPr>
          <w:rFonts w:ascii="Arial" w:hAnsi="Arial" w:cs="Arial"/>
          <w:lang w:val="en-US"/>
        </w:rPr>
        <w:t xml:space="preserve">. </w:t>
      </w:r>
      <w:r w:rsidR="00252016">
        <w:rPr>
          <w:rFonts w:ascii="Arial" w:hAnsi="Arial" w:cs="Arial"/>
          <w:lang w:val="en-US"/>
        </w:rPr>
        <w:t xml:space="preserve">Inside the files, each cell is a </w:t>
      </w:r>
      <w:r w:rsidR="00BC3686">
        <w:rPr>
          <w:rFonts w:ascii="Arial" w:hAnsi="Arial" w:cs="Arial"/>
          <w:lang w:val="en-US"/>
        </w:rPr>
        <w:t xml:space="preserve">NX5 array or a NX7 array where each column represents: </w:t>
      </w:r>
    </w:p>
    <w:p w:rsidR="00BC3686" w:rsidRDefault="00BC3686" w:rsidP="0070387C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In case of Figure1A and Figure7:</w:t>
      </w:r>
    </w:p>
    <w:p w:rsidR="0070387C" w:rsidRPr="0070387C" w:rsidRDefault="00BC3686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time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</w:t>
      </w:r>
      <w:r w:rsidR="0070387C" w:rsidRPr="0070387C">
        <w:rPr>
          <w:rFonts w:ascii="Arial" w:hAnsi="Arial" w:cs="Arial"/>
          <w:sz w:val="20"/>
          <w:szCs w:val="20"/>
          <w:lang w:val="en-US"/>
        </w:rPr>
        <w:t>.</w:t>
      </w:r>
      <w:proofErr w:type="spellEnd"/>
    </w:p>
    <w:p w:rsidR="0070387C" w:rsidRDefault="00BC3686" w:rsidP="0070387C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Column2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 w:rsidR="002A6971" w:rsidRPr="0070387C">
        <w:rPr>
          <w:rFonts w:ascii="Arial" w:hAnsi="Arial" w:cs="Arial"/>
          <w:sz w:val="20"/>
          <w:szCs w:val="20"/>
          <w:lang w:val="en-US"/>
        </w:rPr>
        <w:t xml:space="preserve">somatic </w:t>
      </w:r>
      <w:r w:rsidR="002A6971">
        <w:rPr>
          <w:rFonts w:ascii="Arial" w:hAnsi="Arial" w:cs="Arial"/>
          <w:sz w:val="20"/>
          <w:szCs w:val="20"/>
          <w:lang w:val="en-US"/>
        </w:rPr>
        <w:t>membrane</w:t>
      </w:r>
      <w:r>
        <w:rPr>
          <w:rFonts w:ascii="Arial" w:hAnsi="Arial" w:cs="Arial"/>
          <w:sz w:val="20"/>
          <w:szCs w:val="20"/>
          <w:lang w:val="en-US"/>
        </w:rPr>
        <w:t xml:space="preserve"> (action)</w:t>
      </w:r>
      <w:r w:rsidR="002A6971" w:rsidRPr="0070387C">
        <w:rPr>
          <w:rFonts w:ascii="Arial" w:hAnsi="Arial" w:cs="Arial"/>
          <w:sz w:val="20"/>
          <w:szCs w:val="20"/>
          <w:lang w:val="en-US"/>
        </w:rPr>
        <w:t xml:space="preserve"> potential</w:t>
      </w:r>
      <w:r w:rsidR="002A6971">
        <w:rPr>
          <w:rFonts w:ascii="Arial" w:hAnsi="Arial" w:cs="Arial"/>
          <w:sz w:val="20"/>
          <w:szCs w:val="20"/>
          <w:lang w:val="en-US"/>
        </w:rPr>
        <w:t xml:space="preserve"> (20 kHz)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="0070387C"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="0070387C"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Column3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(action) </w:t>
      </w:r>
      <w:r w:rsidRPr="0070387C">
        <w:rPr>
          <w:rFonts w:ascii="Arial" w:hAnsi="Arial" w:cs="Arial"/>
          <w:sz w:val="20"/>
          <w:szCs w:val="20"/>
          <w:lang w:val="en-US"/>
        </w:rPr>
        <w:t>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a blocker.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Column4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either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membrane potential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Column5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either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membrane potential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a blocker.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In case of Figure2 and Figure3:</w:t>
      </w:r>
    </w:p>
    <w:p w:rsidR="00BC3686" w:rsidRPr="0070387C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time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  <w:proofErr w:type="spellEnd"/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Column2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 (action)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Column3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(action) </w:t>
      </w:r>
      <w:r w:rsidRPr="0070387C">
        <w:rPr>
          <w:rFonts w:ascii="Arial" w:hAnsi="Arial" w:cs="Arial"/>
          <w:sz w:val="20"/>
          <w:szCs w:val="20"/>
          <w:lang w:val="en-US"/>
        </w:rPr>
        <w:t>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</w:t>
      </w:r>
      <w:r>
        <w:rPr>
          <w:rFonts w:ascii="Arial" w:hAnsi="Arial" w:cs="Arial"/>
          <w:sz w:val="20"/>
          <w:szCs w:val="20"/>
          <w:lang w:val="en-US"/>
        </w:rPr>
        <w:t>first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blocker.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Column4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Column5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a blocker.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In case of Figure4:</w:t>
      </w:r>
    </w:p>
    <w:p w:rsidR="00BC3686" w:rsidRPr="0070387C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time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  <w:proofErr w:type="spellEnd"/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Column2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 (action)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P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Column3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(action) </w:t>
      </w:r>
      <w:r w:rsidRPr="0070387C">
        <w:rPr>
          <w:rFonts w:ascii="Arial" w:hAnsi="Arial" w:cs="Arial"/>
          <w:sz w:val="20"/>
          <w:szCs w:val="20"/>
          <w:lang w:val="en-US"/>
        </w:rPr>
        <w:t>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iberiotoxin</w:t>
      </w:r>
      <w:proofErr w:type="spellEnd"/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P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</w:t>
      </w:r>
      <w:r>
        <w:rPr>
          <w:rFonts w:ascii="Arial" w:hAnsi="Arial" w:cs="Arial"/>
          <w:b/>
          <w:sz w:val="20"/>
          <w:szCs w:val="20"/>
          <w:lang w:val="en-US"/>
        </w:rPr>
        <w:t>4</w:t>
      </w:r>
      <w:r w:rsidRPr="00BC3686">
        <w:rPr>
          <w:rFonts w:ascii="Arial" w:hAnsi="Arial" w:cs="Arial"/>
          <w:sz w:val="20"/>
          <w:szCs w:val="20"/>
          <w:lang w:val="en-US"/>
        </w:rPr>
        <w:t xml:space="preserve">: somatic membrane (action) potential (20 kHz) – after delivery of </w:t>
      </w:r>
      <w:proofErr w:type="spellStart"/>
      <w:r w:rsidRPr="00BC3686">
        <w:rPr>
          <w:rFonts w:ascii="Arial" w:hAnsi="Arial" w:cs="Arial"/>
          <w:sz w:val="20"/>
          <w:szCs w:val="20"/>
          <w:lang w:val="en-US"/>
        </w:rPr>
        <w:t>iberiotoxin</w:t>
      </w:r>
      <w:proofErr w:type="spellEnd"/>
      <w:r w:rsidRPr="00BC3686">
        <w:rPr>
          <w:rFonts w:ascii="Arial" w:hAnsi="Arial" w:cs="Arial"/>
          <w:sz w:val="20"/>
          <w:szCs w:val="20"/>
          <w:lang w:val="en-US"/>
        </w:rPr>
        <w:t>+</w:t>
      </w:r>
      <w:r w:rsidRPr="00BC3686">
        <w:rPr>
          <w:rFonts w:ascii="Arial" w:hAnsi="Arial" w:cs="Arial"/>
          <w:sz w:val="20"/>
          <w:szCs w:val="20"/>
          <w:lang w:val="el-GR"/>
        </w:rPr>
        <w:t>ω</w:t>
      </w:r>
      <w:r w:rsidRPr="00BC3686">
        <w:rPr>
          <w:rFonts w:ascii="Arial" w:hAnsi="Arial" w:cs="Arial"/>
          <w:sz w:val="20"/>
          <w:szCs w:val="20"/>
          <w:lang w:val="en-US"/>
        </w:rPr>
        <w:t>-</w:t>
      </w:r>
      <w:proofErr w:type="spellStart"/>
      <w:r w:rsidRPr="00BC3686">
        <w:rPr>
          <w:rFonts w:ascii="Arial" w:hAnsi="Arial" w:cs="Arial"/>
          <w:sz w:val="20"/>
          <w:szCs w:val="20"/>
          <w:lang w:val="en-US"/>
        </w:rPr>
        <w:t>conotoxin</w:t>
      </w:r>
      <w:proofErr w:type="spellEnd"/>
      <w:r w:rsidRPr="00BC3686">
        <w:rPr>
          <w:rFonts w:ascii="Arial" w:hAnsi="Arial" w:cs="Arial"/>
          <w:sz w:val="20"/>
          <w:szCs w:val="20"/>
          <w:lang w:val="en-US"/>
        </w:rPr>
        <w:t>-GVIA.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Column5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P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Column6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iberiotoxin</w:t>
      </w:r>
      <w:proofErr w:type="spellEnd"/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P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Column7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iberiotoxin</w:t>
      </w:r>
      <w:proofErr w:type="spellEnd"/>
      <w:r w:rsidRPr="00BC3686">
        <w:rPr>
          <w:rFonts w:ascii="Arial" w:hAnsi="Arial" w:cs="Arial"/>
          <w:sz w:val="20"/>
          <w:szCs w:val="20"/>
          <w:lang w:val="en-US"/>
        </w:rPr>
        <w:t>+</w:t>
      </w:r>
      <w:r w:rsidRPr="00BC3686">
        <w:rPr>
          <w:rFonts w:ascii="Arial" w:hAnsi="Arial" w:cs="Arial"/>
          <w:sz w:val="20"/>
          <w:szCs w:val="20"/>
          <w:lang w:val="el-GR"/>
        </w:rPr>
        <w:t>ω</w:t>
      </w:r>
      <w:r w:rsidRPr="00BC3686">
        <w:rPr>
          <w:rFonts w:ascii="Arial" w:hAnsi="Arial" w:cs="Arial"/>
          <w:sz w:val="20"/>
          <w:szCs w:val="20"/>
          <w:lang w:val="en-US"/>
        </w:rPr>
        <w:t>-</w:t>
      </w:r>
      <w:proofErr w:type="spellStart"/>
      <w:r w:rsidRPr="00BC3686">
        <w:rPr>
          <w:rFonts w:ascii="Arial" w:hAnsi="Arial" w:cs="Arial"/>
          <w:sz w:val="20"/>
          <w:szCs w:val="20"/>
          <w:lang w:val="en-US"/>
        </w:rPr>
        <w:t>conotoxin</w:t>
      </w:r>
      <w:proofErr w:type="spellEnd"/>
      <w:r w:rsidRPr="00BC3686">
        <w:rPr>
          <w:rFonts w:ascii="Arial" w:hAnsi="Arial" w:cs="Arial"/>
          <w:sz w:val="20"/>
          <w:szCs w:val="20"/>
          <w:lang w:val="en-US"/>
        </w:rPr>
        <w:t>-GVIA.</w:t>
      </w:r>
    </w:p>
    <w:p w:rsidR="00BC3686" w:rsidRDefault="00BC3686" w:rsidP="00BC3686">
      <w:pPr>
        <w:spacing w:after="8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In case of NX7 arrays:</w:t>
      </w:r>
    </w:p>
    <w:p w:rsidR="00BC3686" w:rsidRPr="0070387C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 w:rsidRPr="00BC3686">
        <w:rPr>
          <w:rFonts w:ascii="Arial" w:hAnsi="Arial" w:cs="Arial"/>
          <w:b/>
          <w:sz w:val="20"/>
          <w:szCs w:val="20"/>
          <w:lang w:val="en-US"/>
        </w:rPr>
        <w:t>Column1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time in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  <w:proofErr w:type="spellEnd"/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Column2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 (action)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Column3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somatic </w:t>
      </w:r>
      <w:r>
        <w:rPr>
          <w:rFonts w:ascii="Arial" w:hAnsi="Arial" w:cs="Arial"/>
          <w:sz w:val="20"/>
          <w:szCs w:val="20"/>
          <w:lang w:val="en-US"/>
        </w:rPr>
        <w:t>membrane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(action) </w:t>
      </w:r>
      <w:r w:rsidRPr="0070387C">
        <w:rPr>
          <w:rFonts w:ascii="Arial" w:hAnsi="Arial" w:cs="Arial"/>
          <w:sz w:val="20"/>
          <w:szCs w:val="20"/>
          <w:lang w:val="en-US"/>
        </w:rPr>
        <w:t>potential</w:t>
      </w:r>
      <w:r>
        <w:rPr>
          <w:rFonts w:ascii="Arial" w:hAnsi="Arial" w:cs="Arial"/>
          <w:sz w:val="20"/>
          <w:szCs w:val="20"/>
          <w:lang w:val="en-US"/>
        </w:rPr>
        <w:t xml:space="preserve">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</w:t>
      </w:r>
      <w:r>
        <w:rPr>
          <w:rFonts w:ascii="Arial" w:hAnsi="Arial" w:cs="Arial"/>
          <w:sz w:val="20"/>
          <w:szCs w:val="20"/>
          <w:lang w:val="en-US"/>
        </w:rPr>
        <w:t>first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blocker.</w:t>
      </w:r>
    </w:p>
    <w:p w:rsidR="00BC3686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Column4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either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membrane potential or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 control condition</w:t>
      </w:r>
      <w:r w:rsidRPr="0070387C">
        <w:rPr>
          <w:rFonts w:ascii="Arial" w:hAnsi="Arial" w:cs="Arial"/>
          <w:sz w:val="20"/>
          <w:szCs w:val="20"/>
          <w:lang w:val="en-US"/>
        </w:rPr>
        <w:t>.</w:t>
      </w:r>
    </w:p>
    <w:p w:rsidR="00BC3686" w:rsidRPr="0070387C" w:rsidRDefault="00BC3686" w:rsidP="00BC3686">
      <w:pPr>
        <w:spacing w:after="80" w:line="240" w:lineRule="auto"/>
        <w:ind w:left="425" w:hanging="42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Column5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either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membrane potential or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dendritic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calcium fluorescence (20 kHz)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70387C">
        <w:rPr>
          <w:rFonts w:ascii="Arial" w:hAnsi="Arial" w:cs="Arial"/>
          <w:sz w:val="20"/>
          <w:szCs w:val="20"/>
          <w:lang w:val="en-US"/>
        </w:rPr>
        <w:t xml:space="preserve"> after delivery of a blocker.</w:t>
      </w:r>
    </w:p>
    <w:p w:rsidR="003B708D" w:rsidRDefault="003B708D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A05F7" w:rsidRDefault="00164328" w:rsidP="00164328">
      <w:pPr>
        <w:spacing w:after="0" w:line="360" w:lineRule="auto"/>
        <w:jc w:val="both"/>
        <w:rPr>
          <w:rFonts w:ascii="Arial" w:eastAsia="Times New Roman" w:hAnsi="Arial" w:cs="Arial"/>
          <w:lang w:val="en-US" w:eastAsia="fr-FR"/>
        </w:rPr>
      </w:pPr>
      <w:r>
        <w:rPr>
          <w:rFonts w:ascii="Arial" w:hAnsi="Arial" w:cs="Arial"/>
          <w:lang w:val="en-US"/>
        </w:rPr>
        <w:t xml:space="preserve">For all details regarding this work, refer to the pre-print version of the report freely available at </w:t>
      </w:r>
      <w:proofErr w:type="spellStart"/>
      <w:r>
        <w:rPr>
          <w:rFonts w:ascii="Arial" w:eastAsia="Times New Roman" w:hAnsi="Arial" w:cs="Arial"/>
          <w:lang w:val="en-US" w:eastAsia="fr-FR"/>
        </w:rPr>
        <w:t>bioRxiv</w:t>
      </w:r>
      <w:proofErr w:type="spellEnd"/>
      <w:r>
        <w:rPr>
          <w:rFonts w:ascii="Arial" w:eastAsia="Times New Roman" w:hAnsi="Arial" w:cs="Arial"/>
          <w:lang w:val="en-US" w:eastAsia="fr-FR"/>
        </w:rPr>
        <w:t>, 202</w:t>
      </w:r>
      <w:r w:rsidR="00BA05F7">
        <w:rPr>
          <w:rFonts w:ascii="Arial" w:eastAsia="Times New Roman" w:hAnsi="Arial" w:cs="Arial"/>
          <w:lang w:val="en-US" w:eastAsia="fr-FR"/>
        </w:rPr>
        <w:t>3</w:t>
      </w:r>
      <w:r>
        <w:rPr>
          <w:rFonts w:ascii="Arial" w:eastAsia="Times New Roman" w:hAnsi="Arial" w:cs="Arial"/>
          <w:lang w:val="en-US" w:eastAsia="fr-FR"/>
        </w:rPr>
        <w:t xml:space="preserve">. </w:t>
      </w:r>
      <w:hyperlink r:id="rId5" w:history="1">
        <w:r w:rsidR="00BA05F7" w:rsidRPr="00E93F15">
          <w:rPr>
            <w:rStyle w:val="Lienhypertexte"/>
            <w:rFonts w:ascii="Arial" w:eastAsia="Times New Roman" w:hAnsi="Arial" w:cs="Arial"/>
            <w:lang w:val="en-US" w:eastAsia="fr-FR"/>
          </w:rPr>
          <w:t>https://www.biorxiv.org/content/10.1101/2023.10.26.564136v1</w:t>
        </w:r>
      </w:hyperlink>
    </w:p>
    <w:p w:rsidR="00164328" w:rsidRPr="003B708D" w:rsidRDefault="00164328" w:rsidP="00164328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sectPr w:rsidR="00164328" w:rsidRPr="003B708D" w:rsidSect="004964DC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452"/>
    <w:multiLevelType w:val="hybridMultilevel"/>
    <w:tmpl w:val="A6D84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6AB"/>
    <w:rsid w:val="00012723"/>
    <w:rsid w:val="000A73AC"/>
    <w:rsid w:val="000B1B6B"/>
    <w:rsid w:val="000C0760"/>
    <w:rsid w:val="000C753F"/>
    <w:rsid w:val="000E2FEA"/>
    <w:rsid w:val="00121088"/>
    <w:rsid w:val="001631DA"/>
    <w:rsid w:val="00164328"/>
    <w:rsid w:val="001B18D6"/>
    <w:rsid w:val="001B5970"/>
    <w:rsid w:val="001B7AF3"/>
    <w:rsid w:val="001D6A50"/>
    <w:rsid w:val="001F3DCA"/>
    <w:rsid w:val="00204034"/>
    <w:rsid w:val="002079F7"/>
    <w:rsid w:val="00215AF1"/>
    <w:rsid w:val="0024109F"/>
    <w:rsid w:val="00252016"/>
    <w:rsid w:val="002744EC"/>
    <w:rsid w:val="0027470C"/>
    <w:rsid w:val="002801E5"/>
    <w:rsid w:val="002818FD"/>
    <w:rsid w:val="0028787B"/>
    <w:rsid w:val="002A4A16"/>
    <w:rsid w:val="002A6971"/>
    <w:rsid w:val="002B60A2"/>
    <w:rsid w:val="0031392C"/>
    <w:rsid w:val="00347197"/>
    <w:rsid w:val="003622CE"/>
    <w:rsid w:val="0036522D"/>
    <w:rsid w:val="003717F5"/>
    <w:rsid w:val="003A1D85"/>
    <w:rsid w:val="003B708D"/>
    <w:rsid w:val="003D0CEC"/>
    <w:rsid w:val="00413737"/>
    <w:rsid w:val="0044665C"/>
    <w:rsid w:val="004751EE"/>
    <w:rsid w:val="004964DC"/>
    <w:rsid w:val="004B7722"/>
    <w:rsid w:val="004C56AB"/>
    <w:rsid w:val="004D2F3B"/>
    <w:rsid w:val="004D7971"/>
    <w:rsid w:val="004F22B0"/>
    <w:rsid w:val="00521098"/>
    <w:rsid w:val="0053131F"/>
    <w:rsid w:val="005343F9"/>
    <w:rsid w:val="0055047D"/>
    <w:rsid w:val="0055229E"/>
    <w:rsid w:val="005611ED"/>
    <w:rsid w:val="00574466"/>
    <w:rsid w:val="00581899"/>
    <w:rsid w:val="00591C92"/>
    <w:rsid w:val="005B6CFD"/>
    <w:rsid w:val="005C301E"/>
    <w:rsid w:val="005E04A2"/>
    <w:rsid w:val="005E1C07"/>
    <w:rsid w:val="005F466E"/>
    <w:rsid w:val="0062726B"/>
    <w:rsid w:val="00671D64"/>
    <w:rsid w:val="00672198"/>
    <w:rsid w:val="00690EDD"/>
    <w:rsid w:val="006A7428"/>
    <w:rsid w:val="006D3535"/>
    <w:rsid w:val="006E442F"/>
    <w:rsid w:val="00702E5F"/>
    <w:rsid w:val="0070387C"/>
    <w:rsid w:val="007E4DB5"/>
    <w:rsid w:val="0080077C"/>
    <w:rsid w:val="00836116"/>
    <w:rsid w:val="00895AF6"/>
    <w:rsid w:val="008C68AD"/>
    <w:rsid w:val="008D4DB4"/>
    <w:rsid w:val="0093711A"/>
    <w:rsid w:val="00941CB9"/>
    <w:rsid w:val="0095586B"/>
    <w:rsid w:val="00982F42"/>
    <w:rsid w:val="009A361F"/>
    <w:rsid w:val="009F1E6A"/>
    <w:rsid w:val="00A01C67"/>
    <w:rsid w:val="00A35C44"/>
    <w:rsid w:val="00A60382"/>
    <w:rsid w:val="00A736E7"/>
    <w:rsid w:val="00AC030D"/>
    <w:rsid w:val="00AF7DB8"/>
    <w:rsid w:val="00B00A82"/>
    <w:rsid w:val="00B25061"/>
    <w:rsid w:val="00B42976"/>
    <w:rsid w:val="00B921F0"/>
    <w:rsid w:val="00BA05F7"/>
    <w:rsid w:val="00BA78DD"/>
    <w:rsid w:val="00BA78F5"/>
    <w:rsid w:val="00BC3686"/>
    <w:rsid w:val="00BC7FA9"/>
    <w:rsid w:val="00BF7C93"/>
    <w:rsid w:val="00C058E5"/>
    <w:rsid w:val="00C10E0D"/>
    <w:rsid w:val="00C17695"/>
    <w:rsid w:val="00C503F2"/>
    <w:rsid w:val="00C64008"/>
    <w:rsid w:val="00D54081"/>
    <w:rsid w:val="00D81511"/>
    <w:rsid w:val="00DB1BF7"/>
    <w:rsid w:val="00DC53B1"/>
    <w:rsid w:val="00DC73F2"/>
    <w:rsid w:val="00DC7DDE"/>
    <w:rsid w:val="00E057B3"/>
    <w:rsid w:val="00E0697B"/>
    <w:rsid w:val="00EC2923"/>
    <w:rsid w:val="00ED0A12"/>
    <w:rsid w:val="00F15C34"/>
    <w:rsid w:val="00F1699F"/>
    <w:rsid w:val="00F250B6"/>
    <w:rsid w:val="00F6390D"/>
    <w:rsid w:val="00F76745"/>
    <w:rsid w:val="00F8320B"/>
    <w:rsid w:val="00FC137E"/>
    <w:rsid w:val="00FD082D"/>
    <w:rsid w:val="00FD1007"/>
    <w:rsid w:val="00FE774E"/>
    <w:rsid w:val="00FF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DB8"/>
  </w:style>
  <w:style w:type="paragraph" w:styleId="Titre1">
    <w:name w:val="heading 1"/>
    <w:basedOn w:val="Normal"/>
    <w:link w:val="Titre1Car"/>
    <w:uiPriority w:val="9"/>
    <w:qFormat/>
    <w:rsid w:val="00D540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708D"/>
    <w:rPr>
      <w:color w:val="0000FF"/>
      <w:u w:val="single"/>
    </w:rPr>
  </w:style>
  <w:style w:type="character" w:customStyle="1" w:styleId="docsum-authors">
    <w:name w:val="docsum-authors"/>
    <w:basedOn w:val="Policepardfaut"/>
    <w:rsid w:val="003B708D"/>
  </w:style>
  <w:style w:type="character" w:customStyle="1" w:styleId="docsum-journal-citation">
    <w:name w:val="docsum-journal-citation"/>
    <w:basedOn w:val="Policepardfaut"/>
    <w:rsid w:val="003B708D"/>
  </w:style>
  <w:style w:type="paragraph" w:customStyle="1" w:styleId="Titre10">
    <w:name w:val="Titre1"/>
    <w:basedOn w:val="Normal"/>
    <w:rsid w:val="002A4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jrnl">
    <w:name w:val="jrnl"/>
    <w:basedOn w:val="Policepardfaut"/>
    <w:rsid w:val="002A4A16"/>
  </w:style>
  <w:style w:type="character" w:customStyle="1" w:styleId="Titre1Car">
    <w:name w:val="Titre 1 Car"/>
    <w:basedOn w:val="Policepardfaut"/>
    <w:link w:val="Titre1"/>
    <w:uiPriority w:val="9"/>
    <w:rsid w:val="00D5408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desc">
    <w:name w:val="desc"/>
    <w:basedOn w:val="Normal"/>
    <w:rsid w:val="000C0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tails">
    <w:name w:val="details"/>
    <w:basedOn w:val="Normal"/>
    <w:rsid w:val="00521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abs-docsum-authors">
    <w:name w:val="labs-docsum-authors"/>
    <w:basedOn w:val="Policepardfaut"/>
    <w:rsid w:val="00521098"/>
  </w:style>
  <w:style w:type="character" w:customStyle="1" w:styleId="labs-docsum-journal-citation">
    <w:name w:val="labs-docsum-journal-citation"/>
    <w:basedOn w:val="Policepardfaut"/>
    <w:rsid w:val="00521098"/>
  </w:style>
  <w:style w:type="character" w:customStyle="1" w:styleId="src1">
    <w:name w:val="src1"/>
    <w:basedOn w:val="Policepardfaut"/>
    <w:rsid w:val="00BF7C93"/>
    <w:rPr>
      <w:vanish w:val="0"/>
      <w:webHidden w:val="0"/>
      <w:specVanish w:val="0"/>
    </w:rPr>
  </w:style>
  <w:style w:type="character" w:customStyle="1" w:styleId="citation-part">
    <w:name w:val="citation-part"/>
    <w:basedOn w:val="Policepardfaut"/>
    <w:rsid w:val="00FD1007"/>
  </w:style>
  <w:style w:type="character" w:customStyle="1" w:styleId="docsum-pmid">
    <w:name w:val="docsum-pmid"/>
    <w:basedOn w:val="Policepardfaut"/>
    <w:rsid w:val="00FD1007"/>
  </w:style>
  <w:style w:type="paragraph" w:styleId="Paragraphedeliste">
    <w:name w:val="List Paragraph"/>
    <w:basedOn w:val="Normal"/>
    <w:uiPriority w:val="34"/>
    <w:qFormat/>
    <w:rsid w:val="002A6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orxiv.org/content/10.1101/2023.10.26.564136v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3808</TotalTime>
  <Pages>1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Marco</cp:lastModifiedBy>
  <cp:revision>37</cp:revision>
  <dcterms:created xsi:type="dcterms:W3CDTF">2021-01-19T07:55:00Z</dcterms:created>
  <dcterms:modified xsi:type="dcterms:W3CDTF">2023-12-01T12:07:00Z</dcterms:modified>
</cp:coreProperties>
</file>