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BDBE" w14:textId="77777777" w:rsidR="00E56282" w:rsidRPr="005202AA" w:rsidRDefault="00E56282" w:rsidP="00E56282">
      <w:pPr>
        <w:pStyle w:val="DocHead"/>
        <w:ind w:left="-119" w:right="-136" w:firstLine="119"/>
        <w:jc w:val="both"/>
        <w:rPr>
          <w:sz w:val="20"/>
          <w:lang w:val="fr-FR"/>
        </w:rPr>
      </w:pPr>
      <w:r w:rsidRPr="005202AA">
        <w:rPr>
          <w:sz w:val="20"/>
          <w:lang w:val="fr-FR"/>
        </w:rPr>
        <w:t>Article</w:t>
      </w:r>
      <w:r w:rsidR="00365436" w:rsidRPr="005202AA">
        <w:rPr>
          <w:sz w:val="20"/>
          <w:lang w:val="fr-FR"/>
        </w:rPr>
        <w:t xml:space="preserve"> </w:t>
      </w:r>
      <w:r w:rsidR="00E21E5E" w:rsidRPr="005202AA">
        <w:rPr>
          <w:sz w:val="20"/>
          <w:lang w:val="fr-FR"/>
        </w:rPr>
        <w:t>Original</w:t>
      </w:r>
    </w:p>
    <w:p w14:paraId="3F17DD94" w14:textId="57C5FB71" w:rsidR="00D0435F" w:rsidRPr="005202AA" w:rsidRDefault="005202AA" w:rsidP="00D0435F">
      <w:pPr>
        <w:autoSpaceDE w:val="0"/>
        <w:autoSpaceDN w:val="0"/>
        <w:adjustRightInd w:val="0"/>
        <w:contextualSpacing/>
        <w:jc w:val="both"/>
        <w:rPr>
          <w:rFonts w:asciiTheme="majorBidi" w:hAnsiTheme="majorBidi" w:cstheme="majorBidi"/>
          <w:b/>
          <w:bCs/>
          <w:color w:val="000000" w:themeColor="text1"/>
          <w:sz w:val="20"/>
          <w:szCs w:val="20"/>
          <w:lang w:val="fr-FR"/>
        </w:rPr>
      </w:pPr>
      <w:r w:rsidRPr="005202AA">
        <w:rPr>
          <w:rFonts w:asciiTheme="majorBidi" w:hAnsiTheme="majorBidi" w:cstheme="majorBidi"/>
          <w:b/>
          <w:bCs/>
          <w:color w:val="000000" w:themeColor="text1"/>
          <w:sz w:val="20"/>
          <w:szCs w:val="20"/>
          <w:lang w:val="fr-FR"/>
        </w:rPr>
        <w:t>F</w:t>
      </w:r>
      <w:r w:rsidR="00D0435F" w:rsidRPr="005202AA">
        <w:rPr>
          <w:rFonts w:asciiTheme="majorBidi" w:hAnsiTheme="majorBidi" w:cstheme="majorBidi"/>
          <w:b/>
          <w:bCs/>
          <w:color w:val="000000" w:themeColor="text1"/>
          <w:sz w:val="20"/>
          <w:szCs w:val="20"/>
          <w:lang w:val="fr-FR"/>
        </w:rPr>
        <w:t>acteurs prédictifs d’élévation de la vitesse de l’onde de pouls (VOP) chez les patients à risque non élevé</w:t>
      </w:r>
    </w:p>
    <w:p w14:paraId="75ED67AD" w14:textId="77777777" w:rsidR="00392667" w:rsidRPr="005202AA" w:rsidRDefault="00392667" w:rsidP="00D0435F">
      <w:pPr>
        <w:autoSpaceDE w:val="0"/>
        <w:autoSpaceDN w:val="0"/>
        <w:adjustRightInd w:val="0"/>
        <w:contextualSpacing/>
        <w:jc w:val="both"/>
        <w:rPr>
          <w:rFonts w:asciiTheme="majorBidi" w:hAnsiTheme="majorBidi" w:cstheme="majorBidi"/>
          <w:b/>
          <w:bCs/>
          <w:color w:val="000000" w:themeColor="text1"/>
          <w:sz w:val="20"/>
          <w:szCs w:val="20"/>
          <w:lang w:val="fr-FR"/>
        </w:rPr>
      </w:pPr>
    </w:p>
    <w:p w14:paraId="119C558E" w14:textId="77777777" w:rsidR="00D0435F" w:rsidRPr="001131EF" w:rsidRDefault="00D0435F" w:rsidP="00D0435F">
      <w:pPr>
        <w:autoSpaceDE w:val="0"/>
        <w:autoSpaceDN w:val="0"/>
        <w:adjustRightInd w:val="0"/>
        <w:ind w:left="1800" w:hanging="1800"/>
        <w:contextualSpacing/>
        <w:jc w:val="both"/>
        <w:rPr>
          <w:rFonts w:asciiTheme="majorBidi" w:hAnsiTheme="majorBidi" w:cstheme="majorBidi"/>
          <w:b/>
          <w:bCs/>
          <w:color w:val="000000" w:themeColor="text1"/>
          <w:sz w:val="20"/>
          <w:szCs w:val="20"/>
        </w:rPr>
      </w:pPr>
      <w:bookmarkStart w:id="0" w:name="_GoBack"/>
      <w:r w:rsidRPr="001131EF">
        <w:rPr>
          <w:rFonts w:asciiTheme="majorBidi" w:hAnsiTheme="majorBidi" w:cstheme="majorBidi"/>
          <w:b/>
          <w:bCs/>
          <w:color w:val="000000" w:themeColor="text1"/>
          <w:sz w:val="20"/>
          <w:szCs w:val="20"/>
        </w:rPr>
        <w:t>Predictive factors of a high pulse wave velocity (PWV) in non –high risk patients</w:t>
      </w:r>
    </w:p>
    <w:bookmarkEnd w:id="0"/>
    <w:p w14:paraId="2890E167" w14:textId="77777777" w:rsidR="00E21E5E" w:rsidRPr="00D0435F" w:rsidRDefault="00E21E5E" w:rsidP="00E21E5E">
      <w:pPr>
        <w:pStyle w:val="Els-Affiliation"/>
        <w:pBdr>
          <w:bottom w:val="single" w:sz="2" w:space="12" w:color="auto"/>
        </w:pBdr>
      </w:pPr>
    </w:p>
    <w:p w14:paraId="5923F5D9" w14:textId="0BB69CEF" w:rsidR="00E21E5E" w:rsidRPr="00A15D7D" w:rsidRDefault="00D0435F" w:rsidP="00D0435F">
      <w:pPr>
        <w:pStyle w:val="Els-Affiliation"/>
        <w:pBdr>
          <w:bottom w:val="single" w:sz="2" w:space="12" w:color="auto"/>
        </w:pBdr>
        <w:rPr>
          <w:vertAlign w:val="superscript"/>
          <w:lang w:val="fr-FR"/>
        </w:rPr>
      </w:pPr>
      <w:r>
        <w:rPr>
          <w:lang w:val="fr-FR"/>
        </w:rPr>
        <w:t>BELAHSENE Nadia</w:t>
      </w:r>
      <w:r w:rsidR="00E21E5E" w:rsidRPr="00A15D7D">
        <w:rPr>
          <w:vertAlign w:val="superscript"/>
          <w:lang w:val="fr-FR"/>
        </w:rPr>
        <w:t>1</w:t>
      </w:r>
      <w:r w:rsidR="005202AA">
        <w:rPr>
          <w:rFonts w:ascii="Garamond" w:hAnsi="Garamond"/>
          <w:b/>
          <w:bCs/>
          <w:sz w:val="12"/>
          <w:szCs w:val="12"/>
        </w:rPr>
        <w:drawing>
          <wp:inline distT="0" distB="0" distL="0" distR="0" wp14:anchorId="77AF37CA" wp14:editId="79FACC31">
            <wp:extent cx="114300" cy="102235"/>
            <wp:effectExtent l="0" t="0" r="0" b="0"/>
            <wp:docPr id="39" name="Image 39" descr="page1image38770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 39" descr="page1image387702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02235"/>
                    </a:xfrm>
                    <a:prstGeom prst="rect">
                      <a:avLst/>
                    </a:prstGeom>
                    <a:noFill/>
                    <a:ln>
                      <a:noFill/>
                    </a:ln>
                  </pic:spPr>
                </pic:pic>
              </a:graphicData>
            </a:graphic>
          </wp:inline>
        </w:drawing>
      </w:r>
      <w:r w:rsidR="00E21E5E">
        <w:rPr>
          <w:lang w:val="fr-FR"/>
        </w:rPr>
        <w:t xml:space="preserve">, </w:t>
      </w:r>
      <w:r>
        <w:rPr>
          <w:lang w:val="fr-FR"/>
        </w:rPr>
        <w:t>BEN KHEDDA Salim</w:t>
      </w:r>
      <w:r w:rsidR="00E21E5E" w:rsidRPr="00A15D7D">
        <w:rPr>
          <w:vertAlign w:val="superscript"/>
          <w:lang w:val="fr-FR"/>
        </w:rPr>
        <w:t>2</w:t>
      </w:r>
    </w:p>
    <w:p w14:paraId="539B5FF8" w14:textId="6CDA0C89" w:rsidR="00E21E5E" w:rsidRPr="00A15D7D" w:rsidRDefault="00E21E5E" w:rsidP="00D0435F">
      <w:pPr>
        <w:pStyle w:val="Els-Affiliation"/>
        <w:pBdr>
          <w:bottom w:val="single" w:sz="2" w:space="12" w:color="auto"/>
        </w:pBdr>
        <w:rPr>
          <w:lang w:val="fr-FR"/>
        </w:rPr>
      </w:pPr>
      <w:r w:rsidRPr="00A15D7D">
        <w:rPr>
          <w:vertAlign w:val="superscript"/>
          <w:lang w:val="fr-FR"/>
        </w:rPr>
        <w:t xml:space="preserve">1 </w:t>
      </w:r>
      <w:r w:rsidR="00D0435F" w:rsidRPr="005202AA">
        <w:rPr>
          <w:lang w:val="fr-FR"/>
        </w:rPr>
        <w:t>Faculté de Médecine d’Alger</w:t>
      </w:r>
    </w:p>
    <w:p w14:paraId="0ABD9AA4" w14:textId="3FCE266D" w:rsidR="00E21E5E" w:rsidRPr="00A15D7D" w:rsidRDefault="00E21E5E" w:rsidP="00D0435F">
      <w:pPr>
        <w:pStyle w:val="Els-Affiliation"/>
        <w:pBdr>
          <w:bottom w:val="single" w:sz="2" w:space="12" w:color="auto"/>
        </w:pBdr>
        <w:rPr>
          <w:lang w:val="fr-FR"/>
        </w:rPr>
      </w:pPr>
      <w:r w:rsidRPr="00A15D7D">
        <w:rPr>
          <w:vertAlign w:val="superscript"/>
          <w:lang w:val="fr-FR"/>
        </w:rPr>
        <w:t xml:space="preserve">2 </w:t>
      </w:r>
      <w:r w:rsidR="00D0435F" w:rsidRPr="005202AA">
        <w:rPr>
          <w:lang w:val="fr-FR"/>
        </w:rPr>
        <w:t>Faculté de Médecine d’Alger</w:t>
      </w:r>
    </w:p>
    <w:p w14:paraId="26E24E7C" w14:textId="77777777" w:rsidR="00E21E5E" w:rsidRPr="001131EF" w:rsidRDefault="00E21E5E" w:rsidP="00E21E5E">
      <w:pPr>
        <w:rPr>
          <w:rFonts w:ascii="Times New Roman" w:eastAsia="SimSun" w:hAnsi="Times New Roman" w:cs="Times New Roman"/>
          <w:b/>
          <w:bCs/>
          <w:smallCaps/>
          <w:sz w:val="20"/>
          <w:szCs w:val="20"/>
          <w:lang w:val="fr-FR"/>
        </w:rPr>
      </w:pPr>
      <w:r w:rsidRPr="001131EF">
        <w:rPr>
          <w:rFonts w:ascii="Times New Roman" w:eastAsia="SimSun" w:hAnsi="Times New Roman" w:cs="Times New Roman"/>
          <w:b/>
          <w:bCs/>
          <w:smallCaps/>
          <w:sz w:val="20"/>
          <w:szCs w:val="20"/>
          <w:lang w:val="fr-FR"/>
        </w:rPr>
        <w:t>Résumé</w:t>
      </w:r>
    </w:p>
    <w:p w14:paraId="4D6ACE7E" w14:textId="5AC5DB14" w:rsidR="00EE5F47" w:rsidRPr="005202AA" w:rsidRDefault="00EE5F47" w:rsidP="005202AA">
      <w:pPr>
        <w:autoSpaceDE w:val="0"/>
        <w:autoSpaceDN w:val="0"/>
        <w:adjustRightInd w:val="0"/>
        <w:spacing w:line="240" w:lineRule="auto"/>
        <w:contextualSpacing/>
        <w:jc w:val="both"/>
        <w:rPr>
          <w:rFonts w:asciiTheme="majorBidi" w:hAnsiTheme="majorBidi" w:cstheme="majorBidi"/>
          <w:sz w:val="20"/>
          <w:szCs w:val="20"/>
          <w:lang w:val="fr-FR"/>
        </w:rPr>
      </w:pPr>
      <w:r w:rsidRPr="005202AA">
        <w:rPr>
          <w:rFonts w:asciiTheme="majorBidi" w:hAnsiTheme="majorBidi" w:cstheme="majorBidi"/>
          <w:b/>
          <w:bCs/>
          <w:sz w:val="20"/>
          <w:szCs w:val="20"/>
          <w:lang w:val="fr-FR"/>
        </w:rPr>
        <w:t>Introduction :</w:t>
      </w:r>
      <w:r w:rsidRPr="005202AA">
        <w:rPr>
          <w:rFonts w:asciiTheme="majorBidi" w:hAnsiTheme="majorBidi" w:cstheme="majorBidi"/>
          <w:sz w:val="20"/>
          <w:szCs w:val="20"/>
          <w:lang w:val="fr-FR"/>
        </w:rPr>
        <w:t xml:space="preserve"> Le but de cette étude est d'identifier les déterminants de la rigidité artérielle dans un groupe de patients</w:t>
      </w:r>
      <w:r w:rsidR="005202AA" w:rsidRPr="005202AA">
        <w:rPr>
          <w:rFonts w:asciiTheme="majorBidi" w:hAnsiTheme="majorBidi" w:cstheme="majorBidi"/>
          <w:sz w:val="20"/>
          <w:szCs w:val="20"/>
          <w:lang w:val="fr-FR"/>
        </w:rPr>
        <w:t xml:space="preserve"> </w:t>
      </w:r>
      <w:r w:rsidRPr="005202AA">
        <w:rPr>
          <w:rFonts w:asciiTheme="majorBidi" w:hAnsiTheme="majorBidi" w:cstheme="majorBidi"/>
          <w:sz w:val="20"/>
          <w:szCs w:val="20"/>
          <w:lang w:val="fr-FR"/>
        </w:rPr>
        <w:t xml:space="preserve">à risque non élevé. </w:t>
      </w:r>
      <w:r w:rsidRPr="005202AA">
        <w:rPr>
          <w:rFonts w:asciiTheme="majorBidi" w:hAnsiTheme="majorBidi" w:cstheme="majorBidi"/>
          <w:b/>
          <w:bCs/>
          <w:sz w:val="20"/>
          <w:szCs w:val="20"/>
          <w:lang w:val="fr-FR"/>
        </w:rPr>
        <w:t>Matériel et Méthodes :</w:t>
      </w:r>
      <w:r w:rsidRPr="005202AA">
        <w:rPr>
          <w:rFonts w:asciiTheme="majorBidi" w:hAnsiTheme="majorBidi" w:cstheme="majorBidi"/>
          <w:sz w:val="20"/>
          <w:szCs w:val="20"/>
          <w:lang w:val="fr-FR"/>
        </w:rPr>
        <w:t xml:space="preserve"> Un total de 310 patients âgés de 20 ans à 74 ans, asymptomatiques et à risque cardiovasculaire non élevé (&lt; 20%) selon le modèle de Framingham, ont été inclus dans l’étude et bénéficie de la mesure de la vitesse de l’onde de pouls. Les données démographiques, les facteurs de risque cardiovasculaire et les antécédents familiaux d’HTA et de diabète ont été analysés. </w:t>
      </w:r>
      <w:r w:rsidRPr="005202AA">
        <w:rPr>
          <w:rFonts w:asciiTheme="majorBidi" w:hAnsiTheme="majorBidi" w:cstheme="majorBidi"/>
          <w:b/>
          <w:bCs/>
          <w:sz w:val="20"/>
          <w:szCs w:val="20"/>
          <w:lang w:val="fr-FR"/>
        </w:rPr>
        <w:t>Résultats :</w:t>
      </w:r>
      <w:r w:rsidRPr="005202AA">
        <w:rPr>
          <w:rFonts w:asciiTheme="majorBidi" w:hAnsiTheme="majorBidi" w:cstheme="majorBidi"/>
          <w:sz w:val="20"/>
          <w:szCs w:val="20"/>
          <w:lang w:val="fr-FR"/>
        </w:rPr>
        <w:t xml:space="preserve"> 310 participants (41,83±12,84 ans ; 20-74 ans) ont été inclus dans l'étude.  La vitesse moyenne de l'onde de pouls (VOP) était de 8,71 ±1,77 m/s. La proportion de participants avec une rigidité artérielle (VOP pathologique et élevée ≥10 m/s) était de 19,03 %.  Les participants avec une VOP élevée étaient plus âgés, hypertendus avec une HTA dont l’ancienneté dépassait les 5 ans, avaient une PAD élevée et étaient sédentaires.</w:t>
      </w:r>
      <w:r w:rsidR="005202AA">
        <w:rPr>
          <w:rFonts w:asciiTheme="majorBidi" w:hAnsiTheme="majorBidi" w:cstheme="majorBidi"/>
          <w:sz w:val="20"/>
          <w:szCs w:val="20"/>
          <w:lang w:val="fr-FR"/>
        </w:rPr>
        <w:t xml:space="preserve"> </w:t>
      </w:r>
      <w:r w:rsidRPr="005202AA">
        <w:rPr>
          <w:rFonts w:asciiTheme="majorBidi" w:hAnsiTheme="majorBidi" w:cstheme="majorBidi"/>
          <w:sz w:val="20"/>
          <w:szCs w:val="20"/>
          <w:lang w:val="fr-FR"/>
        </w:rPr>
        <w:t>L'analyse de régression a indiqué que l'âge, la PAD élevée, l’HTA et surtout son ancienneté et la présence d’une sédentarité étaient considérés comme les principaux déterminants de la VOP élevée et donc d’une rigidité artérielle.</w:t>
      </w:r>
      <w:r w:rsidR="005202AA">
        <w:rPr>
          <w:rFonts w:asciiTheme="majorBidi" w:hAnsiTheme="majorBidi" w:cstheme="majorBidi"/>
          <w:sz w:val="20"/>
          <w:szCs w:val="20"/>
          <w:lang w:val="fr-FR"/>
        </w:rPr>
        <w:t xml:space="preserve"> </w:t>
      </w:r>
      <w:r w:rsidRPr="005202AA">
        <w:rPr>
          <w:rFonts w:asciiTheme="majorBidi" w:hAnsiTheme="majorBidi" w:cstheme="majorBidi"/>
          <w:b/>
          <w:bCs/>
          <w:sz w:val="20"/>
          <w:szCs w:val="20"/>
          <w:lang w:val="fr-FR"/>
        </w:rPr>
        <w:t>Conclusion :</w:t>
      </w:r>
      <w:r w:rsidRPr="005202AA">
        <w:rPr>
          <w:rFonts w:asciiTheme="majorBidi" w:hAnsiTheme="majorBidi" w:cstheme="majorBidi"/>
          <w:sz w:val="20"/>
          <w:szCs w:val="20"/>
          <w:lang w:val="fr-FR"/>
        </w:rPr>
        <w:t xml:space="preserve"> Les déterminants de cette atteinte </w:t>
      </w:r>
      <w:proofErr w:type="spellStart"/>
      <w:r w:rsidRPr="005202AA">
        <w:rPr>
          <w:rFonts w:asciiTheme="majorBidi" w:hAnsiTheme="majorBidi" w:cstheme="majorBidi"/>
          <w:sz w:val="20"/>
          <w:szCs w:val="20"/>
          <w:lang w:val="fr-FR"/>
        </w:rPr>
        <w:t>arterielle</w:t>
      </w:r>
      <w:proofErr w:type="spellEnd"/>
      <w:r w:rsidRPr="005202AA">
        <w:rPr>
          <w:rFonts w:asciiTheme="majorBidi" w:hAnsiTheme="majorBidi" w:cstheme="majorBidi"/>
          <w:sz w:val="20"/>
          <w:szCs w:val="20"/>
          <w:lang w:val="fr-FR"/>
        </w:rPr>
        <w:t xml:space="preserve"> sont : un âge ≥ 50 ans, une HTA, surtout quand son ancienneté dépasse les 5 années et /ou une PAD élevée. </w:t>
      </w:r>
    </w:p>
    <w:p w14:paraId="0A4C803D" w14:textId="77777777" w:rsidR="005202AA" w:rsidRDefault="005202AA" w:rsidP="00EE5F47">
      <w:pPr>
        <w:jc w:val="both"/>
        <w:rPr>
          <w:rFonts w:ascii="Times New Roman" w:eastAsia="SimSun" w:hAnsi="Times New Roman" w:cs="Times New Roman"/>
          <w:b/>
          <w:bCs/>
          <w:smallCaps/>
          <w:sz w:val="20"/>
          <w:szCs w:val="20"/>
          <w:lang w:val="fr-FR"/>
        </w:rPr>
      </w:pPr>
    </w:p>
    <w:p w14:paraId="6BAEFB98" w14:textId="73727DAE" w:rsidR="00E21E5E" w:rsidRPr="001131EF" w:rsidRDefault="00E21E5E" w:rsidP="00EE5F47">
      <w:pPr>
        <w:jc w:val="both"/>
        <w:rPr>
          <w:rFonts w:ascii="Times New Roman" w:eastAsia="SimSun" w:hAnsi="Times New Roman" w:cs="Times New Roman"/>
          <w:b/>
          <w:bCs/>
          <w:smallCaps/>
          <w:sz w:val="20"/>
          <w:szCs w:val="20"/>
          <w:lang w:val="fr-FR"/>
        </w:rPr>
      </w:pPr>
      <w:r w:rsidRPr="001131EF">
        <w:rPr>
          <w:rFonts w:ascii="Times New Roman" w:eastAsia="SimSun" w:hAnsi="Times New Roman" w:cs="Times New Roman"/>
          <w:b/>
          <w:bCs/>
          <w:smallCaps/>
          <w:sz w:val="20"/>
          <w:szCs w:val="20"/>
          <w:lang w:val="fr-FR"/>
        </w:rPr>
        <w:t xml:space="preserve">Mots Clés: </w:t>
      </w:r>
      <w:r w:rsidR="00EE5F47" w:rsidRPr="005202AA">
        <w:rPr>
          <w:rFonts w:asciiTheme="majorBidi" w:hAnsiTheme="majorBidi" w:cstheme="majorBidi"/>
          <w:color w:val="000000" w:themeColor="text1"/>
          <w:sz w:val="20"/>
          <w:szCs w:val="20"/>
          <w:lang w:val="fr-FR"/>
        </w:rPr>
        <w:t>vitesse de l’onde de pouls, rigidité artérielle</w:t>
      </w:r>
      <w:r w:rsidR="00EE5F47" w:rsidRPr="001131EF">
        <w:rPr>
          <w:rFonts w:asciiTheme="majorBidi" w:hAnsiTheme="majorBidi" w:cstheme="majorBidi"/>
          <w:sz w:val="20"/>
          <w:szCs w:val="20"/>
          <w:lang w:val="fr-FR"/>
        </w:rPr>
        <w:t>.</w:t>
      </w:r>
    </w:p>
    <w:p w14:paraId="32F6E2DE" w14:textId="77777777" w:rsidR="00E21E5E" w:rsidRPr="005202AA" w:rsidRDefault="00E21E5E" w:rsidP="00E21E5E">
      <w:pPr>
        <w:rPr>
          <w:rFonts w:asciiTheme="majorBidi" w:hAnsiTheme="majorBidi" w:cstheme="majorBidi"/>
          <w:sz w:val="20"/>
          <w:szCs w:val="20"/>
        </w:rPr>
      </w:pPr>
      <w:r w:rsidRPr="005202AA">
        <w:rPr>
          <w:rFonts w:ascii="Times New Roman" w:eastAsia="SimSun" w:hAnsi="Times New Roman" w:cs="Times New Roman"/>
          <w:b/>
          <w:bCs/>
          <w:smallCaps/>
          <w:sz w:val="20"/>
          <w:szCs w:val="20"/>
        </w:rPr>
        <w:t>Ab s t r a c t</w:t>
      </w:r>
      <w:r w:rsidRPr="005202AA">
        <w:rPr>
          <w:rFonts w:asciiTheme="majorBidi" w:hAnsiTheme="majorBidi" w:cstheme="majorBidi"/>
          <w:sz w:val="20"/>
          <w:szCs w:val="20"/>
        </w:rPr>
        <w:t xml:space="preserve">: </w:t>
      </w:r>
    </w:p>
    <w:p w14:paraId="441B6F3B" w14:textId="59B80F76" w:rsidR="00EE5F47" w:rsidRPr="00B778A0" w:rsidRDefault="00EE5F47" w:rsidP="005202AA">
      <w:pPr>
        <w:autoSpaceDE w:val="0"/>
        <w:autoSpaceDN w:val="0"/>
        <w:adjustRightInd w:val="0"/>
        <w:spacing w:line="240" w:lineRule="auto"/>
        <w:contextualSpacing/>
        <w:jc w:val="both"/>
        <w:rPr>
          <w:rFonts w:asciiTheme="majorBidi" w:hAnsiTheme="majorBidi" w:cstheme="majorBidi"/>
          <w:sz w:val="20"/>
          <w:szCs w:val="20"/>
        </w:rPr>
      </w:pPr>
      <w:r w:rsidRPr="005202AA">
        <w:rPr>
          <w:rFonts w:asciiTheme="majorBidi" w:hAnsiTheme="majorBidi" w:cstheme="majorBidi"/>
          <w:b/>
          <w:bCs/>
          <w:sz w:val="20"/>
          <w:szCs w:val="20"/>
        </w:rPr>
        <w:t>Introduction :</w:t>
      </w:r>
      <w:r w:rsidRPr="00B778A0">
        <w:rPr>
          <w:rFonts w:asciiTheme="majorBidi" w:hAnsiTheme="majorBidi" w:cstheme="majorBidi"/>
          <w:sz w:val="20"/>
          <w:szCs w:val="20"/>
        </w:rPr>
        <w:t xml:space="preserve"> The aim of this study is to identify the determinants of arterial stiffness in a group of non-high risk patients.</w:t>
      </w:r>
      <w:r w:rsidR="005202AA">
        <w:rPr>
          <w:rFonts w:asciiTheme="majorBidi" w:hAnsiTheme="majorBidi" w:cstheme="majorBidi"/>
          <w:sz w:val="20"/>
          <w:szCs w:val="20"/>
        </w:rPr>
        <w:t xml:space="preserve"> </w:t>
      </w:r>
      <w:r w:rsidRPr="005202AA">
        <w:rPr>
          <w:rFonts w:asciiTheme="majorBidi" w:hAnsiTheme="majorBidi" w:cstheme="majorBidi"/>
          <w:b/>
          <w:bCs/>
          <w:sz w:val="20"/>
          <w:szCs w:val="20"/>
        </w:rPr>
        <w:t>Material and Methods :</w:t>
      </w:r>
      <w:r w:rsidRPr="00B778A0">
        <w:rPr>
          <w:rFonts w:asciiTheme="majorBidi" w:hAnsiTheme="majorBidi" w:cstheme="majorBidi"/>
          <w:sz w:val="20"/>
          <w:szCs w:val="20"/>
        </w:rPr>
        <w:t xml:space="preserve"> A total of 310 asymptomatic and not-high cardiovascular risk patients (&lt; 20%) aged between 20 to 74 years according to Framingham model had been enrolled and underwent measurement of the pulse wave velocity. Demographic data, cardiovascular </w:t>
      </w:r>
      <w:proofErr w:type="spellStart"/>
      <w:r w:rsidRPr="00B778A0">
        <w:rPr>
          <w:rFonts w:asciiTheme="majorBidi" w:hAnsiTheme="majorBidi" w:cstheme="majorBidi"/>
          <w:sz w:val="20"/>
          <w:szCs w:val="20"/>
        </w:rPr>
        <w:t>riskfactors</w:t>
      </w:r>
      <w:proofErr w:type="spellEnd"/>
      <w:r w:rsidRPr="00B778A0">
        <w:rPr>
          <w:rFonts w:asciiTheme="majorBidi" w:hAnsiTheme="majorBidi" w:cstheme="majorBidi"/>
          <w:sz w:val="20"/>
          <w:szCs w:val="20"/>
        </w:rPr>
        <w:t xml:space="preserve"> and hypertension or diabetes familial history have been analyzed. </w:t>
      </w:r>
      <w:r w:rsidRPr="005202AA">
        <w:rPr>
          <w:rFonts w:asciiTheme="majorBidi" w:hAnsiTheme="majorBidi" w:cstheme="majorBidi"/>
          <w:b/>
          <w:bCs/>
          <w:sz w:val="20"/>
          <w:szCs w:val="20"/>
        </w:rPr>
        <w:t>Results :</w:t>
      </w:r>
      <w:r w:rsidRPr="00B778A0">
        <w:rPr>
          <w:rFonts w:asciiTheme="majorBidi" w:hAnsiTheme="majorBidi" w:cstheme="majorBidi"/>
          <w:sz w:val="20"/>
          <w:szCs w:val="20"/>
        </w:rPr>
        <w:t xml:space="preserve"> 310 participants (41,83 ± 12.84 years ; 20-74 years) were included in the study. Mean pulse wave velocity (PWV) was 8.71 ± 1.77 m/s. The proportion of participants with abnormal arterial stiffness (increased PWV) was 19.03%. Our results indicate that age, hypertension especially when changing (developing) from 5 years, elevated diastolic arterial pressure and the physical inactivity have been associated to an increased probability of preclinical vascular disease. </w:t>
      </w:r>
    </w:p>
    <w:p w14:paraId="36798DF3" w14:textId="19D6C0DF" w:rsidR="00E21E5E" w:rsidRPr="00B778A0" w:rsidRDefault="00EE5F47" w:rsidP="00EE5F47">
      <w:pPr>
        <w:autoSpaceDE w:val="0"/>
        <w:autoSpaceDN w:val="0"/>
        <w:adjustRightInd w:val="0"/>
        <w:contextualSpacing/>
        <w:jc w:val="both"/>
        <w:rPr>
          <w:rFonts w:asciiTheme="majorBidi" w:hAnsiTheme="majorBidi" w:cstheme="majorBidi"/>
          <w:b/>
          <w:bCs/>
          <w:color w:val="000000" w:themeColor="text1"/>
          <w:sz w:val="20"/>
          <w:szCs w:val="20"/>
        </w:rPr>
      </w:pPr>
      <w:r w:rsidRPr="005202AA">
        <w:rPr>
          <w:rFonts w:asciiTheme="majorBidi" w:hAnsiTheme="majorBidi" w:cstheme="majorBidi"/>
          <w:b/>
          <w:bCs/>
          <w:sz w:val="20"/>
          <w:szCs w:val="20"/>
        </w:rPr>
        <w:t>Conclusion :</w:t>
      </w:r>
      <w:r w:rsidRPr="00B778A0">
        <w:rPr>
          <w:rFonts w:asciiTheme="majorBidi" w:hAnsiTheme="majorBidi" w:cstheme="majorBidi"/>
          <w:sz w:val="20"/>
          <w:szCs w:val="20"/>
        </w:rPr>
        <w:t xml:space="preserve"> Determinants of this arterial involvement are : age ≥ 50 years, hypertension especially when changing (developing) from 5 years, elevated diastolic arterial pressure and the physical inactivity. </w:t>
      </w:r>
    </w:p>
    <w:p w14:paraId="03621C4B" w14:textId="77777777" w:rsidR="005202AA" w:rsidRDefault="005202AA" w:rsidP="00EE5F47">
      <w:pPr>
        <w:spacing w:after="0" w:line="240" w:lineRule="auto"/>
        <w:rPr>
          <w:rFonts w:ascii="Times New Roman" w:eastAsia="SimSun" w:hAnsi="Times New Roman" w:cs="Times New Roman"/>
          <w:b/>
          <w:bCs/>
          <w:smallCaps/>
          <w:sz w:val="20"/>
          <w:szCs w:val="20"/>
        </w:rPr>
      </w:pPr>
    </w:p>
    <w:p w14:paraId="70477A91" w14:textId="0535FE1C" w:rsidR="00E56282" w:rsidRPr="00B778A0" w:rsidRDefault="00E56282" w:rsidP="00EE5F47">
      <w:pPr>
        <w:spacing w:after="0" w:line="240" w:lineRule="auto"/>
        <w:rPr>
          <w:rFonts w:asciiTheme="majorBidi" w:hAnsiTheme="majorBidi" w:cstheme="majorBidi"/>
          <w:sz w:val="20"/>
          <w:szCs w:val="20"/>
        </w:rPr>
      </w:pPr>
      <w:r w:rsidRPr="00B778A0">
        <w:rPr>
          <w:rFonts w:ascii="Times New Roman" w:eastAsia="SimSun" w:hAnsi="Times New Roman" w:cs="Times New Roman"/>
          <w:b/>
          <w:bCs/>
          <w:smallCaps/>
          <w:sz w:val="20"/>
          <w:szCs w:val="20"/>
        </w:rPr>
        <w:t xml:space="preserve">Keywords: </w:t>
      </w:r>
      <w:r w:rsidR="00EE5F47" w:rsidRPr="00B778A0">
        <w:rPr>
          <w:rFonts w:asciiTheme="majorBidi" w:hAnsiTheme="majorBidi" w:cstheme="majorBidi"/>
          <w:color w:val="000000" w:themeColor="text1"/>
          <w:sz w:val="20"/>
          <w:szCs w:val="20"/>
        </w:rPr>
        <w:t>pulse wave velocity, arterial stiffness.</w:t>
      </w:r>
    </w:p>
    <w:p w14:paraId="0135FDF9" w14:textId="77777777" w:rsidR="00E56282" w:rsidRPr="00C62E2E" w:rsidRDefault="00E56282" w:rsidP="00E56282">
      <w:pPr>
        <w:spacing w:after="0" w:line="240" w:lineRule="auto"/>
        <w:rPr>
          <w:rFonts w:ascii="Times New Roman" w:eastAsia="SimSun" w:hAnsi="Times New Roman" w:cs="Times New Roman"/>
          <w:b/>
          <w:bCs/>
          <w:smallCaps/>
          <w:sz w:val="20"/>
          <w:szCs w:val="20"/>
        </w:rPr>
      </w:pPr>
    </w:p>
    <w:p w14:paraId="0F5CDF26" w14:textId="77777777" w:rsidR="00E56282" w:rsidRPr="00C62E2E" w:rsidRDefault="00E56282" w:rsidP="00E56282">
      <w:pPr>
        <w:pStyle w:val="Els-Abstract-text"/>
        <w:spacing w:before="0" w:line="240" w:lineRule="auto"/>
        <w:rPr>
          <w:sz w:val="4"/>
          <w:szCs w:val="4"/>
        </w:rPr>
      </w:pPr>
    </w:p>
    <w:p w14:paraId="78E9764A" w14:textId="77777777" w:rsidR="00FB76BB" w:rsidRPr="00365436" w:rsidRDefault="00FB76BB" w:rsidP="00E21E5E">
      <w:pPr>
        <w:tabs>
          <w:tab w:val="center" w:pos="4706"/>
          <w:tab w:val="right" w:pos="9356"/>
          <w:tab w:val="right" w:pos="10080"/>
        </w:tabs>
        <w:spacing w:after="0" w:line="200" w:lineRule="exact"/>
        <w:rPr>
          <w:rFonts w:ascii="Times New Roman" w:eastAsia="SimSun" w:hAnsi="Times New Roman" w:cs="Times New Roman"/>
          <w:noProof/>
          <w:sz w:val="15"/>
          <w:szCs w:val="15"/>
        </w:rPr>
        <w:sectPr w:rsidR="00FB76BB" w:rsidRPr="00365436" w:rsidSect="00D47305">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p>
    <w:p w14:paraId="2F6BF726" w14:textId="00FC8E02" w:rsidR="00E21E5E" w:rsidRPr="00E21E5E" w:rsidRDefault="00E21E5E" w:rsidP="00D0435F">
      <w:pPr>
        <w:tabs>
          <w:tab w:val="center" w:pos="4706"/>
          <w:tab w:val="right" w:pos="9356"/>
          <w:tab w:val="right" w:pos="10080"/>
        </w:tabs>
        <w:spacing w:after="0" w:line="200" w:lineRule="exact"/>
        <w:rPr>
          <w:rFonts w:ascii="Times New Roman" w:eastAsia="SimSun" w:hAnsi="Times New Roman" w:cs="Times New Roman"/>
          <w:noProof/>
          <w:sz w:val="15"/>
          <w:szCs w:val="15"/>
          <w:lang w:val="fr-FR"/>
        </w:rPr>
      </w:pPr>
      <w:r w:rsidRPr="00E21E5E">
        <w:rPr>
          <w:rFonts w:ascii="Times New Roman" w:eastAsia="SimSun" w:hAnsi="Times New Roman" w:cs="Times New Roman"/>
          <w:noProof/>
          <w:sz w:val="15"/>
          <w:szCs w:val="15"/>
          <w:lang w:val="fr-FR"/>
        </w:rPr>
        <w:t>* Auteur Corredpondant</w:t>
      </w:r>
      <w:r w:rsidRPr="00E21E5E">
        <w:rPr>
          <w:rFonts w:ascii="Times New Roman" w:eastAsia="SimSun" w:hAnsi="Times New Roman" w:cs="Times New Roman"/>
          <w:i/>
          <w:noProof/>
          <w:sz w:val="15"/>
          <w:szCs w:val="15"/>
          <w:lang w:val="fr-FR"/>
        </w:rPr>
        <w:t>.</w:t>
      </w:r>
      <w:r w:rsidR="00D0435F">
        <w:rPr>
          <w:rFonts w:ascii="Times New Roman" w:eastAsia="SimSun" w:hAnsi="Times New Roman" w:cs="Times New Roman"/>
          <w:noProof/>
          <w:sz w:val="15"/>
          <w:szCs w:val="15"/>
          <w:lang w:val="fr-FR"/>
        </w:rPr>
        <w:t xml:space="preserve"> Nadia BELAHSENE</w:t>
      </w:r>
      <w:r w:rsidR="00FB76BB">
        <w:rPr>
          <w:rFonts w:ascii="Times New Roman" w:eastAsia="SimSun" w:hAnsi="Times New Roman" w:cs="Times New Roman"/>
          <w:noProof/>
          <w:sz w:val="15"/>
          <w:szCs w:val="15"/>
          <w:lang w:val="fr-FR"/>
        </w:rPr>
        <w:tab/>
      </w:r>
      <w:r w:rsidRPr="00E21E5E">
        <w:rPr>
          <w:rFonts w:ascii="Times New Roman" w:eastAsia="SimSun" w:hAnsi="Times New Roman" w:cs="Times New Roman"/>
          <w:noProof/>
          <w:sz w:val="15"/>
          <w:szCs w:val="15"/>
          <w:lang w:val="fr-FR"/>
        </w:rPr>
        <w:t xml:space="preserve">      </w:t>
      </w:r>
    </w:p>
    <w:p w14:paraId="5BF52B38" w14:textId="33C80592" w:rsidR="00FB76BB" w:rsidRDefault="00557B51" w:rsidP="00D0435F">
      <w:pPr>
        <w:rPr>
          <w:rFonts w:ascii="Times New Roman" w:eastAsia="SimSun" w:hAnsi="Times New Roman" w:cs="Times New Roman"/>
          <w:color w:val="548DD4"/>
          <w:sz w:val="15"/>
          <w:szCs w:val="15"/>
          <w:u w:val="single"/>
          <w:lang w:val="fr-FR"/>
        </w:rPr>
      </w:pPr>
      <w:r>
        <w:rPr>
          <w:rFonts w:ascii="Times New Roman" w:eastAsia="SimSun" w:hAnsi="Times New Roman" w:cs="Times New Roman"/>
          <w:sz w:val="15"/>
          <w:szCs w:val="15"/>
          <w:lang w:val="fr-FR"/>
        </w:rPr>
        <w:t>A</w:t>
      </w:r>
      <w:r w:rsidR="00E21E5E" w:rsidRPr="00E21E5E">
        <w:rPr>
          <w:rFonts w:ascii="Times New Roman" w:eastAsia="SimSun" w:hAnsi="Times New Roman" w:cs="Times New Roman"/>
          <w:sz w:val="15"/>
          <w:szCs w:val="15"/>
          <w:lang w:val="fr-FR"/>
        </w:rPr>
        <w:t xml:space="preserve">dresse E-mail: </w:t>
      </w:r>
      <w:r w:rsidR="00D0435F">
        <w:rPr>
          <w:rFonts w:ascii="Times New Roman" w:eastAsia="SimSun" w:hAnsi="Times New Roman" w:cs="Times New Roman"/>
          <w:sz w:val="15"/>
          <w:szCs w:val="15"/>
          <w:lang w:val="fr-FR"/>
        </w:rPr>
        <w:t>belahsenenadia@yahoo.fr</w:t>
      </w:r>
      <w:r w:rsidR="00D0435F">
        <w:rPr>
          <w:rFonts w:ascii="Times New Roman" w:eastAsia="SimSun" w:hAnsi="Times New Roman" w:cs="Times New Roman"/>
          <w:color w:val="548DD4"/>
          <w:sz w:val="15"/>
          <w:szCs w:val="15"/>
          <w:u w:val="single"/>
          <w:lang w:val="fr-FR"/>
        </w:rPr>
        <w:t xml:space="preserve"> </w:t>
      </w:r>
    </w:p>
    <w:p w14:paraId="4202CFA9" w14:textId="77777777" w:rsidR="00D0435F" w:rsidRDefault="00FB76BB" w:rsidP="00D0435F">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t>Date de sou</w:t>
      </w:r>
      <w:r w:rsidR="00557B51">
        <w:rPr>
          <w:rFonts w:ascii="Times New Roman" w:eastAsia="SimSun" w:hAnsi="Times New Roman" w:cs="Times New Roman"/>
          <w:sz w:val="15"/>
          <w:szCs w:val="15"/>
          <w:lang w:val="fr-FR"/>
        </w:rPr>
        <w:t>m</w:t>
      </w:r>
      <w:r w:rsidRPr="00FB76BB">
        <w:rPr>
          <w:rFonts w:ascii="Times New Roman" w:eastAsia="SimSun" w:hAnsi="Times New Roman" w:cs="Times New Roman"/>
          <w:sz w:val="15"/>
          <w:szCs w:val="15"/>
          <w:lang w:val="fr-FR"/>
        </w:rPr>
        <w:t>ission</w:t>
      </w:r>
      <w:r w:rsidR="00557B51">
        <w:rPr>
          <w:rFonts w:ascii="Times New Roman" w:eastAsia="SimSun" w:hAnsi="Times New Roman" w:cs="Times New Roman"/>
          <w:sz w:val="15"/>
          <w:szCs w:val="15"/>
          <w:lang w:val="fr-FR"/>
        </w:rPr>
        <w:t> :</w:t>
      </w:r>
      <w:r w:rsidR="00D0435F">
        <w:rPr>
          <w:rFonts w:ascii="Times New Roman" w:eastAsia="SimSun" w:hAnsi="Times New Roman" w:cs="Times New Roman"/>
          <w:sz w:val="15"/>
          <w:szCs w:val="15"/>
          <w:lang w:val="fr-FR"/>
        </w:rPr>
        <w:t>03/11/2022</w:t>
      </w:r>
    </w:p>
    <w:p w14:paraId="7899949F" w14:textId="6221ABB9" w:rsidR="005202AA" w:rsidRDefault="00FB76BB" w:rsidP="00D0435F">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t>Date de révision</w:t>
      </w:r>
      <w:r w:rsidR="00557B51">
        <w:rPr>
          <w:rFonts w:ascii="Times New Roman" w:eastAsia="SimSun" w:hAnsi="Times New Roman" w:cs="Times New Roman"/>
          <w:sz w:val="15"/>
          <w:szCs w:val="15"/>
          <w:lang w:val="fr-FR"/>
        </w:rPr>
        <w:t> :</w:t>
      </w:r>
      <w:r w:rsidR="005202AA">
        <w:rPr>
          <w:rFonts w:ascii="Times New Roman" w:eastAsia="SimSun" w:hAnsi="Times New Roman" w:cs="Times New Roman"/>
          <w:sz w:val="15"/>
          <w:szCs w:val="15"/>
          <w:lang w:val="fr-FR"/>
        </w:rPr>
        <w:t xml:space="preserve"> 12/12/2022</w:t>
      </w:r>
    </w:p>
    <w:p w14:paraId="003A2F43" w14:textId="77777777" w:rsidR="00FB76BB" w:rsidRDefault="00FB76BB" w:rsidP="00D0435F">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lastRenderedPageBreak/>
        <w:t>Date d’acceptation</w:t>
      </w:r>
      <w:r w:rsidR="009E3A30">
        <w:rPr>
          <w:rFonts w:ascii="Times New Roman" w:eastAsia="SimSun" w:hAnsi="Times New Roman" w:cs="Times New Roman"/>
          <w:sz w:val="15"/>
          <w:szCs w:val="15"/>
          <w:lang w:val="fr-FR"/>
        </w:rPr>
        <w:t> :</w:t>
      </w:r>
      <w:r w:rsidR="005202AA">
        <w:rPr>
          <w:rFonts w:ascii="Times New Roman" w:eastAsia="SimSun" w:hAnsi="Times New Roman" w:cs="Times New Roman"/>
          <w:sz w:val="15"/>
          <w:szCs w:val="15"/>
          <w:lang w:val="fr-FR"/>
        </w:rPr>
        <w:t xml:space="preserve"> 26/01/2023</w:t>
      </w:r>
    </w:p>
    <w:p w14:paraId="51AEDFDF" w14:textId="77777777" w:rsidR="005202AA" w:rsidRDefault="005202AA" w:rsidP="00D0435F">
      <w:pPr>
        <w:rPr>
          <w:rFonts w:ascii="Times New Roman" w:eastAsia="SimSun" w:hAnsi="Times New Roman" w:cs="Times New Roman"/>
          <w:sz w:val="15"/>
          <w:szCs w:val="15"/>
          <w:lang w:val="fr-FR"/>
        </w:rPr>
      </w:pPr>
    </w:p>
    <w:p w14:paraId="000CDA9D" w14:textId="57BEDF00" w:rsidR="005202AA" w:rsidRDefault="005202AA" w:rsidP="00D0435F">
      <w:pPr>
        <w:rPr>
          <w:rFonts w:ascii="Times New Roman" w:eastAsia="SimSun" w:hAnsi="Times New Roman" w:cs="Times New Roman"/>
          <w:sz w:val="15"/>
          <w:szCs w:val="15"/>
          <w:lang w:val="fr-FR"/>
        </w:rPr>
        <w:sectPr w:rsidR="005202AA" w:rsidSect="00FB76BB">
          <w:type w:val="continuous"/>
          <w:pgSz w:w="12240" w:h="15840"/>
          <w:pgMar w:top="1440" w:right="1440" w:bottom="1440" w:left="1440" w:header="720" w:footer="720" w:gutter="0"/>
          <w:cols w:num="2" w:space="720"/>
          <w:titlePg/>
          <w:docGrid w:linePitch="360"/>
        </w:sectPr>
      </w:pPr>
      <w:r>
        <w:rPr>
          <w:rFonts w:ascii="Times New Roman" w:eastAsia="SimSun" w:hAnsi="Times New Roman" w:cs="Times New Roman"/>
          <w:sz w:val="15"/>
          <w:szCs w:val="15"/>
          <w:lang w:val="fr-FR"/>
        </w:rPr>
        <w:t xml:space="preserve">DOI : </w:t>
      </w:r>
    </w:p>
    <w:p w14:paraId="60F510BD" w14:textId="77777777" w:rsidR="009E3A30" w:rsidRPr="005202AA" w:rsidRDefault="009E3A30" w:rsidP="009E3A30">
      <w:pPr>
        <w:pStyle w:val="Els-body-text"/>
        <w:ind w:firstLine="0"/>
        <w:rPr>
          <w:lang w:val="fr-FR"/>
        </w:rPr>
        <w:sectPr w:rsidR="009E3A30" w:rsidRPr="005202AA" w:rsidSect="00A70899">
          <w:type w:val="continuous"/>
          <w:pgSz w:w="12240" w:h="15840"/>
          <w:pgMar w:top="1440" w:right="1440" w:bottom="1440" w:left="1440" w:header="720" w:footer="720" w:gutter="0"/>
          <w:cols w:num="2" w:space="720"/>
          <w:titlePg/>
          <w:docGrid w:linePitch="360"/>
        </w:sectPr>
      </w:pPr>
    </w:p>
    <w:p w14:paraId="237E78A8" w14:textId="77777777" w:rsidR="00A70899" w:rsidRDefault="00A70899" w:rsidP="00A70899">
      <w:pPr>
        <w:pStyle w:val="Els-1storder-head"/>
        <w:numPr>
          <w:ilvl w:val="0"/>
          <w:numId w:val="0"/>
        </w:numPr>
        <w:pBdr>
          <w:top w:val="single" w:sz="18" w:space="0" w:color="auto"/>
        </w:pBdr>
        <w:rPr>
          <w:sz w:val="20"/>
          <w:lang w:val="fr-FR"/>
        </w:rPr>
        <w:sectPr w:rsidR="00A70899" w:rsidSect="00217CA8">
          <w:type w:val="continuous"/>
          <w:pgSz w:w="12240" w:h="15840"/>
          <w:pgMar w:top="1440" w:right="1440" w:bottom="1440" w:left="1440" w:header="720" w:footer="861" w:gutter="0"/>
          <w:cols w:num="2" w:space="720"/>
          <w:titlePg/>
          <w:docGrid w:linePitch="360"/>
        </w:sectPr>
      </w:pPr>
    </w:p>
    <w:p w14:paraId="6E14C2BE" w14:textId="5265E226" w:rsidR="00E21E5E" w:rsidRDefault="00E56282" w:rsidP="00A70899">
      <w:pPr>
        <w:pStyle w:val="Els-1storder-head"/>
        <w:numPr>
          <w:ilvl w:val="0"/>
          <w:numId w:val="0"/>
        </w:numPr>
        <w:pBdr>
          <w:top w:val="single" w:sz="18" w:space="0" w:color="auto"/>
        </w:pBdr>
        <w:rPr>
          <w:sz w:val="20"/>
          <w:lang w:val="fr-FR"/>
        </w:rPr>
      </w:pPr>
      <w:r w:rsidRPr="00E21E5E">
        <w:rPr>
          <w:sz w:val="20"/>
          <w:lang w:val="fr-FR"/>
        </w:rPr>
        <w:t xml:space="preserve">Introduction </w:t>
      </w:r>
    </w:p>
    <w:p w14:paraId="0679157F" w14:textId="4B0CBC94" w:rsidR="00570C9B" w:rsidRPr="005202AA" w:rsidRDefault="00570C9B" w:rsidP="008D357B">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Les maladies cardiovasculaires (MCV) sont la première cause de mortalité dans le monde. De nombreux facteurs contribuent et expose au risque de ces maladies</w:t>
      </w:r>
      <w:r w:rsidR="008D357B" w:rsidRPr="005202AA">
        <w:rPr>
          <w:rFonts w:asciiTheme="majorBidi" w:hAnsiTheme="majorBidi" w:cstheme="majorBidi"/>
          <w:color w:val="000000" w:themeColor="text1"/>
          <w:sz w:val="20"/>
          <w:szCs w:val="20"/>
          <w:vertAlign w:val="superscript"/>
          <w:lang w:val="fr-FR"/>
        </w:rPr>
        <w:t xml:space="preserve"> </w:t>
      </w:r>
      <w:r w:rsidR="008D357B" w:rsidRPr="004931CB">
        <w:rPr>
          <w:rFonts w:eastAsia="Times New Roman"/>
          <w:sz w:val="20"/>
          <w:szCs w:val="24"/>
          <w:lang w:val="fr-FR"/>
        </w:rPr>
        <w:t>[</w:t>
      </w:r>
      <w:r w:rsidR="008D357B">
        <w:rPr>
          <w:rFonts w:eastAsia="Times New Roman"/>
          <w:sz w:val="20"/>
          <w:szCs w:val="24"/>
          <w:lang w:val="fr-FR"/>
        </w:rPr>
        <w:t>1,2</w:t>
      </w:r>
      <w:r w:rsidR="008D357B" w:rsidRPr="004931CB">
        <w:rPr>
          <w:rFonts w:eastAsia="Times New Roman"/>
          <w:sz w:val="20"/>
          <w:szCs w:val="24"/>
          <w:lang w:val="fr-FR"/>
        </w:rPr>
        <w:t>].</w:t>
      </w:r>
    </w:p>
    <w:p w14:paraId="6E3A5FC2" w14:textId="77777777" w:rsidR="00570C9B" w:rsidRPr="005202AA" w:rsidRDefault="00570C9B" w:rsidP="00570C9B">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Un des mécanismes du risque de MCV est en grande partie due à des changements défavorables du système vasculaire, y compris la rigidité artérielle.</w:t>
      </w:r>
    </w:p>
    <w:p w14:paraId="50787F46" w14:textId="05E5181B" w:rsidR="00570C9B" w:rsidRPr="005202AA" w:rsidRDefault="00570C9B" w:rsidP="008D357B">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La rigidité artérielle évaluée par la vitesse de l'onde de pouls carotido-fémorale (</w:t>
      </w:r>
      <w:proofErr w:type="spellStart"/>
      <w:r w:rsidRPr="005202AA">
        <w:rPr>
          <w:rFonts w:asciiTheme="majorBidi" w:hAnsiTheme="majorBidi" w:cstheme="majorBidi"/>
          <w:color w:val="000000" w:themeColor="text1"/>
          <w:sz w:val="20"/>
          <w:szCs w:val="20"/>
          <w:lang w:val="fr-FR"/>
        </w:rPr>
        <w:t>VOPc</w:t>
      </w:r>
      <w:proofErr w:type="spellEnd"/>
      <w:r w:rsidRPr="005202AA">
        <w:rPr>
          <w:rFonts w:asciiTheme="majorBidi" w:hAnsiTheme="majorBidi" w:cstheme="majorBidi"/>
          <w:color w:val="000000" w:themeColor="text1"/>
          <w:sz w:val="20"/>
          <w:szCs w:val="20"/>
          <w:lang w:val="fr-FR"/>
        </w:rPr>
        <w:t>-f), une méthode non invasive et reproductible, prédit mieux le risque cardiovasculaire au-delà des facteurs de risque classiques avec un pouvoir de reclassement en cas de risque non élevé et, est un prédicteur indépendant de la morbidité et la mortalité cardiovasculaires</w:t>
      </w:r>
      <w:r w:rsidR="008D357B" w:rsidRPr="005202AA">
        <w:rPr>
          <w:rFonts w:asciiTheme="majorBidi" w:hAnsiTheme="majorBidi" w:cstheme="majorBidi"/>
          <w:color w:val="000000" w:themeColor="text1"/>
          <w:sz w:val="20"/>
          <w:szCs w:val="20"/>
          <w:lang w:val="fr-FR"/>
        </w:rPr>
        <w:t xml:space="preserve"> </w:t>
      </w:r>
      <w:r w:rsidR="008D357B" w:rsidRPr="004931CB">
        <w:rPr>
          <w:rFonts w:eastAsia="Times New Roman"/>
          <w:sz w:val="20"/>
          <w:szCs w:val="24"/>
          <w:lang w:val="fr-FR"/>
        </w:rPr>
        <w:t>[</w:t>
      </w:r>
      <w:r w:rsidR="008D357B">
        <w:rPr>
          <w:rFonts w:eastAsia="Times New Roman"/>
          <w:sz w:val="20"/>
          <w:szCs w:val="24"/>
          <w:lang w:val="fr-FR"/>
        </w:rPr>
        <w:t>3,4,5</w:t>
      </w:r>
      <w:r w:rsidR="008D357B" w:rsidRPr="004931CB">
        <w:rPr>
          <w:rFonts w:eastAsia="Times New Roman"/>
          <w:sz w:val="20"/>
          <w:szCs w:val="24"/>
          <w:lang w:val="fr-FR"/>
        </w:rPr>
        <w:t>].</w:t>
      </w:r>
    </w:p>
    <w:p w14:paraId="39B78C8D" w14:textId="77777777" w:rsidR="00570C9B" w:rsidRPr="005202AA" w:rsidRDefault="00570C9B" w:rsidP="00570C9B">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Les principaux déterminants de la rigidité artérielle sont bien établis chez les populations plus âgées et d'âge moyen, mais beaucoup moins chez les sujets jeunes et apparemment sains.</w:t>
      </w:r>
    </w:p>
    <w:p w14:paraId="29A1B95A" w14:textId="5197DB2F" w:rsidR="00570C9B" w:rsidRPr="00570C9B" w:rsidRDefault="00570C9B" w:rsidP="00570C9B">
      <w:pPr>
        <w:pStyle w:val="Els-body-text"/>
        <w:ind w:firstLine="0"/>
        <w:rPr>
          <w:sz w:val="20"/>
          <w:lang w:val="fr-FR"/>
        </w:rPr>
      </w:pPr>
      <w:r w:rsidRPr="005202AA">
        <w:rPr>
          <w:rFonts w:asciiTheme="majorBidi" w:hAnsiTheme="majorBidi" w:cstheme="majorBidi"/>
          <w:color w:val="000000" w:themeColor="text1"/>
          <w:sz w:val="20"/>
          <w:lang w:val="fr-FR"/>
        </w:rPr>
        <w:t>Le but de cette étude est d'identifier les facteurs prédictifs de la rigidité artérielle par la mesure de la VOP dans un groupe de patients jeunes et à risque non élevé.</w:t>
      </w:r>
    </w:p>
    <w:p w14:paraId="3E68C122" w14:textId="77777777" w:rsidR="00B778A0" w:rsidRPr="00B778A0" w:rsidRDefault="00B778A0" w:rsidP="00B778A0">
      <w:pPr>
        <w:pStyle w:val="Els-body-text"/>
        <w:rPr>
          <w:lang w:val="fr-FR"/>
        </w:rPr>
      </w:pPr>
    </w:p>
    <w:p w14:paraId="2193A7D6" w14:textId="7A0EA0BD" w:rsidR="00A70899" w:rsidRPr="005202AA" w:rsidRDefault="00A70899" w:rsidP="00A70899">
      <w:pPr>
        <w:pStyle w:val="Els-1storder-head"/>
        <w:numPr>
          <w:ilvl w:val="0"/>
          <w:numId w:val="0"/>
        </w:numPr>
        <w:rPr>
          <w:sz w:val="20"/>
          <w:lang w:val="fr-FR"/>
        </w:rPr>
      </w:pPr>
      <w:r w:rsidRPr="005202AA">
        <w:rPr>
          <w:sz w:val="20"/>
          <w:lang w:val="fr-FR"/>
        </w:rPr>
        <w:t>Matériels and Méthodes</w:t>
      </w:r>
    </w:p>
    <w:p w14:paraId="0753F775" w14:textId="361673CC" w:rsidR="00392667" w:rsidRPr="005202AA" w:rsidRDefault="00392667" w:rsidP="003F15B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Il s’agit d’une étude transversale, descriptive et analytique portant sur 310 patients âgés de 20 ans et plus, non diabétiques et à RCV non élevé &lt;20% selon le modèle de Framingham. L’étude s’est déroulée au Centre Régional Médico- Chirurgical de Blida (CRMC). Le recrutement s’est fait à partir de la consultation de cardiologie durant la période étalée entre le 02 Janvier 2013 et le 30 Septembre </w:t>
      </w:r>
      <w:r w:rsidR="003F15B4" w:rsidRPr="005202AA">
        <w:rPr>
          <w:rFonts w:asciiTheme="majorBidi" w:hAnsiTheme="majorBidi" w:cstheme="majorBidi"/>
          <w:color w:val="000000" w:themeColor="text1"/>
          <w:sz w:val="20"/>
          <w:szCs w:val="20"/>
          <w:lang w:val="fr-FR"/>
        </w:rPr>
        <w:t>2</w:t>
      </w:r>
      <w:r w:rsidRPr="005202AA">
        <w:rPr>
          <w:rFonts w:asciiTheme="majorBidi" w:hAnsiTheme="majorBidi" w:cstheme="majorBidi"/>
          <w:color w:val="000000" w:themeColor="text1"/>
          <w:sz w:val="20"/>
          <w:szCs w:val="20"/>
          <w:lang w:val="fr-FR"/>
        </w:rPr>
        <w:t xml:space="preserve">015. Les données ont été recueillies à l'aide d'un questionnaire. </w:t>
      </w:r>
    </w:p>
    <w:p w14:paraId="3B490178" w14:textId="77777777" w:rsidR="00392667" w:rsidRPr="005202AA" w:rsidRDefault="00392667" w:rsidP="00392667">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Tous nos patients ont bénéficié d’un examen clinique complet. avec mesure de poids et de la taille.  </w:t>
      </w:r>
    </w:p>
    <w:p w14:paraId="7ACA3ABF" w14:textId="77777777" w:rsidR="00392667" w:rsidRPr="005202AA" w:rsidRDefault="00392667" w:rsidP="00392667">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Définition et mesure des variables étudiées</w:t>
      </w:r>
    </w:p>
    <w:p w14:paraId="3B3CAFA4"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-Variables cliniques : </w:t>
      </w:r>
    </w:p>
    <w:p w14:paraId="222B02F8"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Consommation du tabac : seul le tabac à fumer est enregistré et définit en trois catégories (jamais, actuel, sevré depuis plus de 3 ans). </w:t>
      </w:r>
    </w:p>
    <w:p w14:paraId="671D962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La ménopause : absence de règle depuis plus de 12 mois, survenue de manière naturelle ou chirurgicale. </w:t>
      </w:r>
    </w:p>
    <w:p w14:paraId="7515F02A"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Pression artérielle : 03 mesures réalisées à 2 minutes d’intervalle, au niveau du bras droit-gauche, sur un sujet en position assise après 5 minutes de repos, avec un appareil électronique et validé (OMRON M3W ; HEM-7202-E, OMRON Healthcare, Kyoto, Japon). Cet appareil fournit automatiquement les valeurs de PA systolique (PAS), diastolique (PAD) et la fréquence cardiaque (FC). La pression pulsée (PP) était ensuite calculée comme étant la différence entre PAS et PAD (PAS - PAD). </w:t>
      </w:r>
    </w:p>
    <w:p w14:paraId="65AB7C9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Sont définis comme hypertendus les sujets sous traitement anti hypertenseur ou ayant une PAS ≥140 </w:t>
      </w:r>
      <w:proofErr w:type="spellStart"/>
      <w:r w:rsidRPr="00392667">
        <w:rPr>
          <w:rFonts w:asciiTheme="majorBidi" w:hAnsiTheme="majorBidi" w:cstheme="majorBidi"/>
          <w:color w:val="000000" w:themeColor="text1"/>
          <w:sz w:val="20"/>
          <w:szCs w:val="20"/>
        </w:rPr>
        <w:t>mmHg</w:t>
      </w:r>
      <w:proofErr w:type="spellEnd"/>
      <w:r w:rsidRPr="00392667">
        <w:rPr>
          <w:rFonts w:asciiTheme="majorBidi" w:hAnsiTheme="majorBidi" w:cstheme="majorBidi"/>
          <w:color w:val="000000" w:themeColor="text1"/>
          <w:sz w:val="20"/>
          <w:szCs w:val="20"/>
        </w:rPr>
        <w:t xml:space="preserve"> et /ou une PAD ≥ 90 mm Hg par la moyenne des deux dernières mesures.  La pression pulsée est pathologique pour une valeur ≥ 60 mm Hg.</w:t>
      </w:r>
    </w:p>
    <w:p w14:paraId="7ED74DBF"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-Variables anthropométriques : </w:t>
      </w:r>
    </w:p>
    <w:p w14:paraId="24CE8EA0" w14:textId="77777777" w:rsidR="00392667" w:rsidRPr="005202AA" w:rsidRDefault="00392667" w:rsidP="00392667">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Taille : mesurée chez un sujet déchaussé, pieds joints, la tête droite face à l’examinateur et la colonne vertébrale plaquée le long de la toise. Le résultat a été arrondi au centimètre inférieur.</w:t>
      </w:r>
    </w:p>
    <w:p w14:paraId="23425BE1"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Poids : mesuré sur un sujet légèrement vêtu à l’aide d’une balance (SECA). Le résultat a été arrondi au kilogramme inférieur. </w:t>
      </w:r>
    </w:p>
    <w:p w14:paraId="43CB92B7"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Le BMI : est définit par le rapport entre le poids en kilogramme et la taille en mètre carré et est calculé par la formule suivante : BMI = (Poids (kg)/ Taille (m) 2). </w:t>
      </w:r>
    </w:p>
    <w:p w14:paraId="73C8575C"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Les sujets ont été classés comme suit : </w:t>
      </w:r>
    </w:p>
    <w:p w14:paraId="67CC5F4D"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o BMI ≤ 18,5Kg /m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 maigreur </w:t>
      </w:r>
    </w:p>
    <w:p w14:paraId="267108FB"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o La fourchette normale :  BMI ≤  25Kg /m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et &gt; 18,5Kg /m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w:t>
      </w:r>
    </w:p>
    <w:p w14:paraId="59725043"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o Le surpoids est définit comme un IMC≥ 25 Kg / 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et &lt;30Kg /m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w:t>
      </w:r>
    </w:p>
    <w:p w14:paraId="117DF45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o L’obésité générale est définit comme un IMC≥ 30 Kg/m</w:t>
      </w:r>
      <w:r w:rsidRPr="00392667">
        <w:rPr>
          <w:rFonts w:asciiTheme="majorBidi" w:hAnsiTheme="majorBidi" w:cstheme="majorBidi"/>
          <w:color w:val="000000" w:themeColor="text1"/>
          <w:sz w:val="20"/>
          <w:szCs w:val="20"/>
          <w:vertAlign w:val="superscript"/>
        </w:rPr>
        <w:t>2</w:t>
      </w:r>
      <w:r w:rsidRPr="00392667">
        <w:rPr>
          <w:rFonts w:asciiTheme="majorBidi" w:hAnsiTheme="majorBidi" w:cstheme="majorBidi"/>
          <w:color w:val="000000" w:themeColor="text1"/>
          <w:sz w:val="20"/>
          <w:szCs w:val="20"/>
        </w:rPr>
        <w:t xml:space="preserve">. </w:t>
      </w:r>
    </w:p>
    <w:p w14:paraId="28131A20" w14:textId="77777777" w:rsidR="00392667" w:rsidRPr="00392667" w:rsidRDefault="00392667" w:rsidP="00392667">
      <w:pPr>
        <w:pStyle w:val="Default"/>
        <w:jc w:val="both"/>
        <w:rPr>
          <w:rFonts w:asciiTheme="majorBidi" w:hAnsiTheme="majorBidi" w:cstheme="majorBidi"/>
          <w:color w:val="000000" w:themeColor="text1"/>
          <w:sz w:val="20"/>
          <w:szCs w:val="20"/>
        </w:rPr>
      </w:pPr>
    </w:p>
    <w:p w14:paraId="7FDE0EC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Tour de taille à la recherche d’une obésité androïde : mesuré au centimètre sur un sujet en position debout, droit, abdomen dévêtu, pieds nus légèrement écartés (25-30 cm ou à la largeur des épaules), sans rentrer le ventre. Le mètre ruban autour de la taille, à mi-distance entre l’épine iliaque antéro-supérieure et la dernière côte sur la ligne médio-axillaire. Il était tendu sans être serré autour d’un ventre relâché et à la fin de l’expiration. </w:t>
      </w:r>
    </w:p>
    <w:p w14:paraId="04E990E8" w14:textId="5C1CE49B"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lastRenderedPageBreak/>
        <w:t xml:space="preserve">L’obésité abdominale est </w:t>
      </w:r>
      <w:r w:rsidR="00904551" w:rsidRPr="00392667">
        <w:rPr>
          <w:rFonts w:asciiTheme="majorBidi" w:hAnsiTheme="majorBidi" w:cstheme="majorBidi"/>
          <w:color w:val="000000" w:themeColor="text1"/>
          <w:sz w:val="20"/>
          <w:szCs w:val="20"/>
        </w:rPr>
        <w:t>définie</w:t>
      </w:r>
      <w:r w:rsidRPr="00392667">
        <w:rPr>
          <w:rFonts w:asciiTheme="majorBidi" w:hAnsiTheme="majorBidi" w:cstheme="majorBidi"/>
          <w:color w:val="000000" w:themeColor="text1"/>
          <w:sz w:val="20"/>
          <w:szCs w:val="20"/>
        </w:rPr>
        <w:t xml:space="preserve"> par le NCEPIII chez l’homme par un tour de taille ≥ 102 cm et chez la femme par un tour de tour ≥88 cm. </w:t>
      </w:r>
    </w:p>
    <w:p w14:paraId="0F68D92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La mesure du rapport tour de taille/tour de hanche, autre paramètre de la répartition centrale des graisses. L’obésité androide est définit par un rapport &gt;0,85 (femme) et &gt;0,95 (homme).</w:t>
      </w:r>
    </w:p>
    <w:p w14:paraId="445F1125" w14:textId="77777777" w:rsidR="00392667" w:rsidRPr="00392667" w:rsidRDefault="00392667" w:rsidP="00392667">
      <w:pPr>
        <w:pStyle w:val="Default"/>
        <w:jc w:val="both"/>
        <w:rPr>
          <w:rFonts w:asciiTheme="majorBidi" w:hAnsiTheme="majorBidi" w:cstheme="majorBidi"/>
          <w:color w:val="000000" w:themeColor="text1"/>
          <w:sz w:val="20"/>
          <w:szCs w:val="20"/>
        </w:rPr>
      </w:pPr>
    </w:p>
    <w:p w14:paraId="0E2194D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-Variables biologiques : </w:t>
      </w:r>
    </w:p>
    <w:p w14:paraId="3957616F"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Glycémie sanguine : mesurée en utilisant une méthode standard (méthode enzymatique oxydase /</w:t>
      </w:r>
      <w:proofErr w:type="spellStart"/>
      <w:r w:rsidRPr="00392667">
        <w:rPr>
          <w:rFonts w:asciiTheme="majorBidi" w:hAnsiTheme="majorBidi" w:cstheme="majorBidi"/>
          <w:color w:val="000000" w:themeColor="text1"/>
          <w:sz w:val="20"/>
          <w:szCs w:val="20"/>
        </w:rPr>
        <w:t>péroxydase</w:t>
      </w:r>
      <w:proofErr w:type="spellEnd"/>
      <w:r w:rsidRPr="00392667">
        <w:rPr>
          <w:rFonts w:asciiTheme="majorBidi" w:hAnsiTheme="majorBidi" w:cstheme="majorBidi"/>
          <w:color w:val="000000" w:themeColor="text1"/>
          <w:sz w:val="20"/>
          <w:szCs w:val="20"/>
        </w:rPr>
        <w:t xml:space="preserve"> couplée à une réaction </w:t>
      </w:r>
      <w:proofErr w:type="spellStart"/>
      <w:r w:rsidRPr="00392667">
        <w:rPr>
          <w:rFonts w:asciiTheme="majorBidi" w:hAnsiTheme="majorBidi" w:cstheme="majorBidi"/>
          <w:color w:val="000000" w:themeColor="text1"/>
          <w:sz w:val="20"/>
          <w:szCs w:val="20"/>
        </w:rPr>
        <w:t>colorométrique</w:t>
      </w:r>
      <w:proofErr w:type="spellEnd"/>
      <w:r w:rsidRPr="00392667">
        <w:rPr>
          <w:rFonts w:asciiTheme="majorBidi" w:hAnsiTheme="majorBidi" w:cstheme="majorBidi"/>
          <w:color w:val="000000" w:themeColor="text1"/>
          <w:sz w:val="20"/>
          <w:szCs w:val="20"/>
        </w:rPr>
        <w:t xml:space="preserve">). Prélèvement effectué sur un sujet à jeun. Est considéré comme diabétique tout patient prenant un traitement </w:t>
      </w:r>
      <w:proofErr w:type="spellStart"/>
      <w:r w:rsidRPr="00392667">
        <w:rPr>
          <w:rFonts w:asciiTheme="majorBidi" w:hAnsiTheme="majorBidi" w:cstheme="majorBidi"/>
          <w:color w:val="000000" w:themeColor="text1"/>
          <w:sz w:val="20"/>
          <w:szCs w:val="20"/>
        </w:rPr>
        <w:t>antihyperglycémiant</w:t>
      </w:r>
      <w:proofErr w:type="spellEnd"/>
      <w:r w:rsidRPr="00392667">
        <w:rPr>
          <w:rFonts w:asciiTheme="majorBidi" w:hAnsiTheme="majorBidi" w:cstheme="majorBidi"/>
          <w:color w:val="000000" w:themeColor="text1"/>
          <w:sz w:val="20"/>
          <w:szCs w:val="20"/>
        </w:rPr>
        <w:t xml:space="preserve"> ou ayant une glycémie à jeun ≥1,26 gr /l, contrôlée deux fois, ou glycémie supérieure ou égale à 2g/l à la deuxième heure après l’épreuve de charge de 75g de glucose par voie orale. </w:t>
      </w:r>
    </w:p>
    <w:p w14:paraId="68419FAF"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Le prédiabète est défini par une hyperglycémie modérée à jeun (soit une glycémie comprise entre 1,10 et 1.25g/l) ou une glycémie comprise entre 1.40 et 2 g/l à la deuxième heure après l’épreuve de charge de 75g de glucose par voie orale. </w:t>
      </w:r>
    </w:p>
    <w:p w14:paraId="3897FDE7"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L’HbA1c a été demandée chez les sujets dépistés diabétiques. Son dosage a été fait par méthode </w:t>
      </w:r>
      <w:proofErr w:type="spellStart"/>
      <w:r w:rsidRPr="00392667">
        <w:rPr>
          <w:rFonts w:asciiTheme="majorBidi" w:hAnsiTheme="majorBidi" w:cstheme="majorBidi"/>
          <w:color w:val="000000" w:themeColor="text1"/>
          <w:sz w:val="20"/>
          <w:szCs w:val="20"/>
        </w:rPr>
        <w:t>immunoturbidimétrique</w:t>
      </w:r>
      <w:proofErr w:type="spellEnd"/>
      <w:r w:rsidRPr="00392667">
        <w:rPr>
          <w:rFonts w:asciiTheme="majorBidi" w:hAnsiTheme="majorBidi" w:cstheme="majorBidi"/>
          <w:color w:val="000000" w:themeColor="text1"/>
          <w:sz w:val="20"/>
          <w:szCs w:val="20"/>
        </w:rPr>
        <w:t xml:space="preserve">. </w:t>
      </w:r>
    </w:p>
    <w:p w14:paraId="39F44E07"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Cholestérol total : mesuré en utilisant une méthode standard (méthode enzymatique </w:t>
      </w:r>
      <w:proofErr w:type="spellStart"/>
      <w:r w:rsidRPr="00392667">
        <w:rPr>
          <w:rFonts w:asciiTheme="majorBidi" w:hAnsiTheme="majorBidi" w:cstheme="majorBidi"/>
          <w:color w:val="000000" w:themeColor="text1"/>
          <w:sz w:val="20"/>
          <w:szCs w:val="20"/>
        </w:rPr>
        <w:t>colorométrique</w:t>
      </w:r>
      <w:proofErr w:type="spellEnd"/>
      <w:r w:rsidRPr="00392667">
        <w:rPr>
          <w:rFonts w:asciiTheme="majorBidi" w:hAnsiTheme="majorBidi" w:cstheme="majorBidi"/>
          <w:color w:val="000000" w:themeColor="text1"/>
          <w:sz w:val="20"/>
          <w:szCs w:val="20"/>
        </w:rPr>
        <w:t xml:space="preserve"> au point qui utilise le cholestérol –estérase et le cholestérol –oxydase]. Une hypercholestérolémie est définie par un taux de </w:t>
      </w:r>
      <w:proofErr w:type="spellStart"/>
      <w:r w:rsidRPr="00392667">
        <w:rPr>
          <w:rFonts w:asciiTheme="majorBidi" w:hAnsiTheme="majorBidi" w:cstheme="majorBidi"/>
          <w:color w:val="000000" w:themeColor="text1"/>
          <w:sz w:val="20"/>
          <w:szCs w:val="20"/>
        </w:rPr>
        <w:t>cholesterol</w:t>
      </w:r>
      <w:proofErr w:type="spellEnd"/>
      <w:r w:rsidRPr="00392667">
        <w:rPr>
          <w:rFonts w:asciiTheme="majorBidi" w:hAnsiTheme="majorBidi" w:cstheme="majorBidi"/>
          <w:color w:val="000000" w:themeColor="text1"/>
          <w:sz w:val="20"/>
          <w:szCs w:val="20"/>
        </w:rPr>
        <w:t xml:space="preserve"> total ≥2,4gr/l et /ou un patient sous statines. </w:t>
      </w:r>
    </w:p>
    <w:p w14:paraId="6C62247A"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Cholestérol à lipoprotéines de haute densité (HDL-</w:t>
      </w:r>
      <w:proofErr w:type="spellStart"/>
      <w:r w:rsidRPr="00392667">
        <w:rPr>
          <w:rFonts w:asciiTheme="majorBidi" w:hAnsiTheme="majorBidi" w:cstheme="majorBidi"/>
          <w:color w:val="000000" w:themeColor="text1"/>
          <w:sz w:val="20"/>
          <w:szCs w:val="20"/>
        </w:rPr>
        <w:t>chol</w:t>
      </w:r>
      <w:proofErr w:type="spellEnd"/>
      <w:r w:rsidRPr="00392667">
        <w:rPr>
          <w:rFonts w:asciiTheme="majorBidi" w:hAnsiTheme="majorBidi" w:cstheme="majorBidi"/>
          <w:color w:val="000000" w:themeColor="text1"/>
          <w:sz w:val="20"/>
          <w:szCs w:val="20"/>
        </w:rPr>
        <w:t xml:space="preserve">) : mesuré en utilisant la technique de précipitation qui utilise du cholestérol-estérase modifié au </w:t>
      </w:r>
      <w:proofErr w:type="spellStart"/>
      <w:r w:rsidRPr="00392667">
        <w:rPr>
          <w:rFonts w:asciiTheme="majorBidi" w:hAnsiTheme="majorBidi" w:cstheme="majorBidi"/>
          <w:color w:val="000000" w:themeColor="text1"/>
          <w:sz w:val="20"/>
          <w:szCs w:val="20"/>
        </w:rPr>
        <w:t>polyethylène</w:t>
      </w:r>
      <w:proofErr w:type="spellEnd"/>
      <w:r w:rsidRPr="00392667">
        <w:rPr>
          <w:rFonts w:asciiTheme="majorBidi" w:hAnsiTheme="majorBidi" w:cstheme="majorBidi"/>
          <w:color w:val="000000" w:themeColor="text1"/>
          <w:sz w:val="20"/>
          <w:szCs w:val="20"/>
        </w:rPr>
        <w:t xml:space="preserve"> –glycol. Une </w:t>
      </w:r>
      <w:proofErr w:type="spellStart"/>
      <w:r w:rsidRPr="00392667">
        <w:rPr>
          <w:rFonts w:asciiTheme="majorBidi" w:hAnsiTheme="majorBidi" w:cstheme="majorBidi"/>
          <w:color w:val="000000" w:themeColor="text1"/>
          <w:sz w:val="20"/>
          <w:szCs w:val="20"/>
        </w:rPr>
        <w:t>hypoHDLémie</w:t>
      </w:r>
      <w:proofErr w:type="spellEnd"/>
      <w:r w:rsidRPr="00392667">
        <w:rPr>
          <w:rFonts w:asciiTheme="majorBidi" w:hAnsiTheme="majorBidi" w:cstheme="majorBidi"/>
          <w:color w:val="000000" w:themeColor="text1"/>
          <w:sz w:val="20"/>
          <w:szCs w:val="20"/>
        </w:rPr>
        <w:t xml:space="preserve"> est définie selon NCEP III par un taux &lt;0,40 gr /l (homme) et &lt;0,50 gr/l (femme). </w:t>
      </w:r>
    </w:p>
    <w:p w14:paraId="0C1E5688"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Cholestérol à lipoprotéine à faible densité (LDL-</w:t>
      </w:r>
      <w:proofErr w:type="spellStart"/>
      <w:r w:rsidRPr="00392667">
        <w:rPr>
          <w:rFonts w:asciiTheme="majorBidi" w:hAnsiTheme="majorBidi" w:cstheme="majorBidi"/>
          <w:color w:val="000000" w:themeColor="text1"/>
          <w:sz w:val="20"/>
          <w:szCs w:val="20"/>
        </w:rPr>
        <w:t>chol</w:t>
      </w:r>
      <w:proofErr w:type="spellEnd"/>
      <w:r w:rsidRPr="00392667">
        <w:rPr>
          <w:rFonts w:asciiTheme="majorBidi" w:hAnsiTheme="majorBidi" w:cstheme="majorBidi"/>
          <w:color w:val="000000" w:themeColor="text1"/>
          <w:sz w:val="20"/>
          <w:szCs w:val="20"/>
        </w:rPr>
        <w:t xml:space="preserve">) : calculé automatiquement dans chaque échantillon en utilisant les valeurs déterminées directement par le cholestérol, le HDL et les TG selon l’équation de </w:t>
      </w:r>
      <w:proofErr w:type="spellStart"/>
      <w:r w:rsidRPr="00392667">
        <w:rPr>
          <w:rFonts w:asciiTheme="majorBidi" w:hAnsiTheme="majorBidi" w:cstheme="majorBidi"/>
          <w:color w:val="000000" w:themeColor="text1"/>
          <w:sz w:val="20"/>
          <w:szCs w:val="20"/>
        </w:rPr>
        <w:t>Friedewald</w:t>
      </w:r>
      <w:proofErr w:type="spellEnd"/>
      <w:r w:rsidRPr="00392667">
        <w:rPr>
          <w:rFonts w:asciiTheme="majorBidi" w:hAnsiTheme="majorBidi" w:cstheme="majorBidi"/>
          <w:color w:val="000000" w:themeColor="text1"/>
          <w:sz w:val="20"/>
          <w:szCs w:val="20"/>
        </w:rPr>
        <w:t xml:space="preserve"> : LDL-c = [cholestérol total - HDL-c] - triglycérides /5. Cette équation n’est pas valable pour des concentrations de TG qui dépassent les 4 gr/l. Dans ce cas, le LDL-C est mesuré directement en utilisant des substances tensioactives spécialement formulées. Les TG mesurés par une méthode standard faisant appel à une méthode enzymatique. Une hypertriglycéridémie est définie par un taux de TG ≥1,50 gr /l.</w:t>
      </w:r>
    </w:p>
    <w:p w14:paraId="02EA5CC7"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La dyslipidémie est définie par la présence d’au moins une des anomalies concernant le CT, LDL-C, et TG ou un traitement hypolipémiant en cours. </w:t>
      </w:r>
    </w:p>
    <w:p w14:paraId="73F5E8B3"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Syndrome métabolique : d’après la définition du NCEP/ATP3, combine 05 paramètres anthropométriques et biologiques : TT, PA, glycémie, les TG et le HDL –CT. </w:t>
      </w:r>
    </w:p>
    <w:p w14:paraId="3BED13E4" w14:textId="2F87EA3C"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Il est </w:t>
      </w:r>
      <w:r w:rsidR="00904551" w:rsidRPr="00392667">
        <w:rPr>
          <w:rFonts w:asciiTheme="majorBidi" w:hAnsiTheme="majorBidi" w:cstheme="majorBidi"/>
          <w:color w:val="000000" w:themeColor="text1"/>
          <w:sz w:val="20"/>
          <w:szCs w:val="20"/>
        </w:rPr>
        <w:t>défini</w:t>
      </w:r>
      <w:r w:rsidRPr="00392667">
        <w:rPr>
          <w:rFonts w:asciiTheme="majorBidi" w:hAnsiTheme="majorBidi" w:cstheme="majorBidi"/>
          <w:color w:val="000000" w:themeColor="text1"/>
          <w:sz w:val="20"/>
          <w:szCs w:val="20"/>
        </w:rPr>
        <w:t xml:space="preserve"> comme l’association d’au moins 03 critères parmi les 05 suivants : </w:t>
      </w:r>
    </w:p>
    <w:p w14:paraId="1120DBC9"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TT≥102 chez l’homme et ≥88 chez la femme </w:t>
      </w:r>
    </w:p>
    <w:p w14:paraId="349C6C36"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PA (systolique/diastolique) ≥130/85mm Hg </w:t>
      </w:r>
    </w:p>
    <w:p w14:paraId="6FF02450"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TG≥1,5 gr/l </w:t>
      </w:r>
    </w:p>
    <w:p w14:paraId="6AAE02F4"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HDL-c&lt;0,40gr/ chez l’homme et &lt;0,50gr/l chez la femme </w:t>
      </w:r>
    </w:p>
    <w:p w14:paraId="30B42814"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Glycémie à jeun≥ 1,10 gr /l et &lt;1,26gr/l </w:t>
      </w:r>
    </w:p>
    <w:p w14:paraId="0A724E27" w14:textId="77777777" w:rsidR="00392667" w:rsidRPr="00392667" w:rsidRDefault="00392667" w:rsidP="00392667">
      <w:pPr>
        <w:pStyle w:val="Default"/>
        <w:rPr>
          <w:rFonts w:asciiTheme="majorBidi" w:hAnsiTheme="majorBidi" w:cstheme="majorBidi"/>
          <w:color w:val="000000" w:themeColor="text1"/>
          <w:sz w:val="20"/>
          <w:szCs w:val="20"/>
        </w:rPr>
      </w:pPr>
    </w:p>
    <w:p w14:paraId="5E2CDB33"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Le score de risque CV de Framingham d’après qui permet d’estimer le risque à 10 ans de développer une pathologie coronarienne grave a été calculé en utilisant l’approche papier. Le calcul de risque s’est fait manuellement pour chaque patient (annexe1).</w:t>
      </w:r>
    </w:p>
    <w:p w14:paraId="79E213BB"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Le risque a été calculé en fonction de plusieurs données au nombre de cinq: âge, tabac, CT, HDL-c et PAS. L’addition des points de risque attribués à chaque facteur permet d’obtenir un score transformé en un pourcentage de probabilité de développer l’évènement coronaire. Trois niveaux de risque sont définis : </w:t>
      </w:r>
    </w:p>
    <w:p w14:paraId="711BF5D3"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o Risque faible &lt;10% </w:t>
      </w:r>
    </w:p>
    <w:p w14:paraId="58B29A75"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o Risque intermédiaire entre 10 et &lt; 20% </w:t>
      </w:r>
    </w:p>
    <w:p w14:paraId="56DC6F9E" w14:textId="77777777" w:rsidR="00392667" w:rsidRPr="00392667" w:rsidRDefault="00392667" w:rsidP="00392667">
      <w:pPr>
        <w:pStyle w:val="Default"/>
        <w:jc w:val="both"/>
        <w:rPr>
          <w:rFonts w:asciiTheme="majorBidi" w:hAnsiTheme="majorBidi" w:cstheme="majorBidi"/>
          <w:color w:val="000000" w:themeColor="text1"/>
          <w:sz w:val="20"/>
          <w:szCs w:val="20"/>
        </w:rPr>
      </w:pPr>
      <w:r w:rsidRPr="00392667">
        <w:rPr>
          <w:rFonts w:asciiTheme="majorBidi" w:hAnsiTheme="majorBidi" w:cstheme="majorBidi"/>
          <w:color w:val="000000" w:themeColor="text1"/>
          <w:sz w:val="20"/>
          <w:szCs w:val="20"/>
        </w:rPr>
        <w:t xml:space="preserve">o Risque élevé ≥ 20% </w:t>
      </w:r>
    </w:p>
    <w:p w14:paraId="61B2D690" w14:textId="77777777" w:rsidR="00392667" w:rsidRPr="005202AA" w:rsidRDefault="00392667" w:rsidP="00392667">
      <w:pPr>
        <w:autoSpaceDE w:val="0"/>
        <w:autoSpaceDN w:val="0"/>
        <w:adjustRightInd w:val="0"/>
        <w:spacing w:after="0" w:line="240" w:lineRule="auto"/>
        <w:rPr>
          <w:rFonts w:asciiTheme="majorBidi" w:hAnsiTheme="majorBidi" w:cstheme="majorBidi"/>
          <w:color w:val="000000" w:themeColor="text1"/>
          <w:sz w:val="20"/>
          <w:szCs w:val="20"/>
          <w:lang w:val="fr-FR"/>
        </w:rPr>
      </w:pPr>
    </w:p>
    <w:p w14:paraId="24DE4E2C" w14:textId="77777777" w:rsidR="00392667" w:rsidRPr="005202AA" w:rsidRDefault="00392667" w:rsidP="00392667">
      <w:pPr>
        <w:autoSpaceDE w:val="0"/>
        <w:autoSpaceDN w:val="0"/>
        <w:adjustRightInd w:val="0"/>
        <w:spacing w:after="0" w:line="240" w:lineRule="auto"/>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Activité physique : 4 niveau ont été relevées : aucune, légère (ex : moins d’une fois par semaine), modérée (20 min au moins, une fois ou deux fois par semaine) et haute (20 min au moins, trois fois par semaine ou plus). Il a été procédé dans l’analyse, à un regroupement de modalités comme suite : </w:t>
      </w:r>
    </w:p>
    <w:p w14:paraId="7F69AB1F" w14:textId="77777777" w:rsidR="00392667" w:rsidRPr="005202AA" w:rsidRDefault="00392667" w:rsidP="00392667">
      <w:pPr>
        <w:autoSpaceDE w:val="0"/>
        <w:autoSpaceDN w:val="0"/>
        <w:adjustRightInd w:val="0"/>
        <w:spacing w:after="32" w:line="240" w:lineRule="auto"/>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o Aucune =absence de toute activité physique </w:t>
      </w:r>
    </w:p>
    <w:p w14:paraId="13D6CCDC" w14:textId="77777777" w:rsidR="00392667" w:rsidRPr="005202AA" w:rsidRDefault="00392667" w:rsidP="00392667">
      <w:pPr>
        <w:autoSpaceDE w:val="0"/>
        <w:autoSpaceDN w:val="0"/>
        <w:adjustRightInd w:val="0"/>
        <w:spacing w:after="0" w:line="240" w:lineRule="auto"/>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o Légère à modérée= au moins 20 min 1 à 2 fois par semaine </w:t>
      </w:r>
    </w:p>
    <w:p w14:paraId="64230D43" w14:textId="53D117B3" w:rsidR="009E2D62" w:rsidRPr="005202AA" w:rsidRDefault="00392667" w:rsidP="00AC52DE">
      <w:pPr>
        <w:autoSpaceDE w:val="0"/>
        <w:autoSpaceDN w:val="0"/>
        <w:adjustRightInd w:val="0"/>
        <w:contextualSpacing/>
        <w:jc w:val="both"/>
        <w:rPr>
          <w:rFonts w:asciiTheme="majorBidi" w:hAnsiTheme="majorBidi" w:cstheme="majorBidi"/>
          <w:color w:val="000000" w:themeColor="text1"/>
          <w:sz w:val="24"/>
          <w:szCs w:val="24"/>
          <w:lang w:val="fr-FR"/>
        </w:rPr>
      </w:pPr>
      <w:r w:rsidRPr="005202AA">
        <w:rPr>
          <w:rFonts w:asciiTheme="majorBidi" w:hAnsiTheme="majorBidi" w:cstheme="majorBidi"/>
          <w:color w:val="000000" w:themeColor="text1"/>
          <w:sz w:val="20"/>
          <w:szCs w:val="20"/>
          <w:lang w:val="fr-FR"/>
        </w:rPr>
        <w:t>La VOP a été mesurée par le tonomètre d’</w:t>
      </w:r>
      <w:proofErr w:type="spellStart"/>
      <w:r w:rsidRPr="005202AA">
        <w:rPr>
          <w:rFonts w:asciiTheme="majorBidi" w:hAnsiTheme="majorBidi" w:cstheme="majorBidi"/>
          <w:color w:val="000000" w:themeColor="text1"/>
          <w:sz w:val="20"/>
          <w:szCs w:val="20"/>
          <w:lang w:val="fr-FR"/>
        </w:rPr>
        <w:t>aplanation</w:t>
      </w:r>
      <w:proofErr w:type="spellEnd"/>
      <w:r w:rsidRPr="005202AA">
        <w:rPr>
          <w:rFonts w:asciiTheme="majorBidi" w:hAnsiTheme="majorBidi" w:cstheme="majorBidi"/>
          <w:color w:val="000000" w:themeColor="text1"/>
          <w:sz w:val="20"/>
          <w:szCs w:val="20"/>
          <w:lang w:val="fr-FR"/>
        </w:rPr>
        <w:t xml:space="preserve"> artériel </w:t>
      </w:r>
      <w:proofErr w:type="spellStart"/>
      <w:r w:rsidRPr="005202AA">
        <w:rPr>
          <w:rFonts w:asciiTheme="majorBidi" w:hAnsiTheme="majorBidi" w:cstheme="majorBidi"/>
          <w:color w:val="000000" w:themeColor="text1"/>
          <w:sz w:val="20"/>
          <w:szCs w:val="20"/>
          <w:lang w:val="fr-FR"/>
        </w:rPr>
        <w:t>SphygmoCor</w:t>
      </w:r>
      <w:proofErr w:type="spellEnd"/>
      <w:r w:rsidRPr="005202AA">
        <w:rPr>
          <w:rFonts w:asciiTheme="majorBidi" w:hAnsiTheme="majorBidi" w:cstheme="majorBidi"/>
          <w:color w:val="000000" w:themeColor="text1"/>
          <w:sz w:val="20"/>
          <w:szCs w:val="20"/>
          <w:lang w:val="fr-FR"/>
        </w:rPr>
        <w:t xml:space="preserve"> (</w:t>
      </w:r>
      <w:proofErr w:type="spellStart"/>
      <w:r w:rsidRPr="005202AA">
        <w:rPr>
          <w:rFonts w:asciiTheme="majorBidi" w:hAnsiTheme="majorBidi" w:cstheme="majorBidi"/>
          <w:color w:val="000000" w:themeColor="text1"/>
          <w:sz w:val="20"/>
          <w:szCs w:val="20"/>
          <w:lang w:val="fr-FR"/>
        </w:rPr>
        <w:t>Atcor</w:t>
      </w:r>
      <w:proofErr w:type="spellEnd"/>
      <w:r w:rsidRPr="005202AA">
        <w:rPr>
          <w:rFonts w:asciiTheme="majorBidi" w:hAnsiTheme="majorBidi" w:cstheme="majorBidi"/>
          <w:color w:val="000000" w:themeColor="text1"/>
          <w:sz w:val="20"/>
          <w:szCs w:val="20"/>
          <w:lang w:val="fr-FR"/>
        </w:rPr>
        <w:t xml:space="preserve"> Médical, Sydney, </w:t>
      </w:r>
      <w:proofErr w:type="spellStart"/>
      <w:r w:rsidRPr="005202AA">
        <w:rPr>
          <w:rFonts w:asciiTheme="majorBidi" w:hAnsiTheme="majorBidi" w:cstheme="majorBidi"/>
          <w:color w:val="000000" w:themeColor="text1"/>
          <w:sz w:val="20"/>
          <w:szCs w:val="20"/>
          <w:lang w:val="fr-FR"/>
        </w:rPr>
        <w:t>Australia</w:t>
      </w:r>
      <w:proofErr w:type="spellEnd"/>
      <w:r w:rsidRPr="005202AA">
        <w:rPr>
          <w:rFonts w:asciiTheme="majorBidi" w:hAnsiTheme="majorBidi" w:cstheme="majorBidi"/>
          <w:color w:val="000000" w:themeColor="text1"/>
          <w:sz w:val="20"/>
          <w:szCs w:val="20"/>
          <w:lang w:val="fr-FR"/>
        </w:rPr>
        <w:t xml:space="preserve">) avec une sonde haute–fidélité </w:t>
      </w:r>
      <w:proofErr w:type="spellStart"/>
      <w:r w:rsidRPr="005202AA">
        <w:rPr>
          <w:rFonts w:asciiTheme="majorBidi" w:hAnsiTheme="majorBidi" w:cstheme="majorBidi"/>
          <w:color w:val="000000" w:themeColor="text1"/>
          <w:sz w:val="20"/>
          <w:szCs w:val="20"/>
          <w:lang w:val="fr-FR"/>
        </w:rPr>
        <w:t>Millar</w:t>
      </w:r>
      <w:proofErr w:type="spellEnd"/>
      <w:r w:rsidRPr="005202AA">
        <w:rPr>
          <w:rFonts w:asciiTheme="majorBidi" w:hAnsiTheme="majorBidi" w:cstheme="majorBidi"/>
          <w:color w:val="000000" w:themeColor="text1"/>
          <w:sz w:val="20"/>
          <w:szCs w:val="20"/>
          <w:lang w:val="fr-FR"/>
        </w:rPr>
        <w:t>. Les paramètres cliniques et biologiques ont été analysés.</w:t>
      </w:r>
    </w:p>
    <w:p w14:paraId="2FC0A353" w14:textId="2E6AB5B9" w:rsidR="00E56282" w:rsidRPr="005202AA" w:rsidRDefault="00E56282" w:rsidP="00185B02">
      <w:pPr>
        <w:pStyle w:val="Els-1storder-head"/>
        <w:numPr>
          <w:ilvl w:val="0"/>
          <w:numId w:val="0"/>
        </w:numPr>
        <w:rPr>
          <w:sz w:val="20"/>
          <w:lang w:val="fr-FR"/>
        </w:rPr>
      </w:pPr>
      <w:r w:rsidRPr="005202AA">
        <w:rPr>
          <w:sz w:val="20"/>
          <w:lang w:val="fr-FR"/>
        </w:rPr>
        <w:t>R</w:t>
      </w:r>
      <w:r w:rsidR="00A70899" w:rsidRPr="005202AA">
        <w:rPr>
          <w:sz w:val="20"/>
          <w:lang w:val="fr-FR"/>
        </w:rPr>
        <w:t>é</w:t>
      </w:r>
      <w:r w:rsidR="00C62E2E" w:rsidRPr="005202AA">
        <w:rPr>
          <w:sz w:val="20"/>
          <w:lang w:val="fr-FR"/>
        </w:rPr>
        <w:t>sult</w:t>
      </w:r>
      <w:r w:rsidR="00A70899" w:rsidRPr="005202AA">
        <w:rPr>
          <w:sz w:val="20"/>
          <w:lang w:val="fr-FR"/>
        </w:rPr>
        <w:t>at</w:t>
      </w:r>
      <w:r w:rsidR="00C62E2E" w:rsidRPr="005202AA">
        <w:rPr>
          <w:sz w:val="20"/>
          <w:lang w:val="fr-FR"/>
        </w:rPr>
        <w:t>s</w:t>
      </w:r>
    </w:p>
    <w:p w14:paraId="02989934" w14:textId="77777777" w:rsidR="000219FC" w:rsidRPr="005202AA" w:rsidRDefault="000219FC" w:rsidP="000219FC">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Notre échantillon était constitué de de 232 hommes (74,8%) et 78 femmes (25,2%). On note une nette prédominance masculine (p&lt;10</w:t>
      </w:r>
      <w:r w:rsidRPr="005202AA">
        <w:rPr>
          <w:rFonts w:asciiTheme="majorBidi" w:hAnsiTheme="majorBidi" w:cstheme="majorBidi"/>
          <w:color w:val="000000" w:themeColor="text1"/>
          <w:sz w:val="20"/>
          <w:szCs w:val="20"/>
          <w:vertAlign w:val="superscript"/>
          <w:lang w:val="fr-FR"/>
        </w:rPr>
        <w:t>-6</w:t>
      </w:r>
      <w:r w:rsidRPr="005202AA">
        <w:rPr>
          <w:rFonts w:asciiTheme="majorBidi" w:hAnsiTheme="majorBidi" w:cstheme="majorBidi"/>
          <w:color w:val="000000" w:themeColor="text1"/>
          <w:sz w:val="20"/>
          <w:szCs w:val="20"/>
          <w:lang w:val="fr-FR"/>
        </w:rPr>
        <w:t>) avec un sex-ratio hommes/femmes de 2,97.</w:t>
      </w:r>
    </w:p>
    <w:p w14:paraId="333A20B4" w14:textId="77777777" w:rsidR="000219FC" w:rsidRPr="005202AA" w:rsidRDefault="000219FC" w:rsidP="000219FC">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color w:val="000000" w:themeColor="text1"/>
          <w:sz w:val="20"/>
          <w:szCs w:val="20"/>
          <w:lang w:val="fr-FR"/>
        </w:rPr>
        <w:t>L’âge moyen de la population globale était de 41,83±12,84 ans avec une étendue allant de 20 ans à 74 ans et un âge médian de</w:t>
      </w:r>
      <w:r w:rsidRPr="005202AA">
        <w:rPr>
          <w:rFonts w:asciiTheme="majorBidi" w:hAnsiTheme="majorBidi" w:cstheme="majorBidi"/>
          <w:sz w:val="20"/>
          <w:szCs w:val="20"/>
          <w:lang w:val="fr-FR"/>
        </w:rPr>
        <w:t xml:space="preserve"> 42 ans. </w:t>
      </w:r>
    </w:p>
    <w:p w14:paraId="580577CD" w14:textId="77777777" w:rsidR="000219FC" w:rsidRPr="005202AA" w:rsidRDefault="000219FC" w:rsidP="000219FC">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sz w:val="20"/>
          <w:szCs w:val="20"/>
          <w:lang w:val="fr-FR"/>
        </w:rPr>
        <w:lastRenderedPageBreak/>
        <w:t>Chez les femmes, l’âge moyen était de 48,05 ±10,07 ans avec des extrêmes de 20 ans à 65 ans. Chez les hommes, l’âge moyen était de 39,74 ±13,02 ans avec des extrêmes allant de 20 ans à 74 ans (p&lt;10</w:t>
      </w:r>
      <w:r w:rsidRPr="005202AA">
        <w:rPr>
          <w:rFonts w:asciiTheme="majorBidi" w:hAnsiTheme="majorBidi" w:cstheme="majorBidi"/>
          <w:sz w:val="20"/>
          <w:szCs w:val="20"/>
          <w:vertAlign w:val="superscript"/>
          <w:lang w:val="fr-FR"/>
        </w:rPr>
        <w:t>-3</w:t>
      </w:r>
      <w:r w:rsidRPr="005202AA">
        <w:rPr>
          <w:rFonts w:asciiTheme="majorBidi" w:hAnsiTheme="majorBidi" w:cstheme="majorBidi"/>
          <w:sz w:val="20"/>
          <w:szCs w:val="20"/>
          <w:lang w:val="fr-FR"/>
        </w:rPr>
        <w:t>). Les femmes en moyenne plus âgées que les hommes (p&lt;10</w:t>
      </w:r>
      <w:r w:rsidRPr="005202AA">
        <w:rPr>
          <w:rFonts w:asciiTheme="majorBidi" w:hAnsiTheme="majorBidi" w:cstheme="majorBidi"/>
          <w:sz w:val="20"/>
          <w:szCs w:val="20"/>
          <w:vertAlign w:val="superscript"/>
          <w:lang w:val="fr-FR"/>
        </w:rPr>
        <w:t>-3</w:t>
      </w:r>
      <w:r w:rsidRPr="005202AA">
        <w:rPr>
          <w:rFonts w:asciiTheme="majorBidi" w:hAnsiTheme="majorBidi" w:cstheme="majorBidi"/>
          <w:sz w:val="20"/>
          <w:szCs w:val="20"/>
          <w:lang w:val="fr-FR"/>
        </w:rPr>
        <w:t>).</w:t>
      </w:r>
    </w:p>
    <w:p w14:paraId="64D1DF38" w14:textId="11992B45" w:rsidR="000219FC" w:rsidRPr="005202AA" w:rsidRDefault="000219FC" w:rsidP="000219FC">
      <w:pPr>
        <w:autoSpaceDE w:val="0"/>
        <w:autoSpaceDN w:val="0"/>
        <w:adjustRightInd w:val="0"/>
        <w:contextualSpacing/>
        <w:jc w:val="both"/>
        <w:rPr>
          <w:rFonts w:asciiTheme="majorBidi" w:hAnsiTheme="majorBidi" w:cstheme="majorBidi"/>
          <w:sz w:val="24"/>
          <w:szCs w:val="24"/>
          <w:lang w:val="fr-FR"/>
        </w:rPr>
      </w:pPr>
      <w:r w:rsidRPr="005202AA">
        <w:rPr>
          <w:rFonts w:asciiTheme="majorBidi" w:hAnsiTheme="majorBidi" w:cstheme="majorBidi"/>
          <w:sz w:val="20"/>
          <w:szCs w:val="20"/>
          <w:lang w:val="fr-FR"/>
        </w:rPr>
        <w:t>La répartition de la population selon les tranches d’âge ne montre pas différence (p=0,11) ; tableau 1</w:t>
      </w:r>
      <w:r w:rsidRPr="005202AA">
        <w:rPr>
          <w:rFonts w:asciiTheme="majorBidi" w:hAnsiTheme="majorBidi" w:cstheme="majorBidi"/>
          <w:sz w:val="24"/>
          <w:szCs w:val="24"/>
          <w:lang w:val="fr-FR"/>
        </w:rPr>
        <w:t>.</w:t>
      </w:r>
    </w:p>
    <w:p w14:paraId="20E162C5" w14:textId="77777777" w:rsidR="000219FC" w:rsidRPr="005202AA" w:rsidRDefault="000219FC" w:rsidP="000219FC">
      <w:pPr>
        <w:autoSpaceDE w:val="0"/>
        <w:autoSpaceDN w:val="0"/>
        <w:adjustRightInd w:val="0"/>
        <w:contextualSpacing/>
        <w:jc w:val="both"/>
        <w:rPr>
          <w:rFonts w:asciiTheme="majorBidi" w:hAnsiTheme="majorBidi" w:cstheme="majorBidi"/>
          <w:sz w:val="20"/>
          <w:szCs w:val="20"/>
          <w:lang w:val="fr-FR"/>
        </w:rPr>
      </w:pPr>
    </w:p>
    <w:p w14:paraId="0196DDB0" w14:textId="779D9432" w:rsidR="000219FC" w:rsidRPr="005202AA" w:rsidRDefault="000219FC" w:rsidP="000219FC">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sz w:val="20"/>
          <w:szCs w:val="20"/>
          <w:lang w:val="fr-FR"/>
        </w:rPr>
        <w:t>Tableau 1 : Répartition des patients par tranches d’âge</w:t>
      </w:r>
    </w:p>
    <w:p w14:paraId="734B3DB8" w14:textId="77777777" w:rsidR="000219FC" w:rsidRPr="005202AA" w:rsidRDefault="000219FC" w:rsidP="000219FC">
      <w:pPr>
        <w:autoSpaceDE w:val="0"/>
        <w:autoSpaceDN w:val="0"/>
        <w:adjustRightInd w:val="0"/>
        <w:contextualSpacing/>
        <w:jc w:val="both"/>
        <w:rPr>
          <w:rFonts w:asciiTheme="majorBidi" w:hAnsiTheme="majorBidi" w:cstheme="majorBidi"/>
          <w:sz w:val="20"/>
          <w:szCs w:val="20"/>
          <w:lang w:val="fr-FR"/>
        </w:rPr>
      </w:pPr>
    </w:p>
    <w:tbl>
      <w:tblPr>
        <w:tblW w:w="3545" w:type="dxa"/>
        <w:jc w:val="center"/>
        <w:tblCellMar>
          <w:left w:w="70" w:type="dxa"/>
          <w:right w:w="70" w:type="dxa"/>
        </w:tblCellMar>
        <w:tblLook w:val="04A0" w:firstRow="1" w:lastRow="0" w:firstColumn="1" w:lastColumn="0" w:noHBand="0" w:noVBand="1"/>
      </w:tblPr>
      <w:tblGrid>
        <w:gridCol w:w="1570"/>
        <w:gridCol w:w="708"/>
        <w:gridCol w:w="709"/>
        <w:gridCol w:w="558"/>
      </w:tblGrid>
      <w:tr w:rsidR="000219FC" w:rsidRPr="008909AC" w14:paraId="10096935" w14:textId="77777777" w:rsidTr="000219FC">
        <w:trPr>
          <w:trHeight w:val="346"/>
          <w:jc w:val="center"/>
        </w:trPr>
        <w:tc>
          <w:tcPr>
            <w:tcW w:w="1570" w:type="dxa"/>
            <w:tcBorders>
              <w:top w:val="single" w:sz="4" w:space="0" w:color="auto"/>
              <w:left w:val="single" w:sz="8" w:space="0" w:color="auto"/>
              <w:bottom w:val="single" w:sz="4" w:space="0" w:color="auto"/>
              <w:right w:val="single" w:sz="8" w:space="0" w:color="auto"/>
            </w:tcBorders>
            <w:shd w:val="clear" w:color="000000" w:fill="D9D9D9"/>
            <w:hideMark/>
          </w:tcPr>
          <w:p w14:paraId="0C30CF80" w14:textId="77777777" w:rsidR="000219FC" w:rsidRPr="008909AC" w:rsidRDefault="000219FC" w:rsidP="00F22E9F">
            <w:pPr>
              <w:spacing w:after="0" w:line="240" w:lineRule="auto"/>
              <w:jc w:val="center"/>
              <w:rPr>
                <w:rFonts w:ascii="Times New Roman" w:hAnsi="Times New Roman" w:cs="Times New Roman"/>
                <w:iCs/>
                <w:color w:val="000000"/>
                <w:sz w:val="16"/>
                <w:szCs w:val="16"/>
              </w:rPr>
            </w:pPr>
            <w:r w:rsidRPr="008909AC">
              <w:rPr>
                <w:rFonts w:ascii="Times New Roman" w:hAnsi="Times New Roman" w:cs="Times New Roman"/>
                <w:iCs/>
                <w:color w:val="000000"/>
                <w:sz w:val="16"/>
                <w:szCs w:val="16"/>
              </w:rPr>
              <w:t xml:space="preserve">Classes </w:t>
            </w:r>
            <w:proofErr w:type="spellStart"/>
            <w:r w:rsidRPr="008909AC">
              <w:rPr>
                <w:rFonts w:ascii="Times New Roman" w:hAnsi="Times New Roman" w:cs="Times New Roman"/>
                <w:iCs/>
                <w:color w:val="000000"/>
                <w:sz w:val="16"/>
                <w:szCs w:val="16"/>
              </w:rPr>
              <w:t>d’âge</w:t>
            </w:r>
            <w:proofErr w:type="spellEnd"/>
            <w:r w:rsidRPr="008909AC">
              <w:rPr>
                <w:rFonts w:ascii="Times New Roman" w:hAnsi="Times New Roman" w:cs="Times New Roman"/>
                <w:iCs/>
                <w:color w:val="000000"/>
                <w:sz w:val="16"/>
                <w:szCs w:val="16"/>
              </w:rPr>
              <w:t xml:space="preserve"> (</w:t>
            </w:r>
            <w:proofErr w:type="spellStart"/>
            <w:r w:rsidRPr="008909AC">
              <w:rPr>
                <w:rFonts w:ascii="Times New Roman" w:hAnsi="Times New Roman" w:cs="Times New Roman"/>
                <w:iCs/>
                <w:color w:val="000000"/>
                <w:sz w:val="16"/>
                <w:szCs w:val="16"/>
              </w:rPr>
              <w:t>années</w:t>
            </w:r>
            <w:proofErr w:type="spellEnd"/>
            <w:r w:rsidRPr="008909AC">
              <w:rPr>
                <w:rFonts w:ascii="Times New Roman" w:hAnsi="Times New Roman" w:cs="Times New Roman"/>
                <w:iCs/>
                <w:color w:val="000000"/>
                <w:sz w:val="16"/>
                <w:szCs w:val="16"/>
              </w:rPr>
              <w:t>)</w:t>
            </w:r>
          </w:p>
        </w:tc>
        <w:tc>
          <w:tcPr>
            <w:tcW w:w="708" w:type="dxa"/>
            <w:tcBorders>
              <w:top w:val="single" w:sz="4" w:space="0" w:color="auto"/>
              <w:left w:val="nil"/>
              <w:bottom w:val="single" w:sz="4" w:space="0" w:color="auto"/>
              <w:right w:val="single" w:sz="8" w:space="0" w:color="auto"/>
            </w:tcBorders>
            <w:shd w:val="clear" w:color="000000" w:fill="D9D9D9"/>
            <w:hideMark/>
          </w:tcPr>
          <w:p w14:paraId="47952875" w14:textId="77777777" w:rsidR="000219FC" w:rsidRPr="008909AC" w:rsidRDefault="000219FC" w:rsidP="00F22E9F">
            <w:pPr>
              <w:spacing w:after="0" w:line="240" w:lineRule="auto"/>
              <w:jc w:val="center"/>
              <w:rPr>
                <w:rFonts w:ascii="Times New Roman" w:hAnsi="Times New Roman" w:cs="Times New Roman"/>
                <w:iCs/>
                <w:color w:val="000000"/>
                <w:sz w:val="16"/>
                <w:szCs w:val="16"/>
              </w:rPr>
            </w:pPr>
            <w:proofErr w:type="spellStart"/>
            <w:r w:rsidRPr="008909AC">
              <w:rPr>
                <w:rFonts w:ascii="Times New Roman" w:hAnsi="Times New Roman" w:cs="Times New Roman"/>
                <w:iCs/>
                <w:color w:val="000000"/>
                <w:sz w:val="16"/>
                <w:szCs w:val="16"/>
              </w:rPr>
              <w:t>Effectif</w:t>
            </w:r>
            <w:proofErr w:type="spellEnd"/>
            <w:r w:rsidRPr="008909AC">
              <w:rPr>
                <w:rFonts w:ascii="Times New Roman" w:hAnsi="Times New Roman" w:cs="Times New Roman"/>
                <w:iCs/>
                <w:color w:val="000000"/>
                <w:sz w:val="16"/>
                <w:szCs w:val="16"/>
              </w:rPr>
              <w:t xml:space="preserve"> </w:t>
            </w:r>
          </w:p>
        </w:tc>
        <w:tc>
          <w:tcPr>
            <w:tcW w:w="709" w:type="dxa"/>
            <w:tcBorders>
              <w:top w:val="single" w:sz="4" w:space="0" w:color="auto"/>
              <w:left w:val="nil"/>
              <w:bottom w:val="single" w:sz="4" w:space="0" w:color="auto"/>
              <w:right w:val="single" w:sz="4" w:space="0" w:color="auto"/>
            </w:tcBorders>
            <w:shd w:val="clear" w:color="000000" w:fill="D9D9D9"/>
            <w:hideMark/>
          </w:tcPr>
          <w:p w14:paraId="403DEADE" w14:textId="77777777" w:rsidR="000219FC" w:rsidRPr="008909AC" w:rsidRDefault="000219FC" w:rsidP="00F22E9F">
            <w:pPr>
              <w:spacing w:after="0" w:line="240" w:lineRule="auto"/>
              <w:jc w:val="center"/>
              <w:rPr>
                <w:rFonts w:ascii="Times New Roman" w:hAnsi="Times New Roman" w:cs="Times New Roman"/>
                <w:iCs/>
                <w:color w:val="000000"/>
                <w:sz w:val="16"/>
                <w:szCs w:val="16"/>
              </w:rPr>
            </w:pPr>
            <w:r w:rsidRPr="008909AC">
              <w:rPr>
                <w:rFonts w:ascii="Times New Roman" w:hAnsi="Times New Roman" w:cs="Times New Roman"/>
                <w:iCs/>
                <w:color w:val="000000"/>
                <w:sz w:val="16"/>
                <w:szCs w:val="16"/>
              </w:rPr>
              <w:t>%</w:t>
            </w:r>
          </w:p>
        </w:tc>
        <w:tc>
          <w:tcPr>
            <w:tcW w:w="558" w:type="dxa"/>
            <w:tcBorders>
              <w:top w:val="single" w:sz="4" w:space="0" w:color="auto"/>
              <w:left w:val="single" w:sz="4" w:space="0" w:color="auto"/>
              <w:bottom w:val="single" w:sz="4" w:space="0" w:color="auto"/>
              <w:right w:val="single" w:sz="4" w:space="0" w:color="auto"/>
            </w:tcBorders>
            <w:shd w:val="clear" w:color="000000" w:fill="D9D9D9"/>
            <w:hideMark/>
          </w:tcPr>
          <w:p w14:paraId="226822BD" w14:textId="77777777" w:rsidR="000219FC" w:rsidRPr="008909AC" w:rsidRDefault="000219FC" w:rsidP="00F22E9F">
            <w:pPr>
              <w:spacing w:after="0" w:line="240" w:lineRule="auto"/>
              <w:jc w:val="center"/>
              <w:rPr>
                <w:rFonts w:ascii="Times New Roman" w:hAnsi="Times New Roman" w:cs="Times New Roman"/>
                <w:iCs/>
                <w:color w:val="000000"/>
                <w:sz w:val="16"/>
                <w:szCs w:val="16"/>
              </w:rPr>
            </w:pPr>
            <w:r w:rsidRPr="008909AC">
              <w:rPr>
                <w:rFonts w:ascii="Times New Roman" w:hAnsi="Times New Roman" w:cs="Times New Roman"/>
                <w:iCs/>
                <w:color w:val="000000"/>
                <w:sz w:val="16"/>
                <w:szCs w:val="16"/>
              </w:rPr>
              <w:t>P</w:t>
            </w:r>
          </w:p>
        </w:tc>
      </w:tr>
      <w:tr w:rsidR="000219FC" w:rsidRPr="008909AC" w14:paraId="5DD7AE6D" w14:textId="77777777" w:rsidTr="000219FC">
        <w:trPr>
          <w:trHeight w:val="330"/>
          <w:jc w:val="center"/>
        </w:trPr>
        <w:tc>
          <w:tcPr>
            <w:tcW w:w="1570" w:type="dxa"/>
            <w:tcBorders>
              <w:top w:val="single" w:sz="4" w:space="0" w:color="auto"/>
              <w:left w:val="single" w:sz="8" w:space="0" w:color="auto"/>
              <w:bottom w:val="single" w:sz="8" w:space="0" w:color="auto"/>
              <w:right w:val="single" w:sz="8" w:space="0" w:color="auto"/>
            </w:tcBorders>
            <w:shd w:val="clear" w:color="auto" w:fill="auto"/>
            <w:hideMark/>
          </w:tcPr>
          <w:p w14:paraId="5415C0BD"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&lt;30</w:t>
            </w:r>
          </w:p>
        </w:tc>
        <w:tc>
          <w:tcPr>
            <w:tcW w:w="708" w:type="dxa"/>
            <w:tcBorders>
              <w:top w:val="single" w:sz="4" w:space="0" w:color="auto"/>
              <w:left w:val="nil"/>
              <w:bottom w:val="single" w:sz="8" w:space="0" w:color="auto"/>
              <w:right w:val="single" w:sz="8" w:space="0" w:color="auto"/>
            </w:tcBorders>
            <w:shd w:val="clear" w:color="auto" w:fill="auto"/>
            <w:hideMark/>
          </w:tcPr>
          <w:p w14:paraId="618FEC1F"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65</w:t>
            </w:r>
          </w:p>
        </w:tc>
        <w:tc>
          <w:tcPr>
            <w:tcW w:w="709" w:type="dxa"/>
            <w:tcBorders>
              <w:top w:val="single" w:sz="4" w:space="0" w:color="auto"/>
              <w:left w:val="nil"/>
              <w:bottom w:val="single" w:sz="8" w:space="0" w:color="auto"/>
              <w:right w:val="single" w:sz="4" w:space="0" w:color="auto"/>
            </w:tcBorders>
            <w:shd w:val="clear" w:color="auto" w:fill="auto"/>
            <w:hideMark/>
          </w:tcPr>
          <w:p w14:paraId="69625CD1"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20,97</w:t>
            </w:r>
          </w:p>
        </w:tc>
        <w:tc>
          <w:tcPr>
            <w:tcW w:w="558" w:type="dxa"/>
            <w:vMerge w:val="restart"/>
            <w:tcBorders>
              <w:top w:val="single" w:sz="4" w:space="0" w:color="auto"/>
              <w:left w:val="single" w:sz="4" w:space="0" w:color="auto"/>
              <w:right w:val="single" w:sz="4" w:space="0" w:color="auto"/>
            </w:tcBorders>
            <w:shd w:val="clear" w:color="auto" w:fill="auto"/>
            <w:noWrap/>
            <w:vAlign w:val="center"/>
            <w:hideMark/>
          </w:tcPr>
          <w:p w14:paraId="7D8FABEB"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0,11</w:t>
            </w:r>
          </w:p>
          <w:p w14:paraId="0BC34917" w14:textId="77777777" w:rsidR="000219FC" w:rsidRPr="008909AC" w:rsidRDefault="000219FC" w:rsidP="00F22E9F">
            <w:pPr>
              <w:spacing w:after="0" w:line="240" w:lineRule="auto"/>
              <w:rPr>
                <w:rFonts w:ascii="Times New Roman" w:hAnsi="Times New Roman" w:cs="Times New Roman"/>
                <w:color w:val="000000"/>
                <w:sz w:val="16"/>
                <w:szCs w:val="16"/>
              </w:rPr>
            </w:pPr>
            <w:r w:rsidRPr="008909AC">
              <w:rPr>
                <w:rFonts w:ascii="Times New Roman" w:hAnsi="Times New Roman" w:cs="Times New Roman"/>
                <w:color w:val="000000"/>
                <w:sz w:val="16"/>
                <w:szCs w:val="16"/>
              </w:rPr>
              <w:t> </w:t>
            </w:r>
          </w:p>
        </w:tc>
      </w:tr>
      <w:tr w:rsidR="000219FC" w:rsidRPr="008909AC" w14:paraId="646C13B4" w14:textId="77777777" w:rsidTr="000219FC">
        <w:trPr>
          <w:trHeight w:val="330"/>
          <w:jc w:val="center"/>
        </w:trPr>
        <w:tc>
          <w:tcPr>
            <w:tcW w:w="1570" w:type="dxa"/>
            <w:tcBorders>
              <w:top w:val="nil"/>
              <w:left w:val="single" w:sz="8" w:space="0" w:color="auto"/>
              <w:bottom w:val="single" w:sz="8" w:space="0" w:color="auto"/>
              <w:right w:val="single" w:sz="8" w:space="0" w:color="auto"/>
            </w:tcBorders>
            <w:shd w:val="clear" w:color="auto" w:fill="auto"/>
            <w:hideMark/>
          </w:tcPr>
          <w:p w14:paraId="364B78D8"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[30-40[</w:t>
            </w:r>
          </w:p>
        </w:tc>
        <w:tc>
          <w:tcPr>
            <w:tcW w:w="708" w:type="dxa"/>
            <w:tcBorders>
              <w:top w:val="nil"/>
              <w:left w:val="nil"/>
              <w:bottom w:val="single" w:sz="8" w:space="0" w:color="auto"/>
              <w:right w:val="single" w:sz="8" w:space="0" w:color="auto"/>
            </w:tcBorders>
            <w:shd w:val="clear" w:color="auto" w:fill="auto"/>
            <w:hideMark/>
          </w:tcPr>
          <w:p w14:paraId="0867C9DE"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75</w:t>
            </w:r>
          </w:p>
        </w:tc>
        <w:tc>
          <w:tcPr>
            <w:tcW w:w="709" w:type="dxa"/>
            <w:tcBorders>
              <w:top w:val="nil"/>
              <w:left w:val="nil"/>
              <w:bottom w:val="single" w:sz="8" w:space="0" w:color="auto"/>
              <w:right w:val="single" w:sz="4" w:space="0" w:color="auto"/>
            </w:tcBorders>
            <w:shd w:val="clear" w:color="auto" w:fill="auto"/>
            <w:hideMark/>
          </w:tcPr>
          <w:p w14:paraId="10B8037F"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24,19</w:t>
            </w:r>
          </w:p>
        </w:tc>
        <w:tc>
          <w:tcPr>
            <w:tcW w:w="558" w:type="dxa"/>
            <w:vMerge/>
            <w:tcBorders>
              <w:left w:val="single" w:sz="4" w:space="0" w:color="auto"/>
              <w:right w:val="single" w:sz="4" w:space="0" w:color="auto"/>
            </w:tcBorders>
            <w:vAlign w:val="center"/>
            <w:hideMark/>
          </w:tcPr>
          <w:p w14:paraId="7E6ADB4D" w14:textId="77777777" w:rsidR="000219FC" w:rsidRPr="008909AC" w:rsidRDefault="000219FC" w:rsidP="00F22E9F">
            <w:pPr>
              <w:spacing w:after="0" w:line="240" w:lineRule="auto"/>
              <w:rPr>
                <w:rFonts w:ascii="Times New Roman" w:hAnsi="Times New Roman" w:cs="Times New Roman"/>
                <w:color w:val="000000"/>
                <w:sz w:val="16"/>
                <w:szCs w:val="16"/>
              </w:rPr>
            </w:pPr>
          </w:p>
        </w:tc>
      </w:tr>
      <w:tr w:rsidR="000219FC" w:rsidRPr="008909AC" w14:paraId="299AEA3C" w14:textId="77777777" w:rsidTr="000219FC">
        <w:trPr>
          <w:trHeight w:val="375"/>
          <w:jc w:val="center"/>
        </w:trPr>
        <w:tc>
          <w:tcPr>
            <w:tcW w:w="1570" w:type="dxa"/>
            <w:tcBorders>
              <w:top w:val="nil"/>
              <w:left w:val="single" w:sz="8" w:space="0" w:color="auto"/>
              <w:bottom w:val="single" w:sz="8" w:space="0" w:color="auto"/>
              <w:right w:val="single" w:sz="8" w:space="0" w:color="auto"/>
            </w:tcBorders>
            <w:shd w:val="clear" w:color="auto" w:fill="auto"/>
            <w:hideMark/>
          </w:tcPr>
          <w:p w14:paraId="213CCE9D"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[40-50[</w:t>
            </w:r>
          </w:p>
        </w:tc>
        <w:tc>
          <w:tcPr>
            <w:tcW w:w="708" w:type="dxa"/>
            <w:tcBorders>
              <w:top w:val="nil"/>
              <w:left w:val="nil"/>
              <w:bottom w:val="single" w:sz="8" w:space="0" w:color="auto"/>
              <w:right w:val="single" w:sz="8" w:space="0" w:color="auto"/>
            </w:tcBorders>
            <w:shd w:val="clear" w:color="auto" w:fill="auto"/>
            <w:hideMark/>
          </w:tcPr>
          <w:p w14:paraId="34CF17EE"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79</w:t>
            </w:r>
          </w:p>
        </w:tc>
        <w:tc>
          <w:tcPr>
            <w:tcW w:w="709" w:type="dxa"/>
            <w:tcBorders>
              <w:top w:val="nil"/>
              <w:left w:val="nil"/>
              <w:bottom w:val="single" w:sz="8" w:space="0" w:color="auto"/>
              <w:right w:val="single" w:sz="4" w:space="0" w:color="auto"/>
            </w:tcBorders>
            <w:shd w:val="clear" w:color="auto" w:fill="auto"/>
            <w:hideMark/>
          </w:tcPr>
          <w:p w14:paraId="07D5D676"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25,48</w:t>
            </w:r>
          </w:p>
        </w:tc>
        <w:tc>
          <w:tcPr>
            <w:tcW w:w="558" w:type="dxa"/>
            <w:vMerge/>
            <w:tcBorders>
              <w:left w:val="single" w:sz="4" w:space="0" w:color="auto"/>
              <w:right w:val="single" w:sz="4" w:space="0" w:color="auto"/>
            </w:tcBorders>
            <w:vAlign w:val="center"/>
            <w:hideMark/>
          </w:tcPr>
          <w:p w14:paraId="31912DE8" w14:textId="77777777" w:rsidR="000219FC" w:rsidRPr="008909AC" w:rsidRDefault="000219FC" w:rsidP="00F22E9F">
            <w:pPr>
              <w:spacing w:after="0" w:line="240" w:lineRule="auto"/>
              <w:rPr>
                <w:rFonts w:ascii="Times New Roman" w:hAnsi="Times New Roman" w:cs="Times New Roman"/>
                <w:color w:val="000000"/>
                <w:sz w:val="16"/>
                <w:szCs w:val="16"/>
              </w:rPr>
            </w:pPr>
          </w:p>
        </w:tc>
      </w:tr>
      <w:tr w:rsidR="000219FC" w:rsidRPr="008909AC" w14:paraId="60AA8CCB" w14:textId="77777777" w:rsidTr="000219FC">
        <w:trPr>
          <w:trHeight w:val="330"/>
          <w:jc w:val="center"/>
        </w:trPr>
        <w:tc>
          <w:tcPr>
            <w:tcW w:w="1570" w:type="dxa"/>
            <w:tcBorders>
              <w:top w:val="nil"/>
              <w:left w:val="single" w:sz="8" w:space="0" w:color="auto"/>
              <w:bottom w:val="single" w:sz="8" w:space="0" w:color="auto"/>
              <w:right w:val="single" w:sz="8" w:space="0" w:color="auto"/>
            </w:tcBorders>
            <w:shd w:val="clear" w:color="auto" w:fill="auto"/>
            <w:hideMark/>
          </w:tcPr>
          <w:p w14:paraId="3718C82E"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≥50</w:t>
            </w:r>
          </w:p>
        </w:tc>
        <w:tc>
          <w:tcPr>
            <w:tcW w:w="708" w:type="dxa"/>
            <w:tcBorders>
              <w:top w:val="nil"/>
              <w:left w:val="nil"/>
              <w:bottom w:val="single" w:sz="8" w:space="0" w:color="auto"/>
              <w:right w:val="single" w:sz="8" w:space="0" w:color="auto"/>
            </w:tcBorders>
            <w:shd w:val="clear" w:color="auto" w:fill="auto"/>
            <w:hideMark/>
          </w:tcPr>
          <w:p w14:paraId="4CC45205"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91</w:t>
            </w:r>
          </w:p>
        </w:tc>
        <w:tc>
          <w:tcPr>
            <w:tcW w:w="709" w:type="dxa"/>
            <w:tcBorders>
              <w:top w:val="nil"/>
              <w:left w:val="nil"/>
              <w:bottom w:val="single" w:sz="8" w:space="0" w:color="auto"/>
              <w:right w:val="single" w:sz="4" w:space="0" w:color="auto"/>
            </w:tcBorders>
            <w:shd w:val="clear" w:color="auto" w:fill="auto"/>
            <w:hideMark/>
          </w:tcPr>
          <w:p w14:paraId="228B6455"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29,35</w:t>
            </w:r>
          </w:p>
        </w:tc>
        <w:tc>
          <w:tcPr>
            <w:tcW w:w="558" w:type="dxa"/>
            <w:vMerge/>
            <w:tcBorders>
              <w:left w:val="single" w:sz="4" w:space="0" w:color="auto"/>
              <w:right w:val="single" w:sz="4" w:space="0" w:color="auto"/>
            </w:tcBorders>
            <w:vAlign w:val="center"/>
            <w:hideMark/>
          </w:tcPr>
          <w:p w14:paraId="5894D48A" w14:textId="77777777" w:rsidR="000219FC" w:rsidRPr="008909AC" w:rsidRDefault="000219FC" w:rsidP="00F22E9F">
            <w:pPr>
              <w:spacing w:after="0" w:line="240" w:lineRule="auto"/>
              <w:rPr>
                <w:rFonts w:ascii="Times New Roman" w:hAnsi="Times New Roman" w:cs="Times New Roman"/>
                <w:color w:val="000000"/>
                <w:sz w:val="16"/>
                <w:szCs w:val="16"/>
              </w:rPr>
            </w:pPr>
          </w:p>
        </w:tc>
      </w:tr>
      <w:tr w:rsidR="000219FC" w:rsidRPr="008909AC" w14:paraId="12AD4680" w14:textId="77777777" w:rsidTr="000219FC">
        <w:trPr>
          <w:trHeight w:val="330"/>
          <w:jc w:val="center"/>
        </w:trPr>
        <w:tc>
          <w:tcPr>
            <w:tcW w:w="1570" w:type="dxa"/>
            <w:tcBorders>
              <w:top w:val="nil"/>
              <w:left w:val="single" w:sz="8" w:space="0" w:color="auto"/>
              <w:bottom w:val="single" w:sz="8" w:space="0" w:color="auto"/>
              <w:right w:val="single" w:sz="8" w:space="0" w:color="auto"/>
            </w:tcBorders>
            <w:shd w:val="clear" w:color="000000" w:fill="D9D9D9"/>
            <w:hideMark/>
          </w:tcPr>
          <w:p w14:paraId="09E83FB6"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Total</w:t>
            </w:r>
          </w:p>
        </w:tc>
        <w:tc>
          <w:tcPr>
            <w:tcW w:w="708" w:type="dxa"/>
            <w:tcBorders>
              <w:top w:val="nil"/>
              <w:left w:val="nil"/>
              <w:bottom w:val="single" w:sz="8" w:space="0" w:color="auto"/>
              <w:right w:val="single" w:sz="8" w:space="0" w:color="auto"/>
            </w:tcBorders>
            <w:shd w:val="clear" w:color="000000" w:fill="D9D9D9"/>
            <w:hideMark/>
          </w:tcPr>
          <w:p w14:paraId="2DE0D52D"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310</w:t>
            </w:r>
          </w:p>
        </w:tc>
        <w:tc>
          <w:tcPr>
            <w:tcW w:w="709" w:type="dxa"/>
            <w:tcBorders>
              <w:top w:val="nil"/>
              <w:left w:val="nil"/>
              <w:bottom w:val="single" w:sz="8" w:space="0" w:color="auto"/>
              <w:right w:val="single" w:sz="4" w:space="0" w:color="auto"/>
            </w:tcBorders>
            <w:shd w:val="clear" w:color="000000" w:fill="D8D8D8"/>
            <w:hideMark/>
          </w:tcPr>
          <w:p w14:paraId="255EF1B2" w14:textId="77777777" w:rsidR="000219FC" w:rsidRPr="008909AC" w:rsidRDefault="000219FC" w:rsidP="00F22E9F">
            <w:pPr>
              <w:spacing w:after="0" w:line="240" w:lineRule="auto"/>
              <w:jc w:val="center"/>
              <w:rPr>
                <w:rFonts w:ascii="Times New Roman" w:hAnsi="Times New Roman" w:cs="Times New Roman"/>
                <w:color w:val="000000"/>
                <w:sz w:val="16"/>
                <w:szCs w:val="16"/>
              </w:rPr>
            </w:pPr>
            <w:r w:rsidRPr="008909AC">
              <w:rPr>
                <w:rFonts w:ascii="Times New Roman" w:hAnsi="Times New Roman" w:cs="Times New Roman"/>
                <w:color w:val="000000"/>
                <w:sz w:val="16"/>
                <w:szCs w:val="16"/>
              </w:rPr>
              <w:t>100</w:t>
            </w:r>
          </w:p>
        </w:tc>
        <w:tc>
          <w:tcPr>
            <w:tcW w:w="558" w:type="dxa"/>
            <w:vMerge/>
            <w:tcBorders>
              <w:left w:val="single" w:sz="4" w:space="0" w:color="auto"/>
              <w:bottom w:val="single" w:sz="4" w:space="0" w:color="auto"/>
              <w:right w:val="single" w:sz="4" w:space="0" w:color="auto"/>
            </w:tcBorders>
            <w:shd w:val="clear" w:color="000000" w:fill="D8D8D8"/>
            <w:noWrap/>
            <w:vAlign w:val="bottom"/>
            <w:hideMark/>
          </w:tcPr>
          <w:p w14:paraId="466B050B" w14:textId="77777777" w:rsidR="000219FC" w:rsidRPr="008909AC" w:rsidRDefault="000219FC" w:rsidP="00F22E9F">
            <w:pPr>
              <w:spacing w:after="0" w:line="240" w:lineRule="auto"/>
              <w:rPr>
                <w:rFonts w:ascii="Times New Roman" w:hAnsi="Times New Roman" w:cs="Times New Roman"/>
                <w:color w:val="000000"/>
                <w:sz w:val="16"/>
                <w:szCs w:val="16"/>
              </w:rPr>
            </w:pPr>
          </w:p>
        </w:tc>
      </w:tr>
    </w:tbl>
    <w:p w14:paraId="57EBF6E5" w14:textId="6212E63E" w:rsidR="000219FC" w:rsidRPr="000219FC" w:rsidRDefault="000219FC" w:rsidP="000219FC">
      <w:pPr>
        <w:autoSpaceDE w:val="0"/>
        <w:autoSpaceDN w:val="0"/>
        <w:adjustRightInd w:val="0"/>
        <w:contextualSpacing/>
        <w:jc w:val="both"/>
        <w:rPr>
          <w:rFonts w:asciiTheme="majorBidi" w:hAnsiTheme="majorBidi" w:cstheme="majorBidi"/>
          <w:sz w:val="20"/>
          <w:szCs w:val="20"/>
        </w:rPr>
      </w:pPr>
    </w:p>
    <w:p w14:paraId="7513CCE7" w14:textId="77777777" w:rsidR="000219FC" w:rsidRPr="005202AA" w:rsidRDefault="000219FC" w:rsidP="000219FC">
      <w:pPr>
        <w:autoSpaceDE w:val="0"/>
        <w:autoSpaceDN w:val="0"/>
        <w:adjustRightInd w:val="0"/>
        <w:spacing w:after="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Selon le sexe, les femmes prédominent dans les classes d’âges 40-50 ans et plus, alors que les hommes le sont dans une classe d’âge des moins de 40 ans d’une manière très significative (p&lt;10</w:t>
      </w:r>
      <w:r w:rsidRPr="005202AA">
        <w:rPr>
          <w:rFonts w:asciiTheme="majorBidi" w:hAnsiTheme="majorBidi" w:cstheme="majorBidi"/>
          <w:color w:val="000000" w:themeColor="text1"/>
          <w:sz w:val="20"/>
          <w:szCs w:val="20"/>
          <w:vertAlign w:val="superscript"/>
          <w:lang w:val="fr-FR"/>
        </w:rPr>
        <w:t>-3</w:t>
      </w:r>
      <w:r w:rsidRPr="005202AA">
        <w:rPr>
          <w:rFonts w:asciiTheme="majorBidi" w:hAnsiTheme="majorBidi" w:cstheme="majorBidi"/>
          <w:color w:val="000000" w:themeColor="text1"/>
          <w:sz w:val="20"/>
          <w:szCs w:val="20"/>
          <w:lang w:val="fr-FR"/>
        </w:rPr>
        <w:t>).</w:t>
      </w:r>
    </w:p>
    <w:p w14:paraId="72A8639D" w14:textId="77777777" w:rsidR="00FB5251" w:rsidRPr="005202AA" w:rsidRDefault="00FB5251" w:rsidP="00FB5251">
      <w:pPr>
        <w:pStyle w:val="Default"/>
        <w:jc w:val="both"/>
        <w:rPr>
          <w:rFonts w:asciiTheme="majorBidi" w:eastAsiaTheme="minorHAnsi" w:hAnsiTheme="majorBidi" w:cstheme="majorBidi"/>
          <w:color w:val="000000" w:themeColor="text1"/>
          <w:sz w:val="20"/>
          <w:szCs w:val="20"/>
          <w:lang w:eastAsia="en-US"/>
        </w:rPr>
      </w:pPr>
      <w:r w:rsidRPr="005202AA">
        <w:rPr>
          <w:rFonts w:asciiTheme="majorBidi" w:eastAsiaTheme="minorHAnsi" w:hAnsiTheme="majorBidi" w:cstheme="majorBidi"/>
          <w:color w:val="000000" w:themeColor="text1"/>
          <w:sz w:val="20"/>
          <w:szCs w:val="20"/>
          <w:lang w:eastAsia="en-US"/>
        </w:rPr>
        <w:t>La répartition de la population selon le niveau de RCV a montré que 78,06 % de notre population avaient un risque cardiovasculaire faible, ce qui correspond à un risque &lt; 10% à 10 ans pour Framingham et 21,94 % avaient un risque intermédiaire définit un risque entre 10% et 20 % à 10 ans pour Framingham.</w:t>
      </w:r>
    </w:p>
    <w:p w14:paraId="41026044" w14:textId="07E128C4" w:rsidR="00FB5251" w:rsidRPr="005202AA" w:rsidRDefault="00FB5251" w:rsidP="00FB5251">
      <w:pPr>
        <w:pStyle w:val="Default"/>
        <w:jc w:val="both"/>
        <w:rPr>
          <w:rFonts w:asciiTheme="majorBidi" w:eastAsiaTheme="minorHAnsi" w:hAnsiTheme="majorBidi" w:cstheme="majorBidi"/>
          <w:color w:val="000000" w:themeColor="text1"/>
          <w:sz w:val="20"/>
          <w:szCs w:val="20"/>
          <w:lang w:eastAsia="en-US"/>
        </w:rPr>
      </w:pPr>
      <w:r w:rsidRPr="005202AA">
        <w:rPr>
          <w:rFonts w:asciiTheme="majorBidi" w:eastAsiaTheme="minorHAnsi" w:hAnsiTheme="majorBidi" w:cstheme="majorBidi"/>
          <w:color w:val="000000" w:themeColor="text1"/>
          <w:sz w:val="20"/>
          <w:szCs w:val="20"/>
          <w:lang w:eastAsia="en-US"/>
        </w:rPr>
        <w:t>Selon le genre les femmes sont classées exclusivement à faible risque et elles sont significativement prédominantes dans cette catégorie par rapport aux hommes (p=10 -3).</w:t>
      </w:r>
    </w:p>
    <w:p w14:paraId="1333EFA4" w14:textId="2AAC6D1F" w:rsidR="00FB5251" w:rsidRDefault="00FB5251" w:rsidP="00FB5251">
      <w:pPr>
        <w:pStyle w:val="Default"/>
        <w:jc w:val="both"/>
        <w:rPr>
          <w:rFonts w:asciiTheme="majorBidi" w:eastAsiaTheme="minorHAnsi" w:hAnsiTheme="majorBidi" w:cstheme="majorBidi"/>
          <w:color w:val="000000" w:themeColor="text1"/>
          <w:sz w:val="20"/>
          <w:szCs w:val="20"/>
          <w:lang w:eastAsia="en-US"/>
        </w:rPr>
      </w:pPr>
      <w:r w:rsidRPr="005202AA">
        <w:rPr>
          <w:rFonts w:asciiTheme="majorBidi" w:eastAsiaTheme="minorHAnsi" w:hAnsiTheme="majorBidi" w:cstheme="majorBidi"/>
          <w:color w:val="000000" w:themeColor="text1"/>
          <w:sz w:val="20"/>
          <w:szCs w:val="20"/>
          <w:lang w:eastAsia="en-US"/>
        </w:rPr>
        <w:t>Selon l’âge, on a noté une tendance décroissante dans le niveau de risque faible. A l’inverse, une tendance croissante est</w:t>
      </w:r>
      <w:r w:rsidRPr="00BE7797">
        <w:rPr>
          <w:rFonts w:asciiTheme="majorBidi" w:hAnsiTheme="majorBidi" w:cstheme="majorBidi"/>
          <w:color w:val="000000" w:themeColor="text1"/>
        </w:rPr>
        <w:t xml:space="preserve"> </w:t>
      </w:r>
      <w:r w:rsidRPr="005202AA">
        <w:rPr>
          <w:rFonts w:asciiTheme="majorBidi" w:eastAsiaTheme="minorHAnsi" w:hAnsiTheme="majorBidi" w:cstheme="majorBidi"/>
          <w:color w:val="000000" w:themeColor="text1"/>
          <w:sz w:val="20"/>
          <w:szCs w:val="20"/>
          <w:lang w:eastAsia="en-US"/>
        </w:rPr>
        <w:t>retrouvée dans le niveau de risque intermédiaire (p&lt;10-3); tableau 2.</w:t>
      </w:r>
    </w:p>
    <w:p w14:paraId="33E30B24" w14:textId="282F257E"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33BE1C34" w14:textId="1F4CD108"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60FBE716" w14:textId="3ADD2643"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5111A810" w14:textId="2D6951D8"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3C7591C1" w14:textId="05655B21"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1C65B571" w14:textId="04EE693A"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494779E3" w14:textId="561BCC8F"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038374A7" w14:textId="651ED0F4"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6A4319DF" w14:textId="2B447C2B"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7D5C56A2" w14:textId="5A747CF6"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41EAC9CD" w14:textId="674C8E8B"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7F0558DD" w14:textId="0B2F057B" w:rsid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25F20871" w14:textId="77777777" w:rsidR="005202AA" w:rsidRPr="005202AA" w:rsidRDefault="005202AA" w:rsidP="00FB5251">
      <w:pPr>
        <w:pStyle w:val="Default"/>
        <w:jc w:val="both"/>
        <w:rPr>
          <w:rFonts w:asciiTheme="majorBidi" w:eastAsiaTheme="minorHAnsi" w:hAnsiTheme="majorBidi" w:cstheme="majorBidi"/>
          <w:color w:val="000000" w:themeColor="text1"/>
          <w:sz w:val="20"/>
          <w:szCs w:val="20"/>
          <w:lang w:eastAsia="en-US"/>
        </w:rPr>
      </w:pPr>
    </w:p>
    <w:p w14:paraId="30E008B3" w14:textId="77777777" w:rsidR="008B7BE7" w:rsidRPr="005202AA" w:rsidRDefault="008B7BE7" w:rsidP="008B7BE7">
      <w:pPr>
        <w:jc w:val="center"/>
        <w:rPr>
          <w:rFonts w:ascii="Times New Roman" w:hAnsi="Times New Roman" w:cs="Times New Roman"/>
          <w:iCs/>
          <w:color w:val="000000"/>
          <w:sz w:val="20"/>
          <w:szCs w:val="20"/>
          <w:lang w:val="fr-FR"/>
        </w:rPr>
      </w:pPr>
      <w:r w:rsidRPr="005202AA">
        <w:rPr>
          <w:rFonts w:ascii="Times New Roman" w:hAnsi="Times New Roman" w:cs="Times New Roman"/>
          <w:iCs/>
          <w:color w:val="000000"/>
          <w:sz w:val="20"/>
          <w:szCs w:val="20"/>
          <w:lang w:val="fr-FR"/>
        </w:rPr>
        <w:t xml:space="preserve">Tableau 2 : Répartition de la population selon le RCV et par tranches d’âge </w:t>
      </w:r>
    </w:p>
    <w:tbl>
      <w:tblPr>
        <w:tblW w:w="559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08"/>
        <w:gridCol w:w="709"/>
        <w:gridCol w:w="1132"/>
        <w:gridCol w:w="709"/>
        <w:gridCol w:w="569"/>
      </w:tblGrid>
      <w:tr w:rsidR="008B7BE7" w:rsidRPr="008B7BE7" w14:paraId="367AEB62" w14:textId="77777777" w:rsidTr="008B7BE7">
        <w:trPr>
          <w:trHeight w:val="432"/>
        </w:trPr>
        <w:tc>
          <w:tcPr>
            <w:tcW w:w="1028" w:type="pct"/>
            <w:vMerge w:val="restart"/>
            <w:shd w:val="clear" w:color="auto" w:fill="D9D9D9"/>
          </w:tcPr>
          <w:p w14:paraId="1DBA85E2" w14:textId="77777777" w:rsidR="008B7BE7" w:rsidRPr="005202AA" w:rsidRDefault="008B7BE7" w:rsidP="00F22E9F">
            <w:pPr>
              <w:spacing w:after="0" w:line="240" w:lineRule="auto"/>
              <w:jc w:val="center"/>
              <w:rPr>
                <w:rFonts w:ascii="Times New Roman" w:hAnsi="Times New Roman" w:cs="Times New Roman"/>
                <w:b/>
                <w:i/>
                <w:sz w:val="16"/>
                <w:szCs w:val="16"/>
                <w:lang w:val="fr-FR"/>
              </w:rPr>
            </w:pPr>
          </w:p>
          <w:p w14:paraId="17AEF430"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sz w:val="16"/>
                <w:szCs w:val="16"/>
              </w:rPr>
              <w:t xml:space="preserve">Classes </w:t>
            </w:r>
            <w:proofErr w:type="spellStart"/>
            <w:r w:rsidRPr="008B7BE7">
              <w:rPr>
                <w:rFonts w:ascii="Times New Roman" w:hAnsi="Times New Roman" w:cs="Times New Roman"/>
                <w:b/>
                <w:i/>
                <w:sz w:val="16"/>
                <w:szCs w:val="16"/>
              </w:rPr>
              <w:t>d’âge</w:t>
            </w:r>
            <w:proofErr w:type="spellEnd"/>
            <w:r w:rsidRPr="008B7BE7">
              <w:rPr>
                <w:rFonts w:ascii="Times New Roman" w:hAnsi="Times New Roman" w:cs="Times New Roman"/>
                <w:b/>
                <w:i/>
                <w:sz w:val="16"/>
                <w:szCs w:val="16"/>
              </w:rPr>
              <w:t xml:space="preserve"> </w:t>
            </w:r>
          </w:p>
        </w:tc>
        <w:tc>
          <w:tcPr>
            <w:tcW w:w="3972" w:type="pct"/>
            <w:gridSpan w:val="5"/>
            <w:shd w:val="clear" w:color="auto" w:fill="D9D9D9"/>
          </w:tcPr>
          <w:p w14:paraId="2DDA9B0C"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sz w:val="16"/>
                <w:szCs w:val="16"/>
              </w:rPr>
              <w:t xml:space="preserve">RCV </w:t>
            </w:r>
            <w:proofErr w:type="spellStart"/>
            <w:r w:rsidRPr="008B7BE7">
              <w:rPr>
                <w:rFonts w:ascii="Times New Roman" w:hAnsi="Times New Roman" w:cs="Times New Roman"/>
                <w:b/>
                <w:i/>
                <w:sz w:val="16"/>
                <w:szCs w:val="16"/>
              </w:rPr>
              <w:t>calculé</w:t>
            </w:r>
            <w:proofErr w:type="spellEnd"/>
          </w:p>
        </w:tc>
      </w:tr>
      <w:tr w:rsidR="008B7BE7" w:rsidRPr="008B7BE7" w14:paraId="1F2B8AAA" w14:textId="77777777" w:rsidTr="008B7BE7">
        <w:trPr>
          <w:trHeight w:val="432"/>
        </w:trPr>
        <w:tc>
          <w:tcPr>
            <w:tcW w:w="1028" w:type="pct"/>
            <w:vMerge/>
            <w:shd w:val="clear" w:color="auto" w:fill="D9D9D9"/>
          </w:tcPr>
          <w:p w14:paraId="24A4E825" w14:textId="77777777" w:rsidR="008B7BE7" w:rsidRPr="008B7BE7" w:rsidRDefault="008B7BE7" w:rsidP="00F22E9F">
            <w:pPr>
              <w:spacing w:after="0" w:line="240" w:lineRule="auto"/>
              <w:jc w:val="center"/>
              <w:rPr>
                <w:rFonts w:ascii="Times New Roman" w:hAnsi="Times New Roman" w:cs="Times New Roman"/>
                <w:b/>
                <w:i/>
                <w:sz w:val="16"/>
                <w:szCs w:val="16"/>
              </w:rPr>
            </w:pPr>
          </w:p>
        </w:tc>
        <w:tc>
          <w:tcPr>
            <w:tcW w:w="735" w:type="pct"/>
            <w:shd w:val="clear" w:color="auto" w:fill="D9D9D9"/>
          </w:tcPr>
          <w:p w14:paraId="656A893D" w14:textId="77777777" w:rsidR="008B7BE7" w:rsidRPr="008B7BE7" w:rsidRDefault="008B7BE7" w:rsidP="00F22E9F">
            <w:pPr>
              <w:spacing w:after="0" w:line="240" w:lineRule="auto"/>
              <w:jc w:val="center"/>
              <w:rPr>
                <w:rFonts w:ascii="Times New Roman" w:hAnsi="Times New Roman" w:cs="Times New Roman"/>
                <w:b/>
                <w:i/>
                <w:sz w:val="16"/>
                <w:szCs w:val="16"/>
              </w:rPr>
            </w:pPr>
            <w:proofErr w:type="spellStart"/>
            <w:r w:rsidRPr="008B7BE7">
              <w:rPr>
                <w:rFonts w:ascii="Times New Roman" w:hAnsi="Times New Roman" w:cs="Times New Roman"/>
                <w:b/>
                <w:i/>
                <w:sz w:val="16"/>
                <w:szCs w:val="16"/>
              </w:rPr>
              <w:t>Faible</w:t>
            </w:r>
            <w:proofErr w:type="spellEnd"/>
            <w:r w:rsidRPr="008B7BE7">
              <w:rPr>
                <w:rFonts w:ascii="Times New Roman" w:hAnsi="Times New Roman" w:cs="Times New Roman"/>
                <w:b/>
                <w:i/>
                <w:sz w:val="16"/>
                <w:szCs w:val="16"/>
              </w:rPr>
              <w:t xml:space="preserve"> </w:t>
            </w:r>
          </w:p>
        </w:tc>
        <w:tc>
          <w:tcPr>
            <w:tcW w:w="736" w:type="pct"/>
            <w:shd w:val="clear" w:color="auto" w:fill="D9D9D9"/>
          </w:tcPr>
          <w:p w14:paraId="431FD309"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sz w:val="16"/>
                <w:szCs w:val="16"/>
              </w:rPr>
              <w:t>%</w:t>
            </w:r>
          </w:p>
        </w:tc>
        <w:tc>
          <w:tcPr>
            <w:tcW w:w="1175" w:type="pct"/>
            <w:shd w:val="clear" w:color="auto" w:fill="D9D9D9"/>
          </w:tcPr>
          <w:p w14:paraId="36EFCCFF" w14:textId="77777777" w:rsidR="008B7BE7" w:rsidRPr="008B7BE7" w:rsidRDefault="008B7BE7" w:rsidP="00F22E9F">
            <w:pPr>
              <w:spacing w:after="0" w:line="240" w:lineRule="auto"/>
              <w:jc w:val="center"/>
              <w:rPr>
                <w:rFonts w:ascii="Times New Roman" w:hAnsi="Times New Roman" w:cs="Times New Roman"/>
                <w:b/>
                <w:i/>
                <w:sz w:val="16"/>
                <w:szCs w:val="16"/>
              </w:rPr>
            </w:pPr>
            <w:proofErr w:type="spellStart"/>
            <w:r w:rsidRPr="008B7BE7">
              <w:rPr>
                <w:rFonts w:ascii="Times New Roman" w:hAnsi="Times New Roman" w:cs="Times New Roman"/>
                <w:b/>
                <w:i/>
                <w:sz w:val="16"/>
                <w:szCs w:val="16"/>
              </w:rPr>
              <w:t>Intermédiaire</w:t>
            </w:r>
            <w:proofErr w:type="spellEnd"/>
            <w:r w:rsidRPr="008B7BE7">
              <w:rPr>
                <w:rFonts w:ascii="Times New Roman" w:hAnsi="Times New Roman" w:cs="Times New Roman"/>
                <w:b/>
                <w:i/>
                <w:sz w:val="16"/>
                <w:szCs w:val="16"/>
              </w:rPr>
              <w:t xml:space="preserve"> </w:t>
            </w:r>
          </w:p>
        </w:tc>
        <w:tc>
          <w:tcPr>
            <w:tcW w:w="736" w:type="pct"/>
            <w:shd w:val="clear" w:color="auto" w:fill="D9D9D9"/>
          </w:tcPr>
          <w:p w14:paraId="28982C7A"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sz w:val="16"/>
                <w:szCs w:val="16"/>
              </w:rPr>
              <w:t>%</w:t>
            </w:r>
          </w:p>
        </w:tc>
        <w:tc>
          <w:tcPr>
            <w:tcW w:w="591" w:type="pct"/>
            <w:shd w:val="clear" w:color="auto" w:fill="D9D9D9"/>
          </w:tcPr>
          <w:p w14:paraId="70EF15FD"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sz w:val="16"/>
                <w:szCs w:val="16"/>
              </w:rPr>
              <w:t>p</w:t>
            </w:r>
          </w:p>
        </w:tc>
      </w:tr>
      <w:tr w:rsidR="008B7BE7" w:rsidRPr="008B7BE7" w14:paraId="472F94C8" w14:textId="77777777" w:rsidTr="008B7BE7">
        <w:trPr>
          <w:trHeight w:val="270"/>
        </w:trPr>
        <w:tc>
          <w:tcPr>
            <w:tcW w:w="1028" w:type="pct"/>
          </w:tcPr>
          <w:p w14:paraId="64736A0E" w14:textId="77777777" w:rsidR="008B7BE7" w:rsidRPr="008B7BE7" w:rsidRDefault="008B7BE7" w:rsidP="00F22E9F">
            <w:pPr>
              <w:spacing w:after="0" w:line="240" w:lineRule="auto"/>
              <w:jc w:val="center"/>
              <w:rPr>
                <w:rFonts w:ascii="Times New Roman" w:hAnsi="Times New Roman" w:cs="Times New Roman"/>
                <w:b/>
                <w:bCs/>
                <w:sz w:val="16"/>
                <w:szCs w:val="16"/>
              </w:rPr>
            </w:pPr>
            <w:r w:rsidRPr="008B7BE7">
              <w:rPr>
                <w:rFonts w:ascii="Times New Roman" w:hAnsi="Times New Roman" w:cs="Times New Roman"/>
                <w:b/>
                <w:bCs/>
                <w:sz w:val="16"/>
                <w:szCs w:val="16"/>
              </w:rPr>
              <w:t>&lt;30</w:t>
            </w:r>
          </w:p>
        </w:tc>
        <w:tc>
          <w:tcPr>
            <w:tcW w:w="735" w:type="pct"/>
          </w:tcPr>
          <w:p w14:paraId="3AB8942C"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65</w:t>
            </w:r>
          </w:p>
        </w:tc>
        <w:tc>
          <w:tcPr>
            <w:tcW w:w="736" w:type="pct"/>
          </w:tcPr>
          <w:p w14:paraId="561923D7"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 xml:space="preserve">26.86      </w:t>
            </w:r>
          </w:p>
        </w:tc>
        <w:tc>
          <w:tcPr>
            <w:tcW w:w="1175" w:type="pct"/>
          </w:tcPr>
          <w:p w14:paraId="1D80D05D"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0</w:t>
            </w:r>
          </w:p>
        </w:tc>
        <w:tc>
          <w:tcPr>
            <w:tcW w:w="736" w:type="pct"/>
          </w:tcPr>
          <w:p w14:paraId="71C650C8"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0</w:t>
            </w:r>
          </w:p>
        </w:tc>
        <w:tc>
          <w:tcPr>
            <w:tcW w:w="591" w:type="pct"/>
            <w:vMerge w:val="restart"/>
          </w:tcPr>
          <w:p w14:paraId="6015F00E" w14:textId="77777777" w:rsidR="008B7BE7" w:rsidRPr="008B7BE7" w:rsidRDefault="008B7BE7" w:rsidP="00F22E9F">
            <w:pPr>
              <w:spacing w:after="0" w:line="240" w:lineRule="auto"/>
              <w:jc w:val="center"/>
              <w:rPr>
                <w:rFonts w:ascii="Times New Roman" w:hAnsi="Times New Roman" w:cs="Times New Roman"/>
                <w:sz w:val="16"/>
                <w:szCs w:val="16"/>
              </w:rPr>
            </w:pPr>
          </w:p>
          <w:p w14:paraId="44A73C67" w14:textId="77777777" w:rsidR="008B7BE7" w:rsidRPr="008B7BE7" w:rsidRDefault="008B7BE7" w:rsidP="00F22E9F">
            <w:pPr>
              <w:spacing w:after="0" w:line="240" w:lineRule="auto"/>
              <w:jc w:val="center"/>
              <w:rPr>
                <w:rFonts w:ascii="Times New Roman" w:hAnsi="Times New Roman" w:cs="Times New Roman"/>
                <w:sz w:val="16"/>
                <w:szCs w:val="16"/>
              </w:rPr>
            </w:pPr>
          </w:p>
          <w:p w14:paraId="5EC503CC" w14:textId="77777777" w:rsidR="008B7BE7" w:rsidRPr="008B7BE7" w:rsidRDefault="008B7BE7" w:rsidP="00F22E9F">
            <w:pPr>
              <w:spacing w:after="0" w:line="240" w:lineRule="auto"/>
              <w:jc w:val="center"/>
              <w:rPr>
                <w:rFonts w:ascii="Times New Roman" w:hAnsi="Times New Roman" w:cs="Times New Roman"/>
                <w:b/>
                <w:i/>
                <w:sz w:val="16"/>
                <w:szCs w:val="16"/>
              </w:rPr>
            </w:pPr>
            <w:r w:rsidRPr="008B7BE7">
              <w:rPr>
                <w:rFonts w:ascii="Times New Roman" w:hAnsi="Times New Roman" w:cs="Times New Roman"/>
                <w:b/>
                <w:i/>
                <w:color w:val="000000"/>
                <w:sz w:val="16"/>
                <w:szCs w:val="16"/>
                <w:shd w:val="clear" w:color="auto" w:fill="FFFFFF"/>
              </w:rPr>
              <w:t>10</w:t>
            </w:r>
            <w:r w:rsidRPr="008B7BE7">
              <w:rPr>
                <w:rFonts w:ascii="Times New Roman" w:hAnsi="Times New Roman" w:cs="Times New Roman"/>
                <w:b/>
                <w:i/>
                <w:color w:val="000000"/>
                <w:sz w:val="16"/>
                <w:szCs w:val="16"/>
                <w:shd w:val="clear" w:color="auto" w:fill="FFFFFF"/>
                <w:vertAlign w:val="superscript"/>
              </w:rPr>
              <w:t>-3</w:t>
            </w:r>
          </w:p>
        </w:tc>
      </w:tr>
      <w:tr w:rsidR="008B7BE7" w:rsidRPr="008B7BE7" w14:paraId="0751AC0B" w14:textId="77777777" w:rsidTr="008B7BE7">
        <w:trPr>
          <w:trHeight w:val="387"/>
        </w:trPr>
        <w:tc>
          <w:tcPr>
            <w:tcW w:w="1028" w:type="pct"/>
          </w:tcPr>
          <w:p w14:paraId="076B972C" w14:textId="77777777" w:rsidR="008B7BE7" w:rsidRPr="008B7BE7" w:rsidRDefault="008B7BE7" w:rsidP="00F22E9F">
            <w:pPr>
              <w:spacing w:after="0" w:line="240" w:lineRule="auto"/>
              <w:jc w:val="center"/>
              <w:rPr>
                <w:rFonts w:ascii="Times New Roman" w:hAnsi="Times New Roman" w:cs="Times New Roman"/>
                <w:b/>
                <w:bCs/>
                <w:sz w:val="16"/>
                <w:szCs w:val="16"/>
              </w:rPr>
            </w:pPr>
            <w:r w:rsidRPr="008B7BE7">
              <w:rPr>
                <w:rFonts w:ascii="Times New Roman" w:hAnsi="Times New Roman" w:cs="Times New Roman"/>
                <w:b/>
                <w:bCs/>
                <w:sz w:val="16"/>
                <w:szCs w:val="16"/>
              </w:rPr>
              <w:t>[30-40[</w:t>
            </w:r>
          </w:p>
        </w:tc>
        <w:tc>
          <w:tcPr>
            <w:tcW w:w="735" w:type="pct"/>
          </w:tcPr>
          <w:p w14:paraId="459336A5"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64</w:t>
            </w:r>
          </w:p>
        </w:tc>
        <w:tc>
          <w:tcPr>
            <w:tcW w:w="736" w:type="pct"/>
          </w:tcPr>
          <w:p w14:paraId="3BA4329B"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 xml:space="preserve">26.45      </w:t>
            </w:r>
          </w:p>
        </w:tc>
        <w:tc>
          <w:tcPr>
            <w:tcW w:w="1175" w:type="pct"/>
          </w:tcPr>
          <w:p w14:paraId="253635E8"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11</w:t>
            </w:r>
          </w:p>
        </w:tc>
        <w:tc>
          <w:tcPr>
            <w:tcW w:w="736" w:type="pct"/>
          </w:tcPr>
          <w:p w14:paraId="2BBED7B4"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 xml:space="preserve">16.18      </w:t>
            </w:r>
          </w:p>
        </w:tc>
        <w:tc>
          <w:tcPr>
            <w:tcW w:w="591" w:type="pct"/>
            <w:vMerge/>
          </w:tcPr>
          <w:p w14:paraId="5365E6BC" w14:textId="77777777" w:rsidR="008B7BE7" w:rsidRPr="008B7BE7" w:rsidRDefault="008B7BE7" w:rsidP="00F22E9F">
            <w:pPr>
              <w:spacing w:after="0" w:line="240" w:lineRule="auto"/>
              <w:jc w:val="center"/>
              <w:rPr>
                <w:rFonts w:ascii="Times New Roman" w:hAnsi="Times New Roman" w:cs="Times New Roman"/>
                <w:sz w:val="16"/>
                <w:szCs w:val="16"/>
              </w:rPr>
            </w:pPr>
          </w:p>
        </w:tc>
      </w:tr>
      <w:tr w:rsidR="008B7BE7" w:rsidRPr="008B7BE7" w14:paraId="58ACEBF3" w14:textId="77777777" w:rsidTr="008B7BE7">
        <w:trPr>
          <w:trHeight w:val="422"/>
        </w:trPr>
        <w:tc>
          <w:tcPr>
            <w:tcW w:w="1028" w:type="pct"/>
          </w:tcPr>
          <w:p w14:paraId="6341CB21" w14:textId="77777777" w:rsidR="008B7BE7" w:rsidRPr="008B7BE7" w:rsidRDefault="008B7BE7" w:rsidP="00F22E9F">
            <w:pPr>
              <w:spacing w:after="0" w:line="240" w:lineRule="auto"/>
              <w:jc w:val="center"/>
              <w:rPr>
                <w:rFonts w:ascii="Times New Roman" w:hAnsi="Times New Roman" w:cs="Times New Roman"/>
                <w:b/>
                <w:bCs/>
                <w:sz w:val="16"/>
                <w:szCs w:val="16"/>
              </w:rPr>
            </w:pPr>
            <w:r w:rsidRPr="008B7BE7">
              <w:rPr>
                <w:rFonts w:ascii="Times New Roman" w:hAnsi="Times New Roman" w:cs="Times New Roman"/>
                <w:b/>
                <w:bCs/>
                <w:sz w:val="16"/>
                <w:szCs w:val="16"/>
              </w:rPr>
              <w:t>[40-50[</w:t>
            </w:r>
          </w:p>
        </w:tc>
        <w:tc>
          <w:tcPr>
            <w:tcW w:w="735" w:type="pct"/>
          </w:tcPr>
          <w:p w14:paraId="6E1AA679"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62</w:t>
            </w:r>
          </w:p>
        </w:tc>
        <w:tc>
          <w:tcPr>
            <w:tcW w:w="736" w:type="pct"/>
          </w:tcPr>
          <w:p w14:paraId="0F7168F8"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 xml:space="preserve">25.62      </w:t>
            </w:r>
          </w:p>
        </w:tc>
        <w:tc>
          <w:tcPr>
            <w:tcW w:w="1175" w:type="pct"/>
          </w:tcPr>
          <w:p w14:paraId="0CD4B30F"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17</w:t>
            </w:r>
          </w:p>
        </w:tc>
        <w:tc>
          <w:tcPr>
            <w:tcW w:w="736" w:type="pct"/>
          </w:tcPr>
          <w:p w14:paraId="56E60C6E"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 xml:space="preserve">25.00      </w:t>
            </w:r>
          </w:p>
        </w:tc>
        <w:tc>
          <w:tcPr>
            <w:tcW w:w="591" w:type="pct"/>
            <w:vMerge/>
          </w:tcPr>
          <w:p w14:paraId="5277CAD3" w14:textId="77777777" w:rsidR="008B7BE7" w:rsidRPr="008B7BE7" w:rsidRDefault="008B7BE7" w:rsidP="00F22E9F">
            <w:pPr>
              <w:spacing w:after="0" w:line="240" w:lineRule="auto"/>
              <w:jc w:val="center"/>
              <w:rPr>
                <w:rFonts w:ascii="Times New Roman" w:hAnsi="Times New Roman" w:cs="Times New Roman"/>
                <w:sz w:val="16"/>
                <w:szCs w:val="16"/>
              </w:rPr>
            </w:pPr>
          </w:p>
        </w:tc>
      </w:tr>
      <w:tr w:rsidR="008B7BE7" w:rsidRPr="008B7BE7" w14:paraId="46631D82" w14:textId="77777777" w:rsidTr="008B7BE7">
        <w:trPr>
          <w:trHeight w:val="419"/>
        </w:trPr>
        <w:tc>
          <w:tcPr>
            <w:tcW w:w="1028" w:type="pct"/>
          </w:tcPr>
          <w:p w14:paraId="7CE4A74F" w14:textId="77777777" w:rsidR="008B7BE7" w:rsidRPr="008B7BE7" w:rsidRDefault="008B7BE7" w:rsidP="00F22E9F">
            <w:pPr>
              <w:spacing w:after="0" w:line="240" w:lineRule="auto"/>
              <w:jc w:val="center"/>
              <w:rPr>
                <w:rFonts w:ascii="Times New Roman" w:hAnsi="Times New Roman" w:cs="Times New Roman"/>
                <w:b/>
                <w:bCs/>
                <w:sz w:val="16"/>
                <w:szCs w:val="16"/>
              </w:rPr>
            </w:pPr>
            <w:r w:rsidRPr="008B7BE7">
              <w:rPr>
                <w:rFonts w:ascii="Times New Roman" w:hAnsi="Times New Roman" w:cs="Times New Roman"/>
                <w:b/>
                <w:bCs/>
                <w:sz w:val="16"/>
                <w:szCs w:val="16"/>
              </w:rPr>
              <w:t>≥50</w:t>
            </w:r>
          </w:p>
        </w:tc>
        <w:tc>
          <w:tcPr>
            <w:tcW w:w="735" w:type="pct"/>
          </w:tcPr>
          <w:p w14:paraId="6AF38053"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51</w:t>
            </w:r>
          </w:p>
        </w:tc>
        <w:tc>
          <w:tcPr>
            <w:tcW w:w="736" w:type="pct"/>
          </w:tcPr>
          <w:p w14:paraId="1A8EEF75"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21,07</w:t>
            </w:r>
          </w:p>
        </w:tc>
        <w:tc>
          <w:tcPr>
            <w:tcW w:w="1175" w:type="pct"/>
          </w:tcPr>
          <w:p w14:paraId="7885265B"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40</w:t>
            </w:r>
          </w:p>
        </w:tc>
        <w:tc>
          <w:tcPr>
            <w:tcW w:w="736" w:type="pct"/>
          </w:tcPr>
          <w:p w14:paraId="271D5C82" w14:textId="77777777" w:rsidR="008B7BE7" w:rsidRPr="008B7BE7" w:rsidRDefault="008B7BE7" w:rsidP="00F22E9F">
            <w:pPr>
              <w:spacing w:after="0" w:line="240" w:lineRule="auto"/>
              <w:jc w:val="center"/>
              <w:rPr>
                <w:rFonts w:ascii="Times New Roman" w:hAnsi="Times New Roman" w:cs="Times New Roman"/>
                <w:sz w:val="16"/>
                <w:szCs w:val="16"/>
              </w:rPr>
            </w:pPr>
            <w:r w:rsidRPr="008B7BE7">
              <w:rPr>
                <w:rFonts w:ascii="Times New Roman" w:hAnsi="Times New Roman" w:cs="Times New Roman"/>
                <w:sz w:val="16"/>
                <w:szCs w:val="16"/>
              </w:rPr>
              <w:t>58,82</w:t>
            </w:r>
          </w:p>
        </w:tc>
        <w:tc>
          <w:tcPr>
            <w:tcW w:w="591" w:type="pct"/>
            <w:vMerge/>
          </w:tcPr>
          <w:p w14:paraId="2C72ACFC" w14:textId="77777777" w:rsidR="008B7BE7" w:rsidRPr="008B7BE7" w:rsidRDefault="008B7BE7" w:rsidP="00F22E9F">
            <w:pPr>
              <w:spacing w:after="0" w:line="240" w:lineRule="auto"/>
              <w:jc w:val="center"/>
              <w:rPr>
                <w:rFonts w:ascii="Times New Roman" w:hAnsi="Times New Roman" w:cs="Times New Roman"/>
                <w:sz w:val="16"/>
                <w:szCs w:val="16"/>
              </w:rPr>
            </w:pPr>
          </w:p>
        </w:tc>
      </w:tr>
      <w:tr w:rsidR="008B7BE7" w:rsidRPr="008B7BE7" w14:paraId="61C4F64C" w14:textId="77777777" w:rsidTr="008B7BE7">
        <w:trPr>
          <w:trHeight w:val="411"/>
        </w:trPr>
        <w:tc>
          <w:tcPr>
            <w:tcW w:w="1028" w:type="pct"/>
            <w:shd w:val="clear" w:color="auto" w:fill="D9D9D9"/>
          </w:tcPr>
          <w:p w14:paraId="636FD586" w14:textId="77777777" w:rsidR="008B7BE7" w:rsidRPr="008B7BE7" w:rsidRDefault="008B7BE7" w:rsidP="00F22E9F">
            <w:pPr>
              <w:spacing w:after="0" w:line="240" w:lineRule="auto"/>
              <w:jc w:val="center"/>
              <w:rPr>
                <w:rFonts w:ascii="Times New Roman" w:hAnsi="Times New Roman" w:cs="Times New Roman"/>
                <w:b/>
                <w:sz w:val="16"/>
                <w:szCs w:val="16"/>
              </w:rPr>
            </w:pPr>
            <w:r w:rsidRPr="008B7BE7">
              <w:rPr>
                <w:rFonts w:ascii="Times New Roman" w:hAnsi="Times New Roman" w:cs="Times New Roman"/>
                <w:b/>
                <w:sz w:val="16"/>
                <w:szCs w:val="16"/>
              </w:rPr>
              <w:t>Total</w:t>
            </w:r>
          </w:p>
        </w:tc>
        <w:tc>
          <w:tcPr>
            <w:tcW w:w="735" w:type="pct"/>
            <w:shd w:val="clear" w:color="auto" w:fill="D9D9D9"/>
          </w:tcPr>
          <w:p w14:paraId="545F5297" w14:textId="77777777" w:rsidR="008B7BE7" w:rsidRPr="008B7BE7" w:rsidRDefault="008B7BE7" w:rsidP="00F22E9F">
            <w:pPr>
              <w:spacing w:after="0" w:line="240" w:lineRule="auto"/>
              <w:jc w:val="center"/>
              <w:rPr>
                <w:rFonts w:ascii="Times New Roman" w:hAnsi="Times New Roman" w:cs="Times New Roman"/>
                <w:b/>
                <w:sz w:val="16"/>
                <w:szCs w:val="16"/>
              </w:rPr>
            </w:pPr>
            <w:r w:rsidRPr="008B7BE7">
              <w:rPr>
                <w:rFonts w:ascii="Times New Roman" w:hAnsi="Times New Roman" w:cs="Times New Roman"/>
                <w:b/>
                <w:sz w:val="16"/>
                <w:szCs w:val="16"/>
              </w:rPr>
              <w:t>242</w:t>
            </w:r>
          </w:p>
        </w:tc>
        <w:tc>
          <w:tcPr>
            <w:tcW w:w="736" w:type="pct"/>
            <w:shd w:val="clear" w:color="auto" w:fill="D9D9D9"/>
          </w:tcPr>
          <w:p w14:paraId="67F04DAF" w14:textId="77777777" w:rsidR="008B7BE7" w:rsidRPr="008B7BE7" w:rsidRDefault="008B7BE7" w:rsidP="00F22E9F">
            <w:pPr>
              <w:spacing w:after="0" w:line="240" w:lineRule="auto"/>
              <w:jc w:val="center"/>
              <w:rPr>
                <w:rFonts w:ascii="Times New Roman" w:hAnsi="Times New Roman" w:cs="Times New Roman"/>
                <w:b/>
                <w:sz w:val="16"/>
                <w:szCs w:val="16"/>
              </w:rPr>
            </w:pPr>
            <w:r w:rsidRPr="008B7BE7">
              <w:rPr>
                <w:rFonts w:ascii="Times New Roman" w:hAnsi="Times New Roman" w:cs="Times New Roman"/>
                <w:b/>
                <w:sz w:val="16"/>
                <w:szCs w:val="16"/>
              </w:rPr>
              <w:t>100</w:t>
            </w:r>
          </w:p>
        </w:tc>
        <w:tc>
          <w:tcPr>
            <w:tcW w:w="1175" w:type="pct"/>
            <w:shd w:val="clear" w:color="auto" w:fill="D9D9D9"/>
          </w:tcPr>
          <w:p w14:paraId="08E122D2" w14:textId="77777777" w:rsidR="008B7BE7" w:rsidRPr="008B7BE7" w:rsidRDefault="008B7BE7" w:rsidP="00F22E9F">
            <w:pPr>
              <w:spacing w:after="0" w:line="240" w:lineRule="auto"/>
              <w:jc w:val="center"/>
              <w:rPr>
                <w:rFonts w:ascii="Times New Roman" w:hAnsi="Times New Roman" w:cs="Times New Roman"/>
                <w:b/>
                <w:sz w:val="16"/>
                <w:szCs w:val="16"/>
              </w:rPr>
            </w:pPr>
            <w:r w:rsidRPr="008B7BE7">
              <w:rPr>
                <w:rFonts w:ascii="Times New Roman" w:hAnsi="Times New Roman" w:cs="Times New Roman"/>
                <w:b/>
                <w:sz w:val="16"/>
                <w:szCs w:val="16"/>
              </w:rPr>
              <w:t>68</w:t>
            </w:r>
          </w:p>
        </w:tc>
        <w:tc>
          <w:tcPr>
            <w:tcW w:w="736" w:type="pct"/>
            <w:shd w:val="clear" w:color="auto" w:fill="D9D9D9"/>
          </w:tcPr>
          <w:p w14:paraId="40018983" w14:textId="77777777" w:rsidR="008B7BE7" w:rsidRPr="008B7BE7" w:rsidRDefault="008B7BE7" w:rsidP="00F22E9F">
            <w:pPr>
              <w:spacing w:after="0" w:line="240" w:lineRule="auto"/>
              <w:jc w:val="center"/>
              <w:rPr>
                <w:rFonts w:ascii="Times New Roman" w:hAnsi="Times New Roman" w:cs="Times New Roman"/>
                <w:b/>
                <w:sz w:val="16"/>
                <w:szCs w:val="16"/>
              </w:rPr>
            </w:pPr>
            <w:r w:rsidRPr="008B7BE7">
              <w:rPr>
                <w:rFonts w:ascii="Times New Roman" w:hAnsi="Times New Roman" w:cs="Times New Roman"/>
                <w:b/>
                <w:sz w:val="16"/>
                <w:szCs w:val="16"/>
              </w:rPr>
              <w:t>100</w:t>
            </w:r>
          </w:p>
        </w:tc>
        <w:tc>
          <w:tcPr>
            <w:tcW w:w="591" w:type="pct"/>
            <w:vMerge/>
            <w:shd w:val="clear" w:color="auto" w:fill="D9D9D9"/>
          </w:tcPr>
          <w:p w14:paraId="16053B69" w14:textId="77777777" w:rsidR="008B7BE7" w:rsidRPr="008B7BE7" w:rsidRDefault="008B7BE7" w:rsidP="00F22E9F">
            <w:pPr>
              <w:spacing w:after="0" w:line="240" w:lineRule="auto"/>
              <w:jc w:val="center"/>
              <w:rPr>
                <w:rFonts w:ascii="Times New Roman" w:hAnsi="Times New Roman" w:cs="Times New Roman"/>
                <w:sz w:val="16"/>
                <w:szCs w:val="16"/>
              </w:rPr>
            </w:pPr>
          </w:p>
        </w:tc>
      </w:tr>
    </w:tbl>
    <w:p w14:paraId="54040638" w14:textId="77777777" w:rsidR="008B7BE7" w:rsidRPr="008B7BE7" w:rsidRDefault="008B7BE7" w:rsidP="00FB5251">
      <w:pPr>
        <w:pStyle w:val="Default"/>
        <w:jc w:val="both"/>
        <w:rPr>
          <w:rFonts w:asciiTheme="majorBidi" w:hAnsiTheme="majorBidi" w:cstheme="majorBidi"/>
          <w:color w:val="000000" w:themeColor="text1"/>
          <w:sz w:val="18"/>
          <w:szCs w:val="18"/>
        </w:rPr>
      </w:pPr>
    </w:p>
    <w:p w14:paraId="77F23FF2"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La prévalence des facteurs de risque cardiovasculaire était comme suit : </w:t>
      </w:r>
    </w:p>
    <w:p w14:paraId="238C2D0A"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 HTA : 59,35 % (184), </w:t>
      </w:r>
    </w:p>
    <w:p w14:paraId="53A89181"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 tabagisme : 40,97 % (127) ; actif 77,95 % et sevré 22,05%, </w:t>
      </w:r>
    </w:p>
    <w:p w14:paraId="04E2D689"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 dyslipidémie : 40,65% (126), </w:t>
      </w:r>
    </w:p>
    <w:p w14:paraId="0D4D02FD"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 surcharge pondérale et l’obésité : 48,39 % (150) et 15,16 % (47) ; </w:t>
      </w:r>
    </w:p>
    <w:p w14:paraId="5E7866BF" w14:textId="77777777" w:rsidR="008B7BE7" w:rsidRPr="008B7BE7" w:rsidRDefault="008B7BE7" w:rsidP="008B7BE7">
      <w:pPr>
        <w:pStyle w:val="Default"/>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xml:space="preserve">- obésité abdominale et l’obésité androïde : 20,32% (63) et 32,90 % (102), </w:t>
      </w:r>
    </w:p>
    <w:p w14:paraId="4C0A8820" w14:textId="77777777" w:rsidR="008B7BE7" w:rsidRPr="008B7BE7" w:rsidRDefault="008B7BE7" w:rsidP="008B7BE7">
      <w:pPr>
        <w:pStyle w:val="Default"/>
        <w:jc w:val="both"/>
        <w:rPr>
          <w:rFonts w:asciiTheme="majorBidi" w:hAnsiTheme="majorBidi" w:cstheme="majorBidi"/>
          <w:color w:val="000000" w:themeColor="text1"/>
          <w:sz w:val="20"/>
          <w:szCs w:val="20"/>
        </w:rPr>
      </w:pPr>
      <w:r w:rsidRPr="008B7BE7">
        <w:rPr>
          <w:rFonts w:asciiTheme="majorBidi" w:hAnsiTheme="majorBidi" w:cstheme="majorBidi"/>
          <w:color w:val="000000" w:themeColor="text1"/>
          <w:sz w:val="20"/>
          <w:szCs w:val="20"/>
        </w:rPr>
        <w:t>- sédentarité : 82,90 % (257).</w:t>
      </w:r>
    </w:p>
    <w:p w14:paraId="4B150C31" w14:textId="77777777" w:rsidR="008B7BE7" w:rsidRPr="008B7BE7" w:rsidRDefault="008B7BE7" w:rsidP="008B7BE7">
      <w:pPr>
        <w:pStyle w:val="Default"/>
        <w:jc w:val="both"/>
        <w:rPr>
          <w:rFonts w:asciiTheme="majorBidi" w:hAnsiTheme="majorBidi" w:cstheme="majorBidi"/>
          <w:color w:val="000000" w:themeColor="text1"/>
          <w:sz w:val="20"/>
          <w:szCs w:val="20"/>
        </w:rPr>
      </w:pPr>
    </w:p>
    <w:p w14:paraId="0181821B" w14:textId="7FDBA557" w:rsidR="008B7BE7" w:rsidRPr="005202AA" w:rsidRDefault="008B7BE7" w:rsidP="008B7BE7">
      <w:pPr>
        <w:jc w:val="both"/>
        <w:rPr>
          <w:rFonts w:ascii="Times New Roman" w:hAnsi="Times New Roman" w:cs="Times New Roman"/>
          <w:sz w:val="20"/>
          <w:szCs w:val="20"/>
          <w:lang w:val="fr-FR"/>
        </w:rPr>
      </w:pPr>
      <w:r w:rsidRPr="005202AA">
        <w:rPr>
          <w:rFonts w:ascii="Times New Roman" w:hAnsi="Times New Roman" w:cs="Times New Roman"/>
          <w:sz w:val="20"/>
          <w:szCs w:val="20"/>
          <w:lang w:val="fr-FR"/>
        </w:rPr>
        <w:t>Les caractéristiques cliniques et biologiques de la population globale et selon le sexe sont résumées dans le tableau suivant (tableau 3). Les résultats sont exprimés en moyenne (ET) et en proportions (%).</w:t>
      </w:r>
    </w:p>
    <w:p w14:paraId="3C85C177" w14:textId="77777777" w:rsidR="00482434" w:rsidRPr="005202AA" w:rsidRDefault="00482434" w:rsidP="00482434">
      <w:pPr>
        <w:jc w:val="center"/>
        <w:rPr>
          <w:rFonts w:ascii="Times New Roman" w:hAnsi="Times New Roman" w:cs="Times New Roman"/>
          <w:bCs/>
          <w:iCs/>
          <w:sz w:val="20"/>
          <w:szCs w:val="20"/>
          <w:lang w:val="fr-FR"/>
        </w:rPr>
      </w:pPr>
    </w:p>
    <w:p w14:paraId="404EDF32" w14:textId="77777777" w:rsidR="00482434" w:rsidRPr="005202AA" w:rsidRDefault="00482434" w:rsidP="00482434">
      <w:pPr>
        <w:jc w:val="center"/>
        <w:rPr>
          <w:rFonts w:ascii="Times New Roman" w:hAnsi="Times New Roman" w:cs="Times New Roman"/>
          <w:bCs/>
          <w:iCs/>
          <w:sz w:val="20"/>
          <w:szCs w:val="20"/>
          <w:lang w:val="fr-FR"/>
        </w:rPr>
      </w:pPr>
    </w:p>
    <w:p w14:paraId="33E3F8DF" w14:textId="77777777" w:rsidR="00482434" w:rsidRPr="005202AA" w:rsidRDefault="00482434" w:rsidP="00482434">
      <w:pPr>
        <w:jc w:val="center"/>
        <w:rPr>
          <w:rFonts w:ascii="Times New Roman" w:hAnsi="Times New Roman" w:cs="Times New Roman"/>
          <w:bCs/>
          <w:iCs/>
          <w:sz w:val="20"/>
          <w:szCs w:val="20"/>
          <w:lang w:val="fr-FR"/>
        </w:rPr>
      </w:pPr>
    </w:p>
    <w:p w14:paraId="6C2FDAF9" w14:textId="77777777" w:rsidR="00482434" w:rsidRPr="005202AA" w:rsidRDefault="00482434" w:rsidP="00482434">
      <w:pPr>
        <w:jc w:val="center"/>
        <w:rPr>
          <w:rFonts w:ascii="Times New Roman" w:hAnsi="Times New Roman" w:cs="Times New Roman"/>
          <w:bCs/>
          <w:iCs/>
          <w:sz w:val="20"/>
          <w:szCs w:val="20"/>
          <w:lang w:val="fr-FR"/>
        </w:rPr>
      </w:pPr>
    </w:p>
    <w:p w14:paraId="07F1598E" w14:textId="77777777" w:rsidR="00482434" w:rsidRPr="005202AA" w:rsidRDefault="00482434" w:rsidP="00482434">
      <w:pPr>
        <w:jc w:val="center"/>
        <w:rPr>
          <w:rFonts w:ascii="Times New Roman" w:hAnsi="Times New Roman" w:cs="Times New Roman"/>
          <w:bCs/>
          <w:iCs/>
          <w:sz w:val="20"/>
          <w:szCs w:val="20"/>
          <w:lang w:val="fr-FR"/>
        </w:rPr>
      </w:pPr>
    </w:p>
    <w:p w14:paraId="220A400F" w14:textId="77777777" w:rsidR="00482434" w:rsidRPr="005202AA" w:rsidRDefault="00482434" w:rsidP="00482434">
      <w:pPr>
        <w:jc w:val="center"/>
        <w:rPr>
          <w:rFonts w:ascii="Times New Roman" w:hAnsi="Times New Roman" w:cs="Times New Roman"/>
          <w:bCs/>
          <w:iCs/>
          <w:sz w:val="20"/>
          <w:szCs w:val="20"/>
          <w:lang w:val="fr-FR"/>
        </w:rPr>
      </w:pPr>
    </w:p>
    <w:p w14:paraId="4F2EAD7B" w14:textId="77777777" w:rsidR="00482434" w:rsidRPr="005202AA" w:rsidRDefault="00482434" w:rsidP="00482434">
      <w:pPr>
        <w:jc w:val="center"/>
        <w:rPr>
          <w:rFonts w:ascii="Times New Roman" w:hAnsi="Times New Roman" w:cs="Times New Roman"/>
          <w:bCs/>
          <w:iCs/>
          <w:sz w:val="20"/>
          <w:szCs w:val="20"/>
          <w:lang w:val="fr-FR"/>
        </w:rPr>
      </w:pPr>
    </w:p>
    <w:p w14:paraId="2A7511D4" w14:textId="77777777" w:rsidR="00482434" w:rsidRPr="005202AA" w:rsidRDefault="00482434" w:rsidP="00482434">
      <w:pPr>
        <w:jc w:val="center"/>
        <w:rPr>
          <w:rFonts w:ascii="Times New Roman" w:hAnsi="Times New Roman" w:cs="Times New Roman"/>
          <w:bCs/>
          <w:iCs/>
          <w:sz w:val="20"/>
          <w:szCs w:val="20"/>
          <w:lang w:val="fr-FR"/>
        </w:rPr>
      </w:pPr>
    </w:p>
    <w:p w14:paraId="28791055" w14:textId="77777777" w:rsidR="00482434" w:rsidRPr="005202AA" w:rsidRDefault="00482434" w:rsidP="00482434">
      <w:pPr>
        <w:jc w:val="center"/>
        <w:rPr>
          <w:rFonts w:ascii="Times New Roman" w:hAnsi="Times New Roman" w:cs="Times New Roman"/>
          <w:bCs/>
          <w:iCs/>
          <w:sz w:val="20"/>
          <w:szCs w:val="20"/>
          <w:lang w:val="fr-FR"/>
        </w:rPr>
      </w:pPr>
    </w:p>
    <w:p w14:paraId="3E917D6E" w14:textId="77777777" w:rsidR="00482434" w:rsidRPr="005202AA" w:rsidRDefault="00482434" w:rsidP="00482434">
      <w:pPr>
        <w:jc w:val="center"/>
        <w:rPr>
          <w:rFonts w:ascii="Times New Roman" w:hAnsi="Times New Roman" w:cs="Times New Roman"/>
          <w:bCs/>
          <w:iCs/>
          <w:sz w:val="20"/>
          <w:szCs w:val="20"/>
          <w:lang w:val="fr-FR"/>
        </w:rPr>
      </w:pPr>
    </w:p>
    <w:p w14:paraId="191CB228" w14:textId="77777777" w:rsidR="00482434" w:rsidRPr="005202AA" w:rsidRDefault="00482434" w:rsidP="00482434">
      <w:pPr>
        <w:jc w:val="center"/>
        <w:rPr>
          <w:rFonts w:ascii="Times New Roman" w:hAnsi="Times New Roman" w:cs="Times New Roman"/>
          <w:bCs/>
          <w:iCs/>
          <w:sz w:val="20"/>
          <w:szCs w:val="20"/>
          <w:lang w:val="fr-FR"/>
        </w:rPr>
      </w:pPr>
    </w:p>
    <w:p w14:paraId="06194B07" w14:textId="77777777" w:rsidR="00482434" w:rsidRPr="005202AA" w:rsidRDefault="00482434" w:rsidP="00482434">
      <w:pPr>
        <w:jc w:val="center"/>
        <w:rPr>
          <w:rFonts w:ascii="Times New Roman" w:hAnsi="Times New Roman" w:cs="Times New Roman"/>
          <w:bCs/>
          <w:iCs/>
          <w:sz w:val="20"/>
          <w:szCs w:val="20"/>
          <w:lang w:val="fr-FR"/>
        </w:rPr>
      </w:pPr>
    </w:p>
    <w:p w14:paraId="6E680349" w14:textId="513C01AE" w:rsidR="00482434" w:rsidRPr="005202AA" w:rsidRDefault="00482434" w:rsidP="00482434">
      <w:pPr>
        <w:jc w:val="center"/>
        <w:rPr>
          <w:rFonts w:ascii="Times New Roman" w:hAnsi="Times New Roman" w:cs="Times New Roman"/>
          <w:bCs/>
          <w:iCs/>
          <w:sz w:val="20"/>
          <w:szCs w:val="20"/>
          <w:lang w:val="fr-FR"/>
        </w:rPr>
      </w:pPr>
      <w:r w:rsidRPr="005202AA">
        <w:rPr>
          <w:rFonts w:ascii="Times New Roman" w:hAnsi="Times New Roman" w:cs="Times New Roman"/>
          <w:bCs/>
          <w:iCs/>
          <w:sz w:val="20"/>
          <w:szCs w:val="20"/>
          <w:lang w:val="fr-FR"/>
        </w:rPr>
        <w:lastRenderedPageBreak/>
        <w:t>Tableau 3: Caractéristiques des principaux paramètres démographiques, cliniques et biologiques.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903"/>
        <w:gridCol w:w="971"/>
        <w:gridCol w:w="971"/>
        <w:gridCol w:w="454"/>
      </w:tblGrid>
      <w:tr w:rsidR="00482434" w:rsidRPr="009D32CA" w14:paraId="66F22289" w14:textId="77777777" w:rsidTr="00F22E9F">
        <w:tc>
          <w:tcPr>
            <w:tcW w:w="3369" w:type="dxa"/>
            <w:shd w:val="clear" w:color="auto" w:fill="D9D9D9"/>
          </w:tcPr>
          <w:p w14:paraId="42FDC13D" w14:textId="77777777" w:rsidR="00482434" w:rsidRPr="005202AA" w:rsidRDefault="00482434" w:rsidP="00F22E9F">
            <w:pPr>
              <w:spacing w:after="0" w:line="240" w:lineRule="auto"/>
              <w:jc w:val="center"/>
              <w:rPr>
                <w:rFonts w:asciiTheme="majorBidi" w:hAnsiTheme="majorBidi" w:cstheme="majorBidi"/>
                <w:b/>
                <w:sz w:val="14"/>
                <w:szCs w:val="14"/>
                <w:lang w:val="fr-FR"/>
              </w:rPr>
            </w:pPr>
          </w:p>
          <w:p w14:paraId="1BEB24F8"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Variables</w:t>
            </w:r>
          </w:p>
        </w:tc>
        <w:tc>
          <w:tcPr>
            <w:tcW w:w="1701" w:type="dxa"/>
            <w:shd w:val="clear" w:color="auto" w:fill="D9D9D9"/>
          </w:tcPr>
          <w:p w14:paraId="26F5EF79"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Total</w:t>
            </w:r>
          </w:p>
          <w:p w14:paraId="43F0C355"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310</w:t>
            </w:r>
          </w:p>
        </w:tc>
        <w:tc>
          <w:tcPr>
            <w:tcW w:w="1559" w:type="dxa"/>
            <w:shd w:val="clear" w:color="auto" w:fill="D9D9D9"/>
          </w:tcPr>
          <w:p w14:paraId="06826D92"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Hommes</w:t>
            </w:r>
          </w:p>
          <w:p w14:paraId="54B23DC6"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232 (74,8%)</w:t>
            </w:r>
          </w:p>
        </w:tc>
        <w:tc>
          <w:tcPr>
            <w:tcW w:w="1701" w:type="dxa"/>
            <w:shd w:val="clear" w:color="auto" w:fill="D9D9D9"/>
          </w:tcPr>
          <w:p w14:paraId="54F8B68F"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Femmes</w:t>
            </w:r>
          </w:p>
          <w:p w14:paraId="64807FC9"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78(25,16%)</w:t>
            </w:r>
          </w:p>
        </w:tc>
        <w:tc>
          <w:tcPr>
            <w:tcW w:w="882" w:type="dxa"/>
            <w:shd w:val="clear" w:color="auto" w:fill="D9D9D9"/>
            <w:vAlign w:val="center"/>
          </w:tcPr>
          <w:p w14:paraId="30B33B2E" w14:textId="77777777" w:rsidR="00482434" w:rsidRPr="00482434" w:rsidRDefault="00482434" w:rsidP="00F22E9F">
            <w:pPr>
              <w:spacing w:after="0" w:line="240" w:lineRule="auto"/>
              <w:jc w:val="center"/>
              <w:rPr>
                <w:rFonts w:asciiTheme="majorBidi" w:hAnsiTheme="majorBidi" w:cstheme="majorBidi"/>
                <w:b/>
                <w:sz w:val="14"/>
                <w:szCs w:val="14"/>
              </w:rPr>
            </w:pPr>
            <w:r w:rsidRPr="00482434">
              <w:rPr>
                <w:rFonts w:asciiTheme="majorBidi" w:hAnsiTheme="majorBidi" w:cstheme="majorBidi"/>
                <w:b/>
                <w:sz w:val="14"/>
                <w:szCs w:val="14"/>
              </w:rPr>
              <w:t>p</w:t>
            </w:r>
          </w:p>
        </w:tc>
      </w:tr>
      <w:tr w:rsidR="00482434" w:rsidRPr="009D32CA" w14:paraId="5E6B54CA" w14:textId="77777777" w:rsidTr="00F22E9F">
        <w:trPr>
          <w:trHeight w:val="300"/>
        </w:trPr>
        <w:tc>
          <w:tcPr>
            <w:tcW w:w="3369" w:type="dxa"/>
          </w:tcPr>
          <w:p w14:paraId="7223BEE7" w14:textId="77777777" w:rsidR="00482434" w:rsidRPr="00482434" w:rsidRDefault="00482434" w:rsidP="00F22E9F">
            <w:pPr>
              <w:spacing w:after="0"/>
              <w:rPr>
                <w:rFonts w:asciiTheme="majorBidi" w:hAnsiTheme="majorBidi" w:cstheme="majorBidi"/>
                <w:b/>
                <w:sz w:val="14"/>
                <w:szCs w:val="14"/>
              </w:rPr>
            </w:pPr>
            <w:r w:rsidRPr="00482434">
              <w:rPr>
                <w:rFonts w:asciiTheme="majorBidi" w:hAnsiTheme="majorBidi" w:cstheme="majorBidi"/>
                <w:b/>
                <w:sz w:val="14"/>
                <w:szCs w:val="14"/>
              </w:rPr>
              <w:t>Age (</w:t>
            </w:r>
            <w:proofErr w:type="spellStart"/>
            <w:r w:rsidRPr="00482434">
              <w:rPr>
                <w:rFonts w:asciiTheme="majorBidi" w:hAnsiTheme="majorBidi" w:cstheme="majorBidi"/>
                <w:b/>
                <w:sz w:val="14"/>
                <w:szCs w:val="14"/>
              </w:rPr>
              <w:t>années</w:t>
            </w:r>
            <w:proofErr w:type="spellEnd"/>
            <w:r w:rsidRPr="00482434">
              <w:rPr>
                <w:rFonts w:asciiTheme="majorBidi" w:hAnsiTheme="majorBidi" w:cstheme="majorBidi"/>
                <w:b/>
                <w:sz w:val="14"/>
                <w:szCs w:val="14"/>
              </w:rPr>
              <w:t>)</w:t>
            </w:r>
          </w:p>
        </w:tc>
        <w:tc>
          <w:tcPr>
            <w:tcW w:w="1701" w:type="dxa"/>
          </w:tcPr>
          <w:p w14:paraId="605F9BA7"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41.83±12.84</w:t>
            </w:r>
          </w:p>
        </w:tc>
        <w:tc>
          <w:tcPr>
            <w:tcW w:w="1559" w:type="dxa"/>
          </w:tcPr>
          <w:p w14:paraId="4EE339B2"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39.74±13.02</w:t>
            </w:r>
          </w:p>
        </w:tc>
        <w:tc>
          <w:tcPr>
            <w:tcW w:w="1701" w:type="dxa"/>
          </w:tcPr>
          <w:p w14:paraId="7E294E4E"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48.05±10.07</w:t>
            </w:r>
          </w:p>
        </w:tc>
        <w:tc>
          <w:tcPr>
            <w:tcW w:w="882" w:type="dxa"/>
          </w:tcPr>
          <w:p w14:paraId="11AE1514" w14:textId="77777777" w:rsidR="00482434" w:rsidRPr="00482434" w:rsidRDefault="00482434" w:rsidP="00482434">
            <w:pPr>
              <w:jc w:val="both"/>
              <w:rPr>
                <w:rFonts w:asciiTheme="majorBidi" w:hAnsiTheme="majorBidi" w:cstheme="majorBidi"/>
                <w:b/>
                <w:i/>
                <w:sz w:val="14"/>
                <w:szCs w:val="14"/>
              </w:rPr>
            </w:pPr>
            <w:r w:rsidRPr="00482434">
              <w:rPr>
                <w:rFonts w:asciiTheme="majorBidi" w:hAnsiTheme="majorBidi" w:cstheme="majorBidi"/>
                <w:b/>
                <w:i/>
                <w:sz w:val="14"/>
                <w:szCs w:val="14"/>
              </w:rPr>
              <w:t>10</w:t>
            </w:r>
            <w:r w:rsidRPr="00482434">
              <w:rPr>
                <w:rFonts w:asciiTheme="majorBidi" w:hAnsiTheme="majorBidi" w:cstheme="majorBidi"/>
                <w:b/>
                <w:i/>
                <w:sz w:val="14"/>
                <w:szCs w:val="14"/>
                <w:vertAlign w:val="superscript"/>
              </w:rPr>
              <w:t>-3</w:t>
            </w:r>
          </w:p>
        </w:tc>
      </w:tr>
      <w:tr w:rsidR="00482434" w:rsidRPr="009D32CA" w14:paraId="2609C353" w14:textId="77777777" w:rsidTr="00F22E9F">
        <w:trPr>
          <w:trHeight w:val="364"/>
        </w:trPr>
        <w:tc>
          <w:tcPr>
            <w:tcW w:w="3369" w:type="dxa"/>
          </w:tcPr>
          <w:p w14:paraId="56A0AFE2"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 xml:space="preserve">Framingham à 10ans </w:t>
            </w:r>
            <w:proofErr w:type="spellStart"/>
            <w:r w:rsidRPr="00482434">
              <w:rPr>
                <w:rFonts w:asciiTheme="majorBidi" w:hAnsiTheme="majorBidi" w:cstheme="majorBidi"/>
                <w:b/>
                <w:sz w:val="14"/>
                <w:szCs w:val="14"/>
              </w:rPr>
              <w:t>faible</w:t>
            </w:r>
            <w:proofErr w:type="spellEnd"/>
          </w:p>
        </w:tc>
        <w:tc>
          <w:tcPr>
            <w:tcW w:w="1701" w:type="dxa"/>
          </w:tcPr>
          <w:p w14:paraId="6D885D85"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242(100%)</w:t>
            </w:r>
          </w:p>
        </w:tc>
        <w:tc>
          <w:tcPr>
            <w:tcW w:w="1559" w:type="dxa"/>
          </w:tcPr>
          <w:p w14:paraId="2378B127"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164(67.77%)</w:t>
            </w:r>
          </w:p>
        </w:tc>
        <w:tc>
          <w:tcPr>
            <w:tcW w:w="1701" w:type="dxa"/>
          </w:tcPr>
          <w:p w14:paraId="6830E621"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78(32.23%)</w:t>
            </w:r>
          </w:p>
        </w:tc>
        <w:tc>
          <w:tcPr>
            <w:tcW w:w="882" w:type="dxa"/>
            <w:vMerge w:val="restart"/>
          </w:tcPr>
          <w:p w14:paraId="36F96C56" w14:textId="77777777" w:rsidR="00482434" w:rsidRPr="00482434" w:rsidRDefault="00482434" w:rsidP="00482434">
            <w:pPr>
              <w:jc w:val="both"/>
              <w:rPr>
                <w:rFonts w:asciiTheme="majorBidi" w:hAnsiTheme="majorBidi" w:cstheme="majorBidi"/>
                <w:b/>
                <w:i/>
                <w:sz w:val="14"/>
                <w:szCs w:val="14"/>
              </w:rPr>
            </w:pPr>
          </w:p>
          <w:p w14:paraId="19BDEBBF" w14:textId="77777777" w:rsidR="00482434" w:rsidRPr="00482434" w:rsidRDefault="00482434" w:rsidP="00482434">
            <w:pPr>
              <w:jc w:val="both"/>
              <w:rPr>
                <w:rFonts w:asciiTheme="majorBidi" w:hAnsiTheme="majorBidi" w:cstheme="majorBidi"/>
                <w:b/>
                <w:i/>
                <w:sz w:val="14"/>
                <w:szCs w:val="14"/>
              </w:rPr>
            </w:pPr>
            <w:r w:rsidRPr="00482434">
              <w:rPr>
                <w:rFonts w:asciiTheme="majorBidi" w:hAnsiTheme="majorBidi" w:cstheme="majorBidi"/>
                <w:b/>
                <w:i/>
                <w:sz w:val="14"/>
                <w:szCs w:val="14"/>
              </w:rPr>
              <w:t>10</w:t>
            </w:r>
            <w:r w:rsidRPr="00482434">
              <w:rPr>
                <w:rFonts w:asciiTheme="majorBidi" w:hAnsiTheme="majorBidi" w:cstheme="majorBidi"/>
                <w:b/>
                <w:i/>
                <w:sz w:val="14"/>
                <w:szCs w:val="14"/>
                <w:vertAlign w:val="superscript"/>
              </w:rPr>
              <w:t>-3</w:t>
            </w:r>
          </w:p>
        </w:tc>
      </w:tr>
      <w:tr w:rsidR="00482434" w:rsidRPr="009D32CA" w14:paraId="4CFCDAE4" w14:textId="77777777" w:rsidTr="00F22E9F">
        <w:trPr>
          <w:trHeight w:val="569"/>
        </w:trPr>
        <w:tc>
          <w:tcPr>
            <w:tcW w:w="3369" w:type="dxa"/>
          </w:tcPr>
          <w:p w14:paraId="5F96FED3"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 xml:space="preserve">Framingham à 10ans </w:t>
            </w:r>
            <w:proofErr w:type="spellStart"/>
            <w:r w:rsidRPr="00482434">
              <w:rPr>
                <w:rFonts w:asciiTheme="majorBidi" w:hAnsiTheme="majorBidi" w:cstheme="majorBidi"/>
                <w:b/>
                <w:sz w:val="14"/>
                <w:szCs w:val="14"/>
              </w:rPr>
              <w:t>intermédiaire</w:t>
            </w:r>
            <w:proofErr w:type="spellEnd"/>
            <w:r w:rsidRPr="00482434">
              <w:rPr>
                <w:rFonts w:asciiTheme="majorBidi" w:hAnsiTheme="majorBidi" w:cstheme="majorBidi"/>
                <w:b/>
                <w:sz w:val="14"/>
                <w:szCs w:val="14"/>
              </w:rPr>
              <w:t xml:space="preserve"> </w:t>
            </w:r>
          </w:p>
        </w:tc>
        <w:tc>
          <w:tcPr>
            <w:tcW w:w="1701" w:type="dxa"/>
          </w:tcPr>
          <w:p w14:paraId="3EBABCEB"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68(100%)</w:t>
            </w:r>
          </w:p>
        </w:tc>
        <w:tc>
          <w:tcPr>
            <w:tcW w:w="1559" w:type="dxa"/>
          </w:tcPr>
          <w:p w14:paraId="1CEE5C2A"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68(100%)</w:t>
            </w:r>
          </w:p>
        </w:tc>
        <w:tc>
          <w:tcPr>
            <w:tcW w:w="1701" w:type="dxa"/>
          </w:tcPr>
          <w:p w14:paraId="7F527419"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w:t>
            </w:r>
          </w:p>
        </w:tc>
        <w:tc>
          <w:tcPr>
            <w:tcW w:w="882" w:type="dxa"/>
            <w:vMerge/>
          </w:tcPr>
          <w:p w14:paraId="193CCFCE" w14:textId="77777777" w:rsidR="00482434" w:rsidRPr="00482434" w:rsidRDefault="00482434" w:rsidP="00482434">
            <w:pPr>
              <w:jc w:val="both"/>
              <w:rPr>
                <w:rFonts w:asciiTheme="majorBidi" w:hAnsiTheme="majorBidi" w:cstheme="majorBidi"/>
                <w:b/>
                <w:i/>
                <w:sz w:val="14"/>
                <w:szCs w:val="14"/>
              </w:rPr>
            </w:pPr>
          </w:p>
        </w:tc>
      </w:tr>
      <w:tr w:rsidR="00482434" w:rsidRPr="009D32CA" w14:paraId="4ABB79B1" w14:textId="77777777" w:rsidTr="00F22E9F">
        <w:trPr>
          <w:trHeight w:val="481"/>
        </w:trPr>
        <w:tc>
          <w:tcPr>
            <w:tcW w:w="3369" w:type="dxa"/>
          </w:tcPr>
          <w:p w14:paraId="1B663A7E" w14:textId="77777777" w:rsidR="00482434" w:rsidRPr="00482434" w:rsidRDefault="00482434" w:rsidP="00F22E9F">
            <w:pPr>
              <w:rPr>
                <w:rFonts w:asciiTheme="majorBidi" w:hAnsiTheme="majorBidi" w:cstheme="majorBidi"/>
                <w:b/>
                <w:sz w:val="14"/>
                <w:szCs w:val="14"/>
              </w:rPr>
            </w:pPr>
            <w:proofErr w:type="spellStart"/>
            <w:r w:rsidRPr="00482434">
              <w:rPr>
                <w:rFonts w:asciiTheme="majorBidi" w:hAnsiTheme="majorBidi" w:cstheme="majorBidi"/>
                <w:b/>
                <w:sz w:val="14"/>
                <w:szCs w:val="14"/>
              </w:rPr>
              <w:t>Tabagisme</w:t>
            </w:r>
            <w:proofErr w:type="spellEnd"/>
            <w:r w:rsidRPr="00482434">
              <w:rPr>
                <w:rFonts w:asciiTheme="majorBidi" w:hAnsiTheme="majorBidi" w:cstheme="majorBidi"/>
                <w:b/>
                <w:sz w:val="14"/>
                <w:szCs w:val="14"/>
              </w:rPr>
              <w:t xml:space="preserve"> </w:t>
            </w:r>
            <w:proofErr w:type="spellStart"/>
            <w:r w:rsidRPr="00482434">
              <w:rPr>
                <w:rFonts w:asciiTheme="majorBidi" w:hAnsiTheme="majorBidi" w:cstheme="majorBidi"/>
                <w:b/>
                <w:sz w:val="14"/>
                <w:szCs w:val="14"/>
              </w:rPr>
              <w:t>actif</w:t>
            </w:r>
            <w:proofErr w:type="spellEnd"/>
          </w:p>
        </w:tc>
        <w:tc>
          <w:tcPr>
            <w:tcW w:w="1701" w:type="dxa"/>
          </w:tcPr>
          <w:p w14:paraId="3BDEA933"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127 (40.97%)</w:t>
            </w:r>
          </w:p>
        </w:tc>
        <w:tc>
          <w:tcPr>
            <w:tcW w:w="1559" w:type="dxa"/>
          </w:tcPr>
          <w:p w14:paraId="680DD08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124(53.45%)</w:t>
            </w:r>
          </w:p>
        </w:tc>
        <w:tc>
          <w:tcPr>
            <w:tcW w:w="1701" w:type="dxa"/>
          </w:tcPr>
          <w:p w14:paraId="7506DF47"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2(3.85%)</w:t>
            </w:r>
          </w:p>
        </w:tc>
        <w:tc>
          <w:tcPr>
            <w:tcW w:w="882" w:type="dxa"/>
          </w:tcPr>
          <w:p w14:paraId="23B0A520" w14:textId="77777777" w:rsidR="00482434" w:rsidRPr="00482434" w:rsidRDefault="00482434" w:rsidP="00482434">
            <w:pPr>
              <w:jc w:val="both"/>
              <w:rPr>
                <w:rFonts w:asciiTheme="majorBidi" w:hAnsiTheme="majorBidi" w:cstheme="majorBidi"/>
                <w:b/>
                <w:i/>
                <w:sz w:val="14"/>
                <w:szCs w:val="14"/>
              </w:rPr>
            </w:pPr>
            <w:r w:rsidRPr="00482434">
              <w:rPr>
                <w:rFonts w:asciiTheme="majorBidi" w:hAnsiTheme="majorBidi" w:cstheme="majorBidi"/>
                <w:b/>
                <w:i/>
                <w:color w:val="000000"/>
                <w:sz w:val="14"/>
                <w:szCs w:val="14"/>
                <w:shd w:val="clear" w:color="auto" w:fill="FFFFFF"/>
              </w:rPr>
              <w:t>10</w:t>
            </w:r>
            <w:r w:rsidRPr="00482434">
              <w:rPr>
                <w:rFonts w:asciiTheme="majorBidi" w:hAnsiTheme="majorBidi" w:cstheme="majorBidi"/>
                <w:b/>
                <w:i/>
                <w:color w:val="000000"/>
                <w:sz w:val="14"/>
                <w:szCs w:val="14"/>
                <w:shd w:val="clear" w:color="auto" w:fill="FFFFFF"/>
                <w:vertAlign w:val="superscript"/>
              </w:rPr>
              <w:t>-3</w:t>
            </w:r>
          </w:p>
        </w:tc>
      </w:tr>
      <w:tr w:rsidR="00482434" w:rsidRPr="009D32CA" w14:paraId="431B0E6D" w14:textId="77777777" w:rsidTr="00F22E9F">
        <w:tc>
          <w:tcPr>
            <w:tcW w:w="3369" w:type="dxa"/>
          </w:tcPr>
          <w:p w14:paraId="15385691"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HTA</w:t>
            </w:r>
          </w:p>
        </w:tc>
        <w:tc>
          <w:tcPr>
            <w:tcW w:w="1701" w:type="dxa"/>
          </w:tcPr>
          <w:p w14:paraId="2D5DB54B"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184 (59.35%)</w:t>
            </w:r>
          </w:p>
        </w:tc>
        <w:tc>
          <w:tcPr>
            <w:tcW w:w="1559" w:type="dxa"/>
          </w:tcPr>
          <w:p w14:paraId="7F00D60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135(58.19%)</w:t>
            </w:r>
          </w:p>
        </w:tc>
        <w:tc>
          <w:tcPr>
            <w:tcW w:w="1701" w:type="dxa"/>
          </w:tcPr>
          <w:p w14:paraId="5E20F928"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49(62.82%)</w:t>
            </w:r>
          </w:p>
        </w:tc>
        <w:tc>
          <w:tcPr>
            <w:tcW w:w="882" w:type="dxa"/>
          </w:tcPr>
          <w:p w14:paraId="3203492D"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0.47</w:t>
            </w:r>
          </w:p>
        </w:tc>
      </w:tr>
      <w:tr w:rsidR="00482434" w:rsidRPr="009D32CA" w14:paraId="250A896E" w14:textId="77777777" w:rsidTr="00F22E9F">
        <w:tc>
          <w:tcPr>
            <w:tcW w:w="3369" w:type="dxa"/>
          </w:tcPr>
          <w:p w14:paraId="00054597"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PAS</w:t>
            </w:r>
          </w:p>
        </w:tc>
        <w:tc>
          <w:tcPr>
            <w:tcW w:w="1701" w:type="dxa"/>
          </w:tcPr>
          <w:p w14:paraId="654B6B19"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130.60 ± 14.08</w:t>
            </w:r>
          </w:p>
        </w:tc>
        <w:tc>
          <w:tcPr>
            <w:tcW w:w="1559" w:type="dxa"/>
          </w:tcPr>
          <w:p w14:paraId="19589599"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131.03±14.08</w:t>
            </w:r>
          </w:p>
        </w:tc>
        <w:tc>
          <w:tcPr>
            <w:tcW w:w="1701" w:type="dxa"/>
          </w:tcPr>
          <w:p w14:paraId="766FC50D"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129.33±14.10</w:t>
            </w:r>
          </w:p>
        </w:tc>
        <w:tc>
          <w:tcPr>
            <w:tcW w:w="882" w:type="dxa"/>
          </w:tcPr>
          <w:p w14:paraId="38E785F3"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0.35</w:t>
            </w:r>
          </w:p>
        </w:tc>
      </w:tr>
      <w:tr w:rsidR="00482434" w:rsidRPr="009D32CA" w14:paraId="42F4E015" w14:textId="77777777" w:rsidTr="00F22E9F">
        <w:tc>
          <w:tcPr>
            <w:tcW w:w="3369" w:type="dxa"/>
          </w:tcPr>
          <w:p w14:paraId="204705BF"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PAD</w:t>
            </w:r>
          </w:p>
        </w:tc>
        <w:tc>
          <w:tcPr>
            <w:tcW w:w="1701" w:type="dxa"/>
          </w:tcPr>
          <w:p w14:paraId="5FB4407C"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76.39 ± 10.95</w:t>
            </w:r>
          </w:p>
        </w:tc>
        <w:tc>
          <w:tcPr>
            <w:tcW w:w="1559" w:type="dxa"/>
          </w:tcPr>
          <w:p w14:paraId="211AB58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77.39±10.86</w:t>
            </w:r>
          </w:p>
        </w:tc>
        <w:tc>
          <w:tcPr>
            <w:tcW w:w="1701" w:type="dxa"/>
          </w:tcPr>
          <w:p w14:paraId="18B3E0A1"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73.41±10.76</w:t>
            </w:r>
          </w:p>
        </w:tc>
        <w:tc>
          <w:tcPr>
            <w:tcW w:w="882" w:type="dxa"/>
          </w:tcPr>
          <w:p w14:paraId="47BD4460"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i/>
                <w:color w:val="000000"/>
                <w:sz w:val="14"/>
                <w:szCs w:val="14"/>
                <w:shd w:val="clear" w:color="auto" w:fill="FFFFFF"/>
              </w:rPr>
              <w:t>10</w:t>
            </w:r>
            <w:r w:rsidRPr="00482434">
              <w:rPr>
                <w:rFonts w:asciiTheme="majorBidi" w:hAnsiTheme="majorBidi" w:cstheme="majorBidi"/>
                <w:b/>
                <w:i/>
                <w:color w:val="000000"/>
                <w:sz w:val="14"/>
                <w:szCs w:val="14"/>
                <w:shd w:val="clear" w:color="auto" w:fill="FFFFFF"/>
                <w:vertAlign w:val="superscript"/>
              </w:rPr>
              <w:t>-3</w:t>
            </w:r>
          </w:p>
        </w:tc>
      </w:tr>
      <w:tr w:rsidR="00482434" w:rsidRPr="009D32CA" w14:paraId="606797D3" w14:textId="77777777" w:rsidTr="00F22E9F">
        <w:tc>
          <w:tcPr>
            <w:tcW w:w="3369" w:type="dxa"/>
          </w:tcPr>
          <w:p w14:paraId="47454ADD"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PP</w:t>
            </w:r>
          </w:p>
        </w:tc>
        <w:tc>
          <w:tcPr>
            <w:tcW w:w="1701" w:type="dxa"/>
          </w:tcPr>
          <w:p w14:paraId="4855D3D4"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54.31 ± 11.62</w:t>
            </w:r>
          </w:p>
        </w:tc>
        <w:tc>
          <w:tcPr>
            <w:tcW w:w="1559" w:type="dxa"/>
          </w:tcPr>
          <w:p w14:paraId="1FAC5A2A"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53.78±11.22</w:t>
            </w:r>
          </w:p>
        </w:tc>
        <w:tc>
          <w:tcPr>
            <w:tcW w:w="1701" w:type="dxa"/>
          </w:tcPr>
          <w:p w14:paraId="320BB12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55.92±12.67</w:t>
            </w:r>
          </w:p>
        </w:tc>
        <w:tc>
          <w:tcPr>
            <w:tcW w:w="882" w:type="dxa"/>
          </w:tcPr>
          <w:p w14:paraId="05992D32"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0.15</w:t>
            </w:r>
          </w:p>
        </w:tc>
      </w:tr>
      <w:tr w:rsidR="00482434" w:rsidRPr="009D32CA" w14:paraId="6268A09B" w14:textId="77777777" w:rsidTr="00F22E9F">
        <w:tc>
          <w:tcPr>
            <w:tcW w:w="3369" w:type="dxa"/>
          </w:tcPr>
          <w:p w14:paraId="0138707E"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FC</w:t>
            </w:r>
          </w:p>
        </w:tc>
        <w:tc>
          <w:tcPr>
            <w:tcW w:w="1701" w:type="dxa"/>
          </w:tcPr>
          <w:p w14:paraId="6D404865"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74.60 ± 12.57</w:t>
            </w:r>
          </w:p>
        </w:tc>
        <w:tc>
          <w:tcPr>
            <w:tcW w:w="1559" w:type="dxa"/>
          </w:tcPr>
          <w:p w14:paraId="5626347E"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74.58±13.35</w:t>
            </w:r>
          </w:p>
        </w:tc>
        <w:tc>
          <w:tcPr>
            <w:tcW w:w="1701" w:type="dxa"/>
          </w:tcPr>
          <w:p w14:paraId="12B89713"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74.69±9.97</w:t>
            </w:r>
          </w:p>
        </w:tc>
        <w:tc>
          <w:tcPr>
            <w:tcW w:w="882" w:type="dxa"/>
          </w:tcPr>
          <w:p w14:paraId="4E886A73"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0.94</w:t>
            </w:r>
          </w:p>
        </w:tc>
      </w:tr>
      <w:tr w:rsidR="00482434" w:rsidRPr="009D32CA" w14:paraId="220A4936" w14:textId="77777777" w:rsidTr="00F22E9F">
        <w:tc>
          <w:tcPr>
            <w:tcW w:w="3369" w:type="dxa"/>
          </w:tcPr>
          <w:p w14:paraId="62E64A8D" w14:textId="77777777" w:rsidR="00482434" w:rsidRPr="00482434" w:rsidRDefault="00482434" w:rsidP="00F22E9F">
            <w:pPr>
              <w:rPr>
                <w:rFonts w:asciiTheme="majorBidi" w:hAnsiTheme="majorBidi" w:cstheme="majorBidi"/>
                <w:b/>
                <w:sz w:val="14"/>
                <w:szCs w:val="14"/>
              </w:rPr>
            </w:pPr>
            <w:proofErr w:type="spellStart"/>
            <w:r w:rsidRPr="00482434">
              <w:rPr>
                <w:rFonts w:asciiTheme="majorBidi" w:hAnsiTheme="majorBidi" w:cstheme="majorBidi"/>
                <w:b/>
                <w:sz w:val="14"/>
                <w:szCs w:val="14"/>
              </w:rPr>
              <w:t>Poids</w:t>
            </w:r>
            <w:proofErr w:type="spellEnd"/>
          </w:p>
        </w:tc>
        <w:tc>
          <w:tcPr>
            <w:tcW w:w="1701" w:type="dxa"/>
          </w:tcPr>
          <w:p w14:paraId="37C6E0C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76.92 ± 12.83</w:t>
            </w:r>
          </w:p>
        </w:tc>
        <w:tc>
          <w:tcPr>
            <w:tcW w:w="1559" w:type="dxa"/>
          </w:tcPr>
          <w:p w14:paraId="63AB3A04"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79.35±12.40</w:t>
            </w:r>
          </w:p>
        </w:tc>
        <w:tc>
          <w:tcPr>
            <w:tcW w:w="1701" w:type="dxa"/>
          </w:tcPr>
          <w:p w14:paraId="3ADD9CF8"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69.67±11.32</w:t>
            </w:r>
          </w:p>
        </w:tc>
        <w:tc>
          <w:tcPr>
            <w:tcW w:w="882" w:type="dxa"/>
          </w:tcPr>
          <w:p w14:paraId="62DBB70D"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sz w:val="14"/>
                <w:szCs w:val="14"/>
              </w:rPr>
              <w:t>10</w:t>
            </w:r>
            <w:r w:rsidRPr="00482434">
              <w:rPr>
                <w:rFonts w:asciiTheme="majorBidi" w:hAnsiTheme="majorBidi" w:cstheme="majorBidi"/>
                <w:b/>
                <w:sz w:val="14"/>
                <w:szCs w:val="14"/>
                <w:vertAlign w:val="superscript"/>
              </w:rPr>
              <w:t>-6</w:t>
            </w:r>
          </w:p>
        </w:tc>
      </w:tr>
      <w:tr w:rsidR="00482434" w:rsidRPr="009D32CA" w14:paraId="5DDDD8E8" w14:textId="77777777" w:rsidTr="00F22E9F">
        <w:tc>
          <w:tcPr>
            <w:tcW w:w="3369" w:type="dxa"/>
          </w:tcPr>
          <w:p w14:paraId="7FA76E23"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BMI</w:t>
            </w:r>
          </w:p>
        </w:tc>
        <w:tc>
          <w:tcPr>
            <w:tcW w:w="1701" w:type="dxa"/>
          </w:tcPr>
          <w:p w14:paraId="55392688"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26.19 ± 3.94</w:t>
            </w:r>
          </w:p>
        </w:tc>
        <w:tc>
          <w:tcPr>
            <w:tcW w:w="1559" w:type="dxa"/>
          </w:tcPr>
          <w:p w14:paraId="0C8805F4"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25.89±3.86</w:t>
            </w:r>
          </w:p>
        </w:tc>
        <w:tc>
          <w:tcPr>
            <w:tcW w:w="1701" w:type="dxa"/>
          </w:tcPr>
          <w:p w14:paraId="59590D3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27.09±4.06</w:t>
            </w:r>
          </w:p>
        </w:tc>
        <w:tc>
          <w:tcPr>
            <w:tcW w:w="882" w:type="dxa"/>
          </w:tcPr>
          <w:p w14:paraId="485E1F26"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sz w:val="14"/>
                <w:szCs w:val="14"/>
              </w:rPr>
              <w:t>0.01</w:t>
            </w:r>
          </w:p>
        </w:tc>
      </w:tr>
      <w:tr w:rsidR="00482434" w:rsidRPr="009D32CA" w14:paraId="44361B85" w14:textId="77777777" w:rsidTr="00F22E9F">
        <w:tc>
          <w:tcPr>
            <w:tcW w:w="3369" w:type="dxa"/>
          </w:tcPr>
          <w:p w14:paraId="22D72FE6"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TT</w:t>
            </w:r>
          </w:p>
        </w:tc>
        <w:tc>
          <w:tcPr>
            <w:tcW w:w="1701" w:type="dxa"/>
          </w:tcPr>
          <w:p w14:paraId="34554872"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88.70 ± 10.25</w:t>
            </w:r>
          </w:p>
        </w:tc>
        <w:tc>
          <w:tcPr>
            <w:tcW w:w="1559" w:type="dxa"/>
          </w:tcPr>
          <w:p w14:paraId="46C9189A"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89.15±10.73</w:t>
            </w:r>
          </w:p>
        </w:tc>
        <w:tc>
          <w:tcPr>
            <w:tcW w:w="1701" w:type="dxa"/>
          </w:tcPr>
          <w:p w14:paraId="2BC1A7F5"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87.35 ±8.61</w:t>
            </w:r>
          </w:p>
        </w:tc>
        <w:tc>
          <w:tcPr>
            <w:tcW w:w="882" w:type="dxa"/>
          </w:tcPr>
          <w:p w14:paraId="3F553DF1"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0.18</w:t>
            </w:r>
          </w:p>
        </w:tc>
      </w:tr>
      <w:tr w:rsidR="00482434" w:rsidRPr="009D32CA" w14:paraId="01631D5E" w14:textId="77777777" w:rsidTr="00F22E9F">
        <w:tc>
          <w:tcPr>
            <w:tcW w:w="3369" w:type="dxa"/>
          </w:tcPr>
          <w:p w14:paraId="6ACA9667"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RTH</w:t>
            </w:r>
          </w:p>
        </w:tc>
        <w:tc>
          <w:tcPr>
            <w:tcW w:w="1701" w:type="dxa"/>
          </w:tcPr>
          <w:p w14:paraId="78F8EC7E"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102 (32.90)</w:t>
            </w:r>
          </w:p>
        </w:tc>
        <w:tc>
          <w:tcPr>
            <w:tcW w:w="1559" w:type="dxa"/>
          </w:tcPr>
          <w:p w14:paraId="0095A061"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51(21.98)</w:t>
            </w:r>
          </w:p>
        </w:tc>
        <w:tc>
          <w:tcPr>
            <w:tcW w:w="1701" w:type="dxa"/>
          </w:tcPr>
          <w:p w14:paraId="07364D6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51(65.38)</w:t>
            </w:r>
          </w:p>
        </w:tc>
        <w:tc>
          <w:tcPr>
            <w:tcW w:w="882" w:type="dxa"/>
          </w:tcPr>
          <w:p w14:paraId="49454489"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sz w:val="14"/>
                <w:szCs w:val="14"/>
              </w:rPr>
              <w:t>10</w:t>
            </w:r>
            <w:r w:rsidRPr="00482434">
              <w:rPr>
                <w:rFonts w:asciiTheme="majorBidi" w:hAnsiTheme="majorBidi" w:cstheme="majorBidi"/>
                <w:b/>
                <w:sz w:val="14"/>
                <w:szCs w:val="14"/>
                <w:vertAlign w:val="superscript"/>
              </w:rPr>
              <w:t>-3</w:t>
            </w:r>
          </w:p>
        </w:tc>
      </w:tr>
      <w:tr w:rsidR="00482434" w:rsidRPr="009D32CA" w14:paraId="39CDA4F2" w14:textId="77777777" w:rsidTr="00F22E9F">
        <w:tc>
          <w:tcPr>
            <w:tcW w:w="3369" w:type="dxa"/>
          </w:tcPr>
          <w:p w14:paraId="526A55FF"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SM</w:t>
            </w:r>
          </w:p>
        </w:tc>
        <w:tc>
          <w:tcPr>
            <w:tcW w:w="1701" w:type="dxa"/>
          </w:tcPr>
          <w:p w14:paraId="5471EFFA"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59 (19.03%)</w:t>
            </w:r>
          </w:p>
        </w:tc>
        <w:tc>
          <w:tcPr>
            <w:tcW w:w="1559" w:type="dxa"/>
          </w:tcPr>
          <w:p w14:paraId="3210350B"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42(18.10%)</w:t>
            </w:r>
          </w:p>
        </w:tc>
        <w:tc>
          <w:tcPr>
            <w:tcW w:w="1701" w:type="dxa"/>
          </w:tcPr>
          <w:p w14:paraId="32CFBE10"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17(21.79%)</w:t>
            </w:r>
          </w:p>
        </w:tc>
        <w:tc>
          <w:tcPr>
            <w:tcW w:w="882" w:type="dxa"/>
          </w:tcPr>
          <w:p w14:paraId="66BB4832"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0.47</w:t>
            </w:r>
          </w:p>
        </w:tc>
      </w:tr>
      <w:tr w:rsidR="00482434" w:rsidRPr="009D32CA" w14:paraId="1C60647E" w14:textId="77777777" w:rsidTr="00F22E9F">
        <w:tc>
          <w:tcPr>
            <w:tcW w:w="3369" w:type="dxa"/>
          </w:tcPr>
          <w:p w14:paraId="213D9848"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CT</w:t>
            </w:r>
          </w:p>
        </w:tc>
        <w:tc>
          <w:tcPr>
            <w:tcW w:w="1701" w:type="dxa"/>
          </w:tcPr>
          <w:p w14:paraId="5307B6C1"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 xml:space="preserve">1.82 </w:t>
            </w:r>
            <w:r w:rsidRPr="00482434">
              <w:rPr>
                <w:rFonts w:asciiTheme="majorBidi" w:hAnsiTheme="majorBidi" w:cstheme="majorBidi"/>
                <w:color w:val="000000"/>
                <w:sz w:val="14"/>
                <w:szCs w:val="14"/>
              </w:rPr>
              <w:t>±0,36</w:t>
            </w:r>
          </w:p>
        </w:tc>
        <w:tc>
          <w:tcPr>
            <w:tcW w:w="1559" w:type="dxa"/>
          </w:tcPr>
          <w:p w14:paraId="69FAF795"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1,77±0.34</w:t>
            </w:r>
          </w:p>
        </w:tc>
        <w:tc>
          <w:tcPr>
            <w:tcW w:w="1701" w:type="dxa"/>
          </w:tcPr>
          <w:p w14:paraId="5BF8F76D"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1.98±0.35</w:t>
            </w:r>
          </w:p>
        </w:tc>
        <w:tc>
          <w:tcPr>
            <w:tcW w:w="882" w:type="dxa"/>
          </w:tcPr>
          <w:p w14:paraId="79390ACD"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sz w:val="14"/>
                <w:szCs w:val="14"/>
              </w:rPr>
              <w:t>10</w:t>
            </w:r>
            <w:r w:rsidRPr="00482434">
              <w:rPr>
                <w:rFonts w:asciiTheme="majorBidi" w:hAnsiTheme="majorBidi" w:cstheme="majorBidi"/>
                <w:b/>
                <w:sz w:val="14"/>
                <w:szCs w:val="14"/>
                <w:vertAlign w:val="superscript"/>
              </w:rPr>
              <w:t>-3</w:t>
            </w:r>
          </w:p>
        </w:tc>
      </w:tr>
      <w:tr w:rsidR="00482434" w:rsidRPr="009D32CA" w14:paraId="3F344D30" w14:textId="77777777" w:rsidTr="00F22E9F">
        <w:tc>
          <w:tcPr>
            <w:tcW w:w="3369" w:type="dxa"/>
          </w:tcPr>
          <w:p w14:paraId="38FBFFBA"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TG</w:t>
            </w:r>
          </w:p>
        </w:tc>
        <w:tc>
          <w:tcPr>
            <w:tcW w:w="1701" w:type="dxa"/>
          </w:tcPr>
          <w:p w14:paraId="368E6720"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1.36±0.64</w:t>
            </w:r>
          </w:p>
        </w:tc>
        <w:tc>
          <w:tcPr>
            <w:tcW w:w="1559" w:type="dxa"/>
          </w:tcPr>
          <w:p w14:paraId="10170753"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1.34±0.63</w:t>
            </w:r>
          </w:p>
        </w:tc>
        <w:tc>
          <w:tcPr>
            <w:tcW w:w="1701" w:type="dxa"/>
          </w:tcPr>
          <w:p w14:paraId="5E80C6AE"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1.39±0.68</w:t>
            </w:r>
          </w:p>
        </w:tc>
        <w:tc>
          <w:tcPr>
            <w:tcW w:w="882" w:type="dxa"/>
          </w:tcPr>
          <w:p w14:paraId="0D52DEA6"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0.58</w:t>
            </w:r>
          </w:p>
        </w:tc>
      </w:tr>
      <w:tr w:rsidR="00482434" w:rsidRPr="009D32CA" w14:paraId="31C594C8" w14:textId="77777777" w:rsidTr="00F22E9F">
        <w:tc>
          <w:tcPr>
            <w:tcW w:w="3369" w:type="dxa"/>
          </w:tcPr>
          <w:p w14:paraId="5481FDD5"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HDL-c</w:t>
            </w:r>
          </w:p>
        </w:tc>
        <w:tc>
          <w:tcPr>
            <w:tcW w:w="1701" w:type="dxa"/>
          </w:tcPr>
          <w:p w14:paraId="19F3B497"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0.43±0.12</w:t>
            </w:r>
          </w:p>
        </w:tc>
        <w:tc>
          <w:tcPr>
            <w:tcW w:w="1559" w:type="dxa"/>
          </w:tcPr>
          <w:p w14:paraId="3563C106"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0.41±0.11</w:t>
            </w:r>
          </w:p>
        </w:tc>
        <w:tc>
          <w:tcPr>
            <w:tcW w:w="1701" w:type="dxa"/>
          </w:tcPr>
          <w:p w14:paraId="4EF0D78C"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0.49±0.14</w:t>
            </w:r>
          </w:p>
        </w:tc>
        <w:tc>
          <w:tcPr>
            <w:tcW w:w="882" w:type="dxa"/>
          </w:tcPr>
          <w:p w14:paraId="088A03EF"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sz w:val="14"/>
                <w:szCs w:val="14"/>
              </w:rPr>
              <w:t>10</w:t>
            </w:r>
            <w:r w:rsidRPr="00482434">
              <w:rPr>
                <w:rFonts w:asciiTheme="majorBidi" w:hAnsiTheme="majorBidi" w:cstheme="majorBidi"/>
                <w:b/>
                <w:sz w:val="14"/>
                <w:szCs w:val="14"/>
                <w:vertAlign w:val="superscript"/>
              </w:rPr>
              <w:t>-6</w:t>
            </w:r>
          </w:p>
        </w:tc>
      </w:tr>
      <w:tr w:rsidR="00482434" w:rsidRPr="009D32CA" w14:paraId="4D417554" w14:textId="77777777" w:rsidTr="00F22E9F">
        <w:tc>
          <w:tcPr>
            <w:tcW w:w="3369" w:type="dxa"/>
          </w:tcPr>
          <w:p w14:paraId="03E995E6"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LDL-c</w:t>
            </w:r>
          </w:p>
        </w:tc>
        <w:tc>
          <w:tcPr>
            <w:tcW w:w="1701" w:type="dxa"/>
          </w:tcPr>
          <w:p w14:paraId="332858D8"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1.02±0.29</w:t>
            </w:r>
          </w:p>
        </w:tc>
        <w:tc>
          <w:tcPr>
            <w:tcW w:w="1559" w:type="dxa"/>
          </w:tcPr>
          <w:p w14:paraId="2DE52A77"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1.09±0.27</w:t>
            </w:r>
          </w:p>
        </w:tc>
        <w:tc>
          <w:tcPr>
            <w:tcW w:w="1701" w:type="dxa"/>
          </w:tcPr>
          <w:p w14:paraId="4B9AE275"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1.21±0.32</w:t>
            </w:r>
          </w:p>
        </w:tc>
        <w:tc>
          <w:tcPr>
            <w:tcW w:w="882" w:type="dxa"/>
          </w:tcPr>
          <w:p w14:paraId="0FEE8A6F" w14:textId="77777777" w:rsidR="00482434" w:rsidRPr="00482434" w:rsidRDefault="00482434" w:rsidP="00482434">
            <w:pPr>
              <w:jc w:val="both"/>
              <w:rPr>
                <w:rFonts w:asciiTheme="majorBidi" w:hAnsiTheme="majorBidi" w:cstheme="majorBidi"/>
                <w:b/>
                <w:sz w:val="14"/>
                <w:szCs w:val="14"/>
              </w:rPr>
            </w:pPr>
            <w:r w:rsidRPr="00482434">
              <w:rPr>
                <w:rFonts w:asciiTheme="majorBidi" w:hAnsiTheme="majorBidi" w:cstheme="majorBidi"/>
                <w:b/>
                <w:color w:val="000000"/>
                <w:sz w:val="14"/>
                <w:szCs w:val="14"/>
                <w:shd w:val="clear" w:color="auto" w:fill="FFFFFF"/>
              </w:rPr>
              <w:t>10</w:t>
            </w:r>
            <w:r w:rsidRPr="00482434">
              <w:rPr>
                <w:rFonts w:asciiTheme="majorBidi" w:hAnsiTheme="majorBidi" w:cstheme="majorBidi"/>
                <w:b/>
                <w:color w:val="000000"/>
                <w:sz w:val="14"/>
                <w:szCs w:val="14"/>
                <w:shd w:val="clear" w:color="auto" w:fill="FFFFFF"/>
                <w:vertAlign w:val="superscript"/>
              </w:rPr>
              <w:t>-3</w:t>
            </w:r>
          </w:p>
        </w:tc>
      </w:tr>
      <w:tr w:rsidR="00482434" w:rsidRPr="009D32CA" w14:paraId="12ABCFEF" w14:textId="77777777" w:rsidTr="00F22E9F">
        <w:tc>
          <w:tcPr>
            <w:tcW w:w="3369" w:type="dxa"/>
          </w:tcPr>
          <w:p w14:paraId="633EE969" w14:textId="77777777" w:rsidR="00482434" w:rsidRPr="00482434" w:rsidRDefault="00482434" w:rsidP="00F22E9F">
            <w:pPr>
              <w:rPr>
                <w:rFonts w:asciiTheme="majorBidi" w:hAnsiTheme="majorBidi" w:cstheme="majorBidi"/>
                <w:b/>
                <w:sz w:val="14"/>
                <w:szCs w:val="14"/>
              </w:rPr>
            </w:pPr>
            <w:proofErr w:type="spellStart"/>
            <w:r w:rsidRPr="00482434">
              <w:rPr>
                <w:rFonts w:asciiTheme="majorBidi" w:hAnsiTheme="majorBidi" w:cstheme="majorBidi"/>
                <w:b/>
                <w:sz w:val="14"/>
                <w:szCs w:val="14"/>
              </w:rPr>
              <w:t>Glycémie</w:t>
            </w:r>
            <w:proofErr w:type="spellEnd"/>
            <w:r w:rsidRPr="00482434">
              <w:rPr>
                <w:rFonts w:asciiTheme="majorBidi" w:hAnsiTheme="majorBidi" w:cstheme="majorBidi"/>
                <w:b/>
                <w:sz w:val="14"/>
                <w:szCs w:val="14"/>
              </w:rPr>
              <w:t xml:space="preserve"> </w:t>
            </w:r>
          </w:p>
        </w:tc>
        <w:tc>
          <w:tcPr>
            <w:tcW w:w="1701" w:type="dxa"/>
          </w:tcPr>
          <w:p w14:paraId="7F8D4F6F"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0.93±0.10</w:t>
            </w:r>
          </w:p>
        </w:tc>
        <w:tc>
          <w:tcPr>
            <w:tcW w:w="1559" w:type="dxa"/>
          </w:tcPr>
          <w:p w14:paraId="6B2D63E9"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0.93±0.10</w:t>
            </w:r>
          </w:p>
        </w:tc>
        <w:tc>
          <w:tcPr>
            <w:tcW w:w="1701" w:type="dxa"/>
          </w:tcPr>
          <w:p w14:paraId="475ED4F6"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0.92±0.11</w:t>
            </w:r>
          </w:p>
        </w:tc>
        <w:tc>
          <w:tcPr>
            <w:tcW w:w="882" w:type="dxa"/>
          </w:tcPr>
          <w:p w14:paraId="1C1CA9D3"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0.41</w:t>
            </w:r>
          </w:p>
        </w:tc>
      </w:tr>
      <w:tr w:rsidR="00482434" w:rsidRPr="009D32CA" w14:paraId="175C2D99" w14:textId="77777777" w:rsidTr="00F22E9F">
        <w:tc>
          <w:tcPr>
            <w:tcW w:w="3369" w:type="dxa"/>
          </w:tcPr>
          <w:p w14:paraId="6454B3DA" w14:textId="77777777" w:rsidR="00482434" w:rsidRPr="00482434" w:rsidRDefault="00482434" w:rsidP="00F22E9F">
            <w:pPr>
              <w:rPr>
                <w:rFonts w:asciiTheme="majorBidi" w:hAnsiTheme="majorBidi" w:cstheme="majorBidi"/>
                <w:b/>
                <w:sz w:val="14"/>
                <w:szCs w:val="14"/>
              </w:rPr>
            </w:pPr>
            <w:r w:rsidRPr="00482434">
              <w:rPr>
                <w:rFonts w:asciiTheme="majorBidi" w:hAnsiTheme="majorBidi" w:cstheme="majorBidi"/>
                <w:b/>
                <w:sz w:val="14"/>
                <w:szCs w:val="14"/>
              </w:rPr>
              <w:t xml:space="preserve">Prédiabète </w:t>
            </w:r>
          </w:p>
        </w:tc>
        <w:tc>
          <w:tcPr>
            <w:tcW w:w="1701" w:type="dxa"/>
          </w:tcPr>
          <w:p w14:paraId="20849C99"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16 (5.16%)</w:t>
            </w:r>
          </w:p>
        </w:tc>
        <w:tc>
          <w:tcPr>
            <w:tcW w:w="1559" w:type="dxa"/>
          </w:tcPr>
          <w:p w14:paraId="1A784A5D"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11(4.74%)</w:t>
            </w:r>
          </w:p>
        </w:tc>
        <w:tc>
          <w:tcPr>
            <w:tcW w:w="1701" w:type="dxa"/>
          </w:tcPr>
          <w:p w14:paraId="13C98EC8" w14:textId="77777777" w:rsidR="00482434" w:rsidRPr="00482434" w:rsidRDefault="00482434" w:rsidP="00F22E9F">
            <w:pPr>
              <w:jc w:val="center"/>
              <w:rPr>
                <w:rFonts w:asciiTheme="majorBidi" w:hAnsiTheme="majorBidi" w:cstheme="majorBidi"/>
                <w:sz w:val="14"/>
                <w:szCs w:val="14"/>
              </w:rPr>
            </w:pPr>
            <w:r w:rsidRPr="00482434">
              <w:rPr>
                <w:rFonts w:asciiTheme="majorBidi" w:hAnsiTheme="majorBidi" w:cstheme="majorBidi"/>
                <w:sz w:val="14"/>
                <w:szCs w:val="14"/>
              </w:rPr>
              <w:t>5(6.41%)</w:t>
            </w:r>
          </w:p>
        </w:tc>
        <w:tc>
          <w:tcPr>
            <w:tcW w:w="882" w:type="dxa"/>
          </w:tcPr>
          <w:p w14:paraId="36773C97" w14:textId="77777777" w:rsidR="00482434" w:rsidRPr="00482434" w:rsidRDefault="00482434" w:rsidP="00482434">
            <w:pPr>
              <w:jc w:val="both"/>
              <w:rPr>
                <w:rFonts w:asciiTheme="majorBidi" w:hAnsiTheme="majorBidi" w:cstheme="majorBidi"/>
                <w:sz w:val="14"/>
                <w:szCs w:val="14"/>
              </w:rPr>
            </w:pPr>
            <w:r w:rsidRPr="00482434">
              <w:rPr>
                <w:rFonts w:asciiTheme="majorBidi" w:hAnsiTheme="majorBidi" w:cstheme="majorBidi"/>
                <w:sz w:val="14"/>
                <w:szCs w:val="14"/>
              </w:rPr>
              <w:t>0.56</w:t>
            </w:r>
          </w:p>
        </w:tc>
      </w:tr>
    </w:tbl>
    <w:p w14:paraId="28630021" w14:textId="71FEB741" w:rsidR="008B7BE7" w:rsidRDefault="008B7BE7" w:rsidP="008B7BE7">
      <w:pPr>
        <w:jc w:val="both"/>
        <w:rPr>
          <w:rFonts w:ascii="Times New Roman" w:hAnsi="Times New Roman" w:cs="Times New Roman"/>
          <w:sz w:val="20"/>
          <w:szCs w:val="20"/>
        </w:rPr>
      </w:pPr>
    </w:p>
    <w:p w14:paraId="30BF0F4E" w14:textId="77777777" w:rsidR="00482434" w:rsidRPr="005202AA" w:rsidRDefault="00482434" w:rsidP="0048243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Tous nos patients ont bénéficié d’une évaluation artérielle en mesurant la VOP carotido-fémorale. La VOP moyenne de la population générale était de 8,71 ±1,77 m/s. Elle était comparable dans les deux sexes </w:t>
      </w:r>
      <w:r w:rsidRPr="005202AA">
        <w:rPr>
          <w:rFonts w:asciiTheme="majorBidi" w:hAnsiTheme="majorBidi" w:cstheme="majorBidi"/>
          <w:color w:val="000000" w:themeColor="text1"/>
          <w:sz w:val="20"/>
          <w:szCs w:val="20"/>
          <w:lang w:val="fr-FR"/>
        </w:rPr>
        <w:t>(8,70 ±1,83 m/s chez la femme et de 8,71 m/s ±1,76 m/s chez l’homme) et p=0,95. L’analyse de variance montre que la VOP progresse avec l’âge ; p=10</w:t>
      </w:r>
      <w:r w:rsidRPr="005202AA">
        <w:rPr>
          <w:rFonts w:asciiTheme="majorBidi" w:hAnsiTheme="majorBidi" w:cstheme="majorBidi"/>
          <w:color w:val="000000" w:themeColor="text1"/>
          <w:sz w:val="20"/>
          <w:szCs w:val="20"/>
          <w:vertAlign w:val="superscript"/>
          <w:lang w:val="fr-FR"/>
        </w:rPr>
        <w:t>-3</w:t>
      </w:r>
      <w:r w:rsidRPr="005202AA">
        <w:rPr>
          <w:rFonts w:asciiTheme="majorBidi" w:hAnsiTheme="majorBidi" w:cstheme="majorBidi"/>
          <w:color w:val="000000" w:themeColor="text1"/>
          <w:sz w:val="20"/>
          <w:szCs w:val="20"/>
          <w:lang w:val="fr-FR"/>
        </w:rPr>
        <w:t>.</w:t>
      </w:r>
    </w:p>
    <w:p w14:paraId="2CBAE726" w14:textId="77777777" w:rsidR="00482434" w:rsidRPr="005202AA" w:rsidRDefault="00482434" w:rsidP="0048243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 xml:space="preserve">Sur les 310 patients, nous avons totalisé 59 mesures pathologiques (≥10 m/s) ce qui représente une prévalence de 19,03 %. Selon le niveau de risque cardiovasculaire elle est de 32,35% chez les sujets à risque intermédiaire et de 15,29% chez les sujets à risque faible. </w:t>
      </w:r>
    </w:p>
    <w:p w14:paraId="19425F0B" w14:textId="77777777" w:rsidR="00482434" w:rsidRPr="005202AA" w:rsidRDefault="00482434" w:rsidP="0048243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Les caractéristiques de la population de l’étude selon les valeurs de la VOP sont rapportées dans le tableau 4.</w:t>
      </w:r>
    </w:p>
    <w:p w14:paraId="2244F25A" w14:textId="77777777" w:rsidR="00482434" w:rsidRPr="005202AA" w:rsidRDefault="00482434" w:rsidP="0048243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L’âge moyen des sujets à artères rigides (VOP≥10 m/s) était significativement plus élevé par rapport aux sujets à artères souples (54.16 ±7.68 ans vs 38.93±12.08 ans et p=10</w:t>
      </w:r>
      <w:r w:rsidRPr="005202AA">
        <w:rPr>
          <w:rFonts w:asciiTheme="majorBidi" w:hAnsiTheme="majorBidi" w:cstheme="majorBidi"/>
          <w:color w:val="000000" w:themeColor="text1"/>
          <w:sz w:val="20"/>
          <w:szCs w:val="20"/>
          <w:vertAlign w:val="superscript"/>
          <w:lang w:val="fr-FR"/>
        </w:rPr>
        <w:t>-6</w:t>
      </w:r>
      <w:r w:rsidRPr="005202AA">
        <w:rPr>
          <w:rFonts w:asciiTheme="majorBidi" w:hAnsiTheme="majorBidi" w:cstheme="majorBidi"/>
          <w:color w:val="000000" w:themeColor="text1"/>
          <w:sz w:val="20"/>
          <w:szCs w:val="20"/>
          <w:lang w:val="fr-FR"/>
        </w:rPr>
        <w:t xml:space="preserve">) et ceci quel que soit le sexe. </w:t>
      </w:r>
    </w:p>
    <w:p w14:paraId="576EE589" w14:textId="77777777" w:rsidR="00482434" w:rsidRPr="005202AA" w:rsidRDefault="00482434" w:rsidP="00482434">
      <w:pPr>
        <w:autoSpaceDE w:val="0"/>
        <w:autoSpaceDN w:val="0"/>
        <w:adjustRightInd w:val="0"/>
        <w:contextualSpacing/>
        <w:jc w:val="both"/>
        <w:rPr>
          <w:rFonts w:asciiTheme="majorBidi" w:hAnsiTheme="majorBidi" w:cstheme="majorBidi"/>
          <w:iCs/>
          <w:color w:val="000000"/>
          <w:sz w:val="20"/>
          <w:szCs w:val="20"/>
          <w:lang w:val="fr-FR"/>
        </w:rPr>
      </w:pPr>
      <w:r w:rsidRPr="005202AA">
        <w:rPr>
          <w:rFonts w:asciiTheme="majorBidi" w:hAnsiTheme="majorBidi" w:cstheme="majorBidi"/>
          <w:color w:val="000000" w:themeColor="text1"/>
          <w:sz w:val="20"/>
          <w:szCs w:val="20"/>
          <w:lang w:val="fr-FR"/>
        </w:rPr>
        <w:t xml:space="preserve">La VOP moyenne de la population générale était de 8,71 ±1,77 m/s vs </w:t>
      </w:r>
      <w:r w:rsidRPr="005202AA">
        <w:rPr>
          <w:rFonts w:asciiTheme="majorBidi" w:hAnsiTheme="majorBidi" w:cstheme="majorBidi"/>
          <w:iCs/>
          <w:color w:val="000000"/>
          <w:sz w:val="20"/>
          <w:szCs w:val="20"/>
          <w:lang w:val="fr-FR"/>
        </w:rPr>
        <w:t>11,46 ± 1,33 chez les sujets à VOP élevée.</w:t>
      </w:r>
    </w:p>
    <w:p w14:paraId="54688D10" w14:textId="77777777" w:rsidR="00482434" w:rsidRPr="005202AA" w:rsidRDefault="00482434" w:rsidP="00482434">
      <w:pPr>
        <w:autoSpaceDE w:val="0"/>
        <w:autoSpaceDN w:val="0"/>
        <w:adjustRightInd w:val="0"/>
        <w:contextualSpacing/>
        <w:jc w:val="both"/>
        <w:rPr>
          <w:rFonts w:asciiTheme="majorBidi" w:hAnsiTheme="majorBidi" w:cstheme="majorBidi"/>
          <w:iCs/>
          <w:color w:val="000000"/>
          <w:sz w:val="20"/>
          <w:szCs w:val="20"/>
          <w:lang w:val="fr-FR"/>
        </w:rPr>
      </w:pPr>
      <w:r w:rsidRPr="005202AA">
        <w:rPr>
          <w:rFonts w:asciiTheme="majorBidi" w:hAnsiTheme="majorBidi" w:cstheme="majorBidi"/>
          <w:iCs/>
          <w:color w:val="000000"/>
          <w:sz w:val="20"/>
          <w:szCs w:val="20"/>
          <w:lang w:val="fr-FR"/>
        </w:rPr>
        <w:t xml:space="preserve">La sédentarité était le facteur de risque cardiovasculaire le plus retrouvé dans notre population avec (98.31%) des patients, suivie de l’HTA (93.22%) et des antécédents familiaux d’HTA avec </w:t>
      </w:r>
      <w:r w:rsidRPr="005202AA">
        <w:rPr>
          <w:rFonts w:asciiTheme="majorBidi" w:hAnsiTheme="majorBidi" w:cstheme="majorBidi"/>
          <w:iCs/>
          <w:sz w:val="20"/>
          <w:szCs w:val="20"/>
          <w:lang w:val="fr-FR"/>
        </w:rPr>
        <w:t xml:space="preserve">(77.97%), </w:t>
      </w:r>
      <w:r w:rsidRPr="005202AA">
        <w:rPr>
          <w:rFonts w:asciiTheme="majorBidi" w:hAnsiTheme="majorBidi" w:cstheme="majorBidi"/>
          <w:iCs/>
          <w:color w:val="000000"/>
          <w:sz w:val="20"/>
          <w:szCs w:val="20"/>
          <w:lang w:val="fr-FR"/>
        </w:rPr>
        <w:t xml:space="preserve">ensuite le genre masculin </w:t>
      </w:r>
      <w:r w:rsidRPr="005202AA">
        <w:rPr>
          <w:rFonts w:asciiTheme="majorBidi" w:hAnsiTheme="majorBidi" w:cstheme="majorBidi"/>
          <w:iCs/>
          <w:sz w:val="20"/>
          <w:szCs w:val="20"/>
          <w:lang w:val="fr-FR"/>
        </w:rPr>
        <w:t xml:space="preserve">(66.10%) </w:t>
      </w:r>
      <w:r w:rsidRPr="005202AA">
        <w:rPr>
          <w:rFonts w:asciiTheme="majorBidi" w:hAnsiTheme="majorBidi" w:cstheme="majorBidi"/>
          <w:iCs/>
          <w:color w:val="000000"/>
          <w:sz w:val="20"/>
          <w:szCs w:val="20"/>
          <w:lang w:val="fr-FR"/>
        </w:rPr>
        <w:t>puis l’obésité de type centrale (</w:t>
      </w:r>
      <w:r w:rsidRPr="005202AA">
        <w:rPr>
          <w:rFonts w:asciiTheme="majorBidi" w:hAnsiTheme="majorBidi" w:cstheme="majorBidi"/>
          <w:iCs/>
          <w:sz w:val="20"/>
          <w:szCs w:val="20"/>
          <w:lang w:val="fr-FR"/>
        </w:rPr>
        <w:t>44.07</w:t>
      </w:r>
      <w:r w:rsidRPr="005202AA">
        <w:rPr>
          <w:rFonts w:asciiTheme="majorBidi" w:hAnsiTheme="majorBidi" w:cstheme="majorBidi"/>
          <w:iCs/>
          <w:color w:val="000000"/>
          <w:sz w:val="20"/>
          <w:szCs w:val="20"/>
          <w:lang w:val="fr-FR"/>
        </w:rPr>
        <w:t xml:space="preserve">%). </w:t>
      </w:r>
    </w:p>
    <w:p w14:paraId="63A3ECAE" w14:textId="77777777" w:rsidR="00482434" w:rsidRPr="005202AA" w:rsidRDefault="00482434" w:rsidP="00482434">
      <w:pPr>
        <w:shd w:val="clear" w:color="auto" w:fill="FFFFFF"/>
        <w:spacing w:after="360" w:line="240" w:lineRule="auto"/>
        <w:jc w:val="center"/>
        <w:rPr>
          <w:rFonts w:asciiTheme="majorBidi" w:hAnsiTheme="majorBidi" w:cstheme="majorBidi"/>
          <w:iCs/>
          <w:color w:val="000000"/>
          <w:sz w:val="20"/>
          <w:szCs w:val="20"/>
          <w:lang w:val="fr-FR"/>
        </w:rPr>
      </w:pPr>
      <w:r w:rsidRPr="005202AA">
        <w:rPr>
          <w:rFonts w:asciiTheme="majorBidi" w:hAnsiTheme="majorBidi" w:cstheme="majorBidi"/>
          <w:iCs/>
          <w:color w:val="000000"/>
          <w:sz w:val="20"/>
          <w:szCs w:val="20"/>
          <w:lang w:val="fr-FR"/>
        </w:rPr>
        <w:t>Tableau 4 : Caractéristiques des participants avec vs sans VOP élevée dans l'échantillon global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072"/>
        <w:gridCol w:w="1134"/>
        <w:gridCol w:w="620"/>
      </w:tblGrid>
      <w:tr w:rsidR="00482434" w:rsidRPr="00482434" w14:paraId="00C3CEC4" w14:textId="77777777" w:rsidTr="00F22E9F">
        <w:trPr>
          <w:jc w:val="center"/>
        </w:trPr>
        <w:tc>
          <w:tcPr>
            <w:tcW w:w="3175" w:type="dxa"/>
            <w:vMerge w:val="restart"/>
            <w:shd w:val="clear" w:color="auto" w:fill="D9D9D9"/>
          </w:tcPr>
          <w:p w14:paraId="25B9A0F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5202AA">
              <w:rPr>
                <w:rFonts w:asciiTheme="majorBidi" w:hAnsiTheme="majorBidi" w:cstheme="majorBidi"/>
                <w:iCs/>
                <w:sz w:val="14"/>
                <w:szCs w:val="14"/>
                <w:lang w:val="fr-FR"/>
              </w:rPr>
              <w:t xml:space="preserve">           </w:t>
            </w:r>
            <w:r w:rsidRPr="00482434">
              <w:rPr>
                <w:rFonts w:asciiTheme="majorBidi" w:hAnsiTheme="majorBidi" w:cstheme="majorBidi"/>
                <w:iCs/>
                <w:sz w:val="14"/>
                <w:szCs w:val="14"/>
              </w:rPr>
              <w:t>Variables</w:t>
            </w:r>
          </w:p>
        </w:tc>
        <w:tc>
          <w:tcPr>
            <w:tcW w:w="2916" w:type="dxa"/>
            <w:gridSpan w:val="2"/>
            <w:shd w:val="clear" w:color="auto" w:fill="D9D9D9"/>
          </w:tcPr>
          <w:p w14:paraId="5D61617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 xml:space="preserve">                           VOP</w:t>
            </w:r>
          </w:p>
        </w:tc>
        <w:tc>
          <w:tcPr>
            <w:tcW w:w="1134" w:type="dxa"/>
            <w:vMerge w:val="restart"/>
            <w:shd w:val="clear" w:color="auto" w:fill="D9D9D9"/>
          </w:tcPr>
          <w:p w14:paraId="7BE44F51"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p</w:t>
            </w:r>
          </w:p>
        </w:tc>
      </w:tr>
      <w:tr w:rsidR="00482434" w:rsidRPr="00482434" w14:paraId="5861D4C7" w14:textId="77777777" w:rsidTr="00F22E9F">
        <w:trPr>
          <w:jc w:val="center"/>
        </w:trPr>
        <w:tc>
          <w:tcPr>
            <w:tcW w:w="3175" w:type="dxa"/>
            <w:vMerge/>
          </w:tcPr>
          <w:p w14:paraId="72DFDDE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
        </w:tc>
        <w:tc>
          <w:tcPr>
            <w:tcW w:w="1326" w:type="dxa"/>
            <w:shd w:val="clear" w:color="auto" w:fill="D9D9D9"/>
          </w:tcPr>
          <w:p w14:paraId="11503F8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Elevée</w:t>
            </w:r>
            <w:proofErr w:type="spellEnd"/>
            <w:r w:rsidRPr="00482434">
              <w:rPr>
                <w:rFonts w:asciiTheme="majorBidi" w:hAnsiTheme="majorBidi" w:cstheme="majorBidi"/>
                <w:iCs/>
                <w:sz w:val="14"/>
                <w:szCs w:val="14"/>
              </w:rPr>
              <w:t xml:space="preserve"> (59)</w:t>
            </w:r>
          </w:p>
        </w:tc>
        <w:tc>
          <w:tcPr>
            <w:tcW w:w="1590" w:type="dxa"/>
            <w:shd w:val="clear" w:color="auto" w:fill="D9D9D9"/>
          </w:tcPr>
          <w:p w14:paraId="4EA12EC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Normale</w:t>
            </w:r>
            <w:proofErr w:type="spellEnd"/>
            <w:r w:rsidRPr="00482434">
              <w:rPr>
                <w:rFonts w:asciiTheme="majorBidi" w:hAnsiTheme="majorBidi" w:cstheme="majorBidi"/>
                <w:iCs/>
                <w:sz w:val="14"/>
                <w:szCs w:val="14"/>
              </w:rPr>
              <w:t xml:space="preserve"> (251)</w:t>
            </w:r>
          </w:p>
        </w:tc>
        <w:tc>
          <w:tcPr>
            <w:tcW w:w="1134" w:type="dxa"/>
            <w:vMerge/>
          </w:tcPr>
          <w:p w14:paraId="188C45E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
        </w:tc>
      </w:tr>
      <w:tr w:rsidR="00482434" w:rsidRPr="00482434" w14:paraId="735F4355" w14:textId="77777777" w:rsidTr="00F22E9F">
        <w:trPr>
          <w:jc w:val="center"/>
        </w:trPr>
        <w:tc>
          <w:tcPr>
            <w:tcW w:w="3175" w:type="dxa"/>
          </w:tcPr>
          <w:p w14:paraId="3C2CC2C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Age (</w:t>
            </w:r>
            <w:proofErr w:type="spellStart"/>
            <w:r w:rsidRPr="00482434">
              <w:rPr>
                <w:rFonts w:asciiTheme="majorBidi" w:hAnsiTheme="majorBidi" w:cstheme="majorBidi"/>
                <w:iCs/>
                <w:sz w:val="14"/>
                <w:szCs w:val="14"/>
              </w:rPr>
              <w:t>années</w:t>
            </w:r>
            <w:proofErr w:type="spellEnd"/>
            <w:r w:rsidRPr="00482434">
              <w:rPr>
                <w:rFonts w:asciiTheme="majorBidi" w:hAnsiTheme="majorBidi" w:cstheme="majorBidi"/>
                <w:iCs/>
                <w:sz w:val="14"/>
                <w:szCs w:val="14"/>
              </w:rPr>
              <w:t>)</w:t>
            </w:r>
          </w:p>
        </w:tc>
        <w:tc>
          <w:tcPr>
            <w:tcW w:w="1326" w:type="dxa"/>
          </w:tcPr>
          <w:p w14:paraId="1C3999D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54.16±7.68</w:t>
            </w:r>
          </w:p>
        </w:tc>
        <w:tc>
          <w:tcPr>
            <w:tcW w:w="1590" w:type="dxa"/>
          </w:tcPr>
          <w:p w14:paraId="68CEF05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38.93±12.08</w:t>
            </w:r>
          </w:p>
        </w:tc>
        <w:tc>
          <w:tcPr>
            <w:tcW w:w="1134" w:type="dxa"/>
          </w:tcPr>
          <w:p w14:paraId="65E73EC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-6</w:t>
            </w:r>
          </w:p>
        </w:tc>
      </w:tr>
      <w:tr w:rsidR="00482434" w:rsidRPr="00482434" w14:paraId="3990B7DC" w14:textId="77777777" w:rsidTr="00F22E9F">
        <w:trPr>
          <w:trHeight w:val="386"/>
          <w:jc w:val="center"/>
        </w:trPr>
        <w:tc>
          <w:tcPr>
            <w:tcW w:w="3175" w:type="dxa"/>
          </w:tcPr>
          <w:p w14:paraId="28A7103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Hommes</w:t>
            </w:r>
          </w:p>
        </w:tc>
        <w:tc>
          <w:tcPr>
            <w:tcW w:w="1326" w:type="dxa"/>
          </w:tcPr>
          <w:p w14:paraId="2C24C21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39(66.10%)</w:t>
            </w:r>
          </w:p>
        </w:tc>
        <w:tc>
          <w:tcPr>
            <w:tcW w:w="1590" w:type="dxa"/>
          </w:tcPr>
          <w:p w14:paraId="19372FE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193(76.89%)</w:t>
            </w:r>
          </w:p>
        </w:tc>
        <w:tc>
          <w:tcPr>
            <w:tcW w:w="1134" w:type="dxa"/>
            <w:vMerge w:val="restart"/>
          </w:tcPr>
          <w:p w14:paraId="7536275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0,08</w:t>
            </w:r>
          </w:p>
        </w:tc>
      </w:tr>
      <w:tr w:rsidR="00482434" w:rsidRPr="00482434" w14:paraId="018ACBCB" w14:textId="77777777" w:rsidTr="00F22E9F">
        <w:trPr>
          <w:jc w:val="center"/>
        </w:trPr>
        <w:tc>
          <w:tcPr>
            <w:tcW w:w="3175" w:type="dxa"/>
          </w:tcPr>
          <w:p w14:paraId="7FEA38A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Femmes</w:t>
            </w:r>
          </w:p>
        </w:tc>
        <w:tc>
          <w:tcPr>
            <w:tcW w:w="1326" w:type="dxa"/>
          </w:tcPr>
          <w:p w14:paraId="578D492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20(33.90%)</w:t>
            </w:r>
          </w:p>
        </w:tc>
        <w:tc>
          <w:tcPr>
            <w:tcW w:w="1590" w:type="dxa"/>
          </w:tcPr>
          <w:p w14:paraId="623CEE6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58(23.11%)</w:t>
            </w:r>
          </w:p>
        </w:tc>
        <w:tc>
          <w:tcPr>
            <w:tcW w:w="1134" w:type="dxa"/>
            <w:vMerge/>
          </w:tcPr>
          <w:p w14:paraId="5693DCC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
        </w:tc>
      </w:tr>
      <w:tr w:rsidR="00482434" w:rsidRPr="00482434" w14:paraId="7ED5370F" w14:textId="77777777" w:rsidTr="00F22E9F">
        <w:trPr>
          <w:jc w:val="center"/>
        </w:trPr>
        <w:tc>
          <w:tcPr>
            <w:tcW w:w="3175" w:type="dxa"/>
          </w:tcPr>
          <w:p w14:paraId="44B8CF0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 xml:space="preserve">Framingham à 10ans </w:t>
            </w:r>
            <w:proofErr w:type="spellStart"/>
            <w:r w:rsidRPr="00482434">
              <w:rPr>
                <w:rFonts w:asciiTheme="majorBidi" w:hAnsiTheme="majorBidi" w:cstheme="majorBidi"/>
                <w:iCs/>
                <w:sz w:val="14"/>
                <w:szCs w:val="14"/>
              </w:rPr>
              <w:t>faible</w:t>
            </w:r>
            <w:proofErr w:type="spellEnd"/>
          </w:p>
        </w:tc>
        <w:tc>
          <w:tcPr>
            <w:tcW w:w="1326" w:type="dxa"/>
          </w:tcPr>
          <w:p w14:paraId="00EA7CA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37  (62.71)</w:t>
            </w:r>
          </w:p>
        </w:tc>
        <w:tc>
          <w:tcPr>
            <w:tcW w:w="1590" w:type="dxa"/>
          </w:tcPr>
          <w:p w14:paraId="3EBC304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205  (81.67)</w:t>
            </w:r>
          </w:p>
        </w:tc>
        <w:tc>
          <w:tcPr>
            <w:tcW w:w="1134" w:type="dxa"/>
            <w:vMerge w:val="restart"/>
          </w:tcPr>
          <w:p w14:paraId="54954DC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r w:rsidR="00482434" w:rsidRPr="00482434" w14:paraId="1E053033" w14:textId="77777777" w:rsidTr="00F22E9F">
        <w:trPr>
          <w:trHeight w:val="584"/>
          <w:jc w:val="center"/>
        </w:trPr>
        <w:tc>
          <w:tcPr>
            <w:tcW w:w="3175" w:type="dxa"/>
          </w:tcPr>
          <w:p w14:paraId="54AE3901"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 xml:space="preserve">Framingham à 10ans </w:t>
            </w:r>
            <w:proofErr w:type="spellStart"/>
            <w:r w:rsidRPr="00482434">
              <w:rPr>
                <w:rFonts w:asciiTheme="majorBidi" w:hAnsiTheme="majorBidi" w:cstheme="majorBidi"/>
                <w:iCs/>
                <w:sz w:val="14"/>
                <w:szCs w:val="14"/>
              </w:rPr>
              <w:t>intermédiaire</w:t>
            </w:r>
            <w:proofErr w:type="spellEnd"/>
          </w:p>
        </w:tc>
        <w:tc>
          <w:tcPr>
            <w:tcW w:w="1326" w:type="dxa"/>
          </w:tcPr>
          <w:p w14:paraId="3ACDAD4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22  (37.29)</w:t>
            </w:r>
          </w:p>
        </w:tc>
        <w:tc>
          <w:tcPr>
            <w:tcW w:w="1590" w:type="dxa"/>
          </w:tcPr>
          <w:p w14:paraId="7F7CAB4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46  (18.33)</w:t>
            </w:r>
          </w:p>
        </w:tc>
        <w:tc>
          <w:tcPr>
            <w:tcW w:w="1134" w:type="dxa"/>
            <w:vMerge/>
          </w:tcPr>
          <w:p w14:paraId="6CC35E4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
        </w:tc>
      </w:tr>
      <w:tr w:rsidR="00482434" w:rsidRPr="00482434" w14:paraId="7DF18DD4" w14:textId="77777777" w:rsidTr="00F22E9F">
        <w:trPr>
          <w:jc w:val="center"/>
        </w:trPr>
        <w:tc>
          <w:tcPr>
            <w:tcW w:w="3175" w:type="dxa"/>
          </w:tcPr>
          <w:p w14:paraId="4816DCF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Tabagisme</w:t>
            </w:r>
            <w:proofErr w:type="spellEnd"/>
          </w:p>
        </w:tc>
        <w:tc>
          <w:tcPr>
            <w:tcW w:w="1326" w:type="dxa"/>
          </w:tcPr>
          <w:p w14:paraId="30287BD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20(33.90)</w:t>
            </w:r>
          </w:p>
        </w:tc>
        <w:tc>
          <w:tcPr>
            <w:tcW w:w="1590" w:type="dxa"/>
          </w:tcPr>
          <w:p w14:paraId="1C23240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107(42.63)</w:t>
            </w:r>
          </w:p>
        </w:tc>
        <w:tc>
          <w:tcPr>
            <w:tcW w:w="1134" w:type="dxa"/>
          </w:tcPr>
          <w:p w14:paraId="0B2AA46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0.22</w:t>
            </w:r>
          </w:p>
        </w:tc>
      </w:tr>
      <w:tr w:rsidR="00482434" w:rsidRPr="00482434" w14:paraId="78C9DAAE" w14:textId="77777777" w:rsidTr="00F22E9F">
        <w:trPr>
          <w:jc w:val="center"/>
        </w:trPr>
        <w:tc>
          <w:tcPr>
            <w:tcW w:w="3175" w:type="dxa"/>
          </w:tcPr>
          <w:p w14:paraId="36DB07B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HTA</w:t>
            </w:r>
          </w:p>
        </w:tc>
        <w:tc>
          <w:tcPr>
            <w:tcW w:w="1326" w:type="dxa"/>
          </w:tcPr>
          <w:p w14:paraId="0BC48BB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55(93.22)</w:t>
            </w:r>
          </w:p>
        </w:tc>
        <w:tc>
          <w:tcPr>
            <w:tcW w:w="1590" w:type="dxa"/>
          </w:tcPr>
          <w:p w14:paraId="0E31C6B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129(51.39)</w:t>
            </w:r>
          </w:p>
        </w:tc>
        <w:tc>
          <w:tcPr>
            <w:tcW w:w="1134" w:type="dxa"/>
          </w:tcPr>
          <w:p w14:paraId="26A0903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r w:rsidR="00482434" w:rsidRPr="00482434" w14:paraId="78BCAC15" w14:textId="77777777" w:rsidTr="00F22E9F">
        <w:trPr>
          <w:jc w:val="center"/>
        </w:trPr>
        <w:tc>
          <w:tcPr>
            <w:tcW w:w="3175" w:type="dxa"/>
          </w:tcPr>
          <w:p w14:paraId="72D74EB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PAS</w:t>
            </w:r>
          </w:p>
        </w:tc>
        <w:tc>
          <w:tcPr>
            <w:tcW w:w="1326" w:type="dxa"/>
          </w:tcPr>
          <w:p w14:paraId="48F3353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134.15±16.16</w:t>
            </w:r>
          </w:p>
        </w:tc>
        <w:tc>
          <w:tcPr>
            <w:tcW w:w="1590" w:type="dxa"/>
          </w:tcPr>
          <w:p w14:paraId="354D797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129.77±13.45</w:t>
            </w:r>
          </w:p>
        </w:tc>
        <w:tc>
          <w:tcPr>
            <w:tcW w:w="1134" w:type="dxa"/>
          </w:tcPr>
          <w:p w14:paraId="783A8992"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0.03</w:t>
            </w:r>
          </w:p>
        </w:tc>
      </w:tr>
      <w:tr w:rsidR="00482434" w:rsidRPr="00482434" w14:paraId="71975891" w14:textId="77777777" w:rsidTr="00F22E9F">
        <w:trPr>
          <w:jc w:val="center"/>
        </w:trPr>
        <w:tc>
          <w:tcPr>
            <w:tcW w:w="3175" w:type="dxa"/>
          </w:tcPr>
          <w:p w14:paraId="7922A02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PAD</w:t>
            </w:r>
          </w:p>
        </w:tc>
        <w:tc>
          <w:tcPr>
            <w:tcW w:w="1326" w:type="dxa"/>
          </w:tcPr>
          <w:p w14:paraId="4067FCF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77.76±13.32</w:t>
            </w:r>
          </w:p>
        </w:tc>
        <w:tc>
          <w:tcPr>
            <w:tcW w:w="1590" w:type="dxa"/>
          </w:tcPr>
          <w:p w14:paraId="7060A47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76.06±10.32</w:t>
            </w:r>
          </w:p>
        </w:tc>
        <w:tc>
          <w:tcPr>
            <w:tcW w:w="1134" w:type="dxa"/>
          </w:tcPr>
          <w:p w14:paraId="4692321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0.28</w:t>
            </w:r>
          </w:p>
        </w:tc>
      </w:tr>
      <w:tr w:rsidR="00482434" w:rsidRPr="00482434" w14:paraId="7A267258" w14:textId="77777777" w:rsidTr="00F22E9F">
        <w:trPr>
          <w:jc w:val="center"/>
        </w:trPr>
        <w:tc>
          <w:tcPr>
            <w:tcW w:w="3175" w:type="dxa"/>
          </w:tcPr>
          <w:p w14:paraId="562D9AD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PP</w:t>
            </w:r>
          </w:p>
        </w:tc>
        <w:tc>
          <w:tcPr>
            <w:tcW w:w="1326" w:type="dxa"/>
          </w:tcPr>
          <w:p w14:paraId="2E997D1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56.55±11.73</w:t>
            </w:r>
          </w:p>
        </w:tc>
        <w:tc>
          <w:tcPr>
            <w:tcW w:w="1590" w:type="dxa"/>
          </w:tcPr>
          <w:p w14:paraId="5160155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53.79±11.55</w:t>
            </w:r>
          </w:p>
        </w:tc>
        <w:tc>
          <w:tcPr>
            <w:tcW w:w="1134" w:type="dxa"/>
          </w:tcPr>
          <w:p w14:paraId="6E20C4A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0.10</w:t>
            </w:r>
          </w:p>
        </w:tc>
      </w:tr>
      <w:tr w:rsidR="00482434" w:rsidRPr="00482434" w14:paraId="1379FBBC" w14:textId="77777777" w:rsidTr="00F22E9F">
        <w:trPr>
          <w:jc w:val="center"/>
        </w:trPr>
        <w:tc>
          <w:tcPr>
            <w:tcW w:w="3175" w:type="dxa"/>
          </w:tcPr>
          <w:p w14:paraId="2FFD951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Poids</w:t>
            </w:r>
            <w:proofErr w:type="spellEnd"/>
          </w:p>
        </w:tc>
        <w:tc>
          <w:tcPr>
            <w:tcW w:w="1326" w:type="dxa"/>
          </w:tcPr>
          <w:p w14:paraId="2E4CE487"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75.13±11.79</w:t>
            </w:r>
          </w:p>
        </w:tc>
        <w:tc>
          <w:tcPr>
            <w:tcW w:w="1590" w:type="dxa"/>
          </w:tcPr>
          <w:p w14:paraId="56E7D4B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77.34±13.05</w:t>
            </w:r>
          </w:p>
        </w:tc>
        <w:tc>
          <w:tcPr>
            <w:tcW w:w="1134" w:type="dxa"/>
          </w:tcPr>
          <w:p w14:paraId="16D8BA91"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0.23</w:t>
            </w:r>
          </w:p>
        </w:tc>
      </w:tr>
      <w:tr w:rsidR="00482434" w:rsidRPr="00482434" w14:paraId="4F5B51A1" w14:textId="77777777" w:rsidTr="00F22E9F">
        <w:trPr>
          <w:jc w:val="center"/>
        </w:trPr>
        <w:tc>
          <w:tcPr>
            <w:tcW w:w="3175" w:type="dxa"/>
          </w:tcPr>
          <w:p w14:paraId="49BB117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BMI</w:t>
            </w:r>
          </w:p>
        </w:tc>
        <w:tc>
          <w:tcPr>
            <w:tcW w:w="1326" w:type="dxa"/>
          </w:tcPr>
          <w:p w14:paraId="289A0EF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26.47±2.94</w:t>
            </w:r>
          </w:p>
        </w:tc>
        <w:tc>
          <w:tcPr>
            <w:tcW w:w="1590" w:type="dxa"/>
          </w:tcPr>
          <w:p w14:paraId="393C386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26.13±4.14</w:t>
            </w:r>
          </w:p>
        </w:tc>
        <w:tc>
          <w:tcPr>
            <w:tcW w:w="1134" w:type="dxa"/>
          </w:tcPr>
          <w:p w14:paraId="564C7CC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0.54</w:t>
            </w:r>
          </w:p>
        </w:tc>
      </w:tr>
      <w:tr w:rsidR="00482434" w:rsidRPr="00482434" w14:paraId="056B465D" w14:textId="77777777" w:rsidTr="00F22E9F">
        <w:trPr>
          <w:jc w:val="center"/>
        </w:trPr>
        <w:tc>
          <w:tcPr>
            <w:tcW w:w="3175" w:type="dxa"/>
          </w:tcPr>
          <w:p w14:paraId="7D5772F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TT</w:t>
            </w:r>
          </w:p>
        </w:tc>
        <w:tc>
          <w:tcPr>
            <w:tcW w:w="1326" w:type="dxa"/>
          </w:tcPr>
          <w:p w14:paraId="1EE15F25"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89.81±7.20</w:t>
            </w:r>
          </w:p>
        </w:tc>
        <w:tc>
          <w:tcPr>
            <w:tcW w:w="1590" w:type="dxa"/>
          </w:tcPr>
          <w:p w14:paraId="470BCEF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88.44±10.84</w:t>
            </w:r>
          </w:p>
        </w:tc>
        <w:tc>
          <w:tcPr>
            <w:tcW w:w="1134" w:type="dxa"/>
          </w:tcPr>
          <w:p w14:paraId="2B0F4F8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0.35</w:t>
            </w:r>
          </w:p>
        </w:tc>
      </w:tr>
      <w:tr w:rsidR="00482434" w:rsidRPr="00482434" w14:paraId="5A2C8D31" w14:textId="77777777" w:rsidTr="00F22E9F">
        <w:trPr>
          <w:jc w:val="center"/>
        </w:trPr>
        <w:tc>
          <w:tcPr>
            <w:tcW w:w="3175" w:type="dxa"/>
          </w:tcPr>
          <w:p w14:paraId="7F77207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RTH</w:t>
            </w:r>
          </w:p>
        </w:tc>
        <w:tc>
          <w:tcPr>
            <w:tcW w:w="1326" w:type="dxa"/>
          </w:tcPr>
          <w:p w14:paraId="18258EC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26(44.07)</w:t>
            </w:r>
          </w:p>
        </w:tc>
        <w:tc>
          <w:tcPr>
            <w:tcW w:w="1590" w:type="dxa"/>
          </w:tcPr>
          <w:p w14:paraId="73E2895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76(30.28)</w:t>
            </w:r>
          </w:p>
        </w:tc>
        <w:tc>
          <w:tcPr>
            <w:tcW w:w="1134" w:type="dxa"/>
          </w:tcPr>
          <w:p w14:paraId="54BC62F1"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0.04</w:t>
            </w:r>
          </w:p>
        </w:tc>
      </w:tr>
      <w:tr w:rsidR="00482434" w:rsidRPr="00482434" w14:paraId="6143C5B6" w14:textId="77777777" w:rsidTr="00F22E9F">
        <w:trPr>
          <w:jc w:val="center"/>
        </w:trPr>
        <w:tc>
          <w:tcPr>
            <w:tcW w:w="3175" w:type="dxa"/>
          </w:tcPr>
          <w:p w14:paraId="7A31823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SM</w:t>
            </w:r>
          </w:p>
        </w:tc>
        <w:tc>
          <w:tcPr>
            <w:tcW w:w="1326" w:type="dxa"/>
          </w:tcPr>
          <w:p w14:paraId="585E5E8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17(28.81)</w:t>
            </w:r>
          </w:p>
        </w:tc>
        <w:tc>
          <w:tcPr>
            <w:tcW w:w="1590" w:type="dxa"/>
          </w:tcPr>
          <w:p w14:paraId="375CA74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42(16.73%)</w:t>
            </w:r>
          </w:p>
        </w:tc>
        <w:tc>
          <w:tcPr>
            <w:tcW w:w="1134" w:type="dxa"/>
          </w:tcPr>
          <w:p w14:paraId="788A008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0.03</w:t>
            </w:r>
          </w:p>
        </w:tc>
      </w:tr>
      <w:tr w:rsidR="00482434" w:rsidRPr="00482434" w14:paraId="36D5ACE0" w14:textId="77777777" w:rsidTr="00F22E9F">
        <w:trPr>
          <w:jc w:val="center"/>
        </w:trPr>
        <w:tc>
          <w:tcPr>
            <w:tcW w:w="3175" w:type="dxa"/>
          </w:tcPr>
          <w:p w14:paraId="0004C2A5"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CT</w:t>
            </w:r>
          </w:p>
        </w:tc>
        <w:tc>
          <w:tcPr>
            <w:tcW w:w="1326" w:type="dxa"/>
          </w:tcPr>
          <w:p w14:paraId="51ABDA27"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1.88±0.35</w:t>
            </w:r>
          </w:p>
        </w:tc>
        <w:tc>
          <w:tcPr>
            <w:tcW w:w="1590" w:type="dxa"/>
          </w:tcPr>
          <w:p w14:paraId="48DCFC6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1.81±0.36</w:t>
            </w:r>
          </w:p>
        </w:tc>
        <w:tc>
          <w:tcPr>
            <w:tcW w:w="1134" w:type="dxa"/>
          </w:tcPr>
          <w:p w14:paraId="60CD161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0.17</w:t>
            </w:r>
          </w:p>
        </w:tc>
      </w:tr>
      <w:tr w:rsidR="00482434" w:rsidRPr="00482434" w14:paraId="59609C93" w14:textId="77777777" w:rsidTr="00F22E9F">
        <w:trPr>
          <w:jc w:val="center"/>
        </w:trPr>
        <w:tc>
          <w:tcPr>
            <w:tcW w:w="3175" w:type="dxa"/>
          </w:tcPr>
          <w:p w14:paraId="3E55E78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TG</w:t>
            </w:r>
          </w:p>
        </w:tc>
        <w:tc>
          <w:tcPr>
            <w:tcW w:w="1326" w:type="dxa"/>
          </w:tcPr>
          <w:p w14:paraId="009F7A2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1.40±0.59</w:t>
            </w:r>
          </w:p>
        </w:tc>
        <w:tc>
          <w:tcPr>
            <w:tcW w:w="1590" w:type="dxa"/>
          </w:tcPr>
          <w:p w14:paraId="011D59A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1.34±0.66</w:t>
            </w:r>
          </w:p>
        </w:tc>
        <w:tc>
          <w:tcPr>
            <w:tcW w:w="1134" w:type="dxa"/>
          </w:tcPr>
          <w:p w14:paraId="5E03F87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0.54</w:t>
            </w:r>
          </w:p>
        </w:tc>
      </w:tr>
      <w:tr w:rsidR="00482434" w:rsidRPr="00482434" w14:paraId="402457FA" w14:textId="77777777" w:rsidTr="00F22E9F">
        <w:trPr>
          <w:jc w:val="center"/>
        </w:trPr>
        <w:tc>
          <w:tcPr>
            <w:tcW w:w="3175" w:type="dxa"/>
          </w:tcPr>
          <w:p w14:paraId="6A6397B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HDL-c</w:t>
            </w:r>
          </w:p>
        </w:tc>
        <w:tc>
          <w:tcPr>
            <w:tcW w:w="1326" w:type="dxa"/>
          </w:tcPr>
          <w:p w14:paraId="09C0C31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0.43±0.11</w:t>
            </w:r>
          </w:p>
        </w:tc>
        <w:tc>
          <w:tcPr>
            <w:tcW w:w="1590" w:type="dxa"/>
          </w:tcPr>
          <w:p w14:paraId="4309213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0.43±0.12</w:t>
            </w:r>
          </w:p>
        </w:tc>
        <w:tc>
          <w:tcPr>
            <w:tcW w:w="1134" w:type="dxa"/>
          </w:tcPr>
          <w:p w14:paraId="504D4A33"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0.79</w:t>
            </w:r>
          </w:p>
        </w:tc>
      </w:tr>
      <w:tr w:rsidR="00482434" w:rsidRPr="00482434" w14:paraId="26F4EE82" w14:textId="77777777" w:rsidTr="00F22E9F">
        <w:trPr>
          <w:jc w:val="center"/>
        </w:trPr>
        <w:tc>
          <w:tcPr>
            <w:tcW w:w="3175" w:type="dxa"/>
          </w:tcPr>
          <w:p w14:paraId="4D4FD64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LDL-c</w:t>
            </w:r>
          </w:p>
        </w:tc>
        <w:tc>
          <w:tcPr>
            <w:tcW w:w="1326" w:type="dxa"/>
          </w:tcPr>
          <w:p w14:paraId="0ADD48E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1.18±0.27</w:t>
            </w:r>
          </w:p>
        </w:tc>
        <w:tc>
          <w:tcPr>
            <w:tcW w:w="1590" w:type="dxa"/>
          </w:tcPr>
          <w:p w14:paraId="664376B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1.10±0.29</w:t>
            </w:r>
          </w:p>
        </w:tc>
        <w:tc>
          <w:tcPr>
            <w:tcW w:w="1134" w:type="dxa"/>
          </w:tcPr>
          <w:p w14:paraId="452E941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0.08</w:t>
            </w:r>
          </w:p>
        </w:tc>
      </w:tr>
      <w:tr w:rsidR="00482434" w:rsidRPr="00482434" w14:paraId="76611AB3" w14:textId="77777777" w:rsidTr="00F22E9F">
        <w:trPr>
          <w:jc w:val="center"/>
        </w:trPr>
        <w:tc>
          <w:tcPr>
            <w:tcW w:w="3175" w:type="dxa"/>
          </w:tcPr>
          <w:p w14:paraId="1D6EC021"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Glycémie</w:t>
            </w:r>
            <w:proofErr w:type="spellEnd"/>
          </w:p>
        </w:tc>
        <w:tc>
          <w:tcPr>
            <w:tcW w:w="1326" w:type="dxa"/>
          </w:tcPr>
          <w:p w14:paraId="3CCD6FBB"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0.96±0.10</w:t>
            </w:r>
          </w:p>
        </w:tc>
        <w:tc>
          <w:tcPr>
            <w:tcW w:w="1590" w:type="dxa"/>
          </w:tcPr>
          <w:p w14:paraId="3044263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0.92±0.10</w:t>
            </w:r>
          </w:p>
        </w:tc>
        <w:tc>
          <w:tcPr>
            <w:tcW w:w="1134" w:type="dxa"/>
          </w:tcPr>
          <w:p w14:paraId="4179BD5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0.02</w:t>
            </w:r>
          </w:p>
        </w:tc>
      </w:tr>
      <w:tr w:rsidR="00482434" w:rsidRPr="00482434" w14:paraId="31E9F691" w14:textId="77777777" w:rsidTr="00F22E9F">
        <w:trPr>
          <w:jc w:val="center"/>
        </w:trPr>
        <w:tc>
          <w:tcPr>
            <w:tcW w:w="3175" w:type="dxa"/>
          </w:tcPr>
          <w:p w14:paraId="064A4768"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Prédiabète</w:t>
            </w:r>
          </w:p>
        </w:tc>
        <w:tc>
          <w:tcPr>
            <w:tcW w:w="1326" w:type="dxa"/>
          </w:tcPr>
          <w:p w14:paraId="6AA2165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6  (10.17)</w:t>
            </w:r>
          </w:p>
        </w:tc>
        <w:tc>
          <w:tcPr>
            <w:tcW w:w="1590" w:type="dxa"/>
          </w:tcPr>
          <w:p w14:paraId="67407606"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 (3.98)</w:t>
            </w:r>
          </w:p>
        </w:tc>
        <w:tc>
          <w:tcPr>
            <w:tcW w:w="1134" w:type="dxa"/>
          </w:tcPr>
          <w:p w14:paraId="2EFCC3A2"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0.05</w:t>
            </w:r>
          </w:p>
        </w:tc>
      </w:tr>
      <w:tr w:rsidR="00482434" w:rsidRPr="00482434" w14:paraId="4EB9280D" w14:textId="77777777" w:rsidTr="00F22E9F">
        <w:trPr>
          <w:jc w:val="center"/>
        </w:trPr>
        <w:tc>
          <w:tcPr>
            <w:tcW w:w="3175" w:type="dxa"/>
          </w:tcPr>
          <w:p w14:paraId="77A4F4E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Ménopause</w:t>
            </w:r>
            <w:proofErr w:type="spellEnd"/>
          </w:p>
        </w:tc>
        <w:tc>
          <w:tcPr>
            <w:tcW w:w="1326" w:type="dxa"/>
          </w:tcPr>
          <w:p w14:paraId="0E547F7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15 (75.00)</w:t>
            </w:r>
          </w:p>
        </w:tc>
        <w:tc>
          <w:tcPr>
            <w:tcW w:w="1590" w:type="dxa"/>
          </w:tcPr>
          <w:p w14:paraId="5AABA72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22 (37.93)</w:t>
            </w:r>
          </w:p>
        </w:tc>
        <w:tc>
          <w:tcPr>
            <w:tcW w:w="1134" w:type="dxa"/>
          </w:tcPr>
          <w:p w14:paraId="0638DE6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r w:rsidR="00482434" w:rsidRPr="00482434" w14:paraId="4DF1C7EE" w14:textId="77777777" w:rsidTr="00F22E9F">
        <w:trPr>
          <w:jc w:val="center"/>
        </w:trPr>
        <w:tc>
          <w:tcPr>
            <w:tcW w:w="3175" w:type="dxa"/>
          </w:tcPr>
          <w:p w14:paraId="3042669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 xml:space="preserve">ATCD F </w:t>
            </w:r>
            <w:proofErr w:type="spellStart"/>
            <w:r w:rsidRPr="00482434">
              <w:rPr>
                <w:rFonts w:asciiTheme="majorBidi" w:hAnsiTheme="majorBidi" w:cstheme="majorBidi"/>
                <w:iCs/>
                <w:sz w:val="14"/>
                <w:szCs w:val="14"/>
              </w:rPr>
              <w:t>d’HTA</w:t>
            </w:r>
            <w:proofErr w:type="spellEnd"/>
          </w:p>
        </w:tc>
        <w:tc>
          <w:tcPr>
            <w:tcW w:w="1326" w:type="dxa"/>
          </w:tcPr>
          <w:p w14:paraId="7E67AAD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46 (77.97)</w:t>
            </w:r>
          </w:p>
        </w:tc>
        <w:tc>
          <w:tcPr>
            <w:tcW w:w="1590" w:type="dxa"/>
          </w:tcPr>
          <w:p w14:paraId="6A10F195"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134  (53.39)</w:t>
            </w:r>
          </w:p>
        </w:tc>
        <w:tc>
          <w:tcPr>
            <w:tcW w:w="1134" w:type="dxa"/>
          </w:tcPr>
          <w:p w14:paraId="2710E36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r w:rsidR="00482434" w:rsidRPr="00482434" w14:paraId="76FC1DDE" w14:textId="77777777" w:rsidTr="00F22E9F">
        <w:trPr>
          <w:jc w:val="center"/>
        </w:trPr>
        <w:tc>
          <w:tcPr>
            <w:tcW w:w="3175" w:type="dxa"/>
          </w:tcPr>
          <w:p w14:paraId="4F8FCE8D"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lastRenderedPageBreak/>
              <w:t xml:space="preserve">ATCD F </w:t>
            </w:r>
            <w:proofErr w:type="spellStart"/>
            <w:r w:rsidRPr="00482434">
              <w:rPr>
                <w:rFonts w:asciiTheme="majorBidi" w:hAnsiTheme="majorBidi" w:cstheme="majorBidi"/>
                <w:iCs/>
                <w:sz w:val="14"/>
                <w:szCs w:val="14"/>
              </w:rPr>
              <w:t>diabète</w:t>
            </w:r>
            <w:proofErr w:type="spellEnd"/>
          </w:p>
        </w:tc>
        <w:tc>
          <w:tcPr>
            <w:tcW w:w="1326" w:type="dxa"/>
          </w:tcPr>
          <w:p w14:paraId="5AF3CFF0"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15  (25.42)</w:t>
            </w:r>
          </w:p>
        </w:tc>
        <w:tc>
          <w:tcPr>
            <w:tcW w:w="1590" w:type="dxa"/>
          </w:tcPr>
          <w:p w14:paraId="567D066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35  (13.94)</w:t>
            </w:r>
          </w:p>
        </w:tc>
        <w:tc>
          <w:tcPr>
            <w:tcW w:w="1134" w:type="dxa"/>
          </w:tcPr>
          <w:p w14:paraId="156C4E1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0.03</w:t>
            </w:r>
          </w:p>
        </w:tc>
      </w:tr>
      <w:tr w:rsidR="00482434" w:rsidRPr="00482434" w14:paraId="0AE54886" w14:textId="77777777" w:rsidTr="00F22E9F">
        <w:trPr>
          <w:jc w:val="center"/>
        </w:trPr>
        <w:tc>
          <w:tcPr>
            <w:tcW w:w="3175" w:type="dxa"/>
          </w:tcPr>
          <w:p w14:paraId="4112CE3A"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proofErr w:type="spellStart"/>
            <w:r w:rsidRPr="00482434">
              <w:rPr>
                <w:rFonts w:asciiTheme="majorBidi" w:hAnsiTheme="majorBidi" w:cstheme="majorBidi"/>
                <w:iCs/>
                <w:sz w:val="14"/>
                <w:szCs w:val="14"/>
              </w:rPr>
              <w:t>Sédentarité</w:t>
            </w:r>
            <w:proofErr w:type="spellEnd"/>
          </w:p>
        </w:tc>
        <w:tc>
          <w:tcPr>
            <w:tcW w:w="1326" w:type="dxa"/>
          </w:tcPr>
          <w:p w14:paraId="097E5539"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58  (98.31)</w:t>
            </w:r>
          </w:p>
        </w:tc>
        <w:tc>
          <w:tcPr>
            <w:tcW w:w="1590" w:type="dxa"/>
          </w:tcPr>
          <w:p w14:paraId="4E98307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199  (79.28)</w:t>
            </w:r>
          </w:p>
        </w:tc>
        <w:tc>
          <w:tcPr>
            <w:tcW w:w="1134" w:type="dxa"/>
          </w:tcPr>
          <w:p w14:paraId="3F8921DF"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r w:rsidR="00482434" w:rsidRPr="00482434" w14:paraId="17AF4680" w14:textId="77777777" w:rsidTr="00F22E9F">
        <w:trPr>
          <w:jc w:val="center"/>
        </w:trPr>
        <w:tc>
          <w:tcPr>
            <w:tcW w:w="3175" w:type="dxa"/>
          </w:tcPr>
          <w:p w14:paraId="191BEE5C"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VOP</w:t>
            </w:r>
          </w:p>
        </w:tc>
        <w:tc>
          <w:tcPr>
            <w:tcW w:w="1326" w:type="dxa"/>
          </w:tcPr>
          <w:p w14:paraId="5F94034E"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11,46 ± 1,33</w:t>
            </w:r>
          </w:p>
        </w:tc>
        <w:tc>
          <w:tcPr>
            <w:tcW w:w="1590" w:type="dxa"/>
          </w:tcPr>
          <w:p w14:paraId="4C4FB6E7"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8,07 ± 1,13</w:t>
            </w:r>
          </w:p>
        </w:tc>
        <w:tc>
          <w:tcPr>
            <w:tcW w:w="1134" w:type="dxa"/>
          </w:tcPr>
          <w:p w14:paraId="2928A784" w14:textId="77777777" w:rsidR="00482434" w:rsidRPr="00482434" w:rsidRDefault="00482434" w:rsidP="00F22E9F">
            <w:pPr>
              <w:autoSpaceDE w:val="0"/>
              <w:autoSpaceDN w:val="0"/>
              <w:adjustRightInd w:val="0"/>
              <w:spacing w:after="0"/>
              <w:jc w:val="both"/>
              <w:rPr>
                <w:rFonts w:asciiTheme="majorBidi" w:hAnsiTheme="majorBidi" w:cstheme="majorBidi"/>
                <w:iCs/>
                <w:sz w:val="14"/>
                <w:szCs w:val="14"/>
              </w:rPr>
            </w:pPr>
            <w:r w:rsidRPr="00482434">
              <w:rPr>
                <w:rFonts w:asciiTheme="majorBidi" w:hAnsiTheme="majorBidi" w:cstheme="majorBidi"/>
                <w:iCs/>
                <w:sz w:val="14"/>
                <w:szCs w:val="14"/>
              </w:rPr>
              <w:t>10</w:t>
            </w:r>
            <w:r w:rsidRPr="00482434">
              <w:rPr>
                <w:rFonts w:asciiTheme="majorBidi" w:hAnsiTheme="majorBidi" w:cstheme="majorBidi"/>
                <w:iCs/>
                <w:sz w:val="14"/>
                <w:szCs w:val="14"/>
                <w:vertAlign w:val="superscript"/>
              </w:rPr>
              <w:t>-3</w:t>
            </w:r>
          </w:p>
        </w:tc>
      </w:tr>
    </w:tbl>
    <w:p w14:paraId="53C93CDC" w14:textId="77777777" w:rsidR="00482434" w:rsidRPr="008B7BE7" w:rsidRDefault="00482434" w:rsidP="008B7BE7">
      <w:pPr>
        <w:jc w:val="both"/>
        <w:rPr>
          <w:rFonts w:ascii="Times New Roman" w:hAnsi="Times New Roman" w:cs="Times New Roman"/>
          <w:sz w:val="20"/>
          <w:szCs w:val="20"/>
        </w:rPr>
      </w:pPr>
    </w:p>
    <w:p w14:paraId="1BB00164" w14:textId="77777777" w:rsidR="00E20B19" w:rsidRDefault="00482434" w:rsidP="00482434">
      <w:pPr>
        <w:pStyle w:val="Default"/>
        <w:jc w:val="both"/>
        <w:rPr>
          <w:rFonts w:asciiTheme="majorBidi" w:hAnsiTheme="majorBidi" w:cstheme="majorBidi"/>
          <w:sz w:val="20"/>
          <w:szCs w:val="20"/>
        </w:rPr>
      </w:pPr>
      <w:r w:rsidRPr="009D32CA">
        <w:rPr>
          <w:rFonts w:asciiTheme="majorBidi" w:hAnsiTheme="majorBidi" w:cstheme="majorBidi"/>
          <w:sz w:val="20"/>
          <w:szCs w:val="20"/>
        </w:rPr>
        <w:t xml:space="preserve">L’étude comparative des patients présentant une VOP élevée versus VOP non élevée a montré dans l’étude univariée une relation statistiquement significative entre la VOP et : l’âge (OR =10,18 pour les sujets âgés de 50 ans et plus IC à 95% ; 5,34-19,39 ), l’ HTA (OR = 13.00, IC à 95% ; 4.57- 36.96 ), l’ancienneté de l’HTA (OR = 8.66, IC à 95% ; 3.04- 24.65 ), les PAS et PAD respectivement (OR =2.11et 3,73, IC à 95% ; 1.14-3.90 et 1.78-7.80), la surcharge pondérale définie par le BMI (OR =4.73, IC à 95 % ; 2.50-8.95), l’obésité abdominale androïde (OR =1.81, IC à 95 % ; 1.01-3.24), le niveau de risque intermédiaire définit par le modèle de Framingham (OR=2.64, IC à 95 % ; 1.42-4.91), la sédentarité (OR=15,46, IC à 95% ; 2,05-112,00), la ménopause (OR=4,90, IC à 95 % ; 1.26-15.39) et les antécédents familiaux d’HTA et de diabète (OR=3,08, IC à 95% ; 1.59-5.99  et 2,10, IC à 95% ; 1.05-4.17) respectivement. </w:t>
      </w:r>
    </w:p>
    <w:p w14:paraId="7553CBC2" w14:textId="08FAE1AB" w:rsidR="00482434" w:rsidRPr="009D32CA" w:rsidRDefault="00482434" w:rsidP="00482434">
      <w:pPr>
        <w:pStyle w:val="Default"/>
        <w:jc w:val="both"/>
        <w:rPr>
          <w:rFonts w:asciiTheme="majorBidi" w:hAnsiTheme="majorBidi" w:cstheme="majorBidi"/>
          <w:sz w:val="20"/>
          <w:szCs w:val="20"/>
        </w:rPr>
      </w:pPr>
      <w:r w:rsidRPr="009D32CA">
        <w:rPr>
          <w:rFonts w:asciiTheme="majorBidi" w:hAnsiTheme="majorBidi" w:cstheme="majorBidi"/>
          <w:sz w:val="20"/>
          <w:szCs w:val="20"/>
        </w:rPr>
        <w:t xml:space="preserve">Dans l’analyse multivariée, la ménopause bien qu’elle soit significativement liée à la VOP élevée en analyse univariée, elle a été éliminée du modèle multivariée en raison de l’effectif réduit des femmes ménopausées dans notre échantillon (15 femmes ménopausées à VOP élevée) et les déterminants associés à une VOP élevée de manière significative sont résumés dans le tableau 5. </w:t>
      </w:r>
    </w:p>
    <w:p w14:paraId="2ABCBA3A" w14:textId="4A2E5BD7" w:rsidR="00482434" w:rsidRPr="005202AA" w:rsidRDefault="00482434" w:rsidP="00482434">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sz w:val="20"/>
          <w:szCs w:val="20"/>
          <w:lang w:val="fr-FR"/>
        </w:rPr>
        <w:t>-L’âge égale ou supérieur à 50 ans multiplie le risque d’avoir une VOP élevée par 4,83≈5 fois ce qui est très significatif, l’HTA était le facteur le plus puissant ; elle multipliait le risque de survenue d’une rigidité artérielle de 31,64 ce qui est nettement très significatif, l’ancienneté de l’HTA de 5 années présente un risque de 41 fois d’avoir des artères rigides, la PAD ≥ 90 mm Hg expose le sujet à un risque de 9 fois d’avoir des artères rigides, enfin l’inactivité physique multiplie le risque par</w:t>
      </w:r>
      <w:r w:rsidRPr="005202AA">
        <w:rPr>
          <w:rFonts w:asciiTheme="majorBidi" w:hAnsiTheme="majorBidi" w:cstheme="majorBidi"/>
          <w:color w:val="000000" w:themeColor="text1"/>
          <w:sz w:val="20"/>
          <w:szCs w:val="20"/>
          <w:lang w:val="fr-FR"/>
        </w:rPr>
        <w:t xml:space="preserve"> un facteur de 21,56 d’avoir une rigidité artérielle.</w:t>
      </w:r>
    </w:p>
    <w:p w14:paraId="1B8B4FD1" w14:textId="77777777" w:rsidR="00482434" w:rsidRPr="005202AA" w:rsidRDefault="00482434" w:rsidP="00482434">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sz w:val="20"/>
          <w:szCs w:val="20"/>
          <w:lang w:val="fr-FR"/>
        </w:rPr>
        <w:t xml:space="preserve">Tableau 5 : Identification des déterminants de la rigidité artérielle par régression logistique chez des sujets </w:t>
      </w:r>
      <w:proofErr w:type="spellStart"/>
      <w:r w:rsidRPr="005202AA">
        <w:rPr>
          <w:rFonts w:asciiTheme="majorBidi" w:hAnsiTheme="majorBidi" w:cstheme="majorBidi"/>
          <w:sz w:val="20"/>
          <w:szCs w:val="20"/>
          <w:lang w:val="fr-FR"/>
        </w:rPr>
        <w:t>aymptomatiques</w:t>
      </w:r>
      <w:proofErr w:type="spellEnd"/>
      <w:r w:rsidRPr="005202AA">
        <w:rPr>
          <w:rFonts w:asciiTheme="majorBidi" w:hAnsiTheme="majorBidi" w:cstheme="majorBidi"/>
          <w:sz w:val="20"/>
          <w:szCs w:val="20"/>
          <w:lang w:val="fr-FR"/>
        </w:rPr>
        <w:t xml:space="preserve"> et à RCV non élevé</w:t>
      </w:r>
    </w:p>
    <w:p w14:paraId="6F861D32" w14:textId="77777777" w:rsidR="00482434" w:rsidRPr="005202AA" w:rsidRDefault="00482434" w:rsidP="00482434">
      <w:pPr>
        <w:autoSpaceDE w:val="0"/>
        <w:autoSpaceDN w:val="0"/>
        <w:adjustRightInd w:val="0"/>
        <w:contextualSpacing/>
        <w:jc w:val="both"/>
        <w:rPr>
          <w:rFonts w:asciiTheme="majorBidi" w:hAnsiTheme="majorBidi" w:cstheme="majorBidi"/>
          <w:color w:val="000000"/>
          <w:sz w:val="20"/>
          <w:szCs w:val="20"/>
          <w:lang w:val="fr-FR"/>
        </w:rPr>
      </w:pPr>
    </w:p>
    <w:p w14:paraId="35D4F50C" w14:textId="77777777" w:rsidR="00482434" w:rsidRPr="005202AA" w:rsidRDefault="00482434" w:rsidP="00482434">
      <w:pPr>
        <w:autoSpaceDE w:val="0"/>
        <w:autoSpaceDN w:val="0"/>
        <w:adjustRightInd w:val="0"/>
        <w:contextualSpacing/>
        <w:jc w:val="center"/>
        <w:rPr>
          <w:rFonts w:asciiTheme="majorBidi" w:hAnsiTheme="majorBidi" w:cstheme="majorBidi"/>
          <w:sz w:val="16"/>
          <w:szCs w:val="16"/>
          <w:lang w:val="fr-FR"/>
        </w:rPr>
      </w:pPr>
      <w:r w:rsidRPr="005202AA">
        <w:rPr>
          <w:rFonts w:asciiTheme="majorBidi" w:hAnsiTheme="majorBidi" w:cstheme="majorBidi"/>
          <w:sz w:val="16"/>
          <w:szCs w:val="16"/>
          <w:lang w:val="fr-FR"/>
        </w:rPr>
        <w:t xml:space="preserve">(OR : </w:t>
      </w:r>
      <w:proofErr w:type="spellStart"/>
      <w:r w:rsidRPr="005202AA">
        <w:rPr>
          <w:rFonts w:asciiTheme="majorBidi" w:hAnsiTheme="majorBidi" w:cstheme="majorBidi"/>
          <w:sz w:val="16"/>
          <w:szCs w:val="16"/>
          <w:lang w:val="fr-FR"/>
        </w:rPr>
        <w:t>odds</w:t>
      </w:r>
      <w:proofErr w:type="spellEnd"/>
      <w:r w:rsidRPr="005202AA">
        <w:rPr>
          <w:rFonts w:asciiTheme="majorBidi" w:hAnsiTheme="majorBidi" w:cstheme="majorBidi"/>
          <w:sz w:val="16"/>
          <w:szCs w:val="16"/>
          <w:lang w:val="fr-FR"/>
        </w:rPr>
        <w:t xml:space="preserve"> ratio ; IC : intervalle de confiance ; p : degré de significativité en analyse multivariée)</w:t>
      </w:r>
    </w:p>
    <w:p w14:paraId="45C9918B" w14:textId="77777777" w:rsidR="00482434" w:rsidRPr="005202AA" w:rsidRDefault="00482434" w:rsidP="00482434">
      <w:pPr>
        <w:autoSpaceDE w:val="0"/>
        <w:autoSpaceDN w:val="0"/>
        <w:adjustRightInd w:val="0"/>
        <w:contextualSpacing/>
        <w:jc w:val="both"/>
        <w:rPr>
          <w:sz w:val="16"/>
          <w:szCs w:val="16"/>
          <w:lang w:val="fr-FR"/>
        </w:rPr>
      </w:pP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
        <w:gridCol w:w="888"/>
        <w:gridCol w:w="1011"/>
        <w:gridCol w:w="1133"/>
        <w:gridCol w:w="879"/>
      </w:tblGrid>
      <w:tr w:rsidR="00482434" w:rsidRPr="009D32CA" w14:paraId="636FDF96" w14:textId="77777777" w:rsidTr="00E233AE">
        <w:trPr>
          <w:jc w:val="center"/>
        </w:trPr>
        <w:tc>
          <w:tcPr>
            <w:tcW w:w="762" w:type="dxa"/>
            <w:shd w:val="clear" w:color="auto" w:fill="A6A6A6"/>
          </w:tcPr>
          <w:p w14:paraId="60E16693" w14:textId="77777777" w:rsidR="00482434" w:rsidRPr="009D32CA" w:rsidRDefault="00482434" w:rsidP="00F22E9F">
            <w:pPr>
              <w:spacing w:after="0" w:line="240" w:lineRule="auto"/>
              <w:jc w:val="center"/>
              <w:rPr>
                <w:rFonts w:asciiTheme="majorBidi" w:hAnsiTheme="majorBidi" w:cstheme="majorBidi"/>
                <w:i/>
                <w:sz w:val="16"/>
                <w:szCs w:val="16"/>
              </w:rPr>
            </w:pPr>
            <w:r w:rsidRPr="009D32CA">
              <w:rPr>
                <w:rFonts w:asciiTheme="majorBidi" w:hAnsiTheme="majorBidi" w:cstheme="majorBidi"/>
                <w:i/>
                <w:sz w:val="16"/>
                <w:szCs w:val="16"/>
              </w:rPr>
              <w:t>Variables</w:t>
            </w:r>
          </w:p>
        </w:tc>
        <w:tc>
          <w:tcPr>
            <w:tcW w:w="888" w:type="dxa"/>
            <w:shd w:val="clear" w:color="auto" w:fill="A6A6A6"/>
          </w:tcPr>
          <w:p w14:paraId="4228F084" w14:textId="77777777" w:rsidR="00482434" w:rsidRPr="009D32CA" w:rsidRDefault="00482434" w:rsidP="00F22E9F">
            <w:pPr>
              <w:spacing w:after="0" w:line="240" w:lineRule="auto"/>
              <w:jc w:val="center"/>
              <w:rPr>
                <w:rFonts w:asciiTheme="majorBidi" w:hAnsiTheme="majorBidi" w:cstheme="majorBidi"/>
                <w:i/>
                <w:sz w:val="16"/>
                <w:szCs w:val="16"/>
              </w:rPr>
            </w:pPr>
            <w:proofErr w:type="spellStart"/>
            <w:r w:rsidRPr="009D32CA">
              <w:rPr>
                <w:rFonts w:asciiTheme="majorBidi" w:hAnsiTheme="majorBidi" w:cstheme="majorBidi"/>
                <w:i/>
                <w:sz w:val="16"/>
                <w:szCs w:val="16"/>
              </w:rPr>
              <w:t>Références</w:t>
            </w:r>
            <w:proofErr w:type="spellEnd"/>
            <w:r w:rsidRPr="009D32CA">
              <w:rPr>
                <w:rFonts w:asciiTheme="majorBidi" w:hAnsiTheme="majorBidi" w:cstheme="majorBidi"/>
                <w:i/>
                <w:sz w:val="16"/>
                <w:szCs w:val="16"/>
              </w:rPr>
              <w:t xml:space="preserve"> </w:t>
            </w:r>
          </w:p>
        </w:tc>
        <w:tc>
          <w:tcPr>
            <w:tcW w:w="1011" w:type="dxa"/>
            <w:shd w:val="clear" w:color="auto" w:fill="A6A6A6"/>
          </w:tcPr>
          <w:p w14:paraId="379FCCFF" w14:textId="77777777" w:rsidR="00482434" w:rsidRPr="009D32CA" w:rsidRDefault="00482434" w:rsidP="00F22E9F">
            <w:pPr>
              <w:spacing w:after="0" w:line="240" w:lineRule="auto"/>
              <w:jc w:val="center"/>
              <w:rPr>
                <w:rFonts w:asciiTheme="majorBidi" w:hAnsiTheme="majorBidi" w:cstheme="majorBidi"/>
                <w:i/>
                <w:sz w:val="16"/>
                <w:szCs w:val="16"/>
              </w:rPr>
            </w:pPr>
            <w:r w:rsidRPr="009D32CA">
              <w:rPr>
                <w:rFonts w:asciiTheme="majorBidi" w:hAnsiTheme="majorBidi" w:cstheme="majorBidi"/>
                <w:i/>
                <w:sz w:val="16"/>
                <w:szCs w:val="16"/>
              </w:rPr>
              <w:t xml:space="preserve">OR </w:t>
            </w:r>
            <w:proofErr w:type="spellStart"/>
            <w:r w:rsidRPr="009D32CA">
              <w:rPr>
                <w:rFonts w:asciiTheme="majorBidi" w:hAnsiTheme="majorBidi" w:cstheme="majorBidi"/>
                <w:i/>
                <w:sz w:val="16"/>
                <w:szCs w:val="16"/>
              </w:rPr>
              <w:t>Ajustés</w:t>
            </w:r>
            <w:proofErr w:type="spellEnd"/>
          </w:p>
        </w:tc>
        <w:tc>
          <w:tcPr>
            <w:tcW w:w="1133" w:type="dxa"/>
            <w:shd w:val="clear" w:color="auto" w:fill="A6A6A6"/>
          </w:tcPr>
          <w:p w14:paraId="088832B3" w14:textId="77777777" w:rsidR="00482434" w:rsidRPr="009D32CA" w:rsidRDefault="00482434" w:rsidP="00F22E9F">
            <w:pPr>
              <w:spacing w:after="0" w:line="240" w:lineRule="auto"/>
              <w:jc w:val="center"/>
              <w:rPr>
                <w:rFonts w:asciiTheme="majorBidi" w:hAnsiTheme="majorBidi" w:cstheme="majorBidi"/>
                <w:i/>
                <w:sz w:val="16"/>
                <w:szCs w:val="16"/>
              </w:rPr>
            </w:pPr>
            <w:r w:rsidRPr="009D32CA">
              <w:rPr>
                <w:rFonts w:asciiTheme="majorBidi" w:hAnsiTheme="majorBidi" w:cstheme="majorBidi"/>
                <w:i/>
                <w:sz w:val="16"/>
                <w:szCs w:val="16"/>
              </w:rPr>
              <w:t>IC, 95%</w:t>
            </w:r>
          </w:p>
        </w:tc>
        <w:tc>
          <w:tcPr>
            <w:tcW w:w="879" w:type="dxa"/>
            <w:shd w:val="clear" w:color="auto" w:fill="A6A6A6"/>
            <w:vAlign w:val="center"/>
          </w:tcPr>
          <w:p w14:paraId="6C0DAB41" w14:textId="77777777" w:rsidR="00482434" w:rsidRPr="009D32CA" w:rsidRDefault="00482434" w:rsidP="00F22E9F">
            <w:pPr>
              <w:spacing w:after="0" w:line="240" w:lineRule="auto"/>
              <w:jc w:val="center"/>
              <w:rPr>
                <w:rFonts w:asciiTheme="majorBidi" w:hAnsiTheme="majorBidi" w:cstheme="majorBidi"/>
                <w:i/>
                <w:sz w:val="16"/>
                <w:szCs w:val="16"/>
              </w:rPr>
            </w:pPr>
            <w:r w:rsidRPr="009D32CA">
              <w:rPr>
                <w:rFonts w:asciiTheme="majorBidi" w:hAnsiTheme="majorBidi" w:cstheme="majorBidi"/>
                <w:i/>
                <w:sz w:val="16"/>
                <w:szCs w:val="16"/>
              </w:rPr>
              <w:t>P</w:t>
            </w:r>
          </w:p>
        </w:tc>
      </w:tr>
      <w:tr w:rsidR="00482434" w:rsidRPr="009D32CA" w14:paraId="01A31CDE" w14:textId="77777777" w:rsidTr="00E233AE">
        <w:trPr>
          <w:jc w:val="center"/>
        </w:trPr>
        <w:tc>
          <w:tcPr>
            <w:tcW w:w="762" w:type="dxa"/>
            <w:vMerge w:val="restart"/>
          </w:tcPr>
          <w:p w14:paraId="55E16AD0" w14:textId="77777777" w:rsidR="00482434" w:rsidRPr="009D32CA" w:rsidRDefault="00482434" w:rsidP="00F22E9F">
            <w:pPr>
              <w:spacing w:after="0" w:line="240" w:lineRule="auto"/>
              <w:jc w:val="center"/>
              <w:rPr>
                <w:rFonts w:asciiTheme="majorBidi" w:hAnsiTheme="majorBidi" w:cstheme="majorBidi"/>
                <w:sz w:val="16"/>
                <w:szCs w:val="16"/>
              </w:rPr>
            </w:pPr>
          </w:p>
          <w:p w14:paraId="43CB87ED"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Sexe</w:t>
            </w:r>
            <w:proofErr w:type="spellEnd"/>
          </w:p>
        </w:tc>
        <w:tc>
          <w:tcPr>
            <w:tcW w:w="888" w:type="dxa"/>
          </w:tcPr>
          <w:p w14:paraId="722A6B2F"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F</w:t>
            </w:r>
          </w:p>
        </w:tc>
        <w:tc>
          <w:tcPr>
            <w:tcW w:w="1011" w:type="dxa"/>
            <w:vMerge w:val="restart"/>
          </w:tcPr>
          <w:p w14:paraId="605ECCFA" w14:textId="77777777" w:rsidR="00482434" w:rsidRPr="009D32CA" w:rsidRDefault="00482434" w:rsidP="00F22E9F">
            <w:pPr>
              <w:spacing w:after="0" w:line="240" w:lineRule="auto"/>
              <w:jc w:val="center"/>
              <w:rPr>
                <w:rFonts w:asciiTheme="majorBidi" w:hAnsiTheme="majorBidi" w:cstheme="majorBidi"/>
                <w:color w:val="000000"/>
                <w:sz w:val="16"/>
                <w:szCs w:val="16"/>
              </w:rPr>
            </w:pPr>
            <w:r w:rsidRPr="009D32CA">
              <w:rPr>
                <w:rFonts w:asciiTheme="majorBidi" w:hAnsiTheme="majorBidi" w:cstheme="majorBidi"/>
                <w:color w:val="000000"/>
                <w:sz w:val="16"/>
                <w:szCs w:val="16"/>
              </w:rPr>
              <w:t>1</w:t>
            </w:r>
          </w:p>
          <w:p w14:paraId="2FEA8A08"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0,90</w:t>
            </w:r>
          </w:p>
        </w:tc>
        <w:tc>
          <w:tcPr>
            <w:tcW w:w="1133" w:type="dxa"/>
            <w:vMerge w:val="restart"/>
          </w:tcPr>
          <w:p w14:paraId="53BE2E5F"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4205C7B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0,25  -  3,22</w:t>
            </w:r>
          </w:p>
        </w:tc>
        <w:tc>
          <w:tcPr>
            <w:tcW w:w="879" w:type="dxa"/>
            <w:vMerge w:val="restart"/>
            <w:vAlign w:val="center"/>
          </w:tcPr>
          <w:p w14:paraId="72CB3262"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7858CC50"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0,87</w:t>
            </w:r>
          </w:p>
        </w:tc>
      </w:tr>
      <w:tr w:rsidR="00482434" w:rsidRPr="009D32CA" w14:paraId="7E81F93B" w14:textId="77777777" w:rsidTr="00E233AE">
        <w:trPr>
          <w:trHeight w:val="314"/>
          <w:jc w:val="center"/>
        </w:trPr>
        <w:tc>
          <w:tcPr>
            <w:tcW w:w="762" w:type="dxa"/>
            <w:vMerge/>
          </w:tcPr>
          <w:p w14:paraId="6997113D"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637D51E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M</w:t>
            </w:r>
          </w:p>
        </w:tc>
        <w:tc>
          <w:tcPr>
            <w:tcW w:w="1011" w:type="dxa"/>
            <w:vMerge/>
          </w:tcPr>
          <w:p w14:paraId="59BB5904"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0352C95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1A02F51C"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3D1BCC58" w14:textId="77777777" w:rsidTr="00E233AE">
        <w:trPr>
          <w:jc w:val="center"/>
        </w:trPr>
        <w:tc>
          <w:tcPr>
            <w:tcW w:w="762" w:type="dxa"/>
            <w:vMerge w:val="restart"/>
          </w:tcPr>
          <w:p w14:paraId="5B4336E8"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Age</w:t>
            </w:r>
          </w:p>
        </w:tc>
        <w:tc>
          <w:tcPr>
            <w:tcW w:w="888" w:type="dxa"/>
          </w:tcPr>
          <w:p w14:paraId="3C9E4077"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 xml:space="preserve">&lt;50 </w:t>
            </w:r>
            <w:proofErr w:type="spellStart"/>
            <w:r w:rsidRPr="009D32CA">
              <w:rPr>
                <w:rFonts w:asciiTheme="majorBidi" w:hAnsiTheme="majorBidi" w:cstheme="majorBidi"/>
                <w:sz w:val="16"/>
                <w:szCs w:val="16"/>
              </w:rPr>
              <w:t>ans</w:t>
            </w:r>
            <w:proofErr w:type="spellEnd"/>
          </w:p>
        </w:tc>
        <w:tc>
          <w:tcPr>
            <w:tcW w:w="1011" w:type="dxa"/>
            <w:vMerge w:val="restart"/>
          </w:tcPr>
          <w:p w14:paraId="1E1BFB6F" w14:textId="77777777" w:rsidR="00482434" w:rsidRPr="009D32CA" w:rsidRDefault="00482434" w:rsidP="00F22E9F">
            <w:pPr>
              <w:pStyle w:val="DecimalAligned"/>
              <w:spacing w:after="0" w:line="240" w:lineRule="auto"/>
              <w:jc w:val="center"/>
              <w:rPr>
                <w:rFonts w:asciiTheme="majorBidi" w:hAnsiTheme="majorBidi" w:cstheme="majorBidi"/>
                <w:color w:val="000000"/>
                <w:sz w:val="16"/>
                <w:szCs w:val="16"/>
              </w:rPr>
            </w:pPr>
            <w:r w:rsidRPr="009D32CA">
              <w:rPr>
                <w:rFonts w:asciiTheme="majorBidi" w:hAnsiTheme="majorBidi" w:cstheme="majorBidi"/>
                <w:color w:val="000000"/>
                <w:sz w:val="16"/>
                <w:szCs w:val="16"/>
              </w:rPr>
              <w:t>1</w:t>
            </w:r>
          </w:p>
          <w:p w14:paraId="3289A1E0" w14:textId="77777777" w:rsidR="00482434" w:rsidRPr="009D32CA" w:rsidRDefault="00482434" w:rsidP="00F22E9F">
            <w:pPr>
              <w:pStyle w:val="DecimalAligned"/>
              <w:spacing w:after="0" w:line="240" w:lineRule="auto"/>
              <w:jc w:val="center"/>
              <w:rPr>
                <w:rFonts w:asciiTheme="majorBidi" w:hAnsiTheme="majorBidi" w:cstheme="majorBidi"/>
                <w:color w:val="000000"/>
                <w:sz w:val="16"/>
                <w:szCs w:val="16"/>
              </w:rPr>
            </w:pPr>
            <w:r w:rsidRPr="009D32CA">
              <w:rPr>
                <w:rFonts w:asciiTheme="majorBidi" w:hAnsiTheme="majorBidi" w:cstheme="majorBidi"/>
                <w:color w:val="000000"/>
                <w:sz w:val="16"/>
                <w:szCs w:val="16"/>
              </w:rPr>
              <w:t>4,83</w:t>
            </w:r>
          </w:p>
          <w:p w14:paraId="6513CBF7" w14:textId="77777777" w:rsidR="00482434" w:rsidRPr="009D32CA" w:rsidRDefault="00482434" w:rsidP="00F22E9F">
            <w:pPr>
              <w:pStyle w:val="DecimalAligned"/>
              <w:spacing w:after="0" w:line="240" w:lineRule="auto"/>
              <w:jc w:val="center"/>
              <w:rPr>
                <w:rFonts w:asciiTheme="majorBidi" w:hAnsiTheme="majorBidi" w:cstheme="majorBidi"/>
                <w:color w:val="000000"/>
                <w:sz w:val="16"/>
                <w:szCs w:val="16"/>
              </w:rPr>
            </w:pPr>
          </w:p>
        </w:tc>
        <w:tc>
          <w:tcPr>
            <w:tcW w:w="1133" w:type="dxa"/>
            <w:vMerge w:val="restart"/>
          </w:tcPr>
          <w:p w14:paraId="4384A869" w14:textId="77777777" w:rsidR="00482434" w:rsidRPr="009D32CA" w:rsidRDefault="00482434" w:rsidP="00F22E9F">
            <w:pPr>
              <w:pStyle w:val="DecimalAligned"/>
              <w:spacing w:after="0" w:line="240" w:lineRule="auto"/>
              <w:rPr>
                <w:rFonts w:asciiTheme="majorBidi" w:hAnsiTheme="majorBidi" w:cstheme="majorBidi"/>
                <w:color w:val="FF0000"/>
                <w:sz w:val="16"/>
                <w:szCs w:val="16"/>
              </w:rPr>
            </w:pPr>
          </w:p>
          <w:p w14:paraId="533D8A47" w14:textId="77777777" w:rsidR="00482434" w:rsidRPr="009D32CA" w:rsidRDefault="00482434" w:rsidP="00F22E9F">
            <w:pPr>
              <w:pStyle w:val="DecimalAligned"/>
              <w:spacing w:after="0" w:line="240" w:lineRule="auto"/>
              <w:rPr>
                <w:rFonts w:asciiTheme="majorBidi" w:hAnsiTheme="majorBidi" w:cstheme="majorBidi"/>
                <w:color w:val="FF0000"/>
                <w:sz w:val="16"/>
                <w:szCs w:val="16"/>
              </w:rPr>
            </w:pPr>
            <w:r w:rsidRPr="009D32CA">
              <w:rPr>
                <w:rFonts w:asciiTheme="majorBidi" w:hAnsiTheme="majorBidi" w:cstheme="majorBidi"/>
                <w:color w:val="000000"/>
                <w:sz w:val="16"/>
                <w:szCs w:val="16"/>
              </w:rPr>
              <w:t>1,43-16,26</w:t>
            </w:r>
          </w:p>
        </w:tc>
        <w:tc>
          <w:tcPr>
            <w:tcW w:w="879" w:type="dxa"/>
            <w:vMerge w:val="restart"/>
            <w:vAlign w:val="center"/>
          </w:tcPr>
          <w:p w14:paraId="7AEEA03A" w14:textId="77777777" w:rsidR="00482434" w:rsidRPr="009D32CA" w:rsidRDefault="00482434" w:rsidP="00F22E9F">
            <w:pPr>
              <w:pStyle w:val="DecimalAligned"/>
              <w:spacing w:after="0" w:line="240" w:lineRule="auto"/>
              <w:jc w:val="center"/>
              <w:rPr>
                <w:rFonts w:asciiTheme="majorBidi" w:hAnsiTheme="majorBidi" w:cstheme="majorBidi"/>
                <w:color w:val="FF0000"/>
                <w:sz w:val="16"/>
                <w:szCs w:val="16"/>
              </w:rPr>
            </w:pPr>
          </w:p>
          <w:p w14:paraId="2F85DA7D" w14:textId="77777777" w:rsidR="00482434" w:rsidRPr="009D32CA" w:rsidRDefault="00482434" w:rsidP="00F22E9F">
            <w:pPr>
              <w:pStyle w:val="DecimalAligned"/>
              <w:spacing w:after="0" w:line="240" w:lineRule="auto"/>
              <w:rPr>
                <w:rFonts w:asciiTheme="majorBidi" w:hAnsiTheme="majorBidi" w:cstheme="majorBidi"/>
                <w:sz w:val="16"/>
                <w:szCs w:val="16"/>
              </w:rPr>
            </w:pPr>
            <w:r w:rsidRPr="009D32CA">
              <w:rPr>
                <w:rFonts w:asciiTheme="majorBidi" w:hAnsiTheme="majorBidi" w:cstheme="majorBidi"/>
                <w:sz w:val="16"/>
                <w:szCs w:val="16"/>
              </w:rPr>
              <w:t>0,01</w:t>
            </w:r>
          </w:p>
        </w:tc>
      </w:tr>
      <w:tr w:rsidR="00482434" w:rsidRPr="009D32CA" w14:paraId="6E7CD846" w14:textId="77777777" w:rsidTr="00E233AE">
        <w:trPr>
          <w:jc w:val="center"/>
        </w:trPr>
        <w:tc>
          <w:tcPr>
            <w:tcW w:w="762" w:type="dxa"/>
            <w:vMerge/>
          </w:tcPr>
          <w:p w14:paraId="6E7B2B20"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06325EB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 xml:space="preserve">≥50 </w:t>
            </w:r>
            <w:proofErr w:type="spellStart"/>
            <w:r w:rsidRPr="009D32CA">
              <w:rPr>
                <w:rFonts w:asciiTheme="majorBidi" w:hAnsiTheme="majorBidi" w:cstheme="majorBidi"/>
                <w:sz w:val="16"/>
                <w:szCs w:val="16"/>
              </w:rPr>
              <w:t>ans</w:t>
            </w:r>
            <w:proofErr w:type="spellEnd"/>
          </w:p>
        </w:tc>
        <w:tc>
          <w:tcPr>
            <w:tcW w:w="1011" w:type="dxa"/>
            <w:vMerge/>
          </w:tcPr>
          <w:p w14:paraId="55676DB6"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7BE8CEE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2D569AC9"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5E4D5425" w14:textId="77777777" w:rsidTr="00E233AE">
        <w:trPr>
          <w:jc w:val="center"/>
        </w:trPr>
        <w:tc>
          <w:tcPr>
            <w:tcW w:w="762" w:type="dxa"/>
            <w:vMerge w:val="restart"/>
          </w:tcPr>
          <w:p w14:paraId="4681EBAB"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HTA</w:t>
            </w:r>
          </w:p>
        </w:tc>
        <w:tc>
          <w:tcPr>
            <w:tcW w:w="888" w:type="dxa"/>
          </w:tcPr>
          <w:p w14:paraId="013ACAE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 xml:space="preserve">NON </w:t>
            </w:r>
          </w:p>
        </w:tc>
        <w:tc>
          <w:tcPr>
            <w:tcW w:w="1011" w:type="dxa"/>
            <w:vMerge w:val="restart"/>
          </w:tcPr>
          <w:p w14:paraId="4785BF5A"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710AC09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13.00</w:t>
            </w:r>
          </w:p>
        </w:tc>
        <w:tc>
          <w:tcPr>
            <w:tcW w:w="1133" w:type="dxa"/>
            <w:vMerge w:val="restart"/>
          </w:tcPr>
          <w:p w14:paraId="448ACDC0" w14:textId="77777777" w:rsidR="00482434" w:rsidRPr="009D32CA" w:rsidRDefault="00482434" w:rsidP="00F22E9F">
            <w:pPr>
              <w:spacing w:after="0" w:line="240" w:lineRule="auto"/>
              <w:jc w:val="center"/>
              <w:rPr>
                <w:rFonts w:asciiTheme="majorBidi" w:hAnsiTheme="majorBidi" w:cstheme="majorBidi"/>
                <w:sz w:val="16"/>
                <w:szCs w:val="16"/>
              </w:rPr>
            </w:pPr>
          </w:p>
          <w:p w14:paraId="1C040C7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4.57-  36.96</w:t>
            </w:r>
          </w:p>
        </w:tc>
        <w:tc>
          <w:tcPr>
            <w:tcW w:w="879" w:type="dxa"/>
            <w:vMerge w:val="restart"/>
            <w:vAlign w:val="center"/>
          </w:tcPr>
          <w:p w14:paraId="625E7F7A"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10</w:t>
            </w:r>
            <w:r w:rsidRPr="009D32CA">
              <w:rPr>
                <w:rFonts w:asciiTheme="majorBidi" w:hAnsiTheme="majorBidi" w:cstheme="majorBidi"/>
                <w:sz w:val="16"/>
                <w:szCs w:val="16"/>
                <w:vertAlign w:val="superscript"/>
              </w:rPr>
              <w:t>-3</w:t>
            </w:r>
          </w:p>
        </w:tc>
      </w:tr>
      <w:tr w:rsidR="00482434" w:rsidRPr="009D32CA" w14:paraId="6C13384A" w14:textId="77777777" w:rsidTr="00E233AE">
        <w:trPr>
          <w:jc w:val="center"/>
        </w:trPr>
        <w:tc>
          <w:tcPr>
            <w:tcW w:w="762" w:type="dxa"/>
            <w:vMerge/>
          </w:tcPr>
          <w:p w14:paraId="57A1EDB3"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7A28D932"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OUI</w:t>
            </w:r>
          </w:p>
        </w:tc>
        <w:tc>
          <w:tcPr>
            <w:tcW w:w="1011" w:type="dxa"/>
            <w:vMerge/>
          </w:tcPr>
          <w:p w14:paraId="0C2145F5"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738585F7"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64715D3F"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46C08858" w14:textId="77777777" w:rsidTr="00E233AE">
        <w:trPr>
          <w:jc w:val="center"/>
        </w:trPr>
        <w:tc>
          <w:tcPr>
            <w:tcW w:w="762" w:type="dxa"/>
            <w:vMerge w:val="restart"/>
          </w:tcPr>
          <w:p w14:paraId="38635922"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Ancienneté</w:t>
            </w:r>
            <w:proofErr w:type="spellEnd"/>
            <w:r w:rsidRPr="009D32CA">
              <w:rPr>
                <w:rFonts w:asciiTheme="majorBidi" w:hAnsiTheme="majorBidi" w:cstheme="majorBidi"/>
                <w:sz w:val="16"/>
                <w:szCs w:val="16"/>
              </w:rPr>
              <w:t xml:space="preserve">       HTA</w:t>
            </w:r>
          </w:p>
        </w:tc>
        <w:tc>
          <w:tcPr>
            <w:tcW w:w="888" w:type="dxa"/>
          </w:tcPr>
          <w:p w14:paraId="565F36B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&lt;5</w:t>
            </w:r>
          </w:p>
        </w:tc>
        <w:tc>
          <w:tcPr>
            <w:tcW w:w="1011" w:type="dxa"/>
            <w:vMerge w:val="restart"/>
          </w:tcPr>
          <w:p w14:paraId="1DC290ED"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4C3E9F66"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41,55</w:t>
            </w:r>
          </w:p>
        </w:tc>
        <w:tc>
          <w:tcPr>
            <w:tcW w:w="1133" w:type="dxa"/>
            <w:vMerge w:val="restart"/>
          </w:tcPr>
          <w:p w14:paraId="1975FAF4"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5E290F8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9,08-190,18</w:t>
            </w:r>
          </w:p>
        </w:tc>
        <w:tc>
          <w:tcPr>
            <w:tcW w:w="879" w:type="dxa"/>
            <w:vMerge w:val="restart"/>
            <w:vAlign w:val="center"/>
          </w:tcPr>
          <w:p w14:paraId="684559F3" w14:textId="77777777" w:rsidR="00482434" w:rsidRPr="009D32CA" w:rsidRDefault="00482434" w:rsidP="00F22E9F">
            <w:pPr>
              <w:spacing w:after="0" w:line="240" w:lineRule="auto"/>
              <w:jc w:val="center"/>
              <w:rPr>
                <w:rFonts w:asciiTheme="majorBidi" w:hAnsiTheme="majorBidi" w:cstheme="majorBidi"/>
                <w:color w:val="FF0000"/>
                <w:sz w:val="16"/>
                <w:szCs w:val="16"/>
              </w:rPr>
            </w:pPr>
          </w:p>
          <w:p w14:paraId="4798AA0D"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0,000</w:t>
            </w:r>
          </w:p>
        </w:tc>
      </w:tr>
      <w:tr w:rsidR="00482434" w:rsidRPr="009D32CA" w14:paraId="5FD21161" w14:textId="77777777" w:rsidTr="00E233AE">
        <w:trPr>
          <w:jc w:val="center"/>
        </w:trPr>
        <w:tc>
          <w:tcPr>
            <w:tcW w:w="762" w:type="dxa"/>
            <w:vMerge/>
          </w:tcPr>
          <w:p w14:paraId="633B66B7"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78E07702"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≥5</w:t>
            </w:r>
          </w:p>
        </w:tc>
        <w:tc>
          <w:tcPr>
            <w:tcW w:w="1011" w:type="dxa"/>
            <w:vMerge/>
          </w:tcPr>
          <w:p w14:paraId="56428395"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50BECEB5"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430CDEF4"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332CAF5B" w14:textId="77777777" w:rsidTr="00E233AE">
        <w:trPr>
          <w:jc w:val="center"/>
        </w:trPr>
        <w:tc>
          <w:tcPr>
            <w:tcW w:w="762" w:type="dxa"/>
            <w:vMerge w:val="restart"/>
          </w:tcPr>
          <w:p w14:paraId="18F18EC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PAS</w:t>
            </w:r>
          </w:p>
        </w:tc>
        <w:tc>
          <w:tcPr>
            <w:tcW w:w="888" w:type="dxa"/>
          </w:tcPr>
          <w:p w14:paraId="0600432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&lt;140</w:t>
            </w:r>
          </w:p>
        </w:tc>
        <w:tc>
          <w:tcPr>
            <w:tcW w:w="1011" w:type="dxa"/>
          </w:tcPr>
          <w:p w14:paraId="531C686F"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tc>
        <w:tc>
          <w:tcPr>
            <w:tcW w:w="1133" w:type="dxa"/>
            <w:vMerge w:val="restart"/>
          </w:tcPr>
          <w:p w14:paraId="03DF588C"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2A54ADC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0,18-1,95</w:t>
            </w:r>
          </w:p>
        </w:tc>
        <w:tc>
          <w:tcPr>
            <w:tcW w:w="879" w:type="dxa"/>
            <w:vMerge w:val="restart"/>
            <w:vAlign w:val="center"/>
          </w:tcPr>
          <w:p w14:paraId="0D9A961D" w14:textId="77777777" w:rsidR="00482434" w:rsidRPr="009D32CA" w:rsidRDefault="00482434" w:rsidP="00F22E9F">
            <w:pPr>
              <w:spacing w:after="0" w:line="240" w:lineRule="auto"/>
              <w:jc w:val="center"/>
              <w:rPr>
                <w:rFonts w:asciiTheme="majorBidi" w:hAnsiTheme="majorBidi" w:cstheme="majorBidi"/>
                <w:sz w:val="16"/>
                <w:szCs w:val="16"/>
              </w:rPr>
            </w:pPr>
          </w:p>
          <w:p w14:paraId="7E7D9792"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0.39</w:t>
            </w:r>
          </w:p>
        </w:tc>
      </w:tr>
      <w:tr w:rsidR="00482434" w:rsidRPr="009D32CA" w14:paraId="4ECEF2B7" w14:textId="77777777" w:rsidTr="00E233AE">
        <w:trPr>
          <w:jc w:val="center"/>
        </w:trPr>
        <w:tc>
          <w:tcPr>
            <w:tcW w:w="762" w:type="dxa"/>
            <w:vMerge/>
          </w:tcPr>
          <w:p w14:paraId="544FFE83"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1BE3DA3C"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≥140</w:t>
            </w:r>
          </w:p>
        </w:tc>
        <w:tc>
          <w:tcPr>
            <w:tcW w:w="1011" w:type="dxa"/>
          </w:tcPr>
          <w:p w14:paraId="0F37DFD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0,59</w:t>
            </w:r>
          </w:p>
        </w:tc>
        <w:tc>
          <w:tcPr>
            <w:tcW w:w="1133" w:type="dxa"/>
            <w:vMerge/>
          </w:tcPr>
          <w:p w14:paraId="6D928C0C"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2A13A5DE"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4578FA17" w14:textId="77777777" w:rsidTr="00E233AE">
        <w:trPr>
          <w:jc w:val="center"/>
        </w:trPr>
        <w:tc>
          <w:tcPr>
            <w:tcW w:w="762" w:type="dxa"/>
            <w:vMerge w:val="restart"/>
          </w:tcPr>
          <w:p w14:paraId="744231B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PAD</w:t>
            </w:r>
          </w:p>
        </w:tc>
        <w:tc>
          <w:tcPr>
            <w:tcW w:w="888" w:type="dxa"/>
          </w:tcPr>
          <w:p w14:paraId="2A7B290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&lt;90</w:t>
            </w:r>
          </w:p>
        </w:tc>
        <w:tc>
          <w:tcPr>
            <w:tcW w:w="1011" w:type="dxa"/>
            <w:vMerge w:val="restart"/>
          </w:tcPr>
          <w:p w14:paraId="51E0E34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3B7B10ED"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9.39</w:t>
            </w:r>
          </w:p>
        </w:tc>
        <w:tc>
          <w:tcPr>
            <w:tcW w:w="1133" w:type="dxa"/>
            <w:vMerge w:val="restart"/>
          </w:tcPr>
          <w:p w14:paraId="7B45258B"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26BE3059"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1,79-49,08</w:t>
            </w:r>
          </w:p>
        </w:tc>
        <w:tc>
          <w:tcPr>
            <w:tcW w:w="879" w:type="dxa"/>
            <w:vMerge w:val="restart"/>
            <w:vAlign w:val="center"/>
          </w:tcPr>
          <w:p w14:paraId="69517AB4" w14:textId="77777777" w:rsidR="00482434" w:rsidRPr="009D32CA" w:rsidRDefault="00482434" w:rsidP="00F22E9F">
            <w:pPr>
              <w:spacing w:after="0" w:line="240" w:lineRule="auto"/>
              <w:jc w:val="center"/>
              <w:rPr>
                <w:rFonts w:asciiTheme="majorBidi" w:hAnsiTheme="majorBidi" w:cstheme="majorBidi"/>
                <w:sz w:val="16"/>
                <w:szCs w:val="16"/>
              </w:rPr>
            </w:pPr>
          </w:p>
          <w:p w14:paraId="75DD4A5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0,008</w:t>
            </w:r>
          </w:p>
        </w:tc>
      </w:tr>
      <w:tr w:rsidR="00482434" w:rsidRPr="009D32CA" w14:paraId="3FC71017" w14:textId="77777777" w:rsidTr="00E233AE">
        <w:trPr>
          <w:jc w:val="center"/>
        </w:trPr>
        <w:tc>
          <w:tcPr>
            <w:tcW w:w="762" w:type="dxa"/>
            <w:vMerge/>
          </w:tcPr>
          <w:p w14:paraId="4D1F1727"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3CC801F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≥90</w:t>
            </w:r>
          </w:p>
        </w:tc>
        <w:tc>
          <w:tcPr>
            <w:tcW w:w="1011" w:type="dxa"/>
            <w:vMerge/>
          </w:tcPr>
          <w:p w14:paraId="60014A6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2C906F85"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3C12FED5"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53BD6AC1" w14:textId="77777777" w:rsidTr="00E233AE">
        <w:trPr>
          <w:trHeight w:val="562"/>
          <w:jc w:val="center"/>
        </w:trPr>
        <w:tc>
          <w:tcPr>
            <w:tcW w:w="762" w:type="dxa"/>
            <w:vMerge w:val="restart"/>
          </w:tcPr>
          <w:p w14:paraId="52C10C9C"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BMI</w:t>
            </w:r>
          </w:p>
        </w:tc>
        <w:tc>
          <w:tcPr>
            <w:tcW w:w="888" w:type="dxa"/>
          </w:tcPr>
          <w:p w14:paraId="530D96BC"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18.5-&lt;25</w:t>
            </w:r>
          </w:p>
        </w:tc>
        <w:tc>
          <w:tcPr>
            <w:tcW w:w="1011" w:type="dxa"/>
          </w:tcPr>
          <w:p w14:paraId="4B5C90E0"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tc>
        <w:tc>
          <w:tcPr>
            <w:tcW w:w="1133" w:type="dxa"/>
          </w:tcPr>
          <w:p w14:paraId="392EAE67"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restart"/>
            <w:vAlign w:val="center"/>
          </w:tcPr>
          <w:p w14:paraId="4EE574C4" w14:textId="77777777" w:rsidR="00482434" w:rsidRPr="009D32CA" w:rsidRDefault="00482434" w:rsidP="00F22E9F">
            <w:pPr>
              <w:spacing w:after="0" w:line="240" w:lineRule="auto"/>
              <w:jc w:val="center"/>
              <w:rPr>
                <w:rFonts w:asciiTheme="majorBidi" w:hAnsiTheme="majorBidi" w:cstheme="majorBidi"/>
                <w:color w:val="000000"/>
                <w:sz w:val="16"/>
                <w:szCs w:val="16"/>
              </w:rPr>
            </w:pPr>
            <w:r w:rsidRPr="009D32CA">
              <w:rPr>
                <w:rFonts w:asciiTheme="majorBidi" w:hAnsiTheme="majorBidi" w:cstheme="majorBidi"/>
                <w:color w:val="000000"/>
                <w:sz w:val="16"/>
                <w:szCs w:val="16"/>
              </w:rPr>
              <w:t>0.26</w:t>
            </w:r>
          </w:p>
        </w:tc>
      </w:tr>
      <w:tr w:rsidR="00482434" w:rsidRPr="009D32CA" w14:paraId="4B7C2A54" w14:textId="77777777" w:rsidTr="00E233AE">
        <w:trPr>
          <w:jc w:val="center"/>
        </w:trPr>
        <w:tc>
          <w:tcPr>
            <w:tcW w:w="762" w:type="dxa"/>
            <w:vMerge/>
          </w:tcPr>
          <w:p w14:paraId="24B54901"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59BE6B80"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25-30</w:t>
            </w:r>
          </w:p>
        </w:tc>
        <w:tc>
          <w:tcPr>
            <w:tcW w:w="1011" w:type="dxa"/>
            <w:vMerge w:val="restart"/>
          </w:tcPr>
          <w:p w14:paraId="792EF9EB"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0.53</w:t>
            </w:r>
          </w:p>
        </w:tc>
        <w:tc>
          <w:tcPr>
            <w:tcW w:w="1133" w:type="dxa"/>
            <w:vMerge w:val="restart"/>
          </w:tcPr>
          <w:p w14:paraId="1A36A63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0,17-1,60</w:t>
            </w:r>
          </w:p>
        </w:tc>
        <w:tc>
          <w:tcPr>
            <w:tcW w:w="879" w:type="dxa"/>
            <w:vMerge/>
            <w:vAlign w:val="center"/>
          </w:tcPr>
          <w:p w14:paraId="3D930038"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45B4ABAA" w14:textId="77777777" w:rsidTr="00E233AE">
        <w:trPr>
          <w:jc w:val="center"/>
        </w:trPr>
        <w:tc>
          <w:tcPr>
            <w:tcW w:w="762" w:type="dxa"/>
            <w:vMerge/>
          </w:tcPr>
          <w:p w14:paraId="7570A504"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7D7775BF"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≥30</w:t>
            </w:r>
          </w:p>
        </w:tc>
        <w:tc>
          <w:tcPr>
            <w:tcW w:w="1011" w:type="dxa"/>
            <w:vMerge/>
          </w:tcPr>
          <w:p w14:paraId="6AED24C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26A90B5D"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3E25A841"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7F92A0FC" w14:textId="77777777" w:rsidTr="00E233AE">
        <w:trPr>
          <w:jc w:val="center"/>
        </w:trPr>
        <w:tc>
          <w:tcPr>
            <w:tcW w:w="762" w:type="dxa"/>
            <w:vMerge w:val="restart"/>
          </w:tcPr>
          <w:p w14:paraId="3F2A81BC" w14:textId="77777777" w:rsidR="00482434" w:rsidRPr="005202AA" w:rsidRDefault="00482434" w:rsidP="00F22E9F">
            <w:pPr>
              <w:spacing w:after="0" w:line="240" w:lineRule="auto"/>
              <w:jc w:val="center"/>
              <w:rPr>
                <w:rFonts w:asciiTheme="majorBidi" w:hAnsiTheme="majorBidi" w:cstheme="majorBidi"/>
                <w:sz w:val="16"/>
                <w:szCs w:val="16"/>
                <w:lang w:val="fr-FR"/>
              </w:rPr>
            </w:pPr>
            <w:r w:rsidRPr="005202AA">
              <w:rPr>
                <w:rFonts w:asciiTheme="majorBidi" w:hAnsiTheme="majorBidi" w:cstheme="majorBidi"/>
                <w:sz w:val="16"/>
                <w:szCs w:val="16"/>
                <w:lang w:val="fr-FR"/>
              </w:rPr>
              <w:t>TT/TH</w:t>
            </w:r>
          </w:p>
          <w:p w14:paraId="5CBFCF21" w14:textId="77777777" w:rsidR="00482434" w:rsidRPr="005202AA" w:rsidRDefault="00482434" w:rsidP="00F22E9F">
            <w:pPr>
              <w:spacing w:after="0" w:line="240" w:lineRule="auto"/>
              <w:jc w:val="center"/>
              <w:rPr>
                <w:rFonts w:asciiTheme="majorBidi" w:hAnsiTheme="majorBidi" w:cstheme="majorBidi"/>
                <w:sz w:val="16"/>
                <w:szCs w:val="16"/>
                <w:lang w:val="fr-FR"/>
              </w:rPr>
            </w:pPr>
            <w:r w:rsidRPr="005202AA">
              <w:rPr>
                <w:rFonts w:asciiTheme="majorBidi" w:hAnsiTheme="majorBidi" w:cstheme="majorBidi"/>
                <w:sz w:val="16"/>
                <w:szCs w:val="16"/>
                <w:lang w:val="fr-FR"/>
              </w:rPr>
              <w:t>≥0.95 si H</w:t>
            </w:r>
          </w:p>
          <w:p w14:paraId="457A09EB" w14:textId="77777777" w:rsidR="00482434" w:rsidRPr="005202AA" w:rsidRDefault="00482434" w:rsidP="00F22E9F">
            <w:pPr>
              <w:spacing w:after="0" w:line="240" w:lineRule="auto"/>
              <w:jc w:val="center"/>
              <w:rPr>
                <w:rFonts w:asciiTheme="majorBidi" w:hAnsiTheme="majorBidi" w:cstheme="majorBidi"/>
                <w:sz w:val="16"/>
                <w:szCs w:val="16"/>
                <w:lang w:val="fr-FR"/>
              </w:rPr>
            </w:pPr>
            <w:r w:rsidRPr="005202AA">
              <w:rPr>
                <w:rFonts w:asciiTheme="majorBidi" w:hAnsiTheme="majorBidi" w:cstheme="majorBidi"/>
                <w:sz w:val="16"/>
                <w:szCs w:val="16"/>
                <w:lang w:val="fr-FR"/>
              </w:rPr>
              <w:t>≥0.85 si F</w:t>
            </w:r>
          </w:p>
        </w:tc>
        <w:tc>
          <w:tcPr>
            <w:tcW w:w="888" w:type="dxa"/>
          </w:tcPr>
          <w:p w14:paraId="75DB498B"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Non</w:t>
            </w:r>
          </w:p>
        </w:tc>
        <w:tc>
          <w:tcPr>
            <w:tcW w:w="1011" w:type="dxa"/>
            <w:vMerge w:val="restart"/>
          </w:tcPr>
          <w:p w14:paraId="78A15D2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617F33D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0.51</w:t>
            </w:r>
          </w:p>
        </w:tc>
        <w:tc>
          <w:tcPr>
            <w:tcW w:w="1133" w:type="dxa"/>
            <w:vMerge w:val="restart"/>
          </w:tcPr>
          <w:p w14:paraId="67F40855"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17F08730"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0,17-1,48</w:t>
            </w:r>
          </w:p>
        </w:tc>
        <w:tc>
          <w:tcPr>
            <w:tcW w:w="879" w:type="dxa"/>
            <w:vMerge w:val="restart"/>
            <w:vAlign w:val="center"/>
          </w:tcPr>
          <w:p w14:paraId="017EFBE8"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0.22</w:t>
            </w:r>
          </w:p>
        </w:tc>
      </w:tr>
      <w:tr w:rsidR="00482434" w:rsidRPr="009D32CA" w14:paraId="01946B71" w14:textId="77777777" w:rsidTr="00E233AE">
        <w:trPr>
          <w:jc w:val="center"/>
        </w:trPr>
        <w:tc>
          <w:tcPr>
            <w:tcW w:w="762" w:type="dxa"/>
            <w:vMerge/>
          </w:tcPr>
          <w:p w14:paraId="3736DC1C"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4EA6E73A"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Oui</w:t>
            </w:r>
            <w:proofErr w:type="spellEnd"/>
          </w:p>
        </w:tc>
        <w:tc>
          <w:tcPr>
            <w:tcW w:w="1011" w:type="dxa"/>
            <w:vMerge/>
          </w:tcPr>
          <w:p w14:paraId="740179BA"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77A7D6B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7CE53E50"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6A9917A9" w14:textId="77777777" w:rsidTr="00E233AE">
        <w:trPr>
          <w:jc w:val="center"/>
        </w:trPr>
        <w:tc>
          <w:tcPr>
            <w:tcW w:w="762" w:type="dxa"/>
            <w:vMerge w:val="restart"/>
          </w:tcPr>
          <w:p w14:paraId="35EA8294" w14:textId="77777777" w:rsidR="00482434" w:rsidRPr="009D32CA" w:rsidRDefault="00482434" w:rsidP="00F22E9F">
            <w:pPr>
              <w:autoSpaceDE w:val="0"/>
              <w:autoSpaceDN w:val="0"/>
              <w:adjustRightInd w:val="0"/>
              <w:spacing w:after="0" w:line="240" w:lineRule="auto"/>
              <w:jc w:val="center"/>
              <w:rPr>
                <w:rFonts w:asciiTheme="majorBidi" w:hAnsiTheme="majorBidi" w:cstheme="majorBidi"/>
                <w:color w:val="000000"/>
                <w:sz w:val="16"/>
                <w:szCs w:val="16"/>
              </w:rPr>
            </w:pPr>
            <w:r w:rsidRPr="009D32CA">
              <w:rPr>
                <w:rFonts w:asciiTheme="majorBidi" w:hAnsiTheme="majorBidi" w:cstheme="majorBidi"/>
                <w:color w:val="000000"/>
                <w:sz w:val="16"/>
                <w:szCs w:val="16"/>
              </w:rPr>
              <w:t>score de</w:t>
            </w:r>
          </w:p>
          <w:p w14:paraId="00A027E9"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Framingham</w:t>
            </w:r>
          </w:p>
        </w:tc>
        <w:tc>
          <w:tcPr>
            <w:tcW w:w="888" w:type="dxa"/>
          </w:tcPr>
          <w:p w14:paraId="1B27C0CE"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Faible</w:t>
            </w:r>
            <w:proofErr w:type="spellEnd"/>
          </w:p>
        </w:tc>
        <w:tc>
          <w:tcPr>
            <w:tcW w:w="1011" w:type="dxa"/>
            <w:vMerge w:val="restart"/>
          </w:tcPr>
          <w:p w14:paraId="5F1C6A4A"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60267ADA" w14:textId="77777777" w:rsidR="00482434" w:rsidRPr="009D32CA" w:rsidRDefault="00482434" w:rsidP="00F22E9F">
            <w:pPr>
              <w:spacing w:after="0" w:line="240" w:lineRule="auto"/>
              <w:jc w:val="center"/>
              <w:rPr>
                <w:rFonts w:asciiTheme="majorBidi" w:hAnsiTheme="majorBidi" w:cstheme="majorBidi"/>
                <w:sz w:val="16"/>
                <w:szCs w:val="16"/>
              </w:rPr>
            </w:pPr>
          </w:p>
          <w:p w14:paraId="3F43D6CF"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0.49</w:t>
            </w:r>
          </w:p>
        </w:tc>
        <w:tc>
          <w:tcPr>
            <w:tcW w:w="1133" w:type="dxa"/>
            <w:vMerge w:val="restart"/>
          </w:tcPr>
          <w:p w14:paraId="2894A655" w14:textId="77777777" w:rsidR="00482434" w:rsidRPr="009D32CA" w:rsidRDefault="00482434" w:rsidP="00F22E9F">
            <w:pPr>
              <w:spacing w:after="0" w:line="240" w:lineRule="auto"/>
              <w:jc w:val="center"/>
              <w:rPr>
                <w:rFonts w:asciiTheme="majorBidi" w:hAnsiTheme="majorBidi" w:cstheme="majorBidi"/>
                <w:sz w:val="16"/>
                <w:szCs w:val="16"/>
              </w:rPr>
            </w:pPr>
          </w:p>
          <w:p w14:paraId="69BDCA44" w14:textId="77777777" w:rsidR="00482434" w:rsidRPr="009D32CA" w:rsidRDefault="00482434" w:rsidP="00F22E9F">
            <w:pPr>
              <w:spacing w:after="0" w:line="240" w:lineRule="auto"/>
              <w:jc w:val="center"/>
              <w:rPr>
                <w:rFonts w:asciiTheme="majorBidi" w:hAnsiTheme="majorBidi" w:cstheme="majorBidi"/>
                <w:sz w:val="16"/>
                <w:szCs w:val="16"/>
              </w:rPr>
            </w:pPr>
          </w:p>
          <w:p w14:paraId="3105862B"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0.13-1.79</w:t>
            </w:r>
          </w:p>
        </w:tc>
        <w:tc>
          <w:tcPr>
            <w:tcW w:w="879" w:type="dxa"/>
            <w:vMerge w:val="restart"/>
            <w:vAlign w:val="center"/>
          </w:tcPr>
          <w:p w14:paraId="3BF8F5F0" w14:textId="77777777" w:rsidR="00482434" w:rsidRPr="009D32CA" w:rsidRDefault="00482434" w:rsidP="00F22E9F">
            <w:pPr>
              <w:spacing w:after="0" w:line="240" w:lineRule="auto"/>
              <w:jc w:val="center"/>
              <w:rPr>
                <w:rFonts w:asciiTheme="majorBidi" w:hAnsiTheme="majorBidi" w:cstheme="majorBidi"/>
                <w:sz w:val="16"/>
                <w:szCs w:val="16"/>
              </w:rPr>
            </w:pPr>
          </w:p>
          <w:p w14:paraId="58FFDB9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0.28</w:t>
            </w:r>
          </w:p>
        </w:tc>
      </w:tr>
      <w:tr w:rsidR="00482434" w:rsidRPr="009D32CA" w14:paraId="4318C6E1" w14:textId="77777777" w:rsidTr="00E233AE">
        <w:trPr>
          <w:jc w:val="center"/>
        </w:trPr>
        <w:tc>
          <w:tcPr>
            <w:tcW w:w="762" w:type="dxa"/>
            <w:vMerge/>
          </w:tcPr>
          <w:p w14:paraId="0E2D9161"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052EE7B2"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Intermédiaire</w:t>
            </w:r>
            <w:proofErr w:type="spellEnd"/>
          </w:p>
        </w:tc>
        <w:tc>
          <w:tcPr>
            <w:tcW w:w="1011" w:type="dxa"/>
            <w:vMerge/>
          </w:tcPr>
          <w:p w14:paraId="737B46A4"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5B51FD82"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73774ED9"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4EDE6D09" w14:textId="77777777" w:rsidTr="00E233AE">
        <w:trPr>
          <w:trHeight w:val="572"/>
          <w:jc w:val="center"/>
        </w:trPr>
        <w:tc>
          <w:tcPr>
            <w:tcW w:w="762" w:type="dxa"/>
            <w:vMerge w:val="restart"/>
          </w:tcPr>
          <w:p w14:paraId="28927CE2"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Activité</w:t>
            </w:r>
            <w:proofErr w:type="spellEnd"/>
            <w:r w:rsidRPr="009D32CA">
              <w:rPr>
                <w:rFonts w:asciiTheme="majorBidi" w:hAnsiTheme="majorBidi" w:cstheme="majorBidi"/>
                <w:sz w:val="16"/>
                <w:szCs w:val="16"/>
              </w:rPr>
              <w:t xml:space="preserve">       physique</w:t>
            </w:r>
          </w:p>
        </w:tc>
        <w:tc>
          <w:tcPr>
            <w:tcW w:w="888" w:type="dxa"/>
          </w:tcPr>
          <w:p w14:paraId="16CDA719"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Légère</w:t>
            </w:r>
            <w:proofErr w:type="spellEnd"/>
            <w:r w:rsidRPr="009D32CA">
              <w:rPr>
                <w:rFonts w:asciiTheme="majorBidi" w:hAnsiTheme="majorBidi" w:cstheme="majorBidi"/>
                <w:sz w:val="16"/>
                <w:szCs w:val="16"/>
              </w:rPr>
              <w:t xml:space="preserve"> à </w:t>
            </w:r>
            <w:proofErr w:type="spellStart"/>
            <w:r w:rsidRPr="009D32CA">
              <w:rPr>
                <w:rFonts w:asciiTheme="majorBidi" w:hAnsiTheme="majorBidi" w:cstheme="majorBidi"/>
                <w:sz w:val="16"/>
                <w:szCs w:val="16"/>
              </w:rPr>
              <w:t>modérée</w:t>
            </w:r>
            <w:proofErr w:type="spellEnd"/>
            <w:r w:rsidRPr="009D32CA">
              <w:rPr>
                <w:rFonts w:asciiTheme="majorBidi" w:hAnsiTheme="majorBidi" w:cstheme="majorBidi"/>
                <w:sz w:val="16"/>
                <w:szCs w:val="16"/>
              </w:rPr>
              <w:t xml:space="preserve"> </w:t>
            </w:r>
          </w:p>
        </w:tc>
        <w:tc>
          <w:tcPr>
            <w:tcW w:w="1011" w:type="dxa"/>
            <w:vMerge w:val="restart"/>
          </w:tcPr>
          <w:p w14:paraId="6A901803" w14:textId="77777777" w:rsidR="00482434" w:rsidRPr="009D32CA" w:rsidRDefault="00482434" w:rsidP="00F22E9F">
            <w:pPr>
              <w:spacing w:after="0" w:line="240" w:lineRule="auto"/>
              <w:jc w:val="center"/>
              <w:rPr>
                <w:rFonts w:asciiTheme="majorBidi" w:hAnsiTheme="majorBidi" w:cstheme="majorBidi"/>
                <w:sz w:val="16"/>
                <w:szCs w:val="16"/>
              </w:rPr>
            </w:pPr>
          </w:p>
          <w:p w14:paraId="34F6123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5F24B93E" w14:textId="77777777" w:rsidR="00482434" w:rsidRPr="009D32CA" w:rsidRDefault="00482434" w:rsidP="00F22E9F">
            <w:pPr>
              <w:spacing w:after="0" w:line="240" w:lineRule="auto"/>
              <w:jc w:val="center"/>
              <w:rPr>
                <w:rFonts w:asciiTheme="majorBidi" w:hAnsiTheme="majorBidi" w:cstheme="majorBidi"/>
                <w:sz w:val="16"/>
                <w:szCs w:val="16"/>
              </w:rPr>
            </w:pPr>
          </w:p>
          <w:p w14:paraId="1EE3586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21.56</w:t>
            </w:r>
          </w:p>
        </w:tc>
        <w:tc>
          <w:tcPr>
            <w:tcW w:w="1133" w:type="dxa"/>
            <w:vMerge w:val="restart"/>
          </w:tcPr>
          <w:p w14:paraId="12C2B824" w14:textId="77777777" w:rsidR="00482434" w:rsidRPr="009D32CA" w:rsidRDefault="00482434" w:rsidP="00F22E9F">
            <w:pPr>
              <w:spacing w:after="0" w:line="240" w:lineRule="auto"/>
              <w:jc w:val="center"/>
              <w:rPr>
                <w:rFonts w:asciiTheme="majorBidi" w:hAnsiTheme="majorBidi" w:cstheme="majorBidi"/>
                <w:sz w:val="16"/>
                <w:szCs w:val="16"/>
              </w:rPr>
            </w:pPr>
          </w:p>
          <w:p w14:paraId="531EFF50" w14:textId="77777777" w:rsidR="00482434" w:rsidRPr="009D32CA" w:rsidRDefault="00482434" w:rsidP="00F22E9F">
            <w:pPr>
              <w:spacing w:after="0" w:line="240" w:lineRule="auto"/>
              <w:jc w:val="center"/>
              <w:rPr>
                <w:rFonts w:asciiTheme="majorBidi" w:hAnsiTheme="majorBidi" w:cstheme="majorBidi"/>
                <w:sz w:val="16"/>
                <w:szCs w:val="16"/>
              </w:rPr>
            </w:pPr>
          </w:p>
          <w:p w14:paraId="67358FC7" w14:textId="77777777" w:rsidR="00482434" w:rsidRPr="009D32CA" w:rsidRDefault="00482434" w:rsidP="00F22E9F">
            <w:pPr>
              <w:spacing w:after="0" w:line="240" w:lineRule="auto"/>
              <w:jc w:val="center"/>
              <w:rPr>
                <w:rFonts w:asciiTheme="majorBidi" w:hAnsiTheme="majorBidi" w:cstheme="majorBidi"/>
                <w:sz w:val="16"/>
                <w:szCs w:val="16"/>
              </w:rPr>
            </w:pPr>
          </w:p>
          <w:p w14:paraId="0CD9BED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2.06-214.86</w:t>
            </w:r>
          </w:p>
        </w:tc>
        <w:tc>
          <w:tcPr>
            <w:tcW w:w="879" w:type="dxa"/>
            <w:vMerge w:val="restart"/>
            <w:vAlign w:val="center"/>
          </w:tcPr>
          <w:p w14:paraId="187A9652" w14:textId="77777777" w:rsidR="00482434" w:rsidRPr="009D32CA" w:rsidRDefault="00482434" w:rsidP="00F22E9F">
            <w:pPr>
              <w:spacing w:after="0" w:line="240" w:lineRule="auto"/>
              <w:rPr>
                <w:rFonts w:asciiTheme="majorBidi" w:hAnsiTheme="majorBidi" w:cstheme="majorBidi"/>
                <w:sz w:val="16"/>
                <w:szCs w:val="16"/>
              </w:rPr>
            </w:pPr>
          </w:p>
          <w:p w14:paraId="31E59052" w14:textId="77777777" w:rsidR="00482434" w:rsidRPr="009D32CA" w:rsidRDefault="00482434" w:rsidP="00F22E9F">
            <w:pPr>
              <w:spacing w:after="0" w:line="240" w:lineRule="auto"/>
              <w:rPr>
                <w:rFonts w:asciiTheme="majorBidi" w:hAnsiTheme="majorBidi" w:cstheme="majorBidi"/>
                <w:sz w:val="16"/>
                <w:szCs w:val="16"/>
              </w:rPr>
            </w:pPr>
            <w:r w:rsidRPr="009D32CA">
              <w:rPr>
                <w:rFonts w:asciiTheme="majorBidi" w:hAnsiTheme="majorBidi" w:cstheme="majorBidi"/>
                <w:sz w:val="16"/>
                <w:szCs w:val="16"/>
              </w:rPr>
              <w:t>0.009</w:t>
            </w:r>
          </w:p>
        </w:tc>
      </w:tr>
      <w:tr w:rsidR="00482434" w:rsidRPr="009D32CA" w14:paraId="2D021561" w14:textId="77777777" w:rsidTr="00E233AE">
        <w:trPr>
          <w:jc w:val="center"/>
        </w:trPr>
        <w:tc>
          <w:tcPr>
            <w:tcW w:w="762" w:type="dxa"/>
            <w:vMerge/>
          </w:tcPr>
          <w:p w14:paraId="4609C48A"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7FC5CCE7"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Aucune</w:t>
            </w:r>
            <w:proofErr w:type="spellEnd"/>
          </w:p>
        </w:tc>
        <w:tc>
          <w:tcPr>
            <w:tcW w:w="1011" w:type="dxa"/>
            <w:vMerge/>
          </w:tcPr>
          <w:p w14:paraId="6252B3E6"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19CC73AC"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537E3D4A"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58A249B3" w14:textId="77777777" w:rsidTr="00E233AE">
        <w:trPr>
          <w:jc w:val="center"/>
        </w:trPr>
        <w:tc>
          <w:tcPr>
            <w:tcW w:w="762" w:type="dxa"/>
            <w:vMerge w:val="restart"/>
          </w:tcPr>
          <w:p w14:paraId="43FAE761"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Glycémie</w:t>
            </w:r>
            <w:proofErr w:type="spellEnd"/>
          </w:p>
        </w:tc>
        <w:tc>
          <w:tcPr>
            <w:tcW w:w="888" w:type="dxa"/>
          </w:tcPr>
          <w:p w14:paraId="0B8B5679"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Normale</w:t>
            </w:r>
            <w:proofErr w:type="spellEnd"/>
          </w:p>
        </w:tc>
        <w:tc>
          <w:tcPr>
            <w:tcW w:w="1011" w:type="dxa"/>
            <w:vMerge w:val="restart"/>
          </w:tcPr>
          <w:p w14:paraId="7B81187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2293F255"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0.44</w:t>
            </w:r>
          </w:p>
        </w:tc>
        <w:tc>
          <w:tcPr>
            <w:tcW w:w="1133" w:type="dxa"/>
            <w:vMerge w:val="restart"/>
          </w:tcPr>
          <w:p w14:paraId="20C478C7" w14:textId="77777777" w:rsidR="00482434" w:rsidRPr="009D32CA" w:rsidRDefault="00482434" w:rsidP="00F22E9F">
            <w:pPr>
              <w:spacing w:after="0" w:line="240" w:lineRule="auto"/>
              <w:jc w:val="center"/>
              <w:rPr>
                <w:rFonts w:asciiTheme="majorBidi" w:hAnsiTheme="majorBidi" w:cstheme="majorBidi"/>
                <w:sz w:val="16"/>
                <w:szCs w:val="16"/>
              </w:rPr>
            </w:pPr>
          </w:p>
          <w:p w14:paraId="2C5A323A"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0.09-2.07</w:t>
            </w:r>
          </w:p>
        </w:tc>
        <w:tc>
          <w:tcPr>
            <w:tcW w:w="879" w:type="dxa"/>
            <w:vMerge w:val="restart"/>
            <w:vAlign w:val="center"/>
          </w:tcPr>
          <w:p w14:paraId="1B459CEF"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0.30</w:t>
            </w:r>
          </w:p>
        </w:tc>
      </w:tr>
      <w:tr w:rsidR="00482434" w:rsidRPr="009D32CA" w14:paraId="0B63C434" w14:textId="77777777" w:rsidTr="00E233AE">
        <w:trPr>
          <w:jc w:val="center"/>
        </w:trPr>
        <w:tc>
          <w:tcPr>
            <w:tcW w:w="762" w:type="dxa"/>
            <w:vMerge/>
          </w:tcPr>
          <w:p w14:paraId="64F23FCD"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3C868B4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Prédiabète</w:t>
            </w:r>
          </w:p>
        </w:tc>
        <w:tc>
          <w:tcPr>
            <w:tcW w:w="1011" w:type="dxa"/>
            <w:vMerge/>
          </w:tcPr>
          <w:p w14:paraId="109989D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6D49EAA6"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47BBD193"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146BDCB6" w14:textId="77777777" w:rsidTr="00E233AE">
        <w:trPr>
          <w:jc w:val="center"/>
        </w:trPr>
        <w:tc>
          <w:tcPr>
            <w:tcW w:w="762" w:type="dxa"/>
            <w:vMerge w:val="restart"/>
          </w:tcPr>
          <w:p w14:paraId="0D6AC387"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ATCD F</w:t>
            </w:r>
          </w:p>
          <w:p w14:paraId="53DBD434"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d’HTA</w:t>
            </w:r>
            <w:proofErr w:type="spellEnd"/>
          </w:p>
        </w:tc>
        <w:tc>
          <w:tcPr>
            <w:tcW w:w="888" w:type="dxa"/>
          </w:tcPr>
          <w:p w14:paraId="3368B7A4"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Non</w:t>
            </w:r>
          </w:p>
        </w:tc>
        <w:tc>
          <w:tcPr>
            <w:tcW w:w="1011" w:type="dxa"/>
            <w:vMerge w:val="restart"/>
          </w:tcPr>
          <w:p w14:paraId="5359E5D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3AD466F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2.11</w:t>
            </w:r>
          </w:p>
        </w:tc>
        <w:tc>
          <w:tcPr>
            <w:tcW w:w="1133" w:type="dxa"/>
            <w:vMerge w:val="restart"/>
          </w:tcPr>
          <w:p w14:paraId="017DF79B" w14:textId="77777777" w:rsidR="00482434" w:rsidRPr="009D32CA" w:rsidRDefault="00482434" w:rsidP="00F22E9F">
            <w:pPr>
              <w:spacing w:after="0" w:line="240" w:lineRule="auto"/>
              <w:jc w:val="center"/>
              <w:rPr>
                <w:rFonts w:asciiTheme="majorBidi" w:hAnsiTheme="majorBidi" w:cstheme="majorBidi"/>
                <w:color w:val="000000"/>
                <w:sz w:val="16"/>
                <w:szCs w:val="16"/>
              </w:rPr>
            </w:pPr>
          </w:p>
          <w:p w14:paraId="5890B6CB"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color w:val="000000"/>
                <w:sz w:val="16"/>
                <w:szCs w:val="16"/>
              </w:rPr>
              <w:t>0.74- 5.97</w:t>
            </w:r>
          </w:p>
        </w:tc>
        <w:tc>
          <w:tcPr>
            <w:tcW w:w="879" w:type="dxa"/>
            <w:vMerge w:val="restart"/>
            <w:vAlign w:val="center"/>
          </w:tcPr>
          <w:p w14:paraId="42C18082"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0.15</w:t>
            </w:r>
          </w:p>
        </w:tc>
      </w:tr>
      <w:tr w:rsidR="00482434" w:rsidRPr="009D32CA" w14:paraId="0F9236AA" w14:textId="77777777" w:rsidTr="00E233AE">
        <w:trPr>
          <w:jc w:val="center"/>
        </w:trPr>
        <w:tc>
          <w:tcPr>
            <w:tcW w:w="762" w:type="dxa"/>
            <w:vMerge/>
          </w:tcPr>
          <w:p w14:paraId="08FEF1A9"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37899512" w14:textId="77777777" w:rsidR="00482434" w:rsidRPr="009D32CA" w:rsidRDefault="00482434" w:rsidP="00F22E9F">
            <w:pPr>
              <w:spacing w:after="0"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Oui</w:t>
            </w:r>
            <w:proofErr w:type="spellEnd"/>
          </w:p>
        </w:tc>
        <w:tc>
          <w:tcPr>
            <w:tcW w:w="1011" w:type="dxa"/>
            <w:vMerge/>
          </w:tcPr>
          <w:p w14:paraId="3428A19E" w14:textId="77777777" w:rsidR="00482434" w:rsidRPr="009D32CA" w:rsidRDefault="00482434" w:rsidP="00F22E9F">
            <w:pPr>
              <w:spacing w:after="0" w:line="240" w:lineRule="auto"/>
              <w:jc w:val="center"/>
              <w:rPr>
                <w:rFonts w:asciiTheme="majorBidi" w:hAnsiTheme="majorBidi" w:cstheme="majorBidi"/>
                <w:sz w:val="16"/>
                <w:szCs w:val="16"/>
              </w:rPr>
            </w:pPr>
          </w:p>
        </w:tc>
        <w:tc>
          <w:tcPr>
            <w:tcW w:w="1133" w:type="dxa"/>
            <w:vMerge/>
          </w:tcPr>
          <w:p w14:paraId="15CCE838"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79" w:type="dxa"/>
            <w:vMerge/>
            <w:vAlign w:val="center"/>
          </w:tcPr>
          <w:p w14:paraId="70F55A32" w14:textId="77777777" w:rsidR="00482434" w:rsidRPr="009D32CA" w:rsidRDefault="00482434" w:rsidP="00F22E9F">
            <w:pPr>
              <w:spacing w:after="0" w:line="240" w:lineRule="auto"/>
              <w:jc w:val="center"/>
              <w:rPr>
                <w:rFonts w:asciiTheme="majorBidi" w:hAnsiTheme="majorBidi" w:cstheme="majorBidi"/>
                <w:sz w:val="16"/>
                <w:szCs w:val="16"/>
              </w:rPr>
            </w:pPr>
          </w:p>
        </w:tc>
      </w:tr>
      <w:tr w:rsidR="00482434" w:rsidRPr="009D32CA" w14:paraId="0426B63C" w14:textId="77777777" w:rsidTr="00E233AE">
        <w:trPr>
          <w:jc w:val="center"/>
        </w:trPr>
        <w:tc>
          <w:tcPr>
            <w:tcW w:w="762" w:type="dxa"/>
            <w:vMerge w:val="restart"/>
          </w:tcPr>
          <w:p w14:paraId="7747CD07"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ATCD F</w:t>
            </w:r>
          </w:p>
          <w:p w14:paraId="18918B5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 xml:space="preserve">de </w:t>
            </w:r>
            <w:proofErr w:type="spellStart"/>
            <w:r w:rsidRPr="009D32CA">
              <w:rPr>
                <w:rFonts w:asciiTheme="majorBidi" w:hAnsiTheme="majorBidi" w:cstheme="majorBidi"/>
                <w:sz w:val="16"/>
                <w:szCs w:val="16"/>
              </w:rPr>
              <w:t>diabète</w:t>
            </w:r>
            <w:proofErr w:type="spellEnd"/>
          </w:p>
        </w:tc>
        <w:tc>
          <w:tcPr>
            <w:tcW w:w="888" w:type="dxa"/>
          </w:tcPr>
          <w:p w14:paraId="229C588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Non</w:t>
            </w:r>
          </w:p>
        </w:tc>
        <w:tc>
          <w:tcPr>
            <w:tcW w:w="1011" w:type="dxa"/>
            <w:vMerge w:val="restart"/>
          </w:tcPr>
          <w:p w14:paraId="62FC5861"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1</w:t>
            </w:r>
          </w:p>
          <w:p w14:paraId="05D76353"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2.87</w:t>
            </w:r>
          </w:p>
        </w:tc>
        <w:tc>
          <w:tcPr>
            <w:tcW w:w="1133" w:type="dxa"/>
            <w:vMerge w:val="restart"/>
          </w:tcPr>
          <w:p w14:paraId="330A11B6" w14:textId="77777777" w:rsidR="00482434" w:rsidRPr="009D32CA" w:rsidRDefault="00482434" w:rsidP="00F22E9F">
            <w:pPr>
              <w:spacing w:after="0" w:line="240" w:lineRule="auto"/>
              <w:jc w:val="center"/>
              <w:rPr>
                <w:rFonts w:asciiTheme="majorBidi" w:hAnsiTheme="majorBidi" w:cstheme="majorBidi"/>
                <w:sz w:val="16"/>
                <w:szCs w:val="16"/>
              </w:rPr>
            </w:pPr>
          </w:p>
          <w:p w14:paraId="2456538D"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0.93-8.88</w:t>
            </w:r>
          </w:p>
        </w:tc>
        <w:tc>
          <w:tcPr>
            <w:tcW w:w="879" w:type="dxa"/>
            <w:vMerge w:val="restart"/>
            <w:vAlign w:val="center"/>
          </w:tcPr>
          <w:p w14:paraId="1ED0194C" w14:textId="77777777" w:rsidR="00482434" w:rsidRPr="009D32CA" w:rsidRDefault="00482434" w:rsidP="00F22E9F">
            <w:pPr>
              <w:spacing w:after="0" w:line="240" w:lineRule="auto"/>
              <w:jc w:val="center"/>
              <w:rPr>
                <w:rFonts w:asciiTheme="majorBidi" w:hAnsiTheme="majorBidi" w:cstheme="majorBidi"/>
                <w:sz w:val="16"/>
                <w:szCs w:val="16"/>
              </w:rPr>
            </w:pPr>
          </w:p>
          <w:p w14:paraId="3067409E" w14:textId="77777777" w:rsidR="00482434" w:rsidRPr="009D32CA" w:rsidRDefault="00482434" w:rsidP="00F22E9F">
            <w:pPr>
              <w:spacing w:after="0" w:line="240" w:lineRule="auto"/>
              <w:jc w:val="center"/>
              <w:rPr>
                <w:rFonts w:asciiTheme="majorBidi" w:hAnsiTheme="majorBidi" w:cstheme="majorBidi"/>
                <w:sz w:val="16"/>
                <w:szCs w:val="16"/>
              </w:rPr>
            </w:pPr>
            <w:r w:rsidRPr="009D32CA">
              <w:rPr>
                <w:rFonts w:asciiTheme="majorBidi" w:hAnsiTheme="majorBidi" w:cstheme="majorBidi"/>
                <w:sz w:val="16"/>
                <w:szCs w:val="16"/>
              </w:rPr>
              <w:t>0.06</w:t>
            </w:r>
          </w:p>
        </w:tc>
      </w:tr>
      <w:tr w:rsidR="00482434" w:rsidRPr="009D32CA" w14:paraId="10C8AA38" w14:textId="77777777" w:rsidTr="00E233AE">
        <w:trPr>
          <w:jc w:val="center"/>
        </w:trPr>
        <w:tc>
          <w:tcPr>
            <w:tcW w:w="762" w:type="dxa"/>
            <w:vMerge/>
          </w:tcPr>
          <w:p w14:paraId="5C29BE30" w14:textId="77777777" w:rsidR="00482434" w:rsidRPr="009D32CA" w:rsidRDefault="00482434" w:rsidP="00F22E9F">
            <w:pPr>
              <w:spacing w:after="0" w:line="240" w:lineRule="auto"/>
              <w:jc w:val="center"/>
              <w:rPr>
                <w:rFonts w:asciiTheme="majorBidi" w:hAnsiTheme="majorBidi" w:cstheme="majorBidi"/>
                <w:sz w:val="16"/>
                <w:szCs w:val="16"/>
              </w:rPr>
            </w:pPr>
          </w:p>
        </w:tc>
        <w:tc>
          <w:tcPr>
            <w:tcW w:w="888" w:type="dxa"/>
          </w:tcPr>
          <w:p w14:paraId="48721F96" w14:textId="77777777" w:rsidR="00482434" w:rsidRPr="009D32CA" w:rsidRDefault="00482434" w:rsidP="00F22E9F">
            <w:pPr>
              <w:spacing w:line="240" w:lineRule="auto"/>
              <w:jc w:val="center"/>
              <w:rPr>
                <w:rFonts w:asciiTheme="majorBidi" w:hAnsiTheme="majorBidi" w:cstheme="majorBidi"/>
                <w:sz w:val="16"/>
                <w:szCs w:val="16"/>
              </w:rPr>
            </w:pPr>
            <w:proofErr w:type="spellStart"/>
            <w:r w:rsidRPr="009D32CA">
              <w:rPr>
                <w:rFonts w:asciiTheme="majorBidi" w:hAnsiTheme="majorBidi" w:cstheme="majorBidi"/>
                <w:sz w:val="16"/>
                <w:szCs w:val="16"/>
              </w:rPr>
              <w:t>Oui</w:t>
            </w:r>
            <w:proofErr w:type="spellEnd"/>
          </w:p>
        </w:tc>
        <w:tc>
          <w:tcPr>
            <w:tcW w:w="1011" w:type="dxa"/>
            <w:vMerge/>
          </w:tcPr>
          <w:p w14:paraId="5D32A9C3" w14:textId="77777777" w:rsidR="00482434" w:rsidRPr="009D32CA" w:rsidRDefault="00482434" w:rsidP="00F22E9F">
            <w:pPr>
              <w:spacing w:line="240" w:lineRule="auto"/>
              <w:jc w:val="center"/>
              <w:rPr>
                <w:rFonts w:asciiTheme="majorBidi" w:hAnsiTheme="majorBidi" w:cstheme="majorBidi"/>
                <w:sz w:val="16"/>
                <w:szCs w:val="16"/>
              </w:rPr>
            </w:pPr>
          </w:p>
        </w:tc>
        <w:tc>
          <w:tcPr>
            <w:tcW w:w="1133" w:type="dxa"/>
            <w:vMerge/>
          </w:tcPr>
          <w:p w14:paraId="7BA789BC" w14:textId="77777777" w:rsidR="00482434" w:rsidRPr="009D32CA" w:rsidRDefault="00482434" w:rsidP="00F22E9F">
            <w:pPr>
              <w:spacing w:line="240" w:lineRule="auto"/>
              <w:jc w:val="center"/>
              <w:rPr>
                <w:rFonts w:asciiTheme="majorBidi" w:hAnsiTheme="majorBidi" w:cstheme="majorBidi"/>
                <w:sz w:val="16"/>
                <w:szCs w:val="16"/>
              </w:rPr>
            </w:pPr>
          </w:p>
        </w:tc>
        <w:tc>
          <w:tcPr>
            <w:tcW w:w="879" w:type="dxa"/>
            <w:vMerge/>
            <w:vAlign w:val="center"/>
          </w:tcPr>
          <w:p w14:paraId="655BE0B7" w14:textId="77777777" w:rsidR="00482434" w:rsidRPr="009D32CA" w:rsidRDefault="00482434" w:rsidP="00F22E9F">
            <w:pPr>
              <w:spacing w:line="240" w:lineRule="auto"/>
              <w:jc w:val="center"/>
              <w:rPr>
                <w:rFonts w:asciiTheme="majorBidi" w:hAnsiTheme="majorBidi" w:cstheme="majorBidi"/>
                <w:sz w:val="16"/>
                <w:szCs w:val="16"/>
              </w:rPr>
            </w:pPr>
          </w:p>
        </w:tc>
      </w:tr>
    </w:tbl>
    <w:p w14:paraId="275A47CD" w14:textId="0BC14CF3" w:rsidR="00E56282" w:rsidRPr="00C62E2E" w:rsidRDefault="00E56282" w:rsidP="004A7CF9">
      <w:pPr>
        <w:pStyle w:val="Els-body-text"/>
        <w:ind w:firstLine="0"/>
        <w:rPr>
          <w:sz w:val="20"/>
        </w:rPr>
      </w:pPr>
    </w:p>
    <w:p w14:paraId="4D815DE9" w14:textId="3C2D233D" w:rsidR="00E56282" w:rsidRDefault="00E56282" w:rsidP="00185B02">
      <w:pPr>
        <w:pStyle w:val="Els-1storder-head"/>
        <w:numPr>
          <w:ilvl w:val="0"/>
          <w:numId w:val="0"/>
        </w:numPr>
        <w:rPr>
          <w:sz w:val="20"/>
        </w:rPr>
      </w:pPr>
      <w:r w:rsidRPr="00C62E2E">
        <w:rPr>
          <w:sz w:val="20"/>
        </w:rPr>
        <w:t>Discussion</w:t>
      </w:r>
    </w:p>
    <w:p w14:paraId="4333ECBF" w14:textId="77777777" w:rsidR="00D315FE" w:rsidRPr="005202AA" w:rsidRDefault="00D315FE" w:rsidP="00D315FE">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color w:val="000000" w:themeColor="text1"/>
          <w:sz w:val="20"/>
          <w:szCs w:val="20"/>
          <w:lang w:val="fr-FR"/>
        </w:rPr>
        <w:t xml:space="preserve">Notre étude avait pour objectif </w:t>
      </w:r>
      <w:proofErr w:type="spellStart"/>
      <w:r w:rsidRPr="005202AA">
        <w:rPr>
          <w:rFonts w:asciiTheme="majorBidi" w:hAnsiTheme="majorBidi" w:cstheme="majorBidi"/>
          <w:color w:val="000000" w:themeColor="text1"/>
          <w:sz w:val="20"/>
          <w:szCs w:val="20"/>
          <w:lang w:val="fr-FR"/>
        </w:rPr>
        <w:t>pricipal</w:t>
      </w:r>
      <w:proofErr w:type="spellEnd"/>
      <w:r w:rsidRPr="005202AA">
        <w:rPr>
          <w:rFonts w:asciiTheme="majorBidi" w:hAnsiTheme="majorBidi" w:cstheme="majorBidi"/>
          <w:color w:val="000000" w:themeColor="text1"/>
          <w:sz w:val="20"/>
          <w:szCs w:val="20"/>
          <w:lang w:val="fr-FR"/>
        </w:rPr>
        <w:t xml:space="preserve"> d’identifier les facteurs prédictifs d’une VOP élevée chez les sujets asymptomatiques.</w:t>
      </w:r>
      <w:r w:rsidRPr="005202AA">
        <w:rPr>
          <w:rFonts w:asciiTheme="majorBidi" w:hAnsiTheme="majorBidi" w:cstheme="majorBidi"/>
          <w:sz w:val="20"/>
          <w:szCs w:val="20"/>
          <w:lang w:val="fr-FR"/>
        </w:rPr>
        <w:t xml:space="preserve"> </w:t>
      </w:r>
    </w:p>
    <w:p w14:paraId="50063603" w14:textId="77777777" w:rsidR="005202AA" w:rsidRDefault="005202AA" w:rsidP="00D315FE">
      <w:pPr>
        <w:spacing w:after="0" w:line="240" w:lineRule="auto"/>
        <w:jc w:val="both"/>
        <w:rPr>
          <w:rFonts w:asciiTheme="majorBidi" w:hAnsiTheme="majorBidi" w:cstheme="majorBidi"/>
          <w:b/>
          <w:bCs/>
          <w:color w:val="000000" w:themeColor="text1"/>
          <w:sz w:val="20"/>
          <w:szCs w:val="20"/>
          <w:lang w:val="fr-FR"/>
        </w:rPr>
      </w:pPr>
    </w:p>
    <w:p w14:paraId="3A0E21AC" w14:textId="513A98D6" w:rsidR="00D315FE" w:rsidRPr="005202AA" w:rsidRDefault="00D315FE" w:rsidP="00D315FE">
      <w:pPr>
        <w:spacing w:after="0" w:line="240" w:lineRule="auto"/>
        <w:jc w:val="both"/>
        <w:rPr>
          <w:rFonts w:asciiTheme="majorBidi" w:eastAsia="Times New Roman" w:hAnsiTheme="majorBidi" w:cstheme="majorBidi"/>
          <w:sz w:val="20"/>
          <w:szCs w:val="20"/>
          <w:lang w:val="fr-FR"/>
        </w:rPr>
      </w:pPr>
      <w:r w:rsidRPr="005202AA">
        <w:rPr>
          <w:rFonts w:asciiTheme="majorBidi" w:hAnsiTheme="majorBidi" w:cstheme="majorBidi"/>
          <w:b/>
          <w:bCs/>
          <w:color w:val="000000" w:themeColor="text1"/>
          <w:sz w:val="20"/>
          <w:szCs w:val="20"/>
          <w:lang w:val="fr-FR"/>
        </w:rPr>
        <w:t>Caractéristiques de la population d’étude</w:t>
      </w:r>
      <w:r w:rsidRPr="005202AA">
        <w:rPr>
          <w:rFonts w:asciiTheme="majorBidi" w:hAnsiTheme="majorBidi" w:cstheme="majorBidi"/>
          <w:color w:val="000000" w:themeColor="text1"/>
          <w:sz w:val="20"/>
          <w:szCs w:val="20"/>
          <w:lang w:val="fr-FR"/>
        </w:rPr>
        <w:t> :  l’âge moyen était de </w:t>
      </w:r>
      <w:r w:rsidRPr="005202AA">
        <w:rPr>
          <w:rFonts w:asciiTheme="majorBidi" w:hAnsiTheme="majorBidi" w:cstheme="majorBidi"/>
          <w:sz w:val="20"/>
          <w:szCs w:val="20"/>
          <w:lang w:val="fr-FR"/>
        </w:rPr>
        <w:t>41,83±12,84 ans avec une étendue allant de 20 ans à 74 ans et un âge médian de 42 ans.</w:t>
      </w:r>
      <w:r w:rsidRPr="005202AA">
        <w:rPr>
          <w:rFonts w:asciiTheme="majorBidi" w:hAnsiTheme="majorBidi" w:cstheme="majorBidi"/>
          <w:color w:val="000000" w:themeColor="text1"/>
          <w:sz w:val="20"/>
          <w:szCs w:val="20"/>
          <w:lang w:val="fr-FR"/>
        </w:rPr>
        <w:t xml:space="preserve"> Nous avions une prédominance masculine. </w:t>
      </w:r>
    </w:p>
    <w:p w14:paraId="4B2E857F" w14:textId="45446D7A" w:rsidR="00D315FE" w:rsidRPr="005202AA" w:rsidRDefault="00D315FE" w:rsidP="00D315FE">
      <w:pPr>
        <w:autoSpaceDE w:val="0"/>
        <w:autoSpaceDN w:val="0"/>
        <w:adjustRightInd w:val="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color w:val="000000" w:themeColor="text1"/>
          <w:sz w:val="20"/>
          <w:szCs w:val="20"/>
          <w:lang w:val="fr-FR"/>
        </w:rPr>
        <w:t>Dans notre travail, nous avons inclus des adultes jeunes (âge moyen de </w:t>
      </w:r>
      <w:r w:rsidRPr="005202AA">
        <w:rPr>
          <w:rFonts w:asciiTheme="majorBidi" w:hAnsiTheme="majorBidi" w:cstheme="majorBidi"/>
          <w:sz w:val="20"/>
          <w:szCs w:val="20"/>
          <w:lang w:val="fr-FR"/>
        </w:rPr>
        <w:t>41,83±12,84 ans)</w:t>
      </w:r>
      <w:r w:rsidRPr="005202AA">
        <w:rPr>
          <w:rFonts w:asciiTheme="majorBidi" w:hAnsiTheme="majorBidi" w:cstheme="majorBidi"/>
          <w:color w:val="000000" w:themeColor="text1"/>
          <w:sz w:val="20"/>
          <w:szCs w:val="20"/>
          <w:lang w:val="fr-FR"/>
        </w:rPr>
        <w:t xml:space="preserve">, contrairement à la majorité des travaux sur la VOP qui regroupent le plus souvent des adultes plus âgés </w:t>
      </w:r>
      <w:r w:rsidRPr="004931CB">
        <w:rPr>
          <w:rFonts w:eastAsia="Times New Roman"/>
          <w:sz w:val="20"/>
          <w:szCs w:val="24"/>
          <w:lang w:val="fr-FR"/>
        </w:rPr>
        <w:t>[</w:t>
      </w:r>
      <w:r>
        <w:rPr>
          <w:rFonts w:eastAsia="Times New Roman"/>
          <w:sz w:val="20"/>
          <w:szCs w:val="24"/>
          <w:lang w:val="fr-FR"/>
        </w:rPr>
        <w:t>7,14,15,18</w:t>
      </w:r>
      <w:r w:rsidRPr="004931CB">
        <w:rPr>
          <w:rFonts w:eastAsia="Times New Roman"/>
          <w:sz w:val="20"/>
          <w:szCs w:val="24"/>
          <w:lang w:val="fr-FR"/>
        </w:rPr>
        <w:t>].</w:t>
      </w:r>
    </w:p>
    <w:p w14:paraId="52C433F3" w14:textId="77777777" w:rsidR="00D315FE" w:rsidRPr="005202AA" w:rsidRDefault="00D315FE" w:rsidP="00D315FE">
      <w:pPr>
        <w:spacing w:after="0" w:line="240" w:lineRule="auto"/>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 xml:space="preserve">Ce choix a été fait dans le but de montrer qu’en présence de facteurs de risque cardiovasculaire, les sujets pouvaient effectivement avoir une atteinte artérielle à n’importe quel âge et encore mieux étayer l’importance d’un dépistage précoce </w:t>
      </w:r>
      <w:r w:rsidRPr="005202AA">
        <w:rPr>
          <w:rFonts w:asciiTheme="majorBidi" w:hAnsiTheme="majorBidi" w:cstheme="majorBidi"/>
          <w:color w:val="000000" w:themeColor="text1"/>
          <w:sz w:val="20"/>
          <w:szCs w:val="20"/>
          <w:lang w:val="fr-FR"/>
        </w:rPr>
        <w:t>afin améliorer la prévention primaire des maladies cardiovasculaires</w:t>
      </w:r>
      <w:r w:rsidRPr="005202AA">
        <w:rPr>
          <w:rFonts w:asciiTheme="majorBidi" w:eastAsia="Times New Roman" w:hAnsiTheme="majorBidi" w:cstheme="majorBidi"/>
          <w:sz w:val="20"/>
          <w:szCs w:val="20"/>
          <w:lang w:val="fr-FR"/>
        </w:rPr>
        <w:t xml:space="preserve">. </w:t>
      </w:r>
      <w:r w:rsidRPr="005202AA">
        <w:rPr>
          <w:rFonts w:asciiTheme="majorBidi" w:eastAsia="Times New Roman" w:hAnsiTheme="majorBidi" w:cstheme="majorBidi"/>
          <w:sz w:val="20"/>
          <w:szCs w:val="20"/>
          <w:lang w:val="fr-FR"/>
        </w:rPr>
        <w:lastRenderedPageBreak/>
        <w:t>Ces âges extrêmes montrent également l’ampleur des maladies cardiovasculaires ; auparavant, elles étaient dites des maladies du 3ème âge, mais de nos jours, elles surviennent beaucoup plus tôt.</w:t>
      </w:r>
    </w:p>
    <w:p w14:paraId="4C09D0CF" w14:textId="77777777" w:rsidR="00D315FE" w:rsidRPr="005202AA" w:rsidRDefault="00D315FE" w:rsidP="00D315FE">
      <w:pPr>
        <w:autoSpaceDE w:val="0"/>
        <w:autoSpaceDN w:val="0"/>
        <w:adjustRightInd w:val="0"/>
        <w:contextualSpacing/>
        <w:jc w:val="both"/>
        <w:rPr>
          <w:rFonts w:asciiTheme="majorBidi" w:hAnsiTheme="majorBidi" w:cstheme="majorBidi"/>
          <w:sz w:val="20"/>
          <w:szCs w:val="20"/>
          <w:lang w:val="fr-FR"/>
        </w:rPr>
      </w:pPr>
      <w:r w:rsidRPr="005202AA">
        <w:rPr>
          <w:rFonts w:asciiTheme="majorBidi" w:hAnsiTheme="majorBidi" w:cstheme="majorBidi"/>
          <w:sz w:val="20"/>
          <w:szCs w:val="20"/>
          <w:lang w:val="fr-FR"/>
        </w:rPr>
        <w:t xml:space="preserve"> </w:t>
      </w:r>
    </w:p>
    <w:p w14:paraId="2F9C85BE" w14:textId="77777777" w:rsidR="00D315FE" w:rsidRPr="005202AA" w:rsidRDefault="00D315FE" w:rsidP="00D315FE">
      <w:pPr>
        <w:spacing w:after="0" w:line="240" w:lineRule="auto"/>
        <w:jc w:val="both"/>
        <w:rPr>
          <w:rFonts w:asciiTheme="majorBidi" w:eastAsia="Times New Roman" w:hAnsiTheme="majorBidi" w:cstheme="majorBidi"/>
          <w:sz w:val="20"/>
          <w:szCs w:val="20"/>
          <w:lang w:val="fr-FR"/>
        </w:rPr>
      </w:pPr>
      <w:r w:rsidRPr="005202AA">
        <w:rPr>
          <w:rFonts w:asciiTheme="majorBidi" w:hAnsiTheme="majorBidi" w:cstheme="majorBidi"/>
          <w:b/>
          <w:bCs/>
          <w:color w:val="000000" w:themeColor="text1"/>
          <w:sz w:val="20"/>
          <w:szCs w:val="20"/>
          <w:lang w:val="fr-FR"/>
        </w:rPr>
        <w:t>Les facteurs prédictifs d’une VOP élevée</w:t>
      </w:r>
      <w:r w:rsidRPr="005202AA">
        <w:rPr>
          <w:rFonts w:asciiTheme="majorBidi" w:hAnsiTheme="majorBidi" w:cstheme="majorBidi"/>
          <w:color w:val="000000" w:themeColor="text1"/>
          <w:sz w:val="20"/>
          <w:szCs w:val="20"/>
          <w:lang w:val="fr-FR"/>
        </w:rPr>
        <w:t xml:space="preserve"> : </w:t>
      </w:r>
      <w:r w:rsidRPr="005202AA">
        <w:rPr>
          <w:rFonts w:asciiTheme="majorBidi" w:eastAsia="Times New Roman" w:hAnsiTheme="majorBidi" w:cstheme="majorBidi"/>
          <w:sz w:val="20"/>
          <w:szCs w:val="20"/>
          <w:lang w:val="fr-FR"/>
        </w:rPr>
        <w:t xml:space="preserve">Dans cette étude, les variables indépendantes et potentiels de VOP élevée identifiées étaient un âge de 50 ans ou plus, une HTA, une ancienneté de l’HTA de plus de 5 années, la PAD élevée ≥ 90 </w:t>
      </w:r>
      <w:proofErr w:type="spellStart"/>
      <w:r w:rsidRPr="005202AA">
        <w:rPr>
          <w:rFonts w:asciiTheme="majorBidi" w:eastAsia="Times New Roman" w:hAnsiTheme="majorBidi" w:cstheme="majorBidi"/>
          <w:sz w:val="20"/>
          <w:szCs w:val="20"/>
          <w:lang w:val="fr-FR"/>
        </w:rPr>
        <w:t>mmHg</w:t>
      </w:r>
      <w:proofErr w:type="spellEnd"/>
      <w:r w:rsidRPr="005202AA">
        <w:rPr>
          <w:rFonts w:asciiTheme="majorBidi" w:eastAsia="Times New Roman" w:hAnsiTheme="majorBidi" w:cstheme="majorBidi"/>
          <w:sz w:val="20"/>
          <w:szCs w:val="20"/>
          <w:lang w:val="fr-FR"/>
        </w:rPr>
        <w:t xml:space="preserve"> et enfin l’inactivité physique. </w:t>
      </w:r>
    </w:p>
    <w:p w14:paraId="22C39D1F" w14:textId="77777777" w:rsidR="00D315FE" w:rsidRPr="005202AA" w:rsidRDefault="00D315FE" w:rsidP="00D315FE">
      <w:pPr>
        <w:autoSpaceDE w:val="0"/>
        <w:autoSpaceDN w:val="0"/>
        <w:adjustRightInd w:val="0"/>
        <w:contextualSpacing/>
        <w:jc w:val="both"/>
        <w:rPr>
          <w:rFonts w:asciiTheme="majorBidi" w:eastAsia="Times New Roman" w:hAnsiTheme="majorBidi" w:cstheme="majorBidi"/>
          <w:sz w:val="20"/>
          <w:szCs w:val="20"/>
          <w:lang w:val="fr-FR"/>
        </w:rPr>
      </w:pPr>
      <w:r w:rsidRPr="005202AA">
        <w:rPr>
          <w:rFonts w:asciiTheme="majorBidi" w:hAnsiTheme="majorBidi" w:cstheme="majorBidi"/>
          <w:sz w:val="20"/>
          <w:szCs w:val="20"/>
          <w:lang w:val="fr-FR"/>
        </w:rPr>
        <w:t xml:space="preserve">L’âge ressort comme un facteur de risque puissant de la rigidité artérielle, la VOP était également et proportionnellement corrélée avec l’âge </w:t>
      </w:r>
      <w:r w:rsidRPr="005202AA">
        <w:rPr>
          <w:rFonts w:asciiTheme="majorBidi" w:hAnsiTheme="majorBidi" w:cstheme="majorBidi"/>
          <w:color w:val="000000" w:themeColor="text1"/>
          <w:sz w:val="20"/>
          <w:szCs w:val="20"/>
          <w:lang w:val="fr-FR"/>
        </w:rPr>
        <w:t>et répondait à un modèle de régression linéaire (y = 0,0751x âge+ 5,5759 ; p=10</w:t>
      </w:r>
      <w:r w:rsidRPr="005202AA">
        <w:rPr>
          <w:rFonts w:asciiTheme="majorBidi" w:hAnsiTheme="majorBidi" w:cstheme="majorBidi"/>
          <w:color w:val="000000" w:themeColor="text1"/>
          <w:sz w:val="20"/>
          <w:szCs w:val="20"/>
          <w:vertAlign w:val="superscript"/>
          <w:lang w:val="fr-FR"/>
        </w:rPr>
        <w:t>-3</w:t>
      </w:r>
      <w:r w:rsidRPr="005202AA">
        <w:rPr>
          <w:rFonts w:asciiTheme="majorBidi" w:hAnsiTheme="majorBidi" w:cstheme="majorBidi"/>
          <w:color w:val="000000" w:themeColor="text1"/>
          <w:sz w:val="20"/>
          <w:szCs w:val="20"/>
          <w:lang w:val="fr-FR"/>
        </w:rPr>
        <w:t>) avec un coefficient de corrélation de Pearson significatif avec r à 0,54, p=10</w:t>
      </w:r>
      <w:r w:rsidRPr="005202AA">
        <w:rPr>
          <w:rFonts w:asciiTheme="majorBidi" w:hAnsiTheme="majorBidi" w:cstheme="majorBidi"/>
          <w:color w:val="000000" w:themeColor="text1"/>
          <w:sz w:val="20"/>
          <w:szCs w:val="20"/>
          <w:vertAlign w:val="superscript"/>
          <w:lang w:val="fr-FR"/>
        </w:rPr>
        <w:t>-3</w:t>
      </w:r>
      <w:r w:rsidRPr="005202AA">
        <w:rPr>
          <w:rFonts w:asciiTheme="majorBidi" w:hAnsiTheme="majorBidi" w:cstheme="majorBidi"/>
          <w:color w:val="000000" w:themeColor="text1"/>
          <w:sz w:val="20"/>
          <w:szCs w:val="20"/>
          <w:lang w:val="fr-FR"/>
        </w:rPr>
        <w:t xml:space="preserve"> et un </w:t>
      </w:r>
      <w:r w:rsidRPr="005202AA">
        <w:rPr>
          <w:rFonts w:asciiTheme="majorBidi" w:eastAsia="Times New Roman" w:hAnsiTheme="majorBidi" w:cstheme="majorBidi"/>
          <w:sz w:val="20"/>
          <w:szCs w:val="20"/>
          <w:lang w:val="fr-FR"/>
        </w:rPr>
        <w:t xml:space="preserve">coefficient de détermination r² à 0,29 (figure 1). </w:t>
      </w:r>
    </w:p>
    <w:p w14:paraId="456F7299" w14:textId="77777777" w:rsidR="00D315FE" w:rsidRPr="005202AA" w:rsidRDefault="00D315FE" w:rsidP="00D315FE">
      <w:pPr>
        <w:autoSpaceDE w:val="0"/>
        <w:autoSpaceDN w:val="0"/>
        <w:adjustRightInd w:val="0"/>
        <w:contextualSpacing/>
        <w:jc w:val="both"/>
        <w:rPr>
          <w:rFonts w:asciiTheme="majorBidi" w:hAnsiTheme="majorBidi" w:cstheme="majorBidi"/>
          <w:color w:val="000000" w:themeColor="text1"/>
          <w:sz w:val="20"/>
          <w:szCs w:val="20"/>
          <w:lang w:val="fr-FR"/>
        </w:rPr>
      </w:pPr>
    </w:p>
    <w:p w14:paraId="5F8C243B" w14:textId="77777777" w:rsidR="00D315FE" w:rsidRPr="004A7CF9" w:rsidRDefault="00D315FE" w:rsidP="004A7CF9">
      <w:pPr>
        <w:jc w:val="center"/>
        <w:rPr>
          <w:rFonts w:asciiTheme="majorBidi" w:hAnsiTheme="majorBidi" w:cstheme="majorBidi"/>
          <w:color w:val="000000" w:themeColor="text1"/>
          <w:sz w:val="16"/>
          <w:szCs w:val="16"/>
        </w:rPr>
      </w:pPr>
      <w:r w:rsidRPr="004A7CF9">
        <w:rPr>
          <w:rFonts w:asciiTheme="majorBidi" w:hAnsiTheme="majorBidi" w:cstheme="majorBidi"/>
          <w:noProof/>
          <w:color w:val="000000" w:themeColor="text1"/>
          <w:sz w:val="16"/>
          <w:szCs w:val="16"/>
          <w:lang w:val="fr-FR" w:eastAsia="fr-FR"/>
        </w:rPr>
        <w:drawing>
          <wp:inline distT="0" distB="0" distL="0" distR="0" wp14:anchorId="69CF80B6" wp14:editId="27F83D8A">
            <wp:extent cx="2867025" cy="2640330"/>
            <wp:effectExtent l="0" t="0" r="9525" b="762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E56E4AC" w14:textId="77777777" w:rsidR="00D315FE" w:rsidRPr="005202AA" w:rsidRDefault="00D315FE" w:rsidP="004A7CF9">
      <w:pPr>
        <w:jc w:val="center"/>
        <w:rPr>
          <w:rFonts w:asciiTheme="majorBidi" w:hAnsiTheme="majorBidi" w:cstheme="majorBidi"/>
          <w:sz w:val="16"/>
          <w:szCs w:val="16"/>
          <w:lang w:val="fr-FR"/>
        </w:rPr>
      </w:pPr>
      <w:r w:rsidRPr="005202AA">
        <w:rPr>
          <w:rFonts w:asciiTheme="majorBidi" w:hAnsiTheme="majorBidi" w:cstheme="majorBidi"/>
          <w:color w:val="000000" w:themeColor="text1"/>
          <w:sz w:val="16"/>
          <w:szCs w:val="16"/>
          <w:lang w:val="fr-FR"/>
        </w:rPr>
        <w:t xml:space="preserve">Figure 1. Modèle de régression linéaire illustrant la corrélation </w:t>
      </w:r>
      <w:r w:rsidRPr="005202AA">
        <w:rPr>
          <w:rFonts w:asciiTheme="majorBidi" w:hAnsiTheme="majorBidi" w:cstheme="majorBidi"/>
          <w:sz w:val="16"/>
          <w:szCs w:val="16"/>
          <w:lang w:val="fr-FR"/>
        </w:rPr>
        <w:t>entre l’âge et la VOP</w:t>
      </w:r>
    </w:p>
    <w:p w14:paraId="068F49EB" w14:textId="51862F95" w:rsidR="00D315FE" w:rsidRPr="005202AA" w:rsidRDefault="00D315FE" w:rsidP="00903B44">
      <w:pPr>
        <w:spacing w:after="0"/>
        <w:jc w:val="both"/>
        <w:rPr>
          <w:rFonts w:asciiTheme="majorBidi" w:eastAsia="Times New Roman" w:hAnsiTheme="majorBidi" w:cstheme="majorBidi"/>
          <w:sz w:val="20"/>
          <w:szCs w:val="20"/>
          <w:lang w:val="fr-FR"/>
        </w:rPr>
      </w:pPr>
      <w:r w:rsidRPr="005202AA">
        <w:rPr>
          <w:rFonts w:asciiTheme="majorBidi" w:hAnsiTheme="majorBidi" w:cstheme="majorBidi"/>
          <w:sz w:val="20"/>
          <w:szCs w:val="20"/>
          <w:lang w:val="fr-FR"/>
        </w:rPr>
        <w:t>Ce résultat est tout à fait concordant avec ceux de la littérature qui ont mis également en évidence le phénomène selon lequel la VOP avait tendance à augmenter plus vite chez</w:t>
      </w:r>
      <w:r w:rsidR="00903B44" w:rsidRPr="005202AA">
        <w:rPr>
          <w:rFonts w:asciiTheme="majorBidi" w:hAnsiTheme="majorBidi" w:cstheme="majorBidi"/>
          <w:sz w:val="20"/>
          <w:szCs w:val="20"/>
          <w:lang w:val="fr-FR"/>
        </w:rPr>
        <w:t xml:space="preserve"> les patients de plus de 50 ans</w:t>
      </w:r>
      <w:r w:rsidR="00903B44" w:rsidRPr="00903B44">
        <w:rPr>
          <w:rFonts w:eastAsia="Times New Roman"/>
          <w:sz w:val="20"/>
          <w:szCs w:val="24"/>
          <w:lang w:val="fr-FR"/>
        </w:rPr>
        <w:t xml:space="preserve"> </w:t>
      </w:r>
      <w:r w:rsidR="00903B44" w:rsidRPr="004931CB">
        <w:rPr>
          <w:rFonts w:eastAsia="Times New Roman"/>
          <w:sz w:val="20"/>
          <w:szCs w:val="24"/>
          <w:lang w:val="fr-FR"/>
        </w:rPr>
        <w:t>[</w:t>
      </w:r>
      <w:r w:rsidR="00903B44">
        <w:rPr>
          <w:rFonts w:eastAsia="Times New Roman"/>
          <w:sz w:val="20"/>
          <w:szCs w:val="24"/>
          <w:lang w:val="fr-FR"/>
        </w:rPr>
        <w:t>6,7</w:t>
      </w:r>
      <w:r w:rsidR="00903B44" w:rsidRPr="004931CB">
        <w:rPr>
          <w:rFonts w:eastAsia="Times New Roman"/>
          <w:sz w:val="20"/>
          <w:szCs w:val="24"/>
          <w:lang w:val="fr-FR"/>
        </w:rPr>
        <w:t>].</w:t>
      </w:r>
    </w:p>
    <w:p w14:paraId="42136F06" w14:textId="78BFD85B" w:rsidR="00D315FE" w:rsidRPr="005202AA" w:rsidRDefault="00D315FE" w:rsidP="00903B44">
      <w:pPr>
        <w:spacing w:after="0"/>
        <w:jc w:val="both"/>
        <w:rPr>
          <w:rFonts w:asciiTheme="majorBidi" w:eastAsia="Times New Roman" w:hAnsiTheme="majorBidi" w:cstheme="majorBidi"/>
          <w:sz w:val="20"/>
          <w:szCs w:val="20"/>
          <w:lang w:val="fr-FR"/>
        </w:rPr>
      </w:pPr>
      <w:r w:rsidRPr="005202AA">
        <w:rPr>
          <w:rFonts w:asciiTheme="majorBidi" w:hAnsiTheme="majorBidi" w:cstheme="majorBidi"/>
          <w:sz w:val="20"/>
          <w:szCs w:val="20"/>
          <w:lang w:val="fr-FR"/>
        </w:rPr>
        <w:t xml:space="preserve">Dans notre série, après ajustement pour les autres facteurs, l'association du genre avec la rigidité artérielle n’a pas été trouvée et il est statistiquement non significatif (OR ajusté0,90, IC à 95% 0,25 - 3,22 et p=0,87). Ce qui est concordant avec l’étude réalisée par </w:t>
      </w:r>
      <w:proofErr w:type="spellStart"/>
      <w:r w:rsidRPr="005202AA">
        <w:rPr>
          <w:rFonts w:asciiTheme="majorBidi" w:hAnsiTheme="majorBidi" w:cstheme="majorBidi"/>
          <w:sz w:val="20"/>
          <w:szCs w:val="20"/>
          <w:lang w:val="fr-FR"/>
        </w:rPr>
        <w:t>McEniery</w:t>
      </w:r>
      <w:proofErr w:type="spellEnd"/>
      <w:r w:rsidRPr="005202AA">
        <w:rPr>
          <w:rFonts w:asciiTheme="majorBidi" w:hAnsiTheme="majorBidi" w:cstheme="majorBidi"/>
          <w:sz w:val="20"/>
          <w:szCs w:val="20"/>
          <w:lang w:val="fr-FR"/>
        </w:rPr>
        <w:t xml:space="preserve"> et al où le genre n’a pas été prédictif d’élévation de la VOP</w:t>
      </w:r>
      <w:r w:rsidR="00903B44" w:rsidRPr="004931CB">
        <w:rPr>
          <w:rFonts w:eastAsia="Times New Roman"/>
          <w:sz w:val="20"/>
          <w:szCs w:val="24"/>
          <w:lang w:val="fr-FR"/>
        </w:rPr>
        <w:t>[</w:t>
      </w:r>
      <w:r w:rsidR="00903B44">
        <w:rPr>
          <w:rFonts w:eastAsia="Times New Roman"/>
          <w:sz w:val="20"/>
          <w:szCs w:val="24"/>
          <w:lang w:val="fr-FR"/>
        </w:rPr>
        <w:t>6</w:t>
      </w:r>
      <w:r w:rsidR="00903B44" w:rsidRPr="004931CB">
        <w:rPr>
          <w:rFonts w:eastAsia="Times New Roman"/>
          <w:sz w:val="20"/>
          <w:szCs w:val="24"/>
          <w:lang w:val="fr-FR"/>
        </w:rPr>
        <w:t>].</w:t>
      </w:r>
    </w:p>
    <w:p w14:paraId="7E970AEC" w14:textId="77777777" w:rsidR="00D315FE" w:rsidRPr="005202AA" w:rsidRDefault="00D315FE" w:rsidP="00D315FE">
      <w:pPr>
        <w:autoSpaceDE w:val="0"/>
        <w:autoSpaceDN w:val="0"/>
        <w:adjustRightInd w:val="0"/>
        <w:spacing w:after="0"/>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 xml:space="preserve">L’HTA facteur prévalent dans le groupe à VOP élevée et déterminant de la rigidité artérielle aussi bien en univariée qu’en multivariée (OR=13, IC à95% : 4,57-36,96 et p=0,000). Le même résultat a été rapporté en 1984 par l’équipe française d’Alain Simon </w:t>
      </w:r>
      <w:r w:rsidRPr="005202AA">
        <w:rPr>
          <w:rFonts w:asciiTheme="majorBidi" w:eastAsia="Times New Roman" w:hAnsiTheme="majorBidi" w:cstheme="majorBidi"/>
          <w:sz w:val="20"/>
          <w:szCs w:val="20"/>
          <w:vertAlign w:val="superscript"/>
          <w:lang w:val="fr-FR"/>
        </w:rPr>
        <w:t>(8)</w:t>
      </w:r>
      <w:r w:rsidRPr="005202AA">
        <w:rPr>
          <w:rFonts w:asciiTheme="majorBidi" w:eastAsia="Times New Roman" w:hAnsiTheme="majorBidi" w:cstheme="majorBidi"/>
          <w:sz w:val="20"/>
          <w:szCs w:val="20"/>
          <w:lang w:val="fr-FR"/>
        </w:rPr>
        <w:t xml:space="preserve"> ont montré que la VOP était plus élevée chez les hypertendus (p &lt;0,001).</w:t>
      </w:r>
    </w:p>
    <w:p w14:paraId="038B0676" w14:textId="6F079445" w:rsidR="00D315FE" w:rsidRPr="005202AA" w:rsidRDefault="00D315FE" w:rsidP="00514EBA">
      <w:pPr>
        <w:autoSpaceDE w:val="0"/>
        <w:autoSpaceDN w:val="0"/>
        <w:adjustRightInd w:val="0"/>
        <w:spacing w:after="0"/>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 xml:space="preserve">La VOP était significativement plus élevée chez les patients présentant une HTA ancienne. Ce critère de durée d’évolution de l’HTA était cependant retrouvé aussi bien en analyse univariée que multivariée (OR=41.55, IC à 95% : 9,08-190,18 et p=0,000). Ce résultat est concordant avec ceux de la littérature. </w:t>
      </w:r>
      <w:proofErr w:type="spellStart"/>
      <w:r w:rsidRPr="005202AA">
        <w:rPr>
          <w:rFonts w:asciiTheme="majorBidi" w:eastAsia="Times New Roman" w:hAnsiTheme="majorBidi" w:cstheme="majorBidi"/>
          <w:sz w:val="20"/>
          <w:szCs w:val="20"/>
          <w:lang w:val="fr-FR"/>
        </w:rPr>
        <w:t>Kaess</w:t>
      </w:r>
      <w:proofErr w:type="spellEnd"/>
      <w:r w:rsidRPr="005202AA">
        <w:rPr>
          <w:rFonts w:asciiTheme="majorBidi" w:eastAsia="Times New Roman" w:hAnsiTheme="majorBidi" w:cstheme="majorBidi"/>
          <w:sz w:val="20"/>
          <w:szCs w:val="20"/>
          <w:lang w:val="fr-FR"/>
        </w:rPr>
        <w:t xml:space="preserve"> et al. </w:t>
      </w:r>
      <w:r w:rsidR="00514EBA" w:rsidRPr="004931CB">
        <w:rPr>
          <w:rFonts w:eastAsia="Times New Roman"/>
          <w:sz w:val="20"/>
          <w:szCs w:val="24"/>
          <w:lang w:val="fr-FR"/>
        </w:rPr>
        <w:t>[</w:t>
      </w:r>
      <w:r w:rsidR="00514EBA">
        <w:rPr>
          <w:rFonts w:eastAsia="Times New Roman"/>
          <w:sz w:val="20"/>
          <w:szCs w:val="24"/>
          <w:lang w:val="fr-FR"/>
        </w:rPr>
        <w:t>9</w:t>
      </w:r>
      <w:r w:rsidR="00514EBA" w:rsidRPr="004931CB">
        <w:rPr>
          <w:rFonts w:eastAsia="Times New Roman"/>
          <w:sz w:val="20"/>
          <w:szCs w:val="24"/>
          <w:lang w:val="fr-FR"/>
        </w:rPr>
        <w:t>].</w:t>
      </w:r>
      <w:r w:rsidRPr="005202AA">
        <w:rPr>
          <w:rFonts w:asciiTheme="majorBidi" w:eastAsia="Times New Roman" w:hAnsiTheme="majorBidi" w:cstheme="majorBidi"/>
          <w:sz w:val="20"/>
          <w:szCs w:val="20"/>
          <w:lang w:val="fr-FR"/>
        </w:rPr>
        <w:t xml:space="preserve"> </w:t>
      </w:r>
    </w:p>
    <w:p w14:paraId="078380C3" w14:textId="7FF22464" w:rsidR="00D315FE" w:rsidRPr="005202AA" w:rsidRDefault="00D315FE" w:rsidP="00D315FE">
      <w:pPr>
        <w:shd w:val="clear" w:color="auto" w:fill="FFFFFF"/>
        <w:spacing w:after="0"/>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 xml:space="preserve">Notre étude soulignait un lien très significatif entre la VOP et la PAD (OR=3.39, IC à 95% : 1,79-49,08 et p=0,008). Ce qui est en accord avec les résultats des études ayant évalué le rôle des paramètres hémodynamiques de la PA sur la VOP </w:t>
      </w:r>
      <w:r w:rsidRPr="005202AA">
        <w:rPr>
          <w:rFonts w:asciiTheme="majorBidi" w:eastAsia="Times New Roman" w:hAnsiTheme="majorBidi" w:cstheme="majorBidi"/>
          <w:sz w:val="20"/>
          <w:szCs w:val="20"/>
          <w:vertAlign w:val="superscript"/>
          <w:lang w:val="fr-FR"/>
        </w:rPr>
        <w:t>(10,11)</w:t>
      </w:r>
      <w:r w:rsidRPr="005202AA">
        <w:rPr>
          <w:rFonts w:asciiTheme="majorBidi" w:eastAsia="Times New Roman" w:hAnsiTheme="majorBidi" w:cstheme="majorBidi"/>
          <w:sz w:val="20"/>
          <w:szCs w:val="20"/>
          <w:lang w:val="fr-FR"/>
        </w:rPr>
        <w:t xml:space="preserve">.    Toutefois, cette conclusion était différente d'une étude réalisée au </w:t>
      </w:r>
      <w:proofErr w:type="spellStart"/>
      <w:r w:rsidRPr="005202AA">
        <w:rPr>
          <w:rFonts w:asciiTheme="majorBidi" w:eastAsia="Times New Roman" w:hAnsiTheme="majorBidi" w:cstheme="majorBidi"/>
          <w:sz w:val="20"/>
          <w:szCs w:val="20"/>
          <w:lang w:val="fr-FR"/>
        </w:rPr>
        <w:t>Malie</w:t>
      </w:r>
      <w:proofErr w:type="spellEnd"/>
      <w:r w:rsidR="00514EBA" w:rsidRPr="005202AA">
        <w:rPr>
          <w:rFonts w:asciiTheme="majorBidi" w:eastAsia="Times New Roman" w:hAnsiTheme="majorBidi" w:cstheme="majorBidi"/>
          <w:sz w:val="20"/>
          <w:szCs w:val="20"/>
          <w:lang w:val="fr-FR"/>
        </w:rPr>
        <w:t xml:space="preserve"> </w:t>
      </w:r>
      <w:r w:rsidR="00514EBA" w:rsidRPr="004931CB">
        <w:rPr>
          <w:rFonts w:eastAsia="Times New Roman"/>
          <w:sz w:val="20"/>
          <w:szCs w:val="24"/>
          <w:lang w:val="fr-FR"/>
        </w:rPr>
        <w:t>[</w:t>
      </w:r>
      <w:r w:rsidR="00514EBA">
        <w:rPr>
          <w:rFonts w:eastAsia="Times New Roman"/>
          <w:sz w:val="20"/>
          <w:szCs w:val="24"/>
          <w:lang w:val="fr-FR"/>
        </w:rPr>
        <w:t>12</w:t>
      </w:r>
      <w:r w:rsidR="00514EBA" w:rsidRPr="004931CB">
        <w:rPr>
          <w:rFonts w:eastAsia="Times New Roman"/>
          <w:sz w:val="20"/>
          <w:szCs w:val="24"/>
          <w:lang w:val="fr-FR"/>
        </w:rPr>
        <w:t>].</w:t>
      </w:r>
    </w:p>
    <w:p w14:paraId="5AEF6C8A" w14:textId="77777777" w:rsidR="00D315FE" w:rsidRPr="005202AA" w:rsidRDefault="00D315FE" w:rsidP="00D31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 xml:space="preserve">Nous avons trouvé une association positive entre l'inactivité physique et la rigidité artérielle qui persiste même après ajustement pour les autres facteurs (OR ajusté 21.56, IC à 95% : 2.06-214.86 et p=0,009). </w:t>
      </w:r>
    </w:p>
    <w:p w14:paraId="2E23D0B6" w14:textId="141BA3CD" w:rsidR="00D315FE" w:rsidRPr="00BA553E" w:rsidRDefault="00D315FE" w:rsidP="00514EBA">
      <w:pPr>
        <w:pStyle w:val="Titre1"/>
        <w:shd w:val="clear" w:color="auto" w:fill="FFFFFF"/>
        <w:spacing w:before="90" w:beforeAutospacing="0" w:after="90" w:afterAutospacing="0" w:line="276" w:lineRule="auto"/>
        <w:jc w:val="both"/>
        <w:rPr>
          <w:rFonts w:asciiTheme="majorBidi" w:hAnsiTheme="majorBidi" w:cstheme="majorBidi"/>
          <w:b w:val="0"/>
          <w:bCs w:val="0"/>
          <w:kern w:val="0"/>
          <w:sz w:val="20"/>
          <w:szCs w:val="20"/>
        </w:rPr>
      </w:pPr>
      <w:r w:rsidRPr="00BA553E">
        <w:rPr>
          <w:rFonts w:asciiTheme="majorBidi" w:hAnsiTheme="majorBidi" w:cstheme="majorBidi"/>
          <w:b w:val="0"/>
          <w:bCs w:val="0"/>
          <w:kern w:val="0"/>
          <w:sz w:val="20"/>
          <w:szCs w:val="20"/>
        </w:rPr>
        <w:t>Dans l’étude d’</w:t>
      </w:r>
      <w:proofErr w:type="spellStart"/>
      <w:r w:rsidRPr="00BA553E">
        <w:rPr>
          <w:rFonts w:asciiTheme="majorBidi" w:hAnsiTheme="majorBidi" w:cstheme="majorBidi"/>
          <w:b w:val="0"/>
          <w:bCs w:val="0"/>
          <w:kern w:val="0"/>
          <w:sz w:val="20"/>
          <w:szCs w:val="20"/>
        </w:rPr>
        <w:t>Endes</w:t>
      </w:r>
      <w:proofErr w:type="spellEnd"/>
      <w:r w:rsidRPr="00BA553E">
        <w:rPr>
          <w:rFonts w:asciiTheme="majorBidi" w:hAnsiTheme="majorBidi" w:cstheme="majorBidi"/>
          <w:b w:val="0"/>
          <w:bCs w:val="0"/>
          <w:kern w:val="0"/>
          <w:sz w:val="20"/>
          <w:szCs w:val="20"/>
        </w:rPr>
        <w:t xml:space="preserve"> et al</w:t>
      </w:r>
      <w:r w:rsidR="00514EBA">
        <w:rPr>
          <w:rFonts w:asciiTheme="majorBidi" w:hAnsiTheme="majorBidi" w:cstheme="majorBidi"/>
          <w:b w:val="0"/>
          <w:bCs w:val="0"/>
          <w:kern w:val="0"/>
          <w:sz w:val="20"/>
          <w:szCs w:val="20"/>
        </w:rPr>
        <w:t xml:space="preserve"> </w:t>
      </w:r>
      <w:r w:rsidR="00514EBA" w:rsidRPr="00514EBA">
        <w:rPr>
          <w:b w:val="0"/>
          <w:bCs w:val="0"/>
          <w:sz w:val="20"/>
          <w:szCs w:val="24"/>
        </w:rPr>
        <w:t>[13]</w:t>
      </w:r>
      <w:r w:rsidRPr="00BA553E">
        <w:rPr>
          <w:rFonts w:asciiTheme="majorBidi" w:hAnsiTheme="majorBidi" w:cstheme="majorBidi"/>
          <w:b w:val="0"/>
          <w:bCs w:val="0"/>
          <w:kern w:val="0"/>
          <w:sz w:val="20"/>
          <w:szCs w:val="20"/>
        </w:rPr>
        <w:t xml:space="preserve"> de la cohorte « SAPALDIA », il était démontré que l’adoption d’un mode de vie physiquement actif était associée à une faible rigidité artérielle chez les personnes âgées.</w:t>
      </w:r>
    </w:p>
    <w:p w14:paraId="2F0AA325" w14:textId="21CE92DC" w:rsidR="00D315FE" w:rsidRPr="00BA553E" w:rsidRDefault="00D315FE" w:rsidP="004B0BA5">
      <w:pPr>
        <w:pStyle w:val="Titre1"/>
        <w:shd w:val="clear" w:color="auto" w:fill="FFFFFF"/>
        <w:spacing w:before="90" w:beforeAutospacing="0" w:after="90" w:afterAutospacing="0" w:line="276" w:lineRule="auto"/>
        <w:jc w:val="both"/>
        <w:rPr>
          <w:rFonts w:asciiTheme="majorBidi" w:hAnsiTheme="majorBidi" w:cstheme="majorBidi"/>
          <w:b w:val="0"/>
          <w:bCs w:val="0"/>
          <w:kern w:val="0"/>
          <w:sz w:val="20"/>
          <w:szCs w:val="20"/>
        </w:rPr>
      </w:pPr>
      <w:r w:rsidRPr="00BA553E">
        <w:rPr>
          <w:rFonts w:asciiTheme="majorBidi" w:hAnsiTheme="majorBidi" w:cstheme="majorBidi"/>
          <w:b w:val="0"/>
          <w:bCs w:val="0"/>
          <w:kern w:val="0"/>
          <w:sz w:val="20"/>
          <w:szCs w:val="20"/>
        </w:rPr>
        <w:t xml:space="preserve">La survenue de la ménopause est un facteur physiologique altérant la santé cardiovasculaire chez les femmes </w:t>
      </w:r>
      <w:r w:rsidR="004B0BA5" w:rsidRPr="004B0BA5">
        <w:rPr>
          <w:b w:val="0"/>
          <w:bCs w:val="0"/>
          <w:sz w:val="20"/>
          <w:szCs w:val="24"/>
        </w:rPr>
        <w:t>[16].</w:t>
      </w:r>
      <w:r w:rsidR="004B0BA5" w:rsidRPr="00BA553E">
        <w:rPr>
          <w:rFonts w:asciiTheme="majorBidi" w:hAnsiTheme="majorBidi" w:cstheme="majorBidi"/>
          <w:b w:val="0"/>
          <w:bCs w:val="0"/>
          <w:kern w:val="0"/>
          <w:sz w:val="20"/>
          <w:szCs w:val="20"/>
          <w:vertAlign w:val="superscript"/>
        </w:rPr>
        <w:t xml:space="preserve"> </w:t>
      </w:r>
      <w:r w:rsidRPr="00BA553E">
        <w:rPr>
          <w:rFonts w:asciiTheme="majorBidi" w:hAnsiTheme="majorBidi" w:cstheme="majorBidi"/>
          <w:b w:val="0"/>
          <w:bCs w:val="0"/>
          <w:kern w:val="0"/>
          <w:sz w:val="20"/>
          <w:szCs w:val="20"/>
        </w:rPr>
        <w:t xml:space="preserve"> </w:t>
      </w:r>
    </w:p>
    <w:p w14:paraId="462191CA" w14:textId="77777777" w:rsidR="00D315FE" w:rsidRPr="00BA553E" w:rsidRDefault="00D315FE" w:rsidP="00D315FE">
      <w:pPr>
        <w:pStyle w:val="Titre1"/>
        <w:shd w:val="clear" w:color="auto" w:fill="FFFFFF"/>
        <w:spacing w:before="90" w:beforeAutospacing="0" w:after="90" w:afterAutospacing="0" w:line="276" w:lineRule="auto"/>
        <w:jc w:val="both"/>
        <w:rPr>
          <w:rFonts w:asciiTheme="majorBidi" w:hAnsiTheme="majorBidi" w:cstheme="majorBidi"/>
          <w:b w:val="0"/>
          <w:bCs w:val="0"/>
          <w:kern w:val="0"/>
          <w:sz w:val="20"/>
          <w:szCs w:val="20"/>
        </w:rPr>
      </w:pPr>
      <w:r w:rsidRPr="00BA553E">
        <w:rPr>
          <w:rFonts w:asciiTheme="majorBidi" w:hAnsiTheme="majorBidi" w:cstheme="majorBidi"/>
          <w:b w:val="0"/>
          <w:bCs w:val="0"/>
          <w:sz w:val="20"/>
          <w:szCs w:val="20"/>
        </w:rPr>
        <w:t>Nous avons pu mettre en évidence l</w:t>
      </w:r>
      <w:r w:rsidRPr="00BA553E">
        <w:rPr>
          <w:rFonts w:asciiTheme="majorBidi" w:hAnsiTheme="majorBidi" w:cstheme="majorBidi"/>
          <w:b w:val="0"/>
          <w:bCs w:val="0"/>
          <w:kern w:val="0"/>
          <w:sz w:val="20"/>
          <w:szCs w:val="20"/>
        </w:rPr>
        <w:t xml:space="preserve">'effet de la ménopause sur la VOP en analyse univariée mais le faible échantillon des femmes </w:t>
      </w:r>
      <w:proofErr w:type="spellStart"/>
      <w:r w:rsidRPr="00BA553E">
        <w:rPr>
          <w:rFonts w:asciiTheme="majorBidi" w:hAnsiTheme="majorBidi" w:cstheme="majorBidi"/>
          <w:b w:val="0"/>
          <w:bCs w:val="0"/>
          <w:kern w:val="0"/>
          <w:sz w:val="20"/>
          <w:szCs w:val="20"/>
        </w:rPr>
        <w:t>ménopausés</w:t>
      </w:r>
      <w:proofErr w:type="spellEnd"/>
      <w:r w:rsidRPr="00BA553E">
        <w:rPr>
          <w:rFonts w:asciiTheme="majorBidi" w:hAnsiTheme="majorBidi" w:cstheme="majorBidi"/>
          <w:b w:val="0"/>
          <w:bCs w:val="0"/>
          <w:kern w:val="0"/>
          <w:sz w:val="20"/>
          <w:szCs w:val="20"/>
        </w:rPr>
        <w:t xml:space="preserve"> nous a empêché la réalisation de l’analyse multivariée.</w:t>
      </w:r>
    </w:p>
    <w:p w14:paraId="10E2D9F0" w14:textId="39B6B60F" w:rsidR="00D315FE" w:rsidRDefault="00D315FE" w:rsidP="00514EBA">
      <w:pPr>
        <w:pStyle w:val="Titre1"/>
        <w:shd w:val="clear" w:color="auto" w:fill="FFFFFF"/>
        <w:spacing w:before="90" w:beforeAutospacing="0" w:after="90" w:afterAutospacing="0" w:line="276" w:lineRule="auto"/>
        <w:jc w:val="both"/>
        <w:rPr>
          <w:b w:val="0"/>
          <w:bCs w:val="0"/>
          <w:sz w:val="20"/>
          <w:szCs w:val="24"/>
        </w:rPr>
      </w:pPr>
      <w:r w:rsidRPr="00BA553E">
        <w:rPr>
          <w:rStyle w:val="lev"/>
          <w:rFonts w:asciiTheme="majorBidi" w:hAnsiTheme="majorBidi" w:cstheme="majorBidi"/>
          <w:sz w:val="20"/>
          <w:szCs w:val="20"/>
          <w:shd w:val="clear" w:color="auto" w:fill="FFFFFF"/>
        </w:rPr>
        <w:t>Plusieurs études ont montré l’association positive entre la ménopause et la rigidité artérielle</w:t>
      </w:r>
      <w:r w:rsidR="00514EBA">
        <w:rPr>
          <w:rStyle w:val="lev"/>
          <w:rFonts w:asciiTheme="majorBidi" w:hAnsiTheme="majorBidi" w:cstheme="majorBidi"/>
          <w:sz w:val="20"/>
          <w:szCs w:val="20"/>
          <w:shd w:val="clear" w:color="auto" w:fill="FFFFFF"/>
        </w:rPr>
        <w:t xml:space="preserve"> </w:t>
      </w:r>
      <w:r w:rsidR="00514EBA" w:rsidRPr="00514EBA">
        <w:rPr>
          <w:b w:val="0"/>
          <w:bCs w:val="0"/>
          <w:sz w:val="20"/>
          <w:szCs w:val="24"/>
        </w:rPr>
        <w:t>[17,18].</w:t>
      </w:r>
    </w:p>
    <w:p w14:paraId="31733737" w14:textId="6D67B8BE" w:rsidR="005B427D" w:rsidRPr="005B427D" w:rsidRDefault="005B427D" w:rsidP="005B427D">
      <w:pPr>
        <w:pStyle w:val="Titre1"/>
        <w:shd w:val="clear" w:color="auto" w:fill="FFFFFF"/>
        <w:spacing w:before="90" w:beforeAutospacing="0" w:after="90" w:afterAutospacing="0" w:line="276" w:lineRule="auto"/>
        <w:jc w:val="both"/>
        <w:rPr>
          <w:rFonts w:asciiTheme="majorBidi" w:hAnsiTheme="majorBidi" w:cstheme="majorBidi"/>
          <w:b w:val="0"/>
          <w:bCs w:val="0"/>
          <w:kern w:val="0"/>
          <w:sz w:val="20"/>
          <w:szCs w:val="20"/>
        </w:rPr>
      </w:pPr>
      <w:r w:rsidRPr="005B427D">
        <w:rPr>
          <w:b w:val="0"/>
          <w:bCs w:val="0"/>
          <w:sz w:val="20"/>
          <w:szCs w:val="20"/>
        </w:rPr>
        <w:t>La principale limite de notre étude est l’échantillon faible, non représentatif de la population générale.</w:t>
      </w:r>
    </w:p>
    <w:p w14:paraId="2AADBA78" w14:textId="77777777" w:rsidR="00D315FE" w:rsidRPr="00D315FE" w:rsidRDefault="00D315FE" w:rsidP="00D315FE">
      <w:pPr>
        <w:pStyle w:val="Els-body-text"/>
        <w:rPr>
          <w:lang w:val="fr-FR"/>
        </w:rPr>
      </w:pPr>
    </w:p>
    <w:p w14:paraId="2DED0FDC" w14:textId="77777777" w:rsidR="00E56282" w:rsidRPr="005202AA" w:rsidRDefault="00E56282" w:rsidP="00185B02">
      <w:pPr>
        <w:pStyle w:val="Els-1storder-head"/>
        <w:numPr>
          <w:ilvl w:val="0"/>
          <w:numId w:val="0"/>
        </w:numPr>
        <w:rPr>
          <w:sz w:val="20"/>
          <w:lang w:val="fr-FR"/>
        </w:rPr>
      </w:pPr>
      <w:r w:rsidRPr="005202AA">
        <w:rPr>
          <w:sz w:val="20"/>
          <w:lang w:val="fr-FR"/>
        </w:rPr>
        <w:t>Conclusion</w:t>
      </w:r>
    </w:p>
    <w:p w14:paraId="390E2F8D" w14:textId="53BCCD34" w:rsidR="007E2239" w:rsidRPr="005202AA" w:rsidRDefault="008D499D" w:rsidP="006C0FAB">
      <w:pPr>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Dans une population jeune apparemment en bonne santé</w:t>
      </w:r>
      <w:r w:rsidR="006C0FAB" w:rsidRPr="005202AA">
        <w:rPr>
          <w:rFonts w:asciiTheme="majorBidi" w:eastAsia="Times New Roman" w:hAnsiTheme="majorBidi" w:cstheme="majorBidi"/>
          <w:sz w:val="20"/>
          <w:szCs w:val="20"/>
          <w:lang w:val="fr-FR"/>
        </w:rPr>
        <w:t xml:space="preserve"> et à risque non élevé</w:t>
      </w:r>
      <w:r w:rsidRPr="005202AA">
        <w:rPr>
          <w:rFonts w:asciiTheme="majorBidi" w:eastAsia="Times New Roman" w:hAnsiTheme="majorBidi" w:cstheme="majorBidi"/>
          <w:sz w:val="20"/>
          <w:szCs w:val="20"/>
          <w:lang w:val="fr-FR"/>
        </w:rPr>
        <w:t xml:space="preserve">, les principaux facteurs associés à la rigidité artérielle étaient un âge ≥ 50 ans, </w:t>
      </w:r>
      <w:r w:rsidRPr="005202AA">
        <w:rPr>
          <w:rFonts w:asciiTheme="majorBidi" w:eastAsia="Times New Roman" w:hAnsiTheme="majorBidi" w:cstheme="majorBidi"/>
          <w:sz w:val="20"/>
          <w:szCs w:val="20"/>
          <w:lang w:val="fr-FR"/>
        </w:rPr>
        <w:lastRenderedPageBreak/>
        <w:t xml:space="preserve">la sédentarité, une HTA, surtout quand son ancienneté dépasse les 5 années   et /ou une PAD élevée. </w:t>
      </w:r>
    </w:p>
    <w:p w14:paraId="67389E40" w14:textId="3D582119" w:rsidR="006C0FAB" w:rsidRPr="005202AA" w:rsidRDefault="006C0FAB" w:rsidP="006C0FAB">
      <w:pPr>
        <w:jc w:val="both"/>
        <w:rPr>
          <w:rFonts w:asciiTheme="majorBidi" w:hAnsiTheme="majorBidi" w:cstheme="majorBidi"/>
          <w:sz w:val="20"/>
          <w:szCs w:val="20"/>
          <w:lang w:val="fr-FR"/>
        </w:rPr>
      </w:pPr>
      <w:r w:rsidRPr="005202AA">
        <w:rPr>
          <w:rFonts w:asciiTheme="majorBidi" w:hAnsiTheme="majorBidi" w:cstheme="majorBidi"/>
          <w:sz w:val="20"/>
          <w:szCs w:val="20"/>
          <w:lang w:val="fr-FR"/>
        </w:rPr>
        <w:t xml:space="preserve">La combinaison de ces paramètres doit faire réaliser une mesure de la VOP en clinique afin de </w:t>
      </w:r>
      <w:proofErr w:type="spellStart"/>
      <w:r w:rsidRPr="005202AA">
        <w:rPr>
          <w:rFonts w:asciiTheme="majorBidi" w:hAnsiTheme="majorBidi" w:cstheme="majorBidi"/>
          <w:sz w:val="20"/>
          <w:szCs w:val="20"/>
          <w:lang w:val="fr-FR"/>
        </w:rPr>
        <w:t>detecter</w:t>
      </w:r>
      <w:proofErr w:type="spellEnd"/>
      <w:r w:rsidRPr="005202AA">
        <w:rPr>
          <w:rFonts w:asciiTheme="majorBidi" w:hAnsiTheme="majorBidi" w:cstheme="majorBidi"/>
          <w:sz w:val="20"/>
          <w:szCs w:val="20"/>
          <w:lang w:val="fr-FR"/>
        </w:rPr>
        <w:t xml:space="preserve"> une </w:t>
      </w:r>
      <w:proofErr w:type="spellStart"/>
      <w:r w:rsidRPr="005202AA">
        <w:rPr>
          <w:rFonts w:asciiTheme="majorBidi" w:hAnsiTheme="majorBidi" w:cstheme="majorBidi"/>
          <w:sz w:val="20"/>
          <w:szCs w:val="20"/>
          <w:lang w:val="fr-FR"/>
        </w:rPr>
        <w:t>atteinet</w:t>
      </w:r>
      <w:proofErr w:type="spellEnd"/>
      <w:r w:rsidRPr="005202AA">
        <w:rPr>
          <w:rFonts w:asciiTheme="majorBidi" w:hAnsiTheme="majorBidi" w:cstheme="majorBidi"/>
          <w:sz w:val="20"/>
          <w:szCs w:val="20"/>
          <w:lang w:val="fr-FR"/>
        </w:rPr>
        <w:t xml:space="preserve"> artérielle </w:t>
      </w:r>
      <w:proofErr w:type="spellStart"/>
      <w:r w:rsidRPr="005202AA">
        <w:rPr>
          <w:rFonts w:asciiTheme="majorBidi" w:hAnsiTheme="majorBidi" w:cstheme="majorBidi"/>
          <w:sz w:val="20"/>
          <w:szCs w:val="20"/>
          <w:lang w:val="fr-FR"/>
        </w:rPr>
        <w:t>infraclinique</w:t>
      </w:r>
      <w:proofErr w:type="spellEnd"/>
      <w:r w:rsidRPr="005202AA">
        <w:rPr>
          <w:rFonts w:asciiTheme="majorBidi" w:hAnsiTheme="majorBidi" w:cstheme="majorBidi"/>
          <w:sz w:val="20"/>
          <w:szCs w:val="20"/>
          <w:lang w:val="fr-FR"/>
        </w:rPr>
        <w:t xml:space="preserve"> et de reclasser le patient dans la catégorie de haut risque et de mettre en route une stratégie plus agressive de prévention des maladies cardiovasculaires.</w:t>
      </w:r>
    </w:p>
    <w:p w14:paraId="1B9BB84C" w14:textId="117954EC" w:rsidR="006C0FAB" w:rsidRPr="005202AA" w:rsidRDefault="006C0FAB" w:rsidP="006C0FAB">
      <w:pPr>
        <w:jc w:val="both"/>
        <w:rPr>
          <w:rFonts w:asciiTheme="majorBidi" w:eastAsia="Times New Roman" w:hAnsiTheme="majorBidi" w:cstheme="majorBidi"/>
          <w:sz w:val="20"/>
          <w:szCs w:val="20"/>
          <w:lang w:val="fr-FR"/>
        </w:rPr>
      </w:pPr>
      <w:r w:rsidRPr="005202AA">
        <w:rPr>
          <w:rFonts w:asciiTheme="majorBidi" w:eastAsia="Times New Roman" w:hAnsiTheme="majorBidi" w:cstheme="majorBidi"/>
          <w:sz w:val="20"/>
          <w:szCs w:val="20"/>
          <w:lang w:val="fr-FR"/>
        </w:rPr>
        <w:t>Malgré la valeur pronostique démontrée de la VOP, son applicabilité clinique à grande échelle reste limitée.</w:t>
      </w:r>
    </w:p>
    <w:p w14:paraId="7042F722" w14:textId="77777777" w:rsidR="007E2239" w:rsidRPr="009179FB" w:rsidRDefault="007E2239" w:rsidP="007E2239">
      <w:pPr>
        <w:pStyle w:val="Els-1storder-head"/>
        <w:numPr>
          <w:ilvl w:val="0"/>
          <w:numId w:val="0"/>
        </w:numPr>
        <w:rPr>
          <w:lang w:val="fr-FR"/>
        </w:rPr>
      </w:pPr>
      <w:r w:rsidRPr="009179FB">
        <w:rPr>
          <w:lang w:val="fr-FR"/>
        </w:rPr>
        <w:t xml:space="preserve">Conflits </w:t>
      </w:r>
      <w:r w:rsidRPr="00B650FE">
        <w:rPr>
          <w:lang w:val="fr-FR"/>
        </w:rPr>
        <w:t>d’intérêt</w:t>
      </w:r>
    </w:p>
    <w:p w14:paraId="540FB50F" w14:textId="0AB47670" w:rsidR="007E2239" w:rsidRPr="005202AA" w:rsidRDefault="007E2239" w:rsidP="007E2239">
      <w:pPr>
        <w:pStyle w:val="p"/>
        <w:shd w:val="clear" w:color="auto" w:fill="FFFFFF"/>
        <w:spacing w:before="166" w:beforeAutospacing="0" w:after="166" w:afterAutospacing="0"/>
        <w:jc w:val="both"/>
        <w:rPr>
          <w:sz w:val="20"/>
          <w:szCs w:val="20"/>
          <w:lang w:val="fr-FR"/>
        </w:rPr>
      </w:pPr>
      <w:r w:rsidRPr="005202AA">
        <w:rPr>
          <w:sz w:val="20"/>
          <w:szCs w:val="20"/>
          <w:lang w:val="fr-FR"/>
        </w:rPr>
        <w:t>L’auteur déclare n’avoir aucun lien d’intérêt.</w:t>
      </w:r>
    </w:p>
    <w:p w14:paraId="48304B07" w14:textId="77777777" w:rsidR="004A7CF9" w:rsidRPr="00381C67" w:rsidRDefault="004A7CF9" w:rsidP="007E2239">
      <w:pPr>
        <w:pStyle w:val="p"/>
        <w:shd w:val="clear" w:color="auto" w:fill="FFFFFF"/>
        <w:spacing w:before="166" w:beforeAutospacing="0" w:after="166" w:afterAutospacing="0"/>
        <w:jc w:val="both"/>
        <w:rPr>
          <w:sz w:val="20"/>
          <w:szCs w:val="20"/>
          <w:lang w:val="fr-FR"/>
        </w:rPr>
      </w:pPr>
    </w:p>
    <w:p w14:paraId="7F70C7F6" w14:textId="77777777" w:rsidR="007E2239" w:rsidRPr="005202AA" w:rsidRDefault="007E2239" w:rsidP="007E2239">
      <w:pPr>
        <w:autoSpaceDE w:val="0"/>
        <w:autoSpaceDN w:val="0"/>
        <w:adjustRightInd w:val="0"/>
        <w:ind w:left="1800" w:hanging="1800"/>
        <w:contextualSpacing/>
        <w:rPr>
          <w:rFonts w:asciiTheme="majorBidi" w:hAnsiTheme="majorBidi" w:cstheme="majorBidi"/>
          <w:b/>
          <w:bCs/>
          <w:color w:val="000000" w:themeColor="text1"/>
          <w:sz w:val="20"/>
          <w:szCs w:val="20"/>
          <w:lang w:val="fr-FR"/>
        </w:rPr>
      </w:pPr>
      <w:r w:rsidRPr="005202AA">
        <w:rPr>
          <w:rFonts w:asciiTheme="majorBidi" w:hAnsiTheme="majorBidi" w:cstheme="majorBidi"/>
          <w:b/>
          <w:bCs/>
          <w:sz w:val="20"/>
          <w:szCs w:val="20"/>
          <w:lang w:val="fr-FR"/>
        </w:rPr>
        <w:t>LISTE DES ABREVIATIONS</w:t>
      </w:r>
    </w:p>
    <w:p w14:paraId="24B42DE4" w14:textId="77777777" w:rsidR="007E2239" w:rsidRPr="005202AA" w:rsidRDefault="007E2239" w:rsidP="007E2239">
      <w:pPr>
        <w:autoSpaceDE w:val="0"/>
        <w:autoSpaceDN w:val="0"/>
        <w:adjustRightInd w:val="0"/>
        <w:ind w:left="1800" w:hanging="1800"/>
        <w:contextualSpacing/>
        <w:rPr>
          <w:rFonts w:asciiTheme="majorBidi" w:hAnsiTheme="majorBidi" w:cstheme="majorBidi"/>
          <w:b/>
          <w:bCs/>
          <w:sz w:val="20"/>
          <w:szCs w:val="20"/>
          <w:lang w:val="fr-FR"/>
        </w:rPr>
      </w:pPr>
    </w:p>
    <w:p w14:paraId="2F5151AE"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sz w:val="20"/>
          <w:szCs w:val="20"/>
          <w:lang w:val="fr-FR"/>
        </w:rPr>
      </w:pPr>
      <w:r w:rsidRPr="005202AA">
        <w:rPr>
          <w:rFonts w:asciiTheme="majorBidi" w:hAnsiTheme="majorBidi" w:cstheme="majorBidi"/>
          <w:b/>
          <w:bCs/>
          <w:sz w:val="20"/>
          <w:szCs w:val="20"/>
          <w:lang w:val="fr-FR"/>
        </w:rPr>
        <w:t xml:space="preserve">BMI: </w:t>
      </w:r>
      <w:r w:rsidRPr="005202AA">
        <w:rPr>
          <w:rFonts w:asciiTheme="majorBidi" w:hAnsiTheme="majorBidi" w:cstheme="majorBidi"/>
          <w:sz w:val="20"/>
          <w:szCs w:val="20"/>
          <w:lang w:val="fr-FR"/>
        </w:rPr>
        <w:t>body mass index</w:t>
      </w:r>
    </w:p>
    <w:p w14:paraId="5DB74F7C"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b/>
          <w:bCs/>
          <w:color w:val="000000" w:themeColor="text1"/>
          <w:sz w:val="20"/>
          <w:szCs w:val="20"/>
          <w:lang w:val="fr-FR"/>
        </w:rPr>
        <w:t>CRMC </w:t>
      </w:r>
      <w:r w:rsidRPr="005202AA">
        <w:rPr>
          <w:rFonts w:asciiTheme="majorBidi" w:hAnsiTheme="majorBidi" w:cstheme="majorBidi"/>
          <w:color w:val="000000" w:themeColor="text1"/>
          <w:sz w:val="20"/>
          <w:szCs w:val="20"/>
          <w:lang w:val="fr-FR"/>
        </w:rPr>
        <w:t xml:space="preserve">: Centre Régional Médico- Chirurgical </w:t>
      </w:r>
    </w:p>
    <w:p w14:paraId="5C7128A1"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b/>
          <w:bCs/>
          <w:color w:val="000000" w:themeColor="text1"/>
          <w:sz w:val="20"/>
          <w:szCs w:val="20"/>
          <w:lang w:val="fr-FR"/>
        </w:rPr>
        <w:t>FC</w:t>
      </w:r>
      <w:r w:rsidRPr="005202AA">
        <w:rPr>
          <w:rFonts w:asciiTheme="majorBidi" w:hAnsiTheme="majorBidi" w:cstheme="majorBidi"/>
          <w:color w:val="000000" w:themeColor="text1"/>
          <w:sz w:val="20"/>
          <w:szCs w:val="20"/>
          <w:lang w:val="fr-FR"/>
        </w:rPr>
        <w:t xml:space="preserve"> :la fréquence cardiaque </w:t>
      </w:r>
    </w:p>
    <w:p w14:paraId="7C30877E"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sz w:val="20"/>
          <w:szCs w:val="20"/>
          <w:lang w:val="fr-FR"/>
        </w:rPr>
      </w:pPr>
      <w:r w:rsidRPr="005202AA">
        <w:rPr>
          <w:rFonts w:asciiTheme="majorBidi" w:hAnsiTheme="majorBidi" w:cstheme="majorBidi"/>
          <w:b/>
          <w:bCs/>
          <w:sz w:val="20"/>
          <w:szCs w:val="20"/>
          <w:lang w:val="fr-FR"/>
        </w:rPr>
        <w:t xml:space="preserve">FDRCV: </w:t>
      </w:r>
      <w:r w:rsidRPr="005202AA">
        <w:rPr>
          <w:rFonts w:asciiTheme="majorBidi" w:hAnsiTheme="majorBidi" w:cstheme="majorBidi"/>
          <w:sz w:val="20"/>
          <w:szCs w:val="20"/>
          <w:lang w:val="fr-FR"/>
        </w:rPr>
        <w:t>facteurs de risque cardiovasculaires</w:t>
      </w:r>
    </w:p>
    <w:p w14:paraId="6CCAF943"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b/>
          <w:bCs/>
          <w:sz w:val="20"/>
          <w:szCs w:val="20"/>
          <w:lang w:val="fr-FR"/>
        </w:rPr>
      </w:pPr>
      <w:r w:rsidRPr="005202AA">
        <w:rPr>
          <w:rFonts w:asciiTheme="majorBidi" w:hAnsiTheme="majorBidi" w:cstheme="majorBidi"/>
          <w:b/>
          <w:bCs/>
          <w:sz w:val="20"/>
          <w:szCs w:val="20"/>
          <w:shd w:val="clear" w:color="auto" w:fill="FFFFFF"/>
          <w:lang w:val="fr-FR"/>
        </w:rPr>
        <w:t xml:space="preserve">IA : </w:t>
      </w:r>
      <w:r w:rsidRPr="005202AA">
        <w:rPr>
          <w:rFonts w:asciiTheme="majorBidi" w:hAnsiTheme="majorBidi" w:cstheme="majorBidi"/>
          <w:sz w:val="20"/>
          <w:szCs w:val="20"/>
          <w:shd w:val="clear" w:color="auto" w:fill="FFFFFF"/>
          <w:lang w:val="fr-FR"/>
        </w:rPr>
        <w:t>index d’augmentation</w:t>
      </w:r>
    </w:p>
    <w:p w14:paraId="41C96F5C"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b/>
          <w:bCs/>
          <w:sz w:val="20"/>
          <w:szCs w:val="20"/>
          <w:lang w:val="fr-FR"/>
        </w:rPr>
      </w:pPr>
      <w:r w:rsidRPr="005202AA">
        <w:rPr>
          <w:rFonts w:asciiTheme="majorBidi" w:hAnsiTheme="majorBidi" w:cstheme="majorBidi"/>
          <w:b/>
          <w:bCs/>
          <w:sz w:val="20"/>
          <w:szCs w:val="20"/>
          <w:lang w:val="fr-FR"/>
        </w:rPr>
        <w:t xml:space="preserve">INSP : </w:t>
      </w:r>
      <w:r w:rsidRPr="005202AA">
        <w:rPr>
          <w:rFonts w:asciiTheme="majorBidi" w:hAnsiTheme="majorBidi" w:cstheme="majorBidi"/>
          <w:sz w:val="20"/>
          <w:szCs w:val="20"/>
          <w:lang w:val="fr-FR"/>
        </w:rPr>
        <w:t>Institut National de Santé Publique</w:t>
      </w:r>
    </w:p>
    <w:p w14:paraId="67C1E52D"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b/>
          <w:bCs/>
          <w:color w:val="000000" w:themeColor="text1"/>
          <w:sz w:val="20"/>
          <w:szCs w:val="20"/>
          <w:lang w:val="fr-FR"/>
        </w:rPr>
        <w:t>MCV</w:t>
      </w:r>
      <w:r w:rsidRPr="005202AA">
        <w:rPr>
          <w:rFonts w:asciiTheme="majorBidi" w:hAnsiTheme="majorBidi" w:cstheme="majorBidi"/>
          <w:color w:val="000000" w:themeColor="text1"/>
          <w:sz w:val="20"/>
          <w:szCs w:val="20"/>
          <w:lang w:val="fr-FR"/>
        </w:rPr>
        <w:t xml:space="preserve"> : les maladies cardiovasculaires </w:t>
      </w:r>
    </w:p>
    <w:p w14:paraId="1481D780"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sz w:val="20"/>
          <w:szCs w:val="20"/>
          <w:lang w:val="fr-FR"/>
        </w:rPr>
      </w:pPr>
      <w:r w:rsidRPr="005202AA">
        <w:rPr>
          <w:rFonts w:asciiTheme="majorBidi" w:hAnsiTheme="majorBidi" w:cstheme="majorBidi"/>
          <w:b/>
          <w:bCs/>
          <w:sz w:val="20"/>
          <w:szCs w:val="20"/>
          <w:lang w:val="fr-FR"/>
        </w:rPr>
        <w:t xml:space="preserve">PWV: </w:t>
      </w:r>
      <w:r w:rsidRPr="005202AA">
        <w:rPr>
          <w:rFonts w:asciiTheme="majorBidi" w:hAnsiTheme="majorBidi" w:cstheme="majorBidi"/>
          <w:sz w:val="20"/>
          <w:szCs w:val="20"/>
          <w:lang w:val="fr-FR"/>
        </w:rPr>
        <w:t xml:space="preserve">pulse </w:t>
      </w:r>
      <w:proofErr w:type="spellStart"/>
      <w:r w:rsidRPr="005202AA">
        <w:rPr>
          <w:rFonts w:asciiTheme="majorBidi" w:hAnsiTheme="majorBidi" w:cstheme="majorBidi"/>
          <w:sz w:val="20"/>
          <w:szCs w:val="20"/>
          <w:lang w:val="fr-FR"/>
        </w:rPr>
        <w:t>wave</w:t>
      </w:r>
      <w:proofErr w:type="spellEnd"/>
      <w:r w:rsidRPr="005202AA">
        <w:rPr>
          <w:rFonts w:asciiTheme="majorBidi" w:hAnsiTheme="majorBidi" w:cstheme="majorBidi"/>
          <w:sz w:val="20"/>
          <w:szCs w:val="20"/>
          <w:lang w:val="fr-FR"/>
        </w:rPr>
        <w:t xml:space="preserve"> </w:t>
      </w:r>
      <w:proofErr w:type="spellStart"/>
      <w:r w:rsidRPr="005202AA">
        <w:rPr>
          <w:rFonts w:asciiTheme="majorBidi" w:hAnsiTheme="majorBidi" w:cstheme="majorBidi"/>
          <w:sz w:val="20"/>
          <w:szCs w:val="20"/>
          <w:lang w:val="fr-FR"/>
        </w:rPr>
        <w:t>velocity</w:t>
      </w:r>
      <w:proofErr w:type="spellEnd"/>
      <w:r w:rsidRPr="005202AA">
        <w:rPr>
          <w:rFonts w:asciiTheme="majorBidi" w:hAnsiTheme="majorBidi" w:cstheme="majorBidi"/>
          <w:sz w:val="20"/>
          <w:szCs w:val="20"/>
          <w:lang w:val="fr-FR"/>
        </w:rPr>
        <w:t xml:space="preserve">; </w:t>
      </w:r>
    </w:p>
    <w:p w14:paraId="54350F68"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b/>
          <w:bCs/>
          <w:color w:val="000000" w:themeColor="text1"/>
          <w:sz w:val="20"/>
          <w:szCs w:val="20"/>
          <w:lang w:val="fr-FR"/>
        </w:rPr>
        <w:t>PAD</w:t>
      </w:r>
      <w:r w:rsidRPr="005202AA">
        <w:rPr>
          <w:rFonts w:asciiTheme="majorBidi" w:hAnsiTheme="majorBidi" w:cstheme="majorBidi"/>
          <w:color w:val="000000" w:themeColor="text1"/>
          <w:sz w:val="20"/>
          <w:szCs w:val="20"/>
          <w:lang w:val="fr-FR"/>
        </w:rPr>
        <w:t> : la pression artérielle diastolique</w:t>
      </w:r>
    </w:p>
    <w:p w14:paraId="129CF4AE"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color w:val="000000" w:themeColor="text1"/>
          <w:sz w:val="20"/>
          <w:szCs w:val="20"/>
          <w:lang w:val="fr-FR"/>
        </w:rPr>
      </w:pPr>
      <w:r w:rsidRPr="005202AA">
        <w:rPr>
          <w:rFonts w:asciiTheme="majorBidi" w:hAnsiTheme="majorBidi" w:cstheme="majorBidi"/>
          <w:b/>
          <w:bCs/>
          <w:color w:val="000000" w:themeColor="text1"/>
          <w:sz w:val="20"/>
          <w:szCs w:val="20"/>
          <w:lang w:val="fr-FR"/>
        </w:rPr>
        <w:t>PAS</w:t>
      </w:r>
      <w:r w:rsidRPr="005202AA">
        <w:rPr>
          <w:rFonts w:asciiTheme="majorBidi" w:hAnsiTheme="majorBidi" w:cstheme="majorBidi"/>
          <w:color w:val="000000" w:themeColor="text1"/>
          <w:sz w:val="20"/>
          <w:szCs w:val="20"/>
          <w:lang w:val="fr-FR"/>
        </w:rPr>
        <w:t> : la pression artérielle systolique</w:t>
      </w:r>
    </w:p>
    <w:p w14:paraId="2A638045"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b/>
          <w:bCs/>
          <w:color w:val="000000" w:themeColor="text1"/>
          <w:sz w:val="20"/>
          <w:szCs w:val="20"/>
          <w:lang w:val="fr-FR"/>
        </w:rPr>
      </w:pPr>
      <w:r w:rsidRPr="005202AA">
        <w:rPr>
          <w:rFonts w:asciiTheme="majorBidi" w:hAnsiTheme="majorBidi" w:cstheme="majorBidi"/>
          <w:b/>
          <w:bCs/>
          <w:color w:val="000000" w:themeColor="text1"/>
          <w:sz w:val="20"/>
          <w:szCs w:val="20"/>
          <w:lang w:val="fr-FR"/>
        </w:rPr>
        <w:t>PP</w:t>
      </w:r>
      <w:r w:rsidRPr="005202AA">
        <w:rPr>
          <w:rFonts w:asciiTheme="majorBidi" w:hAnsiTheme="majorBidi" w:cstheme="majorBidi"/>
          <w:color w:val="000000" w:themeColor="text1"/>
          <w:sz w:val="20"/>
          <w:szCs w:val="20"/>
          <w:lang w:val="fr-FR"/>
        </w:rPr>
        <w:t> : la pression artérielle pulsée</w:t>
      </w:r>
    </w:p>
    <w:p w14:paraId="463C8E5D"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sz w:val="20"/>
          <w:szCs w:val="20"/>
          <w:lang w:val="fr-FR"/>
        </w:rPr>
      </w:pPr>
      <w:r w:rsidRPr="005202AA">
        <w:rPr>
          <w:rFonts w:asciiTheme="majorBidi" w:hAnsiTheme="majorBidi" w:cstheme="majorBidi"/>
          <w:b/>
          <w:bCs/>
          <w:sz w:val="20"/>
          <w:szCs w:val="20"/>
          <w:lang w:val="fr-FR"/>
        </w:rPr>
        <w:t xml:space="preserve">RCVG: </w:t>
      </w:r>
      <w:r w:rsidRPr="005202AA">
        <w:rPr>
          <w:rFonts w:asciiTheme="majorBidi" w:hAnsiTheme="majorBidi" w:cstheme="majorBidi"/>
          <w:sz w:val="20"/>
          <w:szCs w:val="20"/>
          <w:lang w:val="fr-FR"/>
        </w:rPr>
        <w:t>Risque cardiovasculaire global</w:t>
      </w:r>
    </w:p>
    <w:p w14:paraId="1C2E6193" w14:textId="77777777" w:rsidR="007E2239" w:rsidRPr="005202AA" w:rsidRDefault="007E2239" w:rsidP="00E20B19">
      <w:pPr>
        <w:autoSpaceDE w:val="0"/>
        <w:autoSpaceDN w:val="0"/>
        <w:adjustRightInd w:val="0"/>
        <w:ind w:left="1800" w:hanging="1800"/>
        <w:contextualSpacing/>
        <w:jc w:val="both"/>
        <w:rPr>
          <w:rFonts w:asciiTheme="majorBidi" w:hAnsiTheme="majorBidi" w:cstheme="majorBidi"/>
          <w:b/>
          <w:bCs/>
          <w:color w:val="000000" w:themeColor="text1"/>
          <w:sz w:val="20"/>
          <w:szCs w:val="20"/>
          <w:lang w:val="fr-FR"/>
        </w:rPr>
      </w:pPr>
      <w:r w:rsidRPr="005202AA">
        <w:rPr>
          <w:rFonts w:asciiTheme="majorBidi" w:hAnsiTheme="majorBidi" w:cstheme="majorBidi"/>
          <w:b/>
          <w:bCs/>
          <w:sz w:val="20"/>
          <w:szCs w:val="20"/>
          <w:lang w:val="fr-FR"/>
        </w:rPr>
        <w:t xml:space="preserve">VOP </w:t>
      </w:r>
      <w:proofErr w:type="spellStart"/>
      <w:r w:rsidRPr="005202AA">
        <w:rPr>
          <w:rFonts w:asciiTheme="majorBidi" w:hAnsiTheme="majorBidi" w:cstheme="majorBidi"/>
          <w:b/>
          <w:bCs/>
          <w:sz w:val="20"/>
          <w:szCs w:val="20"/>
          <w:lang w:val="fr-FR"/>
        </w:rPr>
        <w:t>c-f</w:t>
      </w:r>
      <w:proofErr w:type="spellEnd"/>
      <w:r w:rsidRPr="005202AA">
        <w:rPr>
          <w:rFonts w:asciiTheme="majorBidi" w:hAnsiTheme="majorBidi" w:cstheme="majorBidi"/>
          <w:b/>
          <w:bCs/>
          <w:sz w:val="20"/>
          <w:szCs w:val="20"/>
          <w:lang w:val="fr-FR"/>
        </w:rPr>
        <w:t xml:space="preserve">: </w:t>
      </w:r>
      <w:r w:rsidRPr="005202AA">
        <w:rPr>
          <w:rFonts w:asciiTheme="majorBidi" w:hAnsiTheme="majorBidi" w:cstheme="majorBidi"/>
          <w:sz w:val="20"/>
          <w:szCs w:val="20"/>
          <w:lang w:val="fr-FR"/>
        </w:rPr>
        <w:t xml:space="preserve">vitesse de l’onde de pouls carotido-fémorale </w:t>
      </w:r>
    </w:p>
    <w:p w14:paraId="7436D5ED" w14:textId="331E2E95" w:rsidR="007E2239" w:rsidRPr="005202AA" w:rsidRDefault="007E2239" w:rsidP="00E20B19">
      <w:pPr>
        <w:autoSpaceDE w:val="0"/>
        <w:autoSpaceDN w:val="0"/>
        <w:adjustRightInd w:val="0"/>
        <w:ind w:left="1800" w:hanging="1800"/>
        <w:contextualSpacing/>
        <w:jc w:val="both"/>
        <w:rPr>
          <w:rFonts w:asciiTheme="majorBidi" w:hAnsiTheme="majorBidi" w:cstheme="majorBidi"/>
          <w:b/>
          <w:bCs/>
          <w:color w:val="000000" w:themeColor="text1"/>
          <w:sz w:val="20"/>
          <w:szCs w:val="20"/>
          <w:lang w:val="fr-FR"/>
        </w:rPr>
      </w:pPr>
      <w:r w:rsidRPr="005202AA">
        <w:rPr>
          <w:rFonts w:asciiTheme="majorBidi" w:hAnsiTheme="majorBidi" w:cstheme="majorBidi"/>
          <w:b/>
          <w:bCs/>
          <w:sz w:val="20"/>
          <w:szCs w:val="20"/>
          <w:lang w:val="fr-FR"/>
        </w:rPr>
        <w:t xml:space="preserve">VOP: </w:t>
      </w:r>
      <w:r w:rsidRPr="005202AA">
        <w:rPr>
          <w:rFonts w:asciiTheme="majorBidi" w:hAnsiTheme="majorBidi" w:cstheme="majorBidi"/>
          <w:sz w:val="20"/>
          <w:szCs w:val="20"/>
          <w:lang w:val="fr-FR"/>
        </w:rPr>
        <w:t>vitesse de l’onde de pouls</w:t>
      </w:r>
    </w:p>
    <w:p w14:paraId="6D85CF10" w14:textId="77777777" w:rsidR="00217CA8" w:rsidRPr="00C20B2C" w:rsidRDefault="00217CA8" w:rsidP="006B46BB">
      <w:pPr>
        <w:pStyle w:val="Els-1storder-head"/>
        <w:numPr>
          <w:ilvl w:val="0"/>
          <w:numId w:val="0"/>
        </w:numPr>
        <w:rPr>
          <w:lang w:val="fr-FR"/>
        </w:rPr>
      </w:pPr>
      <w:r w:rsidRPr="00B650FE">
        <w:rPr>
          <w:lang w:val="fr-FR"/>
        </w:rPr>
        <w:t>Remerciement</w:t>
      </w:r>
    </w:p>
    <w:p w14:paraId="71A080B7" w14:textId="0669A0AD" w:rsidR="00217CA8" w:rsidRDefault="000947A4" w:rsidP="000947A4">
      <w:pPr>
        <w:pStyle w:val="p"/>
        <w:shd w:val="clear" w:color="auto" w:fill="FFFFFF"/>
        <w:spacing w:before="166" w:after="166"/>
        <w:jc w:val="both"/>
        <w:rPr>
          <w:rFonts w:eastAsia="SimSun"/>
          <w:sz w:val="20"/>
          <w:szCs w:val="20"/>
          <w:lang w:val="fr-FR"/>
        </w:rPr>
      </w:pPr>
      <w:r w:rsidRPr="000947A4">
        <w:rPr>
          <w:rFonts w:eastAsia="SimSun"/>
          <w:sz w:val="20"/>
          <w:szCs w:val="20"/>
          <w:lang w:val="fr-FR"/>
        </w:rPr>
        <w:t xml:space="preserve">Nous tenons à remercier le professeur </w:t>
      </w:r>
      <w:r>
        <w:rPr>
          <w:rFonts w:eastAsia="SimSun"/>
          <w:sz w:val="20"/>
          <w:szCs w:val="20"/>
          <w:lang w:val="fr-FR"/>
        </w:rPr>
        <w:t xml:space="preserve">Salim Ben Khedda </w:t>
      </w:r>
      <w:r w:rsidRPr="000947A4">
        <w:rPr>
          <w:rFonts w:eastAsia="SimSun"/>
          <w:sz w:val="20"/>
          <w:szCs w:val="20"/>
          <w:lang w:val="fr-FR"/>
        </w:rPr>
        <w:t xml:space="preserve"> pour sa contribution scientifique essentielle au cours de cette étude.</w:t>
      </w:r>
    </w:p>
    <w:p w14:paraId="648EF2B8" w14:textId="77777777" w:rsidR="00A70899" w:rsidRPr="005202AA" w:rsidRDefault="00A70899" w:rsidP="00A70899">
      <w:pPr>
        <w:pStyle w:val="Els-1storder-head"/>
        <w:numPr>
          <w:ilvl w:val="0"/>
          <w:numId w:val="0"/>
        </w:numPr>
        <w:rPr>
          <w:lang w:val="fr-FR"/>
        </w:rPr>
      </w:pPr>
      <w:r w:rsidRPr="005202AA">
        <w:rPr>
          <w:lang w:val="fr-FR"/>
        </w:rPr>
        <w:t>F</w:t>
      </w:r>
      <w:r w:rsidRPr="005202AA">
        <w:rPr>
          <w:sz w:val="20"/>
          <w:lang w:val="fr-FR"/>
        </w:rPr>
        <w:t>inancement</w:t>
      </w:r>
    </w:p>
    <w:p w14:paraId="510B1893" w14:textId="329176A4" w:rsidR="00A70899" w:rsidRDefault="00A70899" w:rsidP="001131EF">
      <w:pPr>
        <w:pStyle w:val="Els-body-text"/>
        <w:spacing w:before="100" w:beforeAutospacing="1" w:after="100" w:afterAutospacing="1" w:line="240" w:lineRule="auto"/>
        <w:ind w:firstLine="0"/>
        <w:rPr>
          <w:sz w:val="20"/>
          <w:lang w:val="fr-FR"/>
        </w:rPr>
      </w:pPr>
      <w:r w:rsidRPr="00A70899">
        <w:rPr>
          <w:sz w:val="20"/>
          <w:lang w:val="fr-FR"/>
        </w:rPr>
        <w:t>Cette recherche n'a reçu aucun financement externe</w:t>
      </w:r>
      <w:r w:rsidR="001131EF">
        <w:rPr>
          <w:sz w:val="20"/>
          <w:lang w:val="fr-FR"/>
        </w:rPr>
        <w:t>.</w:t>
      </w:r>
    </w:p>
    <w:p w14:paraId="191BF01E" w14:textId="5E2465F3" w:rsidR="00A70899" w:rsidRDefault="00A70899" w:rsidP="00A70899">
      <w:pPr>
        <w:pStyle w:val="Els-1storder-head"/>
        <w:numPr>
          <w:ilvl w:val="0"/>
          <w:numId w:val="0"/>
        </w:numPr>
        <w:spacing w:before="100" w:beforeAutospacing="1" w:after="100" w:afterAutospacing="1" w:line="240" w:lineRule="auto"/>
        <w:ind w:left="270" w:hanging="270"/>
        <w:rPr>
          <w:rFonts w:eastAsia="Times New Roman"/>
          <w:sz w:val="20"/>
          <w:szCs w:val="24"/>
          <w:lang w:val="fr-FR"/>
        </w:rPr>
      </w:pPr>
      <w:r>
        <w:rPr>
          <w:rFonts w:eastAsia="Times New Roman"/>
          <w:sz w:val="20"/>
          <w:szCs w:val="24"/>
          <w:lang w:val="fr-FR"/>
        </w:rPr>
        <w:t>Références</w:t>
      </w:r>
    </w:p>
    <w:p w14:paraId="4EC25FF3" w14:textId="77777777" w:rsidR="004A7CF9" w:rsidRPr="00835743" w:rsidRDefault="004A7CF9" w:rsidP="004A7CF9">
      <w:pPr>
        <w:pStyle w:val="Paragraphedeliste"/>
        <w:numPr>
          <w:ilvl w:val="0"/>
          <w:numId w:val="4"/>
        </w:numPr>
        <w:autoSpaceDE w:val="0"/>
        <w:adjustRightInd w:val="0"/>
        <w:jc w:val="both"/>
        <w:rPr>
          <w:rFonts w:asciiTheme="majorBidi" w:hAnsiTheme="majorBidi" w:cstheme="majorBidi"/>
          <w:sz w:val="20"/>
          <w:szCs w:val="20"/>
        </w:rPr>
      </w:pPr>
      <w:r w:rsidRPr="005202AA">
        <w:rPr>
          <w:rFonts w:asciiTheme="majorBidi" w:hAnsiTheme="majorBidi" w:cstheme="majorBidi"/>
          <w:sz w:val="20"/>
          <w:szCs w:val="20"/>
          <w:lang w:val="en-US"/>
        </w:rPr>
        <w:t xml:space="preserve">Townsend N, Wilson L, Bhatnagar P, </w:t>
      </w:r>
      <w:proofErr w:type="spellStart"/>
      <w:r w:rsidRPr="005202AA">
        <w:rPr>
          <w:rFonts w:asciiTheme="majorBidi" w:hAnsiTheme="majorBidi" w:cstheme="majorBidi"/>
          <w:sz w:val="20"/>
          <w:szCs w:val="20"/>
          <w:lang w:val="en-US"/>
        </w:rPr>
        <w:t>Wickramasinghe</w:t>
      </w:r>
      <w:proofErr w:type="spellEnd"/>
      <w:r w:rsidRPr="005202AA">
        <w:rPr>
          <w:rFonts w:asciiTheme="majorBidi" w:hAnsiTheme="majorBidi" w:cstheme="majorBidi"/>
          <w:sz w:val="20"/>
          <w:szCs w:val="20"/>
          <w:lang w:val="en-US"/>
        </w:rPr>
        <w:t xml:space="preserve"> K, Rayner M, Nichols M. Cardiovascular disease in Europe: </w:t>
      </w:r>
      <w:r w:rsidRPr="005202AA">
        <w:rPr>
          <w:rFonts w:asciiTheme="majorBidi" w:hAnsiTheme="majorBidi" w:cstheme="majorBidi"/>
          <w:sz w:val="20"/>
          <w:szCs w:val="20"/>
          <w:lang w:val="en-US"/>
        </w:rPr>
        <w:t xml:space="preserve">epidemiological update 2016. </w:t>
      </w:r>
      <w:proofErr w:type="spellStart"/>
      <w:r w:rsidRPr="005202AA">
        <w:rPr>
          <w:rFonts w:asciiTheme="majorBidi" w:hAnsiTheme="majorBidi" w:cstheme="majorBidi"/>
          <w:sz w:val="20"/>
          <w:szCs w:val="20"/>
          <w:lang w:val="en-US"/>
        </w:rPr>
        <w:t>Eur</w:t>
      </w:r>
      <w:proofErr w:type="spellEnd"/>
      <w:r w:rsidRPr="005202AA">
        <w:rPr>
          <w:rFonts w:asciiTheme="majorBidi" w:hAnsiTheme="majorBidi" w:cstheme="majorBidi"/>
          <w:sz w:val="20"/>
          <w:szCs w:val="20"/>
          <w:lang w:val="en-US"/>
        </w:rPr>
        <w:t xml:space="preserve"> Heart J. 2016 Nov 7;37(42):3232-3245. </w:t>
      </w:r>
      <w:proofErr w:type="spellStart"/>
      <w:r w:rsidRPr="005202AA">
        <w:rPr>
          <w:rFonts w:asciiTheme="majorBidi" w:hAnsiTheme="majorBidi" w:cstheme="majorBidi"/>
          <w:sz w:val="20"/>
          <w:szCs w:val="20"/>
          <w:lang w:val="en-US"/>
        </w:rPr>
        <w:t>doi</w:t>
      </w:r>
      <w:proofErr w:type="spellEnd"/>
      <w:r w:rsidRPr="005202AA">
        <w:rPr>
          <w:rFonts w:asciiTheme="majorBidi" w:hAnsiTheme="majorBidi" w:cstheme="majorBidi"/>
          <w:sz w:val="20"/>
          <w:szCs w:val="20"/>
          <w:lang w:val="en-US"/>
        </w:rPr>
        <w:t>: 10.1093/</w:t>
      </w:r>
      <w:proofErr w:type="spellStart"/>
      <w:r w:rsidRPr="005202AA">
        <w:rPr>
          <w:rFonts w:asciiTheme="majorBidi" w:hAnsiTheme="majorBidi" w:cstheme="majorBidi"/>
          <w:sz w:val="20"/>
          <w:szCs w:val="20"/>
          <w:lang w:val="en-US"/>
        </w:rPr>
        <w:t>eurheartj</w:t>
      </w:r>
      <w:proofErr w:type="spellEnd"/>
      <w:r w:rsidRPr="005202AA">
        <w:rPr>
          <w:rFonts w:asciiTheme="majorBidi" w:hAnsiTheme="majorBidi" w:cstheme="majorBidi"/>
          <w:sz w:val="20"/>
          <w:szCs w:val="20"/>
          <w:lang w:val="en-US"/>
        </w:rPr>
        <w:t xml:space="preserve">/ehw334. </w:t>
      </w:r>
      <w:proofErr w:type="spellStart"/>
      <w:r w:rsidRPr="005202AA">
        <w:rPr>
          <w:rFonts w:asciiTheme="majorBidi" w:hAnsiTheme="majorBidi" w:cstheme="majorBidi"/>
          <w:sz w:val="20"/>
          <w:szCs w:val="20"/>
          <w:lang w:val="en-US"/>
        </w:rPr>
        <w:t>Epub</w:t>
      </w:r>
      <w:proofErr w:type="spellEnd"/>
      <w:r w:rsidRPr="005202AA">
        <w:rPr>
          <w:rFonts w:asciiTheme="majorBidi" w:hAnsiTheme="majorBidi" w:cstheme="majorBidi"/>
          <w:sz w:val="20"/>
          <w:szCs w:val="20"/>
          <w:lang w:val="en-US"/>
        </w:rPr>
        <w:t xml:space="preserve"> 2016 Aug 14. Erratum in: </w:t>
      </w:r>
      <w:proofErr w:type="spellStart"/>
      <w:r w:rsidRPr="005202AA">
        <w:rPr>
          <w:rFonts w:asciiTheme="majorBidi" w:hAnsiTheme="majorBidi" w:cstheme="majorBidi"/>
          <w:sz w:val="20"/>
          <w:szCs w:val="20"/>
          <w:lang w:val="en-US"/>
        </w:rPr>
        <w:t>Eur</w:t>
      </w:r>
      <w:proofErr w:type="spellEnd"/>
      <w:r w:rsidRPr="005202AA">
        <w:rPr>
          <w:rFonts w:asciiTheme="majorBidi" w:hAnsiTheme="majorBidi" w:cstheme="majorBidi"/>
          <w:sz w:val="20"/>
          <w:szCs w:val="20"/>
          <w:lang w:val="en-US"/>
        </w:rPr>
        <w:t xml:space="preserve"> Heart J. 2019 Jan 7;40(2):189. </w:t>
      </w:r>
      <w:r w:rsidRPr="00FA6A71">
        <w:rPr>
          <w:rFonts w:asciiTheme="majorBidi" w:hAnsiTheme="majorBidi" w:cstheme="majorBidi"/>
          <w:sz w:val="20"/>
          <w:szCs w:val="20"/>
        </w:rPr>
        <w:t>PMID: 27523477</w:t>
      </w:r>
    </w:p>
    <w:p w14:paraId="11E7C28D" w14:textId="77777777" w:rsidR="004A7CF9" w:rsidRPr="00835743" w:rsidRDefault="004A7CF9" w:rsidP="004A7CF9">
      <w:pPr>
        <w:pStyle w:val="Paragraphedeliste"/>
        <w:numPr>
          <w:ilvl w:val="0"/>
          <w:numId w:val="4"/>
        </w:numPr>
        <w:autoSpaceDE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Lallukka</w:t>
      </w:r>
      <w:proofErr w:type="spellEnd"/>
      <w:r w:rsidRPr="005202AA">
        <w:rPr>
          <w:rFonts w:asciiTheme="majorBidi" w:hAnsiTheme="majorBidi" w:cstheme="majorBidi"/>
          <w:sz w:val="20"/>
          <w:szCs w:val="20"/>
          <w:lang w:val="en-US"/>
        </w:rPr>
        <w:t xml:space="preserve">, T., &amp; </w:t>
      </w:r>
      <w:proofErr w:type="spellStart"/>
      <w:r w:rsidRPr="005202AA">
        <w:rPr>
          <w:rFonts w:asciiTheme="majorBidi" w:hAnsiTheme="majorBidi" w:cstheme="majorBidi"/>
          <w:sz w:val="20"/>
          <w:szCs w:val="20"/>
          <w:lang w:val="en-US"/>
        </w:rPr>
        <w:t>Millear</w:t>
      </w:r>
      <w:proofErr w:type="spellEnd"/>
      <w:r w:rsidRPr="005202AA">
        <w:rPr>
          <w:rFonts w:asciiTheme="majorBidi" w:hAnsiTheme="majorBidi" w:cstheme="majorBidi"/>
          <w:sz w:val="20"/>
          <w:szCs w:val="20"/>
          <w:lang w:val="en-US"/>
        </w:rPr>
        <w:t>, A. (2016). Global, regional, and national life expectancy, all-cause mortality, and cause-</w:t>
      </w:r>
      <w:proofErr w:type="spellStart"/>
      <w:r w:rsidRPr="005202AA">
        <w:rPr>
          <w:rFonts w:asciiTheme="majorBidi" w:hAnsiTheme="majorBidi" w:cstheme="majorBidi"/>
          <w:sz w:val="20"/>
          <w:szCs w:val="20"/>
          <w:lang w:val="en-US"/>
        </w:rPr>
        <w:t>specifi</w:t>
      </w:r>
      <w:proofErr w:type="spellEnd"/>
      <w:r w:rsidRPr="005202AA">
        <w:rPr>
          <w:rFonts w:asciiTheme="majorBidi" w:hAnsiTheme="majorBidi" w:cstheme="majorBidi"/>
          <w:sz w:val="20"/>
          <w:szCs w:val="20"/>
          <w:lang w:val="en-US"/>
        </w:rPr>
        <w:t xml:space="preserve"> c mortality for 249 causes of death, 1980–2015: a systematic analysis for the Global Burden of Disease Study 2015. </w:t>
      </w:r>
      <w:r w:rsidRPr="00FA6A71">
        <w:rPr>
          <w:rFonts w:asciiTheme="majorBidi" w:hAnsiTheme="majorBidi" w:cstheme="majorBidi"/>
          <w:sz w:val="20"/>
          <w:szCs w:val="20"/>
        </w:rPr>
        <w:t>Lancet , 388, 1459–1544)</w:t>
      </w:r>
    </w:p>
    <w:p w14:paraId="031F4377" w14:textId="77777777" w:rsidR="004A7CF9" w:rsidRPr="00835743" w:rsidRDefault="004A7CF9" w:rsidP="004A7CF9">
      <w:pPr>
        <w:pStyle w:val="Paragraphedeliste"/>
        <w:numPr>
          <w:ilvl w:val="0"/>
          <w:numId w:val="4"/>
        </w:numPr>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Vlachopoulos</w:t>
      </w:r>
      <w:proofErr w:type="spellEnd"/>
      <w:r w:rsidRPr="005202AA">
        <w:rPr>
          <w:rFonts w:asciiTheme="majorBidi" w:hAnsiTheme="majorBidi" w:cstheme="majorBidi"/>
          <w:sz w:val="20"/>
          <w:szCs w:val="20"/>
          <w:lang w:val="en-US"/>
        </w:rPr>
        <w:t xml:space="preserve"> C., </w:t>
      </w:r>
      <w:proofErr w:type="spellStart"/>
      <w:r w:rsidRPr="005202AA">
        <w:rPr>
          <w:rFonts w:asciiTheme="majorBidi" w:hAnsiTheme="majorBidi" w:cstheme="majorBidi"/>
          <w:sz w:val="20"/>
          <w:szCs w:val="20"/>
          <w:lang w:val="en-US"/>
        </w:rPr>
        <w:t>Aznaouridis</w:t>
      </w:r>
      <w:proofErr w:type="spellEnd"/>
      <w:r w:rsidRPr="005202AA">
        <w:rPr>
          <w:rFonts w:asciiTheme="majorBidi" w:hAnsiTheme="majorBidi" w:cstheme="majorBidi"/>
          <w:sz w:val="20"/>
          <w:szCs w:val="20"/>
          <w:lang w:val="en-US"/>
        </w:rPr>
        <w:t xml:space="preserve"> K., </w:t>
      </w:r>
      <w:proofErr w:type="spellStart"/>
      <w:r w:rsidRPr="005202AA">
        <w:rPr>
          <w:rFonts w:asciiTheme="majorBidi" w:hAnsiTheme="majorBidi" w:cstheme="majorBidi"/>
          <w:sz w:val="20"/>
          <w:szCs w:val="20"/>
          <w:lang w:val="en-US"/>
        </w:rPr>
        <w:t>Stefanadis</w:t>
      </w:r>
      <w:proofErr w:type="spellEnd"/>
      <w:r w:rsidRPr="005202AA">
        <w:rPr>
          <w:rFonts w:asciiTheme="majorBidi" w:hAnsiTheme="majorBidi" w:cstheme="majorBidi"/>
          <w:sz w:val="20"/>
          <w:szCs w:val="20"/>
          <w:lang w:val="en-US"/>
        </w:rPr>
        <w:t xml:space="preserve"> C.; Prediction of cardiovascular events and </w:t>
      </w:r>
      <w:proofErr w:type="spellStart"/>
      <w:r w:rsidRPr="005202AA">
        <w:rPr>
          <w:rFonts w:asciiTheme="majorBidi" w:hAnsiTheme="majorBidi" w:cstheme="majorBidi"/>
          <w:sz w:val="20"/>
          <w:szCs w:val="20"/>
          <w:lang w:val="en-US"/>
        </w:rPr>
        <w:t>allcause</w:t>
      </w:r>
      <w:proofErr w:type="spellEnd"/>
      <w:r w:rsidRPr="005202AA">
        <w:rPr>
          <w:rFonts w:asciiTheme="majorBidi" w:hAnsiTheme="majorBidi" w:cstheme="majorBidi"/>
          <w:sz w:val="20"/>
          <w:szCs w:val="20"/>
          <w:lang w:val="en-US"/>
        </w:rPr>
        <w:t xml:space="preserve"> mortality with arterial stiffness: a systematic review and meta-analysis. </w:t>
      </w:r>
      <w:r w:rsidRPr="00835743">
        <w:rPr>
          <w:rFonts w:asciiTheme="majorBidi" w:hAnsiTheme="majorBidi" w:cstheme="majorBidi"/>
          <w:sz w:val="20"/>
          <w:szCs w:val="20"/>
        </w:rPr>
        <w:t xml:space="preserve">J Am </w:t>
      </w:r>
      <w:proofErr w:type="spellStart"/>
      <w:r w:rsidRPr="00835743">
        <w:rPr>
          <w:rFonts w:asciiTheme="majorBidi" w:hAnsiTheme="majorBidi" w:cstheme="majorBidi"/>
          <w:sz w:val="20"/>
          <w:szCs w:val="20"/>
        </w:rPr>
        <w:t>CollCardiol</w:t>
      </w:r>
      <w:proofErr w:type="spellEnd"/>
      <w:r w:rsidRPr="00835743">
        <w:rPr>
          <w:rFonts w:asciiTheme="majorBidi" w:hAnsiTheme="majorBidi" w:cstheme="majorBidi"/>
          <w:sz w:val="20"/>
          <w:szCs w:val="20"/>
        </w:rPr>
        <w:t>. 2010;55:1318-1327.</w:t>
      </w:r>
    </w:p>
    <w:p w14:paraId="616BCE19" w14:textId="77777777" w:rsidR="004A7CF9" w:rsidRPr="00835743" w:rsidRDefault="004A7CF9" w:rsidP="004A7CF9">
      <w:pPr>
        <w:pStyle w:val="Paragraphedeliste"/>
        <w:numPr>
          <w:ilvl w:val="0"/>
          <w:numId w:val="4"/>
        </w:numPr>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Mancia</w:t>
      </w:r>
      <w:proofErr w:type="spellEnd"/>
      <w:r w:rsidRPr="005202AA">
        <w:rPr>
          <w:rFonts w:asciiTheme="majorBidi" w:hAnsiTheme="majorBidi" w:cstheme="majorBidi"/>
          <w:sz w:val="20"/>
          <w:szCs w:val="20"/>
          <w:lang w:val="en-US"/>
        </w:rPr>
        <w:t xml:space="preserve"> G, </w:t>
      </w:r>
      <w:proofErr w:type="spellStart"/>
      <w:r w:rsidRPr="005202AA">
        <w:rPr>
          <w:rFonts w:asciiTheme="majorBidi" w:hAnsiTheme="majorBidi" w:cstheme="majorBidi"/>
          <w:sz w:val="20"/>
          <w:szCs w:val="20"/>
          <w:lang w:val="en-US"/>
        </w:rPr>
        <w:t>Fagard</w:t>
      </w:r>
      <w:proofErr w:type="spellEnd"/>
      <w:r w:rsidRPr="005202AA">
        <w:rPr>
          <w:rFonts w:asciiTheme="majorBidi" w:hAnsiTheme="majorBidi" w:cstheme="majorBidi"/>
          <w:sz w:val="20"/>
          <w:szCs w:val="20"/>
          <w:lang w:val="en-US"/>
        </w:rPr>
        <w:t xml:space="preserve"> R, </w:t>
      </w:r>
      <w:proofErr w:type="spellStart"/>
      <w:r w:rsidRPr="005202AA">
        <w:rPr>
          <w:rFonts w:asciiTheme="majorBidi" w:hAnsiTheme="majorBidi" w:cstheme="majorBidi"/>
          <w:sz w:val="20"/>
          <w:szCs w:val="20"/>
          <w:lang w:val="en-US"/>
        </w:rPr>
        <w:t>Narkiewicz</w:t>
      </w:r>
      <w:proofErr w:type="spellEnd"/>
      <w:r w:rsidRPr="005202AA">
        <w:rPr>
          <w:rFonts w:asciiTheme="majorBidi" w:hAnsiTheme="majorBidi" w:cstheme="majorBidi"/>
          <w:sz w:val="20"/>
          <w:szCs w:val="20"/>
          <w:lang w:val="en-US"/>
        </w:rPr>
        <w:t xml:space="preserve"> </w:t>
      </w:r>
      <w:proofErr w:type="spellStart"/>
      <w:r w:rsidRPr="005202AA">
        <w:rPr>
          <w:rFonts w:asciiTheme="majorBidi" w:hAnsiTheme="majorBidi" w:cstheme="majorBidi"/>
          <w:sz w:val="20"/>
          <w:szCs w:val="20"/>
          <w:lang w:val="en-US"/>
        </w:rPr>
        <w:t>K,et</w:t>
      </w:r>
      <w:proofErr w:type="spellEnd"/>
      <w:r w:rsidRPr="005202AA">
        <w:rPr>
          <w:rFonts w:asciiTheme="majorBidi" w:hAnsiTheme="majorBidi" w:cstheme="majorBidi"/>
          <w:sz w:val="20"/>
          <w:szCs w:val="20"/>
          <w:lang w:val="en-US"/>
        </w:rPr>
        <w:t xml:space="preserve"> al. 2013 ESH/ESC Guidelines for the management of arterial hypertension: </w:t>
      </w:r>
      <w:proofErr w:type="spellStart"/>
      <w:r w:rsidRPr="005202AA">
        <w:rPr>
          <w:rFonts w:asciiTheme="majorBidi" w:hAnsiTheme="majorBidi" w:cstheme="majorBidi"/>
          <w:sz w:val="20"/>
          <w:szCs w:val="20"/>
          <w:lang w:val="en-US"/>
        </w:rPr>
        <w:t>TheTask</w:t>
      </w:r>
      <w:proofErr w:type="spellEnd"/>
      <w:r w:rsidRPr="005202AA">
        <w:rPr>
          <w:rFonts w:asciiTheme="majorBidi" w:hAnsiTheme="majorBidi" w:cstheme="majorBidi"/>
          <w:sz w:val="20"/>
          <w:szCs w:val="20"/>
          <w:lang w:val="en-US"/>
        </w:rPr>
        <w:t xml:space="preserve"> Force for the management </w:t>
      </w:r>
      <w:proofErr w:type="spellStart"/>
      <w:r w:rsidRPr="005202AA">
        <w:rPr>
          <w:rFonts w:asciiTheme="majorBidi" w:hAnsiTheme="majorBidi" w:cstheme="majorBidi"/>
          <w:sz w:val="20"/>
          <w:szCs w:val="20"/>
          <w:lang w:val="en-US"/>
        </w:rPr>
        <w:t>ofarterial</w:t>
      </w:r>
      <w:proofErr w:type="spellEnd"/>
      <w:r w:rsidRPr="005202AA">
        <w:rPr>
          <w:rFonts w:asciiTheme="majorBidi" w:hAnsiTheme="majorBidi" w:cstheme="majorBidi"/>
          <w:sz w:val="20"/>
          <w:szCs w:val="20"/>
          <w:lang w:val="en-US"/>
        </w:rPr>
        <w:t xml:space="preserve"> hypertension of the European Society of Hypertension (ESH) and of the European Society of Cardiology (ESC). </w:t>
      </w:r>
      <w:r w:rsidRPr="00835743">
        <w:rPr>
          <w:rFonts w:asciiTheme="majorBidi" w:hAnsiTheme="majorBidi" w:cstheme="majorBidi"/>
          <w:sz w:val="20"/>
          <w:szCs w:val="20"/>
        </w:rPr>
        <w:t xml:space="preserve">J Hypertens2013, 31:1281–1357 </w:t>
      </w:r>
    </w:p>
    <w:p w14:paraId="7FCE72D1"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Mancia</w:t>
      </w:r>
      <w:proofErr w:type="spellEnd"/>
      <w:r w:rsidRPr="005202AA">
        <w:rPr>
          <w:rFonts w:asciiTheme="majorBidi" w:hAnsiTheme="majorBidi" w:cstheme="majorBidi"/>
          <w:sz w:val="20"/>
          <w:szCs w:val="20"/>
          <w:lang w:val="en-US"/>
        </w:rPr>
        <w:t xml:space="preserve"> G, De Backer G, </w:t>
      </w:r>
      <w:proofErr w:type="spellStart"/>
      <w:r w:rsidRPr="005202AA">
        <w:rPr>
          <w:rFonts w:asciiTheme="majorBidi" w:hAnsiTheme="majorBidi" w:cstheme="majorBidi"/>
          <w:sz w:val="20"/>
          <w:szCs w:val="20"/>
          <w:lang w:val="en-US"/>
        </w:rPr>
        <w:t>Dominiczak</w:t>
      </w:r>
      <w:proofErr w:type="spellEnd"/>
      <w:r w:rsidRPr="005202AA">
        <w:rPr>
          <w:rFonts w:asciiTheme="majorBidi" w:hAnsiTheme="majorBidi" w:cstheme="majorBidi"/>
          <w:sz w:val="20"/>
          <w:szCs w:val="20"/>
          <w:lang w:val="en-US"/>
        </w:rPr>
        <w:t xml:space="preserve"> A, et al. 2007 Guidelines for the Management of </w:t>
      </w:r>
      <w:proofErr w:type="spellStart"/>
      <w:r w:rsidRPr="005202AA">
        <w:rPr>
          <w:rFonts w:asciiTheme="majorBidi" w:hAnsiTheme="majorBidi" w:cstheme="majorBidi"/>
          <w:sz w:val="20"/>
          <w:szCs w:val="20"/>
          <w:lang w:val="en-US"/>
        </w:rPr>
        <w:t>ArterialHypertension</w:t>
      </w:r>
      <w:proofErr w:type="spellEnd"/>
      <w:r w:rsidRPr="005202AA">
        <w:rPr>
          <w:rFonts w:asciiTheme="majorBidi" w:hAnsiTheme="majorBidi" w:cstheme="majorBidi"/>
          <w:sz w:val="20"/>
          <w:szCs w:val="20"/>
          <w:lang w:val="en-US"/>
        </w:rPr>
        <w:t xml:space="preserve">: The Task Force for the Management of Arterial Hypertension of the European Society of Hypertension (ESH) and of the European Society of Cardiology (ESC). </w:t>
      </w:r>
      <w:r w:rsidRPr="00835743">
        <w:rPr>
          <w:rFonts w:asciiTheme="majorBidi" w:hAnsiTheme="majorBidi" w:cstheme="majorBidi"/>
          <w:sz w:val="20"/>
          <w:szCs w:val="20"/>
        </w:rPr>
        <w:t xml:space="preserve">J. </w:t>
      </w:r>
      <w:proofErr w:type="spellStart"/>
      <w:r w:rsidRPr="00835743">
        <w:rPr>
          <w:rFonts w:asciiTheme="majorBidi" w:hAnsiTheme="majorBidi" w:cstheme="majorBidi"/>
          <w:sz w:val="20"/>
          <w:szCs w:val="20"/>
        </w:rPr>
        <w:t>Hypertens</w:t>
      </w:r>
      <w:proofErr w:type="spellEnd"/>
      <w:r w:rsidRPr="00835743">
        <w:rPr>
          <w:rFonts w:asciiTheme="majorBidi" w:hAnsiTheme="majorBidi" w:cstheme="majorBidi"/>
          <w:sz w:val="20"/>
          <w:szCs w:val="20"/>
        </w:rPr>
        <w:t>. 2007;25(6):1105-1187.</w:t>
      </w:r>
    </w:p>
    <w:p w14:paraId="2E17B5B0"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McEniery</w:t>
      </w:r>
      <w:proofErr w:type="spellEnd"/>
      <w:r w:rsidRPr="005202AA">
        <w:rPr>
          <w:rFonts w:asciiTheme="majorBidi" w:hAnsiTheme="majorBidi" w:cstheme="majorBidi"/>
          <w:sz w:val="20"/>
          <w:szCs w:val="20"/>
          <w:lang w:val="en-US"/>
        </w:rPr>
        <w:t xml:space="preserve">, C.M., Yasmin, I.R. Hall, A. </w:t>
      </w:r>
      <w:proofErr w:type="spellStart"/>
      <w:r w:rsidRPr="005202AA">
        <w:rPr>
          <w:rFonts w:asciiTheme="majorBidi" w:hAnsiTheme="majorBidi" w:cstheme="majorBidi"/>
          <w:sz w:val="20"/>
          <w:szCs w:val="20"/>
          <w:lang w:val="en-US"/>
        </w:rPr>
        <w:t>Qasem</w:t>
      </w:r>
      <w:proofErr w:type="spellEnd"/>
      <w:r w:rsidRPr="005202AA">
        <w:rPr>
          <w:rFonts w:asciiTheme="majorBidi" w:hAnsiTheme="majorBidi" w:cstheme="majorBidi"/>
          <w:sz w:val="20"/>
          <w:szCs w:val="20"/>
          <w:lang w:val="en-US"/>
        </w:rPr>
        <w:t xml:space="preserve">, I.B. Wilkinson, and J.R. Cockcroft, Normal vascular aging: differential effects on wave reflection and aortic pulse wave velocity: the </w:t>
      </w:r>
      <w:proofErr w:type="spellStart"/>
      <w:r w:rsidRPr="005202AA">
        <w:rPr>
          <w:rFonts w:asciiTheme="majorBidi" w:hAnsiTheme="majorBidi" w:cstheme="majorBidi"/>
          <w:sz w:val="20"/>
          <w:szCs w:val="20"/>
          <w:lang w:val="en-US"/>
        </w:rPr>
        <w:t>AngloCardiff</w:t>
      </w:r>
      <w:proofErr w:type="spellEnd"/>
      <w:r w:rsidRPr="005202AA">
        <w:rPr>
          <w:rFonts w:asciiTheme="majorBidi" w:hAnsiTheme="majorBidi" w:cstheme="majorBidi"/>
          <w:sz w:val="20"/>
          <w:szCs w:val="20"/>
          <w:lang w:val="en-US"/>
        </w:rPr>
        <w:t xml:space="preserve"> Collaborative Trial (ACCT). </w:t>
      </w:r>
      <w:r w:rsidRPr="00835743">
        <w:rPr>
          <w:rFonts w:asciiTheme="majorBidi" w:hAnsiTheme="majorBidi" w:cstheme="majorBidi"/>
          <w:sz w:val="20"/>
          <w:szCs w:val="20"/>
        </w:rPr>
        <w:t xml:space="preserve">J Am </w:t>
      </w:r>
      <w:proofErr w:type="spellStart"/>
      <w:r w:rsidRPr="00835743">
        <w:rPr>
          <w:rFonts w:asciiTheme="majorBidi" w:hAnsiTheme="majorBidi" w:cstheme="majorBidi"/>
          <w:sz w:val="20"/>
          <w:szCs w:val="20"/>
        </w:rPr>
        <w:t>Coll</w:t>
      </w:r>
      <w:proofErr w:type="spellEnd"/>
      <w:r w:rsidRPr="00835743">
        <w:rPr>
          <w:rFonts w:asciiTheme="majorBidi" w:hAnsiTheme="majorBidi" w:cstheme="majorBidi"/>
          <w:sz w:val="20"/>
          <w:szCs w:val="20"/>
        </w:rPr>
        <w:t xml:space="preserve"> </w:t>
      </w:r>
      <w:proofErr w:type="spellStart"/>
      <w:r w:rsidRPr="00835743">
        <w:rPr>
          <w:rFonts w:asciiTheme="majorBidi" w:hAnsiTheme="majorBidi" w:cstheme="majorBidi"/>
          <w:sz w:val="20"/>
          <w:szCs w:val="20"/>
        </w:rPr>
        <w:t>Cardiol</w:t>
      </w:r>
      <w:proofErr w:type="spellEnd"/>
      <w:r w:rsidRPr="00835743">
        <w:rPr>
          <w:rFonts w:asciiTheme="majorBidi" w:hAnsiTheme="majorBidi" w:cstheme="majorBidi"/>
          <w:sz w:val="20"/>
          <w:szCs w:val="20"/>
        </w:rPr>
        <w:t>, 2005. 46: p. 1753-60</w:t>
      </w:r>
    </w:p>
    <w:p w14:paraId="5EA1DADB" w14:textId="77777777" w:rsidR="004A7CF9" w:rsidRPr="005202AA"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lang w:val="en-US"/>
        </w:rPr>
      </w:pPr>
      <w:proofErr w:type="spellStart"/>
      <w:r w:rsidRPr="005202AA">
        <w:rPr>
          <w:rFonts w:asciiTheme="majorBidi" w:hAnsiTheme="majorBidi" w:cstheme="majorBidi"/>
          <w:sz w:val="20"/>
          <w:szCs w:val="20"/>
          <w:lang w:val="en-US"/>
        </w:rPr>
        <w:t>Rafel</w:t>
      </w:r>
      <w:proofErr w:type="spellEnd"/>
      <w:r w:rsidRPr="005202AA">
        <w:rPr>
          <w:rFonts w:asciiTheme="majorBidi" w:hAnsiTheme="majorBidi" w:cstheme="majorBidi"/>
          <w:sz w:val="20"/>
          <w:szCs w:val="20"/>
          <w:lang w:val="en-US"/>
        </w:rPr>
        <w:t xml:space="preserve"> Ramos Blanes, Ruth Marti, </w:t>
      </w:r>
      <w:proofErr w:type="spellStart"/>
      <w:r w:rsidRPr="005202AA">
        <w:rPr>
          <w:rFonts w:asciiTheme="majorBidi" w:hAnsiTheme="majorBidi" w:cstheme="majorBidi"/>
          <w:sz w:val="20"/>
          <w:szCs w:val="20"/>
          <w:lang w:val="en-US"/>
        </w:rPr>
        <w:t>Didac</w:t>
      </w:r>
      <w:proofErr w:type="spellEnd"/>
      <w:r w:rsidRPr="005202AA">
        <w:rPr>
          <w:rFonts w:asciiTheme="majorBidi" w:hAnsiTheme="majorBidi" w:cstheme="majorBidi"/>
          <w:sz w:val="20"/>
          <w:szCs w:val="20"/>
          <w:lang w:val="en-US"/>
        </w:rPr>
        <w:t xml:space="preserve"> </w:t>
      </w:r>
      <w:proofErr w:type="spellStart"/>
      <w:r w:rsidRPr="005202AA">
        <w:rPr>
          <w:rFonts w:asciiTheme="majorBidi" w:hAnsiTheme="majorBidi" w:cstheme="majorBidi"/>
          <w:sz w:val="20"/>
          <w:szCs w:val="20"/>
          <w:lang w:val="en-US"/>
        </w:rPr>
        <w:t>Parramon</w:t>
      </w:r>
      <w:proofErr w:type="spellEnd"/>
      <w:r w:rsidRPr="005202AA">
        <w:rPr>
          <w:rFonts w:asciiTheme="majorBidi" w:hAnsiTheme="majorBidi" w:cstheme="majorBidi"/>
          <w:sz w:val="20"/>
          <w:szCs w:val="20"/>
          <w:lang w:val="en-US"/>
        </w:rPr>
        <w:t xml:space="preserve"> et al. Prevalence of arterial stiffness in a Mediterranean population and the potential value of Cardio Ankle Vascular Index to stratify cardiovascular risk: Preliminary results of The Mark </w:t>
      </w:r>
      <w:proofErr w:type="spellStart"/>
      <w:r w:rsidRPr="005202AA">
        <w:rPr>
          <w:rFonts w:asciiTheme="majorBidi" w:hAnsiTheme="majorBidi" w:cstheme="majorBidi"/>
          <w:sz w:val="20"/>
          <w:szCs w:val="20"/>
          <w:lang w:val="en-US"/>
        </w:rPr>
        <w:t>study.CAVI</w:t>
      </w:r>
      <w:proofErr w:type="spellEnd"/>
      <w:r w:rsidRPr="005202AA">
        <w:rPr>
          <w:rFonts w:asciiTheme="majorBidi" w:hAnsiTheme="majorBidi" w:cstheme="majorBidi"/>
          <w:sz w:val="20"/>
          <w:szCs w:val="20"/>
          <w:lang w:val="en-US"/>
        </w:rPr>
        <w:t xml:space="preserve"> Now and Futurevol2,2013</w:t>
      </w:r>
    </w:p>
    <w:p w14:paraId="0255ED10"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r w:rsidRPr="005202AA">
        <w:rPr>
          <w:rFonts w:asciiTheme="majorBidi" w:hAnsiTheme="majorBidi" w:cstheme="majorBidi"/>
          <w:sz w:val="20"/>
          <w:szCs w:val="20"/>
          <w:lang w:val="en-US"/>
        </w:rPr>
        <w:t xml:space="preserve">Simon AC, Levenson J, </w:t>
      </w:r>
      <w:proofErr w:type="spellStart"/>
      <w:r w:rsidRPr="005202AA">
        <w:rPr>
          <w:rFonts w:asciiTheme="majorBidi" w:hAnsiTheme="majorBidi" w:cstheme="majorBidi"/>
          <w:sz w:val="20"/>
          <w:szCs w:val="20"/>
          <w:lang w:val="en-US"/>
        </w:rPr>
        <w:t>Bouthier</w:t>
      </w:r>
      <w:proofErr w:type="spellEnd"/>
      <w:r w:rsidRPr="005202AA">
        <w:rPr>
          <w:rFonts w:asciiTheme="majorBidi" w:hAnsiTheme="majorBidi" w:cstheme="majorBidi"/>
          <w:sz w:val="20"/>
          <w:szCs w:val="20"/>
          <w:lang w:val="en-US"/>
        </w:rPr>
        <w:t xml:space="preserve"> J, Safar ME, Avolio </w:t>
      </w:r>
      <w:proofErr w:type="spellStart"/>
      <w:r w:rsidRPr="005202AA">
        <w:rPr>
          <w:rFonts w:asciiTheme="majorBidi" w:hAnsiTheme="majorBidi" w:cstheme="majorBidi"/>
          <w:sz w:val="20"/>
          <w:szCs w:val="20"/>
          <w:lang w:val="en-US"/>
        </w:rPr>
        <w:t>AP..Evidence</w:t>
      </w:r>
      <w:proofErr w:type="spellEnd"/>
      <w:r w:rsidRPr="005202AA">
        <w:rPr>
          <w:rFonts w:asciiTheme="majorBidi" w:hAnsiTheme="majorBidi" w:cstheme="majorBidi"/>
          <w:sz w:val="20"/>
          <w:szCs w:val="20"/>
          <w:lang w:val="en-US"/>
        </w:rPr>
        <w:t xml:space="preserve"> of early degenerative changes in large arteries in human essential hypertension. </w:t>
      </w:r>
      <w:r w:rsidRPr="00835743">
        <w:rPr>
          <w:rFonts w:asciiTheme="majorBidi" w:hAnsiTheme="majorBidi" w:cstheme="majorBidi"/>
          <w:sz w:val="20"/>
          <w:szCs w:val="20"/>
        </w:rPr>
        <w:t xml:space="preserve">Hypertension. 1985 Sep-Oct;7(5):675- 80. </w:t>
      </w:r>
    </w:p>
    <w:p w14:paraId="357428B3"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Kaess</w:t>
      </w:r>
      <w:proofErr w:type="spellEnd"/>
      <w:r w:rsidRPr="005202AA">
        <w:rPr>
          <w:rFonts w:asciiTheme="majorBidi" w:hAnsiTheme="majorBidi" w:cstheme="majorBidi"/>
          <w:sz w:val="20"/>
          <w:szCs w:val="20"/>
          <w:lang w:val="en-US"/>
        </w:rPr>
        <w:t xml:space="preserve"> BM, </w:t>
      </w:r>
      <w:proofErr w:type="spellStart"/>
      <w:r w:rsidRPr="005202AA">
        <w:rPr>
          <w:rFonts w:asciiTheme="majorBidi" w:hAnsiTheme="majorBidi" w:cstheme="majorBidi"/>
          <w:sz w:val="20"/>
          <w:szCs w:val="20"/>
          <w:lang w:val="en-US"/>
        </w:rPr>
        <w:t>Rong</w:t>
      </w:r>
      <w:proofErr w:type="spellEnd"/>
      <w:r w:rsidRPr="005202AA">
        <w:rPr>
          <w:rFonts w:asciiTheme="majorBidi" w:hAnsiTheme="majorBidi" w:cstheme="majorBidi"/>
          <w:sz w:val="20"/>
          <w:szCs w:val="20"/>
          <w:lang w:val="en-US"/>
        </w:rPr>
        <w:t xml:space="preserve"> J, Larson MG, Hamburg NM, Vita JA, Levy D, et al. Aortic stiffness, blood pressure progression, and incident hypertension. JAMA : the journal of the </w:t>
      </w:r>
      <w:r w:rsidRPr="005202AA">
        <w:rPr>
          <w:rFonts w:asciiTheme="majorBidi" w:hAnsiTheme="majorBidi" w:cstheme="majorBidi"/>
          <w:sz w:val="20"/>
          <w:szCs w:val="20"/>
          <w:lang w:val="en-US"/>
        </w:rPr>
        <w:lastRenderedPageBreak/>
        <w:t xml:space="preserve">American Medical Association. </w:t>
      </w:r>
      <w:r w:rsidRPr="00835743">
        <w:rPr>
          <w:rFonts w:asciiTheme="majorBidi" w:hAnsiTheme="majorBidi" w:cstheme="majorBidi"/>
          <w:sz w:val="20"/>
          <w:szCs w:val="20"/>
        </w:rPr>
        <w:t xml:space="preserve">2012 Sep 5;308(9):875-81 </w:t>
      </w:r>
    </w:p>
    <w:p w14:paraId="444A231C"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Nürnberger</w:t>
      </w:r>
      <w:proofErr w:type="spellEnd"/>
      <w:r w:rsidRPr="005202AA">
        <w:rPr>
          <w:rFonts w:asciiTheme="majorBidi" w:hAnsiTheme="majorBidi" w:cstheme="majorBidi"/>
          <w:sz w:val="20"/>
          <w:szCs w:val="20"/>
          <w:lang w:val="en-US"/>
        </w:rPr>
        <w:t xml:space="preserve"> J, </w:t>
      </w:r>
      <w:proofErr w:type="spellStart"/>
      <w:r w:rsidRPr="005202AA">
        <w:rPr>
          <w:rFonts w:asciiTheme="majorBidi" w:hAnsiTheme="majorBidi" w:cstheme="majorBidi"/>
          <w:sz w:val="20"/>
          <w:szCs w:val="20"/>
          <w:lang w:val="en-US"/>
        </w:rPr>
        <w:t>Dammer</w:t>
      </w:r>
      <w:proofErr w:type="spellEnd"/>
      <w:r w:rsidRPr="005202AA">
        <w:rPr>
          <w:rFonts w:asciiTheme="majorBidi" w:hAnsiTheme="majorBidi" w:cstheme="majorBidi"/>
          <w:sz w:val="20"/>
          <w:szCs w:val="20"/>
          <w:lang w:val="en-US"/>
        </w:rPr>
        <w:t xml:space="preserve"> S, </w:t>
      </w:r>
      <w:proofErr w:type="spellStart"/>
      <w:r w:rsidRPr="005202AA">
        <w:rPr>
          <w:rFonts w:asciiTheme="majorBidi" w:hAnsiTheme="majorBidi" w:cstheme="majorBidi"/>
          <w:sz w:val="20"/>
          <w:szCs w:val="20"/>
          <w:lang w:val="en-US"/>
        </w:rPr>
        <w:t>Opazo</w:t>
      </w:r>
      <w:proofErr w:type="spellEnd"/>
      <w:r w:rsidRPr="005202AA">
        <w:rPr>
          <w:rFonts w:asciiTheme="majorBidi" w:hAnsiTheme="majorBidi" w:cstheme="majorBidi"/>
          <w:sz w:val="20"/>
          <w:szCs w:val="20"/>
          <w:lang w:val="en-US"/>
        </w:rPr>
        <w:t xml:space="preserve"> </w:t>
      </w:r>
      <w:proofErr w:type="spellStart"/>
      <w:r w:rsidRPr="005202AA">
        <w:rPr>
          <w:rFonts w:asciiTheme="majorBidi" w:hAnsiTheme="majorBidi" w:cstheme="majorBidi"/>
          <w:sz w:val="20"/>
          <w:szCs w:val="20"/>
          <w:lang w:val="en-US"/>
        </w:rPr>
        <w:t>Saez</w:t>
      </w:r>
      <w:proofErr w:type="spellEnd"/>
      <w:r w:rsidRPr="005202AA">
        <w:rPr>
          <w:rFonts w:asciiTheme="majorBidi" w:hAnsiTheme="majorBidi" w:cstheme="majorBidi"/>
          <w:sz w:val="20"/>
          <w:szCs w:val="20"/>
          <w:lang w:val="en-US"/>
        </w:rPr>
        <w:t xml:space="preserve"> A, Philipp T, </w:t>
      </w:r>
      <w:proofErr w:type="spellStart"/>
      <w:r w:rsidRPr="005202AA">
        <w:rPr>
          <w:rFonts w:asciiTheme="majorBidi" w:hAnsiTheme="majorBidi" w:cstheme="majorBidi"/>
          <w:sz w:val="20"/>
          <w:szCs w:val="20"/>
          <w:lang w:val="en-US"/>
        </w:rPr>
        <w:t>Schafers</w:t>
      </w:r>
      <w:proofErr w:type="spellEnd"/>
      <w:r w:rsidRPr="005202AA">
        <w:rPr>
          <w:rFonts w:asciiTheme="majorBidi" w:hAnsiTheme="majorBidi" w:cstheme="majorBidi"/>
          <w:sz w:val="20"/>
          <w:szCs w:val="20"/>
          <w:lang w:val="en-US"/>
        </w:rPr>
        <w:t xml:space="preserve"> RF. Diastolic blood pressure is an important determinant of augmentation index and pulse wave velocity in young, healthy males. </w:t>
      </w:r>
      <w:r w:rsidRPr="00835743">
        <w:rPr>
          <w:rFonts w:asciiTheme="majorBidi" w:hAnsiTheme="majorBidi" w:cstheme="majorBidi"/>
          <w:sz w:val="20"/>
          <w:szCs w:val="20"/>
        </w:rPr>
        <w:t xml:space="preserve">J Hum </w:t>
      </w:r>
      <w:proofErr w:type="spellStart"/>
      <w:r w:rsidRPr="00835743">
        <w:rPr>
          <w:rFonts w:asciiTheme="majorBidi" w:hAnsiTheme="majorBidi" w:cstheme="majorBidi"/>
          <w:sz w:val="20"/>
          <w:szCs w:val="20"/>
        </w:rPr>
        <w:t>Hypertens</w:t>
      </w:r>
      <w:proofErr w:type="spellEnd"/>
      <w:r w:rsidRPr="00835743">
        <w:rPr>
          <w:rFonts w:asciiTheme="majorBidi" w:hAnsiTheme="majorBidi" w:cstheme="majorBidi"/>
          <w:sz w:val="20"/>
          <w:szCs w:val="20"/>
        </w:rPr>
        <w:t xml:space="preserve"> 2003; 17: 153–158 </w:t>
      </w:r>
    </w:p>
    <w:p w14:paraId="6B31CFF9"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r w:rsidRPr="005202AA">
        <w:rPr>
          <w:rFonts w:asciiTheme="majorBidi" w:hAnsiTheme="majorBidi" w:cstheme="majorBidi"/>
          <w:sz w:val="20"/>
          <w:szCs w:val="20"/>
          <w:lang w:val="en-US"/>
        </w:rPr>
        <w:t xml:space="preserve">Franklin SS, </w:t>
      </w:r>
      <w:proofErr w:type="spellStart"/>
      <w:r w:rsidRPr="005202AA">
        <w:rPr>
          <w:rFonts w:asciiTheme="majorBidi" w:hAnsiTheme="majorBidi" w:cstheme="majorBidi"/>
          <w:sz w:val="20"/>
          <w:szCs w:val="20"/>
          <w:lang w:val="en-US"/>
        </w:rPr>
        <w:t>Gustin</w:t>
      </w:r>
      <w:proofErr w:type="spellEnd"/>
      <w:r w:rsidRPr="005202AA">
        <w:rPr>
          <w:rFonts w:asciiTheme="majorBidi" w:hAnsiTheme="majorBidi" w:cstheme="majorBidi"/>
          <w:sz w:val="20"/>
          <w:szCs w:val="20"/>
          <w:lang w:val="en-US"/>
        </w:rPr>
        <w:t xml:space="preserve"> WT, Wong ND, Larson MG, Weber MA, </w:t>
      </w:r>
      <w:proofErr w:type="spellStart"/>
      <w:r w:rsidRPr="005202AA">
        <w:rPr>
          <w:rFonts w:asciiTheme="majorBidi" w:hAnsiTheme="majorBidi" w:cstheme="majorBidi"/>
          <w:sz w:val="20"/>
          <w:szCs w:val="20"/>
          <w:lang w:val="en-US"/>
        </w:rPr>
        <w:t>Kannel</w:t>
      </w:r>
      <w:proofErr w:type="spellEnd"/>
      <w:r w:rsidRPr="005202AA">
        <w:rPr>
          <w:rFonts w:asciiTheme="majorBidi" w:hAnsiTheme="majorBidi" w:cstheme="majorBidi"/>
          <w:sz w:val="20"/>
          <w:szCs w:val="20"/>
          <w:lang w:val="en-US"/>
        </w:rPr>
        <w:t xml:space="preserve"> WB et al. Hemodynamic patterns of age-related changes in blood pressure. The Framingham heart study. </w:t>
      </w:r>
      <w:r w:rsidRPr="00835743">
        <w:rPr>
          <w:rFonts w:asciiTheme="majorBidi" w:hAnsiTheme="majorBidi" w:cstheme="majorBidi"/>
          <w:sz w:val="20"/>
          <w:szCs w:val="20"/>
        </w:rPr>
        <w:t>Circulation 1997; 96: 308–315.</w:t>
      </w:r>
    </w:p>
    <w:p w14:paraId="71046563" w14:textId="77777777" w:rsidR="004A7CF9" w:rsidRPr="00835743"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Ngim</w:t>
      </w:r>
      <w:proofErr w:type="spellEnd"/>
      <w:r w:rsidRPr="005202AA">
        <w:rPr>
          <w:rFonts w:asciiTheme="majorBidi" w:hAnsiTheme="majorBidi" w:cstheme="majorBidi"/>
          <w:sz w:val="20"/>
          <w:szCs w:val="20"/>
          <w:lang w:val="en-US"/>
        </w:rPr>
        <w:t xml:space="preserve"> CA, Abdul Rahman AR, Ibrahim A. Pulse wave velocity as an index of arterial stiffness: a comparison between newly diagnosed (untreated) hypertensive and normotensive middle-aged Malay men and its relationship with fasting insulin. </w:t>
      </w:r>
      <w:r w:rsidRPr="00835743">
        <w:rPr>
          <w:rFonts w:asciiTheme="majorBidi" w:hAnsiTheme="majorBidi" w:cstheme="majorBidi"/>
          <w:sz w:val="20"/>
          <w:szCs w:val="20"/>
        </w:rPr>
        <w:t xml:space="preserve">Acta </w:t>
      </w:r>
      <w:proofErr w:type="spellStart"/>
      <w:r w:rsidRPr="00835743">
        <w:rPr>
          <w:rFonts w:asciiTheme="majorBidi" w:hAnsiTheme="majorBidi" w:cstheme="majorBidi"/>
          <w:sz w:val="20"/>
          <w:szCs w:val="20"/>
        </w:rPr>
        <w:t>Cardiol</w:t>
      </w:r>
      <w:proofErr w:type="spellEnd"/>
      <w:r w:rsidRPr="00835743">
        <w:rPr>
          <w:rFonts w:asciiTheme="majorBidi" w:hAnsiTheme="majorBidi" w:cstheme="majorBidi"/>
          <w:sz w:val="20"/>
          <w:szCs w:val="20"/>
        </w:rPr>
        <w:t xml:space="preserve"> 1999; 54: 277–282.</w:t>
      </w:r>
    </w:p>
    <w:p w14:paraId="50B27063" w14:textId="77777777" w:rsidR="004A7CF9"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rPr>
      </w:pPr>
      <w:proofErr w:type="spellStart"/>
      <w:r w:rsidRPr="005202AA">
        <w:rPr>
          <w:rFonts w:asciiTheme="majorBidi" w:hAnsiTheme="majorBidi" w:cstheme="majorBidi"/>
          <w:sz w:val="20"/>
          <w:szCs w:val="20"/>
          <w:lang w:val="en-US"/>
        </w:rPr>
        <w:t>Endes</w:t>
      </w:r>
      <w:proofErr w:type="spellEnd"/>
      <w:r w:rsidRPr="005202AA">
        <w:rPr>
          <w:rFonts w:asciiTheme="majorBidi" w:hAnsiTheme="majorBidi" w:cstheme="majorBidi"/>
          <w:sz w:val="20"/>
          <w:szCs w:val="20"/>
          <w:lang w:val="en-US"/>
        </w:rPr>
        <w:t xml:space="preserve"> S, Schaffner E, </w:t>
      </w:r>
      <w:proofErr w:type="spellStart"/>
      <w:r w:rsidRPr="005202AA">
        <w:rPr>
          <w:rFonts w:asciiTheme="majorBidi" w:hAnsiTheme="majorBidi" w:cstheme="majorBidi"/>
          <w:sz w:val="20"/>
          <w:szCs w:val="20"/>
          <w:lang w:val="en-US"/>
        </w:rPr>
        <w:t>Caviezel</w:t>
      </w:r>
      <w:proofErr w:type="spellEnd"/>
      <w:r w:rsidRPr="005202AA">
        <w:rPr>
          <w:rFonts w:asciiTheme="majorBidi" w:hAnsiTheme="majorBidi" w:cstheme="majorBidi"/>
          <w:sz w:val="20"/>
          <w:szCs w:val="20"/>
          <w:lang w:val="en-US"/>
        </w:rPr>
        <w:t xml:space="preserve"> S, et </w:t>
      </w:r>
      <w:proofErr w:type="spellStart"/>
      <w:r w:rsidRPr="005202AA">
        <w:rPr>
          <w:rFonts w:asciiTheme="majorBidi" w:hAnsiTheme="majorBidi" w:cstheme="majorBidi"/>
          <w:sz w:val="20"/>
          <w:szCs w:val="20"/>
          <w:lang w:val="en-US"/>
        </w:rPr>
        <w:t>al.Long</w:t>
      </w:r>
      <w:proofErr w:type="spellEnd"/>
      <w:r w:rsidRPr="005202AA">
        <w:rPr>
          <w:rFonts w:asciiTheme="majorBidi" w:hAnsiTheme="majorBidi" w:cstheme="majorBidi"/>
          <w:sz w:val="20"/>
          <w:szCs w:val="20"/>
          <w:lang w:val="en-US"/>
        </w:rPr>
        <w:t xml:space="preserve">-term physical activity is associated with reduced arterial stiffness in older adults: longitudinal results of the SAPALDIA cohort </w:t>
      </w:r>
      <w:proofErr w:type="spellStart"/>
      <w:r w:rsidRPr="005202AA">
        <w:rPr>
          <w:rFonts w:asciiTheme="majorBidi" w:hAnsiTheme="majorBidi" w:cstheme="majorBidi"/>
          <w:sz w:val="20"/>
          <w:szCs w:val="20"/>
          <w:lang w:val="en-US"/>
        </w:rPr>
        <w:t>study.Age</w:t>
      </w:r>
      <w:proofErr w:type="spellEnd"/>
      <w:r w:rsidRPr="005202AA">
        <w:rPr>
          <w:rFonts w:asciiTheme="majorBidi" w:hAnsiTheme="majorBidi" w:cstheme="majorBidi"/>
          <w:sz w:val="20"/>
          <w:szCs w:val="20"/>
          <w:lang w:val="en-US"/>
        </w:rPr>
        <w:t xml:space="preserve"> Ageing. </w:t>
      </w:r>
      <w:r w:rsidRPr="00835743">
        <w:rPr>
          <w:rFonts w:asciiTheme="majorBidi" w:hAnsiTheme="majorBidi" w:cstheme="majorBidi"/>
          <w:sz w:val="20"/>
          <w:szCs w:val="20"/>
        </w:rPr>
        <w:t>2016 Jan;45 (1):110-5.</w:t>
      </w:r>
    </w:p>
    <w:p w14:paraId="688E75AE" w14:textId="77777777" w:rsidR="004A7CF9" w:rsidRPr="005202AA" w:rsidRDefault="004A7CF9" w:rsidP="004A7CF9">
      <w:pPr>
        <w:pStyle w:val="Paragraphedeliste"/>
        <w:numPr>
          <w:ilvl w:val="0"/>
          <w:numId w:val="4"/>
        </w:numPr>
        <w:autoSpaceDE w:val="0"/>
        <w:autoSpaceDN w:val="0"/>
        <w:adjustRightInd w:val="0"/>
        <w:jc w:val="both"/>
        <w:rPr>
          <w:rFonts w:asciiTheme="majorBidi" w:hAnsiTheme="majorBidi" w:cstheme="majorBidi"/>
          <w:sz w:val="20"/>
          <w:szCs w:val="20"/>
          <w:lang w:val="en-US"/>
        </w:rPr>
      </w:pPr>
      <w:r w:rsidRPr="005202AA">
        <w:rPr>
          <w:rFonts w:asciiTheme="majorBidi" w:hAnsiTheme="majorBidi" w:cstheme="majorBidi"/>
          <w:sz w:val="20"/>
          <w:szCs w:val="20"/>
          <w:lang w:val="en-US"/>
        </w:rPr>
        <w:t xml:space="preserve">C </w:t>
      </w:r>
      <w:proofErr w:type="spellStart"/>
      <w:r w:rsidRPr="005202AA">
        <w:rPr>
          <w:rFonts w:asciiTheme="majorBidi" w:hAnsiTheme="majorBidi" w:cstheme="majorBidi"/>
          <w:sz w:val="20"/>
          <w:szCs w:val="20"/>
          <w:lang w:val="en-US"/>
        </w:rPr>
        <w:t>Alecu</w:t>
      </w:r>
      <w:proofErr w:type="spellEnd"/>
      <w:r w:rsidRPr="005202AA">
        <w:rPr>
          <w:rFonts w:asciiTheme="majorBidi" w:hAnsiTheme="majorBidi" w:cstheme="majorBidi"/>
          <w:sz w:val="20"/>
          <w:szCs w:val="20"/>
          <w:lang w:val="en-US"/>
        </w:rPr>
        <w:t xml:space="preserve">, R </w:t>
      </w:r>
      <w:proofErr w:type="spellStart"/>
      <w:r w:rsidRPr="005202AA">
        <w:rPr>
          <w:rFonts w:asciiTheme="majorBidi" w:hAnsiTheme="majorBidi" w:cstheme="majorBidi"/>
          <w:sz w:val="20"/>
          <w:szCs w:val="20"/>
          <w:lang w:val="en-US"/>
        </w:rPr>
        <w:t>Gueguen</w:t>
      </w:r>
      <w:proofErr w:type="spellEnd"/>
      <w:r w:rsidRPr="005202AA">
        <w:rPr>
          <w:rFonts w:asciiTheme="majorBidi" w:hAnsiTheme="majorBidi" w:cstheme="majorBidi"/>
          <w:sz w:val="20"/>
          <w:szCs w:val="20"/>
          <w:lang w:val="en-US"/>
        </w:rPr>
        <w:t xml:space="preserve"> , C </w:t>
      </w:r>
      <w:proofErr w:type="spellStart"/>
      <w:r w:rsidRPr="005202AA">
        <w:rPr>
          <w:rFonts w:asciiTheme="majorBidi" w:hAnsiTheme="majorBidi" w:cstheme="majorBidi"/>
          <w:sz w:val="20"/>
          <w:szCs w:val="20"/>
          <w:lang w:val="en-US"/>
        </w:rPr>
        <w:t>Aubry</w:t>
      </w:r>
      <w:proofErr w:type="spellEnd"/>
      <w:r w:rsidRPr="005202AA">
        <w:rPr>
          <w:rFonts w:asciiTheme="majorBidi" w:hAnsiTheme="majorBidi" w:cstheme="majorBidi"/>
          <w:sz w:val="20"/>
          <w:szCs w:val="20"/>
          <w:lang w:val="en-US"/>
        </w:rPr>
        <w:t xml:space="preserve"> , et </w:t>
      </w:r>
      <w:proofErr w:type="spellStart"/>
      <w:r w:rsidRPr="005202AA">
        <w:rPr>
          <w:rFonts w:asciiTheme="majorBidi" w:hAnsiTheme="majorBidi" w:cstheme="majorBidi"/>
          <w:sz w:val="20"/>
          <w:szCs w:val="20"/>
          <w:lang w:val="en-US"/>
        </w:rPr>
        <w:t>al.Determinants</w:t>
      </w:r>
      <w:proofErr w:type="spellEnd"/>
      <w:r w:rsidRPr="005202AA">
        <w:rPr>
          <w:rFonts w:asciiTheme="majorBidi" w:hAnsiTheme="majorBidi" w:cstheme="majorBidi"/>
          <w:sz w:val="20"/>
          <w:szCs w:val="20"/>
          <w:lang w:val="en-US"/>
        </w:rPr>
        <w:t xml:space="preserve"> of arterial stiffness in an apparently healthy population over 60 </w:t>
      </w:r>
      <w:proofErr w:type="spellStart"/>
      <w:r w:rsidRPr="005202AA">
        <w:rPr>
          <w:rFonts w:asciiTheme="majorBidi" w:hAnsiTheme="majorBidi" w:cstheme="majorBidi"/>
          <w:sz w:val="20"/>
          <w:szCs w:val="20"/>
          <w:lang w:val="en-US"/>
        </w:rPr>
        <w:t>years.Journal</w:t>
      </w:r>
      <w:proofErr w:type="spellEnd"/>
      <w:r w:rsidRPr="005202AA">
        <w:rPr>
          <w:rFonts w:asciiTheme="majorBidi" w:hAnsiTheme="majorBidi" w:cstheme="majorBidi"/>
          <w:sz w:val="20"/>
          <w:szCs w:val="20"/>
          <w:lang w:val="en-US"/>
        </w:rPr>
        <w:t xml:space="preserve"> of Human Hypertension (2006) 20, 749–756</w:t>
      </w:r>
    </w:p>
    <w:p w14:paraId="3C458DBF" w14:textId="77777777" w:rsidR="004A7CF9" w:rsidRDefault="00DD2A41" w:rsidP="004A7CF9">
      <w:pPr>
        <w:pStyle w:val="Paragraphedeliste"/>
        <w:numPr>
          <w:ilvl w:val="0"/>
          <w:numId w:val="4"/>
        </w:numPr>
        <w:jc w:val="both"/>
        <w:rPr>
          <w:rFonts w:asciiTheme="majorBidi" w:hAnsiTheme="majorBidi" w:cstheme="majorBidi"/>
          <w:sz w:val="20"/>
          <w:szCs w:val="20"/>
        </w:rPr>
      </w:pPr>
      <w:hyperlink r:id="rId14" w:history="1">
        <w:r w:rsidR="004A7CF9" w:rsidRPr="005202AA">
          <w:rPr>
            <w:rFonts w:asciiTheme="majorBidi" w:hAnsiTheme="majorBidi" w:cstheme="majorBidi"/>
            <w:sz w:val="20"/>
            <w:szCs w:val="20"/>
            <w:lang w:val="en-US"/>
          </w:rPr>
          <w:t xml:space="preserve">A  </w:t>
        </w:r>
        <w:proofErr w:type="spellStart"/>
        <w:r w:rsidR="004A7CF9" w:rsidRPr="005202AA">
          <w:rPr>
            <w:rFonts w:asciiTheme="majorBidi" w:hAnsiTheme="majorBidi" w:cstheme="majorBidi"/>
            <w:sz w:val="20"/>
            <w:szCs w:val="20"/>
            <w:lang w:val="en-US"/>
          </w:rPr>
          <w:t>Achimastos</w:t>
        </w:r>
        <w:proofErr w:type="spellEnd"/>
      </w:hyperlink>
      <w:r w:rsidR="004A7CF9" w:rsidRPr="005202AA">
        <w:rPr>
          <w:rFonts w:asciiTheme="majorBidi" w:hAnsiTheme="majorBidi" w:cstheme="majorBidi"/>
          <w:sz w:val="20"/>
          <w:szCs w:val="20"/>
          <w:lang w:val="en-US"/>
        </w:rPr>
        <w:t> , </w:t>
      </w:r>
      <w:hyperlink r:id="rId15" w:history="1">
        <w:r w:rsidR="004A7CF9" w:rsidRPr="005202AA">
          <w:rPr>
            <w:rFonts w:asciiTheme="majorBidi" w:hAnsiTheme="majorBidi" w:cstheme="majorBidi"/>
            <w:sz w:val="20"/>
            <w:szCs w:val="20"/>
            <w:lang w:val="en-US"/>
          </w:rPr>
          <w:t xml:space="preserve">A  </w:t>
        </w:r>
        <w:proofErr w:type="spellStart"/>
        <w:r w:rsidR="004A7CF9" w:rsidRPr="005202AA">
          <w:rPr>
            <w:rFonts w:asciiTheme="majorBidi" w:hAnsiTheme="majorBidi" w:cstheme="majorBidi"/>
            <w:sz w:val="20"/>
            <w:szCs w:val="20"/>
            <w:lang w:val="en-US"/>
          </w:rPr>
          <w:t>Benetos</w:t>
        </w:r>
        <w:proofErr w:type="spellEnd"/>
      </w:hyperlink>
      <w:r w:rsidR="004A7CF9" w:rsidRPr="005202AA">
        <w:rPr>
          <w:rFonts w:asciiTheme="majorBidi" w:hAnsiTheme="majorBidi" w:cstheme="majorBidi"/>
          <w:sz w:val="20"/>
          <w:szCs w:val="20"/>
          <w:lang w:val="en-US"/>
        </w:rPr>
        <w:t xml:space="preserve">, et al. .Determinants of arterial stiffness in Greek and French hypertensive men. </w:t>
      </w:r>
      <w:r w:rsidR="004A7CF9" w:rsidRPr="0073413D">
        <w:rPr>
          <w:rFonts w:asciiTheme="majorBidi" w:hAnsiTheme="majorBidi" w:cstheme="majorBidi"/>
          <w:sz w:val="20"/>
          <w:szCs w:val="20"/>
        </w:rPr>
        <w:t xml:space="preserve">Blood </w:t>
      </w:r>
      <w:proofErr w:type="spellStart"/>
      <w:r w:rsidR="004A7CF9" w:rsidRPr="0073413D">
        <w:rPr>
          <w:rFonts w:asciiTheme="majorBidi" w:hAnsiTheme="majorBidi" w:cstheme="majorBidi"/>
          <w:sz w:val="20"/>
          <w:szCs w:val="20"/>
        </w:rPr>
        <w:t>Press</w:t>
      </w:r>
      <w:proofErr w:type="spellEnd"/>
      <w:r w:rsidR="004A7CF9" w:rsidRPr="0073413D">
        <w:rPr>
          <w:rFonts w:asciiTheme="majorBidi" w:hAnsiTheme="majorBidi" w:cstheme="majorBidi"/>
          <w:sz w:val="20"/>
          <w:szCs w:val="20"/>
        </w:rPr>
        <w:t>. 2002;11(4):218-22.</w:t>
      </w:r>
    </w:p>
    <w:p w14:paraId="535BA3B0" w14:textId="77777777" w:rsidR="004A7CF9" w:rsidRDefault="004A7CF9" w:rsidP="004A7CF9">
      <w:pPr>
        <w:pStyle w:val="Paragraphedeliste"/>
        <w:numPr>
          <w:ilvl w:val="0"/>
          <w:numId w:val="4"/>
        </w:numPr>
        <w:jc w:val="both"/>
        <w:rPr>
          <w:rFonts w:asciiTheme="majorBidi" w:hAnsiTheme="majorBidi" w:cstheme="majorBidi"/>
          <w:sz w:val="20"/>
          <w:szCs w:val="20"/>
        </w:rPr>
      </w:pPr>
      <w:r w:rsidRPr="005202AA">
        <w:rPr>
          <w:rFonts w:asciiTheme="majorBidi" w:hAnsiTheme="majorBidi" w:cstheme="majorBidi"/>
          <w:sz w:val="20"/>
          <w:szCs w:val="20"/>
          <w:lang w:val="en-US"/>
        </w:rPr>
        <w:t xml:space="preserve">Anand SS, Islam S, Rosengren A, </w:t>
      </w:r>
      <w:proofErr w:type="spellStart"/>
      <w:r w:rsidRPr="005202AA">
        <w:rPr>
          <w:rFonts w:asciiTheme="majorBidi" w:hAnsiTheme="majorBidi" w:cstheme="majorBidi"/>
          <w:sz w:val="20"/>
          <w:szCs w:val="20"/>
          <w:lang w:val="en-US"/>
        </w:rPr>
        <w:t>Franzosi</w:t>
      </w:r>
      <w:proofErr w:type="spellEnd"/>
      <w:r w:rsidRPr="005202AA">
        <w:rPr>
          <w:rFonts w:asciiTheme="majorBidi" w:hAnsiTheme="majorBidi" w:cstheme="majorBidi"/>
          <w:sz w:val="20"/>
          <w:szCs w:val="20"/>
          <w:lang w:val="en-US"/>
        </w:rPr>
        <w:t xml:space="preserve"> MG, Steyn K, </w:t>
      </w:r>
      <w:proofErr w:type="spellStart"/>
      <w:r w:rsidRPr="005202AA">
        <w:rPr>
          <w:rFonts w:asciiTheme="majorBidi" w:hAnsiTheme="majorBidi" w:cstheme="majorBidi"/>
          <w:sz w:val="20"/>
          <w:szCs w:val="20"/>
          <w:lang w:val="en-US"/>
        </w:rPr>
        <w:t>Yusufali</w:t>
      </w:r>
      <w:proofErr w:type="spellEnd"/>
      <w:r w:rsidRPr="005202AA">
        <w:rPr>
          <w:rFonts w:asciiTheme="majorBidi" w:hAnsiTheme="majorBidi" w:cstheme="majorBidi"/>
          <w:sz w:val="20"/>
          <w:szCs w:val="20"/>
          <w:lang w:val="en-US"/>
        </w:rPr>
        <w:t xml:space="preserve"> AH, et al. Risk factors for myocardial infarction in women and men: Insights from the INTERHEART study. </w:t>
      </w:r>
      <w:proofErr w:type="spellStart"/>
      <w:r w:rsidRPr="00894239">
        <w:rPr>
          <w:rFonts w:asciiTheme="majorBidi" w:hAnsiTheme="majorBidi" w:cstheme="majorBidi"/>
          <w:sz w:val="20"/>
          <w:szCs w:val="20"/>
        </w:rPr>
        <w:t>Eur</w:t>
      </w:r>
      <w:proofErr w:type="spellEnd"/>
      <w:r w:rsidRPr="00894239">
        <w:rPr>
          <w:rFonts w:asciiTheme="majorBidi" w:hAnsiTheme="majorBidi" w:cstheme="majorBidi"/>
          <w:sz w:val="20"/>
          <w:szCs w:val="20"/>
        </w:rPr>
        <w:t xml:space="preserve"> </w:t>
      </w:r>
      <w:proofErr w:type="spellStart"/>
      <w:r w:rsidRPr="00894239">
        <w:rPr>
          <w:rFonts w:asciiTheme="majorBidi" w:hAnsiTheme="majorBidi" w:cstheme="majorBidi"/>
          <w:sz w:val="20"/>
          <w:szCs w:val="20"/>
        </w:rPr>
        <w:t>Heart</w:t>
      </w:r>
      <w:proofErr w:type="spellEnd"/>
      <w:r w:rsidRPr="00894239">
        <w:rPr>
          <w:rFonts w:asciiTheme="majorBidi" w:hAnsiTheme="majorBidi" w:cstheme="majorBidi"/>
          <w:sz w:val="20"/>
          <w:szCs w:val="20"/>
        </w:rPr>
        <w:t xml:space="preserve"> J. 2008;29:932–40</w:t>
      </w:r>
    </w:p>
    <w:p w14:paraId="7DA385D4" w14:textId="77777777" w:rsidR="004A7CF9" w:rsidRDefault="004A7CF9" w:rsidP="004A7CF9">
      <w:pPr>
        <w:pStyle w:val="Paragraphedeliste"/>
        <w:numPr>
          <w:ilvl w:val="0"/>
          <w:numId w:val="4"/>
        </w:numPr>
        <w:jc w:val="both"/>
        <w:rPr>
          <w:rFonts w:asciiTheme="majorBidi" w:hAnsiTheme="majorBidi" w:cstheme="majorBidi"/>
          <w:sz w:val="20"/>
          <w:szCs w:val="20"/>
        </w:rPr>
      </w:pPr>
      <w:r w:rsidRPr="005202AA">
        <w:rPr>
          <w:rFonts w:asciiTheme="majorBidi" w:hAnsiTheme="majorBidi" w:cstheme="majorBidi"/>
          <w:sz w:val="20"/>
          <w:szCs w:val="20"/>
          <w:lang w:val="en-US"/>
        </w:rPr>
        <w:t xml:space="preserve">Shapiro Y, </w:t>
      </w:r>
      <w:proofErr w:type="spellStart"/>
      <w:r w:rsidRPr="005202AA">
        <w:rPr>
          <w:rFonts w:asciiTheme="majorBidi" w:hAnsiTheme="majorBidi" w:cstheme="majorBidi"/>
          <w:sz w:val="20"/>
          <w:szCs w:val="20"/>
          <w:lang w:val="en-US"/>
        </w:rPr>
        <w:t>Mashavi</w:t>
      </w:r>
      <w:proofErr w:type="spellEnd"/>
      <w:r w:rsidRPr="005202AA">
        <w:rPr>
          <w:rFonts w:asciiTheme="majorBidi" w:hAnsiTheme="majorBidi" w:cstheme="majorBidi"/>
          <w:sz w:val="20"/>
          <w:szCs w:val="20"/>
          <w:lang w:val="en-US"/>
        </w:rPr>
        <w:t xml:space="preserve"> M, </w:t>
      </w:r>
      <w:proofErr w:type="spellStart"/>
      <w:r w:rsidRPr="005202AA">
        <w:rPr>
          <w:rFonts w:asciiTheme="majorBidi" w:hAnsiTheme="majorBidi" w:cstheme="majorBidi"/>
          <w:sz w:val="20"/>
          <w:szCs w:val="20"/>
          <w:lang w:val="en-US"/>
        </w:rPr>
        <w:t>Luckish</w:t>
      </w:r>
      <w:proofErr w:type="spellEnd"/>
      <w:r w:rsidRPr="005202AA">
        <w:rPr>
          <w:rFonts w:asciiTheme="majorBidi" w:hAnsiTheme="majorBidi" w:cstheme="majorBidi"/>
          <w:sz w:val="20"/>
          <w:szCs w:val="20"/>
          <w:lang w:val="en-US"/>
        </w:rPr>
        <w:t xml:space="preserve"> E, </w:t>
      </w:r>
      <w:proofErr w:type="spellStart"/>
      <w:r w:rsidRPr="005202AA">
        <w:rPr>
          <w:rFonts w:asciiTheme="majorBidi" w:hAnsiTheme="majorBidi" w:cstheme="majorBidi"/>
          <w:sz w:val="20"/>
          <w:szCs w:val="20"/>
          <w:lang w:val="en-US"/>
        </w:rPr>
        <w:t>Shargorodsky</w:t>
      </w:r>
      <w:proofErr w:type="spellEnd"/>
      <w:r w:rsidRPr="005202AA">
        <w:rPr>
          <w:rFonts w:asciiTheme="majorBidi" w:hAnsiTheme="majorBidi" w:cstheme="majorBidi"/>
          <w:sz w:val="20"/>
          <w:szCs w:val="20"/>
          <w:lang w:val="en-US"/>
        </w:rPr>
        <w:t xml:space="preserve"> M. Diabetes and menopause aggravate age-dependent deterioration in arterial stiffness. </w:t>
      </w:r>
      <w:proofErr w:type="spellStart"/>
      <w:r w:rsidRPr="002202FA">
        <w:rPr>
          <w:rFonts w:asciiTheme="majorBidi" w:hAnsiTheme="majorBidi" w:cstheme="majorBidi"/>
          <w:sz w:val="20"/>
          <w:szCs w:val="20"/>
        </w:rPr>
        <w:t>Menopause</w:t>
      </w:r>
      <w:proofErr w:type="spellEnd"/>
      <w:r w:rsidRPr="002202FA">
        <w:rPr>
          <w:rFonts w:asciiTheme="majorBidi" w:hAnsiTheme="majorBidi" w:cstheme="majorBidi"/>
          <w:sz w:val="20"/>
          <w:szCs w:val="20"/>
        </w:rPr>
        <w:t>. 2014;21:1234–8</w:t>
      </w:r>
    </w:p>
    <w:p w14:paraId="05520FA1" w14:textId="77777777" w:rsidR="004A7CF9" w:rsidRPr="00DB0DCE" w:rsidRDefault="00DD2A41" w:rsidP="004A7CF9">
      <w:pPr>
        <w:pStyle w:val="Paragraphedeliste"/>
        <w:numPr>
          <w:ilvl w:val="0"/>
          <w:numId w:val="4"/>
        </w:numPr>
        <w:shd w:val="clear" w:color="auto" w:fill="FFFFFF"/>
        <w:jc w:val="both"/>
        <w:rPr>
          <w:rFonts w:asciiTheme="majorBidi" w:hAnsiTheme="majorBidi" w:cstheme="majorBidi"/>
          <w:sz w:val="20"/>
          <w:szCs w:val="20"/>
        </w:rPr>
      </w:pPr>
      <w:hyperlink r:id="rId16" w:history="1">
        <w:r w:rsidR="004A7CF9" w:rsidRPr="005202AA">
          <w:rPr>
            <w:rStyle w:val="Lienhypertexte"/>
            <w:rFonts w:asciiTheme="majorBidi" w:hAnsiTheme="majorBidi" w:cstheme="majorBidi"/>
            <w:sz w:val="20"/>
            <w:szCs w:val="20"/>
            <w:lang w:val="en-US"/>
          </w:rPr>
          <w:t>Corinne E I Lebrun</w:t>
        </w:r>
      </w:hyperlink>
      <w:r w:rsidR="004A7CF9" w:rsidRPr="005202AA">
        <w:rPr>
          <w:rStyle w:val="author-sup-separator"/>
          <w:rFonts w:asciiTheme="majorBidi" w:hAnsiTheme="majorBidi" w:cstheme="majorBidi"/>
          <w:sz w:val="20"/>
          <w:szCs w:val="20"/>
          <w:vertAlign w:val="superscript"/>
          <w:lang w:val="en-US"/>
        </w:rPr>
        <w:t> </w:t>
      </w:r>
      <w:r w:rsidR="004A7CF9" w:rsidRPr="005202AA">
        <w:rPr>
          <w:rStyle w:val="comma"/>
          <w:rFonts w:asciiTheme="majorBidi" w:hAnsiTheme="majorBidi" w:cstheme="majorBidi"/>
          <w:sz w:val="20"/>
          <w:szCs w:val="20"/>
          <w:lang w:val="en-US"/>
        </w:rPr>
        <w:t>, </w:t>
      </w:r>
      <w:hyperlink r:id="rId17" w:history="1">
        <w:r w:rsidR="004A7CF9" w:rsidRPr="005202AA">
          <w:rPr>
            <w:rStyle w:val="Lienhypertexte"/>
            <w:rFonts w:asciiTheme="majorBidi" w:hAnsiTheme="majorBidi" w:cstheme="majorBidi"/>
            <w:sz w:val="20"/>
            <w:szCs w:val="20"/>
            <w:lang w:val="en-US"/>
          </w:rPr>
          <w:t>Yvonne T van der Schouw</w:t>
        </w:r>
      </w:hyperlink>
      <w:r w:rsidR="004A7CF9" w:rsidRPr="005202AA">
        <w:rPr>
          <w:rStyle w:val="comma"/>
          <w:rFonts w:asciiTheme="majorBidi" w:hAnsiTheme="majorBidi" w:cstheme="majorBidi"/>
          <w:sz w:val="20"/>
          <w:szCs w:val="20"/>
          <w:lang w:val="en-US"/>
        </w:rPr>
        <w:t>, and al.</w:t>
      </w:r>
      <w:r w:rsidR="004A7CF9" w:rsidRPr="005202AA">
        <w:rPr>
          <w:rFonts w:asciiTheme="majorBidi" w:hAnsiTheme="majorBidi" w:cstheme="majorBidi"/>
          <w:sz w:val="20"/>
          <w:szCs w:val="20"/>
          <w:lang w:val="en-US"/>
        </w:rPr>
        <w:t xml:space="preserve"> Arterial stiffness in postmenopausal women: determinants of pulse wave velocity. </w:t>
      </w:r>
      <w:r w:rsidR="004A7CF9" w:rsidRPr="00DB0DCE">
        <w:rPr>
          <w:rFonts w:asciiTheme="majorBidi" w:hAnsiTheme="majorBidi" w:cstheme="majorBidi"/>
          <w:sz w:val="20"/>
          <w:szCs w:val="20"/>
        </w:rPr>
        <w:t xml:space="preserve">J </w:t>
      </w:r>
      <w:proofErr w:type="spellStart"/>
      <w:r w:rsidR="004A7CF9" w:rsidRPr="00DB0DCE">
        <w:rPr>
          <w:rFonts w:asciiTheme="majorBidi" w:hAnsiTheme="majorBidi" w:cstheme="majorBidi"/>
          <w:sz w:val="20"/>
          <w:szCs w:val="20"/>
        </w:rPr>
        <w:t>Hypertens</w:t>
      </w:r>
      <w:proofErr w:type="spellEnd"/>
      <w:r w:rsidR="004A7CF9" w:rsidRPr="00DB0DCE">
        <w:rPr>
          <w:rStyle w:val="period"/>
          <w:rFonts w:asciiTheme="majorBidi" w:hAnsiTheme="majorBidi" w:cstheme="majorBidi"/>
          <w:sz w:val="20"/>
          <w:szCs w:val="20"/>
        </w:rPr>
        <w:t>. </w:t>
      </w:r>
      <w:r w:rsidR="004A7CF9" w:rsidRPr="00DB0DCE">
        <w:rPr>
          <w:rStyle w:val="cit"/>
          <w:rFonts w:asciiTheme="majorBidi" w:hAnsiTheme="majorBidi" w:cstheme="majorBidi"/>
          <w:sz w:val="20"/>
          <w:szCs w:val="20"/>
        </w:rPr>
        <w:t>2002 Nov;20(11):2165-72.</w:t>
      </w:r>
    </w:p>
    <w:p w14:paraId="3568027E" w14:textId="58258ABD" w:rsidR="004A7CF9" w:rsidRDefault="004A7CF9" w:rsidP="004A7CF9">
      <w:pPr>
        <w:pStyle w:val="Els-body-text"/>
        <w:rPr>
          <w:lang w:val="fr-FR"/>
        </w:rPr>
      </w:pPr>
    </w:p>
    <w:p w14:paraId="771FF2E4" w14:textId="2BEFC21B" w:rsidR="00A70899" w:rsidRPr="00F0024C" w:rsidRDefault="00A70899" w:rsidP="004A7CF9">
      <w:pPr>
        <w:pStyle w:val="Els-body-text"/>
        <w:spacing w:line="240" w:lineRule="auto"/>
        <w:ind w:firstLine="0"/>
        <w:rPr>
          <w:rFonts w:eastAsia="TeXGyreAdventor"/>
          <w:sz w:val="20"/>
          <w:lang w:val="fr-FR"/>
        </w:rPr>
      </w:pPr>
    </w:p>
    <w:p w14:paraId="308C801F" w14:textId="77777777" w:rsidR="00A70899" w:rsidRPr="009179FB" w:rsidRDefault="00A70899" w:rsidP="00A70899">
      <w:pPr>
        <w:pStyle w:val="Els-body-text"/>
        <w:spacing w:before="100" w:beforeAutospacing="1" w:after="100" w:afterAutospacing="1" w:line="240" w:lineRule="auto"/>
        <w:ind w:firstLine="0"/>
        <w:rPr>
          <w:lang w:val="fr-FR"/>
        </w:rPr>
      </w:pPr>
    </w:p>
    <w:p w14:paraId="5B026AB0" w14:textId="32C8810A" w:rsidR="00A70899" w:rsidRDefault="00A70899" w:rsidP="00A70899">
      <w:pPr>
        <w:pStyle w:val="Els-body-text"/>
        <w:spacing w:before="100" w:beforeAutospacing="1" w:after="100" w:afterAutospacing="1" w:line="240" w:lineRule="auto"/>
        <w:ind w:firstLine="0"/>
        <w:rPr>
          <w:sz w:val="20"/>
          <w:lang w:val="fr-FR"/>
        </w:rPr>
        <w:sectPr w:rsidR="00A70899" w:rsidSect="00217CA8">
          <w:type w:val="continuous"/>
          <w:pgSz w:w="12240" w:h="15840"/>
          <w:pgMar w:top="1440" w:right="1440" w:bottom="1440" w:left="1440" w:header="720" w:footer="861" w:gutter="0"/>
          <w:cols w:num="2" w:space="720"/>
          <w:titlePg/>
          <w:docGrid w:linePitch="360"/>
        </w:sectPr>
      </w:pPr>
      <w:r w:rsidRPr="009179FB">
        <w:rPr>
          <w:sz w:val="20"/>
          <w:lang w:val="fr-FR"/>
        </w:rPr>
        <w:t xml:space="preserve"> </w:t>
      </w:r>
    </w:p>
    <w:p w14:paraId="1F56EB56" w14:textId="77777777" w:rsidR="00A70899" w:rsidRPr="004931CB" w:rsidRDefault="00A70899" w:rsidP="00217CA8">
      <w:pPr>
        <w:pStyle w:val="p"/>
        <w:shd w:val="clear" w:color="auto" w:fill="FFFFFF"/>
        <w:spacing w:before="166" w:beforeAutospacing="0" w:after="166" w:afterAutospacing="0"/>
        <w:jc w:val="both"/>
        <w:rPr>
          <w:sz w:val="20"/>
          <w:lang w:val="fr-FR"/>
        </w:rPr>
      </w:pPr>
    </w:p>
    <w:p w14:paraId="1F357AB5" w14:textId="77777777" w:rsidR="001E212F" w:rsidRDefault="001E212F" w:rsidP="00FA0649">
      <w:pPr>
        <w:pStyle w:val="Els-body-text"/>
        <w:spacing w:before="100" w:beforeAutospacing="1" w:after="100" w:afterAutospacing="1" w:line="240" w:lineRule="auto"/>
        <w:ind w:left="673" w:firstLine="0"/>
        <w:rPr>
          <w:rFonts w:eastAsia="Times New Roman"/>
          <w:sz w:val="20"/>
          <w:szCs w:val="24"/>
          <w:lang w:val="fr-FR"/>
        </w:rPr>
        <w:sectPr w:rsidR="001E212F" w:rsidSect="001E212F">
          <w:type w:val="continuous"/>
          <w:pgSz w:w="12240" w:h="15840"/>
          <w:pgMar w:top="1440" w:right="1440" w:bottom="1440" w:left="1440" w:header="720" w:footer="861" w:gutter="0"/>
          <w:cols w:num="2" w:space="720"/>
          <w:titlePg/>
          <w:docGrid w:linePitch="360"/>
        </w:sectPr>
      </w:pPr>
    </w:p>
    <w:p w14:paraId="59397718" w14:textId="7091AA0C" w:rsidR="00FA0649" w:rsidRPr="004931CB" w:rsidRDefault="00FA0649" w:rsidP="00FA0649">
      <w:pPr>
        <w:pStyle w:val="Els-body-text"/>
        <w:spacing w:before="100" w:beforeAutospacing="1" w:after="100" w:afterAutospacing="1" w:line="240" w:lineRule="auto"/>
        <w:ind w:left="673" w:firstLine="0"/>
        <w:rPr>
          <w:rFonts w:eastAsia="Times New Roman"/>
          <w:sz w:val="20"/>
          <w:szCs w:val="24"/>
          <w:lang w:val="fr-FR"/>
        </w:rPr>
      </w:pPr>
    </w:p>
    <w:sectPr w:rsidR="00FA0649" w:rsidRPr="004931CB" w:rsidSect="00217CA8">
      <w:type w:val="continuous"/>
      <w:pgSz w:w="12240" w:h="15840"/>
      <w:pgMar w:top="1440" w:right="1440" w:bottom="1440" w:left="1440" w:header="720" w:footer="861"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79B3E" w14:textId="77777777" w:rsidR="00DD2A41" w:rsidRDefault="00DD2A41" w:rsidP="00E56282">
      <w:pPr>
        <w:spacing w:after="0" w:line="240" w:lineRule="auto"/>
      </w:pPr>
      <w:r>
        <w:separator/>
      </w:r>
    </w:p>
  </w:endnote>
  <w:endnote w:type="continuationSeparator" w:id="0">
    <w:p w14:paraId="39E99D26" w14:textId="77777777" w:rsidR="00DD2A41" w:rsidRDefault="00DD2A41" w:rsidP="00E5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TeXGyreAdventor">
    <w:altName w:val="Times New Roman"/>
    <w:panose1 w:val="020B0604020202020204"/>
    <w:charset w:val="0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16060993"/>
      <w:docPartObj>
        <w:docPartGallery w:val="Page Numbers (Bottom of Page)"/>
        <w:docPartUnique/>
      </w:docPartObj>
    </w:sdtPr>
    <w:sdtEndPr/>
    <w:sdtContent>
      <w:sdt>
        <w:sdtPr>
          <w:rPr>
            <w:rFonts w:asciiTheme="majorBidi" w:hAnsiTheme="majorBidi" w:cstheme="majorBidi"/>
            <w:sz w:val="16"/>
            <w:szCs w:val="16"/>
          </w:rPr>
          <w:id w:val="-1564474697"/>
          <w:docPartObj>
            <w:docPartGallery w:val="Page Numbers (Top of Page)"/>
            <w:docPartUnique/>
          </w:docPartObj>
        </w:sdtPr>
        <w:sdtEndPr/>
        <w:sdtContent>
          <w:p w14:paraId="328F60BC" w14:textId="77777777" w:rsidR="00FB76BB" w:rsidRDefault="00FB76BB">
            <w:pPr>
              <w:pStyle w:val="Pieddepage"/>
              <w:jc w:val="center"/>
              <w:rPr>
                <w:rFonts w:asciiTheme="majorBidi" w:hAnsiTheme="majorBidi" w:cstheme="majorBidi"/>
                <w:sz w:val="16"/>
                <w:szCs w:val="16"/>
              </w:rPr>
            </w:pPr>
          </w:p>
          <w:p w14:paraId="417ED966" w14:textId="77777777" w:rsidR="00FB76BB" w:rsidRPr="00820252" w:rsidRDefault="00FB76BB">
            <w:pPr>
              <w:pStyle w:val="Pieddepage"/>
              <w:jc w:val="center"/>
              <w:rPr>
                <w:rFonts w:asciiTheme="majorBidi" w:hAnsiTheme="majorBidi" w:cstheme="majorBidi"/>
                <w:b/>
                <w:bCs/>
                <w:sz w:val="16"/>
                <w:szCs w:val="16"/>
              </w:rPr>
            </w:pPr>
          </w:p>
          <w:p w14:paraId="3A66F45F" w14:textId="54F3654B" w:rsidR="00FB76BB" w:rsidRPr="00820252" w:rsidRDefault="00FB76BB" w:rsidP="00D47305">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00E51F82"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00E51F82" w:rsidRPr="00820252">
              <w:rPr>
                <w:rFonts w:asciiTheme="majorBidi" w:hAnsiTheme="majorBidi" w:cstheme="majorBidi"/>
                <w:b/>
                <w:bCs/>
                <w:sz w:val="16"/>
                <w:szCs w:val="16"/>
              </w:rPr>
              <w:fldChar w:fldCharType="separate"/>
            </w:r>
            <w:r w:rsidR="006136BD">
              <w:rPr>
                <w:rFonts w:asciiTheme="majorBidi" w:hAnsiTheme="majorBidi" w:cstheme="majorBidi"/>
                <w:b/>
                <w:bCs/>
                <w:noProof/>
                <w:sz w:val="16"/>
                <w:szCs w:val="16"/>
              </w:rPr>
              <w:t>7</w:t>
            </w:r>
            <w:r w:rsidR="00E51F82"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00E51F82"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00E51F82" w:rsidRPr="00820252">
              <w:rPr>
                <w:rFonts w:asciiTheme="majorBidi" w:hAnsiTheme="majorBidi" w:cstheme="majorBidi"/>
                <w:b/>
                <w:bCs/>
                <w:sz w:val="16"/>
                <w:szCs w:val="16"/>
              </w:rPr>
              <w:fldChar w:fldCharType="separate"/>
            </w:r>
            <w:r w:rsidR="006136BD">
              <w:rPr>
                <w:rFonts w:asciiTheme="majorBidi" w:hAnsiTheme="majorBidi" w:cstheme="majorBidi"/>
                <w:b/>
                <w:bCs/>
                <w:noProof/>
                <w:sz w:val="16"/>
                <w:szCs w:val="16"/>
              </w:rPr>
              <w:t>9</w:t>
            </w:r>
            <w:r w:rsidR="00E51F82" w:rsidRPr="00820252">
              <w:rPr>
                <w:rFonts w:asciiTheme="majorBidi" w:hAnsiTheme="majorBidi" w:cstheme="majorBidi"/>
                <w:b/>
                <w:bCs/>
                <w:sz w:val="16"/>
                <w:szCs w:val="16"/>
              </w:rPr>
              <w:fldChar w:fldCharType="end"/>
            </w:r>
          </w:p>
        </w:sdtContent>
      </w:sdt>
    </w:sdtContent>
  </w:sdt>
  <w:p w14:paraId="1AB9C3F2" w14:textId="77777777" w:rsidR="00FB76BB" w:rsidRDefault="00FB76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0471E" w14:textId="77777777" w:rsidR="00FB76BB" w:rsidRDefault="00FB76BB" w:rsidP="00D47305">
    <w:pPr>
      <w:pStyle w:val="Pieddepage"/>
      <w:tabs>
        <w:tab w:val="center" w:pos="4961"/>
      </w:tabs>
      <w:rPr>
        <w:sz w:val="15"/>
        <w:szCs w:val="15"/>
      </w:rPr>
    </w:pPr>
  </w:p>
  <w:p w14:paraId="36B51B32" w14:textId="77777777" w:rsidR="00FB76BB" w:rsidRPr="00EA5E42" w:rsidRDefault="00FB76BB" w:rsidP="00D47305">
    <w:pPr>
      <w:pStyle w:val="Pieddepage"/>
      <w:tabs>
        <w:tab w:val="center" w:pos="4961"/>
      </w:tabs>
      <w:rPr>
        <w:rFonts w:asciiTheme="majorBidi" w:hAnsiTheme="majorBidi" w:cstheme="majorBidi"/>
        <w:i/>
        <w:sz w:val="12"/>
        <w:szCs w:val="12"/>
      </w:rPr>
    </w:pPr>
    <w:r w:rsidRPr="00EA5E42">
      <w:rPr>
        <w:rFonts w:asciiTheme="majorBidi" w:hAnsiTheme="majorBidi" w:cstheme="majorBidi"/>
        <w:noProof/>
        <w:sz w:val="12"/>
        <w:szCs w:val="12"/>
        <w:lang w:val="fr-FR" w:eastAsia="fr-FR"/>
      </w:rPr>
      <w:drawing>
        <wp:anchor distT="0" distB="0" distL="114300" distR="114300" simplePos="0" relativeHeight="251661312" behindDoc="0" locked="0" layoutInCell="1" allowOverlap="1" wp14:anchorId="1C389787" wp14:editId="4219E864">
          <wp:simplePos x="0" y="0"/>
          <wp:positionH relativeFrom="margin">
            <wp:posOffset>23620</wp:posOffset>
          </wp:positionH>
          <wp:positionV relativeFrom="paragraph">
            <wp:posOffset>162660</wp:posOffset>
          </wp:positionV>
          <wp:extent cx="499925" cy="1761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EA5E42">
      <w:rPr>
        <w:rFonts w:asciiTheme="majorBidi" w:hAnsiTheme="majorBidi" w:cstheme="majorBidi"/>
        <w:sz w:val="12"/>
        <w:szCs w:val="12"/>
      </w:rPr>
      <w:t>This work is licensed under a Creative Commons Attribution-</w:t>
    </w:r>
    <w:proofErr w:type="spellStart"/>
    <w:r w:rsidRPr="00EA5E42">
      <w:rPr>
        <w:rFonts w:asciiTheme="majorBidi" w:hAnsiTheme="majorBidi" w:cstheme="majorBidi"/>
        <w:sz w:val="12"/>
        <w:szCs w:val="12"/>
      </w:rPr>
      <w:t>NonCommercial</w:t>
    </w:r>
    <w:proofErr w:type="spellEnd"/>
    <w:r w:rsidRPr="00EA5E42">
      <w:rPr>
        <w:rFonts w:asciiTheme="majorBidi" w:hAnsiTheme="majorBidi" w:cstheme="majorBidi"/>
        <w:sz w:val="12"/>
        <w:szCs w:val="12"/>
      </w:rPr>
      <w:t xml:space="preserve"> 4.0 International License. </w:t>
    </w:r>
  </w:p>
  <w:sdt>
    <w:sdtPr>
      <w:rPr>
        <w:rFonts w:asciiTheme="majorBidi" w:hAnsiTheme="majorBidi" w:cstheme="majorBidi"/>
        <w:sz w:val="16"/>
        <w:szCs w:val="16"/>
      </w:rPr>
      <w:id w:val="1876576638"/>
      <w:docPartObj>
        <w:docPartGallery w:val="Page Numbers (Bottom of Page)"/>
        <w:docPartUnique/>
      </w:docPartObj>
    </w:sdtPr>
    <w:sdtEndPr/>
    <w:sdtContent>
      <w:sdt>
        <w:sdtPr>
          <w:rPr>
            <w:rFonts w:asciiTheme="majorBidi" w:hAnsiTheme="majorBidi" w:cstheme="majorBidi"/>
            <w:sz w:val="16"/>
            <w:szCs w:val="16"/>
          </w:rPr>
          <w:id w:val="-1381633611"/>
          <w:docPartObj>
            <w:docPartGallery w:val="Page Numbers (Top of Page)"/>
            <w:docPartUnique/>
          </w:docPartObj>
        </w:sdtPr>
        <w:sdtEndPr/>
        <w:sdtContent>
          <w:p w14:paraId="5CE12A13" w14:textId="77777777" w:rsidR="00FB76BB" w:rsidRDefault="00FB76BB" w:rsidP="00D47305">
            <w:pPr>
              <w:pStyle w:val="Pieddepage"/>
              <w:jc w:val="center"/>
              <w:rPr>
                <w:rFonts w:asciiTheme="majorBidi" w:hAnsiTheme="majorBidi" w:cstheme="majorBidi"/>
                <w:sz w:val="16"/>
                <w:szCs w:val="16"/>
              </w:rPr>
            </w:pPr>
          </w:p>
          <w:p w14:paraId="4517FDBC" w14:textId="77777777" w:rsidR="00FB76BB" w:rsidRPr="00820252" w:rsidRDefault="00FB76BB" w:rsidP="00D47305">
            <w:pPr>
              <w:pStyle w:val="Pieddepage"/>
              <w:jc w:val="center"/>
              <w:rPr>
                <w:rFonts w:asciiTheme="majorBidi" w:hAnsiTheme="majorBidi" w:cstheme="majorBidi"/>
                <w:b/>
                <w:bCs/>
                <w:sz w:val="16"/>
                <w:szCs w:val="16"/>
              </w:rPr>
            </w:pPr>
          </w:p>
          <w:p w14:paraId="446DDF2D" w14:textId="6EEBA41D" w:rsidR="00FB76BB" w:rsidRPr="00820252" w:rsidRDefault="00FB76BB" w:rsidP="00D47305">
            <w:pPr>
              <w:pStyle w:val="Pieddepage"/>
              <w:jc w:val="right"/>
            </w:pPr>
            <w:r w:rsidRPr="00820252">
              <w:rPr>
                <w:rFonts w:asciiTheme="majorBidi" w:hAnsiTheme="majorBidi" w:cstheme="majorBidi"/>
                <w:sz w:val="16"/>
                <w:szCs w:val="16"/>
              </w:rPr>
              <w:t xml:space="preserve">Page </w:t>
            </w:r>
            <w:r w:rsidR="00E51F82"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00E51F82" w:rsidRPr="00820252">
              <w:rPr>
                <w:rFonts w:asciiTheme="majorBidi" w:hAnsiTheme="majorBidi" w:cstheme="majorBidi"/>
                <w:sz w:val="16"/>
                <w:szCs w:val="16"/>
              </w:rPr>
              <w:fldChar w:fldCharType="separate"/>
            </w:r>
            <w:r w:rsidR="006136BD">
              <w:rPr>
                <w:rFonts w:asciiTheme="majorBidi" w:hAnsiTheme="majorBidi" w:cstheme="majorBidi"/>
                <w:noProof/>
                <w:sz w:val="16"/>
                <w:szCs w:val="16"/>
              </w:rPr>
              <w:t>2</w:t>
            </w:r>
            <w:r w:rsidR="00E51F82"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00E51F82"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00E51F82" w:rsidRPr="00820252">
              <w:rPr>
                <w:rFonts w:asciiTheme="majorBidi" w:hAnsiTheme="majorBidi" w:cstheme="majorBidi"/>
                <w:sz w:val="16"/>
                <w:szCs w:val="16"/>
              </w:rPr>
              <w:fldChar w:fldCharType="separate"/>
            </w:r>
            <w:r w:rsidR="006136BD">
              <w:rPr>
                <w:rFonts w:asciiTheme="majorBidi" w:hAnsiTheme="majorBidi" w:cstheme="majorBidi"/>
                <w:noProof/>
                <w:sz w:val="16"/>
                <w:szCs w:val="16"/>
              </w:rPr>
              <w:t>9</w:t>
            </w:r>
            <w:r w:rsidR="00E51F82"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A27C1" w14:textId="77777777" w:rsidR="00DD2A41" w:rsidRDefault="00DD2A41" w:rsidP="00E56282">
      <w:pPr>
        <w:spacing w:after="0" w:line="240" w:lineRule="auto"/>
      </w:pPr>
      <w:r>
        <w:separator/>
      </w:r>
    </w:p>
  </w:footnote>
  <w:footnote w:type="continuationSeparator" w:id="0">
    <w:p w14:paraId="0FCAAF1F" w14:textId="77777777" w:rsidR="00DD2A41" w:rsidRDefault="00DD2A41" w:rsidP="00E56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C1B99" w14:textId="35A8E02A" w:rsidR="00FB76BB" w:rsidRPr="005202AA" w:rsidRDefault="005202AA" w:rsidP="00D47305">
    <w:pPr>
      <w:pStyle w:val="En-tte"/>
      <w:jc w:val="both"/>
      <w:rPr>
        <w:rFonts w:asciiTheme="majorBidi" w:hAnsiTheme="majorBidi" w:cstheme="majorBidi"/>
        <w:sz w:val="18"/>
        <w:szCs w:val="18"/>
        <w:lang w:val="fr-FR"/>
      </w:rPr>
    </w:pPr>
    <w:r w:rsidRPr="005202AA">
      <w:rPr>
        <w:rFonts w:asciiTheme="majorBidi" w:hAnsiTheme="majorBidi" w:cstheme="majorBidi"/>
        <w:sz w:val="18"/>
        <w:szCs w:val="18"/>
        <w:lang w:val="fr-FR"/>
      </w:rPr>
      <w:t>Belahsene N</w:t>
    </w:r>
    <w:r w:rsidR="00FB76BB" w:rsidRPr="005202AA">
      <w:rPr>
        <w:rFonts w:asciiTheme="majorBidi" w:hAnsiTheme="majorBidi" w:cstheme="majorBidi"/>
        <w:sz w:val="18"/>
        <w:szCs w:val="18"/>
        <w:lang w:val="fr-FR"/>
      </w:rPr>
      <w:t xml:space="preserve"> </w:t>
    </w:r>
    <w:r w:rsidR="00FB76BB" w:rsidRPr="005202AA">
      <w:rPr>
        <w:rFonts w:asciiTheme="majorBidi" w:hAnsiTheme="majorBidi" w:cstheme="majorBidi"/>
        <w:i/>
        <w:iCs/>
        <w:sz w:val="18"/>
        <w:szCs w:val="18"/>
        <w:lang w:val="fr-FR"/>
      </w:rPr>
      <w:t>et al.</w:t>
    </w:r>
    <w:r w:rsidR="00FB76BB" w:rsidRPr="005202AA">
      <w:rPr>
        <w:rFonts w:asciiTheme="majorBidi" w:hAnsiTheme="majorBidi" w:cstheme="majorBidi"/>
        <w:sz w:val="18"/>
        <w:szCs w:val="18"/>
        <w:lang w:val="fr-FR"/>
      </w:rPr>
      <w:t xml:space="preserve">   (</w:t>
    </w:r>
    <w:r w:rsidRPr="005202AA">
      <w:rPr>
        <w:rFonts w:asciiTheme="majorBidi" w:hAnsiTheme="majorBidi" w:cstheme="majorBidi"/>
        <w:sz w:val="18"/>
        <w:szCs w:val="18"/>
        <w:lang w:val="fr-FR"/>
      </w:rPr>
      <w:t>Facteurs prédictifs d’élévation de la vitesse de l’onde de pouls</w:t>
    </w:r>
    <w:r w:rsidR="00FB76BB" w:rsidRPr="005202AA">
      <w:rPr>
        <w:rFonts w:asciiTheme="majorBidi" w:hAnsiTheme="majorBidi" w:cstheme="majorBidi"/>
        <w:sz w:val="18"/>
        <w:szCs w:val="18"/>
        <w:lang w:val="fr-F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FB76BB" w14:paraId="3675066D" w14:textId="77777777" w:rsidTr="00D47305">
      <w:trPr>
        <w:trHeight w:val="50"/>
        <w:jc w:val="center"/>
      </w:trPr>
      <w:tc>
        <w:tcPr>
          <w:tcW w:w="1269" w:type="dxa"/>
          <w:tcBorders>
            <w:bottom w:val="single" w:sz="4" w:space="0" w:color="auto"/>
          </w:tcBorders>
          <w:shd w:val="pct10" w:color="F2F2F2" w:themeColor="background1" w:themeShade="F2" w:fill="auto"/>
          <w:vAlign w:val="bottom"/>
        </w:tcPr>
        <w:p w14:paraId="5E97418B" w14:textId="77777777" w:rsidR="00FB76BB" w:rsidRDefault="00FB76BB" w:rsidP="00D47305">
          <w:pPr>
            <w:jc w:val="both"/>
          </w:pPr>
        </w:p>
      </w:tc>
      <w:tc>
        <w:tcPr>
          <w:tcW w:w="6621" w:type="dxa"/>
          <w:tcBorders>
            <w:bottom w:val="single" w:sz="4" w:space="0" w:color="auto"/>
          </w:tcBorders>
          <w:shd w:val="pct10" w:color="F2F2F2" w:themeColor="background1" w:themeShade="F2" w:fill="auto"/>
        </w:tcPr>
        <w:p w14:paraId="6BBA494F" w14:textId="77777777" w:rsidR="00FB76BB" w:rsidRPr="009D747E" w:rsidRDefault="00FB76BB" w:rsidP="00D47305">
          <w:pPr>
            <w:pStyle w:val="Running-head"/>
            <w:spacing w:after="240"/>
          </w:pPr>
          <w:bookmarkStart w:id="1" w:name="_Hlk534457307"/>
          <w:r>
            <w:t>Algerian Jo</w:t>
          </w:r>
          <w:r w:rsidR="007534D1">
            <w:t>urnal of Health Sciences.Vol. XX</w:t>
          </w:r>
          <w:r>
            <w:t xml:space="preserve"> Num. </w:t>
          </w:r>
          <w:r w:rsidR="007534D1">
            <w:rPr>
              <w:iCs/>
              <w:szCs w:val="16"/>
            </w:rPr>
            <w:t>XX (Year</w:t>
          </w:r>
          <w:r w:rsidRPr="009D747E">
            <w:rPr>
              <w:iCs/>
              <w:szCs w:val="16"/>
            </w:rPr>
            <w:t>) 000–000</w:t>
          </w:r>
          <w:bookmarkEnd w:id="1"/>
        </w:p>
      </w:tc>
      <w:tc>
        <w:tcPr>
          <w:tcW w:w="1689" w:type="dxa"/>
          <w:tcBorders>
            <w:bottom w:val="single" w:sz="4" w:space="0" w:color="auto"/>
          </w:tcBorders>
          <w:shd w:val="pct10" w:color="F2F2F2" w:themeColor="background1" w:themeShade="F2" w:fill="auto"/>
          <w:vAlign w:val="center"/>
        </w:tcPr>
        <w:p w14:paraId="649B5767" w14:textId="77777777" w:rsidR="00FB76BB" w:rsidRDefault="00FB76BB" w:rsidP="00D47305">
          <w:pPr>
            <w:pStyle w:val="En-tte"/>
            <w:tabs>
              <w:tab w:val="left" w:pos="6804"/>
            </w:tabs>
            <w:jc w:val="center"/>
          </w:pPr>
        </w:p>
      </w:tc>
    </w:tr>
    <w:tr w:rsidR="00FB76BB" w14:paraId="4558D6D8" w14:textId="77777777" w:rsidTr="00D47305">
      <w:trPr>
        <w:trHeight w:val="50"/>
        <w:jc w:val="center"/>
      </w:trPr>
      <w:tc>
        <w:tcPr>
          <w:tcW w:w="1269" w:type="dxa"/>
          <w:vMerge w:val="restart"/>
          <w:tcBorders>
            <w:top w:val="single" w:sz="4" w:space="0" w:color="auto"/>
          </w:tcBorders>
          <w:shd w:val="pct10" w:color="F2F2F2" w:themeColor="background1" w:themeShade="F2" w:fill="auto"/>
        </w:tcPr>
        <w:p w14:paraId="42844EAD" w14:textId="77777777" w:rsidR="00FB76BB" w:rsidRPr="00056920" w:rsidRDefault="00365436" w:rsidP="00D47305">
          <w:pPr>
            <w:contextualSpacing/>
            <w:rPr>
              <w:lang w:val="en-US"/>
            </w:rPr>
          </w:pPr>
          <w:r>
            <w:rPr>
              <w:noProof/>
              <w:lang w:val="fr-FR" w:eastAsia="fr-FR"/>
            </w:rPr>
            <w:drawing>
              <wp:anchor distT="0" distB="0" distL="114300" distR="114300" simplePos="0" relativeHeight="251662336" behindDoc="0" locked="0" layoutInCell="1" allowOverlap="1" wp14:anchorId="0E808419" wp14:editId="73586DAC">
                <wp:simplePos x="0" y="0"/>
                <wp:positionH relativeFrom="column">
                  <wp:posOffset>-17780</wp:posOffset>
                </wp:positionH>
                <wp:positionV relativeFrom="paragraph">
                  <wp:posOffset>120650</wp:posOffset>
                </wp:positionV>
                <wp:extent cx="666750" cy="603250"/>
                <wp:effectExtent l="19050" t="0" r="0" b="0"/>
                <wp:wrapNone/>
                <wp:docPr id="1"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6750" cy="603250"/>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14:paraId="68CB1CD6" w14:textId="77777777" w:rsidR="00FB76BB" w:rsidRPr="002E206D" w:rsidRDefault="00FB76BB" w:rsidP="00D47305">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14:paraId="531E1D5A" w14:textId="77777777" w:rsidR="00FB76BB" w:rsidRDefault="00FB76BB" w:rsidP="00D47305">
          <w:pPr>
            <w:pStyle w:val="En-tte"/>
            <w:tabs>
              <w:tab w:val="left" w:pos="6804"/>
            </w:tabs>
            <w:contextualSpacing/>
            <w:jc w:val="center"/>
          </w:pPr>
          <w:r>
            <w:rPr>
              <w:noProof/>
              <w:lang w:val="fr-FR" w:eastAsia="fr-FR"/>
            </w:rPr>
            <w:drawing>
              <wp:anchor distT="0" distB="0" distL="114300" distR="114300" simplePos="0" relativeHeight="251660288" behindDoc="0" locked="0" layoutInCell="1" allowOverlap="1" wp14:anchorId="22746156" wp14:editId="65C6F1D6">
                <wp:simplePos x="0" y="0"/>
                <wp:positionH relativeFrom="column">
                  <wp:posOffset>116205</wp:posOffset>
                </wp:positionH>
                <wp:positionV relativeFrom="paragraph">
                  <wp:posOffset>-68580</wp:posOffset>
                </wp:positionV>
                <wp:extent cx="889635" cy="838200"/>
                <wp:effectExtent l="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FB76BB" w:rsidRPr="005202AA" w14:paraId="303C46EF" w14:textId="77777777" w:rsidTr="00D47305">
      <w:trPr>
        <w:trHeight w:val="50"/>
        <w:jc w:val="center"/>
      </w:trPr>
      <w:tc>
        <w:tcPr>
          <w:tcW w:w="1269" w:type="dxa"/>
          <w:vMerge/>
          <w:shd w:val="pct10" w:color="F2F2F2" w:themeColor="background1" w:themeShade="F2" w:fill="auto"/>
        </w:tcPr>
        <w:p w14:paraId="7C36EB71" w14:textId="77777777" w:rsidR="00FB76BB" w:rsidRDefault="00FB76BB" w:rsidP="00D47305">
          <w:pPr>
            <w:pStyle w:val="En-tte"/>
            <w:tabs>
              <w:tab w:val="left" w:pos="6804"/>
            </w:tabs>
          </w:pPr>
        </w:p>
      </w:tc>
      <w:tc>
        <w:tcPr>
          <w:tcW w:w="6621" w:type="dxa"/>
          <w:shd w:val="clear" w:color="auto" w:fill="D5DCE4" w:themeFill="text2" w:themeFillTint="33"/>
        </w:tcPr>
        <w:p w14:paraId="61F3391F" w14:textId="77777777" w:rsidR="00FB76BB" w:rsidRPr="0058707B" w:rsidRDefault="00FB76BB" w:rsidP="00D47305">
          <w:pPr>
            <w:pStyle w:val="En-tte"/>
            <w:tabs>
              <w:tab w:val="center" w:pos="3329"/>
              <w:tab w:val="left" w:pos="5284"/>
            </w:tabs>
            <w:spacing w:line="220" w:lineRule="atLeast"/>
            <w:jc w:val="center"/>
            <w:rPr>
              <w:rFonts w:ascii="Arial" w:hAnsi="Arial" w:cs="Arial"/>
              <w:sz w:val="18"/>
              <w:szCs w:val="18"/>
              <w:lang w:val="fr-FR"/>
            </w:rPr>
          </w:pPr>
          <w:r>
            <w:rPr>
              <w:rFonts w:ascii="Arial" w:hAnsi="Arial" w:cs="Arial"/>
              <w:sz w:val="18"/>
              <w:szCs w:val="18"/>
              <w:lang w:val="fr-FR"/>
            </w:rPr>
            <w:t>En ligne</w:t>
          </w:r>
        </w:p>
        <w:p w14:paraId="4AE349D4" w14:textId="77777777" w:rsidR="00FB76BB" w:rsidRPr="0058707B" w:rsidRDefault="00DD2A41" w:rsidP="00D47305">
          <w:pPr>
            <w:pStyle w:val="En-tte"/>
            <w:tabs>
              <w:tab w:val="center" w:pos="3329"/>
              <w:tab w:val="left" w:pos="5284"/>
            </w:tabs>
            <w:spacing w:line="220" w:lineRule="atLeast"/>
            <w:jc w:val="center"/>
            <w:rPr>
              <w:sz w:val="18"/>
              <w:szCs w:val="18"/>
              <w:u w:val="single"/>
              <w:lang w:val="fr-FR"/>
            </w:rPr>
          </w:pPr>
          <w:hyperlink r:id="rId3" w:history="1">
            <w:r w:rsidR="00FB76BB" w:rsidRPr="0058707B">
              <w:rPr>
                <w:rStyle w:val="Lienhypertexte"/>
                <w:rFonts w:ascii="Arial" w:hAnsi="Arial" w:cs="Arial"/>
                <w:color w:val="00B0F0"/>
                <w:sz w:val="18"/>
                <w:szCs w:val="18"/>
                <w:u w:val="single"/>
                <w:lang w:val="fr-FR"/>
              </w:rPr>
              <w:t>https://www.atrss.dz/ajhs</w:t>
            </w:r>
          </w:hyperlink>
        </w:p>
        <w:p w14:paraId="0C94359E" w14:textId="77777777" w:rsidR="00FB76BB" w:rsidRPr="0058707B" w:rsidRDefault="00FB76BB" w:rsidP="00D47305">
          <w:pPr>
            <w:pStyle w:val="En-tte"/>
            <w:tabs>
              <w:tab w:val="clear" w:pos="9360"/>
              <w:tab w:val="left" w:pos="5040"/>
            </w:tabs>
            <w:rPr>
              <w:rStyle w:val="Lienhypertexte"/>
              <w:rFonts w:ascii="Arial" w:hAnsi="Arial" w:cs="Arial"/>
              <w:i/>
              <w:iCs/>
              <w:color w:val="0000FF"/>
              <w:sz w:val="18"/>
              <w:lang w:val="fr-FR"/>
            </w:rPr>
          </w:pP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p>
        <w:p w14:paraId="2CD99B95" w14:textId="77777777" w:rsidR="00FB76BB" w:rsidRPr="0058707B" w:rsidRDefault="00FB76BB" w:rsidP="00D47305">
          <w:pPr>
            <w:pStyle w:val="En-tte"/>
            <w:spacing w:line="220" w:lineRule="atLeast"/>
            <w:jc w:val="center"/>
            <w:rPr>
              <w:sz w:val="18"/>
              <w:szCs w:val="18"/>
              <w:lang w:val="fr-FR"/>
            </w:rPr>
          </w:pPr>
        </w:p>
      </w:tc>
      <w:tc>
        <w:tcPr>
          <w:tcW w:w="1689" w:type="dxa"/>
          <w:vMerge/>
          <w:tcBorders>
            <w:bottom w:val="single" w:sz="36" w:space="0" w:color="auto"/>
          </w:tcBorders>
          <w:shd w:val="pct10" w:color="F2F2F2" w:themeColor="background1" w:themeShade="F2" w:fill="auto"/>
          <w:vAlign w:val="center"/>
        </w:tcPr>
        <w:p w14:paraId="33326AE9" w14:textId="77777777" w:rsidR="00FB76BB" w:rsidRPr="0058707B" w:rsidRDefault="00FB76BB" w:rsidP="00D47305">
          <w:pPr>
            <w:pStyle w:val="En-tte"/>
            <w:tabs>
              <w:tab w:val="left" w:pos="6804"/>
            </w:tabs>
            <w:jc w:val="center"/>
            <w:rPr>
              <w:lang w:val="fr-FR"/>
            </w:rPr>
          </w:pPr>
        </w:p>
      </w:tc>
    </w:tr>
    <w:tr w:rsidR="00FB76BB" w:rsidRPr="005202AA" w14:paraId="172ACA26" w14:textId="77777777" w:rsidTr="00D47305">
      <w:trPr>
        <w:trHeight w:val="20"/>
        <w:jc w:val="center"/>
      </w:trPr>
      <w:tc>
        <w:tcPr>
          <w:tcW w:w="1269" w:type="dxa"/>
          <w:vMerge/>
          <w:tcBorders>
            <w:bottom w:val="single" w:sz="36" w:space="0" w:color="auto"/>
          </w:tcBorders>
          <w:shd w:val="pct10" w:color="F2F2F2" w:themeColor="background1" w:themeShade="F2" w:fill="auto"/>
        </w:tcPr>
        <w:p w14:paraId="137A13F2" w14:textId="77777777" w:rsidR="00FB76BB" w:rsidRPr="0058707B" w:rsidRDefault="00FB76BB" w:rsidP="00D47305">
          <w:pPr>
            <w:pStyle w:val="En-tte"/>
            <w:tabs>
              <w:tab w:val="left" w:pos="6804"/>
            </w:tabs>
            <w:rPr>
              <w:lang w:val="fr-FR"/>
            </w:rPr>
          </w:pPr>
        </w:p>
      </w:tc>
      <w:tc>
        <w:tcPr>
          <w:tcW w:w="6621" w:type="dxa"/>
          <w:tcBorders>
            <w:bottom w:val="single" w:sz="36" w:space="0" w:color="auto"/>
          </w:tcBorders>
          <w:shd w:val="pct10" w:color="F2F2F2" w:themeColor="background1" w:themeShade="F2" w:fill="auto"/>
        </w:tcPr>
        <w:p w14:paraId="4D5BEB94" w14:textId="77777777" w:rsidR="00FB76BB" w:rsidRPr="0058707B" w:rsidRDefault="00FB76BB" w:rsidP="00D47305">
          <w:pPr>
            <w:rPr>
              <w:lang w:val="fr-FR"/>
            </w:rPr>
          </w:pPr>
        </w:p>
      </w:tc>
      <w:tc>
        <w:tcPr>
          <w:tcW w:w="1689" w:type="dxa"/>
          <w:vMerge/>
          <w:tcBorders>
            <w:bottom w:val="single" w:sz="36" w:space="0" w:color="auto"/>
          </w:tcBorders>
          <w:shd w:val="pct10" w:color="F2F2F2" w:themeColor="background1" w:themeShade="F2" w:fill="auto"/>
          <w:vAlign w:val="center"/>
        </w:tcPr>
        <w:p w14:paraId="5A695D3D" w14:textId="77777777" w:rsidR="00FB76BB" w:rsidRPr="0058707B" w:rsidRDefault="00FB76BB" w:rsidP="00D47305">
          <w:pPr>
            <w:pStyle w:val="En-tte"/>
            <w:tabs>
              <w:tab w:val="left" w:pos="6804"/>
            </w:tabs>
            <w:jc w:val="center"/>
            <w:rPr>
              <w:lang w:val="fr-FR"/>
            </w:rPr>
          </w:pPr>
        </w:p>
      </w:tc>
    </w:tr>
  </w:tbl>
  <w:p w14:paraId="5F99D73D" w14:textId="77777777" w:rsidR="00FB76BB" w:rsidRPr="0058707B" w:rsidRDefault="00FB76BB">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D289A"/>
    <w:multiLevelType w:val="hybridMultilevel"/>
    <w:tmpl w:val="21A63BBA"/>
    <w:lvl w:ilvl="0" w:tplc="366659FA">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1" w15:restartNumberingAfterBreak="0">
    <w:nsid w:val="22F53DCD"/>
    <w:multiLevelType w:val="hybridMultilevel"/>
    <w:tmpl w:val="638A0C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AB56F68"/>
    <w:multiLevelType w:val="hybridMultilevel"/>
    <w:tmpl w:val="135C3548"/>
    <w:lvl w:ilvl="0" w:tplc="667ABDA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9"/>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282"/>
    <w:rsid w:val="000219FC"/>
    <w:rsid w:val="00021A46"/>
    <w:rsid w:val="0003427E"/>
    <w:rsid w:val="000947A4"/>
    <w:rsid w:val="000B4563"/>
    <w:rsid w:val="001131EF"/>
    <w:rsid w:val="00113E6B"/>
    <w:rsid w:val="00124AF1"/>
    <w:rsid w:val="00185B02"/>
    <w:rsid w:val="001E212F"/>
    <w:rsid w:val="001E64AF"/>
    <w:rsid w:val="0020055B"/>
    <w:rsid w:val="00214C21"/>
    <w:rsid w:val="00217CA8"/>
    <w:rsid w:val="00220E27"/>
    <w:rsid w:val="0022230C"/>
    <w:rsid w:val="002377FA"/>
    <w:rsid w:val="00240A3B"/>
    <w:rsid w:val="00300155"/>
    <w:rsid w:val="00302F93"/>
    <w:rsid w:val="003126F0"/>
    <w:rsid w:val="00330D2B"/>
    <w:rsid w:val="00365436"/>
    <w:rsid w:val="00381C67"/>
    <w:rsid w:val="00392667"/>
    <w:rsid w:val="003D7CD1"/>
    <w:rsid w:val="003F15B4"/>
    <w:rsid w:val="00407A79"/>
    <w:rsid w:val="00440DC6"/>
    <w:rsid w:val="004470A7"/>
    <w:rsid w:val="004672E4"/>
    <w:rsid w:val="00482434"/>
    <w:rsid w:val="004A7CF9"/>
    <w:rsid w:val="004B0BA5"/>
    <w:rsid w:val="004C4599"/>
    <w:rsid w:val="004E1544"/>
    <w:rsid w:val="004F6540"/>
    <w:rsid w:val="00505C4E"/>
    <w:rsid w:val="00514EBA"/>
    <w:rsid w:val="005202AA"/>
    <w:rsid w:val="00557B51"/>
    <w:rsid w:val="00570C9B"/>
    <w:rsid w:val="00584CB1"/>
    <w:rsid w:val="0058707B"/>
    <w:rsid w:val="005B427D"/>
    <w:rsid w:val="00600964"/>
    <w:rsid w:val="006136BD"/>
    <w:rsid w:val="00645C3B"/>
    <w:rsid w:val="00655586"/>
    <w:rsid w:val="006B46BB"/>
    <w:rsid w:val="006C0FAB"/>
    <w:rsid w:val="007534D1"/>
    <w:rsid w:val="007E2239"/>
    <w:rsid w:val="007F2313"/>
    <w:rsid w:val="007F2ACD"/>
    <w:rsid w:val="008625FA"/>
    <w:rsid w:val="008863F2"/>
    <w:rsid w:val="00894C85"/>
    <w:rsid w:val="008B7BE7"/>
    <w:rsid w:val="008D357B"/>
    <w:rsid w:val="008D499D"/>
    <w:rsid w:val="00903B44"/>
    <w:rsid w:val="00904551"/>
    <w:rsid w:val="009409D8"/>
    <w:rsid w:val="00990D2F"/>
    <w:rsid w:val="009C3088"/>
    <w:rsid w:val="009E2D62"/>
    <w:rsid w:val="009E3A30"/>
    <w:rsid w:val="00A137F3"/>
    <w:rsid w:val="00A54DB2"/>
    <w:rsid w:val="00A70899"/>
    <w:rsid w:val="00AC52DE"/>
    <w:rsid w:val="00AE7164"/>
    <w:rsid w:val="00B2117A"/>
    <w:rsid w:val="00B778A0"/>
    <w:rsid w:val="00B83703"/>
    <w:rsid w:val="00B849C3"/>
    <w:rsid w:val="00BC57EF"/>
    <w:rsid w:val="00C1735F"/>
    <w:rsid w:val="00C51C05"/>
    <w:rsid w:val="00C52BEF"/>
    <w:rsid w:val="00C62E2E"/>
    <w:rsid w:val="00C67D32"/>
    <w:rsid w:val="00C8304E"/>
    <w:rsid w:val="00CB0DEC"/>
    <w:rsid w:val="00D0435F"/>
    <w:rsid w:val="00D11FEC"/>
    <w:rsid w:val="00D169EC"/>
    <w:rsid w:val="00D30073"/>
    <w:rsid w:val="00D3105E"/>
    <w:rsid w:val="00D315FE"/>
    <w:rsid w:val="00D47305"/>
    <w:rsid w:val="00D542CF"/>
    <w:rsid w:val="00D60935"/>
    <w:rsid w:val="00DD2A41"/>
    <w:rsid w:val="00E13D6B"/>
    <w:rsid w:val="00E20B19"/>
    <w:rsid w:val="00E21E5E"/>
    <w:rsid w:val="00E233AE"/>
    <w:rsid w:val="00E432BC"/>
    <w:rsid w:val="00E45E4F"/>
    <w:rsid w:val="00E51F82"/>
    <w:rsid w:val="00E56282"/>
    <w:rsid w:val="00EE5F47"/>
    <w:rsid w:val="00F44BBF"/>
    <w:rsid w:val="00FA0649"/>
    <w:rsid w:val="00FB5251"/>
    <w:rsid w:val="00FB76BB"/>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686241"/>
  <w15:docId w15:val="{F2407027-A984-459B-9105-CDD0D9E6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282"/>
  </w:style>
  <w:style w:type="paragraph" w:styleId="Titre1">
    <w:name w:val="heading 1"/>
    <w:basedOn w:val="Normal"/>
    <w:link w:val="Titre1Car"/>
    <w:uiPriority w:val="9"/>
    <w:qFormat/>
    <w:rsid w:val="00D315FE"/>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page-number"/>
    <w:basedOn w:val="Normal"/>
    <w:link w:val="En-tteCar"/>
    <w:uiPriority w:val="99"/>
    <w:unhideWhenUsed/>
    <w:rsid w:val="00E56282"/>
    <w:pPr>
      <w:tabs>
        <w:tab w:val="center" w:pos="4680"/>
        <w:tab w:val="right" w:pos="9360"/>
      </w:tabs>
      <w:spacing w:after="0" w:line="240" w:lineRule="auto"/>
    </w:pPr>
  </w:style>
  <w:style w:type="character" w:customStyle="1" w:styleId="En-tteCar">
    <w:name w:val="En-tête Car"/>
    <w:aliases w:val="page-number Car"/>
    <w:basedOn w:val="Policepardfaut"/>
    <w:link w:val="En-tte"/>
    <w:uiPriority w:val="99"/>
    <w:rsid w:val="00E56282"/>
  </w:style>
  <w:style w:type="paragraph" w:styleId="Pieddepage">
    <w:name w:val="footer"/>
    <w:basedOn w:val="Normal"/>
    <w:link w:val="PieddepageCar"/>
    <w:uiPriority w:val="99"/>
    <w:unhideWhenUsed/>
    <w:rsid w:val="00E5628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56282"/>
  </w:style>
  <w:style w:type="character" w:styleId="Lienhypertexte">
    <w:name w:val="Hyperlink"/>
    <w:semiHidden/>
    <w:rsid w:val="00E56282"/>
    <w:rPr>
      <w:color w:val="auto"/>
      <w:sz w:val="16"/>
      <w:u w:val="none"/>
    </w:rPr>
  </w:style>
  <w:style w:type="table" w:styleId="Grilledutableau">
    <w:name w:val="Table Grid"/>
    <w:basedOn w:val="TableauNormal"/>
    <w:uiPriority w:val="59"/>
    <w:rsid w:val="00E56282"/>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E56282"/>
    <w:pPr>
      <w:tabs>
        <w:tab w:val="clear" w:pos="4680"/>
        <w:tab w:val="clear" w:pos="9360"/>
        <w:tab w:val="center" w:pos="4706"/>
        <w:tab w:val="center" w:pos="4920"/>
        <w:tab w:val="right" w:pos="9356"/>
      </w:tabs>
      <w:spacing w:after="80" w:line="200" w:lineRule="exact"/>
      <w:jc w:val="center"/>
    </w:pPr>
    <w:rPr>
      <w:rFonts w:ascii="Times New Roman" w:eastAsia="SimSun" w:hAnsi="Times New Roman" w:cs="Times New Roman"/>
      <w:smallCaps/>
      <w:noProof/>
      <w:sz w:val="14"/>
      <w:szCs w:val="20"/>
    </w:rPr>
  </w:style>
  <w:style w:type="paragraph" w:customStyle="1" w:styleId="Els-Affiliation">
    <w:name w:val="Els-Affiliation"/>
    <w:next w:val="Normal"/>
    <w:autoRedefine/>
    <w:rsid w:val="00E56282"/>
    <w:pPr>
      <w:pBdr>
        <w:bottom w:val="single" w:sz="2" w:space="1" w:color="auto"/>
      </w:pBdr>
      <w:suppressAutoHyphens/>
      <w:spacing w:after="0" w:line="230" w:lineRule="exact"/>
    </w:pPr>
    <w:rPr>
      <w:rFonts w:ascii="Times New Roman" w:eastAsia="SimSun" w:hAnsi="Times New Roman" w:cs="Times New Roman"/>
      <w:i/>
      <w:noProof/>
      <w:sz w:val="16"/>
      <w:szCs w:val="20"/>
    </w:rPr>
  </w:style>
  <w:style w:type="paragraph" w:customStyle="1" w:styleId="Els-Title">
    <w:name w:val="Els-Title"/>
    <w:next w:val="Normal"/>
    <w:autoRedefine/>
    <w:rsid w:val="00E56282"/>
    <w:pPr>
      <w:suppressAutoHyphens/>
      <w:spacing w:after="340" w:line="440" w:lineRule="exact"/>
      <w:jc w:val="both"/>
    </w:pPr>
    <w:rPr>
      <w:rFonts w:ascii="Times New Roman" w:eastAsia="SimSun" w:hAnsi="Times New Roman" w:cs="Times New Roman"/>
      <w:b/>
      <w:sz w:val="32"/>
      <w:szCs w:val="32"/>
    </w:rPr>
  </w:style>
  <w:style w:type="paragraph" w:customStyle="1" w:styleId="DocHead">
    <w:name w:val="DocHead"/>
    <w:rsid w:val="00E56282"/>
    <w:pPr>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E56282"/>
    <w:pPr>
      <w:pBdr>
        <w:top w:val="single" w:sz="4" w:space="1" w:color="auto"/>
      </w:pBdr>
      <w:spacing w:before="200" w:after="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E56282"/>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E56282"/>
    <w:pPr>
      <w:keepNext/>
      <w:numPr>
        <w:ilvl w:val="1"/>
        <w:numId w:val="1"/>
      </w:numPr>
      <w:suppressAutoHyphens/>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E56282"/>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E56282"/>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E56282"/>
    <w:pPr>
      <w:spacing w:after="0" w:line="230" w:lineRule="exact"/>
      <w:ind w:firstLine="238"/>
      <w:jc w:val="both"/>
    </w:pPr>
    <w:rPr>
      <w:rFonts w:ascii="Times New Roman" w:eastAsia="SimSun" w:hAnsi="Times New Roman" w:cs="Times New Roman"/>
      <w:sz w:val="16"/>
      <w:szCs w:val="20"/>
    </w:rPr>
  </w:style>
  <w:style w:type="paragraph" w:customStyle="1" w:styleId="Els-table-text">
    <w:name w:val="Els-table-text"/>
    <w:rsid w:val="00E56282"/>
    <w:pPr>
      <w:spacing w:after="80" w:line="200" w:lineRule="exact"/>
    </w:pPr>
    <w:rPr>
      <w:rFonts w:ascii="Times New Roman" w:eastAsia="SimSun" w:hAnsi="Times New Roman" w:cs="Times New Roman"/>
      <w:sz w:val="14"/>
      <w:szCs w:val="20"/>
    </w:rPr>
  </w:style>
  <w:style w:type="paragraph" w:customStyle="1" w:styleId="Els-table-caption">
    <w:name w:val="Els-table-caption"/>
    <w:rsid w:val="00E56282"/>
    <w:pPr>
      <w:keepLines/>
      <w:spacing w:before="230" w:after="230" w:line="200" w:lineRule="exact"/>
    </w:pPr>
    <w:rPr>
      <w:rFonts w:ascii="Times New Roman" w:eastAsia="SimSun" w:hAnsi="Times New Roman" w:cs="Times New Roman"/>
      <w:b/>
      <w:sz w:val="16"/>
      <w:szCs w:val="20"/>
    </w:rPr>
  </w:style>
  <w:style w:type="paragraph" w:customStyle="1" w:styleId="p">
    <w:name w:val="p"/>
    <w:basedOn w:val="Normal"/>
    <w:rsid w:val="00217CA8"/>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654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5436"/>
    <w:rPr>
      <w:rFonts w:ascii="Tahoma" w:hAnsi="Tahoma" w:cs="Tahoma"/>
      <w:sz w:val="16"/>
      <w:szCs w:val="16"/>
    </w:rPr>
  </w:style>
  <w:style w:type="paragraph" w:styleId="PrformatHTML">
    <w:name w:val="HTML Preformatted"/>
    <w:basedOn w:val="Normal"/>
    <w:link w:val="PrformatHTMLCar"/>
    <w:uiPriority w:val="99"/>
    <w:rsid w:val="00570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rsid w:val="00570C9B"/>
    <w:rPr>
      <w:rFonts w:ascii="Courier New" w:eastAsia="Times New Roman" w:hAnsi="Courier New" w:cs="Courier New"/>
      <w:sz w:val="20"/>
      <w:szCs w:val="20"/>
      <w:lang w:val="fr-FR" w:eastAsia="fr-FR"/>
    </w:rPr>
  </w:style>
  <w:style w:type="paragraph" w:customStyle="1" w:styleId="Default">
    <w:name w:val="Default"/>
    <w:rsid w:val="00392667"/>
    <w:pPr>
      <w:autoSpaceDE w:val="0"/>
      <w:autoSpaceDN w:val="0"/>
      <w:adjustRightInd w:val="0"/>
      <w:spacing w:after="0" w:line="240" w:lineRule="auto"/>
    </w:pPr>
    <w:rPr>
      <w:rFonts w:ascii="Calibri" w:eastAsiaTheme="minorEastAsia" w:hAnsi="Calibri" w:cs="Calibri"/>
      <w:color w:val="000000"/>
      <w:sz w:val="24"/>
      <w:szCs w:val="24"/>
      <w:lang w:val="fr-FR" w:eastAsia="fr-FR"/>
    </w:rPr>
  </w:style>
  <w:style w:type="character" w:customStyle="1" w:styleId="Titre1Car">
    <w:name w:val="Titre 1 Car"/>
    <w:basedOn w:val="Policepardfaut"/>
    <w:link w:val="Titre1"/>
    <w:uiPriority w:val="9"/>
    <w:rsid w:val="00D315FE"/>
    <w:rPr>
      <w:rFonts w:ascii="Times New Roman" w:eastAsia="Times New Roman" w:hAnsi="Times New Roman" w:cs="Times New Roman"/>
      <w:b/>
      <w:bCs/>
      <w:kern w:val="36"/>
      <w:sz w:val="48"/>
      <w:szCs w:val="48"/>
      <w:lang w:val="fr-FR" w:eastAsia="fr-FR"/>
    </w:rPr>
  </w:style>
  <w:style w:type="character" w:styleId="lev">
    <w:name w:val="Strong"/>
    <w:basedOn w:val="Policepardfaut"/>
    <w:uiPriority w:val="22"/>
    <w:qFormat/>
    <w:rsid w:val="00D315FE"/>
    <w:rPr>
      <w:b/>
      <w:bCs/>
    </w:rPr>
  </w:style>
  <w:style w:type="paragraph" w:customStyle="1" w:styleId="DecimalAligned">
    <w:name w:val="Decimal Aligned"/>
    <w:basedOn w:val="Normal"/>
    <w:uiPriority w:val="40"/>
    <w:qFormat/>
    <w:rsid w:val="00482434"/>
    <w:pPr>
      <w:tabs>
        <w:tab w:val="decimal" w:pos="360"/>
      </w:tabs>
      <w:spacing w:line="312" w:lineRule="auto"/>
    </w:pPr>
    <w:rPr>
      <w:rFonts w:ascii="Calibri" w:eastAsia="Times New Roman" w:hAnsi="Calibri" w:cs="Arial"/>
      <w:sz w:val="21"/>
      <w:szCs w:val="21"/>
      <w:lang w:val="fr-FR" w:eastAsia="fr-FR"/>
    </w:rPr>
  </w:style>
  <w:style w:type="paragraph" w:styleId="Paragraphedeliste">
    <w:name w:val="List Paragraph"/>
    <w:basedOn w:val="Normal"/>
    <w:uiPriority w:val="34"/>
    <w:qFormat/>
    <w:rsid w:val="004A7CF9"/>
    <w:pPr>
      <w:spacing w:after="0" w:line="240" w:lineRule="auto"/>
      <w:ind w:left="720"/>
    </w:pPr>
    <w:rPr>
      <w:rFonts w:ascii="Calibri" w:eastAsia="Calibri" w:hAnsi="Calibri" w:cs="Calibri"/>
      <w:lang w:val="fr-FR" w:eastAsia="fr-FR"/>
    </w:rPr>
  </w:style>
  <w:style w:type="character" w:customStyle="1" w:styleId="cit">
    <w:name w:val="cit"/>
    <w:basedOn w:val="Policepardfaut"/>
    <w:rsid w:val="004A7CF9"/>
  </w:style>
  <w:style w:type="character" w:customStyle="1" w:styleId="period">
    <w:name w:val="period"/>
    <w:basedOn w:val="Policepardfaut"/>
    <w:rsid w:val="004A7CF9"/>
  </w:style>
  <w:style w:type="character" w:customStyle="1" w:styleId="author-sup-separator">
    <w:name w:val="author-sup-separator"/>
    <w:basedOn w:val="Policepardfaut"/>
    <w:rsid w:val="004A7CF9"/>
  </w:style>
  <w:style w:type="character" w:customStyle="1" w:styleId="comma">
    <w:name w:val="comma"/>
    <w:basedOn w:val="Policepardfaut"/>
    <w:rsid w:val="004A7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rcid.org/0000-0002-2851-0008" TargetMode="External"/><Relationship Id="rId12" Type="http://schemas.openxmlformats.org/officeDocument/2006/relationships/footer" Target="footer2.xml"/><Relationship Id="rId17" Type="http://schemas.openxmlformats.org/officeDocument/2006/relationships/hyperlink" Target="https://pubmed.ncbi.nlm.nih.gov/?term=van+der+Schouw+YT&amp;cauthor_id=12409954" TargetMode="External"/><Relationship Id="rId2" Type="http://schemas.openxmlformats.org/officeDocument/2006/relationships/styles" Target="styles.xml"/><Relationship Id="rId16" Type="http://schemas.openxmlformats.org/officeDocument/2006/relationships/hyperlink" Target="https://pubmed.ncbi.nlm.nih.gov/?term=Lebrun+CE&amp;cauthor_id=124099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pubmed.ncbi.nlm.nih.gov/?term=Benetos+A&amp;cauthor_id=1236118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pubmed.ncbi.nlm.nih.gov/?term=Achimastos+A&amp;cauthor_id=12361189"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3.png"/><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G:\discussion%20th&#232;se%20et%20autres\correl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correlation!$B$1</c:f>
              <c:strCache>
                <c:ptCount val="1"/>
                <c:pt idx="0">
                  <c:v>vop</c:v>
                </c:pt>
              </c:strCache>
            </c:strRef>
          </c:tx>
          <c:spPr>
            <a:ln w="19050">
              <a:noFill/>
            </a:ln>
          </c:spPr>
          <c:trendline>
            <c:trendlineType val="linear"/>
            <c:dispRSqr val="1"/>
            <c:dispEq val="1"/>
            <c:trendlineLbl>
              <c:layout>
                <c:manualLayout>
                  <c:x val="-1.2116018753582345E-3"/>
                  <c:y val="0.36598961300050636"/>
                </c:manualLayout>
              </c:layout>
              <c:numFmt formatCode="General" sourceLinked="0"/>
            </c:trendlineLbl>
          </c:trendline>
          <c:xVal>
            <c:numRef>
              <c:f>correlation!$A$2:$A$311</c:f>
              <c:numCache>
                <c:formatCode>General</c:formatCode>
                <c:ptCount val="310"/>
                <c:pt idx="0">
                  <c:v>32</c:v>
                </c:pt>
                <c:pt idx="1">
                  <c:v>37</c:v>
                </c:pt>
                <c:pt idx="2">
                  <c:v>41</c:v>
                </c:pt>
                <c:pt idx="3">
                  <c:v>25</c:v>
                </c:pt>
                <c:pt idx="4">
                  <c:v>36</c:v>
                </c:pt>
                <c:pt idx="5">
                  <c:v>39</c:v>
                </c:pt>
                <c:pt idx="6">
                  <c:v>39</c:v>
                </c:pt>
                <c:pt idx="7">
                  <c:v>24</c:v>
                </c:pt>
                <c:pt idx="8">
                  <c:v>47</c:v>
                </c:pt>
                <c:pt idx="9">
                  <c:v>43</c:v>
                </c:pt>
                <c:pt idx="10">
                  <c:v>40</c:v>
                </c:pt>
                <c:pt idx="11">
                  <c:v>44</c:v>
                </c:pt>
                <c:pt idx="12">
                  <c:v>47</c:v>
                </c:pt>
                <c:pt idx="13">
                  <c:v>64</c:v>
                </c:pt>
                <c:pt idx="14">
                  <c:v>56</c:v>
                </c:pt>
                <c:pt idx="15">
                  <c:v>28</c:v>
                </c:pt>
                <c:pt idx="16">
                  <c:v>39</c:v>
                </c:pt>
                <c:pt idx="17">
                  <c:v>38</c:v>
                </c:pt>
                <c:pt idx="18">
                  <c:v>31</c:v>
                </c:pt>
                <c:pt idx="19">
                  <c:v>33</c:v>
                </c:pt>
                <c:pt idx="20">
                  <c:v>24</c:v>
                </c:pt>
                <c:pt idx="21">
                  <c:v>23</c:v>
                </c:pt>
                <c:pt idx="22">
                  <c:v>24</c:v>
                </c:pt>
                <c:pt idx="23">
                  <c:v>48</c:v>
                </c:pt>
                <c:pt idx="24">
                  <c:v>36</c:v>
                </c:pt>
                <c:pt idx="25">
                  <c:v>33</c:v>
                </c:pt>
                <c:pt idx="26">
                  <c:v>26</c:v>
                </c:pt>
                <c:pt idx="27">
                  <c:v>23</c:v>
                </c:pt>
                <c:pt idx="28">
                  <c:v>28</c:v>
                </c:pt>
                <c:pt idx="29">
                  <c:v>29</c:v>
                </c:pt>
                <c:pt idx="30">
                  <c:v>21</c:v>
                </c:pt>
                <c:pt idx="31">
                  <c:v>22</c:v>
                </c:pt>
                <c:pt idx="32">
                  <c:v>49</c:v>
                </c:pt>
                <c:pt idx="33">
                  <c:v>21</c:v>
                </c:pt>
                <c:pt idx="34">
                  <c:v>36</c:v>
                </c:pt>
                <c:pt idx="35">
                  <c:v>24</c:v>
                </c:pt>
                <c:pt idx="36">
                  <c:v>22</c:v>
                </c:pt>
                <c:pt idx="37">
                  <c:v>29</c:v>
                </c:pt>
                <c:pt idx="38">
                  <c:v>42</c:v>
                </c:pt>
                <c:pt idx="39">
                  <c:v>74</c:v>
                </c:pt>
                <c:pt idx="40">
                  <c:v>46</c:v>
                </c:pt>
                <c:pt idx="41">
                  <c:v>58</c:v>
                </c:pt>
                <c:pt idx="42">
                  <c:v>44</c:v>
                </c:pt>
                <c:pt idx="43">
                  <c:v>38</c:v>
                </c:pt>
                <c:pt idx="44">
                  <c:v>35</c:v>
                </c:pt>
                <c:pt idx="45">
                  <c:v>30</c:v>
                </c:pt>
                <c:pt idx="46">
                  <c:v>46</c:v>
                </c:pt>
                <c:pt idx="47">
                  <c:v>41</c:v>
                </c:pt>
                <c:pt idx="48">
                  <c:v>35</c:v>
                </c:pt>
                <c:pt idx="49">
                  <c:v>25</c:v>
                </c:pt>
                <c:pt idx="50">
                  <c:v>24</c:v>
                </c:pt>
                <c:pt idx="51">
                  <c:v>54</c:v>
                </c:pt>
                <c:pt idx="52">
                  <c:v>37</c:v>
                </c:pt>
                <c:pt idx="53">
                  <c:v>23</c:v>
                </c:pt>
                <c:pt idx="54">
                  <c:v>24</c:v>
                </c:pt>
                <c:pt idx="55">
                  <c:v>28</c:v>
                </c:pt>
                <c:pt idx="56">
                  <c:v>25</c:v>
                </c:pt>
                <c:pt idx="57">
                  <c:v>26</c:v>
                </c:pt>
                <c:pt idx="58">
                  <c:v>23</c:v>
                </c:pt>
                <c:pt idx="59">
                  <c:v>27</c:v>
                </c:pt>
                <c:pt idx="60">
                  <c:v>24</c:v>
                </c:pt>
                <c:pt idx="61">
                  <c:v>24</c:v>
                </c:pt>
                <c:pt idx="62">
                  <c:v>26</c:v>
                </c:pt>
                <c:pt idx="63">
                  <c:v>27</c:v>
                </c:pt>
                <c:pt idx="64">
                  <c:v>24</c:v>
                </c:pt>
                <c:pt idx="65">
                  <c:v>20</c:v>
                </c:pt>
                <c:pt idx="66">
                  <c:v>25</c:v>
                </c:pt>
                <c:pt idx="67">
                  <c:v>24</c:v>
                </c:pt>
                <c:pt idx="68">
                  <c:v>25</c:v>
                </c:pt>
                <c:pt idx="69">
                  <c:v>26</c:v>
                </c:pt>
                <c:pt idx="70">
                  <c:v>24</c:v>
                </c:pt>
                <c:pt idx="71">
                  <c:v>30</c:v>
                </c:pt>
                <c:pt idx="72">
                  <c:v>28</c:v>
                </c:pt>
                <c:pt idx="73">
                  <c:v>25</c:v>
                </c:pt>
                <c:pt idx="74">
                  <c:v>27</c:v>
                </c:pt>
                <c:pt idx="75">
                  <c:v>25</c:v>
                </c:pt>
                <c:pt idx="76">
                  <c:v>26</c:v>
                </c:pt>
                <c:pt idx="77">
                  <c:v>24</c:v>
                </c:pt>
                <c:pt idx="78">
                  <c:v>23</c:v>
                </c:pt>
                <c:pt idx="79">
                  <c:v>31</c:v>
                </c:pt>
                <c:pt idx="80">
                  <c:v>20</c:v>
                </c:pt>
                <c:pt idx="81">
                  <c:v>30</c:v>
                </c:pt>
                <c:pt idx="82">
                  <c:v>36</c:v>
                </c:pt>
                <c:pt idx="83">
                  <c:v>31</c:v>
                </c:pt>
                <c:pt idx="84">
                  <c:v>26</c:v>
                </c:pt>
                <c:pt idx="85">
                  <c:v>24</c:v>
                </c:pt>
                <c:pt idx="86">
                  <c:v>22</c:v>
                </c:pt>
                <c:pt idx="87">
                  <c:v>46</c:v>
                </c:pt>
                <c:pt idx="88">
                  <c:v>32</c:v>
                </c:pt>
                <c:pt idx="89">
                  <c:v>25</c:v>
                </c:pt>
                <c:pt idx="90">
                  <c:v>21</c:v>
                </c:pt>
                <c:pt idx="91">
                  <c:v>28</c:v>
                </c:pt>
                <c:pt idx="92">
                  <c:v>51</c:v>
                </c:pt>
                <c:pt idx="93">
                  <c:v>46</c:v>
                </c:pt>
                <c:pt idx="94">
                  <c:v>30</c:v>
                </c:pt>
                <c:pt idx="95">
                  <c:v>30</c:v>
                </c:pt>
                <c:pt idx="96">
                  <c:v>50</c:v>
                </c:pt>
                <c:pt idx="97">
                  <c:v>42</c:v>
                </c:pt>
                <c:pt idx="98">
                  <c:v>21</c:v>
                </c:pt>
                <c:pt idx="99">
                  <c:v>43</c:v>
                </c:pt>
                <c:pt idx="100">
                  <c:v>29</c:v>
                </c:pt>
                <c:pt idx="101">
                  <c:v>23</c:v>
                </c:pt>
                <c:pt idx="102">
                  <c:v>42</c:v>
                </c:pt>
                <c:pt idx="103">
                  <c:v>42</c:v>
                </c:pt>
                <c:pt idx="104">
                  <c:v>48</c:v>
                </c:pt>
                <c:pt idx="105">
                  <c:v>49</c:v>
                </c:pt>
                <c:pt idx="106">
                  <c:v>20</c:v>
                </c:pt>
                <c:pt idx="107">
                  <c:v>34</c:v>
                </c:pt>
                <c:pt idx="108">
                  <c:v>31</c:v>
                </c:pt>
                <c:pt idx="109">
                  <c:v>59</c:v>
                </c:pt>
                <c:pt idx="110">
                  <c:v>32</c:v>
                </c:pt>
                <c:pt idx="111">
                  <c:v>49</c:v>
                </c:pt>
                <c:pt idx="112">
                  <c:v>47</c:v>
                </c:pt>
                <c:pt idx="113">
                  <c:v>65</c:v>
                </c:pt>
                <c:pt idx="114">
                  <c:v>57</c:v>
                </c:pt>
                <c:pt idx="115">
                  <c:v>49</c:v>
                </c:pt>
                <c:pt idx="116">
                  <c:v>51</c:v>
                </c:pt>
                <c:pt idx="117">
                  <c:v>54</c:v>
                </c:pt>
                <c:pt idx="118">
                  <c:v>46</c:v>
                </c:pt>
                <c:pt idx="119">
                  <c:v>61</c:v>
                </c:pt>
                <c:pt idx="120">
                  <c:v>45</c:v>
                </c:pt>
                <c:pt idx="121">
                  <c:v>64</c:v>
                </c:pt>
                <c:pt idx="122">
                  <c:v>47</c:v>
                </c:pt>
                <c:pt idx="123">
                  <c:v>33</c:v>
                </c:pt>
                <c:pt idx="124">
                  <c:v>47</c:v>
                </c:pt>
                <c:pt idx="125">
                  <c:v>33</c:v>
                </c:pt>
                <c:pt idx="126">
                  <c:v>34</c:v>
                </c:pt>
                <c:pt idx="127">
                  <c:v>34</c:v>
                </c:pt>
                <c:pt idx="128">
                  <c:v>29</c:v>
                </c:pt>
                <c:pt idx="129">
                  <c:v>36</c:v>
                </c:pt>
                <c:pt idx="130">
                  <c:v>25</c:v>
                </c:pt>
                <c:pt idx="131">
                  <c:v>46</c:v>
                </c:pt>
                <c:pt idx="132">
                  <c:v>47</c:v>
                </c:pt>
                <c:pt idx="133">
                  <c:v>28</c:v>
                </c:pt>
                <c:pt idx="134">
                  <c:v>22</c:v>
                </c:pt>
                <c:pt idx="135">
                  <c:v>45</c:v>
                </c:pt>
                <c:pt idx="136">
                  <c:v>44</c:v>
                </c:pt>
                <c:pt idx="137">
                  <c:v>31</c:v>
                </c:pt>
                <c:pt idx="138">
                  <c:v>43</c:v>
                </c:pt>
                <c:pt idx="139">
                  <c:v>32</c:v>
                </c:pt>
                <c:pt idx="140">
                  <c:v>56</c:v>
                </c:pt>
                <c:pt idx="141">
                  <c:v>64</c:v>
                </c:pt>
                <c:pt idx="142">
                  <c:v>47</c:v>
                </c:pt>
                <c:pt idx="143">
                  <c:v>66</c:v>
                </c:pt>
                <c:pt idx="144">
                  <c:v>55</c:v>
                </c:pt>
                <c:pt idx="145">
                  <c:v>58</c:v>
                </c:pt>
                <c:pt idx="146">
                  <c:v>44</c:v>
                </c:pt>
                <c:pt idx="147">
                  <c:v>21</c:v>
                </c:pt>
                <c:pt idx="148">
                  <c:v>29</c:v>
                </c:pt>
                <c:pt idx="149">
                  <c:v>33</c:v>
                </c:pt>
                <c:pt idx="150">
                  <c:v>50</c:v>
                </c:pt>
                <c:pt idx="151">
                  <c:v>63</c:v>
                </c:pt>
                <c:pt idx="152">
                  <c:v>44</c:v>
                </c:pt>
                <c:pt idx="153">
                  <c:v>56</c:v>
                </c:pt>
                <c:pt idx="154">
                  <c:v>45</c:v>
                </c:pt>
                <c:pt idx="155">
                  <c:v>45</c:v>
                </c:pt>
                <c:pt idx="156">
                  <c:v>63</c:v>
                </c:pt>
                <c:pt idx="157">
                  <c:v>39</c:v>
                </c:pt>
                <c:pt idx="158">
                  <c:v>31</c:v>
                </c:pt>
                <c:pt idx="159">
                  <c:v>49</c:v>
                </c:pt>
                <c:pt idx="160">
                  <c:v>55</c:v>
                </c:pt>
                <c:pt idx="161">
                  <c:v>42</c:v>
                </c:pt>
                <c:pt idx="162">
                  <c:v>34</c:v>
                </c:pt>
                <c:pt idx="163">
                  <c:v>48</c:v>
                </c:pt>
                <c:pt idx="164">
                  <c:v>35</c:v>
                </c:pt>
                <c:pt idx="165">
                  <c:v>56</c:v>
                </c:pt>
                <c:pt idx="166">
                  <c:v>66</c:v>
                </c:pt>
                <c:pt idx="167">
                  <c:v>32</c:v>
                </c:pt>
                <c:pt idx="168">
                  <c:v>47</c:v>
                </c:pt>
                <c:pt idx="169">
                  <c:v>53</c:v>
                </c:pt>
                <c:pt idx="170">
                  <c:v>44</c:v>
                </c:pt>
                <c:pt idx="171">
                  <c:v>36</c:v>
                </c:pt>
                <c:pt idx="172">
                  <c:v>67</c:v>
                </c:pt>
                <c:pt idx="173">
                  <c:v>69</c:v>
                </c:pt>
                <c:pt idx="174">
                  <c:v>69</c:v>
                </c:pt>
                <c:pt idx="175">
                  <c:v>59</c:v>
                </c:pt>
                <c:pt idx="176">
                  <c:v>58</c:v>
                </c:pt>
                <c:pt idx="177">
                  <c:v>59</c:v>
                </c:pt>
                <c:pt idx="178">
                  <c:v>58</c:v>
                </c:pt>
                <c:pt idx="179">
                  <c:v>38</c:v>
                </c:pt>
                <c:pt idx="180">
                  <c:v>42</c:v>
                </c:pt>
                <c:pt idx="181">
                  <c:v>44</c:v>
                </c:pt>
                <c:pt idx="182">
                  <c:v>60</c:v>
                </c:pt>
                <c:pt idx="183">
                  <c:v>49</c:v>
                </c:pt>
                <c:pt idx="184">
                  <c:v>60</c:v>
                </c:pt>
                <c:pt idx="185">
                  <c:v>50</c:v>
                </c:pt>
                <c:pt idx="186">
                  <c:v>40</c:v>
                </c:pt>
                <c:pt idx="187">
                  <c:v>54</c:v>
                </c:pt>
                <c:pt idx="188">
                  <c:v>49</c:v>
                </c:pt>
                <c:pt idx="189">
                  <c:v>37</c:v>
                </c:pt>
                <c:pt idx="190">
                  <c:v>44</c:v>
                </c:pt>
                <c:pt idx="191">
                  <c:v>60</c:v>
                </c:pt>
                <c:pt idx="192">
                  <c:v>21</c:v>
                </c:pt>
                <c:pt idx="193">
                  <c:v>61</c:v>
                </c:pt>
                <c:pt idx="194">
                  <c:v>58</c:v>
                </c:pt>
                <c:pt idx="195">
                  <c:v>52</c:v>
                </c:pt>
                <c:pt idx="196">
                  <c:v>35</c:v>
                </c:pt>
                <c:pt idx="197">
                  <c:v>52</c:v>
                </c:pt>
                <c:pt idx="198">
                  <c:v>35</c:v>
                </c:pt>
                <c:pt idx="199">
                  <c:v>34</c:v>
                </c:pt>
                <c:pt idx="200">
                  <c:v>55</c:v>
                </c:pt>
                <c:pt idx="201">
                  <c:v>33</c:v>
                </c:pt>
                <c:pt idx="202">
                  <c:v>31</c:v>
                </c:pt>
                <c:pt idx="203">
                  <c:v>50</c:v>
                </c:pt>
                <c:pt idx="204">
                  <c:v>36</c:v>
                </c:pt>
                <c:pt idx="205">
                  <c:v>56</c:v>
                </c:pt>
                <c:pt idx="206">
                  <c:v>46</c:v>
                </c:pt>
                <c:pt idx="207">
                  <c:v>48</c:v>
                </c:pt>
                <c:pt idx="208">
                  <c:v>59</c:v>
                </c:pt>
                <c:pt idx="209">
                  <c:v>35</c:v>
                </c:pt>
                <c:pt idx="210">
                  <c:v>40</c:v>
                </c:pt>
                <c:pt idx="211">
                  <c:v>58</c:v>
                </c:pt>
                <c:pt idx="212">
                  <c:v>61</c:v>
                </c:pt>
                <c:pt idx="213">
                  <c:v>50</c:v>
                </c:pt>
                <c:pt idx="214">
                  <c:v>71</c:v>
                </c:pt>
                <c:pt idx="215">
                  <c:v>61</c:v>
                </c:pt>
                <c:pt idx="216">
                  <c:v>46</c:v>
                </c:pt>
                <c:pt idx="217">
                  <c:v>41</c:v>
                </c:pt>
                <c:pt idx="218">
                  <c:v>63</c:v>
                </c:pt>
                <c:pt idx="219">
                  <c:v>35</c:v>
                </c:pt>
                <c:pt idx="220">
                  <c:v>42</c:v>
                </c:pt>
                <c:pt idx="221">
                  <c:v>40</c:v>
                </c:pt>
                <c:pt idx="222">
                  <c:v>62</c:v>
                </c:pt>
                <c:pt idx="223">
                  <c:v>38</c:v>
                </c:pt>
                <c:pt idx="224">
                  <c:v>51</c:v>
                </c:pt>
                <c:pt idx="225">
                  <c:v>65</c:v>
                </c:pt>
                <c:pt idx="226">
                  <c:v>41</c:v>
                </c:pt>
                <c:pt idx="227">
                  <c:v>54</c:v>
                </c:pt>
                <c:pt idx="228">
                  <c:v>37</c:v>
                </c:pt>
                <c:pt idx="229">
                  <c:v>54</c:v>
                </c:pt>
                <c:pt idx="230">
                  <c:v>32</c:v>
                </c:pt>
                <c:pt idx="231">
                  <c:v>43</c:v>
                </c:pt>
                <c:pt idx="232">
                  <c:v>55</c:v>
                </c:pt>
                <c:pt idx="233">
                  <c:v>36</c:v>
                </c:pt>
                <c:pt idx="234">
                  <c:v>51</c:v>
                </c:pt>
                <c:pt idx="235">
                  <c:v>47</c:v>
                </c:pt>
                <c:pt idx="236">
                  <c:v>34</c:v>
                </c:pt>
                <c:pt idx="237">
                  <c:v>41</c:v>
                </c:pt>
                <c:pt idx="238">
                  <c:v>45</c:v>
                </c:pt>
                <c:pt idx="239">
                  <c:v>65</c:v>
                </c:pt>
                <c:pt idx="240">
                  <c:v>44</c:v>
                </c:pt>
                <c:pt idx="241">
                  <c:v>40</c:v>
                </c:pt>
                <c:pt idx="242">
                  <c:v>50</c:v>
                </c:pt>
                <c:pt idx="243">
                  <c:v>28</c:v>
                </c:pt>
                <c:pt idx="244">
                  <c:v>62</c:v>
                </c:pt>
                <c:pt idx="245">
                  <c:v>53</c:v>
                </c:pt>
                <c:pt idx="246">
                  <c:v>40</c:v>
                </c:pt>
                <c:pt idx="247">
                  <c:v>46</c:v>
                </c:pt>
                <c:pt idx="248">
                  <c:v>49</c:v>
                </c:pt>
                <c:pt idx="249">
                  <c:v>61</c:v>
                </c:pt>
                <c:pt idx="250">
                  <c:v>36</c:v>
                </c:pt>
                <c:pt idx="251">
                  <c:v>64</c:v>
                </c:pt>
                <c:pt idx="252">
                  <c:v>59</c:v>
                </c:pt>
                <c:pt idx="253">
                  <c:v>47</c:v>
                </c:pt>
                <c:pt idx="254">
                  <c:v>50</c:v>
                </c:pt>
                <c:pt idx="255">
                  <c:v>65</c:v>
                </c:pt>
                <c:pt idx="256">
                  <c:v>39</c:v>
                </c:pt>
                <c:pt idx="257">
                  <c:v>51</c:v>
                </c:pt>
                <c:pt idx="258">
                  <c:v>29</c:v>
                </c:pt>
                <c:pt idx="259">
                  <c:v>39</c:v>
                </c:pt>
                <c:pt idx="260">
                  <c:v>25</c:v>
                </c:pt>
                <c:pt idx="261">
                  <c:v>27</c:v>
                </c:pt>
                <c:pt idx="262">
                  <c:v>51</c:v>
                </c:pt>
                <c:pt idx="263">
                  <c:v>58</c:v>
                </c:pt>
                <c:pt idx="264">
                  <c:v>67</c:v>
                </c:pt>
                <c:pt idx="265">
                  <c:v>35</c:v>
                </c:pt>
                <c:pt idx="266">
                  <c:v>50</c:v>
                </c:pt>
                <c:pt idx="267">
                  <c:v>32</c:v>
                </c:pt>
                <c:pt idx="268">
                  <c:v>44</c:v>
                </c:pt>
                <c:pt idx="269">
                  <c:v>38</c:v>
                </c:pt>
                <c:pt idx="270">
                  <c:v>36</c:v>
                </c:pt>
                <c:pt idx="271">
                  <c:v>66</c:v>
                </c:pt>
                <c:pt idx="272">
                  <c:v>51</c:v>
                </c:pt>
                <c:pt idx="273">
                  <c:v>36</c:v>
                </c:pt>
                <c:pt idx="274">
                  <c:v>53</c:v>
                </c:pt>
                <c:pt idx="275">
                  <c:v>38</c:v>
                </c:pt>
                <c:pt idx="276">
                  <c:v>56</c:v>
                </c:pt>
                <c:pt idx="277">
                  <c:v>56</c:v>
                </c:pt>
                <c:pt idx="278">
                  <c:v>35</c:v>
                </c:pt>
                <c:pt idx="279">
                  <c:v>46</c:v>
                </c:pt>
                <c:pt idx="280">
                  <c:v>56</c:v>
                </c:pt>
                <c:pt idx="281">
                  <c:v>46</c:v>
                </c:pt>
                <c:pt idx="282">
                  <c:v>31</c:v>
                </c:pt>
                <c:pt idx="283">
                  <c:v>46</c:v>
                </c:pt>
                <c:pt idx="284">
                  <c:v>36</c:v>
                </c:pt>
                <c:pt idx="285">
                  <c:v>34</c:v>
                </c:pt>
                <c:pt idx="286">
                  <c:v>45</c:v>
                </c:pt>
                <c:pt idx="287">
                  <c:v>53</c:v>
                </c:pt>
                <c:pt idx="288">
                  <c:v>44</c:v>
                </c:pt>
                <c:pt idx="289">
                  <c:v>30</c:v>
                </c:pt>
                <c:pt idx="290">
                  <c:v>44</c:v>
                </c:pt>
                <c:pt idx="291">
                  <c:v>59</c:v>
                </c:pt>
                <c:pt idx="292">
                  <c:v>50</c:v>
                </c:pt>
                <c:pt idx="293">
                  <c:v>34</c:v>
                </c:pt>
                <c:pt idx="294">
                  <c:v>52</c:v>
                </c:pt>
                <c:pt idx="295">
                  <c:v>50</c:v>
                </c:pt>
                <c:pt idx="296">
                  <c:v>33</c:v>
                </c:pt>
                <c:pt idx="297">
                  <c:v>40</c:v>
                </c:pt>
                <c:pt idx="298">
                  <c:v>57</c:v>
                </c:pt>
                <c:pt idx="299">
                  <c:v>43</c:v>
                </c:pt>
                <c:pt idx="300">
                  <c:v>57</c:v>
                </c:pt>
                <c:pt idx="301">
                  <c:v>36</c:v>
                </c:pt>
                <c:pt idx="302">
                  <c:v>49</c:v>
                </c:pt>
                <c:pt idx="303">
                  <c:v>51</c:v>
                </c:pt>
                <c:pt idx="304">
                  <c:v>65</c:v>
                </c:pt>
                <c:pt idx="305">
                  <c:v>44</c:v>
                </c:pt>
                <c:pt idx="306">
                  <c:v>53</c:v>
                </c:pt>
                <c:pt idx="307">
                  <c:v>34</c:v>
                </c:pt>
                <c:pt idx="308">
                  <c:v>51</c:v>
                </c:pt>
                <c:pt idx="309">
                  <c:v>44</c:v>
                </c:pt>
              </c:numCache>
            </c:numRef>
          </c:xVal>
          <c:yVal>
            <c:numRef>
              <c:f>correlation!$B$2:$B$311</c:f>
              <c:numCache>
                <c:formatCode>General</c:formatCode>
                <c:ptCount val="310"/>
                <c:pt idx="0">
                  <c:v>7.7</c:v>
                </c:pt>
                <c:pt idx="1">
                  <c:v>7.4</c:v>
                </c:pt>
                <c:pt idx="2">
                  <c:v>6.8</c:v>
                </c:pt>
                <c:pt idx="3">
                  <c:v>7.5</c:v>
                </c:pt>
                <c:pt idx="4">
                  <c:v>8.2000000000000011</c:v>
                </c:pt>
                <c:pt idx="5">
                  <c:v>7.4</c:v>
                </c:pt>
                <c:pt idx="6">
                  <c:v>8.9</c:v>
                </c:pt>
                <c:pt idx="7">
                  <c:v>5.4</c:v>
                </c:pt>
                <c:pt idx="8">
                  <c:v>6.7</c:v>
                </c:pt>
                <c:pt idx="9">
                  <c:v>7.1</c:v>
                </c:pt>
                <c:pt idx="10">
                  <c:v>7.7</c:v>
                </c:pt>
                <c:pt idx="11">
                  <c:v>8.1</c:v>
                </c:pt>
                <c:pt idx="12">
                  <c:v>8.6</c:v>
                </c:pt>
                <c:pt idx="13">
                  <c:v>11.6</c:v>
                </c:pt>
                <c:pt idx="14">
                  <c:v>9.7000000000000011</c:v>
                </c:pt>
                <c:pt idx="15">
                  <c:v>7.4</c:v>
                </c:pt>
                <c:pt idx="16">
                  <c:v>8.2000000000000011</c:v>
                </c:pt>
                <c:pt idx="17">
                  <c:v>6.7</c:v>
                </c:pt>
                <c:pt idx="18">
                  <c:v>7.7</c:v>
                </c:pt>
                <c:pt idx="19">
                  <c:v>8.4</c:v>
                </c:pt>
                <c:pt idx="20">
                  <c:v>6.7</c:v>
                </c:pt>
                <c:pt idx="21">
                  <c:v>7.1</c:v>
                </c:pt>
                <c:pt idx="22">
                  <c:v>7.7</c:v>
                </c:pt>
                <c:pt idx="23">
                  <c:v>8.5</c:v>
                </c:pt>
                <c:pt idx="24">
                  <c:v>6.1</c:v>
                </c:pt>
                <c:pt idx="25">
                  <c:v>8.3000000000000007</c:v>
                </c:pt>
                <c:pt idx="26">
                  <c:v>7.9</c:v>
                </c:pt>
                <c:pt idx="27">
                  <c:v>7.5</c:v>
                </c:pt>
                <c:pt idx="28">
                  <c:v>9.5</c:v>
                </c:pt>
                <c:pt idx="29">
                  <c:v>8.5</c:v>
                </c:pt>
                <c:pt idx="30">
                  <c:v>8.8000000000000007</c:v>
                </c:pt>
                <c:pt idx="31">
                  <c:v>8.1</c:v>
                </c:pt>
                <c:pt idx="32">
                  <c:v>8.7000000000000011</c:v>
                </c:pt>
                <c:pt idx="33">
                  <c:v>5.9</c:v>
                </c:pt>
                <c:pt idx="34">
                  <c:v>5.9</c:v>
                </c:pt>
                <c:pt idx="35">
                  <c:v>8.4</c:v>
                </c:pt>
                <c:pt idx="36">
                  <c:v>7.6</c:v>
                </c:pt>
                <c:pt idx="37">
                  <c:v>6.7</c:v>
                </c:pt>
                <c:pt idx="38">
                  <c:v>8.6</c:v>
                </c:pt>
                <c:pt idx="39">
                  <c:v>9.1</c:v>
                </c:pt>
                <c:pt idx="40">
                  <c:v>9.8000000000000007</c:v>
                </c:pt>
                <c:pt idx="41">
                  <c:v>10</c:v>
                </c:pt>
                <c:pt idx="42">
                  <c:v>7.1</c:v>
                </c:pt>
                <c:pt idx="43">
                  <c:v>7.2</c:v>
                </c:pt>
                <c:pt idx="44">
                  <c:v>7.8</c:v>
                </c:pt>
                <c:pt idx="45">
                  <c:v>7.4</c:v>
                </c:pt>
                <c:pt idx="46">
                  <c:v>8.4</c:v>
                </c:pt>
                <c:pt idx="47">
                  <c:v>8.5</c:v>
                </c:pt>
                <c:pt idx="48">
                  <c:v>7.5</c:v>
                </c:pt>
                <c:pt idx="49">
                  <c:v>7.8</c:v>
                </c:pt>
                <c:pt idx="50">
                  <c:v>6.9</c:v>
                </c:pt>
                <c:pt idx="51">
                  <c:v>9.3000000000000007</c:v>
                </c:pt>
                <c:pt idx="52">
                  <c:v>8.7000000000000011</c:v>
                </c:pt>
                <c:pt idx="53">
                  <c:v>6.8</c:v>
                </c:pt>
                <c:pt idx="54">
                  <c:v>9.4</c:v>
                </c:pt>
                <c:pt idx="55">
                  <c:v>8.6</c:v>
                </c:pt>
                <c:pt idx="56">
                  <c:v>7.3</c:v>
                </c:pt>
                <c:pt idx="57">
                  <c:v>9.5</c:v>
                </c:pt>
                <c:pt idx="58">
                  <c:v>8.3000000000000007</c:v>
                </c:pt>
                <c:pt idx="59">
                  <c:v>8</c:v>
                </c:pt>
                <c:pt idx="60">
                  <c:v>9.2000000000000011</c:v>
                </c:pt>
                <c:pt idx="61">
                  <c:v>6.9</c:v>
                </c:pt>
                <c:pt idx="62">
                  <c:v>5.9</c:v>
                </c:pt>
                <c:pt idx="63">
                  <c:v>7.5</c:v>
                </c:pt>
                <c:pt idx="64">
                  <c:v>9.4</c:v>
                </c:pt>
                <c:pt idx="65">
                  <c:v>6.7</c:v>
                </c:pt>
                <c:pt idx="66">
                  <c:v>6.5</c:v>
                </c:pt>
                <c:pt idx="67">
                  <c:v>6.9</c:v>
                </c:pt>
                <c:pt idx="68">
                  <c:v>9</c:v>
                </c:pt>
                <c:pt idx="69">
                  <c:v>8.9</c:v>
                </c:pt>
                <c:pt idx="70">
                  <c:v>6.3</c:v>
                </c:pt>
                <c:pt idx="71">
                  <c:v>7.5</c:v>
                </c:pt>
                <c:pt idx="72">
                  <c:v>8.5</c:v>
                </c:pt>
                <c:pt idx="73">
                  <c:v>8.1</c:v>
                </c:pt>
                <c:pt idx="74">
                  <c:v>8.1</c:v>
                </c:pt>
                <c:pt idx="75">
                  <c:v>9.6</c:v>
                </c:pt>
                <c:pt idx="76">
                  <c:v>8.4</c:v>
                </c:pt>
                <c:pt idx="77">
                  <c:v>7.1</c:v>
                </c:pt>
                <c:pt idx="78">
                  <c:v>8</c:v>
                </c:pt>
                <c:pt idx="79">
                  <c:v>9</c:v>
                </c:pt>
                <c:pt idx="80">
                  <c:v>6.1</c:v>
                </c:pt>
                <c:pt idx="81">
                  <c:v>9.8000000000000007</c:v>
                </c:pt>
                <c:pt idx="82">
                  <c:v>6.8</c:v>
                </c:pt>
                <c:pt idx="83">
                  <c:v>6.7</c:v>
                </c:pt>
                <c:pt idx="84">
                  <c:v>7.5</c:v>
                </c:pt>
                <c:pt idx="85">
                  <c:v>6.3</c:v>
                </c:pt>
                <c:pt idx="86">
                  <c:v>4.3</c:v>
                </c:pt>
                <c:pt idx="87">
                  <c:v>8.2000000000000011</c:v>
                </c:pt>
                <c:pt idx="88">
                  <c:v>8.8000000000000007</c:v>
                </c:pt>
                <c:pt idx="89">
                  <c:v>8</c:v>
                </c:pt>
                <c:pt idx="90">
                  <c:v>8.6</c:v>
                </c:pt>
                <c:pt idx="91">
                  <c:v>7</c:v>
                </c:pt>
                <c:pt idx="92">
                  <c:v>8.4</c:v>
                </c:pt>
                <c:pt idx="93">
                  <c:v>8.1</c:v>
                </c:pt>
                <c:pt idx="94">
                  <c:v>6</c:v>
                </c:pt>
                <c:pt idx="95">
                  <c:v>6.4</c:v>
                </c:pt>
                <c:pt idx="96">
                  <c:v>8.5</c:v>
                </c:pt>
                <c:pt idx="97">
                  <c:v>9.8000000000000007</c:v>
                </c:pt>
                <c:pt idx="98">
                  <c:v>7.4</c:v>
                </c:pt>
                <c:pt idx="99">
                  <c:v>7.1</c:v>
                </c:pt>
                <c:pt idx="100">
                  <c:v>6.1</c:v>
                </c:pt>
                <c:pt idx="101">
                  <c:v>9.3000000000000007</c:v>
                </c:pt>
                <c:pt idx="102">
                  <c:v>8.7000000000000011</c:v>
                </c:pt>
                <c:pt idx="103">
                  <c:v>6.5</c:v>
                </c:pt>
                <c:pt idx="104">
                  <c:v>9.7000000000000011</c:v>
                </c:pt>
                <c:pt idx="105">
                  <c:v>6.9</c:v>
                </c:pt>
                <c:pt idx="106">
                  <c:v>5.8</c:v>
                </c:pt>
                <c:pt idx="107">
                  <c:v>8</c:v>
                </c:pt>
                <c:pt idx="108">
                  <c:v>5</c:v>
                </c:pt>
                <c:pt idx="109">
                  <c:v>9.4</c:v>
                </c:pt>
                <c:pt idx="110">
                  <c:v>7.7</c:v>
                </c:pt>
                <c:pt idx="111">
                  <c:v>9.8000000000000007</c:v>
                </c:pt>
                <c:pt idx="112">
                  <c:v>8.6</c:v>
                </c:pt>
                <c:pt idx="113">
                  <c:v>8</c:v>
                </c:pt>
                <c:pt idx="114">
                  <c:v>10</c:v>
                </c:pt>
                <c:pt idx="115">
                  <c:v>9.8000000000000007</c:v>
                </c:pt>
                <c:pt idx="116">
                  <c:v>7.9</c:v>
                </c:pt>
                <c:pt idx="117">
                  <c:v>6.4</c:v>
                </c:pt>
                <c:pt idx="118">
                  <c:v>8.9</c:v>
                </c:pt>
                <c:pt idx="119">
                  <c:v>8</c:v>
                </c:pt>
                <c:pt idx="120">
                  <c:v>8.4</c:v>
                </c:pt>
                <c:pt idx="121">
                  <c:v>11.9</c:v>
                </c:pt>
                <c:pt idx="122">
                  <c:v>8.1</c:v>
                </c:pt>
                <c:pt idx="123">
                  <c:v>8.8000000000000007</c:v>
                </c:pt>
                <c:pt idx="124">
                  <c:v>7.5</c:v>
                </c:pt>
                <c:pt idx="125">
                  <c:v>9.1</c:v>
                </c:pt>
                <c:pt idx="126">
                  <c:v>7</c:v>
                </c:pt>
                <c:pt idx="127">
                  <c:v>9.9</c:v>
                </c:pt>
                <c:pt idx="128">
                  <c:v>6.8</c:v>
                </c:pt>
                <c:pt idx="129">
                  <c:v>5.5</c:v>
                </c:pt>
                <c:pt idx="130">
                  <c:v>7.8</c:v>
                </c:pt>
                <c:pt idx="131">
                  <c:v>10.200000000000001</c:v>
                </c:pt>
                <c:pt idx="132">
                  <c:v>11.7</c:v>
                </c:pt>
                <c:pt idx="133">
                  <c:v>8.5</c:v>
                </c:pt>
                <c:pt idx="134">
                  <c:v>6.4</c:v>
                </c:pt>
                <c:pt idx="135">
                  <c:v>8.6</c:v>
                </c:pt>
                <c:pt idx="136">
                  <c:v>8.5</c:v>
                </c:pt>
                <c:pt idx="137">
                  <c:v>9.3000000000000007</c:v>
                </c:pt>
                <c:pt idx="138">
                  <c:v>10.8</c:v>
                </c:pt>
                <c:pt idx="139">
                  <c:v>7.3</c:v>
                </c:pt>
                <c:pt idx="140">
                  <c:v>9.5</c:v>
                </c:pt>
                <c:pt idx="141">
                  <c:v>9.7000000000000011</c:v>
                </c:pt>
                <c:pt idx="142">
                  <c:v>9.6</c:v>
                </c:pt>
                <c:pt idx="143">
                  <c:v>9</c:v>
                </c:pt>
                <c:pt idx="144">
                  <c:v>8.7000000000000011</c:v>
                </c:pt>
                <c:pt idx="145">
                  <c:v>11.6</c:v>
                </c:pt>
                <c:pt idx="146">
                  <c:v>8.9</c:v>
                </c:pt>
                <c:pt idx="147">
                  <c:v>7.1</c:v>
                </c:pt>
                <c:pt idx="148">
                  <c:v>9.1</c:v>
                </c:pt>
                <c:pt idx="149">
                  <c:v>7.7</c:v>
                </c:pt>
                <c:pt idx="150">
                  <c:v>11.4</c:v>
                </c:pt>
                <c:pt idx="151">
                  <c:v>11</c:v>
                </c:pt>
                <c:pt idx="152">
                  <c:v>8.5</c:v>
                </c:pt>
                <c:pt idx="153">
                  <c:v>8.9</c:v>
                </c:pt>
                <c:pt idx="154">
                  <c:v>10.7</c:v>
                </c:pt>
                <c:pt idx="155">
                  <c:v>9.3000000000000007</c:v>
                </c:pt>
                <c:pt idx="156">
                  <c:v>9.9</c:v>
                </c:pt>
                <c:pt idx="157">
                  <c:v>9.2000000000000011</c:v>
                </c:pt>
                <c:pt idx="158">
                  <c:v>9.1</c:v>
                </c:pt>
                <c:pt idx="159">
                  <c:v>7.9</c:v>
                </c:pt>
                <c:pt idx="160">
                  <c:v>9.3000000000000007</c:v>
                </c:pt>
                <c:pt idx="161">
                  <c:v>8.7000000000000011</c:v>
                </c:pt>
                <c:pt idx="162">
                  <c:v>9.2000000000000011</c:v>
                </c:pt>
                <c:pt idx="163">
                  <c:v>11.2</c:v>
                </c:pt>
                <c:pt idx="164">
                  <c:v>6.9</c:v>
                </c:pt>
                <c:pt idx="165">
                  <c:v>10.4</c:v>
                </c:pt>
                <c:pt idx="166">
                  <c:v>15.1</c:v>
                </c:pt>
                <c:pt idx="167">
                  <c:v>9.5</c:v>
                </c:pt>
                <c:pt idx="168">
                  <c:v>7.4</c:v>
                </c:pt>
                <c:pt idx="169">
                  <c:v>10.3</c:v>
                </c:pt>
                <c:pt idx="170">
                  <c:v>8.4</c:v>
                </c:pt>
                <c:pt idx="171">
                  <c:v>7.4</c:v>
                </c:pt>
                <c:pt idx="172">
                  <c:v>9.6</c:v>
                </c:pt>
                <c:pt idx="173">
                  <c:v>9.7000000000000011</c:v>
                </c:pt>
                <c:pt idx="174">
                  <c:v>10.7</c:v>
                </c:pt>
                <c:pt idx="175">
                  <c:v>7.6</c:v>
                </c:pt>
                <c:pt idx="176">
                  <c:v>7.7</c:v>
                </c:pt>
                <c:pt idx="177">
                  <c:v>8.9</c:v>
                </c:pt>
                <c:pt idx="178">
                  <c:v>14.4</c:v>
                </c:pt>
                <c:pt idx="179">
                  <c:v>6.9</c:v>
                </c:pt>
                <c:pt idx="180">
                  <c:v>15.2</c:v>
                </c:pt>
                <c:pt idx="181">
                  <c:v>10.7</c:v>
                </c:pt>
                <c:pt idx="182">
                  <c:v>10.5</c:v>
                </c:pt>
                <c:pt idx="183">
                  <c:v>8.5</c:v>
                </c:pt>
                <c:pt idx="184">
                  <c:v>8</c:v>
                </c:pt>
                <c:pt idx="185">
                  <c:v>11.4</c:v>
                </c:pt>
                <c:pt idx="186">
                  <c:v>7.8</c:v>
                </c:pt>
                <c:pt idx="187">
                  <c:v>9.4</c:v>
                </c:pt>
                <c:pt idx="188">
                  <c:v>7</c:v>
                </c:pt>
                <c:pt idx="189">
                  <c:v>8.9</c:v>
                </c:pt>
                <c:pt idx="190">
                  <c:v>7.2</c:v>
                </c:pt>
                <c:pt idx="191">
                  <c:v>11.7</c:v>
                </c:pt>
                <c:pt idx="192">
                  <c:v>9.7000000000000011</c:v>
                </c:pt>
                <c:pt idx="193">
                  <c:v>10.1</c:v>
                </c:pt>
                <c:pt idx="194">
                  <c:v>10.3</c:v>
                </c:pt>
                <c:pt idx="195">
                  <c:v>8.9</c:v>
                </c:pt>
                <c:pt idx="196">
                  <c:v>7.6</c:v>
                </c:pt>
                <c:pt idx="197">
                  <c:v>6.2</c:v>
                </c:pt>
                <c:pt idx="198">
                  <c:v>7.5</c:v>
                </c:pt>
                <c:pt idx="199">
                  <c:v>7.1</c:v>
                </c:pt>
                <c:pt idx="200">
                  <c:v>8.8000000000000007</c:v>
                </c:pt>
                <c:pt idx="201">
                  <c:v>8.5</c:v>
                </c:pt>
                <c:pt idx="202">
                  <c:v>7.6</c:v>
                </c:pt>
                <c:pt idx="203">
                  <c:v>10.7</c:v>
                </c:pt>
                <c:pt idx="204">
                  <c:v>6.8</c:v>
                </c:pt>
                <c:pt idx="205">
                  <c:v>9.3000000000000007</c:v>
                </c:pt>
                <c:pt idx="206">
                  <c:v>11.7</c:v>
                </c:pt>
                <c:pt idx="207">
                  <c:v>12.1</c:v>
                </c:pt>
                <c:pt idx="208">
                  <c:v>7.3</c:v>
                </c:pt>
                <c:pt idx="209">
                  <c:v>9.6</c:v>
                </c:pt>
                <c:pt idx="210">
                  <c:v>8.6</c:v>
                </c:pt>
                <c:pt idx="211">
                  <c:v>9.5</c:v>
                </c:pt>
                <c:pt idx="212">
                  <c:v>10</c:v>
                </c:pt>
                <c:pt idx="213">
                  <c:v>6.4</c:v>
                </c:pt>
                <c:pt idx="214">
                  <c:v>14</c:v>
                </c:pt>
                <c:pt idx="215">
                  <c:v>10.5</c:v>
                </c:pt>
                <c:pt idx="216">
                  <c:v>7.9</c:v>
                </c:pt>
                <c:pt idx="217">
                  <c:v>7.5</c:v>
                </c:pt>
                <c:pt idx="218">
                  <c:v>9.1</c:v>
                </c:pt>
                <c:pt idx="219">
                  <c:v>9.4</c:v>
                </c:pt>
                <c:pt idx="220">
                  <c:v>8.8000000000000007</c:v>
                </c:pt>
                <c:pt idx="221">
                  <c:v>8.4</c:v>
                </c:pt>
                <c:pt idx="222">
                  <c:v>9.1</c:v>
                </c:pt>
                <c:pt idx="223">
                  <c:v>7.1</c:v>
                </c:pt>
                <c:pt idx="224">
                  <c:v>9</c:v>
                </c:pt>
                <c:pt idx="225">
                  <c:v>9</c:v>
                </c:pt>
                <c:pt idx="226">
                  <c:v>8.9</c:v>
                </c:pt>
                <c:pt idx="227">
                  <c:v>7.9</c:v>
                </c:pt>
                <c:pt idx="228">
                  <c:v>7</c:v>
                </c:pt>
                <c:pt idx="229">
                  <c:v>8.6</c:v>
                </c:pt>
                <c:pt idx="230">
                  <c:v>6.4</c:v>
                </c:pt>
                <c:pt idx="231">
                  <c:v>9.6</c:v>
                </c:pt>
                <c:pt idx="232">
                  <c:v>9.3000000000000007</c:v>
                </c:pt>
                <c:pt idx="233">
                  <c:v>8.9</c:v>
                </c:pt>
                <c:pt idx="234">
                  <c:v>10.5</c:v>
                </c:pt>
                <c:pt idx="235">
                  <c:v>11.7</c:v>
                </c:pt>
                <c:pt idx="236">
                  <c:v>8.2000000000000011</c:v>
                </c:pt>
                <c:pt idx="237">
                  <c:v>7.2</c:v>
                </c:pt>
                <c:pt idx="238">
                  <c:v>11.1</c:v>
                </c:pt>
                <c:pt idx="239">
                  <c:v>11</c:v>
                </c:pt>
                <c:pt idx="240">
                  <c:v>11</c:v>
                </c:pt>
                <c:pt idx="241">
                  <c:v>11.5</c:v>
                </c:pt>
                <c:pt idx="242">
                  <c:v>12.2</c:v>
                </c:pt>
                <c:pt idx="243">
                  <c:v>7.8</c:v>
                </c:pt>
                <c:pt idx="244">
                  <c:v>8.6</c:v>
                </c:pt>
                <c:pt idx="245">
                  <c:v>9.7000000000000011</c:v>
                </c:pt>
                <c:pt idx="246">
                  <c:v>6.7</c:v>
                </c:pt>
                <c:pt idx="247">
                  <c:v>9.2000000000000011</c:v>
                </c:pt>
                <c:pt idx="248">
                  <c:v>10.5</c:v>
                </c:pt>
                <c:pt idx="249">
                  <c:v>9</c:v>
                </c:pt>
                <c:pt idx="250">
                  <c:v>8.6</c:v>
                </c:pt>
                <c:pt idx="251">
                  <c:v>11.8</c:v>
                </c:pt>
                <c:pt idx="252">
                  <c:v>10.200000000000001</c:v>
                </c:pt>
                <c:pt idx="253">
                  <c:v>8.4</c:v>
                </c:pt>
                <c:pt idx="254">
                  <c:v>10</c:v>
                </c:pt>
                <c:pt idx="255">
                  <c:v>12.4</c:v>
                </c:pt>
                <c:pt idx="256">
                  <c:v>7.9</c:v>
                </c:pt>
                <c:pt idx="257">
                  <c:v>9.5</c:v>
                </c:pt>
                <c:pt idx="258">
                  <c:v>9.7000000000000011</c:v>
                </c:pt>
                <c:pt idx="259">
                  <c:v>6.5</c:v>
                </c:pt>
                <c:pt idx="260">
                  <c:v>8.7000000000000011</c:v>
                </c:pt>
                <c:pt idx="261">
                  <c:v>5.8</c:v>
                </c:pt>
                <c:pt idx="262">
                  <c:v>11.3</c:v>
                </c:pt>
                <c:pt idx="263">
                  <c:v>9.9</c:v>
                </c:pt>
                <c:pt idx="264">
                  <c:v>8.8000000000000007</c:v>
                </c:pt>
                <c:pt idx="265">
                  <c:v>8.4</c:v>
                </c:pt>
                <c:pt idx="266">
                  <c:v>9.9</c:v>
                </c:pt>
                <c:pt idx="267">
                  <c:v>8</c:v>
                </c:pt>
                <c:pt idx="268">
                  <c:v>10.9</c:v>
                </c:pt>
                <c:pt idx="269">
                  <c:v>7.2</c:v>
                </c:pt>
                <c:pt idx="270">
                  <c:v>8.7000000000000011</c:v>
                </c:pt>
                <c:pt idx="271">
                  <c:v>11.4</c:v>
                </c:pt>
                <c:pt idx="272">
                  <c:v>8.5</c:v>
                </c:pt>
                <c:pt idx="273">
                  <c:v>7.5</c:v>
                </c:pt>
                <c:pt idx="274">
                  <c:v>10.7</c:v>
                </c:pt>
                <c:pt idx="275">
                  <c:v>7.4</c:v>
                </c:pt>
                <c:pt idx="276">
                  <c:v>8.2000000000000011</c:v>
                </c:pt>
                <c:pt idx="277">
                  <c:v>13.3</c:v>
                </c:pt>
                <c:pt idx="278">
                  <c:v>6.6</c:v>
                </c:pt>
                <c:pt idx="279">
                  <c:v>5.7</c:v>
                </c:pt>
                <c:pt idx="280">
                  <c:v>9.8000000000000007</c:v>
                </c:pt>
                <c:pt idx="281">
                  <c:v>12</c:v>
                </c:pt>
                <c:pt idx="282">
                  <c:v>8.8000000000000007</c:v>
                </c:pt>
                <c:pt idx="283">
                  <c:v>10.9</c:v>
                </c:pt>
                <c:pt idx="284">
                  <c:v>7.4</c:v>
                </c:pt>
                <c:pt idx="285">
                  <c:v>9.8000000000000007</c:v>
                </c:pt>
                <c:pt idx="286">
                  <c:v>7.6</c:v>
                </c:pt>
                <c:pt idx="287">
                  <c:v>13.2</c:v>
                </c:pt>
                <c:pt idx="288">
                  <c:v>9.9</c:v>
                </c:pt>
                <c:pt idx="289">
                  <c:v>6.4</c:v>
                </c:pt>
                <c:pt idx="290">
                  <c:v>8.4</c:v>
                </c:pt>
                <c:pt idx="291">
                  <c:v>12.1</c:v>
                </c:pt>
                <c:pt idx="292">
                  <c:v>10.200000000000001</c:v>
                </c:pt>
                <c:pt idx="293">
                  <c:v>8.1</c:v>
                </c:pt>
                <c:pt idx="294">
                  <c:v>13</c:v>
                </c:pt>
                <c:pt idx="295">
                  <c:v>8.5</c:v>
                </c:pt>
                <c:pt idx="296">
                  <c:v>8.7000000000000011</c:v>
                </c:pt>
                <c:pt idx="297">
                  <c:v>9.6</c:v>
                </c:pt>
                <c:pt idx="298">
                  <c:v>11.2</c:v>
                </c:pt>
                <c:pt idx="299">
                  <c:v>9.9</c:v>
                </c:pt>
                <c:pt idx="300">
                  <c:v>10</c:v>
                </c:pt>
                <c:pt idx="301">
                  <c:v>7.2</c:v>
                </c:pt>
                <c:pt idx="302">
                  <c:v>6.6</c:v>
                </c:pt>
                <c:pt idx="303">
                  <c:v>12.7</c:v>
                </c:pt>
                <c:pt idx="304">
                  <c:v>15.6</c:v>
                </c:pt>
                <c:pt idx="305">
                  <c:v>8.5</c:v>
                </c:pt>
                <c:pt idx="306">
                  <c:v>11.8</c:v>
                </c:pt>
                <c:pt idx="307">
                  <c:v>7.4</c:v>
                </c:pt>
                <c:pt idx="308">
                  <c:v>10.3</c:v>
                </c:pt>
                <c:pt idx="309">
                  <c:v>8.5</c:v>
                </c:pt>
              </c:numCache>
            </c:numRef>
          </c:yVal>
          <c:smooth val="0"/>
          <c:extLst>
            <c:ext xmlns:c16="http://schemas.microsoft.com/office/drawing/2014/chart" uri="{C3380CC4-5D6E-409C-BE32-E72D297353CC}">
              <c16:uniqueId val="{00000000-6100-41B4-8E71-05B256979BC2}"/>
            </c:ext>
          </c:extLst>
        </c:ser>
        <c:dLbls>
          <c:showLegendKey val="0"/>
          <c:showVal val="0"/>
          <c:showCatName val="0"/>
          <c:showSerName val="0"/>
          <c:showPercent val="0"/>
          <c:showBubbleSize val="0"/>
        </c:dLbls>
        <c:axId val="183318784"/>
        <c:axId val="183339648"/>
      </c:scatterChart>
      <c:valAx>
        <c:axId val="183318784"/>
        <c:scaling>
          <c:orientation val="minMax"/>
          <c:max val="75"/>
          <c:min val="15"/>
        </c:scaling>
        <c:delete val="0"/>
        <c:axPos val="b"/>
        <c:title>
          <c:tx>
            <c:rich>
              <a:bodyPr/>
              <a:lstStyle/>
              <a:p>
                <a:pPr>
                  <a:defRPr/>
                </a:pPr>
                <a:r>
                  <a:rPr lang="fr-FR"/>
                  <a:t>Age (années)</a:t>
                </a:r>
              </a:p>
            </c:rich>
          </c:tx>
          <c:overlay val="0"/>
        </c:title>
        <c:numFmt formatCode="General" sourceLinked="1"/>
        <c:majorTickMark val="out"/>
        <c:minorTickMark val="none"/>
        <c:tickLblPos val="nextTo"/>
        <c:crossAx val="183339648"/>
        <c:crosses val="autoZero"/>
        <c:crossBetween val="midCat"/>
      </c:valAx>
      <c:valAx>
        <c:axId val="183339648"/>
        <c:scaling>
          <c:orientation val="minMax"/>
        </c:scaling>
        <c:delete val="0"/>
        <c:axPos val="l"/>
        <c:majorGridlines/>
        <c:title>
          <c:tx>
            <c:rich>
              <a:bodyPr rot="-5400000" vert="horz"/>
              <a:lstStyle/>
              <a:p>
                <a:pPr>
                  <a:defRPr/>
                </a:pPr>
                <a:r>
                  <a:rPr lang="fr-FR"/>
                  <a:t>VOP</a:t>
                </a:r>
              </a:p>
            </c:rich>
          </c:tx>
          <c:overlay val="0"/>
        </c:title>
        <c:numFmt formatCode="General" sourceLinked="1"/>
        <c:majorTickMark val="out"/>
        <c:minorTickMark val="none"/>
        <c:tickLblPos val="nextTo"/>
        <c:crossAx val="183318784"/>
        <c:crosses val="autoZero"/>
        <c:crossBetween val="midCat"/>
      </c:valAx>
    </c:plotArea>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4695</Words>
  <Characters>25824</Characters>
  <Application>Microsoft Office Word</Application>
  <DocSecurity>0</DocSecurity>
  <Lines>215</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Meghit Boumediene Khaled</dc:creator>
  <cp:lastModifiedBy>Microsoft Office User</cp:lastModifiedBy>
  <cp:revision>2</cp:revision>
  <cp:lastPrinted>2019-03-06T21:57:00Z</cp:lastPrinted>
  <dcterms:created xsi:type="dcterms:W3CDTF">2023-02-01T08:17:00Z</dcterms:created>
  <dcterms:modified xsi:type="dcterms:W3CDTF">2023-02-01T08:17:00Z</dcterms:modified>
</cp:coreProperties>
</file>