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35C4D" w14:textId="284F8992" w:rsidR="007A6B07" w:rsidRPr="009D38E7" w:rsidRDefault="007F49F7" w:rsidP="007E4BEC">
      <w:pPr>
        <w:spacing w:line="276" w:lineRule="auto"/>
        <w:rPr>
          <w:b/>
          <w:bCs/>
          <w:lang w:val="en-US"/>
        </w:rPr>
      </w:pPr>
      <w:r w:rsidRPr="009D38E7">
        <w:rPr>
          <w:b/>
          <w:bCs/>
          <w:lang w:val="en-US"/>
        </w:rPr>
        <w:t>Intrinsic capacity and r</w:t>
      </w:r>
      <w:r w:rsidR="0007035A" w:rsidRPr="009D38E7">
        <w:rPr>
          <w:b/>
          <w:bCs/>
          <w:lang w:val="en-US"/>
        </w:rPr>
        <w:t>esilience: taking frailty to the next level</w:t>
      </w:r>
    </w:p>
    <w:p w14:paraId="77F8AC4B" w14:textId="77777777" w:rsidR="00F75649" w:rsidRPr="00F02EB2" w:rsidRDefault="00F02EB2" w:rsidP="0078270E">
      <w:pPr>
        <w:spacing w:line="276" w:lineRule="auto"/>
        <w:rPr>
          <w:i/>
          <w:iCs/>
        </w:rPr>
      </w:pPr>
      <w:r w:rsidRPr="00F02EB2">
        <w:rPr>
          <w:i/>
          <w:iCs/>
        </w:rPr>
        <w:t>Marije Hamaker</w:t>
      </w:r>
      <w:r w:rsidR="009D38E7" w:rsidRPr="00F02EB2">
        <w:rPr>
          <w:i/>
          <w:iCs/>
        </w:rPr>
        <w:t xml:space="preserve">, Sanne Gijzel, </w:t>
      </w:r>
      <w:proofErr w:type="spellStart"/>
      <w:r w:rsidR="009D38E7" w:rsidRPr="00F02EB2">
        <w:rPr>
          <w:i/>
          <w:iCs/>
        </w:rPr>
        <w:t>Siri</w:t>
      </w:r>
      <w:proofErr w:type="spellEnd"/>
      <w:r w:rsidR="009D38E7" w:rsidRPr="00F02EB2">
        <w:rPr>
          <w:i/>
          <w:iCs/>
        </w:rPr>
        <w:t xml:space="preserve"> </w:t>
      </w:r>
      <w:proofErr w:type="spellStart"/>
      <w:r w:rsidR="009D38E7" w:rsidRPr="00F02EB2">
        <w:rPr>
          <w:i/>
          <w:iCs/>
        </w:rPr>
        <w:t>Rostoft</w:t>
      </w:r>
      <w:proofErr w:type="spellEnd"/>
      <w:r w:rsidR="009D38E7" w:rsidRPr="00F02EB2">
        <w:rPr>
          <w:i/>
          <w:iCs/>
        </w:rPr>
        <w:t xml:space="preserve">, </w:t>
      </w:r>
      <w:r w:rsidRPr="00F02EB2">
        <w:rPr>
          <w:i/>
          <w:iCs/>
        </w:rPr>
        <w:t>Frederiek van</w:t>
      </w:r>
      <w:r>
        <w:rPr>
          <w:i/>
          <w:iCs/>
        </w:rPr>
        <w:t xml:space="preserve"> den Bos</w:t>
      </w:r>
    </w:p>
    <w:p w14:paraId="46B9A746" w14:textId="0AE18ACA" w:rsidR="009A73E1" w:rsidRDefault="00F02EB2" w:rsidP="003270FF">
      <w:pPr>
        <w:spacing w:line="276" w:lineRule="auto"/>
        <w:rPr>
          <w:rFonts w:ascii="Calibri" w:hAnsi="Calibri" w:cs="Arial"/>
          <w:lang w:val="en-US"/>
        </w:rPr>
      </w:pPr>
      <w:r w:rsidRPr="00EF41FA">
        <w:rPr>
          <w:rFonts w:ascii="Calibri" w:hAnsi="Calibri" w:cs="Arial"/>
          <w:lang w:val="en-US"/>
        </w:rPr>
        <w:t>Marije E</w:t>
      </w:r>
      <w:r w:rsidR="003270FF">
        <w:rPr>
          <w:rFonts w:ascii="Calibri" w:hAnsi="Calibri" w:cs="Arial"/>
          <w:lang w:val="en-US"/>
        </w:rPr>
        <w:t>milie</w:t>
      </w:r>
      <w:r w:rsidRPr="00EF41FA">
        <w:rPr>
          <w:rFonts w:ascii="Calibri" w:hAnsi="Calibri" w:cs="Arial"/>
          <w:lang w:val="en-US"/>
        </w:rPr>
        <w:t xml:space="preserve"> Hamaker, MD PhD, department of geriatric medicine, Diakonessenhuis Utrecht, the Netherlands</w:t>
      </w:r>
    </w:p>
    <w:p w14:paraId="7D874A8C" w14:textId="6EAEE5FA" w:rsidR="00F02EB2" w:rsidRPr="003270FF" w:rsidRDefault="00F02EB2" w:rsidP="003270FF">
      <w:pPr>
        <w:spacing w:line="276" w:lineRule="auto"/>
        <w:rPr>
          <w:rFonts w:eastAsia="Times New Roman" w:cs="Arial"/>
          <w:lang w:val="en-GB"/>
        </w:rPr>
      </w:pPr>
      <w:proofErr w:type="spellStart"/>
      <w:r w:rsidRPr="003270FF">
        <w:rPr>
          <w:rFonts w:eastAsia="Times New Roman" w:cs="Arial"/>
          <w:lang w:val="en-GB"/>
        </w:rPr>
        <w:t>Sanne</w:t>
      </w:r>
      <w:proofErr w:type="spellEnd"/>
      <w:r w:rsidRPr="003270FF">
        <w:rPr>
          <w:rFonts w:eastAsia="Times New Roman" w:cs="Arial"/>
          <w:lang w:val="en-GB"/>
        </w:rPr>
        <w:t xml:space="preserve"> </w:t>
      </w:r>
      <w:proofErr w:type="spellStart"/>
      <w:r w:rsidRPr="003270FF">
        <w:rPr>
          <w:rFonts w:eastAsia="Times New Roman" w:cs="Arial"/>
          <w:lang w:val="en-GB"/>
        </w:rPr>
        <w:t>Gijzel</w:t>
      </w:r>
      <w:proofErr w:type="spellEnd"/>
      <w:r w:rsidRPr="003270FF">
        <w:rPr>
          <w:rFonts w:eastAsia="Times New Roman" w:cs="Arial"/>
          <w:lang w:val="en-GB"/>
        </w:rPr>
        <w:t xml:space="preserve">, MD PhD, </w:t>
      </w:r>
      <w:proofErr w:type="spellStart"/>
      <w:r w:rsidR="009A73E1" w:rsidRPr="003270FF">
        <w:rPr>
          <w:rFonts w:eastAsia="Times New Roman" w:cs="Arial"/>
          <w:lang w:val="en-GB"/>
        </w:rPr>
        <w:t>Vivum</w:t>
      </w:r>
      <w:proofErr w:type="spellEnd"/>
      <w:r w:rsidR="009A73E1" w:rsidRPr="003270FF">
        <w:rPr>
          <w:rFonts w:eastAsia="Times New Roman" w:cs="Arial"/>
          <w:lang w:val="en-GB"/>
        </w:rPr>
        <w:t xml:space="preserve"> </w:t>
      </w:r>
      <w:proofErr w:type="spellStart"/>
      <w:r w:rsidR="009A73E1" w:rsidRPr="003270FF">
        <w:rPr>
          <w:rFonts w:eastAsia="Times New Roman" w:cs="Arial"/>
          <w:lang w:val="en-GB"/>
        </w:rPr>
        <w:t>Naaderheem</w:t>
      </w:r>
      <w:proofErr w:type="spellEnd"/>
      <w:r w:rsidR="009A73E1" w:rsidRPr="003270FF">
        <w:rPr>
          <w:rFonts w:eastAsia="Times New Roman" w:cs="Arial"/>
          <w:lang w:val="en-GB"/>
        </w:rPr>
        <w:t xml:space="preserve"> Geriatric Rehabilitation </w:t>
      </w:r>
      <w:proofErr w:type="spellStart"/>
      <w:r w:rsidR="009A73E1" w:rsidRPr="003270FF">
        <w:rPr>
          <w:rFonts w:eastAsia="Times New Roman" w:cs="Arial"/>
          <w:lang w:val="en-GB"/>
        </w:rPr>
        <w:t>Center</w:t>
      </w:r>
      <w:proofErr w:type="spellEnd"/>
      <w:r w:rsidR="009A73E1" w:rsidRPr="003270FF">
        <w:rPr>
          <w:rFonts w:eastAsia="Times New Roman" w:cs="Arial"/>
          <w:lang w:val="en-GB"/>
        </w:rPr>
        <w:t xml:space="preserve">, </w:t>
      </w:r>
      <w:proofErr w:type="spellStart"/>
      <w:r w:rsidR="009A73E1" w:rsidRPr="003270FF">
        <w:rPr>
          <w:rFonts w:eastAsia="Times New Roman" w:cs="Arial"/>
          <w:lang w:val="en-GB"/>
        </w:rPr>
        <w:t>Naarden</w:t>
      </w:r>
      <w:proofErr w:type="spellEnd"/>
      <w:r w:rsidR="009A73E1" w:rsidRPr="003270FF">
        <w:rPr>
          <w:rFonts w:eastAsia="Times New Roman" w:cs="Arial"/>
          <w:lang w:val="en-GB"/>
        </w:rPr>
        <w:t>, the Netherlands</w:t>
      </w:r>
    </w:p>
    <w:p w14:paraId="4A43E29B" w14:textId="77777777" w:rsidR="00F02EB2" w:rsidRPr="00EF41FA" w:rsidRDefault="00F02EB2" w:rsidP="003270FF">
      <w:pPr>
        <w:spacing w:line="276" w:lineRule="auto"/>
        <w:rPr>
          <w:rFonts w:eastAsia="Times New Roman" w:cs="Arial"/>
          <w:lang w:val="en-US"/>
        </w:rPr>
      </w:pPr>
      <w:r w:rsidRPr="00EF41FA">
        <w:rPr>
          <w:rFonts w:eastAsia="Times New Roman" w:cs="Arial"/>
          <w:lang w:val="en-US"/>
        </w:rPr>
        <w:t xml:space="preserve">Siri </w:t>
      </w:r>
      <w:proofErr w:type="spellStart"/>
      <w:r w:rsidRPr="00EF41FA">
        <w:rPr>
          <w:rFonts w:eastAsia="Times New Roman" w:cs="Arial"/>
          <w:lang w:val="en-US"/>
        </w:rPr>
        <w:t>Rostoft</w:t>
      </w:r>
      <w:proofErr w:type="spellEnd"/>
      <w:r w:rsidRPr="00EF41FA">
        <w:rPr>
          <w:rFonts w:eastAsia="Times New Roman" w:cs="Arial"/>
          <w:lang w:val="en-US"/>
        </w:rPr>
        <w:t>, MD PhD, Department of Geriatric Medicine, Oslo University Hospital, Oslo, Norway; Institute of Clinical Medicine, University of Oslo, Oslo, Norway</w:t>
      </w:r>
    </w:p>
    <w:p w14:paraId="295936FE" w14:textId="77777777" w:rsidR="00F02EB2" w:rsidRDefault="00F02EB2" w:rsidP="003270FF">
      <w:pPr>
        <w:spacing w:line="276" w:lineRule="auto"/>
        <w:rPr>
          <w:rFonts w:ascii="Calibri" w:hAnsi="Calibri" w:cs="Arial"/>
          <w:lang w:val="en-US"/>
        </w:rPr>
      </w:pPr>
      <w:r w:rsidRPr="00EF41FA">
        <w:rPr>
          <w:rFonts w:ascii="Calibri" w:hAnsi="Calibri" w:cs="Arial"/>
          <w:lang w:val="en-US"/>
        </w:rPr>
        <w:t>F. van den Bos, MD PhD, department of geriatric medicine, University Medical Centre Utrecht, the Netherlands</w:t>
      </w:r>
    </w:p>
    <w:p w14:paraId="5E9F6A37" w14:textId="77777777" w:rsidR="00F02EB2" w:rsidRDefault="00F02EB2" w:rsidP="003270FF">
      <w:pPr>
        <w:spacing w:line="360" w:lineRule="auto"/>
        <w:rPr>
          <w:rFonts w:ascii="Calibri" w:hAnsi="Calibri" w:cs="Arial"/>
          <w:lang w:val="en-GB"/>
        </w:rPr>
      </w:pPr>
    </w:p>
    <w:p w14:paraId="24BAA5CF" w14:textId="77777777" w:rsidR="00F02EB2" w:rsidRDefault="00F02EB2" w:rsidP="00F75649">
      <w:pPr>
        <w:spacing w:line="360" w:lineRule="auto"/>
        <w:rPr>
          <w:rFonts w:ascii="Calibri" w:hAnsi="Calibri" w:cs="Arial"/>
          <w:lang w:val="en-GB"/>
        </w:rPr>
      </w:pPr>
    </w:p>
    <w:p w14:paraId="2777CA45" w14:textId="77777777" w:rsidR="00F02EB2" w:rsidRDefault="00F02EB2" w:rsidP="00F75649">
      <w:pPr>
        <w:spacing w:line="360" w:lineRule="auto"/>
        <w:rPr>
          <w:rFonts w:ascii="Calibri" w:hAnsi="Calibri" w:cs="Arial"/>
          <w:lang w:val="en-GB"/>
        </w:rPr>
      </w:pPr>
    </w:p>
    <w:p w14:paraId="39978B43" w14:textId="77777777" w:rsidR="00F02EB2" w:rsidRDefault="00F02EB2" w:rsidP="00F75649">
      <w:pPr>
        <w:spacing w:line="360" w:lineRule="auto"/>
        <w:rPr>
          <w:rFonts w:ascii="Calibri" w:hAnsi="Calibri" w:cs="Arial"/>
          <w:lang w:val="en-GB"/>
        </w:rPr>
      </w:pPr>
    </w:p>
    <w:p w14:paraId="05C66D26" w14:textId="77777777" w:rsidR="00F02EB2" w:rsidRDefault="00F02EB2" w:rsidP="00F75649">
      <w:pPr>
        <w:spacing w:line="360" w:lineRule="auto"/>
        <w:rPr>
          <w:rFonts w:ascii="Calibri" w:hAnsi="Calibri" w:cs="Arial"/>
          <w:lang w:val="en-GB"/>
        </w:rPr>
      </w:pPr>
    </w:p>
    <w:p w14:paraId="2855FC2F" w14:textId="77777777" w:rsidR="00F02EB2" w:rsidRDefault="00F02EB2" w:rsidP="00F75649">
      <w:pPr>
        <w:spacing w:line="360" w:lineRule="auto"/>
        <w:rPr>
          <w:rFonts w:ascii="Calibri" w:hAnsi="Calibri" w:cs="Arial"/>
          <w:lang w:val="en-GB"/>
        </w:rPr>
      </w:pPr>
    </w:p>
    <w:p w14:paraId="05B86574" w14:textId="77777777" w:rsidR="00F75649" w:rsidRDefault="00F75649" w:rsidP="00F75649">
      <w:pPr>
        <w:spacing w:line="360" w:lineRule="auto"/>
        <w:rPr>
          <w:rFonts w:ascii="Calibri" w:hAnsi="Calibri" w:cs="Arial"/>
          <w:lang w:val="en-GB"/>
        </w:rPr>
      </w:pPr>
      <w:r w:rsidRPr="00BE5F06">
        <w:rPr>
          <w:rFonts w:ascii="Calibri" w:hAnsi="Calibri" w:cs="Arial"/>
          <w:lang w:val="en-GB"/>
        </w:rPr>
        <w:t xml:space="preserve">Corresponding author: </w:t>
      </w:r>
    </w:p>
    <w:p w14:paraId="0E18C678" w14:textId="77777777" w:rsidR="00F02EB2" w:rsidRDefault="00F02EB2" w:rsidP="00F75649">
      <w:pPr>
        <w:spacing w:line="360" w:lineRule="auto"/>
        <w:rPr>
          <w:rFonts w:ascii="Calibri" w:hAnsi="Calibri" w:cs="Arial"/>
          <w:lang w:val="en-GB"/>
        </w:rPr>
      </w:pPr>
      <w:r>
        <w:rPr>
          <w:rFonts w:ascii="Calibri" w:hAnsi="Calibri" w:cs="Arial"/>
          <w:lang w:val="en-GB"/>
        </w:rPr>
        <w:t>Marije Hamaker</w:t>
      </w:r>
    </w:p>
    <w:p w14:paraId="6782AD54" w14:textId="77777777" w:rsidR="00F02EB2" w:rsidRDefault="00F02EB2" w:rsidP="00F75649">
      <w:pPr>
        <w:spacing w:line="360" w:lineRule="auto"/>
        <w:rPr>
          <w:rFonts w:ascii="Calibri" w:hAnsi="Calibri" w:cs="Arial"/>
          <w:lang w:val="en-GB"/>
        </w:rPr>
      </w:pPr>
      <w:r>
        <w:rPr>
          <w:rFonts w:ascii="Calibri" w:hAnsi="Calibri" w:cs="Arial"/>
          <w:lang w:val="en-GB"/>
        </w:rPr>
        <w:t>Diakonessenhuis, department of Geriatric Medicine</w:t>
      </w:r>
    </w:p>
    <w:p w14:paraId="1B405126" w14:textId="77777777" w:rsidR="00F02EB2" w:rsidRDefault="00F02EB2" w:rsidP="00F75649">
      <w:pPr>
        <w:spacing w:line="360" w:lineRule="auto"/>
        <w:rPr>
          <w:rFonts w:ascii="Calibri" w:hAnsi="Calibri" w:cs="Arial"/>
        </w:rPr>
      </w:pPr>
      <w:r w:rsidRPr="00F02EB2">
        <w:rPr>
          <w:rFonts w:ascii="Calibri" w:hAnsi="Calibri" w:cs="Arial"/>
        </w:rPr>
        <w:t>Bosboomstraat 1, 3582 KE U</w:t>
      </w:r>
      <w:r>
        <w:rPr>
          <w:rFonts w:ascii="Calibri" w:hAnsi="Calibri" w:cs="Arial"/>
        </w:rPr>
        <w:t xml:space="preserve">trecht, </w:t>
      </w:r>
      <w:proofErr w:type="spellStart"/>
      <w:r>
        <w:rPr>
          <w:rFonts w:ascii="Calibri" w:hAnsi="Calibri" w:cs="Arial"/>
        </w:rPr>
        <w:t>the</w:t>
      </w:r>
      <w:proofErr w:type="spellEnd"/>
      <w:r>
        <w:rPr>
          <w:rFonts w:ascii="Calibri" w:hAnsi="Calibri" w:cs="Arial"/>
        </w:rPr>
        <w:t xml:space="preserve"> Netherlands</w:t>
      </w:r>
    </w:p>
    <w:p w14:paraId="0D75EC49" w14:textId="77777777" w:rsidR="00F02EB2" w:rsidRDefault="00935E07" w:rsidP="00F75649">
      <w:pPr>
        <w:spacing w:line="360" w:lineRule="auto"/>
        <w:rPr>
          <w:rFonts w:ascii="Calibri" w:hAnsi="Calibri" w:cs="Arial"/>
        </w:rPr>
      </w:pPr>
      <w:hyperlink r:id="rId9" w:history="1">
        <w:r w:rsidR="00F02EB2" w:rsidRPr="00D44364">
          <w:rPr>
            <w:rStyle w:val="Hyperlink"/>
            <w:rFonts w:ascii="Calibri" w:hAnsi="Calibri" w:cs="Arial"/>
          </w:rPr>
          <w:t>mhamaker@diakhuis.nl</w:t>
        </w:r>
      </w:hyperlink>
    </w:p>
    <w:p w14:paraId="7FF658F3" w14:textId="77777777" w:rsidR="00F02EB2" w:rsidRPr="00F02EB2" w:rsidRDefault="00F02EB2" w:rsidP="00F75649">
      <w:pPr>
        <w:spacing w:line="360" w:lineRule="auto"/>
        <w:rPr>
          <w:rFonts w:ascii="Calibri" w:hAnsi="Calibri" w:cs="Arial"/>
        </w:rPr>
      </w:pPr>
    </w:p>
    <w:p w14:paraId="28BF5778" w14:textId="54ED947C" w:rsidR="00F75649" w:rsidRPr="00F660CB" w:rsidRDefault="00F75649" w:rsidP="00F75649">
      <w:pPr>
        <w:spacing w:line="360" w:lineRule="auto"/>
        <w:rPr>
          <w:rFonts w:ascii="Calibri" w:hAnsi="Calibri" w:cs="Arial"/>
          <w:sz w:val="20"/>
          <w:szCs w:val="20"/>
          <w:lang w:val="en-GB"/>
        </w:rPr>
      </w:pPr>
      <w:r w:rsidRPr="00F660CB">
        <w:rPr>
          <w:rFonts w:ascii="Calibri" w:hAnsi="Calibri" w:cs="Arial"/>
          <w:sz w:val="20"/>
          <w:szCs w:val="20"/>
          <w:lang w:val="en-GB"/>
        </w:rPr>
        <w:t>Version:</w:t>
      </w:r>
      <w:r w:rsidR="0078270E" w:rsidRPr="00F660CB">
        <w:rPr>
          <w:rFonts w:ascii="Calibri" w:hAnsi="Calibri" w:cs="Arial"/>
          <w:sz w:val="20"/>
          <w:szCs w:val="20"/>
          <w:lang w:val="en-GB"/>
        </w:rPr>
        <w:t xml:space="preserve"> </w:t>
      </w:r>
      <w:r w:rsidR="003B65B8">
        <w:rPr>
          <w:rFonts w:ascii="Calibri" w:hAnsi="Calibri" w:cs="Arial"/>
          <w:sz w:val="20"/>
          <w:szCs w:val="20"/>
          <w:lang w:val="en-GB"/>
        </w:rPr>
        <w:t>8</w:t>
      </w:r>
      <w:r w:rsidR="00F02EB2" w:rsidRPr="00F660CB">
        <w:rPr>
          <w:rFonts w:ascii="Calibri" w:hAnsi="Calibri" w:cs="Arial"/>
          <w:sz w:val="20"/>
          <w:szCs w:val="20"/>
          <w:lang w:val="en-GB"/>
        </w:rPr>
        <w:t xml:space="preserve"> </w:t>
      </w:r>
      <w:r w:rsidR="003B65B8">
        <w:rPr>
          <w:rFonts w:ascii="Calibri" w:hAnsi="Calibri" w:cs="Arial"/>
          <w:sz w:val="20"/>
          <w:szCs w:val="20"/>
          <w:lang w:val="en-GB"/>
        </w:rPr>
        <w:t>N</w:t>
      </w:r>
      <w:r w:rsidR="00F02EB2" w:rsidRPr="00F660CB">
        <w:rPr>
          <w:rFonts w:ascii="Calibri" w:hAnsi="Calibri" w:cs="Arial"/>
          <w:sz w:val="20"/>
          <w:szCs w:val="20"/>
          <w:lang w:val="en-GB"/>
        </w:rPr>
        <w:t>ovember</w:t>
      </w:r>
      <w:r w:rsidR="0078270E" w:rsidRPr="00F660CB">
        <w:rPr>
          <w:rFonts w:ascii="Calibri" w:hAnsi="Calibri" w:cs="Arial"/>
          <w:sz w:val="20"/>
          <w:szCs w:val="20"/>
          <w:lang w:val="en-GB"/>
        </w:rPr>
        <w:t xml:space="preserve"> 2022</w:t>
      </w:r>
    </w:p>
    <w:p w14:paraId="4F8B4D5E" w14:textId="3C3735EC" w:rsidR="00F75649" w:rsidRPr="003B65B8" w:rsidRDefault="00F75649" w:rsidP="00F75649">
      <w:pPr>
        <w:spacing w:line="360" w:lineRule="auto"/>
        <w:rPr>
          <w:rFonts w:ascii="Calibri" w:hAnsi="Calibri" w:cs="Arial"/>
          <w:sz w:val="20"/>
          <w:szCs w:val="20"/>
          <w:lang w:val="en-GB"/>
        </w:rPr>
      </w:pPr>
      <w:r w:rsidRPr="003B65B8">
        <w:rPr>
          <w:rFonts w:ascii="Calibri" w:hAnsi="Calibri" w:cs="Arial"/>
          <w:sz w:val="20"/>
          <w:szCs w:val="20"/>
          <w:lang w:val="en-GB"/>
        </w:rPr>
        <w:t xml:space="preserve">Word count: </w:t>
      </w:r>
      <w:r w:rsidR="00E91301" w:rsidRPr="003B65B8">
        <w:rPr>
          <w:rFonts w:ascii="Calibri" w:hAnsi="Calibri" w:cs="Arial"/>
          <w:sz w:val="20"/>
          <w:szCs w:val="20"/>
          <w:lang w:val="en-GB"/>
        </w:rPr>
        <w:t>3</w:t>
      </w:r>
      <w:r w:rsidR="003B65B8" w:rsidRPr="003B65B8">
        <w:rPr>
          <w:rFonts w:ascii="Calibri" w:hAnsi="Calibri" w:cs="Arial"/>
          <w:sz w:val="20"/>
          <w:szCs w:val="20"/>
          <w:lang w:val="en-GB"/>
        </w:rPr>
        <w:t>283</w:t>
      </w:r>
    </w:p>
    <w:p w14:paraId="2E23E086" w14:textId="77777777" w:rsidR="00F75649" w:rsidRPr="00687F10" w:rsidRDefault="00F75649" w:rsidP="00F75649">
      <w:pPr>
        <w:spacing w:after="120"/>
        <w:rPr>
          <w:rFonts w:ascii="Calibri" w:hAnsi="Calibri" w:cs="Calibri"/>
          <w:sz w:val="20"/>
          <w:lang w:val="en-GB"/>
        </w:rPr>
      </w:pPr>
      <w:r w:rsidRPr="00687F10">
        <w:rPr>
          <w:rFonts w:ascii="Calibri" w:hAnsi="Calibri" w:cs="Calibri"/>
          <w:sz w:val="20"/>
          <w:lang w:val="en-GB"/>
        </w:rPr>
        <w:t>Disclaimers: no potential conflicts of interest</w:t>
      </w:r>
    </w:p>
    <w:p w14:paraId="31693232" w14:textId="77777777" w:rsidR="00F75649" w:rsidRPr="00687F10" w:rsidRDefault="00F75649" w:rsidP="00F75649">
      <w:pPr>
        <w:spacing w:after="120"/>
        <w:rPr>
          <w:rFonts w:ascii="Calibri" w:hAnsi="Calibri" w:cs="Calibri"/>
          <w:sz w:val="20"/>
          <w:lang w:val="en-GB"/>
        </w:rPr>
      </w:pPr>
      <w:r w:rsidRPr="00687F10">
        <w:rPr>
          <w:rFonts w:ascii="Calibri" w:hAnsi="Calibri" w:cs="Calibri"/>
          <w:sz w:val="20"/>
          <w:lang w:val="en-GB"/>
        </w:rPr>
        <w:t xml:space="preserve">Financial support: </w:t>
      </w:r>
      <w:r w:rsidR="00E25943" w:rsidRPr="0078270E">
        <w:rPr>
          <w:sz w:val="18"/>
          <w:lang w:val="en-US"/>
        </w:rPr>
        <w:t xml:space="preserve">This research was funded by GERONTE, an European Union’s Horizon 2020 research and innovation </w:t>
      </w:r>
      <w:proofErr w:type="spellStart"/>
      <w:r w:rsidR="00E25943" w:rsidRPr="0078270E">
        <w:rPr>
          <w:sz w:val="18"/>
          <w:lang w:val="en-US"/>
        </w:rPr>
        <w:t>programme</w:t>
      </w:r>
      <w:proofErr w:type="spellEnd"/>
      <w:r w:rsidR="00E25943" w:rsidRPr="0078270E">
        <w:rPr>
          <w:sz w:val="18"/>
          <w:lang w:val="en-US"/>
        </w:rPr>
        <w:t xml:space="preserve"> under grant agreement No. 945218. </w:t>
      </w:r>
      <w:r w:rsidRPr="00687F10">
        <w:rPr>
          <w:rFonts w:ascii="Calibri" w:hAnsi="Calibri" w:cs="Calibri"/>
          <w:sz w:val="20"/>
          <w:lang w:val="en-GB"/>
        </w:rPr>
        <w:br w:type="page"/>
      </w:r>
    </w:p>
    <w:p w14:paraId="2BB786E0" w14:textId="77777777" w:rsidR="00E25943" w:rsidRDefault="00F75649">
      <w:pPr>
        <w:rPr>
          <w:rFonts w:cs="Arial"/>
          <w:b/>
          <w:bCs/>
          <w:lang w:val="en-US"/>
        </w:rPr>
      </w:pPr>
      <w:r>
        <w:rPr>
          <w:rFonts w:cs="Arial"/>
          <w:b/>
          <w:bCs/>
          <w:lang w:val="en-US"/>
        </w:rPr>
        <w:lastRenderedPageBreak/>
        <w:t>Abstract</w:t>
      </w:r>
    </w:p>
    <w:p w14:paraId="3ABE09A1" w14:textId="77777777" w:rsidR="00F75649" w:rsidRDefault="00E25943">
      <w:pPr>
        <w:rPr>
          <w:rFonts w:cs="Arial"/>
          <w:b/>
          <w:bCs/>
          <w:lang w:val="en-US"/>
        </w:rPr>
      </w:pPr>
      <w:r>
        <w:rPr>
          <w:rFonts w:cs="Arial"/>
          <w:lang w:val="en-US"/>
        </w:rPr>
        <w:t>In addition to frailty, t</w:t>
      </w:r>
      <w:r w:rsidRPr="00BD3AAC">
        <w:rPr>
          <w:rFonts w:cs="Arial"/>
          <w:lang w:val="en-US"/>
        </w:rPr>
        <w:t>wo novel concepts have been introduced in the field of geriatrics to capture the heterogeneous aging process: the first is intrinsic capacity, which uses a community-based, holistic approach and is propagated by the World Health Organization</w:t>
      </w:r>
      <w:r>
        <w:rPr>
          <w:rFonts w:cs="Arial"/>
          <w:lang w:val="en-US"/>
        </w:rPr>
        <w:t xml:space="preserve"> (WHO)</w:t>
      </w:r>
      <w:r w:rsidRPr="00BD3AAC">
        <w:rPr>
          <w:rFonts w:cs="Arial"/>
          <w:lang w:val="en-US"/>
        </w:rPr>
        <w:t>; and the second is resilience</w:t>
      </w:r>
      <w:r w:rsidR="00EF66E5">
        <w:rPr>
          <w:rFonts w:cs="Arial"/>
          <w:lang w:val="en-US"/>
        </w:rPr>
        <w:t>,</w:t>
      </w:r>
      <w:r w:rsidRPr="00BD3AAC">
        <w:rPr>
          <w:rFonts w:cs="Arial"/>
          <w:lang w:val="en-US"/>
        </w:rPr>
        <w:t xml:space="preserve"> which provides a more dynamic perspective on </w:t>
      </w:r>
      <w:r w:rsidR="00EF66E5">
        <w:rPr>
          <w:rFonts w:cs="Arial"/>
          <w:lang w:val="en-US"/>
        </w:rPr>
        <w:t xml:space="preserve">the individual’s </w:t>
      </w:r>
      <w:r w:rsidRPr="00BD3AAC">
        <w:rPr>
          <w:rFonts w:cs="Arial"/>
          <w:lang w:val="en-US"/>
        </w:rPr>
        <w:t xml:space="preserve">reserves, injury and recovery. While both concepts are linked to frailty, </w:t>
      </w:r>
      <w:r w:rsidRPr="003B17B1">
        <w:rPr>
          <w:rFonts w:cs="Arial"/>
          <w:lang w:val="en-US"/>
        </w:rPr>
        <w:t xml:space="preserve">with all three focusing on reserves in relation to ageing, each approaches this issue from a different </w:t>
      </w:r>
      <w:r>
        <w:rPr>
          <w:rFonts w:cs="Arial"/>
          <w:lang w:val="en-US"/>
        </w:rPr>
        <w:t>point of view</w:t>
      </w:r>
      <w:r w:rsidRPr="003B17B1">
        <w:rPr>
          <w:rFonts w:cs="Arial"/>
          <w:lang w:val="en-US"/>
        </w:rPr>
        <w:t>. In this paper, we will compare and contrast</w:t>
      </w:r>
      <w:r w:rsidRPr="00BD3AAC">
        <w:rPr>
          <w:rFonts w:cs="Arial"/>
          <w:lang w:val="en-US"/>
        </w:rPr>
        <w:t xml:space="preserve"> these three concepts – frailty, intrinsic capacity and resilience – and assess their relevance to future geriatric oncology research as well as daily clinical practice.  </w:t>
      </w:r>
      <w:r w:rsidR="00F75649">
        <w:rPr>
          <w:rFonts w:cs="Arial"/>
          <w:b/>
          <w:bCs/>
          <w:lang w:val="en-US"/>
        </w:rPr>
        <w:br w:type="page"/>
      </w:r>
    </w:p>
    <w:p w14:paraId="27843F8E" w14:textId="77777777" w:rsidR="00F540DB" w:rsidRPr="00BD3AAC" w:rsidRDefault="00F540DB" w:rsidP="007E4BEC">
      <w:pPr>
        <w:spacing w:line="276" w:lineRule="auto"/>
        <w:rPr>
          <w:rFonts w:cs="Arial"/>
          <w:b/>
          <w:bCs/>
          <w:lang w:val="en-US"/>
        </w:rPr>
      </w:pPr>
      <w:r w:rsidRPr="00BD3AAC">
        <w:rPr>
          <w:rFonts w:cs="Arial"/>
          <w:b/>
          <w:bCs/>
          <w:lang w:val="en-US"/>
        </w:rPr>
        <w:lastRenderedPageBreak/>
        <w:t>Introduction</w:t>
      </w:r>
    </w:p>
    <w:p w14:paraId="1786EACD" w14:textId="7158F4ED" w:rsidR="003A5C9D" w:rsidRPr="00AF514B" w:rsidRDefault="002F0404" w:rsidP="00B146DD">
      <w:pPr>
        <w:tabs>
          <w:tab w:val="left" w:pos="2410"/>
        </w:tabs>
        <w:spacing w:line="276" w:lineRule="auto"/>
        <w:rPr>
          <w:rFonts w:cs="Arial"/>
          <w:lang w:val="en-US"/>
        </w:rPr>
      </w:pPr>
      <w:r w:rsidRPr="00BD3AAC">
        <w:rPr>
          <w:lang w:val="en-US"/>
        </w:rPr>
        <w:t>Frailty</w:t>
      </w:r>
      <w:r w:rsidR="007527BB" w:rsidRPr="00BD3AAC">
        <w:rPr>
          <w:lang w:val="en-US"/>
        </w:rPr>
        <w:t xml:space="preserve"> </w:t>
      </w:r>
      <w:r w:rsidRPr="00BD3AAC">
        <w:rPr>
          <w:lang w:val="en-US"/>
        </w:rPr>
        <w:t xml:space="preserve">can be conceptualized as a state of decreased physiological reserve </w:t>
      </w:r>
      <w:r w:rsidR="00E41BB7" w:rsidRPr="00BD3AAC">
        <w:rPr>
          <w:lang w:val="en-US"/>
        </w:rPr>
        <w:t>due to the cumulative ageing process</w:t>
      </w:r>
      <w:r w:rsidR="003A5C9D" w:rsidRPr="00BD3AAC">
        <w:rPr>
          <w:lang w:val="en-US"/>
        </w:rPr>
        <w:t>es</w:t>
      </w:r>
      <w:r w:rsidR="00E41BB7" w:rsidRPr="00BD3AAC">
        <w:rPr>
          <w:lang w:val="en-US"/>
        </w:rPr>
        <w:t xml:space="preserve"> across multiple organ systems, resulting in an </w:t>
      </w:r>
      <w:r w:rsidRPr="00BD3AAC">
        <w:rPr>
          <w:lang w:val="en-US"/>
        </w:rPr>
        <w:t>increased vulnerability to stressors</w:t>
      </w:r>
      <w:r w:rsidR="00EF66E5">
        <w:rPr>
          <w:lang w:val="en-US"/>
        </w:rPr>
        <w:t>, such as cancer treatment</w:t>
      </w:r>
      <w:r w:rsidRPr="00BD3AAC">
        <w:rPr>
          <w:lang w:val="en-US"/>
        </w:rPr>
        <w:t xml:space="preserve">. </w:t>
      </w:r>
      <w:r w:rsidR="00EF66E5">
        <w:rPr>
          <w:lang w:val="en-US"/>
        </w:rPr>
        <w:t xml:space="preserve">Frailty is </w:t>
      </w:r>
      <w:r w:rsidR="003A5C9D" w:rsidRPr="00BD3AAC">
        <w:rPr>
          <w:rFonts w:cs="Arial"/>
          <w:lang w:val="en-US"/>
        </w:rPr>
        <w:t>one of the</w:t>
      </w:r>
      <w:r w:rsidR="002F2505" w:rsidRPr="00BD3AAC">
        <w:rPr>
          <w:rFonts w:cs="Arial"/>
          <w:lang w:val="en-US"/>
        </w:rPr>
        <w:t xml:space="preserve"> corner stone</w:t>
      </w:r>
      <w:r w:rsidR="003A5C9D" w:rsidRPr="00BD3AAC">
        <w:rPr>
          <w:rFonts w:cs="Arial"/>
          <w:lang w:val="en-US"/>
        </w:rPr>
        <w:t>s</w:t>
      </w:r>
      <w:r w:rsidR="002F2505" w:rsidRPr="00BD3AAC">
        <w:rPr>
          <w:rFonts w:cs="Arial"/>
          <w:lang w:val="en-US"/>
        </w:rPr>
        <w:t xml:space="preserve"> of geriatric medicine, and </w:t>
      </w:r>
      <w:r w:rsidR="00EF66E5">
        <w:rPr>
          <w:rFonts w:cs="Arial"/>
          <w:lang w:val="en-US"/>
        </w:rPr>
        <w:t xml:space="preserve">the concept </w:t>
      </w:r>
      <w:r w:rsidR="002F2505" w:rsidRPr="00BD3AAC">
        <w:rPr>
          <w:rFonts w:cs="Arial"/>
          <w:lang w:val="en-US"/>
        </w:rPr>
        <w:t xml:space="preserve">is </w:t>
      </w:r>
      <w:r w:rsidR="0078270E">
        <w:rPr>
          <w:rFonts w:cs="Arial"/>
          <w:lang w:val="en-US"/>
        </w:rPr>
        <w:t>frequently used</w:t>
      </w:r>
      <w:r w:rsidR="002F2505" w:rsidRPr="00BD3AAC">
        <w:rPr>
          <w:rFonts w:cs="Arial"/>
          <w:lang w:val="en-US"/>
        </w:rPr>
        <w:t xml:space="preserve"> in geriatric oncology</w:t>
      </w:r>
      <w:r w:rsidR="003270FF">
        <w:rPr>
          <w:rFonts w:cs="Arial"/>
          <w:lang w:val="en-US"/>
        </w:rPr>
        <w:t xml:space="preserve">. There, </w:t>
      </w:r>
      <w:r w:rsidR="00E41BB7" w:rsidRPr="00BD3AAC">
        <w:rPr>
          <w:rFonts w:cs="Arial"/>
          <w:lang w:val="en-US"/>
        </w:rPr>
        <w:t>its introduction has led</w:t>
      </w:r>
      <w:r w:rsidR="007527BB" w:rsidRPr="00BD3AAC">
        <w:rPr>
          <w:rFonts w:cs="Arial"/>
          <w:lang w:val="en-US"/>
        </w:rPr>
        <w:t xml:space="preserve"> to a better understanding of the interrelationship between a patient’s </w:t>
      </w:r>
      <w:r w:rsidR="00E41BB7" w:rsidRPr="00BD3AAC">
        <w:rPr>
          <w:rFonts w:cs="Arial"/>
          <w:lang w:val="en-US"/>
        </w:rPr>
        <w:t>vulnerabilities and their response to treatment-</w:t>
      </w:r>
      <w:r w:rsidR="003A5C9D" w:rsidRPr="00BD3AAC">
        <w:rPr>
          <w:rFonts w:cs="Arial"/>
          <w:lang w:val="en-US"/>
        </w:rPr>
        <w:t xml:space="preserve">induced </w:t>
      </w:r>
      <w:r w:rsidR="005034D4">
        <w:rPr>
          <w:rFonts w:cs="Arial"/>
          <w:lang w:val="en-US"/>
        </w:rPr>
        <w:t>complications like</w:t>
      </w:r>
      <w:r w:rsidR="003A5C9D" w:rsidRPr="00BD3AAC">
        <w:rPr>
          <w:rFonts w:cs="Arial"/>
          <w:lang w:val="en-US"/>
        </w:rPr>
        <w:t xml:space="preserve"> surgical injury or </w:t>
      </w:r>
      <w:r w:rsidR="00EF66E5">
        <w:rPr>
          <w:rFonts w:cs="Arial"/>
          <w:lang w:val="en-US"/>
        </w:rPr>
        <w:t xml:space="preserve">chemotherapy </w:t>
      </w:r>
      <w:r w:rsidR="003A5C9D" w:rsidRPr="00BD3AAC">
        <w:rPr>
          <w:rFonts w:cs="Arial"/>
          <w:lang w:val="en-US"/>
        </w:rPr>
        <w:t>toxicity</w:t>
      </w:r>
      <w:r w:rsidR="00B146DD">
        <w:rPr>
          <w:rFonts w:cs="Arial"/>
          <w:lang w:val="en-US"/>
        </w:rPr>
        <w:t>.</w:t>
      </w:r>
      <w:r w:rsidR="00B146DD">
        <w:rPr>
          <w:rFonts w:cs="Arial"/>
          <w:lang w:val="en-US"/>
        </w:rPr>
        <w:fldChar w:fldCharType="begin" w:fldLock="1"/>
      </w:r>
      <w:r w:rsidR="004F0494">
        <w:rPr>
          <w:rFonts w:cs="Arial"/>
          <w:lang w:val="en-US"/>
        </w:rPr>
        <w:instrText>ADDIN CSL_CITATION {"citationItems":[{"id":"ITEM-1","itemData":{"DOI":"10.1200/JOP.18.00180","PMID":"29932846","author":[{"dropping-particle":"","family":"Mohile","given":"Supriya G.","non-dropping-particle":"","parse-names":false,"suffix":""},{"dropping-particle":"","family":"Dale","given":"William","non-dropping-particle":"","parse-names":false,"suffix":""},{"dropping-particle":"","family":"Somerfield","given":"Mark R.","non-dropping-particle":"","parse-names":false,"suffix":""},{"dropping-particle":"","family":"Hurria","given":"Arti","non-dropping-particle":"","parse-names":false,"suffix":""}],"container-title":"Journal of Oncology Practice","id":"ITEM-1","issue":"7","issued":{"date-parts":[["2018","7","1"]]},"language":"English","page":"442-446","publisher":"American Society of Clinical Oncology","title":"Practical assessment and management of vulnerabilities in older patients receiving chemotherapy: Asco guideline for geriatric oncology summary","type":"article-journal","volume":"14"},"uris":["http://www.mendeley.com/documents/?uuid=1a8797e6-d123-483e-b90c-8cdec500ae73"]}],"mendeley":{"formattedCitation":"&lt;sup&gt;1&lt;/sup&gt;","plainTextFormattedCitation":"1","previouslyFormattedCitation":"&lt;sup&gt;1&lt;/sup&gt;"},"properties":{"noteIndex":0},"schema":"https://github.com/citation-style-language/schema/raw/master/csl-citation.json"}</w:instrText>
      </w:r>
      <w:r w:rsidR="00B146DD">
        <w:rPr>
          <w:rFonts w:cs="Arial"/>
          <w:lang w:val="en-US"/>
        </w:rPr>
        <w:fldChar w:fldCharType="separate"/>
      </w:r>
      <w:r w:rsidR="004F0494" w:rsidRPr="004F0494">
        <w:rPr>
          <w:rFonts w:cs="Arial"/>
          <w:noProof/>
          <w:vertAlign w:val="superscript"/>
          <w:lang w:val="en-US"/>
        </w:rPr>
        <w:t>1</w:t>
      </w:r>
      <w:r w:rsidR="00B146DD">
        <w:rPr>
          <w:rFonts w:cs="Arial"/>
          <w:lang w:val="en-US"/>
        </w:rPr>
        <w:fldChar w:fldCharType="end"/>
      </w:r>
      <w:r w:rsidR="00AF514B">
        <w:rPr>
          <w:rFonts w:cs="Arial"/>
          <w:lang w:val="en-US"/>
        </w:rPr>
        <w:t xml:space="preserve"> T</w:t>
      </w:r>
      <w:r w:rsidR="00C20C94">
        <w:rPr>
          <w:rFonts w:cs="Arial"/>
          <w:lang w:val="en-US"/>
        </w:rPr>
        <w:t>hree</w:t>
      </w:r>
      <w:r w:rsidR="00AF514B">
        <w:rPr>
          <w:rFonts w:cs="Arial"/>
          <w:lang w:val="en-US"/>
        </w:rPr>
        <w:t xml:space="preserve"> recent randomized controlled trials </w:t>
      </w:r>
      <w:r w:rsidR="00EF66E5">
        <w:rPr>
          <w:rFonts w:cs="Arial"/>
          <w:lang w:val="en-US"/>
        </w:rPr>
        <w:t xml:space="preserve">found </w:t>
      </w:r>
      <w:r w:rsidR="00AF514B">
        <w:rPr>
          <w:rFonts w:cs="Arial"/>
          <w:lang w:val="en-US"/>
        </w:rPr>
        <w:t>that implementing a geriatric assessment</w:t>
      </w:r>
      <w:r w:rsidR="003270FF">
        <w:rPr>
          <w:rFonts w:cs="Arial"/>
          <w:lang w:val="en-US"/>
        </w:rPr>
        <w:t>-</w:t>
      </w:r>
      <w:r w:rsidR="00AF514B">
        <w:rPr>
          <w:rFonts w:cs="Arial"/>
          <w:lang w:val="en-US"/>
        </w:rPr>
        <w:t>driven</w:t>
      </w:r>
      <w:r w:rsidR="00AF514B" w:rsidRPr="00AF514B">
        <w:rPr>
          <w:rFonts w:cs="Arial"/>
          <w:lang w:val="en-US"/>
        </w:rPr>
        <w:t xml:space="preserve"> intervention for older </w:t>
      </w:r>
      <w:r w:rsidR="00AF514B">
        <w:rPr>
          <w:rFonts w:cs="Arial"/>
          <w:lang w:val="en-US"/>
        </w:rPr>
        <w:t>adults</w:t>
      </w:r>
      <w:r w:rsidR="00AF514B" w:rsidRPr="00AF514B">
        <w:rPr>
          <w:rFonts w:cs="Arial"/>
          <w:lang w:val="en-US"/>
        </w:rPr>
        <w:t xml:space="preserve"> with cancer</w:t>
      </w:r>
      <w:r w:rsidR="00F75649">
        <w:rPr>
          <w:rFonts w:cs="Arial"/>
          <w:lang w:val="en-US"/>
        </w:rPr>
        <w:t xml:space="preserve"> </w:t>
      </w:r>
      <w:r w:rsidR="00EF66E5">
        <w:rPr>
          <w:rFonts w:cs="Arial"/>
          <w:lang w:val="en-US"/>
        </w:rPr>
        <w:t>was</w:t>
      </w:r>
      <w:r w:rsidR="00F75649">
        <w:rPr>
          <w:rFonts w:cs="Arial"/>
          <w:lang w:val="en-US"/>
        </w:rPr>
        <w:t xml:space="preserve"> feasible</w:t>
      </w:r>
      <w:r w:rsidR="00B146DD">
        <w:rPr>
          <w:rFonts w:cs="Arial"/>
          <w:lang w:val="en-US"/>
        </w:rPr>
        <w:t xml:space="preserve">, </w:t>
      </w:r>
      <w:r w:rsidR="00AF514B" w:rsidRPr="00AF514B">
        <w:rPr>
          <w:rFonts w:cs="Arial"/>
          <w:lang w:val="en-US"/>
        </w:rPr>
        <w:t>reduced serious toxic effects</w:t>
      </w:r>
      <w:r w:rsidR="007104C5">
        <w:rPr>
          <w:rFonts w:cs="Arial"/>
          <w:lang w:val="en-US"/>
        </w:rPr>
        <w:t xml:space="preserve"> and </w:t>
      </w:r>
      <w:r w:rsidR="00F660CB">
        <w:rPr>
          <w:rFonts w:cs="Arial"/>
          <w:lang w:val="en-US"/>
        </w:rPr>
        <w:t>improved</w:t>
      </w:r>
      <w:r w:rsidR="007104C5">
        <w:rPr>
          <w:rFonts w:cs="Arial"/>
          <w:lang w:val="en-US"/>
        </w:rPr>
        <w:t xml:space="preserve"> QoL</w:t>
      </w:r>
      <w:r w:rsidR="00B146DD">
        <w:rPr>
          <w:rFonts w:cs="Arial"/>
          <w:lang w:val="en-US"/>
        </w:rPr>
        <w:t>.</w:t>
      </w:r>
      <w:r w:rsidR="009561B5">
        <w:rPr>
          <w:rFonts w:cs="Arial"/>
          <w:lang w:val="en-US"/>
        </w:rPr>
        <w:fldChar w:fldCharType="begin" w:fldLock="1"/>
      </w:r>
      <w:r w:rsidR="00BC219F">
        <w:rPr>
          <w:rFonts w:cs="Arial"/>
          <w:lang w:val="en-US"/>
        </w:rPr>
        <w:instrText>ADDIN CSL_CITATION {"citationItems":[{"id":"ITEM-1","itemData":{"DOI":"10.1001/jamaoncol.2021.4158","ISSN":"2374-2445","abstract":"Importance: Although geriatric assessment-driven intervention improves patient-centered outcomes, its influence on chemotherapy-related toxic effects remains unknown. Objective: To assess whether specific geriatric assessment-driven intervention (GAIN) can reduce chemotherapy-related toxic effects in older adults with cancer. Design, Setting, and Participants: A randomized clinical trial enrolled 613 participants from a National Cancer Institute-designated cancer center between 2015 and 2019. Patients were 65 years and older with a solid malignant neoplasm, were starting a new chemotherapy regimen, and completed a geriatric assessment. Patients were followed up until chemotherapy completion or 6 months after initiation, whichever occurred first. Data analysis was done by intention-to-treat principle. Interventions: Patients were randomized (2:1) to either the GAIN (intervention) or standard of care (SOC) arm. In the GAIN arm, a geriatrics-trained multidisciplinary team composed of an oncologist, nurse practitioner, social worker, physical/occupation therapist, nutritionist, and pharmacist reviewed geriatric assessment results and implemented interventions based on prespecified thresholds built into the geriatric assessment's domains. In the SOC arm, geriatric assessment results were sent to treating oncologists for consideration. Main Outcomes and Measures: The primary outcome was incidence of grade 3 or higher chemotherapy-related toxic effects (graded using National Cancer Institute Common Terminology Criteria for Adverse Events, version 4.0). Secondary outcomes included advance directive completion, emergency department visits, unplanned hospitalizations, average length of stay, unplanned hospital readmissions, chemotherapy dose modifications, and early discontinuation. Overall survival analysis was performed up to 12 months after chemotherapy initiation. Results: Among the 605 eligible participants for analysis, median (range) age was 71 (65-91) years, 357 (59.0%) were women, and 432 (71.4%) had stage IV disease. Cancer types included gastrointestinal (202 [33.4%]), breast (136 [22.5%]), lung (97 [16.0%]), genitourinary (91 [15.0%]), gynecologic (54 [8.9%]), and other (25 [4.1%]). Incidence of grade 3 or higher chemotherapy-related toxic effects was 50.5% (95% CI, 45.6% to 55.4%) in the GAIN arm and 60.6% (95% CI, 53.9% to 67.3%) in the SOC arm, resulting in a significant 10.1% reduction (95% CI, -1.5 to -18.2%; P =.02). A significant absolute incre…","author":[{"dropping-particle":"","family":"Li","given":"D","non-dropping-particle":"","parse-names":false,"suffix":""},{"dropping-particle":"","family":"Sun","given":"C.-L.","non-dropping-particle":"","parse-names":false,"suffix":""},{"dropping-particle":"","family":"Kim","given":"H","non-dropping-particle":"","parse-names":false,"suffix":""},{"dropping-particle":"","family":"Soto-Perez-De-Celis","given":"E","non-dropping-particle":"","parse-names":false,"suffix":""},{"dropping-particle":"","family":"Chung","given":"V","non-dropping-particle":"","parse-names":false,"suffix":""},{"dropping-particle":"","family":"Koczywas","given":"M","non-dropping-particle":"","parse-names":false,"suffix":""},{"dropping-particle":"","family":"Fakih","given":"M","non-dropping-particle":"","parse-names":false,"suffix":""},{"dropping-particle":"","family":"Chao","given":"J","non-dropping-particle":"","parse-names":false,"suffix":""},{"dropping-particle":"","family":"Cabrera Chien","given":"L","non-dropping-particle":"","parse-names":false,"suffix":""},{"dropping-particle":"","family":"Charles","given":"K","non-dropping-particle":"","parse-names":false,"suffix":""},{"dropping-particle":"","family":"Hughes","given":"S.F.D.S.","non-dropping-particle":"","parse-names":false,"suffix":""},{"dropping-particle":"","family":"Katheria","given":"V","non-dropping-particle":"","parse-names":false,"suffix":""},{"dropping-particle":"","family":"Trent","given":"M","non-dropping-particle":"","parse-names":false,"suffix":""},{"dropping-particle":"","family":"Roberts","given":"E","non-dropping-particle":"","parse-names":false,"suffix":""},{"dropping-particle":"","family":"Jayani","given":"R","non-dropping-particle":"","parse-names":false,"suffix":""},{"dropping-particle":"","family":"Moreno","given":"J","non-dropping-particle":"","parse-names":false,"suffix":""},{"dropping-particle":"","family":"Kelly","given":"C","non-dropping-particle":"","parse-names":false,"suffix":""},{"dropping-particle":"","family":"Sedrak","given":"M S","non-dropping-particle":"","parse-names":false,"suffix":""},{"dropping-particle":"","family":"Dale","given":"W","non-dropping-particle":"","parse-names":false,"suffix":""}],"container-title":"JAMA Oncology","id":"ITEM-1","issued":{"date-parts":[["2021"]]},"language":"English","title":"Geriatric Assessment-Driven Intervention (GAIN) on Chemotherapy-Related Toxic Effects in Older Adults with Cancer: A Randomized Clinical Trial","type":"article-journal"},"uris":["http://www.mendeley.com/documents/?uuid=efe35424-2ca2-39b5-9994-9d972bd621cb"]},{"id":"ITEM-2","itemData":{"DOI":"10.1016/S0140-6736(21)01789-X","ISSN":"1474-547X","PMID":"34741815","abstract":"Background: Older adults with advanced cancer are at a high risk for treatment toxic effects. Geriatric assessment evaluates ageing-related domains and guides management. We examined whether a geriatric assessment intervention can reduce serious toxic effects in older patients with advanced cancer who are receiving high risk treatment (eg, chemotherapy). Methods: In this cluster-randomised trial, we enrolled patients aged 70 years and older with incurable solid tumours or lymphoma and at least one impaired geriatric assessment domain who were starting a new treatment regimen. 40 community oncology practice clusters across the USA were randomly assigned (1:1) to the intervention (oncologists received a tailored geriatric assessment summary and management recommendations) or usual care (no geriatric assessment summary or management recommendations were provided to oncologists) by means of a computer-generated randomisation table. The primary outcome was the proportion of patients who had any grade 3–5 toxic effect (based on National Cancer Institute Common Terminology Criteria for Adverse Events version 4) over 3 months. Practice staff prospectively captured toxic effects. Masked oncology clinicians reviewed medical records to verify. The study was registered with ClinicalTrials.gov, NCT02054741. Findings: Between July 29, 2014, and March 13, 2019, we enrolled 718 patients. Patients had a mean age of 77·2 years (SD 5·4) and 311 (43%) of 718 participants were female. The mean number of geriatric assessment domain impairments was 4·5 (SD 1·6) and was not significantly different between the study groups. More patients in intervention group compared with the usual care group were Black versus other races (40 [11%] of 349 patients vs 12 [3%] of 369 patients; p&lt;0·0001) and had previous chemotherapy (104 [30%] of 349 patients vs 81 [22%] of 369 patients; p=0·016). A lower proportion of patients in the intervention group had grade 3–5 toxic effects (177 [51%] of 349 patients) compared with the usual care group (263 [71%] of 369 patients; relative risk [RR] 0·74 (95% CI 0·64–0·86; p=0·0001). Patients in the intervention group had fewer falls over 3 months (35 [12%] of 298 patients vs 68 [21%] of 329 patients; adjusted RR 0·58, 95% CI 0·40–0·84; p=0·0035) and had more medications discontinued (mean adjusted difference 0·14, 95% CI 0·03–0·25; p=0·015). Interpretation: A geriatric assessment intervention for older patients with advanced cancer reduced serious toxic e…","author":[{"dropping-particle":"","family":"Mohile","given":"Supriya G.","non-dropping-particle":"","parse-names":false,"suffix":""},{"dropping-particle":"","family":"Mohamed","given":"Mostafa R.","non-dropping-particle":"","parse-names":false,"suffix":""},{"dropping-particle":"","family":"Xu","given":"Huiwen","non-dropping-particle":"","parse-names":false,"suffix":""},{"dropping-particle":"","family":"Culakova","given":"Eva","non-dropping-particle":"","parse-names":false,"suffix":""},{"dropping-particle":"","family":"Loh","given":"Kah Poh","non-dropping-particle":"","parse-names":false,"suffix":""},{"dropping-particle":"","family":"Magnuson","given":"Allison","non-dropping-particle":"","parse-names":false,"suffix":""},{"dropping-particle":"","family":"Flannery","given":"Marie A.","non-dropping-particle":"","parse-names":false,"suffix":""},{"dropping-particle":"","family":"Obrecht","given":"Spencer","non-dropping-particle":"","parse-names":false,"suffix":""},{"dropping-particle":"","family":"Gilmore","given":"Nikesha","non-dropping-particle":"","parse-names":false,"suffix":""},{"dropping-particle":"","family":"Ramsdale","given":"Erika","non-dropping-particle":"","parse-names":false,"suffix":""},{"dropping-particle":"","family":"Dunne","given":"Richard F.","non-dropping-particle":"","parse-names":false,"suffix":""},{"dropping-particle":"","family":"Wildes","given":"Tanya","non-dropping-particle":"","parse-names":false,"suffix":""},{"dropping-particle":"","family":"Plumb","given":"Sandy","non-dropping-particle":"","parse-names":false,"suffix":""},{"dropping-particle":"","family":"Patil","given":"Amita","non-dropping-particle":"","parse-names":false,"suffix":""},{"dropping-particle":"","family":"Wells","given":"Megan","non-dropping-particle":"","parse-names":false,"suffix":""},{"dropping-particle":"","family":"Lowenstein","given":"Lisa","non-dropping-particle":"","parse-names":false,"suffix":""},{"dropping-particle":"","family":"Janelsins","given":"Michelle","non-dropping-particle":"","parse-names":false,"suffix":""},{"dropping-particle":"","family":"Mustian","given":"Karen","non-dropping-particle":"","parse-names":false,"suffix":""},{"dropping-particle":"","family":"Hopkins","given":"Judith O.","non-dropping-particle":"","parse-names":false,"suffix":""},{"dropping-particle":"","family":"Berenberg","given":"Jeffrey","non-dropping-particle":"","parse-names":false,"suffix":""},{"dropping-particle":"","family":"Anthony","given":"Navin","non-dropping-particle":"","parse-names":false,"suffix":""},{"dropping-particle":"","family":"Dale","given":"William","non-dropping-particle":"","parse-names":false,"suffix":""}],"container-title":"Lancet (London, England)","id":"ITEM-2","issue":"10314","issued":{"date-parts":[["2021","11","20"]]},"page":"1894-1904","publisher":"Lancet","title":"Evaluation of geriatric assessment and management on the toxic effects of cancer treatment (GAP70+): a cluster-randomised study","type":"article-journal","volume":"398"},"uris":["http://www.mendeley.com/documents/?uuid=68e983af-4be4-3194-a5bd-be8761726dd5"]},{"id":"ITEM-3","itemData":{"author":[{"dropping-particle":"","family":"Soo","given":"WK","non-dropping-particle":"","parse-names":false,"suffix":""},{"dropping-particle":"","family":"King","given":"M","non-dropping-particle":"","parse-names":false,"suffix":""},{"dropping-particle":"","family":"Pope","given":"A","non-dropping-particle":"","parse-names":false,"suffix":""},{"dropping-particle":"","family":"Parente","given":"P","non-dropping-particle":"","parse-names":false,"suffix":""},{"dropping-particle":"","family":"Darzins","given":"P","non-dropping-particle":"","parse-names":false,"suffix":""},{"dropping-particle":"","family":"Davis","given":"ID","non-dropping-particle":"","parse-names":false,"suffix":""}],"container-title":"Journal of Clinical Oncology","id":"ITEM-3","issue":"S","issued":{"date-parts":[["2020"]]},"page":"12011","title":"Integrated geriatric assessment and treatment (INTEGERATE) in older people with cancer planned for systemic anticancer therapy.","type":"article-journal","volume":"38"},"uris":["http://www.mendeley.com/documents/?uuid=0158f8a1-4024-365b-9dea-8d67e471552a"]},{"id":"ITEM-4","itemData":{"PMID":"25871332","abstract":"Background:Although comorbidities are identified in routine oncology practice, intervention plans for the coexisting needs of older people receiving chemotherapy are rarely made. This study evaluates the impact of geriatrician-delivered comprehensive geriatric assessment (CGA) interventions on chemotherapy toxicity and tolerance for older people with cancer.Methods:Comparative study of two cohorts of older patients (aged 70+ years) undergoing chemotherapy in a London Hospital. The observational control group (N=70, October 2010-July 2012) received standard oncology care. The intervention group (N=65, September 2011-February 2013) underwent risk stratification using a patient-completed screening questionnaire and high-risk patients received CGA. Impact of CGA interventions on chemotherapy tolerance outcomes and grade 3+ toxicity rate were evaluated. Outcomes were adjusted for age, comorbidity, metastatic disease and initial dose reductions.Results:Intervention participants undergoing CGA received mean of 6.2±2.6 (range 0-15) CGA intervention plans each. They were more likely to complete cancer treatment as planned (odds ratio (OR) 4.14 (95% CI: 1.50-11.42), P=0.006) and fewer required treatment modifications (OR 0.34 (95% CI: 0.16-0.73), P=0.006). Overall grade 3+ toxicity rate was 43.8% in the intervention group and 52.9% in the control (P=0.292).Conclusions:Geriatrician-led CGA interventions were associated with improved chemotherapy tolerance. Standard oncology care should shift towards modifying coexisting conditions to optimise chemotherapy outcomes for older people.","author":[{"dropping-particle":"","family":"Kalsi","given":"T.","non-dropping-particle":"","parse-names":false,"suffix":""},{"dropping-particle":"","family":"Babic-Illman","given":"G.","non-dropping-particle":"","parse-names":false,"suffix":""},{"dropping-particle":"","family":"Ross","given":"P. J.","non-dropping-particle":"","parse-names":false,"suffix":""},{"dropping-particle":"","family":"Maisey","given":"N. R.","non-dropping-particle":"","parse-names":false,"suffix":""},{"dropping-particle":"","family":"Hughes","given":"S.","non-dropping-particle":"","parse-names":false,"suffix":""},{"dropping-particle":"","family":"Fields","given":"P.","non-dropping-particle":"","parse-names":false,"suffix":""},{"dropping-particle":"","family":"Martin","given":"F. C.","non-dropping-particle":"","parse-names":false,"suffix":""},{"dropping-particle":"","family":"Wang","given":"Y.","non-dropping-particle":"","parse-names":false,"suffix":""},{"dropping-particle":"","family":"Harari","given":"D.","non-dropping-particle":"","parse-names":false,"suffix":""}],"container-title":"British Journal of Cancer","id":"ITEM-4","issue":"9","issued":{"date-parts":[["2015","4","28"]]},"language":"English","page":"1435-1444","publisher":"Nature Publishing Group","title":"The impact of comprehensive geriatric assessment interventions on tolerance to chemotherapy in older people","type":"article-journal","volume":"112"},"uris":["http://www.mendeley.com/documents/?uuid=090ac7d2-21a4-4b44-9719-570b54852ba8"]}],"mendeley":{"formattedCitation":"&lt;sup&gt;2–5&lt;/sup&gt;","plainTextFormattedCitation":"2–5","previouslyFormattedCitation":"&lt;sup&gt;2–5&lt;/sup&gt;"},"properties":{"noteIndex":0},"schema":"https://github.com/citation-style-language/schema/raw/master/csl-citation.json"}</w:instrText>
      </w:r>
      <w:r w:rsidR="009561B5">
        <w:rPr>
          <w:rFonts w:cs="Arial"/>
          <w:lang w:val="en-US"/>
        </w:rPr>
        <w:fldChar w:fldCharType="separate"/>
      </w:r>
      <w:r w:rsidR="009561B5" w:rsidRPr="009561B5">
        <w:rPr>
          <w:rFonts w:cs="Arial"/>
          <w:noProof/>
          <w:vertAlign w:val="superscript"/>
          <w:lang w:val="en-US"/>
        </w:rPr>
        <w:t>2–5</w:t>
      </w:r>
      <w:r w:rsidR="009561B5">
        <w:rPr>
          <w:rFonts w:cs="Arial"/>
          <w:lang w:val="en-US"/>
        </w:rPr>
        <w:fldChar w:fldCharType="end"/>
      </w:r>
      <w:r w:rsidR="008B333D" w:rsidRPr="00AF514B">
        <w:rPr>
          <w:rFonts w:cs="Arial"/>
          <w:lang w:val="en-US"/>
        </w:rPr>
        <w:t xml:space="preserve"> </w:t>
      </w:r>
    </w:p>
    <w:p w14:paraId="2DEA8780" w14:textId="7D8B75FC" w:rsidR="007F7E9C" w:rsidRPr="00BD3AAC" w:rsidRDefault="007F7E9C" w:rsidP="007E4BEC">
      <w:pPr>
        <w:spacing w:line="276" w:lineRule="auto"/>
        <w:rPr>
          <w:rFonts w:cs="Arial"/>
          <w:lang w:val="en-US"/>
        </w:rPr>
      </w:pPr>
      <w:r w:rsidRPr="00BD3AAC">
        <w:rPr>
          <w:rFonts w:cs="Arial"/>
          <w:lang w:val="en-US"/>
        </w:rPr>
        <w:t xml:space="preserve">However, more recently, two </w:t>
      </w:r>
      <w:r w:rsidR="003A5C9D" w:rsidRPr="00BD3AAC">
        <w:rPr>
          <w:rFonts w:cs="Arial"/>
          <w:lang w:val="en-US"/>
        </w:rPr>
        <w:t>novel</w:t>
      </w:r>
      <w:r w:rsidRPr="00BD3AAC">
        <w:rPr>
          <w:rFonts w:cs="Arial"/>
          <w:lang w:val="en-US"/>
        </w:rPr>
        <w:t xml:space="preserve"> concepts have been introduced in the field of geriatric</w:t>
      </w:r>
      <w:r w:rsidR="002F2505" w:rsidRPr="00BD3AAC">
        <w:rPr>
          <w:rFonts w:cs="Arial"/>
          <w:lang w:val="en-US"/>
        </w:rPr>
        <w:t>s</w:t>
      </w:r>
      <w:r w:rsidR="00AE44FC">
        <w:rPr>
          <w:rFonts w:cs="Arial"/>
          <w:lang w:val="en-US"/>
        </w:rPr>
        <w:t>, both aiming</w:t>
      </w:r>
      <w:r w:rsidR="002F2505" w:rsidRPr="00BD3AAC">
        <w:rPr>
          <w:rFonts w:cs="Arial"/>
          <w:lang w:val="en-US"/>
        </w:rPr>
        <w:t xml:space="preserve"> to capture the heterogenous ag</w:t>
      </w:r>
      <w:r w:rsidR="001377FB">
        <w:rPr>
          <w:rFonts w:cs="Arial"/>
          <w:lang w:val="en-US"/>
        </w:rPr>
        <w:t>e</w:t>
      </w:r>
      <w:r w:rsidR="002F2505" w:rsidRPr="00BD3AAC">
        <w:rPr>
          <w:rFonts w:cs="Arial"/>
          <w:lang w:val="en-US"/>
        </w:rPr>
        <w:t>ing process</w:t>
      </w:r>
      <w:r w:rsidR="00AE44FC">
        <w:rPr>
          <w:rFonts w:cs="Arial"/>
          <w:lang w:val="en-US"/>
        </w:rPr>
        <w:t>. T</w:t>
      </w:r>
      <w:r w:rsidR="002F2505" w:rsidRPr="00BD3AAC">
        <w:rPr>
          <w:rFonts w:cs="Arial"/>
          <w:lang w:val="en-US"/>
        </w:rPr>
        <w:t xml:space="preserve">he first is intrinsic capacity, which uses a community-based, holistic approach and is propagated by the </w:t>
      </w:r>
      <w:r w:rsidRPr="00BD3AAC">
        <w:rPr>
          <w:rFonts w:cs="Arial"/>
          <w:lang w:val="en-US"/>
        </w:rPr>
        <w:t>World Health Organization</w:t>
      </w:r>
      <w:r w:rsidR="00AF514B">
        <w:rPr>
          <w:rFonts w:cs="Arial"/>
          <w:lang w:val="en-US"/>
        </w:rPr>
        <w:t xml:space="preserve"> (WHO)</w:t>
      </w:r>
      <w:r w:rsidR="008B333D">
        <w:rPr>
          <w:rFonts w:cs="Arial"/>
          <w:lang w:val="en-US"/>
        </w:rPr>
        <w:t>;</w:t>
      </w:r>
      <w:r w:rsidR="008B333D">
        <w:rPr>
          <w:rFonts w:cs="Arial"/>
          <w:lang w:val="en-US"/>
        </w:rPr>
        <w:fldChar w:fldCharType="begin" w:fldLock="1"/>
      </w:r>
      <w:r w:rsidR="004F0494">
        <w:rPr>
          <w:rFonts w:cs="Arial"/>
          <w:lang w:val="en-US"/>
        </w:rPr>
        <w:instrText>ADDIN CSL_CITATION {"citationItems":[{"id":"ITEM-1","itemData":{"author":[{"dropping-particle":"","family":"Carvalho","given":"I. A.","non-dropping-particle":"","parse-names":false,"suffix":""},{"dropping-particle":"","family":"Martin","given":"F.","non-dropping-particle":"","parse-names":false,"suffix":""},{"dropping-particle":"","family":"Cesari","given":"M.","non-dropping-particle":"","parse-names":false,"suffix":""},{"dropping-particle":"","family":"Sumi","given":"Y.","non-dropping-particle":"","parse-names":false,"suffix":""},{"dropping-particle":"","family":"Thiyagarajan","given":"J. A.","non-dropping-particle":"","parse-names":false,"suffix":""},{"dropping-particle":"","family":"Beard","given":"J.","non-dropping-particle":"","parse-names":false,"suffix":""}],"id":"ITEM-1","issued":{"date-parts":[["2017"]]},"title":"Operationalising the concept of intrinsic capacity in clinical settings","type":"article-journal"},"uris":["http://www.mendeley.com/documents/?uuid=29c46551-58bc-349f-ad8d-e65967d8879a"]}],"mendeley":{"formattedCitation":"&lt;sup&gt;6&lt;/sup&gt;","plainTextFormattedCitation":"6","previouslyFormattedCitation":"&lt;sup&gt;6&lt;/sup&gt;"},"properties":{"noteIndex":0},"schema":"https://github.com/citation-style-language/schema/raw/master/csl-citation.json"}</w:instrText>
      </w:r>
      <w:r w:rsidR="008B333D">
        <w:rPr>
          <w:rFonts w:cs="Arial"/>
          <w:lang w:val="en-US"/>
        </w:rPr>
        <w:fldChar w:fldCharType="separate"/>
      </w:r>
      <w:r w:rsidR="004F0494" w:rsidRPr="004F0494">
        <w:rPr>
          <w:rFonts w:cs="Arial"/>
          <w:noProof/>
          <w:vertAlign w:val="superscript"/>
          <w:lang w:val="en-US"/>
        </w:rPr>
        <w:t>6</w:t>
      </w:r>
      <w:r w:rsidR="008B333D">
        <w:rPr>
          <w:rFonts w:cs="Arial"/>
          <w:lang w:val="en-US"/>
        </w:rPr>
        <w:fldChar w:fldCharType="end"/>
      </w:r>
      <w:r w:rsidR="00AF514B">
        <w:rPr>
          <w:rFonts w:cs="Arial"/>
          <w:lang w:val="en-US"/>
        </w:rPr>
        <w:t xml:space="preserve"> </w:t>
      </w:r>
      <w:r w:rsidR="002F2505" w:rsidRPr="00BD3AAC">
        <w:rPr>
          <w:rFonts w:cs="Arial"/>
          <w:lang w:val="en-US"/>
        </w:rPr>
        <w:t xml:space="preserve">and the second is </w:t>
      </w:r>
      <w:r w:rsidR="00C87D3E" w:rsidRPr="00BD3AAC">
        <w:rPr>
          <w:rFonts w:cs="Arial"/>
          <w:lang w:val="en-US"/>
        </w:rPr>
        <w:t>resilience</w:t>
      </w:r>
      <w:r w:rsidR="001377FB">
        <w:rPr>
          <w:rFonts w:cs="Arial"/>
          <w:lang w:val="en-US"/>
        </w:rPr>
        <w:t>,</w:t>
      </w:r>
      <w:r w:rsidR="002F2505" w:rsidRPr="00BD3AAC">
        <w:rPr>
          <w:rFonts w:cs="Arial"/>
          <w:lang w:val="en-US"/>
        </w:rPr>
        <w:t xml:space="preserve"> which provides a more dynamic </w:t>
      </w:r>
      <w:r w:rsidR="00206E71" w:rsidRPr="00BD3AAC">
        <w:rPr>
          <w:rFonts w:cs="Arial"/>
          <w:lang w:val="en-US"/>
        </w:rPr>
        <w:t xml:space="preserve">perspective on </w:t>
      </w:r>
      <w:r w:rsidR="001377FB">
        <w:rPr>
          <w:rFonts w:cs="Arial"/>
          <w:lang w:val="en-US"/>
        </w:rPr>
        <w:t xml:space="preserve">the individual’s </w:t>
      </w:r>
      <w:r w:rsidR="00206E71" w:rsidRPr="00BD3AAC">
        <w:rPr>
          <w:rFonts w:cs="Arial"/>
          <w:lang w:val="en-US"/>
        </w:rPr>
        <w:t>reserves, injury and recovery</w:t>
      </w:r>
      <w:r w:rsidR="00C87D3E" w:rsidRPr="00BD3AAC">
        <w:rPr>
          <w:rFonts w:cs="Arial"/>
          <w:lang w:val="en-US"/>
        </w:rPr>
        <w:t>.</w:t>
      </w:r>
      <w:r w:rsidR="00BC219F">
        <w:rPr>
          <w:rFonts w:cs="Arial"/>
          <w:lang w:val="en-US"/>
        </w:rPr>
        <w:fldChar w:fldCharType="begin" w:fldLock="1"/>
      </w:r>
      <w:r w:rsidR="00BC219F">
        <w:rPr>
          <w:rFonts w:cs="Arial"/>
          <w:lang w:val="en-US"/>
        </w:rPr>
        <w:instrText>ADDIN CSL_CITATION {"citationItems":[{"id":"ITEM-1","itemData":{"DOI":"10.1001/jamaoncol.2021.4158","ISSN":"2374-2445","abstract":"Importance: Although geriatric assessment-driven intervention improves patient-centered outcomes, its influence on chemotherapy-related toxic effects remains unknown. Objective: To assess whether specific geriatric assessment-driven intervention (GAIN) can reduce chemotherapy-related toxic effects in older adults with cancer. Design, Setting, and Participants: A randomized clinical trial enrolled 613 participants from a National Cancer Institute-designated cancer center between 2015 and 2019. Patients were 65 years and older with a solid malignant neoplasm, were starting a new chemotherapy regimen, and completed a geriatric assessment. Patients were followed up until chemotherapy completion or 6 months after initiation, whichever occurred first. Data analysis was done by intention-to-treat principle. Interventions: Patients were randomized (2:1) to either the GAIN (intervention) or standard of care (SOC) arm. In the GAIN arm, a geriatrics-trained multidisciplinary team composed of an oncologist, nurse practitioner, social worker, physical/occupation therapist, nutritionist, and pharmacist reviewed geriatric assessment results and implemented interventions based on prespecified thresholds built into the geriatric assessment's domains. In the SOC arm, geriatric assessment results were sent to treating oncologists for consideration. Main Outcomes and Measures: The primary outcome was incidence of grade 3 or higher chemotherapy-related toxic effects (graded using National Cancer Institute Common Terminology Criteria for Adverse Events, version 4.0). Secondary outcomes included advance directive completion, emergency department visits, unplanned hospitalizations, average length of stay, unplanned hospital readmissions, chemotherapy dose modifications, and early discontinuation. Overall survival analysis was performed up to 12 months after chemotherapy initiation. Results: Among the 605 eligible participants for analysis, median (range) age was 71 (65-91) years, 357 (59.0%) were women, and 432 (71.4%) had stage IV disease. Cancer types included gastrointestinal (202 [33.4%]), breast (136 [22.5%]), lung (97 [16.0%]), genitourinary (91 [15.0%]), gynecologic (54 [8.9%]), and other (25 [4.1%]). Incidence of grade 3 or higher chemotherapy-related toxic effects was 50.5% (95% CI, 45.6% to 55.4%) in the GAIN arm and 60.6% (95% CI, 53.9% to 67.3%) in the SOC arm, resulting in a significant 10.1% reduction (95% CI, -1.5 to -18.2%; P =.02). A significant absolute incre…","author":[{"dropping-particle":"","family":"Li","given":"D","non-dropping-particle":"","parse-names":false,"suffix":""},{"dropping-particle":"","family":"Sun","given":"C.-L.","non-dropping-particle":"","parse-names":false,"suffix":""},{"dropping-particle":"","family":"Kim","given":"H","non-dropping-particle":"","parse-names":false,"suffix":""},{"dropping-particle":"","family":"Soto-Perez-De-Celis","given":"E","non-dropping-particle":"","parse-names":false,"suffix":""},{"dropping-particle":"","family":"Chung","given":"V","non-dropping-particle":"","parse-names":false,"suffix":""},{"dropping-particle":"","family":"Koczywas","given":"M","non-dropping-particle":"","parse-names":false,"suffix":""},{"dropping-particle":"","family":"Fakih","given":"M","non-dropping-particle":"","parse-names":false,"suffix":""},{"dropping-particle":"","family":"Chao","given":"J","non-dropping-particle":"","parse-names":false,"suffix":""},{"dropping-particle":"","family":"Cabrera Chien","given":"L","non-dropping-particle":"","parse-names":false,"suffix":""},{"dropping-particle":"","family":"Charles","given":"K","non-dropping-particle":"","parse-names":false,"suffix":""},{"dropping-particle":"","family":"Hughes","given":"S.F.D.S.","non-dropping-particle":"","parse-names":false,"suffix":""},{"dropping-particle":"","family":"Katheria","given":"V","non-dropping-particle":"","parse-names":false,"suffix":""},{"dropping-particle":"","family":"Trent","given":"M","non-dropping-particle":"","parse-names":false,"suffix":""},{"dropping-particle":"","family":"Roberts","given":"E","non-dropping-particle":"","parse-names":false,"suffix":""},{"dropping-particle":"","family":"Jayani","given":"R","non-dropping-particle":"","parse-names":false,"suffix":""},{"dropping-particle":"","family":"Moreno","given":"J","non-dropping-particle":"","parse-names":false,"suffix":""},{"dropping-particle":"","family":"Kelly","given":"C","non-dropping-particle":"","parse-names":false,"suffix":""},{"dropping-particle":"","family":"Sedrak","given":"M S","non-dropping-particle":"","parse-names":false,"suffix":""},{"dropping-particle":"","family":"Dale","given":"W","non-dropping-particle":"","parse-names":false,"suffix":""}],"container-title":"JAMA Oncology","id":"ITEM-1","issued":{"date-parts":[["2021"]]},"language":"English","title":"Geriatric Assessment-Driven Intervention (GAIN) on Chemotherapy-Related Toxic Effects in Older Adults with Cancer: A Randomized Clinical Trial","type":"article-journal"},"uris":["http://www.mendeley.com/documents/?uuid=efe35424-2ca2-39b5-9994-9d972bd621cb"]},{"id":"ITEM-2","itemData":{"DOI":"10.1093/GERONA/GLV202","ISSN":"1758-535X","PMID":"26718984","abstract":"Background. Resilience has been described in the psychosocial literature as the capacity to maintain or regain well-being during or after adversity. Physical resilience is a newer concept that is highly relevant to successful aging. Our objective was to characterize the emerging construct of resilience as it pertains to physical health in older adults, and to identify gaps and opportunities to advance research in this area. Methods. We conducted a systematic review to identify English language papers published through January 2015 that apply the term \"resilience\" in relation to physical health in older adults. We applied a modified framework analysis to characterize themes in implicit or explicit definitions of physical resilience. Results. Of 1,078 abstracts identified, 49 articles met criteria for inclusion. Sixteen were letters or concept papers, and only one was an intervention study. Definitions of physical resilience spanned cellular to whole-person levels, incorporated many outcome measures, and represented three conceptual themes: resilience as a trait, trajectory, or characteristic/capacity. Conclusions. Current biomedical literature lacks consensus on how to define and measure physical resilience. We propose a working definition of physical resilience at the whole person level: A characteristic which determines one's ability to resist or recover from functional decline following health stressor(s). We present a conceptual framework that encompasses the related construct of physiologic reserve. We discuss gaps and opportunities in measurement, interactions across contributors to physical resilience, and points of intervention.","author":[{"dropping-particle":"","family":"Whitson","given":"Heather E.","non-dropping-particle":"","parse-names":false,"suffix":""},{"dropping-particle":"","family":"Duan-Porter","given":"Wei","non-dropping-particle":"","parse-names":false,"suffix":""},{"dropping-particle":"","family":"Schmader","given":"Kenneth E.","non-dropping-particle":"","parse-names":false,"suffix":""},{"dropping-particle":"","family":"Morey","given":"Miriam C.","non-dropping-particle":"","parse-names":false,"suffix":""},{"dropping-particle":"","family":"Cohen","given":"Harvey J.","non-dropping-particle":"","parse-names":false,"suffix":""},{"dropping-particle":"","family":"Colón-Emeric","given":"Cathleen S.","non-dropping-particle":"","parse-names":false,"suffix":""}],"container-title":"The journals of gerontology. Series A, Biological sciences and medical sciences","id":"ITEM-2","issue":"4","issued":{"date-parts":[["2016","4","1"]]},"page":"489-495","publisher":"J Gerontol A Biol Sci Med Sci","title":"Physical Resilience in Older Adults: Systematic Review and Development of an Emerging Construct","type":"article-journal","volume":"71"},"uris":["http://www.mendeley.com/documents/?uuid=252c3695-0ba8-3535-8e9b-5a8560d846b6"]},{"id":"ITEM-3","itemData":{"DOI":"10.1111/JGS.15233","ISSN":"1532-5415","PMID":"29577234","author":[{"dropping-particle":"","family":"Whitson","given":"Heather E.","non-dropping-particle":"","parse-names":false,"suffix":""},{"dropping-particle":"","family":"Cohen","given":"Harvey J.","non-dropping-particle":"","parse-names":false,"suffix":""},{"dropping-particle":"","family":"Schmader","given":"Kenneth E.","non-dropping-particle":"","parse-names":false,"suffix":""},{"dropping-particle":"","family":"Morey","given":"Miriam C.","non-dropping-particle":"","parse-names":false,"suffix":""},{"dropping-particle":"","family":"Kuchel","given":"George","non-dropping-particle":"","parse-names":false,"suffix":""},{"dropping-particle":"","family":"Colon-Emeric","given":"Cathleen S.","non-dropping-particle":"","parse-names":false,"suffix":""}],"container-title":"Journal of the American Geriatrics Society","id":"ITEM-3","issue":"8","issued":{"date-parts":[["2018","8","1"]]},"page":"1459-1461","publisher":"J Am Geriatr Soc","title":"Physical Resilience: Not Simply the Opposite of Frailty","type":"article-journal","volume":"66"},"uris":["http://www.mendeley.com/documents/?uuid=4713a784-e379-3cdd-8e4a-af537abeecbe"]},{"id":"ITEM-4","itemData":{"author":[{"dropping-particle":"","family":"Witham","given":"MD","non-dropping-particle":"","parse-names":false,"suffix":""},{"dropping-particle":"","family":"Sayer","given":"AA","non-dropping-particle":"","parse-names":false,"suffix":""}],"container-title":"European Geriatric Medicine","id":"ITEM-4","issued":{"date-parts":[["2015"]]},"page":"101-102","title":"Biological resilience in older people - a step beyong frailty?","type":"article-journal","volume":"6"},"uris":["http://www.mendeley.com/documents/?uuid=b22d9582-8c6f-3203-8b63-158e2214c102"]},{"id":"ITEM-5","itemData":{"author":[{"dropping-particle":"","family":"Rockwood","given":"K","non-dropping-particle":"","parse-names":false,"suffix":""},{"dropping-particle":"","family":"Mitnitski A","given":"","non-dropping-particle":"","parse-names":false,"suffix":""}],"container-title":"European Geriatric Medicine","id":"ITEM-5","issued":{"date-parts":[["2015"]]},"page":"405-507","title":"Resilience and frailty: furter steps, best taken together","type":"article-journal","volume":"6"},"uris":["http://www.mendeley.com/documents/?uuid=928afd38-c5c6-3268-8a94-9592c8ff5c38"]},{"id":"ITEM-6","itemData":{"DOI":"10.1016/J.MEHY.2010.11.028","ISSN":"1532-2777","PMID":"21185129","author":[{"dropping-particle":"","family":"Alfieri","given":"Walter","non-dropping-particle":"De","parse-names":false,"suffix":""},{"dropping-particle":"","family":"Costanzo","given":"Sergio","non-dropping-particle":"","parse-names":false,"suffix":""},{"dropping-particle":"","family":"Borgogni","given":"Tiziano","non-dropping-particle":"","parse-names":false,"suffix":""}],"container-title":"Medical hypotheses","id":"ITEM-6","issue":"2","issued":{"date-parts":[["2011","2"]]},"page":"304-305","publisher":"Med Hypotheses","title":"Biological resilience of older adults versus frailty","type":"article-journal","volume":"76"},"uris":["http://www.mendeley.com/documents/?uuid=98749f65-08ef-3924-ba78-02b16eb1a701"]}],"mendeley":{"formattedCitation":"&lt;sup&gt;2,7–11&lt;/sup&gt;","manualFormatting":"7–11","plainTextFormattedCitation":"2,7–11","previouslyFormattedCitation":"&lt;sup&gt;2,7–11&lt;/sup&gt;"},"properties":{"noteIndex":0},"schema":"https://github.com/citation-style-language/schema/raw/master/csl-citation.json"}</w:instrText>
      </w:r>
      <w:r w:rsidR="00BC219F">
        <w:rPr>
          <w:rFonts w:cs="Arial"/>
          <w:lang w:val="en-US"/>
        </w:rPr>
        <w:fldChar w:fldCharType="separate"/>
      </w:r>
      <w:r w:rsidR="00BC219F" w:rsidRPr="00BC219F">
        <w:rPr>
          <w:rFonts w:cs="Arial"/>
          <w:noProof/>
          <w:vertAlign w:val="superscript"/>
          <w:lang w:val="en-US"/>
        </w:rPr>
        <w:t>7–11</w:t>
      </w:r>
      <w:r w:rsidR="00BC219F">
        <w:rPr>
          <w:rFonts w:cs="Arial"/>
          <w:lang w:val="en-US"/>
        </w:rPr>
        <w:fldChar w:fldCharType="end"/>
      </w:r>
      <w:r w:rsidR="00C87D3E" w:rsidRPr="00BD3AAC">
        <w:rPr>
          <w:rFonts w:cs="Arial"/>
          <w:lang w:val="en-US"/>
        </w:rPr>
        <w:t xml:space="preserve"> </w:t>
      </w:r>
      <w:r w:rsidR="007A1147" w:rsidRPr="00BD3AAC">
        <w:rPr>
          <w:rFonts w:cs="Arial"/>
          <w:lang w:val="en-US"/>
        </w:rPr>
        <w:t xml:space="preserve">While both concepts are linked to frailty, </w:t>
      </w:r>
      <w:r w:rsidR="007A1147" w:rsidRPr="003B17B1">
        <w:rPr>
          <w:rFonts w:cs="Arial"/>
          <w:lang w:val="en-US"/>
        </w:rPr>
        <w:t>with all three focusing on reserves in relation to ageing, each approaches th</w:t>
      </w:r>
      <w:r w:rsidR="001377FB">
        <w:rPr>
          <w:rFonts w:cs="Arial"/>
          <w:lang w:val="en-US"/>
        </w:rPr>
        <w:t>e</w:t>
      </w:r>
      <w:r w:rsidR="007A1147" w:rsidRPr="003B17B1">
        <w:rPr>
          <w:rFonts w:cs="Arial"/>
          <w:lang w:val="en-US"/>
        </w:rPr>
        <w:t xml:space="preserve"> issue from a different </w:t>
      </w:r>
      <w:r w:rsidR="00AF514B">
        <w:rPr>
          <w:rFonts w:cs="Arial"/>
          <w:lang w:val="en-US"/>
        </w:rPr>
        <w:t>point of view</w:t>
      </w:r>
      <w:r w:rsidR="007A1147" w:rsidRPr="003B17B1">
        <w:rPr>
          <w:rFonts w:cs="Arial"/>
          <w:lang w:val="en-US"/>
        </w:rPr>
        <w:t xml:space="preserve">. In this </w:t>
      </w:r>
      <w:r w:rsidR="00673013" w:rsidRPr="003B17B1">
        <w:rPr>
          <w:rFonts w:cs="Arial"/>
          <w:lang w:val="en-US"/>
        </w:rPr>
        <w:t>paper</w:t>
      </w:r>
      <w:r w:rsidR="007A1147" w:rsidRPr="003B17B1">
        <w:rPr>
          <w:rFonts w:cs="Arial"/>
          <w:lang w:val="en-US"/>
        </w:rPr>
        <w:t xml:space="preserve">, we will </w:t>
      </w:r>
      <w:r w:rsidR="00673013" w:rsidRPr="003B17B1">
        <w:rPr>
          <w:rFonts w:cs="Arial"/>
          <w:lang w:val="en-US"/>
        </w:rPr>
        <w:t>compare and contrast</w:t>
      </w:r>
      <w:r w:rsidR="00C87D3E" w:rsidRPr="00BD3AAC">
        <w:rPr>
          <w:rFonts w:cs="Arial"/>
          <w:lang w:val="en-US"/>
        </w:rPr>
        <w:t xml:space="preserve"> </w:t>
      </w:r>
      <w:r w:rsidR="00673013" w:rsidRPr="00BD3AAC">
        <w:rPr>
          <w:rFonts w:cs="Arial"/>
          <w:lang w:val="en-US"/>
        </w:rPr>
        <w:t>these</w:t>
      </w:r>
      <w:r w:rsidR="00C87D3E" w:rsidRPr="00BD3AAC">
        <w:rPr>
          <w:rFonts w:cs="Arial"/>
          <w:lang w:val="en-US"/>
        </w:rPr>
        <w:t xml:space="preserve"> three concepts </w:t>
      </w:r>
      <w:r w:rsidR="007A1147" w:rsidRPr="00BD3AAC">
        <w:rPr>
          <w:rFonts w:cs="Arial"/>
          <w:lang w:val="en-US"/>
        </w:rPr>
        <w:t xml:space="preserve">– frailty, intrinsic capacity and resilience – and assess their relevance to future geriatric oncology research as well as daily clinical practice. </w:t>
      </w:r>
      <w:r w:rsidR="007527BB" w:rsidRPr="00BD3AAC">
        <w:rPr>
          <w:rFonts w:cs="Arial"/>
          <w:lang w:val="en-US"/>
        </w:rPr>
        <w:t xml:space="preserve"> </w:t>
      </w:r>
    </w:p>
    <w:p w14:paraId="195D08DA" w14:textId="77777777" w:rsidR="007F7E9C" w:rsidRPr="00BD3AAC" w:rsidRDefault="007F7E9C" w:rsidP="007E4BEC">
      <w:pPr>
        <w:spacing w:line="276" w:lineRule="auto"/>
        <w:rPr>
          <w:rFonts w:cs="Arial"/>
          <w:lang w:val="en-US"/>
        </w:rPr>
      </w:pPr>
    </w:p>
    <w:p w14:paraId="21295463" w14:textId="77777777" w:rsidR="005A65B8" w:rsidRPr="00BD3AAC" w:rsidRDefault="005A65B8" w:rsidP="007E4BEC">
      <w:pPr>
        <w:spacing w:line="276" w:lineRule="auto"/>
        <w:rPr>
          <w:b/>
          <w:bCs/>
          <w:lang w:val="en-US"/>
        </w:rPr>
      </w:pPr>
      <w:r w:rsidRPr="00BD3AAC">
        <w:rPr>
          <w:b/>
          <w:bCs/>
          <w:lang w:val="en-US"/>
        </w:rPr>
        <w:t>Intrinsic capacity</w:t>
      </w:r>
    </w:p>
    <w:p w14:paraId="49970E7D" w14:textId="4EA0442C" w:rsidR="003972D8" w:rsidRPr="00BD3AAC" w:rsidRDefault="001D0116" w:rsidP="007E4BEC">
      <w:pPr>
        <w:spacing w:line="276" w:lineRule="auto"/>
        <w:rPr>
          <w:lang w:val="en-US"/>
        </w:rPr>
      </w:pPr>
      <w:r w:rsidRPr="00BD3AAC">
        <w:rPr>
          <w:lang w:val="en-US"/>
        </w:rPr>
        <w:t xml:space="preserve">The </w:t>
      </w:r>
      <w:r w:rsidR="00AF514B">
        <w:rPr>
          <w:lang w:val="en-US"/>
        </w:rPr>
        <w:t>WHO</w:t>
      </w:r>
      <w:r w:rsidRPr="00BD3AAC">
        <w:rPr>
          <w:lang w:val="en-US"/>
        </w:rPr>
        <w:t xml:space="preserve"> introduced the holistic concept of intrinsic capacity as a way of monitoring ageing and functional ability over time. </w:t>
      </w:r>
      <w:r w:rsidR="003972D8">
        <w:rPr>
          <w:lang w:val="en-US"/>
        </w:rPr>
        <w:t>I</w:t>
      </w:r>
      <w:r w:rsidR="003B17B1">
        <w:rPr>
          <w:lang w:val="en-US"/>
        </w:rPr>
        <w:t>ntrinsic capacity</w:t>
      </w:r>
      <w:r w:rsidR="003972D8">
        <w:rPr>
          <w:lang w:val="en-US"/>
        </w:rPr>
        <w:t xml:space="preserve"> </w:t>
      </w:r>
      <w:r w:rsidR="001377FB">
        <w:rPr>
          <w:lang w:val="en-US"/>
        </w:rPr>
        <w:t>is</w:t>
      </w:r>
      <w:r w:rsidR="003972D8" w:rsidRPr="00BD3AAC">
        <w:rPr>
          <w:lang w:val="en-US"/>
        </w:rPr>
        <w:t xml:space="preserve"> defined as the composite of all the physical and mental capacities that individuals can draw</w:t>
      </w:r>
      <w:r w:rsidR="00426607">
        <w:rPr>
          <w:lang w:val="en-US"/>
        </w:rPr>
        <w:t xml:space="preserve"> on</w:t>
      </w:r>
      <w:r w:rsidR="003972D8" w:rsidRPr="00BD3AAC">
        <w:rPr>
          <w:lang w:val="en-US"/>
        </w:rPr>
        <w:t xml:space="preserve"> at any point in their life. It is a dynamic construct: lifestyle, injuries, </w:t>
      </w:r>
      <w:r w:rsidR="00E25943">
        <w:rPr>
          <w:lang w:val="en-US"/>
        </w:rPr>
        <w:t xml:space="preserve">and </w:t>
      </w:r>
      <w:r w:rsidR="003972D8" w:rsidRPr="00BD3AAC">
        <w:rPr>
          <w:lang w:val="en-US"/>
        </w:rPr>
        <w:t>events</w:t>
      </w:r>
      <w:r w:rsidR="00426607">
        <w:rPr>
          <w:lang w:val="en-US"/>
        </w:rPr>
        <w:t xml:space="preserve"> </w:t>
      </w:r>
      <w:r w:rsidR="00426607" w:rsidRPr="00BD3AAC">
        <w:rPr>
          <w:lang w:val="en-US"/>
        </w:rPr>
        <w:t>at different points across the life course</w:t>
      </w:r>
      <w:r w:rsidR="003972D8" w:rsidRPr="00BD3AAC">
        <w:rPr>
          <w:lang w:val="en-US"/>
        </w:rPr>
        <w:t xml:space="preserve"> will have a significant impact on the intrinsic capacity trajectory</w:t>
      </w:r>
      <w:r w:rsidR="00426607">
        <w:rPr>
          <w:lang w:val="en-US"/>
        </w:rPr>
        <w:t xml:space="preserve">, as will </w:t>
      </w:r>
      <w:r w:rsidR="00426607" w:rsidRPr="00BD3AAC">
        <w:rPr>
          <w:lang w:val="en-US"/>
        </w:rPr>
        <w:t>health</w:t>
      </w:r>
      <w:r w:rsidR="00426607">
        <w:rPr>
          <w:lang w:val="en-US"/>
        </w:rPr>
        <w:t>-related</w:t>
      </w:r>
      <w:r w:rsidR="00426607" w:rsidRPr="00BD3AAC">
        <w:rPr>
          <w:lang w:val="en-US"/>
        </w:rPr>
        <w:t xml:space="preserve"> or social interventions</w:t>
      </w:r>
      <w:r w:rsidR="003972D8" w:rsidRPr="00BD3AAC">
        <w:rPr>
          <w:lang w:val="en-US"/>
        </w:rPr>
        <w:t>.</w:t>
      </w:r>
      <w:r w:rsidR="003270FF">
        <w:rPr>
          <w:lang w:val="en-US"/>
        </w:rPr>
        <w:fldChar w:fldCharType="begin" w:fldLock="1"/>
      </w:r>
      <w:r w:rsidR="003270FF">
        <w:rPr>
          <w:lang w:val="en-US"/>
        </w:rPr>
        <w:instrText>ADDIN CSL_CITATION {"citationItems":[{"id":"ITEM-1","itemData":{"DOI":"10.3389/FMED.2019.00133","ISSN":"2296-858X","PMID":"31275941","abstract":"Frailty is a clinical condition characterized by the individual's increased vulnerability to endogenous and exogenous stressors. It is determined by the reduction of homeostatic capacities of the organism and responsible for a marked risk of adverse health outcomes (including functional loss and mortality). Frailty originates from the geriatric background and may pave the way toward a model of care centered on the person, deviating from the traditional and obsolete disease-focused approach. Unfortunately, many controversies have affected the field of frailty over the years and ambiguities have been growing. In particular, the common use of frailty as condition to “exclude” from interventions is a worrisome trend. In fact, the detection of frailty should instead represent the entry point for a more in-depth analysis with the aim of identifying the causes of individual's increased vulnerability and implementing a person-tailored intervention plan. With the aim of promoting a more comprehensive and appropriate assessment of the aging population, the World Health Organization introduced the concept of intrinsic capacity (IC), defined as the composite of all physical and mental capacities that an individual can draw upon during his/her life. Frailty and IC are two constructs stemming from the same need of overcoming traditional medical paradigms that negatively impact on the correct way clinical and research practice should be conducted in older persons. In this article, we describe the similarities and differences between the two constructs, highlighting how geriatric medicine contributed to their development and will be crucial for their further integration in future healthcare models.","author":[{"dropping-particle":"","family":"Belloni","given":"Giulia","non-dropping-particle":"","parse-names":false,"suffix":""},{"dropping-particle":"","family":"Cesari","given":"Matteo","non-dropping-particle":"","parse-names":false,"suffix":""}],"container-title":"Frontiers in medicine","id":"ITEM-1","issued":{"date-parts":[["2019","6","18"]]},"publisher":"Front Med (Lausanne)","title":"Frailty and Intrinsic Capacity: Two Distinct but Related Constructs","type":"article-journal","volume":"6"},"uris":["http://www.mendeley.com/documents/?uuid=ba62d1e8-53d7-3b01-9995-a132617f0e94"]}],"mendeley":{"formattedCitation":"&lt;sup&gt;12&lt;/sup&gt;","plainTextFormattedCitation":"12","previouslyFormattedCitation":"&lt;sup&gt;12&lt;/sup&gt;"},"properties":{"noteIndex":0},"schema":"https://github.com/citation-style-language/schema/raw/master/csl-citation.json"}</w:instrText>
      </w:r>
      <w:r w:rsidR="003270FF">
        <w:rPr>
          <w:lang w:val="en-US"/>
        </w:rPr>
        <w:fldChar w:fldCharType="separate"/>
      </w:r>
      <w:r w:rsidR="003270FF" w:rsidRPr="004F0494">
        <w:rPr>
          <w:noProof/>
          <w:vertAlign w:val="superscript"/>
          <w:lang w:val="en-US"/>
        </w:rPr>
        <w:t>12</w:t>
      </w:r>
      <w:r w:rsidR="003270FF">
        <w:rPr>
          <w:lang w:val="en-US"/>
        </w:rPr>
        <w:fldChar w:fldCharType="end"/>
      </w:r>
      <w:r w:rsidR="003972D8" w:rsidRPr="00BD3AAC">
        <w:rPr>
          <w:lang w:val="en-US"/>
        </w:rPr>
        <w:t xml:space="preserve"> While there is a general tendency for intrinsic capacity to decline from mid-adulthood onward,</w:t>
      </w:r>
      <w:r w:rsidR="008B333D">
        <w:rPr>
          <w:lang w:val="en-US"/>
        </w:rPr>
        <w:fldChar w:fldCharType="begin" w:fldLock="1"/>
      </w:r>
      <w:r w:rsidR="004F0494">
        <w:rPr>
          <w:lang w:val="en-US"/>
        </w:rPr>
        <w:instrText>ADDIN CSL_CITATION {"citationItems":[{"id":"ITEM-1","itemData":{"author":[{"dropping-particle":"","family":"Carvalho","given":"I. A.","non-dropping-particle":"","parse-names":false,"suffix":""},{"dropping-particle":"","family":"Martin","given":"F.","non-dropping-particle":"","parse-names":false,"suffix":""},{"dropping-particle":"","family":"Cesari","given":"M.","non-dropping-particle":"","parse-names":false,"suffix":""},{"dropping-particle":"","family":"Sumi","given":"Y.","non-dropping-particle":"","parse-names":false,"suffix":""},{"dropping-particle":"","family":"Thiyagarajan","given":"J. A.","non-dropping-particle":"","parse-names":false,"suffix":""},{"dropping-particle":"","family":"Beard","given":"J.","non-dropping-particle":"","parse-names":false,"suffix":""}],"id":"ITEM-1","issued":{"date-parts":[["2017"]]},"title":"Operationalising the concept of intrinsic capacity in clinical settings","type":"article-journal"},"uris":["http://www.mendeley.com/documents/?uuid=29c46551-58bc-349f-ad8d-e65967d8879a"]}],"mendeley":{"formattedCitation":"&lt;sup&gt;6&lt;/sup&gt;","plainTextFormattedCitation":"6","previouslyFormattedCitation":"&lt;sup&gt;6&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6</w:t>
      </w:r>
      <w:r w:rsidR="008B333D">
        <w:rPr>
          <w:lang w:val="en-US"/>
        </w:rPr>
        <w:fldChar w:fldCharType="end"/>
      </w:r>
      <w:r w:rsidR="003972D8" w:rsidRPr="00BD3AAC">
        <w:rPr>
          <w:lang w:val="en-US"/>
        </w:rPr>
        <w:t xml:space="preserve"> there </w:t>
      </w:r>
      <w:r w:rsidR="00E25943">
        <w:rPr>
          <w:lang w:val="en-US"/>
        </w:rPr>
        <w:t>may</w:t>
      </w:r>
      <w:r w:rsidR="00E25943" w:rsidRPr="00BD3AAC">
        <w:rPr>
          <w:lang w:val="en-US"/>
        </w:rPr>
        <w:t xml:space="preserve"> </w:t>
      </w:r>
      <w:r w:rsidR="003972D8" w:rsidRPr="00BD3AAC">
        <w:rPr>
          <w:lang w:val="en-US"/>
        </w:rPr>
        <w:t>be significant variation between individuals. Furthermore, intrinsic capacity may wax and wane as an individual experiences various setbacks and potential recoveries in their life course (Figure</w:t>
      </w:r>
      <w:r w:rsidR="0059181A">
        <w:rPr>
          <w:lang w:val="en-US"/>
        </w:rPr>
        <w:t xml:space="preserve"> 1</w:t>
      </w:r>
      <w:r w:rsidR="003972D8" w:rsidRPr="00BD3AAC">
        <w:rPr>
          <w:lang w:val="en-US"/>
        </w:rPr>
        <w:t xml:space="preserve">). </w:t>
      </w:r>
    </w:p>
    <w:p w14:paraId="4313B7EA" w14:textId="5A9A2284" w:rsidR="00BD3AAC" w:rsidRPr="00BD3AAC" w:rsidRDefault="005A65B8" w:rsidP="007E4BEC">
      <w:pPr>
        <w:spacing w:line="276" w:lineRule="auto"/>
        <w:rPr>
          <w:lang w:val="en-US"/>
        </w:rPr>
      </w:pPr>
      <w:r w:rsidRPr="00BD3AAC">
        <w:rPr>
          <w:lang w:val="en-US"/>
        </w:rPr>
        <w:t xml:space="preserve">Common problems of older age, such as difficulties with hearing, seeing, remembering, moving or performing daily or social activities, may </w:t>
      </w:r>
      <w:r w:rsidR="001377FB" w:rsidRPr="00BD3AAC">
        <w:rPr>
          <w:lang w:val="en-US"/>
        </w:rPr>
        <w:t>affect</w:t>
      </w:r>
      <w:r w:rsidRPr="00BD3AAC">
        <w:rPr>
          <w:lang w:val="en-US"/>
        </w:rPr>
        <w:t xml:space="preserve"> functional ability</w:t>
      </w:r>
      <w:r w:rsidR="0059181A">
        <w:rPr>
          <w:lang w:val="en-US"/>
        </w:rPr>
        <w:t>.</w:t>
      </w:r>
      <w:r w:rsidR="00426607">
        <w:rPr>
          <w:lang w:val="en-US"/>
        </w:rPr>
        <w:t xml:space="preserve"> However, h</w:t>
      </w:r>
      <w:r w:rsidRPr="00BD3AAC">
        <w:rPr>
          <w:lang w:val="en-US"/>
        </w:rPr>
        <w:t xml:space="preserve">ealth care professionals are often not aware of </w:t>
      </w:r>
      <w:r w:rsidR="001D0116" w:rsidRPr="00BD3AAC">
        <w:rPr>
          <w:lang w:val="en-US"/>
        </w:rPr>
        <w:t>such</w:t>
      </w:r>
      <w:r w:rsidRPr="00BD3AAC">
        <w:rPr>
          <w:lang w:val="en-US"/>
        </w:rPr>
        <w:t xml:space="preserve"> problem</w:t>
      </w:r>
      <w:r w:rsidR="001D0116" w:rsidRPr="00BD3AAC">
        <w:rPr>
          <w:lang w:val="en-US"/>
        </w:rPr>
        <w:t>s</w:t>
      </w:r>
      <w:r w:rsidRPr="00BD3AAC">
        <w:rPr>
          <w:lang w:val="en-US"/>
        </w:rPr>
        <w:t xml:space="preserve"> until </w:t>
      </w:r>
      <w:r w:rsidR="001D0116" w:rsidRPr="00BD3AAC">
        <w:rPr>
          <w:lang w:val="en-US"/>
        </w:rPr>
        <w:t>they have</w:t>
      </w:r>
      <w:r w:rsidRPr="00BD3AAC">
        <w:rPr>
          <w:lang w:val="en-US"/>
        </w:rPr>
        <w:t xml:space="preserve"> progressed to the level of actual impairment or disease</w:t>
      </w:r>
      <w:r w:rsidR="003972D8">
        <w:rPr>
          <w:lang w:val="en-US"/>
        </w:rPr>
        <w:t>. It</w:t>
      </w:r>
      <w:r w:rsidRPr="00BD3AAC">
        <w:rPr>
          <w:lang w:val="en-US"/>
        </w:rPr>
        <w:t xml:space="preserve"> is believed that intervening in early, sub-clinical stages of decline may enable </w:t>
      </w:r>
      <w:r w:rsidR="000A3C48" w:rsidRPr="00BD3AAC">
        <w:rPr>
          <w:lang w:val="en-US"/>
        </w:rPr>
        <w:t>stabilization</w:t>
      </w:r>
      <w:r w:rsidRPr="00BD3AAC">
        <w:rPr>
          <w:lang w:val="en-US"/>
        </w:rPr>
        <w:t xml:space="preserve"> or even partial reversal of impairment</w:t>
      </w:r>
      <w:r w:rsidR="000A3C48" w:rsidRPr="00BD3AAC">
        <w:rPr>
          <w:lang w:val="en-US"/>
        </w:rPr>
        <w:t xml:space="preserve">. </w:t>
      </w:r>
      <w:r w:rsidR="00BD3AAC">
        <w:rPr>
          <w:lang w:val="en-US"/>
        </w:rPr>
        <w:t xml:space="preserve">Therefore, the WHO recommends </w:t>
      </w:r>
      <w:r w:rsidR="00BD3AAC" w:rsidRPr="00BD3AAC">
        <w:rPr>
          <w:lang w:val="en-US"/>
        </w:rPr>
        <w:t xml:space="preserve">longitudinal, community-based monitoring </w:t>
      </w:r>
      <w:r w:rsidR="00BD3AAC">
        <w:rPr>
          <w:lang w:val="en-US"/>
        </w:rPr>
        <w:t>of</w:t>
      </w:r>
      <w:r w:rsidR="003972D8">
        <w:rPr>
          <w:lang w:val="en-US"/>
        </w:rPr>
        <w:t xml:space="preserve"> the</w:t>
      </w:r>
      <w:r w:rsidR="00BD3AAC" w:rsidRPr="00BD3AAC">
        <w:rPr>
          <w:lang w:val="en-US"/>
        </w:rPr>
        <w:t xml:space="preserve"> intrinsic capacity trajectory over time</w:t>
      </w:r>
      <w:r w:rsidR="00BD3AAC">
        <w:rPr>
          <w:lang w:val="en-US"/>
        </w:rPr>
        <w:t xml:space="preserve">, with subsequent </w:t>
      </w:r>
      <w:r w:rsidR="00BD3AAC" w:rsidRPr="00BD3AAC">
        <w:rPr>
          <w:lang w:val="en-US"/>
        </w:rPr>
        <w:t xml:space="preserve">delivery of comprehensive care using multicomponent interventions </w:t>
      </w:r>
      <w:r w:rsidR="003270FF">
        <w:rPr>
          <w:lang w:val="en-US"/>
        </w:rPr>
        <w:t>aimed at</w:t>
      </w:r>
      <w:r w:rsidR="00BD3AAC" w:rsidRPr="00BD3AAC">
        <w:rPr>
          <w:lang w:val="en-US"/>
        </w:rPr>
        <w:t xml:space="preserve"> maintain</w:t>
      </w:r>
      <w:r w:rsidR="003270FF">
        <w:rPr>
          <w:lang w:val="en-US"/>
        </w:rPr>
        <w:t>ing</w:t>
      </w:r>
      <w:r w:rsidR="00BD3AAC" w:rsidRPr="00BD3AAC">
        <w:rPr>
          <w:lang w:val="en-US"/>
        </w:rPr>
        <w:t xml:space="preserve"> intrinsi</w:t>
      </w:r>
      <w:r w:rsidR="00BD3AAC">
        <w:rPr>
          <w:lang w:val="en-US"/>
        </w:rPr>
        <w:t>c capacity, manag</w:t>
      </w:r>
      <w:r w:rsidR="003270FF">
        <w:rPr>
          <w:lang w:val="en-US"/>
        </w:rPr>
        <w:t>ing</w:t>
      </w:r>
      <w:r w:rsidR="00BD3AAC" w:rsidRPr="00BD3AAC">
        <w:rPr>
          <w:lang w:val="en-US"/>
        </w:rPr>
        <w:t xml:space="preserve"> underlying diseases and address</w:t>
      </w:r>
      <w:r w:rsidR="003270FF">
        <w:rPr>
          <w:lang w:val="en-US"/>
        </w:rPr>
        <w:t>ing</w:t>
      </w:r>
      <w:r w:rsidR="00BD3AAC" w:rsidRPr="00BD3AAC">
        <w:rPr>
          <w:lang w:val="en-US"/>
        </w:rPr>
        <w:t xml:space="preserve"> long</w:t>
      </w:r>
      <w:r w:rsidR="003270FF">
        <w:rPr>
          <w:lang w:val="en-US"/>
        </w:rPr>
        <w:t>-</w:t>
      </w:r>
      <w:r w:rsidR="00BD3AAC" w:rsidRPr="00BD3AAC">
        <w:rPr>
          <w:lang w:val="en-US"/>
        </w:rPr>
        <w:t>term needs. Such comprehensive care is already</w:t>
      </w:r>
      <w:r w:rsidR="003972D8">
        <w:rPr>
          <w:lang w:val="en-US"/>
        </w:rPr>
        <w:t xml:space="preserve"> at</w:t>
      </w:r>
      <w:r w:rsidR="00BD3AAC" w:rsidRPr="00BD3AAC">
        <w:rPr>
          <w:lang w:val="en-US"/>
        </w:rPr>
        <w:t xml:space="preserve"> the core of geriatric medicine, but for promoting health</w:t>
      </w:r>
      <w:r w:rsidR="00EA6C2C">
        <w:rPr>
          <w:lang w:val="en-US"/>
        </w:rPr>
        <w:t>y</w:t>
      </w:r>
      <w:r w:rsidR="00BD3AAC" w:rsidRPr="00BD3AAC">
        <w:rPr>
          <w:lang w:val="en-US"/>
        </w:rPr>
        <w:t xml:space="preserve"> ageing, WHO recommends a much broader application within the community, in the stages and years before a person’s ageing has progressed to the level of </w:t>
      </w:r>
      <w:r w:rsidR="001377FB">
        <w:rPr>
          <w:lang w:val="en-US"/>
        </w:rPr>
        <w:t>needing geriatric care</w:t>
      </w:r>
      <w:r w:rsidR="00BD3AAC" w:rsidRPr="00BD3AAC">
        <w:rPr>
          <w:lang w:val="en-US"/>
        </w:rPr>
        <w:t>.</w:t>
      </w:r>
      <w:r w:rsidR="008B333D">
        <w:rPr>
          <w:lang w:val="en-US"/>
        </w:rPr>
        <w:fldChar w:fldCharType="begin" w:fldLock="1"/>
      </w:r>
      <w:r w:rsidR="004F0494">
        <w:rPr>
          <w:lang w:val="en-US"/>
        </w:rPr>
        <w:instrText>ADDIN CSL_CITATION {"citationItems":[{"id":"ITEM-1","itemData":{"author":[{"dropping-particle":"","family":"Carvalho","given":"I. A.","non-dropping-particle":"","parse-names":false,"suffix":""},{"dropping-particle":"","family":"Martin","given":"F.","non-dropping-particle":"","parse-names":false,"suffix":""},{"dropping-particle":"","family":"Cesari","given":"M.","non-dropping-particle":"","parse-names":false,"suffix":""},{"dropping-particle":"","family":"Sumi","given":"Y.","non-dropping-particle":"","parse-names":false,"suffix":""},{"dropping-particle":"","family":"Thiyagarajan","given":"J. A.","non-dropping-particle":"","parse-names":false,"suffix":""},{"dropping-particle":"","family":"Beard","given":"J.","non-dropping-particle":"","parse-names":false,"suffix":""}],"id":"ITEM-1","issued":{"date-parts":[["2017"]]},"title":"Operationalising the concept of intrinsic capacity in clinical settings","type":"article-journal"},"uris":["http://www.mendeley.com/documents/?uuid=29c46551-58bc-349f-ad8d-e65967d8879a"]}],"mendeley":{"formattedCitation":"&lt;sup&gt;6&lt;/sup&gt;","plainTextFormattedCitation":"6","previouslyFormattedCitation":"&lt;sup&gt;6&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6</w:t>
      </w:r>
      <w:r w:rsidR="008B333D">
        <w:rPr>
          <w:lang w:val="en-US"/>
        </w:rPr>
        <w:fldChar w:fldCharType="end"/>
      </w:r>
      <w:r w:rsidR="00BD3AAC" w:rsidRPr="00BD3AAC">
        <w:rPr>
          <w:lang w:val="en-US"/>
        </w:rPr>
        <w:t xml:space="preserve"> </w:t>
      </w:r>
    </w:p>
    <w:p w14:paraId="66835210" w14:textId="114A763F" w:rsidR="005A65B8" w:rsidRPr="00BD3AAC" w:rsidRDefault="005A65B8" w:rsidP="007E4BEC">
      <w:pPr>
        <w:spacing w:line="276" w:lineRule="auto"/>
        <w:rPr>
          <w:lang w:val="en-US"/>
        </w:rPr>
      </w:pPr>
      <w:r w:rsidRPr="00BD3AAC">
        <w:rPr>
          <w:lang w:val="en-US"/>
        </w:rPr>
        <w:lastRenderedPageBreak/>
        <w:t>For clinical utility, intrinsic capacity has been decomposed into subdomains that can inform clinical responses, including mobility</w:t>
      </w:r>
      <w:r w:rsidR="008427F9" w:rsidRPr="00BD3AAC">
        <w:rPr>
          <w:lang w:val="en-US"/>
        </w:rPr>
        <w:t>/</w:t>
      </w:r>
      <w:r w:rsidRPr="00BD3AAC">
        <w:rPr>
          <w:lang w:val="en-US"/>
        </w:rPr>
        <w:t>locomotor, cognitive, sensory, psychosocial</w:t>
      </w:r>
      <w:r w:rsidR="00E25943">
        <w:rPr>
          <w:lang w:val="en-US"/>
        </w:rPr>
        <w:t>,</w:t>
      </w:r>
      <w:r w:rsidRPr="00BD3AAC">
        <w:rPr>
          <w:lang w:val="en-US"/>
        </w:rPr>
        <w:t xml:space="preserve"> and vitality/energy domains</w:t>
      </w:r>
      <w:r w:rsidR="008427F9" w:rsidRPr="00BD3AAC">
        <w:rPr>
          <w:lang w:val="en-US"/>
        </w:rPr>
        <w:t xml:space="preserve"> (Table 1)</w:t>
      </w:r>
      <w:r w:rsidRPr="00BD3AAC">
        <w:rPr>
          <w:lang w:val="en-US"/>
        </w:rPr>
        <w:t>.</w:t>
      </w:r>
      <w:r w:rsidR="008B333D">
        <w:rPr>
          <w:lang w:val="en-US"/>
        </w:rPr>
        <w:fldChar w:fldCharType="begin" w:fldLock="1"/>
      </w:r>
      <w:r w:rsidR="004F0494">
        <w:rPr>
          <w:lang w:val="en-US"/>
        </w:rPr>
        <w:instrText>ADDIN CSL_CITATION {"citationItems":[{"id":"ITEM-1","itemData":{"author":[{"dropping-particle":"","family":"Carvalho","given":"I. A.","non-dropping-particle":"","parse-names":false,"suffix":""},{"dropping-particle":"","family":"Martin","given":"F.","non-dropping-particle":"","parse-names":false,"suffix":""},{"dropping-particle":"","family":"Cesari","given":"M.","non-dropping-particle":"","parse-names":false,"suffix":""},{"dropping-particle":"","family":"Sumi","given":"Y.","non-dropping-particle":"","parse-names":false,"suffix":""},{"dropping-particle":"","family":"Thiyagarajan","given":"J. A.","non-dropping-particle":"","parse-names":false,"suffix":""},{"dropping-particle":"","family":"Beard","given":"J.","non-dropping-particle":"","parse-names":false,"suffix":""}],"id":"ITEM-1","issued":{"date-parts":[["2017"]]},"title":"Operationalising the concept of intrinsic capacity in clinical settings","type":"article-journal"},"uris":["http://www.mendeley.com/documents/?uuid=29c46551-58bc-349f-ad8d-e65967d8879a"]}],"mendeley":{"formattedCitation":"&lt;sup&gt;6&lt;/sup&gt;","plainTextFormattedCitation":"6","previouslyFormattedCitation":"&lt;sup&gt;6&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6</w:t>
      </w:r>
      <w:r w:rsidR="008B333D">
        <w:rPr>
          <w:lang w:val="en-US"/>
        </w:rPr>
        <w:fldChar w:fldCharType="end"/>
      </w:r>
      <w:r w:rsidRPr="00BD3AAC">
        <w:rPr>
          <w:lang w:val="en-US"/>
        </w:rPr>
        <w:t xml:space="preserve"> In a large longitudinal study on ageing in general populations, these five sub</w:t>
      </w:r>
      <w:r w:rsidR="001377FB">
        <w:rPr>
          <w:lang w:val="en-US"/>
        </w:rPr>
        <w:t>domains</w:t>
      </w:r>
      <w:r w:rsidRPr="00BD3AAC">
        <w:rPr>
          <w:lang w:val="en-US"/>
        </w:rPr>
        <w:t xml:space="preserve"> and their composite were powerful predictors of future care dependence, even after accounting for chronological age and the presence or number of key health conditions</w:t>
      </w:r>
      <w:r w:rsidR="0059181A">
        <w:rPr>
          <w:lang w:val="en-US"/>
        </w:rPr>
        <w:t>.</w:t>
      </w:r>
      <w:r w:rsidR="008B333D">
        <w:rPr>
          <w:lang w:val="en-US"/>
        </w:rPr>
        <w:fldChar w:fldCharType="begin" w:fldLock="1"/>
      </w:r>
      <w:r w:rsidR="004F0494">
        <w:rPr>
          <w:lang w:val="en-US"/>
        </w:rPr>
        <w:instrText>ADDIN CSL_CITATION {"citationItems":[{"id":"ITEM-1","itemData":{"DOI":"10.1136/BMJOPEN-2018-026119","ISSN":"2044-6055","PMID":"31678933","abstract":"Objectives To assess the validity of the WHO concept of intrinsic capacity in a longitudinal study of ageing; to identify whether this overall measure disaggregated into biologically plausible and clinically useful subdomains; and to assess whether total capacity predicted subsequent care dependence. Design Structural equation modelling of biomarkers and self-reported measures in the English Longitudinal Study of Ageing including exploratory factor analysis, exploratory bi-factor analysis and confirmatory factor analysis. Longitudinal mediation and moderation analysis of incident care dependence. Settings Community, United Kingdom. Participants 2560 eligible participants aged over 60 years. Main outcome measures Activities of daily living (ADL) and instrumental activities of daily living (IADL). Results One general factor (intrinsic capacity) and five subfactors emerged: locomotor, cognitive; psychological; sensory; and 'vitality'. This structure is consistent with biological theory and the model had a good fit for the data (χ 2 =71.2 (df=39)). The summary score of intrinsic capacity and specific subfactors showed good construct validity. In a causal path model examining incident loss of ADL and IADL, intrinsic capacity had a direct relationship with the outcome - root mean square error of approximation (RMSEA)=0.02 (90% CI 0.001 to 0.05) and RMSEA=0.008 (90% CI0.001 to 0.03) respectively - and was a strong mediator for the effect of age, sex, wealth and education. Multimorbidity had an independent direct relationship with incident loss of ADLs but not IADLs, and also operated through intrinsic capacity. More of the indirect effect of personal characteristics on incident loss of ADLs and IADLs was mediated by intrinsic capacity than multimorbidity. Conclusions The WHO construct of intrinsic capacity appears to provide valuable predictive information on an individual's subsequent functioning, even after accounting for the number of multimorbidities. The proposed general factor and subdomain structure may contribute to a transformative paradigm for future research and clinical practice.","author":[{"dropping-particle":"","family":"Beard","given":"John R.","non-dropping-particle":"","parse-names":false,"suffix":""},{"dropping-particle":"","family":"Jotheeswaran","given":"A. T.","non-dropping-particle":"","parse-names":false,"suffix":""},{"dropping-particle":"","family":"Cesari","given":"Matteo","non-dropping-particle":"","parse-names":false,"suffix":""},{"dropping-particle":"","family":"Araujo De Carvalho","given":"Islene","non-dropping-particle":"","parse-names":false,"suffix":""}],"container-title":"BMJ open","id":"ITEM-1","issue":"11","issued":{"date-parts":[["2019","11","1"]]},"publisher":"BMJ Open","title":"The structure and predictive value of intrinsic capacity in a longitudinal study of ageing","type":"article-journal","volume":"9"},"uris":["http://www.mendeley.com/documents/?uuid=df27b24f-dd08-320a-901c-4636b2d50e3a"]}],"mendeley":{"formattedCitation":"&lt;sup&gt;13&lt;/sup&gt;","plainTextFormattedCitation":"13","previouslyFormattedCitation":"&lt;sup&gt;13&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13</w:t>
      </w:r>
      <w:r w:rsidR="008B333D">
        <w:rPr>
          <w:lang w:val="en-US"/>
        </w:rPr>
        <w:fldChar w:fldCharType="end"/>
      </w:r>
      <w:r w:rsidRPr="00BD3AAC">
        <w:rPr>
          <w:lang w:val="en-US"/>
        </w:rPr>
        <w:t xml:space="preserve"> While there are numerous instruments available for assessing overt losses of capacity,</w:t>
      </w:r>
      <w:r w:rsidR="008B333D">
        <w:rPr>
          <w:lang w:val="en-US"/>
        </w:rPr>
        <w:fldChar w:fldCharType="begin" w:fldLock="1"/>
      </w:r>
      <w:r w:rsidR="004F0494">
        <w:rPr>
          <w:lang w:val="en-US"/>
        </w:rPr>
        <w:instrText>ADDIN CSL_CITATION {"citationItems":[{"id":"ITEM-1","itemData":{"author":[{"dropping-particle":"","family":"Carvalho","given":"I. A.","non-dropping-particle":"","parse-names":false,"suffix":""},{"dropping-particle":"","family":"Martin","given":"F.","non-dropping-particle":"","parse-names":false,"suffix":""},{"dropping-particle":"","family":"Cesari","given":"M.","non-dropping-particle":"","parse-names":false,"suffix":""},{"dropping-particle":"","family":"Sumi","given":"Y.","non-dropping-particle":"","parse-names":false,"suffix":""},{"dropping-particle":"","family":"Thiyagarajan","given":"J. A.","non-dropping-particle":"","parse-names":false,"suffix":""},{"dropping-particle":"","family":"Beard","given":"J.","non-dropping-particle":"","parse-names":false,"suffix":""}],"id":"ITEM-1","issued":{"date-parts":[["2017"]]},"title":"Operationalising the concept of intrinsic capacity in clinical settings","type":"article-journal"},"uris":["http://www.mendeley.com/documents/?uuid=29c46551-58bc-349f-ad8d-e65967d8879a"]}],"mendeley":{"formattedCitation":"&lt;sup&gt;6&lt;/sup&gt;","plainTextFormattedCitation":"6","previouslyFormattedCitation":"&lt;sup&gt;6&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6</w:t>
      </w:r>
      <w:r w:rsidR="008B333D">
        <w:rPr>
          <w:lang w:val="en-US"/>
        </w:rPr>
        <w:fldChar w:fldCharType="end"/>
      </w:r>
      <w:r w:rsidRPr="00BD3AAC">
        <w:rPr>
          <w:lang w:val="en-US"/>
        </w:rPr>
        <w:t xml:space="preserve"> these may not be suited to capture more subtle changes over time, especially in </w:t>
      </w:r>
      <w:r w:rsidR="00AE44FC">
        <w:rPr>
          <w:lang w:val="en-US"/>
        </w:rPr>
        <w:t>individuals</w:t>
      </w:r>
      <w:r w:rsidRPr="00BD3AAC">
        <w:rPr>
          <w:lang w:val="en-US"/>
        </w:rPr>
        <w:t xml:space="preserve"> who still have a fairly high level of functioning.</w:t>
      </w:r>
      <w:r w:rsidR="008B333D">
        <w:rPr>
          <w:lang w:val="en-US"/>
        </w:rPr>
        <w:fldChar w:fldCharType="begin" w:fldLock="1"/>
      </w:r>
      <w:r w:rsidR="004F0494">
        <w:rPr>
          <w:lang w:val="en-US"/>
        </w:rPr>
        <w:instrText>ADDIN CSL_CITATION {"citationItems":[{"id":"ITEM-1","itemData":{"DOI":"10.3389/FMED.2019.00133","ISSN":"2296-858X","PMID":"31275941","abstract":"Frailty is a clinical condition characterized by the individual's increased vulnerability to endogenous and exogenous stressors. It is determined by the reduction of homeostatic capacities of the organism and responsible for a marked risk of adverse health outcomes (including functional loss and mortality). Frailty originates from the geriatric background and may pave the way toward a model of care centered on the person, deviating from the traditional and obsolete disease-focused approach. Unfortunately, many controversies have affected the field of frailty over the years and ambiguities have been growing. In particular, the common use of frailty as condition to “exclude” from interventions is a worrisome trend. In fact, the detection of frailty should instead represent the entry point for a more in-depth analysis with the aim of identifying the causes of individual's increased vulnerability and implementing a person-tailored intervention plan. With the aim of promoting a more comprehensive and appropriate assessment of the aging population, the World Health Organization introduced the concept of intrinsic capacity (IC), defined as the composite of all physical and mental capacities that an individual can draw upon during his/her life. Frailty and IC are two constructs stemming from the same need of overcoming traditional medical paradigms that negatively impact on the correct way clinical and research practice should be conducted in older persons. In this article, we describe the similarities and differences between the two constructs, highlighting how geriatric medicine contributed to their development and will be crucial for their further integration in future healthcare models.","author":[{"dropping-particle":"","family":"Belloni","given":"Giulia","non-dropping-particle":"","parse-names":false,"suffix":""},{"dropping-particle":"","family":"Cesari","given":"Matteo","non-dropping-particle":"","parse-names":false,"suffix":""}],"container-title":"Frontiers in medicine","id":"ITEM-1","issued":{"date-parts":[["2019","6","18"]]},"publisher":"Front Med (Lausanne)","title":"Frailty and Intrinsic Capacity: Two Distinct but Related Constructs","type":"article-journal","volume":"6"},"uris":["http://www.mendeley.com/documents/?uuid=ba62d1e8-53d7-3b01-9995-a132617f0e94"]}],"mendeley":{"formattedCitation":"&lt;sup&gt;12&lt;/sup&gt;","plainTextFormattedCitation":"12","previouslyFormattedCitation":"&lt;sup&gt;12&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12</w:t>
      </w:r>
      <w:r w:rsidR="008B333D">
        <w:rPr>
          <w:lang w:val="en-US"/>
        </w:rPr>
        <w:fldChar w:fldCharType="end"/>
      </w:r>
      <w:r w:rsidRPr="00BD3AAC">
        <w:rPr>
          <w:lang w:val="en-US"/>
        </w:rPr>
        <w:t xml:space="preserve"> Similarly, although recommendations for early intervention are available for each subdomain, the quality of the evidence ranges from very low to moderate,</w:t>
      </w:r>
      <w:r w:rsidR="008B333D">
        <w:rPr>
          <w:lang w:val="en-US"/>
        </w:rPr>
        <w:fldChar w:fldCharType="begin" w:fldLock="1"/>
      </w:r>
      <w:r w:rsidR="004F0494">
        <w:rPr>
          <w:lang w:val="en-US"/>
        </w:rPr>
        <w:instrText>ADDIN CSL_CITATION {"citationItems":[{"id":"ITEM-1","itemData":{"URL":"https://apps.who.int/iris/handle/10665/258981","accessed":{"date-parts":[["2022","11","8"]]},"id":"ITEM-1","issued":{"date-parts":[["0"]]},"title":"Integrated care for older people: guidelines on community-level interventions to manage declines in intrinsic capacity","type":"webpage"},"uris":["http://www.mendeley.com/documents/?uuid=9b9ead5b-fd92-3c4d-a561-5cad2863bdc8"]}],"mendeley":{"formattedCitation":"&lt;sup&gt;14&lt;/sup&gt;","plainTextFormattedCitation":"14","previouslyFormattedCitation":"&lt;sup&gt;14&lt;/sup&gt;"},"properties":{"noteIndex":0},"schema":"https://github.com/citation-style-language/schema/raw/master/csl-citation.json"}</w:instrText>
      </w:r>
      <w:r w:rsidR="008B333D">
        <w:rPr>
          <w:lang w:val="en-US"/>
        </w:rPr>
        <w:fldChar w:fldCharType="separate"/>
      </w:r>
      <w:r w:rsidR="004F0494" w:rsidRPr="004F0494">
        <w:rPr>
          <w:noProof/>
          <w:vertAlign w:val="superscript"/>
          <w:lang w:val="en-US"/>
        </w:rPr>
        <w:t>14</w:t>
      </w:r>
      <w:r w:rsidR="008B333D">
        <w:rPr>
          <w:lang w:val="en-US"/>
        </w:rPr>
        <w:fldChar w:fldCharType="end"/>
      </w:r>
      <w:r w:rsidRPr="00BD3AAC">
        <w:rPr>
          <w:lang w:val="en-US"/>
        </w:rPr>
        <w:t xml:space="preserve"> and the overall effect on intrinsic capacity has not yet been studied. Thus, while theoretically </w:t>
      </w:r>
      <w:r w:rsidR="00426607" w:rsidRPr="00BD3AAC">
        <w:rPr>
          <w:lang w:val="en-US"/>
        </w:rPr>
        <w:t>well</w:t>
      </w:r>
      <w:r w:rsidR="00426607">
        <w:rPr>
          <w:lang w:val="en-US"/>
        </w:rPr>
        <w:t>-</w:t>
      </w:r>
      <w:r w:rsidRPr="00BD3AAC">
        <w:rPr>
          <w:lang w:val="en-US"/>
        </w:rPr>
        <w:t xml:space="preserve">founded, the practical application of intrinsic capacity in promoting healthy ageing and well-being still remains to be clarified.        </w:t>
      </w:r>
    </w:p>
    <w:p w14:paraId="56F029A5" w14:textId="77777777" w:rsidR="005A65B8" w:rsidRPr="00BD3AAC" w:rsidRDefault="005A65B8" w:rsidP="007E4BEC">
      <w:pPr>
        <w:spacing w:line="276" w:lineRule="auto"/>
        <w:ind w:left="720" w:right="1275"/>
        <w:rPr>
          <w:i/>
          <w:iCs/>
          <w:lang w:val="en-US"/>
        </w:rPr>
      </w:pPr>
      <w:r w:rsidRPr="00BD3AAC">
        <w:rPr>
          <w:i/>
          <w:iCs/>
          <w:lang w:val="en-US"/>
        </w:rPr>
        <w:t xml:space="preserve">Example: </w:t>
      </w:r>
      <w:proofErr w:type="spellStart"/>
      <w:r w:rsidRPr="00BD3AAC">
        <w:rPr>
          <w:i/>
          <w:iCs/>
          <w:lang w:val="en-US"/>
        </w:rPr>
        <w:t>Mr</w:t>
      </w:r>
      <w:proofErr w:type="spellEnd"/>
      <w:r w:rsidRPr="00BD3AAC">
        <w:rPr>
          <w:i/>
          <w:iCs/>
          <w:lang w:val="en-US"/>
        </w:rPr>
        <w:t xml:space="preserve"> C is </w:t>
      </w:r>
      <w:r w:rsidR="006F1465" w:rsidRPr="00BD3AAC">
        <w:rPr>
          <w:i/>
          <w:iCs/>
          <w:lang w:val="en-US"/>
        </w:rPr>
        <w:t xml:space="preserve">75 </w:t>
      </w:r>
      <w:r w:rsidRPr="00BD3AAC">
        <w:rPr>
          <w:i/>
          <w:iCs/>
          <w:lang w:val="en-US"/>
        </w:rPr>
        <w:t xml:space="preserve">years old. He is a former high school history teacher, who lives with his wife and two dogs in a small village. He has </w:t>
      </w:r>
      <w:r w:rsidR="00426607">
        <w:rPr>
          <w:i/>
          <w:iCs/>
          <w:lang w:val="en-US"/>
        </w:rPr>
        <w:t>a</w:t>
      </w:r>
      <w:r w:rsidRPr="00BD3AAC">
        <w:rPr>
          <w:i/>
          <w:iCs/>
          <w:lang w:val="en-US"/>
        </w:rPr>
        <w:t xml:space="preserve"> son who live</w:t>
      </w:r>
      <w:r w:rsidR="001377FB">
        <w:rPr>
          <w:i/>
          <w:iCs/>
          <w:lang w:val="en-US"/>
        </w:rPr>
        <w:t>s</w:t>
      </w:r>
      <w:r w:rsidRPr="00BD3AAC">
        <w:rPr>
          <w:i/>
          <w:iCs/>
          <w:lang w:val="en-US"/>
        </w:rPr>
        <w:t xml:space="preserve"> at a distance, so they do not see each other frequently, although they do call each other every week or so. Since his retirement, </w:t>
      </w:r>
      <w:proofErr w:type="spellStart"/>
      <w:r w:rsidRPr="00BD3AAC">
        <w:rPr>
          <w:i/>
          <w:iCs/>
          <w:lang w:val="en-US"/>
        </w:rPr>
        <w:t>Mr</w:t>
      </w:r>
      <w:proofErr w:type="spellEnd"/>
      <w:r w:rsidRPr="00BD3AAC">
        <w:rPr>
          <w:i/>
          <w:iCs/>
          <w:lang w:val="en-US"/>
        </w:rPr>
        <w:t xml:space="preserve"> C became increasingly interested in gardening and hiking in the countryside with his dogs. He describes himself as quite fit and healthy, but over the past years, some of the more strenuous tasks in the garden are being put off until they are </w:t>
      </w:r>
      <w:r w:rsidR="00E25943">
        <w:rPr>
          <w:i/>
          <w:iCs/>
          <w:lang w:val="en-US"/>
        </w:rPr>
        <w:t xml:space="preserve">more or less </w:t>
      </w:r>
      <w:r w:rsidRPr="00BD3AAC">
        <w:rPr>
          <w:i/>
          <w:iCs/>
          <w:lang w:val="en-US"/>
        </w:rPr>
        <w:t xml:space="preserve">unavoidable, and the stints out with the dogs have shortened somewhat. His other hobby is playing chess at the local club, but he is thinking about quitting because he does not like to be out in the evenings. It might also be because his hearing is making it more difficult to carry on conversations with all the background noise; additionally, his wife thinks chess may have become less satisfying to him now that he is losing more often than he was used to, but she hasn’t brought this up with her husband. </w:t>
      </w:r>
    </w:p>
    <w:p w14:paraId="567A861E" w14:textId="77777777" w:rsidR="005A65B8" w:rsidRPr="00BD3AAC" w:rsidRDefault="005A65B8" w:rsidP="007E4BEC">
      <w:pPr>
        <w:spacing w:line="276" w:lineRule="auto"/>
        <w:ind w:right="1134"/>
        <w:rPr>
          <w:lang w:val="en-US"/>
        </w:rPr>
      </w:pPr>
      <w:r w:rsidRPr="00BD3AAC">
        <w:rPr>
          <w:lang w:val="en-US"/>
        </w:rPr>
        <w:t xml:space="preserve">In this case, there is no overt impairment or disease, and </w:t>
      </w:r>
      <w:proofErr w:type="spellStart"/>
      <w:r w:rsidRPr="00BD3AAC">
        <w:rPr>
          <w:lang w:val="en-US"/>
        </w:rPr>
        <w:t>Mr</w:t>
      </w:r>
      <w:proofErr w:type="spellEnd"/>
      <w:r w:rsidRPr="00BD3AAC">
        <w:rPr>
          <w:lang w:val="en-US"/>
        </w:rPr>
        <w:t xml:space="preserve"> C’s overall functioning is still at a quite high level. However, there are several signs of declining intrinsic capacity including issues with vitality, hearing and cognition, that may be amenable to intervention had they been brought to light by longitudinal monitoring. </w:t>
      </w:r>
    </w:p>
    <w:p w14:paraId="35780B4F" w14:textId="77777777" w:rsidR="005A65B8" w:rsidRPr="00BD3AAC" w:rsidRDefault="005A65B8" w:rsidP="007E4BEC">
      <w:pPr>
        <w:spacing w:line="276" w:lineRule="auto"/>
        <w:rPr>
          <w:b/>
          <w:bCs/>
          <w:lang w:val="en-US"/>
        </w:rPr>
      </w:pPr>
    </w:p>
    <w:p w14:paraId="5956AA71" w14:textId="77777777" w:rsidR="0030533A" w:rsidRPr="00BD3AAC" w:rsidRDefault="0030533A" w:rsidP="007E4BEC">
      <w:pPr>
        <w:spacing w:line="276" w:lineRule="auto"/>
        <w:rPr>
          <w:b/>
          <w:bCs/>
          <w:lang w:val="en-US"/>
        </w:rPr>
      </w:pPr>
      <w:r w:rsidRPr="00BD3AAC">
        <w:rPr>
          <w:b/>
          <w:bCs/>
          <w:lang w:val="en-US"/>
        </w:rPr>
        <w:t>Frailty</w:t>
      </w:r>
    </w:p>
    <w:p w14:paraId="6CD59B99" w14:textId="7F991B76" w:rsidR="0030533A" w:rsidRPr="00BD3AAC" w:rsidRDefault="0030533A" w:rsidP="007E4BEC">
      <w:pPr>
        <w:spacing w:line="276" w:lineRule="auto"/>
        <w:rPr>
          <w:lang w:val="en-US"/>
        </w:rPr>
      </w:pPr>
      <w:r w:rsidRPr="00BD3AAC">
        <w:rPr>
          <w:lang w:val="en-US"/>
        </w:rPr>
        <w:t>While intrinsic capacity focuses on the evolution</w:t>
      </w:r>
      <w:r w:rsidR="00395E33" w:rsidRPr="00BD3AAC">
        <w:rPr>
          <w:lang w:val="en-US"/>
        </w:rPr>
        <w:t xml:space="preserve"> of reserves over time, a frailty assessment </w:t>
      </w:r>
      <w:r w:rsidR="005B48EA">
        <w:rPr>
          <w:lang w:val="en-US"/>
        </w:rPr>
        <w:t>is</w:t>
      </w:r>
      <w:r w:rsidRPr="00BD3AAC">
        <w:rPr>
          <w:lang w:val="en-US"/>
        </w:rPr>
        <w:t xml:space="preserve"> </w:t>
      </w:r>
      <w:r w:rsidR="005B48EA">
        <w:rPr>
          <w:lang w:val="en-US"/>
        </w:rPr>
        <w:t xml:space="preserve">a </w:t>
      </w:r>
      <w:r w:rsidRPr="00BD3AAC">
        <w:rPr>
          <w:lang w:val="en-US"/>
        </w:rPr>
        <w:t>snapshot taken at a specific moment (Figure 1)</w:t>
      </w:r>
      <w:r w:rsidR="00395E33" w:rsidRPr="00BD3AAC">
        <w:rPr>
          <w:lang w:val="en-US"/>
        </w:rPr>
        <w:t>. Through an evaluation of geriatric domains</w:t>
      </w:r>
      <w:r w:rsidRPr="00BD3AAC">
        <w:rPr>
          <w:lang w:val="en-US"/>
        </w:rPr>
        <w:t xml:space="preserve">, a patient’s vulnerabilities are </w:t>
      </w:r>
      <w:r w:rsidR="00D86B5D" w:rsidRPr="00BD3AAC">
        <w:rPr>
          <w:lang w:val="en-US"/>
        </w:rPr>
        <w:t>uncovered and used as input for modifying treatment as well as implementing interventions to optimally support the patient</w:t>
      </w:r>
      <w:r w:rsidR="004F0494">
        <w:rPr>
          <w:lang w:val="en-US"/>
        </w:rPr>
        <w:t>.</w:t>
      </w:r>
      <w:r w:rsidR="00BC219F">
        <w:rPr>
          <w:lang w:val="en-US"/>
        </w:rPr>
        <w:fldChar w:fldCharType="begin" w:fldLock="1"/>
      </w:r>
      <w:r w:rsidR="00340D1F">
        <w:rPr>
          <w:lang w:val="en-US"/>
        </w:rPr>
        <w:instrText>ADDIN CSL_CITATION {"citationItems":[{"id":"ITEM-1","itemData":{"DOI":"10.1503/CMAJ.050051","ISSN":"1488-2329","PMID":"16129869","abstract":"Background: There is no single generally accepted clinical definition of frailty. Previously developed tools to assess frailty that have been shown to be predictive of death or need for entry into an institutional facility have not gained acceptance among practising clinicians. We aimed to develop a tool that would be both predictive and easy to use. Methods: We developed the 7-point Clinical Frailty Scale and applied it and other established tools that measure frailty to 2305 elderly patients who participated in the second stage of the Canadian Study of Health and Aging (CSHA). We followed this cohort prospectively; after 5 years, we determined the ability of the Clinical Frailty Scale to predict death or need for institutional care, and correlated the results with those obtained from other established tools. Results: The CSHA Clinical Frailty Scale was highly correlated (r = 0.80) with the Frailty Index. Each 1-category increment of our scale significantly increased the medium-term risks of death (21.2% within about 70 mo, 95% confidence interval [CI] 12.5%-30.6%) and entry into an institution (23.9%, 95% CI 8.8%-41.2%) in multivariable models that adjusted for age, sex and education. Analyses of receiver operating characteristic curves showed that our Clinical Frailty Scale performed better than measures of cognition, function or comorbidity in assessing risk for death (area under the curve 0.77 for 18-month and 0.70 for 70-month mortality). Interpretation: Frailty is a valid and clinically important construct that is recognizable by physicians. Clinical judgments about frailty can yield useful predictive information. © 2005 CMA Media Inc. or its licensors.","author":[{"dropping-particle":"","family":"Rockwood","given":"Kenneth","non-dropping-particle":"","parse-names":false,"suffix":""},{"dropping-particle":"","family":"Song","given":"Xiaowei","non-dropping-particle":"","parse-names":false,"suffix":""},{"dropping-particle":"","family":"MacKnight","given":"Chris","non-dropping-particle":"","parse-names":false,"suffix":""},{"dropping-particle":"","family":"Bergman","given":"Howard","non-dropping-particle":"","parse-names":false,"suffix":""},{"dropping-particle":"","family":"Hogan","given":"David B.","non-dropping-particle":"","parse-names":false,"suffix":""},{"dropping-particle":"","family":"McDowell","given":"Ian","non-dropping-particle":"","parse-names":false,"suffix":""},{"dropping-particle":"","family":"Mitnitski","given":"Arnold","non-dropping-particle":"","parse-names":false,"suffix":""}],"container-title":"CMAJ : Canadian Medical Association journal = journal de l'Association medicale canadienne","id":"ITEM-1","issue":"5","issued":{"date-parts":[["2005","8","30"]]},"page":"489-495","publisher":"CMAJ","title":"A global clinical measure of fitness and frailty in elderly people","type":"article-journal","volume":"173"},"uris":["http://www.mendeley.com/documents/?uuid=09e59bf1-1099-32fc-8e7e-c3c32e84491c"]},{"id":"ITEM-2","itemData":{"DOI":"10.1093/AGEING/AFW224","ISSN":"1468-2834","PMID":"27932367","abstract":"This commentary discusses the perception of frailty by different key stakeholders-most notably older people. It considers the need to integrate predominantly medically driven understandings of frailty within a wider conceptual framework. This is imperative if the potential of frailty as a construct, around which the optimisation of health and well-being of older people can take place, is to be realised.","author":[{"dropping-particle":"","family":"Nicholson","given":"Caroline","non-dropping-particle":"","parse-names":false,"suffix":""},{"dropping-particle":"","family":"Gordon","given":"Adam Lee","non-dropping-particle":"","parse-names":false,"suffix":""},{"dropping-particle":"","family":"Tinker","given":"Anthea","non-dropping-particle":"","parse-names":false,"suffix":""}],"container-title":"Age and ageing","id":"ITEM-2","issue":"3","issued":{"date-parts":[["2017","5","1"]]},"page":"349-351","publisher":"Age Ageing","title":"Changing the way \"we\" view and talk about frailty…","type":"article-journal","volume":"46"},"uris":["http://www.mendeley.com/documents/?uuid=7b39d15a-6158-3c76-806a-6f991bb3ad92"]},{"id":"ITEM-3","itemData":{"DOI":"10.1016/S0140-6736(21)01789-X","ISSN":"1474-547X","PMID":"34741815","abstract":"Background: Older adults with advanced cancer are at a high risk for treatment toxic effects. Geriatric assessment evaluates ageing-related domains and guides management. We examined whether a geriatric assessment intervention can reduce serious toxic effects in older patients with advanced cancer who are receiving high risk treatment (eg, chemotherapy). Methods: In this cluster-randomised trial, we enrolled patients aged 70 years and older with incurable solid tumours or lymphoma and at least one impaired geriatric assessment domain who were starting a new treatment regimen. 40 community oncology practice clusters across the USA were randomly assigned (1:1) to the intervention (oncologists received a tailored geriatric assessment summary and management recommendations) or usual care (no geriatric assessment summary or management recommendations were provided to oncologists) by means of a computer-generated randomisation table. The primary outcome was the proportion of patients who had any grade 3–5 toxic effect (based on National Cancer Institute Common Terminology Criteria for Adverse Events version 4) over 3 months. Practice staff prospectively captured toxic effects. Masked oncology clinicians reviewed medical records to verify. The study was registered with ClinicalTrials.gov, NCT02054741. Findings: Between July 29, 2014, and March 13, 2019, we enrolled 718 patients. Patients had a mean age of 77·2 years (SD 5·4) and 311 (43%) of 718 participants were female. The mean number of geriatric assessment domain impairments was 4·5 (SD 1·6) and was not significantly different between the study groups. More patients in intervention group compared with the usual care group were Black versus other races (40 [11%] of 349 patients vs 12 [3%] of 369 patients; p&lt;0·0001) and had previous chemotherapy (104 [30%] of 349 patients vs 81 [22%] of 369 patients; p=0·016). A lower proportion of patients in the intervention group had grade 3–5 toxic effects (177 [51%] of 349 patients) compared with the usual care group (263 [71%] of 369 patients; relative risk [RR] 0·74 (95% CI 0·64–0·86; p=0·0001). Patients in the intervention group had fewer falls over 3 months (35 [12%] of 298 patients vs 68 [21%] of 329 patients; adjusted RR 0·58, 95% CI 0·40–0·84; p=0·0035) and had more medications discontinued (mean adjusted difference 0·14, 95% CI 0·03–0·25; p=0·015). Interpretation: A geriatric assessment intervention for older patients with advanced cancer reduced serious toxic e…","author":[{"dropping-particle":"","family":"Mohile","given":"Supriya G.","non-dropping-particle":"","parse-names":false,"suffix":""},{"dropping-particle":"","family":"Mohamed","given":"Mostafa R.","non-dropping-particle":"","parse-names":false,"suffix":""},{"dropping-particle":"","family":"Xu","given":"Huiwen","non-dropping-particle":"","parse-names":false,"suffix":""},{"dropping-particle":"","family":"Culakova","given":"Eva","non-dropping-particle":"","parse-names":false,"suffix":""},{"dropping-particle":"","family":"Loh","given":"Kah Poh","non-dropping-particle":"","parse-names":false,"suffix":""},{"dropping-particle":"","family":"Magnuson","given":"Allison","non-dropping-particle":"","parse-names":false,"suffix":""},{"dropping-particle":"","family":"Flannery","given":"Marie A.","non-dropping-particle":"","parse-names":false,"suffix":""},{"dropping-particle":"","family":"Obrecht","given":"Spencer","non-dropping-particle":"","parse-names":false,"suffix":""},{"dropping-particle":"","family":"Gilmore","given":"Nikesha","non-dropping-particle":"","parse-names":false,"suffix":""},{"dropping-particle":"","family":"Ramsdale","given":"Erika","non-dropping-particle":"","parse-names":false,"suffix":""},{"dropping-particle":"","family":"Dunne","given":"Richard F.","non-dropping-particle":"","parse-names":false,"suffix":""},{"dropping-particle":"","family":"Wildes","given":"Tanya","non-dropping-particle":"","parse-names":false,"suffix":""},{"dropping-particle":"","family":"Plumb","given":"Sandy","non-dropping-particle":"","parse-names":false,"suffix":""},{"dropping-particle":"","family":"Patil","given":"Amita","non-dropping-particle":"","parse-names":false,"suffix":""},{"dropping-particle":"","family":"Wells","given":"Megan","non-dropping-particle":"","parse-names":false,"suffix":""},{"dropping-particle":"","family":"Lowenstein","given":"Lisa","non-dropping-particle":"","parse-names":false,"suffix":""},{"dropping-particle":"","family":"Janelsins","given":"Michelle","non-dropping-particle":"","parse-names":false,"suffix":""},{"dropping-particle":"","family":"Mustian","given":"Karen","non-dropping-particle":"","parse-names":false,"suffix":""},{"dropping-particle":"","family":"Hopkins","given":"Judith O.","non-dropping-particle":"","parse-names":false,"suffix":""},{"dropping-particle":"","family":"Berenberg","given":"Jeffrey","non-dropping-particle":"","parse-names":false,"suffix":""},{"dropping-particle":"","family":"Anthony","given":"Navin","non-dropping-particle":"","parse-names":false,"suffix":""},{"dropping-particle":"","family":"Dale","given":"William","non-dropping-particle":"","parse-names":false,"suffix":""}],"container-title":"Lancet (London, England)","id":"ITEM-3","issue":"10314","issued":{"date-parts":[["2021","11","20"]]},"page":"1894-1904","publisher":"Lancet","title":"Evaluation of geriatric assessment and management on the toxic effects of cancer treatment (GAP70+): a cluster-randomised study","type":"article-journal","volume":"398"},"uris":["http://www.mendeley.com/documents/?uuid=68e983af-4be4-3194-a5bd-be8761726dd5"]},{"id":"ITEM-4","itemData":{"DOI":"10.1001/jamaoncol.2021.4158","ISSN":"2374-2445","abstract":"Importance: Although geriatric assessment-driven intervention improves patient-centered outcomes, its influence on chemotherapy-related toxic effects remains unknown. Objective: To assess whether specific geriatric assessment-driven intervention (GAIN) can reduce chemotherapy-related toxic effects in older adults with cancer. Design, Setting, and Participants: A randomized clinical trial enrolled 613 participants from a National Cancer Institute-designated cancer center between 2015 and 2019. Patients were 65 years and older with a solid malignant neoplasm, were starting a new chemotherapy regimen, and completed a geriatric assessment. Patients were followed up until chemotherapy completion or 6 months after initiation, whichever occurred first. Data analysis was done by intention-to-treat principle. Interventions: Patients were randomized (2:1) to either the GAIN (intervention) or standard of care (SOC) arm. In the GAIN arm, a geriatrics-trained multidisciplinary team composed of an oncologist, nurse practitioner, social worker, physical/occupation therapist, nutritionist, and pharmacist reviewed geriatric assessment results and implemented interventions based on prespecified thresholds built into the geriatric assessment's domains. In the SOC arm, geriatric assessment results were sent to treating oncologists for consideration. Main Outcomes and Measures: The primary outcome was incidence of grade 3 or higher chemotherapy-related toxic effects (graded using National Cancer Institute Common Terminology Criteria for Adverse Events, version 4.0). Secondary outcomes included advance directive completion, emergency department visits, unplanned hospitalizations, average length of stay, unplanned hospital readmissions, chemotherapy dose modifications, and early discontinuation. Overall survival analysis was performed up to 12 months after chemotherapy initiation. Results: Among the 605 eligible participants for analysis, median (range) age was 71 (65-91) years, 357 (59.0%) were women, and 432 (71.4%) had stage IV disease. Cancer types included gastrointestinal (202 [33.4%]), breast (136 [22.5%]), lung (97 [16.0%]), genitourinary (91 [15.0%]), gynecologic (54 [8.9%]), and other (25 [4.1%]). Incidence of grade 3 or higher chemotherapy-related toxic effects was 50.5% (95% CI, 45.6% to 55.4%) in the GAIN arm and 60.6% (95% CI, 53.9% to 67.3%) in the SOC arm, resulting in a significant 10.1% reduction (95% CI, -1.5 to -18.2%; P =.02). A significant absolute incre…","author":[{"dropping-particle":"","family":"Li","given":"D","non-dropping-particle":"","parse-names":false,"suffix":""},{"dropping-particle":"","family":"Sun","given":"C.-L.","non-dropping-particle":"","parse-names":false,"suffix":""},{"dropping-particle":"","family":"Kim","given":"H","non-dropping-particle":"","parse-names":false,"suffix":""},{"dropping-particle":"","family":"Soto-Perez-De-Celis","given":"E","non-dropping-particle":"","parse-names":false,"suffix":""},{"dropping-particle":"","family":"Chung","given":"V","non-dropping-particle":"","parse-names":false,"suffix":""},{"dropping-particle":"","family":"Koczywas","given":"M","non-dropping-particle":"","parse-names":false,"suffix":""},{"dropping-particle":"","family":"Fakih","given":"M","non-dropping-particle":"","parse-names":false,"suffix":""},{"dropping-particle":"","family":"Chao","given":"J","non-dropping-particle":"","parse-names":false,"suffix":""},{"dropping-particle":"","family":"Cabrera Chien","given":"L","non-dropping-particle":"","parse-names":false,"suffix":""},{"dropping-particle":"","family":"Charles","given":"K","non-dropping-particle":"","parse-names":false,"suffix":""},{"dropping-particle":"","family":"Hughes","given":"S.F.D.S.","non-dropping-particle":"","parse-names":false,"suffix":""},{"dropping-particle":"","family":"Katheria","given":"V","non-dropping-particle":"","parse-names":false,"suffix":""},{"dropping-particle":"","family":"Trent","given":"M","non-dropping-particle":"","parse-names":false,"suffix":""},{"dropping-particle":"","family":"Roberts","given":"E","non-dropping-particle":"","parse-names":false,"suffix":""},{"dropping-particle":"","family":"Jayani","given":"R","non-dropping-particle":"","parse-names":false,"suffix":""},{"dropping-particle":"","family":"Moreno","given":"J","non-dropping-particle":"","parse-names":false,"suffix":""},{"dropping-particle":"","family":"Kelly","given":"C","non-dropping-particle":"","parse-names":false,"suffix":""},{"dropping-particle":"","family":"Sedrak","given":"M S","non-dropping-particle":"","parse-names":false,"suffix":""},{"dropping-particle":"","family":"Dale","given":"W","non-dropping-particle":"","parse-names":false,"suffix":""}],"container-title":"JAMA Oncology","id":"ITEM-4","issued":{"date-parts":[["2021"]]},"language":"English","title":"Geriatric Assessment-Driven Intervention (GAIN) on Chemotherapy-Related Toxic Effects in Older Adults with Cancer: A Randomized Clinical Trial","type":"article-journal"},"uris":["http://www.mendeley.com/documents/?uuid=efe35424-2ca2-39b5-9994-9d972bd621cb"]},{"id":"ITEM-5","itemData":{"DOI":"10.1093/GERONA/56.3.M146","ISSN":"1079-5006","PMID":"11253156","abstract":"Background. Frailty is considered highly prevalent in old age and to confer high risk for falls, disability, hospitalization, and mortality. Frailty has been considered synonymous with disability, comorbidity, and other characteristics, but it is recognized that it may have a biologic basis and be a distinct clinical syndrome. A standardized definition has not yet been established. Methods. To develop and operationalize a phenotype of frailty in older adults and assess concurrent and predictive validity, the study used data from the Cardiovascular Health Study. Participants were 5.317 men and women 65 years and older (4,735 from an original cohort recruited in 1989-90 and 582 from an African American cohort recruited in 1992-93). Both cohorts received almost identical baseline evaluations and 7 and 4 years of follow-up, respectively, with annual examinations and surveillance for outcomes including incident disease, hospitalization, falls, disability, and mortality. Results. Frailty was defined as a clinical syndrome in which three or more of the following criteria were present: unintentional weight loss (10 lbs in past year), self-reported exhaustion, weakness (grip strength), slow walking speed, and low physical activity. The overall prevalence of frailty in this community-dwelling pupulation was 6.9%: it increased with age and was greater in women than men. Four-year incidence was 7.2%. Frailty was associated with being African American having lower education and income, poorer health, and having higher rates of comorbid chronic diseases and disability. There was overlap, but not concordance, in the cooccurrence of frailty, comorbidity, and disability. This frailty phenotype was independently predictive (over 3 years) of incident falls, worsening mobility or ADL disability, hospitalization, and death, with hazard ratios ranging from 1.82 to 4.46, unadjusted, and 1.29-2.24, adjusted for a number of health, disease, and social characteristics predictive of 5-year mortality. Intermediate frailty status, as indicated by the presence of one or two criteria, showed intermediate risk of these outcomes as well as increased risk of becoming frail over 3-4 years of follow-up (odds ratios for incident frailty = 4.51 unadjusted and 2.63 adjusted for covariates, compared to those with no frailty criteria at baseline). Conclusions. This study provides a potential standardized definition for frailty in community-dwelling older adults and offers concurrent and predic…","author":[{"dropping-particle":"","family":"Fried","given":"L. P.","non-dropping-particle":"","parse-names":false,"suffix":""},{"dropping-particle":"","family":"Tangen","given":"C. M.","non-dropping-particle":"","parse-names":false,"suffix":""},{"dropping-particle":"","family":"Walston","given":"J.","non-dropping-particle":"","parse-names":false,"suffix":""},{"dropping-particle":"","family":"Newman","given":"A. B.","non-dropping-particle":"","parse-names":false,"suffix":""},{"dropping-particle":"","family":"Hirsch","given":"C.","non-dropping-particle":"","parse-names":false,"suffix":""},{"dropping-particle":"","family":"Gottdiener","given":"J.","non-dropping-particle":"","parse-names":false,"suffix":""},{"dropping-particle":"","family":"Seeman","given":"T.","non-dropping-particle":"","parse-names":false,"suffix":""},{"dropping-particle":"","family":"Tracy","given":"R.","non-dropping-particle":"","parse-names":false,"suffix":""},{"dropping-particle":"","family":"Kop","given":"W. J.","non-dropping-particle":"","parse-names":false,"suffix":""},{"dropping-particle":"","family":"Burke","given":"G.","non-dropping-particle":"","parse-names":false,"suffix":""},{"dropping-particle":"","family":"McBurnie","given":"M. A.","non-dropping-particle":"","parse-names":false,"suffix":""}],"container-title":"The journals of gerontology. Series A, Biological sciences and medical sciences","id":"ITEM-5","issue":"3","issued":{"date-parts":[["2001"]]},"publisher":"J Gerontol A Biol Sci Med Sci","title":"Frailty in older adults: evidence for a phenotype","type":"article-journal","volume":"56"},"uris":["http://www.mendeley.com/documents/?uuid=38fd051e-da2a-3eba-a718-d32c982abf2c"]},{"id":"ITEM-6","itemData":{"DOI":"10.1016/S0140-6736(19)31785-4","ISSN":"1474-547X","PMID":"31609229","abstract":"Frailty is a complex age-related clinical condition characterised by a decline in physiological capacity across several organ systems, with a resultant increased susceptibility to stressors. Because of the heterogeneity of frailty in clinical presentation, it is important to have effective strategies for the delivery of care that range across the continuum of frailty severity. In clinical practice, we should do what works, starting with frailty screening, case identification, and management of frailty. This process is unarguably difficult given the absence of an adequate evidence base for individual and health-system interventions to manage frailty. We advocate change towards individually tailored interventions that preserve an individual's independence, physical function, and cognition. This change can be addressed by promoting the recognition of frailty, furthering advancements in evidence-based treatment options, and identifying cost-effective care delivery strategies.","author":[{"dropping-particle":"","family":"Dent","given":"Elsa","non-dropping-particle":"","parse-names":false,"suffix":""},{"dropping-particle":"","family":"Martin","given":"Finbarr C.","non-dropping-particle":"","parse-names":false,"suffix":""},{"dropping-particle":"","family":"Bergman","given":"Howard","non-dropping-particle":"","parse-names":false,"suffix":""},{"dropping-particle":"","family":"Woo","given":"Jean","non-dropping-particle":"","parse-names":false,"suffix":""},{"dropping-particle":"","family":"Romero-Ortuno","given":"Roman","non-dropping-particle":"","parse-names":false,"suffix":""},{"dropping-particle":"","family":"Walston","given":"Jeremy D.","non-dropping-particle":"","parse-names":false,"suffix":""}],"container-title":"Lancet (London, England)","id":"ITEM-6","issue":"10206","issued":{"date-parts":[["2019","10","12"]]},"page":"1376-1386","publisher":"Lancet","title":"Management of frailty: opportunities, challenges, and future directions","type":"article-journal","volume":"394"},"uris":["http://www.mendeley.com/documents/?uuid=080283ac-6656-3b11-947e-df70d1eb6213"]},{"id":"ITEM-7","itemData":{"DOI":"10.1016/J.MEHY.2010.11.028","ISSN":"1532-2777","PMID":"21185129","author":[{"dropping-particle":"","family":"Alfieri","given":"Walter","non-dropping-particle":"De","parse-names":false,"suffix":""},{"dropping-particle":"","family":"Costanzo","given":"Sergio","non-dropping-particle":"","parse-names":false,"suffix":""},{"dropping-particle":"","family":"Borgogni","given":"Tiziano","non-dropping-particle":"","parse-names":false,"suffix":""}],"container-title":"Medical hypotheses","id":"ITEM-7","issue":"2","issued":{"date-parts":[["2011","2"]]},"page":"304-305","publisher":"Med Hypotheses","title":"Biological resilience of older adults versus frailty","type":"article-journal","volume":"76"},"uris":["http://www.mendeley.com/documents/?uuid=98749f65-08ef-3924-ba78-02b16eb1a701"]},{"id":"ITEM-8","itemData":{"DOI":"10.1016/S0140-6736(12)62167-9","ISSN":"1474-547X","PMID":"23395245","abstract":"Frailty is the most problematic expression of population ageing. It is a state of vulnerability to poor resolution of homoeostasis after a stressor event and is a consequence of cumulative decline in many physiological systems during a lifetime. This cumulative decline depletes homoeostatic reserves until minor stressor events trigger disproportionate changes in health status. In landmark studies, investigators have developed valid models of frailty and these models have allowed epidemiological investigations that show the association between frailty and adverse health outcomes. We need to develop more efficient methods to detect frailty and measure its severity in routine clinical practice, especially methods that are useful for primary care. Such progress would greatly inform the appropriate selection of elderly people for invasive procedures or drug treatments and would be the basis for a shift in the care of frail elderly people towards more appropriate goal-directed care.","author":[{"dropping-particle":"","family":"Clegg","given":"Andrew","non-dropping-particle":"","parse-names":false,"suffix":""},{"dropping-particle":"","family":"Young","given":"John","non-dropping-particle":"","parse-names":false,"suffix":""},{"dropping-particle":"","family":"Iliffe","given":"Steve","non-dropping-particle":"","parse-names":false,"suffix":""},{"dropping-particle":"","family":"Rikkert","given":"Marcel Olde","non-dropping-particle":"","parse-names":false,"suffix":""},{"dropping-particle":"","family":"Rockwood","given":"Kenneth","non-dropping-particle":"","parse-names":false,"suffix":""}],"container-title":"Lancet (London, England)","id":"ITEM-8","issue":"9868","issued":{"date-parts":[["2013"]]},"page":"752-762","publisher":"Lancet","title":"Frailty in elderly people","type":"article-journal","volume":"381"},"uris":["http://www.mendeley.com/documents/?uuid=ef899153-3630-3394-9e53-c953c63ef103"]},{"id":"ITEM-9","itemData":{"DOI":"10.1016/S0140-6736(19)31786-6","ISSN":"1474-547X","PMID":"31609228","abstract":"Frailty is an emerging global health burden, with major implications for clinical practice and public health. The prevalence of frailty is expected to rise alongside rapid growth in the ageing population. The course of frailty is characterised by a decline in functioning across multiple physiological systems, accompanied by an increased vulnerability to stressors. Having frailty places a person at increased risk of adverse outcomes, including falls, hospitalisation, and mortality. Studies have shown a clear pattern of increased health-care costs and use associated with frailty. All older adults are at risk of developing frailty, although risk levels are substantially higher among those with comorbidities, low socioeconomic position, poor diet, and sedentary lifestyles. Lifestyle and clinical risk factors are potentially modifiable by specific interventions and preventive actions. The concept of frailty is increasingly being used in primary, acute, and specialist care. However, despite efforts over the past three decades, agreement on a standard instrument to identify frailty has not yet been achieved. In this Series paper, we provide an overview of the global impact and burden of frailty, the usefulness of the frailty concept in clinical practice, potential targets for frailty prevention, and directions that need to be explored in the future.","author":[{"dropping-particle":"","family":"Hoogendijk","given":"Emiel O.","non-dropping-particle":"","parse-names":false,"suffix":""},{"dropping-particle":"","family":"Afilalo","given":"Jonathan","non-dropping-particle":"","parse-names":false,"suffix":""},{"dropping-particle":"","family":"Ensrud","given":"Kristine E.","non-dropping-particle":"","parse-names":false,"suffix":""},{"dropping-particle":"","family":"Kowal","given":"Paul","non-dropping-particle":"","parse-names":false,"suffix":""},{"dropping-particle":"","family":"Onder","given":"Graziano","non-dropping-particle":"","parse-names":false,"suffix":""},{"dropping-particle":"","family":"Fried","given":"Linda P.","non-dropping-particle":"","parse-names":false,"suffix":""}],"container-title":"Lancet (London, England)","id":"ITEM-9","issue":"10206","issued":{"date-parts":[["2019","10","12"]]},"page":"1365-1375","publisher":"Lancet","title":"Frailty: implications for clinical practice and public health","type":"article-journal","volume":"394"},"uris":["http://www.mendeley.com/documents/?uuid=ca61e06c-6a40-3fc8-9e58-03e9a077bbca"]}],"mendeley":{"formattedCitation":"&lt;sup&gt;2,3,11,15–20&lt;/sup&gt;","manualFormatting":"2,3,15–20","plainTextFormattedCitation":"2,3,11,15–20","previouslyFormattedCitation":"&lt;sup&gt;2,3,11,15–20&lt;/sup&gt;"},"properties":{"noteIndex":0},"schema":"https://github.com/citation-style-language/schema/raw/master/csl-citation.json"}</w:instrText>
      </w:r>
      <w:r w:rsidR="00BC219F">
        <w:rPr>
          <w:lang w:val="en-US"/>
        </w:rPr>
        <w:fldChar w:fldCharType="separate"/>
      </w:r>
      <w:r w:rsidR="00BC219F" w:rsidRPr="00BC219F">
        <w:rPr>
          <w:noProof/>
          <w:vertAlign w:val="superscript"/>
          <w:lang w:val="en-US"/>
        </w:rPr>
        <w:t>2,3,15–20</w:t>
      </w:r>
      <w:r w:rsidR="00BC219F">
        <w:rPr>
          <w:lang w:val="en-US"/>
        </w:rPr>
        <w:fldChar w:fldCharType="end"/>
      </w:r>
      <w:r w:rsidR="00BC219F" w:rsidRPr="00BD3AAC">
        <w:rPr>
          <w:lang w:val="en-US"/>
        </w:rPr>
        <w:t xml:space="preserve"> </w:t>
      </w:r>
    </w:p>
    <w:p w14:paraId="59BF21A9" w14:textId="24ED1F73" w:rsidR="003F0EB7" w:rsidRPr="00BD3AAC" w:rsidRDefault="00D86B5D" w:rsidP="007E4BEC">
      <w:pPr>
        <w:spacing w:line="276" w:lineRule="auto"/>
        <w:rPr>
          <w:lang w:val="en-GB"/>
        </w:rPr>
      </w:pPr>
      <w:r w:rsidRPr="00BD3AAC">
        <w:rPr>
          <w:lang w:val="en-US"/>
        </w:rPr>
        <w:t>In geriatric oncology, the most commonly assessed geriatric domains include the ability to perform basic and instrumental activities of daily living</w:t>
      </w:r>
      <w:r w:rsidR="00C73C40">
        <w:rPr>
          <w:lang w:val="en-US"/>
        </w:rPr>
        <w:t xml:space="preserve"> </w:t>
      </w:r>
      <w:r w:rsidR="00C66CB6" w:rsidRPr="00BD3AAC">
        <w:rPr>
          <w:lang w:val="en-US"/>
        </w:rPr>
        <w:t>(ADLs and IADLs)</w:t>
      </w:r>
      <w:r w:rsidRPr="00BD3AAC">
        <w:rPr>
          <w:lang w:val="en-US"/>
        </w:rPr>
        <w:t>, mobility, nutritional status, cognition, mood</w:t>
      </w:r>
      <w:r w:rsidR="00E25943">
        <w:rPr>
          <w:lang w:val="en-US"/>
        </w:rPr>
        <w:t>,</w:t>
      </w:r>
      <w:r w:rsidRPr="00BD3AAC">
        <w:rPr>
          <w:lang w:val="en-US"/>
        </w:rPr>
        <w:t xml:space="preserve"> and social support</w:t>
      </w:r>
      <w:r w:rsidR="008427F9" w:rsidRPr="00BD3AAC">
        <w:rPr>
          <w:lang w:val="en-US"/>
        </w:rPr>
        <w:t xml:space="preserve">, in addition to comorbidity and related medication use. </w:t>
      </w:r>
      <w:r w:rsidR="00CC6B70" w:rsidRPr="00BD3AAC">
        <w:rPr>
          <w:lang w:val="en-US"/>
        </w:rPr>
        <w:t xml:space="preserve">Of these domains, nutritional </w:t>
      </w:r>
      <w:r w:rsidR="0078270E">
        <w:rPr>
          <w:lang w:val="en-US"/>
        </w:rPr>
        <w:t xml:space="preserve">and functional </w:t>
      </w:r>
      <w:r w:rsidR="00CC6B70" w:rsidRPr="00BD3AAC">
        <w:rPr>
          <w:lang w:val="en-US"/>
        </w:rPr>
        <w:t xml:space="preserve">status </w:t>
      </w:r>
      <w:r w:rsidR="0078270E">
        <w:rPr>
          <w:lang w:val="en-US"/>
        </w:rPr>
        <w:t xml:space="preserve">including </w:t>
      </w:r>
      <w:r w:rsidR="00CC6B70" w:rsidRPr="00BD3AAC">
        <w:rPr>
          <w:lang w:val="en-US"/>
        </w:rPr>
        <w:t xml:space="preserve">mobility appear to have the strongest association with negative oncologic outcomes, such as surgery-related complications, </w:t>
      </w:r>
      <w:r w:rsidR="00CC6B70" w:rsidRPr="00BD3AAC">
        <w:rPr>
          <w:lang w:val="en-US"/>
        </w:rPr>
        <w:lastRenderedPageBreak/>
        <w:t>toxicity of chemotherapy, functional decline</w:t>
      </w:r>
      <w:r w:rsidR="00E25943">
        <w:rPr>
          <w:lang w:val="en-US"/>
        </w:rPr>
        <w:t>,</w:t>
      </w:r>
      <w:r w:rsidR="00CC6B70" w:rsidRPr="00BD3AAC">
        <w:rPr>
          <w:lang w:val="en-US"/>
        </w:rPr>
        <w:t xml:space="preserve"> and mortality</w:t>
      </w:r>
      <w:r w:rsidR="000272B4">
        <w:rPr>
          <w:lang w:val="en-US"/>
        </w:rPr>
        <w:t>.</w:t>
      </w:r>
      <w:r w:rsidR="00BC219F">
        <w:rPr>
          <w:lang w:val="en-US"/>
        </w:rPr>
        <w:fldChar w:fldCharType="begin" w:fldLock="1"/>
      </w:r>
      <w:r w:rsidR="00BC219F">
        <w:rPr>
          <w:lang w:val="en-US"/>
        </w:rPr>
        <w:instrText>ADDIN CSL_CITATION {"citationItems":[{"id":"ITEM-1","itemData":{"DOI":"10.1016/J.JGO.2022.04.008","ISSN":"1879-4076","PMID":"35545495","abstract":"Aim: The aim of this systematic review is to summarize all available data on the effect of a geriatric assessment in older patients with cancer, for oncologic treatment decisions, the implementation of non-oncologic interventions, patient-doctor communication, and treatment outcome. Additionally, we examined the impact of the type of assessment used. Methods: Systematic Medline and Embase search for studies on the effect of a geriatric assessment on oncologic treatment decisions, non-oncologic interventions, communication, and outcome. Results: Sixty-five publications from 61 studies were included. After a geriatric assessment, the oncologic treatment plan was altered in a median of 31% of patients (range 7–56%), with highest change rates in studies using a multidisciplinary team evaluation. Non-oncologic interventions were recommended in over 70% of patients, provided that an intervention plan or specific expertise was in place. A geriatric assessment led to more goals-of-care discussions and improved communication. The geriatric assessment also led to lower toxicity/complication rates (most strongly if the assessment outcomes were considered during decision making), improved likelihood of treatment completion, and improved physical functioning and quality of life in the majority of included studies. Conclusion: A geriatric assessment can change oncologic treatment plans, leads to non-oncologic interventions, and improve communication about care planning and ageing-related issues. It can decrease toxicity/complications and improve treatment completion and patient-centred outcomes. If multidisciplinary or geriatric input is not available, having a pre-defined non-oncologic intervention plan is important. To maximize the effect on outcomes, the result of the geriatric assessment should be incorporated into oncologic decision-making.","author":[{"dropping-particle":"","family":"Hamaker","given":"Marije","non-dropping-particle":"","parse-names":false,"suffix":""},{"dropping-particle":"","family":"Lund","given":"Cecilia","non-dropping-particle":"","parse-names":false,"suffix":""},{"dropping-particle":"","family":"Molder","given":"Marthe","non-dropping-particle":"te","parse-names":false,"suffix":""},{"dropping-particle":"","family":"Soubeyran","given":"Pierre","non-dropping-particle":"","parse-names":false,"suffix":""},{"dropping-particle":"","family":"Wildiers","given":"Hans","non-dropping-particle":"","parse-names":false,"suffix":""},{"dropping-particle":"","family":"Huis","given":"Lieke","non-dropping-particle":"van","parse-names":false,"suffix":""},{"dropping-particle":"","family":"Rostoft","given":"Siri","non-dropping-particle":"","parse-names":false,"suffix":""}],"container-title":"Journal of geriatric oncology","id":"ITEM-1","issue":"6","issued":{"date-parts":[["2022","7","1"]]},"page":"761-777","publisher":"J Geriatr Oncol","title":"Geriatric assessment in the management of older patients with cancer - A systematic review (update)","type":"article-journal","volume":"13"},"uris":["http://www.mendeley.com/documents/?uuid=df0058e9-c16f-3932-af42-551fd48b298b"]}],"mendeley":{"formattedCitation":"&lt;sup&gt;21&lt;/sup&gt;","plainTextFormattedCitation":"21","previouslyFormattedCitation":"&lt;sup&gt;21&lt;/sup&gt;"},"properties":{"noteIndex":0},"schema":"https://github.com/citation-style-language/schema/raw/master/csl-citation.json"}</w:instrText>
      </w:r>
      <w:r w:rsidR="00BC219F">
        <w:rPr>
          <w:lang w:val="en-US"/>
        </w:rPr>
        <w:fldChar w:fldCharType="separate"/>
      </w:r>
      <w:r w:rsidR="00BC219F" w:rsidRPr="00BC219F">
        <w:rPr>
          <w:noProof/>
          <w:vertAlign w:val="superscript"/>
          <w:lang w:val="en-US"/>
        </w:rPr>
        <w:t>21</w:t>
      </w:r>
      <w:r w:rsidR="00BC219F">
        <w:rPr>
          <w:lang w:val="en-US"/>
        </w:rPr>
        <w:fldChar w:fldCharType="end"/>
      </w:r>
      <w:r w:rsidR="00CC6B70" w:rsidRPr="00BD3AAC">
        <w:rPr>
          <w:lang w:val="en-US"/>
        </w:rPr>
        <w:t xml:space="preserve"> </w:t>
      </w:r>
      <w:r w:rsidR="005B48EA">
        <w:rPr>
          <w:lang w:val="en-US"/>
        </w:rPr>
        <w:t>R</w:t>
      </w:r>
      <w:r w:rsidR="00CC6B70" w:rsidRPr="00BD3AAC">
        <w:rPr>
          <w:lang w:val="en-US"/>
        </w:rPr>
        <w:t xml:space="preserve">ecent studies have also demonstrated that while frailty and the underlying ageing processes are not easily reversible, </w:t>
      </w:r>
      <w:r w:rsidR="00E620C2" w:rsidRPr="00BD3AAC">
        <w:rPr>
          <w:lang w:val="en-US"/>
        </w:rPr>
        <w:t xml:space="preserve">modifying treatment and </w:t>
      </w:r>
      <w:r w:rsidR="00CC6B70" w:rsidRPr="00BD3AAC">
        <w:rPr>
          <w:lang w:val="en-US"/>
        </w:rPr>
        <w:t>providing additional support to the patient during the treatment trajectory can nonetheless improve outcomes</w:t>
      </w:r>
      <w:r w:rsidR="004F0494">
        <w:rPr>
          <w:lang w:val="en-US"/>
        </w:rPr>
        <w:t>.</w:t>
      </w:r>
      <w:r w:rsidR="009561B5">
        <w:rPr>
          <w:lang w:val="en-US"/>
        </w:rPr>
        <w:fldChar w:fldCharType="begin" w:fldLock="1"/>
      </w:r>
      <w:r w:rsidR="00340D1F">
        <w:rPr>
          <w:lang w:val="en-US"/>
        </w:rPr>
        <w:instrText>ADDIN CSL_CITATION {"citationItems":[{"id":"ITEM-1","itemData":{"DOI":"10.1001/jamaoncol.2021.4158","ISSN":"2374-2445","abstract":"Importance: Although geriatric assessment-driven intervention improves patient-centered outcomes, its influence on chemotherapy-related toxic effects remains unknown. Objective: To assess whether specific geriatric assessment-driven intervention (GAIN) can reduce chemotherapy-related toxic effects in older adults with cancer. Design, Setting, and Participants: A randomized clinical trial enrolled 613 participants from a National Cancer Institute-designated cancer center between 2015 and 2019. Patients were 65 years and older with a solid malignant neoplasm, were starting a new chemotherapy regimen, and completed a geriatric assessment. Patients were followed up until chemotherapy completion or 6 months after initiation, whichever occurred first. Data analysis was done by intention-to-treat principle. Interventions: Patients were randomized (2:1) to either the GAIN (intervention) or standard of care (SOC) arm. In the GAIN arm, a geriatrics-trained multidisciplinary team composed of an oncologist, nurse practitioner, social worker, physical/occupation therapist, nutritionist, and pharmacist reviewed geriatric assessment results and implemented interventions based on prespecified thresholds built into the geriatric assessment's domains. In the SOC arm, geriatric assessment results were sent to treating oncologists for consideration. Main Outcomes and Measures: The primary outcome was incidence of grade 3 or higher chemotherapy-related toxic effects (graded using National Cancer Institute Common Terminology Criteria for Adverse Events, version 4.0). Secondary outcomes included advance directive completion, emergency department visits, unplanned hospitalizations, average length of stay, unplanned hospital readmissions, chemotherapy dose modifications, and early discontinuation. Overall survival analysis was performed up to 12 months after chemotherapy initiation. Results: Among the 605 eligible participants for analysis, median (range) age was 71 (65-91) years, 357 (59.0%) were women, and 432 (71.4%) had stage IV disease. Cancer types included gastrointestinal (202 [33.4%]), breast (136 [22.5%]), lung (97 [16.0%]), genitourinary (91 [15.0%]), gynecologic (54 [8.9%]), and other (25 [4.1%]). Incidence of grade 3 or higher chemotherapy-related toxic effects was 50.5% (95% CI, 45.6% to 55.4%) in the GAIN arm and 60.6% (95% CI, 53.9% to 67.3%) in the SOC arm, resulting in a significant 10.1% reduction (95% CI, -1.5 to -18.2%; P =.02). A significant absolute incre…","author":[{"dropping-particle":"","family":"Li","given":"D","non-dropping-particle":"","parse-names":false,"suffix":""},{"dropping-particle":"","family":"Sun","given":"C.-L.","non-dropping-particle":"","parse-names":false,"suffix":""},{"dropping-particle":"","family":"Kim","given":"H","non-dropping-particle":"","parse-names":false,"suffix":""},{"dropping-particle":"","family":"Soto-Perez-De-Celis","given":"E","non-dropping-particle":"","parse-names":false,"suffix":""},{"dropping-particle":"","family":"Chung","given":"V","non-dropping-particle":"","parse-names":false,"suffix":""},{"dropping-particle":"","family":"Koczywas","given":"M","non-dropping-particle":"","parse-names":false,"suffix":""},{"dropping-particle":"","family":"Fakih","given":"M","non-dropping-particle":"","parse-names":false,"suffix":""},{"dropping-particle":"","family":"Chao","given":"J","non-dropping-particle":"","parse-names":false,"suffix":""},{"dropping-particle":"","family":"Cabrera Chien","given":"L","non-dropping-particle":"","parse-names":false,"suffix":""},{"dropping-particle":"","family":"Charles","given":"K","non-dropping-particle":"","parse-names":false,"suffix":""},{"dropping-particle":"","family":"Hughes","given":"S.F.D.S.","non-dropping-particle":"","parse-names":false,"suffix":""},{"dropping-particle":"","family":"Katheria","given":"V","non-dropping-particle":"","parse-names":false,"suffix":""},{"dropping-particle":"","family":"Trent","given":"M","non-dropping-particle":"","parse-names":false,"suffix":""},{"dropping-particle":"","family":"Roberts","given":"E","non-dropping-particle":"","parse-names":false,"suffix":""},{"dropping-particle":"","family":"Jayani","given":"R","non-dropping-particle":"","parse-names":false,"suffix":""},{"dropping-particle":"","family":"Moreno","given":"J","non-dropping-particle":"","parse-names":false,"suffix":""},{"dropping-particle":"","family":"Kelly","given":"C","non-dropping-particle":"","parse-names":false,"suffix":""},{"dropping-particle":"","family":"Sedrak","given":"M S","non-dropping-particle":"","parse-names":false,"suffix":""},{"dropping-particle":"","family":"Dale","given":"W","non-dropping-particle":"","parse-names":false,"suffix":""}],"container-title":"JAMA Oncology","id":"ITEM-1","issued":{"date-parts":[["2021"]]},"language":"English","title":"Geriatric Assessment-Driven Intervention (GAIN) on Chemotherapy-Related Toxic Effects in Older Adults with Cancer: A Randomized Clinical Trial","type":"article-journal"},"uris":["http://www.mendeley.com/documents/?uuid=efe35424-2ca2-39b5-9994-9d972bd621cb"]},{"id":"ITEM-2","itemData":{"DOI":"10.1016/S0140-6736(21)01789-X","ISSN":"1474-547X","PMID":"34741815","abstract":"Background: Older adults with advanced cancer are at a high risk for treatment toxic effects. Geriatric assessment evaluates ageing-related domains and guides management. We examined whether a geriatric assessment intervention can reduce serious toxic effects in older patients with advanced cancer who are receiving high risk treatment (eg, chemotherapy). Methods: In this cluster-randomised trial, we enrolled patients aged 70 years and older with incurable solid tumours or lymphoma and at least one impaired geriatric assessment domain who were starting a new treatment regimen. 40 community oncology practice clusters across the USA were randomly assigned (1:1) to the intervention (oncologists received a tailored geriatric assessment summary and management recommendations) or usual care (no geriatric assessment summary or management recommendations were provided to oncologists) by means of a computer-generated randomisation table. The primary outcome was the proportion of patients who had any grade 3–5 toxic effect (based on National Cancer Institute Common Terminology Criteria for Adverse Events version 4) over 3 months. Practice staff prospectively captured toxic effects. Masked oncology clinicians reviewed medical records to verify. The study was registered with ClinicalTrials.gov, NCT02054741. Findings: Between July 29, 2014, and March 13, 2019, we enrolled 718 patients. Patients had a mean age of 77·2 years (SD 5·4) and 311 (43%) of 718 participants were female. The mean number of geriatric assessment domain impairments was 4·5 (SD 1·6) and was not significantly different between the study groups. More patients in intervention group compared with the usual care group were Black versus other races (40 [11%] of 349 patients vs 12 [3%] of 369 patients; p&lt;0·0001) and had previous chemotherapy (104 [30%] of 349 patients vs 81 [22%] of 369 patients; p=0·016). A lower proportion of patients in the intervention group had grade 3–5 toxic effects (177 [51%] of 349 patients) compared with the usual care group (263 [71%] of 369 patients; relative risk [RR] 0·74 (95% CI 0·64–0·86; p=0·0001). Patients in the intervention group had fewer falls over 3 months (35 [12%] of 298 patients vs 68 [21%] of 329 patients; adjusted RR 0·58, 95% CI 0·40–0·84; p=0·0035) and had more medications discontinued (mean adjusted difference 0·14, 95% CI 0·03–0·25; p=0·015). Interpretation: A geriatric assessment intervention for older patients with advanced cancer reduced serious toxic e…","author":[{"dropping-particle":"","family":"Mohile","given":"Supriya G.","non-dropping-particle":"","parse-names":false,"suffix":""},{"dropping-particle":"","family":"Mohamed","given":"Mostafa R.","non-dropping-particle":"","parse-names":false,"suffix":""},{"dropping-particle":"","family":"Xu","given":"Huiwen","non-dropping-particle":"","parse-names":false,"suffix":""},{"dropping-particle":"","family":"Culakova","given":"Eva","non-dropping-particle":"","parse-names":false,"suffix":""},{"dropping-particle":"","family":"Loh","given":"Kah Poh","non-dropping-particle":"","parse-names":false,"suffix":""},{"dropping-particle":"","family":"Magnuson","given":"Allison","non-dropping-particle":"","parse-names":false,"suffix":""},{"dropping-particle":"","family":"Flannery","given":"Marie A.","non-dropping-particle":"","parse-names":false,"suffix":""},{"dropping-particle":"","family":"Obrecht","given":"Spencer","non-dropping-particle":"","parse-names":false,"suffix":""},{"dropping-particle":"","family":"Gilmore","given":"Nikesha","non-dropping-particle":"","parse-names":false,"suffix":""},{"dropping-particle":"","family":"Ramsdale","given":"Erika","non-dropping-particle":"","parse-names":false,"suffix":""},{"dropping-particle":"","family":"Dunne","given":"Richard F.","non-dropping-particle":"","parse-names":false,"suffix":""},{"dropping-particle":"","family":"Wildes","given":"Tanya","non-dropping-particle":"","parse-names":false,"suffix":""},{"dropping-particle":"","family":"Plumb","given":"Sandy","non-dropping-particle":"","parse-names":false,"suffix":""},{"dropping-particle":"","family":"Patil","given":"Amita","non-dropping-particle":"","parse-names":false,"suffix":""},{"dropping-particle":"","family":"Wells","given":"Megan","non-dropping-particle":"","parse-names":false,"suffix":""},{"dropping-particle":"","family":"Lowenstein","given":"Lisa","non-dropping-particle":"","parse-names":false,"suffix":""},{"dropping-particle":"","family":"Janelsins","given":"Michelle","non-dropping-particle":"","parse-names":false,"suffix":""},{"dropping-particle":"","family":"Mustian","given":"Karen","non-dropping-particle":"","parse-names":false,"suffix":""},{"dropping-particle":"","family":"Hopkins","given":"Judith O.","non-dropping-particle":"","parse-names":false,"suffix":""},{"dropping-particle":"","family":"Berenberg","given":"Jeffrey","non-dropping-particle":"","parse-names":false,"suffix":""},{"dropping-particle":"","family":"Anthony","given":"Navin","non-dropping-particle":"","parse-names":false,"suffix":""},{"dropping-particle":"","family":"Dale","given":"William","non-dropping-particle":"","parse-names":false,"suffix":""}],"container-title":"Lancet (London, England)","id":"ITEM-2","issue":"10314","issued":{"date-parts":[["2021","11","20"]]},"page":"1894-1904","publisher":"Lancet","title":"Evaluation of geriatric assessment and management on the toxic effects of cancer treatment (GAP70+): a cluster-randomised study","type":"article-journal","volume":"398"},"uris":["http://www.mendeley.com/documents/?uuid=68e983af-4be4-3194-a5bd-be8761726dd5"]},{"id":"ITEM-3","itemData":{"author":[{"dropping-particle":"","family":"Soo","given":"WK","non-dropping-particle":"","parse-names":false,"suffix":""},{"dropping-particle":"","family":"King","given":"M","non-dropping-particle":"","parse-names":false,"suffix":""},{"dropping-particle":"","family":"Pope","given":"A","non-dropping-particle":"","parse-names":false,"suffix":""},{"dropping-particle":"","family":"Parente","given":"P","non-dropping-particle":"","parse-names":false,"suffix":""},{"dropping-particle":"","family":"Darzins","given":"P","non-dropping-particle":"","parse-names":false,"suffix":""},{"dropping-particle":"","family":"Davis","given":"ID","non-dropping-particle":"","parse-names":false,"suffix":""}],"container-title":"Journal of Clinical Oncology","id":"ITEM-3","issue":"S","issued":{"date-parts":[["2020"]]},"page":"12011","title":"Integrated geriatric assessment and treatment (INTEGERATE) in older people with cancer planned for systemic anticancer therapy.","type":"article-journal","volume":"38"},"uris":["http://www.mendeley.com/documents/?uuid=0158f8a1-4024-365b-9dea-8d67e471552a"]},{"id":"ITEM-4","itemData":{"DOI":"10.1016/j.jgo.2020.07.009","ISSN":"1879-4068","author":[{"dropping-particle":"","family":"Giri","given":"S","non-dropping-particle":"","parse-names":false,"suffix":""},{"dropping-particle":"","family":"Chakiba","given":"C","non-dropping-particle":"","parse-names":false,"suffix":""},{"dropping-particle":"","family":"Shih","given":"Y.-Y.","non-dropping-particle":"","parse-names":false,"suffix":""},{"dropping-particle":"","family":"Chan","given":"W.-L.","non-dropping-particle":"","parse-names":false,"suffix":""},{"dropping-particle":"","family":"Krok-Schoen","given":"J L","non-dropping-particle":"","parse-names":false,"suffix":""},{"dropping-particle":"","family":"Presley","given":"C J","non-dropping-particle":"","parse-names":false,"suffix":""},{"dropping-particle":"","family":"Williams","given":"G R","non-dropping-particle":"","parse-names":false,"suffix":""},{"dropping-particle":"","family":"Subbiah","given":"I M","non-dropping-particle":"","parse-names":false,"suffix":""}],"container-title":"Journal of Geriatric Oncology","id":"ITEM-4","issue":"8","issued":{"date-parts":[["2020"]]},"language":"English","page":"1324-1328","title":"Integration of geriatric assessment into routine oncologic care and advances in geriatric oncology: A young International Society of Geriatric Oncology Report of the 2020 American Society of Clinical Oncology (ASCO) annual meeting","type":"article-journal","volume":"11"},"uris":["http://www.mendeley.com/documents/?uuid=1bab6ede-80c7-3f1c-9d57-7ea9c9882634"]}],"mendeley":{"formattedCitation":"&lt;sup&gt;2–4,22&lt;/sup&gt;","manualFormatting":"2–4","plainTextFormattedCitation":"2–4,22","previouslyFormattedCitation":"&lt;sup&gt;2–4,22&lt;/sup&gt;"},"properties":{"noteIndex":0},"schema":"https://github.com/citation-style-language/schema/raw/master/csl-citation.json"}</w:instrText>
      </w:r>
      <w:r w:rsidR="009561B5">
        <w:rPr>
          <w:lang w:val="en-US"/>
        </w:rPr>
        <w:fldChar w:fldCharType="separate"/>
      </w:r>
      <w:r w:rsidR="00BC219F" w:rsidRPr="00BC219F">
        <w:rPr>
          <w:noProof/>
          <w:vertAlign w:val="superscript"/>
          <w:lang w:val="en-US"/>
        </w:rPr>
        <w:t>2–4</w:t>
      </w:r>
      <w:r w:rsidR="009561B5">
        <w:rPr>
          <w:lang w:val="en-US"/>
        </w:rPr>
        <w:fldChar w:fldCharType="end"/>
      </w:r>
      <w:r w:rsidR="009561B5">
        <w:rPr>
          <w:lang w:val="en-US"/>
        </w:rPr>
        <w:t xml:space="preserve"> </w:t>
      </w:r>
      <w:r w:rsidR="00DB6197" w:rsidRPr="00BD3AAC">
        <w:rPr>
          <w:lang w:val="en-US"/>
        </w:rPr>
        <w:t xml:space="preserve">For example, </w:t>
      </w:r>
      <w:r w:rsidR="00CC6B70" w:rsidRPr="00BD3AAC">
        <w:rPr>
          <w:lang w:val="en-US"/>
        </w:rPr>
        <w:t xml:space="preserve">the recently published </w:t>
      </w:r>
      <w:r w:rsidR="00DB6197" w:rsidRPr="00BD3AAC">
        <w:rPr>
          <w:lang w:val="en-US"/>
        </w:rPr>
        <w:t xml:space="preserve">landmark trial </w:t>
      </w:r>
      <w:r w:rsidR="00CC6B70" w:rsidRPr="00BD3AAC">
        <w:rPr>
          <w:lang w:val="en-US"/>
        </w:rPr>
        <w:t xml:space="preserve">GAP70+ </w:t>
      </w:r>
      <w:r w:rsidR="00E620C2" w:rsidRPr="00BD3AAC">
        <w:rPr>
          <w:lang w:val="en-US"/>
        </w:rPr>
        <w:t>showed that</w:t>
      </w:r>
      <w:r w:rsidR="00DB6197" w:rsidRPr="00BD3AAC">
        <w:rPr>
          <w:lang w:val="en-US"/>
        </w:rPr>
        <w:t xml:space="preserve"> in older patients being considered for chemotherapy, </w:t>
      </w:r>
      <w:r w:rsidR="00E620C2" w:rsidRPr="00BD3AAC">
        <w:rPr>
          <w:lang w:val="en-US"/>
        </w:rPr>
        <w:t xml:space="preserve">a frailty assessment </w:t>
      </w:r>
      <w:r w:rsidR="00DB6197" w:rsidRPr="00BD3AAC">
        <w:rPr>
          <w:lang w:val="en-US"/>
        </w:rPr>
        <w:t>with subsequent web-based management recommendations was able to significantly decrease the proportion of patients experiencing grade 3-5 toxic effects in the first three months of treatment (51% compared to 71% in usual care, p&lt;0.001)</w:t>
      </w:r>
      <w:r w:rsidR="00BC219F">
        <w:rPr>
          <w:lang w:val="en-US"/>
        </w:rPr>
        <w:t>.</w:t>
      </w:r>
      <w:r w:rsidR="00BC219F">
        <w:rPr>
          <w:lang w:val="en-US"/>
        </w:rPr>
        <w:fldChar w:fldCharType="begin" w:fldLock="1"/>
      </w:r>
      <w:r w:rsidR="00BC219F">
        <w:rPr>
          <w:lang w:val="en-US"/>
        </w:rPr>
        <w:instrText>ADDIN CSL_CITATION {"citationItems":[{"id":"ITEM-1","itemData":{"DOI":"10.1016/S0140-6736(21)01789-X","ISSN":"1474-547X","PMID":"34741815","abstract":"Background: Older adults with advanced cancer are at a high risk for treatment toxic effects. Geriatric assessment evaluates ageing-related domains and guides management. We examined whether a geriatric assessment intervention can reduce serious toxic effects in older patients with advanced cancer who are receiving high risk treatment (eg, chemotherapy). Methods: In this cluster-randomised trial, we enrolled patients aged 70 years and older with incurable solid tumours or lymphoma and at least one impaired geriatric assessment domain who were starting a new treatment regimen. 40 community oncology practice clusters across the USA were randomly assigned (1:1) to the intervention (oncologists received a tailored geriatric assessment summary and management recommendations) or usual care (no geriatric assessment summary or management recommendations were provided to oncologists) by means of a computer-generated randomisation table. The primary outcome was the proportion of patients who had any grade 3–5 toxic effect (based on National Cancer Institute Common Terminology Criteria for Adverse Events version 4) over 3 months. Practice staff prospectively captured toxic effects. Masked oncology clinicians reviewed medical records to verify. The study was registered with ClinicalTrials.gov, NCT02054741. Findings: Between July 29, 2014, and March 13, 2019, we enrolled 718 patients. Patients had a mean age of 77·2 years (SD 5·4) and 311 (43%) of 718 participants were female. The mean number of geriatric assessment domain impairments was 4·5 (SD 1·6) and was not significantly different between the study groups. More patients in intervention group compared with the usual care group were Black versus other races (40 [11%] of 349 patients vs 12 [3%] of 369 patients; p&lt;0·0001) and had previous chemotherapy (104 [30%] of 349 patients vs 81 [22%] of 369 patients; p=0·016). A lower proportion of patients in the intervention group had grade 3–5 toxic effects (177 [51%] of 349 patients) compared with the usual care group (263 [71%] of 369 patients; relative risk [RR] 0·74 (95% CI 0·64–0·86; p=0·0001). Patients in the intervention group had fewer falls over 3 months (35 [12%] of 298 patients vs 68 [21%] of 329 patients; adjusted RR 0·58, 95% CI 0·40–0·84; p=0·0035) and had more medications discontinued (mean adjusted difference 0·14, 95% CI 0·03–0·25; p=0·015). Interpretation: A geriatric assessment intervention for older patients with advanced cancer reduced serious toxic e…","author":[{"dropping-particle":"","family":"Mohile","given":"Supriya G.","non-dropping-particle":"","parse-names":false,"suffix":""},{"dropping-particle":"","family":"Mohamed","given":"Mostafa R.","non-dropping-particle":"","parse-names":false,"suffix":""},{"dropping-particle":"","family":"Xu","given":"Huiwen","non-dropping-particle":"","parse-names":false,"suffix":""},{"dropping-particle":"","family":"Culakova","given":"Eva","non-dropping-particle":"","parse-names":false,"suffix":""},{"dropping-particle":"","family":"Loh","given":"Kah Poh","non-dropping-particle":"","parse-names":false,"suffix":""},{"dropping-particle":"","family":"Magnuson","given":"Allison","non-dropping-particle":"","parse-names":false,"suffix":""},{"dropping-particle":"","family":"Flannery","given":"Marie A.","non-dropping-particle":"","parse-names":false,"suffix":""},{"dropping-particle":"","family":"Obrecht","given":"Spencer","non-dropping-particle":"","parse-names":false,"suffix":""},{"dropping-particle":"","family":"Gilmore","given":"Nikesha","non-dropping-particle":"","parse-names":false,"suffix":""},{"dropping-particle":"","family":"Ramsdale","given":"Erika","non-dropping-particle":"","parse-names":false,"suffix":""},{"dropping-particle":"","family":"Dunne","given":"Richard F.","non-dropping-particle":"","parse-names":false,"suffix":""},{"dropping-particle":"","family":"Wildes","given":"Tanya","non-dropping-particle":"","parse-names":false,"suffix":""},{"dropping-particle":"","family":"Plumb","given":"Sandy","non-dropping-particle":"","parse-names":false,"suffix":""},{"dropping-particle":"","family":"Patil","given":"Amita","non-dropping-particle":"","parse-names":false,"suffix":""},{"dropping-particle":"","family":"Wells","given":"Megan","non-dropping-particle":"","parse-names":false,"suffix":""},{"dropping-particle":"","family":"Lowenstein","given":"Lisa","non-dropping-particle":"","parse-names":false,"suffix":""},{"dropping-particle":"","family":"Janelsins","given":"Michelle","non-dropping-particle":"","parse-names":false,"suffix":""},{"dropping-particle":"","family":"Mustian","given":"Karen","non-dropping-particle":"","parse-names":false,"suffix":""},{"dropping-particle":"","family":"Hopkins","given":"Judith O.","non-dropping-particle":"","parse-names":false,"suffix":""},{"dropping-particle":"","family":"Berenberg","given":"Jeffrey","non-dropping-particle":"","parse-names":false,"suffix":""},{"dropping-particle":"","family":"Anthony","given":"Navin","non-dropping-particle":"","parse-names":false,"suffix":""},{"dropping-particle":"","family":"Dale","given":"William","non-dropping-particle":"","parse-names":false,"suffix":""}],"container-title":"Lancet (London, England)","id":"ITEM-1","issue":"10314","issued":{"date-parts":[["2021","11","20"]]},"page":"1894-1904","publisher":"Lancet","title":"Evaluation of geriatric assessment and management on the toxic effects of cancer treatment (GAP70+): a cluster-randomised study","type":"article-journal","volume":"398"},"uris":["http://www.mendeley.com/documents/?uuid=68e983af-4be4-3194-a5bd-be8761726dd5"]}],"mendeley":{"formattedCitation":"&lt;sup&gt;3&lt;/sup&gt;","plainTextFormattedCitation":"3","previouslyFormattedCitation":"&lt;sup&gt;3&lt;/sup&gt;"},"properties":{"noteIndex":0},"schema":"https://github.com/citation-style-language/schema/raw/master/csl-citation.json"}</w:instrText>
      </w:r>
      <w:r w:rsidR="00BC219F">
        <w:rPr>
          <w:lang w:val="en-US"/>
        </w:rPr>
        <w:fldChar w:fldCharType="separate"/>
      </w:r>
      <w:r w:rsidR="00BC219F" w:rsidRPr="00BC219F">
        <w:rPr>
          <w:noProof/>
          <w:vertAlign w:val="superscript"/>
          <w:lang w:val="en-US"/>
        </w:rPr>
        <w:t>3</w:t>
      </w:r>
      <w:r w:rsidR="00BC219F">
        <w:rPr>
          <w:lang w:val="en-US"/>
        </w:rPr>
        <w:fldChar w:fldCharType="end"/>
      </w:r>
      <w:r w:rsidR="00DB6197" w:rsidRPr="00BD3AAC">
        <w:rPr>
          <w:lang w:val="en-US"/>
        </w:rPr>
        <w:t xml:space="preserve"> </w:t>
      </w:r>
      <w:r w:rsidR="003F0EB7" w:rsidRPr="00BD3AAC">
        <w:rPr>
          <w:lang w:val="en-US"/>
        </w:rPr>
        <w:t>In surgery, geriatric co-management based on the evaluation of frailty led to an increase</w:t>
      </w:r>
      <w:r w:rsidR="00AE44FC">
        <w:rPr>
          <w:lang w:val="en-US"/>
        </w:rPr>
        <w:t>d</w:t>
      </w:r>
      <w:r w:rsidR="003F0EB7" w:rsidRPr="00BD3AAC">
        <w:rPr>
          <w:lang w:val="en-US"/>
        </w:rPr>
        <w:t xml:space="preserve"> use of inpatient paramedical support services and a decrease in postoperative mortality after colorectal surgery (4.3% vs. 8.9% with usual care, p&lt;0.001)</w:t>
      </w:r>
      <w:r w:rsidR="000272B4">
        <w:rPr>
          <w:lang w:val="en-US"/>
        </w:rPr>
        <w:t>.</w:t>
      </w:r>
      <w:r w:rsidR="00BC219F">
        <w:rPr>
          <w:lang w:val="en-US"/>
        </w:rPr>
        <w:fldChar w:fldCharType="begin" w:fldLock="1"/>
      </w:r>
      <w:r w:rsidR="00BC219F">
        <w:rPr>
          <w:lang w:val="en-US"/>
        </w:rPr>
        <w:instrText>ADDIN CSL_CITATION {"citationItems":[{"id":"ITEM-1","itemData":{"DOI":"10.1001/JAMANETWORKOPEN.2020.9265","ISSN":"2574-3805","PMID":"32822490","abstract":"Importance: Collaboration between geriatricians and surgeons in the perioperative treatment of older patients has been associated with improved outcomes in several nononcologic specialties. Similar associations may be possible among older patients with cancer. Objective: To investigate the associations of geriatric comanagement of care for older patients undergoing cancer-related surgical treatment with 90-day postoperative mortality, rate of adverse surgical events, and postoperative use of inpatient supportive care services. Design, Setting, and Participants: This retrospective cohort study assessed outcomes of patients who received geriatric comanaged care vs those who did not using multivariable logistic regression analysis, with 90-day mortality as the outcome and geriatric comanagement of care as the main variable, with adjustment for age, sex, American Society of Anesthesiology score, Memorial Sloan Kettering Frailty Index score, preoperative albumin level, operative time, and estimated blood loss. A similar model was used to assess the association of geriatric comanagement with adverse surgical events, defined as any major complication, readmission, or emergency department visit within 30 days. Patients aged 75 years and older who underwent an elective surgical procedure with a hospital stay of at least 1 day at a single tertiary-care cancer center between February 2015 and February 2018 were included. Data were analyzed from January to July 2019. Exposures: Postoperative care comanaged by the geriatrics service and surgical service (geriatric comanagement group) vs by the surgical service only (surgical service group). Main Outcomes and Measures: 90-day mortality, adverse surgical events, and use of supportive care services. Results: Of 1892 patients included, 1020 (53.9%) received geriatric comanagement of care; these patients, compared with those who received care managed by the surgery service only, were older (mean [SD] age, 81 [4] years vs 80 [4] years; P &lt;.001), had longer operative time (mean [SD], 203 [146] minutes vs 138 [112] minutes; P &lt;.001), and longer length of stay (median [interquartile range], 5 [3-8] days vs 4 [2-7] days; P &lt;.001). There were no differences in the proportions of men (488 [47.8%] men vs 450 [51.6%] men; P =.11). Adverse surgical events were not significantly different between groups (odds ratio, 0.93 [95% CI, 0.73-1.18]; P =.54). However, the adjusted probability of death within 90 days after surgical treatment…","author":[{"dropping-particle":"","family":"Shahrokni","given":"Armin","non-dropping-particle":"","parse-names":false,"suffix":""},{"dropping-particle":"","family":"Tin","given":"Amy L.","non-dropping-particle":"","parse-names":false,"suffix":""},{"dropping-particle":"","family":"Sarraf","given":"Saman","non-dropping-particle":"","parse-names":false,"suffix":""},{"dropping-particle":"","family":"Alexander","given":"Koshy","non-dropping-particle":"","parse-names":false,"suffix":""},{"dropping-particle":"","family":"Sun","given":"Steve","non-dropping-particle":"","parse-names":false,"suffix":""},{"dropping-particle":"","family":"Kim","given":"Soo Jung","non-dropping-particle":"","parse-names":false,"suffix":""},{"dropping-particle":"","family":"McMillan","given":"Sincere","non-dropping-particle":"","parse-names":false,"suffix":""},{"dropping-particle":"","family":"Yulico","given":"Heidi","non-dropping-particle":"","parse-names":false,"suffix":""},{"dropping-particle":"","family":"Amirnia","given":"Farnia","non-dropping-particle":"","parse-names":false,"suffix":""},{"dropping-particle":"","family":"Downey","given":"Robert J.","non-dropping-particle":"","parse-names":false,"suffix":""},{"dropping-particle":"","family":"Vickers","given":"Andrew J.","non-dropping-particle":"","parse-names":false,"suffix":""},{"dropping-particle":"","family":"Korc-Grodzicki","given":"Beatriz","non-dropping-particle":"","parse-names":false,"suffix":""}],"container-title":"JAMA network open","id":"ITEM-1","issue":"8","issued":{"date-parts":[["2020","8","19"]]},"publisher":"JAMA Netw Open","title":"Association of Geriatric Comanagement and 90-Day Postoperative Mortality Among Patients Aged 75 Years and Older With Cancer","type":"article-journal","volume":"3"},"uris":["http://www.mendeley.com/documents/?uuid=21b87b7d-6e42-3749-a436-ca2c64cb9079"]}],"mendeley":{"formattedCitation":"&lt;sup&gt;23&lt;/sup&gt;","plainTextFormattedCitation":"23","previouslyFormattedCitation":"&lt;sup&gt;23&lt;/sup&gt;"},"properties":{"noteIndex":0},"schema":"https://github.com/citation-style-language/schema/raw/master/csl-citation.json"}</w:instrText>
      </w:r>
      <w:r w:rsidR="00BC219F">
        <w:rPr>
          <w:lang w:val="en-US"/>
        </w:rPr>
        <w:fldChar w:fldCharType="separate"/>
      </w:r>
      <w:r w:rsidR="00BC219F" w:rsidRPr="00BC219F">
        <w:rPr>
          <w:noProof/>
          <w:vertAlign w:val="superscript"/>
          <w:lang w:val="en-US"/>
        </w:rPr>
        <w:t>23</w:t>
      </w:r>
      <w:r w:rsidR="00BC219F">
        <w:rPr>
          <w:lang w:val="en-US"/>
        </w:rPr>
        <w:fldChar w:fldCharType="end"/>
      </w:r>
      <w:r w:rsidR="000272B4">
        <w:rPr>
          <w:lang w:val="en-US"/>
        </w:rPr>
        <w:t xml:space="preserve"> </w:t>
      </w:r>
      <w:r w:rsidR="009A73E1">
        <w:rPr>
          <w:lang w:val="en-US"/>
        </w:rPr>
        <w:t>H</w:t>
      </w:r>
      <w:proofErr w:type="spellStart"/>
      <w:r w:rsidR="009A73E1" w:rsidRPr="00BD3AAC">
        <w:rPr>
          <w:lang w:val="en-GB"/>
        </w:rPr>
        <w:t>owever</w:t>
      </w:r>
      <w:proofErr w:type="spellEnd"/>
      <w:r w:rsidR="00DB6197" w:rsidRPr="00BD3AAC">
        <w:rPr>
          <w:lang w:val="en-GB"/>
        </w:rPr>
        <w:t>, there was no effect on surgical complication rates.</w:t>
      </w:r>
    </w:p>
    <w:p w14:paraId="147B2B96" w14:textId="77777777" w:rsidR="00DB6197" w:rsidRPr="00BD3AAC" w:rsidRDefault="00DB6197" w:rsidP="007E4BEC">
      <w:pPr>
        <w:spacing w:line="276" w:lineRule="auto"/>
        <w:rPr>
          <w:lang w:val="en-US"/>
        </w:rPr>
      </w:pPr>
      <w:r w:rsidRPr="00BD3AAC">
        <w:rPr>
          <w:lang w:val="en-US"/>
        </w:rPr>
        <w:t>Thus, assessing frailty provides a cross-sectional measurement of physical, functional and psychosocial reserves</w:t>
      </w:r>
      <w:r w:rsidR="005B48EA">
        <w:rPr>
          <w:lang w:val="en-US"/>
        </w:rPr>
        <w:t>,</w:t>
      </w:r>
      <w:r w:rsidRPr="00BD3AAC">
        <w:rPr>
          <w:lang w:val="en-US"/>
        </w:rPr>
        <w:t xml:space="preserve"> which allows for estimating risks of treatment as well as implementation of supportive interventions that may improve outcomes.</w:t>
      </w:r>
    </w:p>
    <w:p w14:paraId="5443CF24" w14:textId="77777777" w:rsidR="00DB6197" w:rsidRPr="000272B4" w:rsidRDefault="00DB6197" w:rsidP="007E4BEC">
      <w:pPr>
        <w:spacing w:line="276" w:lineRule="auto"/>
        <w:rPr>
          <w:lang w:val="en-US"/>
        </w:rPr>
      </w:pPr>
    </w:p>
    <w:p w14:paraId="486E7404" w14:textId="77777777" w:rsidR="00C66CB6" w:rsidRPr="00BD3AAC" w:rsidRDefault="00E620C2" w:rsidP="007E4BEC">
      <w:pPr>
        <w:spacing w:line="276" w:lineRule="auto"/>
        <w:ind w:left="720" w:right="1275"/>
        <w:rPr>
          <w:i/>
          <w:iCs/>
          <w:lang w:val="en-US"/>
        </w:rPr>
      </w:pPr>
      <w:r w:rsidRPr="00BD3AAC">
        <w:rPr>
          <w:i/>
          <w:iCs/>
          <w:lang w:val="en-US"/>
        </w:rPr>
        <w:t xml:space="preserve">Example: </w:t>
      </w:r>
      <w:r w:rsidR="00C73C40">
        <w:rPr>
          <w:i/>
          <w:iCs/>
          <w:lang w:val="en-US"/>
        </w:rPr>
        <w:t>It’s four year</w:t>
      </w:r>
      <w:r w:rsidR="005B48EA">
        <w:rPr>
          <w:i/>
          <w:iCs/>
          <w:lang w:val="en-US"/>
        </w:rPr>
        <w:t>s</w:t>
      </w:r>
      <w:r w:rsidR="00C73C40">
        <w:rPr>
          <w:i/>
          <w:iCs/>
          <w:lang w:val="en-US"/>
        </w:rPr>
        <w:t xml:space="preserve"> later: </w:t>
      </w:r>
      <w:r w:rsidRPr="00BD3AAC">
        <w:rPr>
          <w:i/>
          <w:iCs/>
          <w:lang w:val="en-US"/>
        </w:rPr>
        <w:t>Mr</w:t>
      </w:r>
      <w:r w:rsidR="00174A68">
        <w:rPr>
          <w:i/>
          <w:iCs/>
          <w:lang w:val="en-US"/>
        </w:rPr>
        <w:t>.</w:t>
      </w:r>
      <w:r w:rsidRPr="00BD3AAC">
        <w:rPr>
          <w:i/>
          <w:iCs/>
          <w:lang w:val="en-US"/>
        </w:rPr>
        <w:t xml:space="preserve"> C is now 79 years old. He has </w:t>
      </w:r>
      <w:r w:rsidR="00395E33" w:rsidRPr="00BD3AAC">
        <w:rPr>
          <w:i/>
          <w:iCs/>
          <w:lang w:val="en-US"/>
        </w:rPr>
        <w:t xml:space="preserve">recently been diagnosed with a </w:t>
      </w:r>
      <w:r w:rsidRPr="00BD3AAC">
        <w:rPr>
          <w:i/>
          <w:iCs/>
          <w:lang w:val="en-US"/>
        </w:rPr>
        <w:t>st</w:t>
      </w:r>
      <w:r w:rsidR="00395E33" w:rsidRPr="00BD3AAC">
        <w:rPr>
          <w:i/>
          <w:iCs/>
          <w:lang w:val="en-US"/>
        </w:rPr>
        <w:t>age</w:t>
      </w:r>
      <w:r w:rsidRPr="00BD3AAC">
        <w:rPr>
          <w:i/>
          <w:iCs/>
          <w:lang w:val="en-US"/>
        </w:rPr>
        <w:t xml:space="preserve"> II</w:t>
      </w:r>
      <w:r w:rsidR="00174A68">
        <w:rPr>
          <w:i/>
          <w:iCs/>
          <w:lang w:val="en-US"/>
        </w:rPr>
        <w:t xml:space="preserve"> tumor in his ascending</w:t>
      </w:r>
      <w:r w:rsidRPr="00BD3AAC">
        <w:rPr>
          <w:i/>
          <w:iCs/>
          <w:lang w:val="en-US"/>
        </w:rPr>
        <w:t xml:space="preserve"> </w:t>
      </w:r>
      <w:r w:rsidR="00395E33" w:rsidRPr="00BD3AAC">
        <w:rPr>
          <w:i/>
          <w:iCs/>
          <w:lang w:val="en-US"/>
        </w:rPr>
        <w:t>colon</w:t>
      </w:r>
      <w:r w:rsidR="00841B2D" w:rsidRPr="00BD3AAC">
        <w:rPr>
          <w:i/>
          <w:iCs/>
          <w:lang w:val="en-US"/>
        </w:rPr>
        <w:t>, which was discovered after he presented with anemia</w:t>
      </w:r>
      <w:r w:rsidRPr="00BD3AAC">
        <w:rPr>
          <w:i/>
          <w:iCs/>
          <w:lang w:val="en-US"/>
        </w:rPr>
        <w:t xml:space="preserve">. </w:t>
      </w:r>
      <w:r w:rsidR="00395E33" w:rsidRPr="00BD3AAC">
        <w:rPr>
          <w:i/>
          <w:iCs/>
          <w:lang w:val="en-US"/>
        </w:rPr>
        <w:t xml:space="preserve">A geriatric assessment is performed to determine </w:t>
      </w:r>
      <w:r w:rsidRPr="00BD3AAC">
        <w:rPr>
          <w:i/>
          <w:iCs/>
          <w:lang w:val="en-US"/>
        </w:rPr>
        <w:t>if he is eligible for surgery.</w:t>
      </w:r>
      <w:r w:rsidR="00395E33" w:rsidRPr="00BD3AAC">
        <w:rPr>
          <w:i/>
          <w:iCs/>
          <w:lang w:val="en-US"/>
        </w:rPr>
        <w:t xml:space="preserve"> </w:t>
      </w:r>
      <w:r w:rsidR="006F1465" w:rsidRPr="00BD3AAC">
        <w:rPr>
          <w:i/>
          <w:iCs/>
          <w:lang w:val="en-US"/>
        </w:rPr>
        <w:t>On the G8 frailty screening, he scores 12 out of 17 points, meaning he is potentially frail. Further assessment shows he has become increasingly housebound and now requires some help from his wife for transportation, shopping, housework</w:t>
      </w:r>
      <w:r w:rsidR="00C73C40">
        <w:rPr>
          <w:i/>
          <w:iCs/>
          <w:lang w:val="en-US"/>
        </w:rPr>
        <w:t>,</w:t>
      </w:r>
      <w:r w:rsidR="006F1465" w:rsidRPr="00BD3AAC">
        <w:rPr>
          <w:i/>
          <w:iCs/>
          <w:lang w:val="en-US"/>
        </w:rPr>
        <w:t xml:space="preserve"> and managing finances. </w:t>
      </w:r>
      <w:r w:rsidR="003972D8">
        <w:rPr>
          <w:i/>
          <w:iCs/>
          <w:lang w:val="en-US"/>
        </w:rPr>
        <w:t>He has had n</w:t>
      </w:r>
      <w:r w:rsidR="00C66CB6" w:rsidRPr="00BD3AAC">
        <w:rPr>
          <w:i/>
          <w:iCs/>
          <w:lang w:val="en-US"/>
        </w:rPr>
        <w:t xml:space="preserve">o recent falls but does have difficulties walking a block. His wife has urged him to stay more active but he finds it hard to motivate himself for this. His appetite is good but he has lost a few kilograms over the past year. He has mild cognitive impairment with a </w:t>
      </w:r>
      <w:r w:rsidRPr="00BD3AAC">
        <w:rPr>
          <w:i/>
          <w:iCs/>
          <w:lang w:val="en-US"/>
        </w:rPr>
        <w:t>Mini-Mental State Exam</w:t>
      </w:r>
      <w:r w:rsidR="005B48EA">
        <w:rPr>
          <w:i/>
          <w:iCs/>
          <w:lang w:val="en-US"/>
        </w:rPr>
        <w:t>ination score</w:t>
      </w:r>
      <w:r w:rsidR="006F1465" w:rsidRPr="00BD3AAC">
        <w:rPr>
          <w:i/>
          <w:iCs/>
          <w:lang w:val="en-US"/>
        </w:rPr>
        <w:t xml:space="preserve"> of 2</w:t>
      </w:r>
      <w:r w:rsidR="00C66CB6" w:rsidRPr="00BD3AAC">
        <w:rPr>
          <w:i/>
          <w:iCs/>
          <w:lang w:val="en-US"/>
        </w:rPr>
        <w:t xml:space="preserve">6 </w:t>
      </w:r>
      <w:r w:rsidR="006F1465" w:rsidRPr="00BD3AAC">
        <w:rPr>
          <w:i/>
          <w:iCs/>
          <w:lang w:val="en-US"/>
        </w:rPr>
        <w:t>out of 30</w:t>
      </w:r>
      <w:r w:rsidR="00C66CB6" w:rsidRPr="00BD3AAC">
        <w:rPr>
          <w:i/>
          <w:iCs/>
          <w:lang w:val="en-US"/>
        </w:rPr>
        <w:t>.</w:t>
      </w:r>
      <w:r w:rsidR="00BD3AAC" w:rsidRPr="00BD3AAC">
        <w:rPr>
          <w:i/>
          <w:iCs/>
          <w:lang w:val="en-US"/>
        </w:rPr>
        <w:t xml:space="preserve"> While he </w:t>
      </w:r>
      <w:r w:rsidR="00174A68" w:rsidRPr="00BD3AAC">
        <w:rPr>
          <w:i/>
          <w:iCs/>
          <w:lang w:val="en-US"/>
        </w:rPr>
        <w:t>d</w:t>
      </w:r>
      <w:r w:rsidR="00174A68">
        <w:rPr>
          <w:i/>
          <w:iCs/>
          <w:lang w:val="en-US"/>
        </w:rPr>
        <w:t>oes</w:t>
      </w:r>
      <w:r w:rsidR="00174A68" w:rsidRPr="00BD3AAC">
        <w:rPr>
          <w:i/>
          <w:iCs/>
          <w:lang w:val="en-US"/>
        </w:rPr>
        <w:t xml:space="preserve"> </w:t>
      </w:r>
      <w:r w:rsidR="00BD3AAC" w:rsidRPr="00BD3AAC">
        <w:rPr>
          <w:i/>
          <w:iCs/>
          <w:lang w:val="en-US"/>
        </w:rPr>
        <w:t xml:space="preserve">not have signs of a depression, he </w:t>
      </w:r>
      <w:r w:rsidR="00174A68">
        <w:rPr>
          <w:i/>
          <w:iCs/>
          <w:lang w:val="en-US"/>
        </w:rPr>
        <w:t>says</w:t>
      </w:r>
      <w:r w:rsidR="00BD3AAC" w:rsidRPr="00BD3AAC">
        <w:rPr>
          <w:i/>
          <w:iCs/>
          <w:lang w:val="en-US"/>
        </w:rPr>
        <w:t xml:space="preserve"> that he </w:t>
      </w:r>
      <w:r w:rsidR="00174A68" w:rsidRPr="00BD3AAC">
        <w:rPr>
          <w:i/>
          <w:iCs/>
          <w:lang w:val="en-US"/>
        </w:rPr>
        <w:t>f</w:t>
      </w:r>
      <w:r w:rsidR="00174A68">
        <w:rPr>
          <w:i/>
          <w:iCs/>
          <w:lang w:val="en-US"/>
        </w:rPr>
        <w:t>inds</w:t>
      </w:r>
      <w:r w:rsidR="00174A68" w:rsidRPr="00BD3AAC">
        <w:rPr>
          <w:i/>
          <w:iCs/>
          <w:lang w:val="en-US"/>
        </w:rPr>
        <w:t xml:space="preserve"> </w:t>
      </w:r>
      <w:r w:rsidR="00BD3AAC" w:rsidRPr="00BD3AAC">
        <w:rPr>
          <w:i/>
          <w:iCs/>
          <w:lang w:val="en-US"/>
        </w:rPr>
        <w:t xml:space="preserve">life increasingly boring. </w:t>
      </w:r>
      <w:r w:rsidRPr="00BD3AAC">
        <w:rPr>
          <w:i/>
          <w:iCs/>
          <w:lang w:val="en-US"/>
        </w:rPr>
        <w:t xml:space="preserve">He has </w:t>
      </w:r>
      <w:r w:rsidR="00BD3AAC" w:rsidRPr="00BD3AAC">
        <w:rPr>
          <w:i/>
          <w:iCs/>
          <w:lang w:val="en-US"/>
        </w:rPr>
        <w:t xml:space="preserve">very limited </w:t>
      </w:r>
      <w:r w:rsidRPr="00BD3AAC">
        <w:rPr>
          <w:i/>
          <w:iCs/>
          <w:lang w:val="en-US"/>
        </w:rPr>
        <w:t>social activit</w:t>
      </w:r>
      <w:r w:rsidR="00BD3AAC" w:rsidRPr="00BD3AAC">
        <w:rPr>
          <w:i/>
          <w:iCs/>
          <w:lang w:val="en-US"/>
        </w:rPr>
        <w:t>ies</w:t>
      </w:r>
      <w:r w:rsidRPr="00BD3AAC">
        <w:rPr>
          <w:i/>
          <w:iCs/>
          <w:lang w:val="en-US"/>
        </w:rPr>
        <w:t>, but</w:t>
      </w:r>
      <w:r w:rsidR="00BD3AAC" w:rsidRPr="00BD3AAC">
        <w:rPr>
          <w:i/>
          <w:iCs/>
          <w:lang w:val="en-US"/>
        </w:rPr>
        <w:t xml:space="preserve"> a loving relation</w:t>
      </w:r>
      <w:r w:rsidR="003972D8">
        <w:rPr>
          <w:i/>
          <w:iCs/>
          <w:lang w:val="en-US"/>
        </w:rPr>
        <w:t>ship</w:t>
      </w:r>
      <w:r w:rsidR="00BD3AAC" w:rsidRPr="00BD3AAC">
        <w:rPr>
          <w:i/>
          <w:iCs/>
          <w:lang w:val="en-US"/>
        </w:rPr>
        <w:t xml:space="preserve"> with his wife, who </w:t>
      </w:r>
      <w:r w:rsidR="003972D8" w:rsidRPr="00BD3AAC">
        <w:rPr>
          <w:i/>
          <w:iCs/>
          <w:lang w:val="en-US"/>
        </w:rPr>
        <w:t>provide</w:t>
      </w:r>
      <w:r w:rsidR="003972D8">
        <w:rPr>
          <w:i/>
          <w:iCs/>
          <w:lang w:val="en-US"/>
        </w:rPr>
        <w:t>s</w:t>
      </w:r>
      <w:r w:rsidR="003972D8" w:rsidRPr="00BD3AAC">
        <w:rPr>
          <w:i/>
          <w:iCs/>
          <w:lang w:val="en-US"/>
        </w:rPr>
        <w:t xml:space="preserve"> </w:t>
      </w:r>
      <w:r w:rsidRPr="00BD3AAC">
        <w:rPr>
          <w:i/>
          <w:iCs/>
          <w:lang w:val="en-US"/>
        </w:rPr>
        <w:t xml:space="preserve">excellent social support. </w:t>
      </w:r>
    </w:p>
    <w:p w14:paraId="5065926C" w14:textId="77777777" w:rsidR="00841B2D" w:rsidRPr="00BD3AAC" w:rsidRDefault="00C66CB6" w:rsidP="007E4BEC">
      <w:pPr>
        <w:spacing w:line="276" w:lineRule="auto"/>
        <w:ind w:left="720" w:right="1275"/>
        <w:rPr>
          <w:i/>
          <w:iCs/>
          <w:lang w:val="en-US"/>
        </w:rPr>
      </w:pPr>
      <w:r w:rsidRPr="00BD3AAC">
        <w:rPr>
          <w:i/>
          <w:iCs/>
          <w:lang w:val="en-US"/>
        </w:rPr>
        <w:t>Based on this assessment, the</w:t>
      </w:r>
      <w:r w:rsidR="00841B2D" w:rsidRPr="00BD3AAC">
        <w:rPr>
          <w:i/>
          <w:iCs/>
          <w:lang w:val="en-US"/>
        </w:rPr>
        <w:t xml:space="preserve"> treatment team determines that there</w:t>
      </w:r>
      <w:r w:rsidRPr="00BD3AAC">
        <w:rPr>
          <w:i/>
          <w:iCs/>
          <w:lang w:val="en-US"/>
        </w:rPr>
        <w:t xml:space="preserve"> will be an increased risk of surgical complications </w:t>
      </w:r>
      <w:r w:rsidR="00C73C40">
        <w:rPr>
          <w:i/>
          <w:iCs/>
          <w:lang w:val="en-US"/>
        </w:rPr>
        <w:t xml:space="preserve">because of </w:t>
      </w:r>
      <w:r w:rsidRPr="00BD3AAC">
        <w:rPr>
          <w:i/>
          <w:iCs/>
          <w:lang w:val="en-US"/>
        </w:rPr>
        <w:t>his limited physical performance and mobility</w:t>
      </w:r>
      <w:r w:rsidR="00E25943">
        <w:rPr>
          <w:i/>
          <w:iCs/>
          <w:lang w:val="en-US"/>
        </w:rPr>
        <w:t>,</w:t>
      </w:r>
      <w:r w:rsidRPr="00BD3AAC">
        <w:rPr>
          <w:i/>
          <w:iCs/>
          <w:lang w:val="en-US"/>
        </w:rPr>
        <w:t xml:space="preserve"> and his care dependence in IADLs. The weight loss is likely explained by deconditioning</w:t>
      </w:r>
      <w:r w:rsidR="00174A68">
        <w:rPr>
          <w:i/>
          <w:iCs/>
          <w:lang w:val="en-US"/>
        </w:rPr>
        <w:t xml:space="preserve"> and subsequent </w:t>
      </w:r>
      <w:r w:rsidRPr="00BD3AAC">
        <w:rPr>
          <w:i/>
          <w:iCs/>
          <w:lang w:val="en-US"/>
        </w:rPr>
        <w:t xml:space="preserve">muscle loss due to </w:t>
      </w:r>
      <w:r w:rsidR="00174A68">
        <w:rPr>
          <w:i/>
          <w:iCs/>
          <w:lang w:val="en-US"/>
        </w:rPr>
        <w:t>in</w:t>
      </w:r>
      <w:r w:rsidRPr="00BD3AAC">
        <w:rPr>
          <w:i/>
          <w:iCs/>
          <w:lang w:val="en-US"/>
        </w:rPr>
        <w:t xml:space="preserve">activity. His mildly decreased cognitive reserves are not a contraindication for surgery, but do increase his risk of post-operative delirium. </w:t>
      </w:r>
    </w:p>
    <w:p w14:paraId="63AF1252" w14:textId="77777777" w:rsidR="00E620C2" w:rsidRPr="00BD3AAC" w:rsidRDefault="00841B2D" w:rsidP="007E4BEC">
      <w:pPr>
        <w:spacing w:line="276" w:lineRule="auto"/>
        <w:ind w:left="720" w:right="1275"/>
        <w:rPr>
          <w:b/>
          <w:bCs/>
          <w:lang w:val="en-US"/>
        </w:rPr>
      </w:pPr>
      <w:r w:rsidRPr="00BD3AAC">
        <w:rPr>
          <w:i/>
          <w:iCs/>
          <w:lang w:val="en-US"/>
        </w:rPr>
        <w:t>A hemicolectomy is scheduled, and additional support is provided by a physiotherapist and a nutritionist; delirium prevention measures are put in place during the hospitalization phase.</w:t>
      </w:r>
    </w:p>
    <w:p w14:paraId="4E5ED2DE" w14:textId="77777777" w:rsidR="0030533A" w:rsidRPr="00BD3AAC" w:rsidRDefault="0030533A" w:rsidP="007E4BEC">
      <w:pPr>
        <w:spacing w:line="276" w:lineRule="auto"/>
        <w:rPr>
          <w:b/>
          <w:bCs/>
          <w:lang w:val="en-US"/>
        </w:rPr>
      </w:pPr>
    </w:p>
    <w:p w14:paraId="26CC6AE3" w14:textId="77777777" w:rsidR="00E25943" w:rsidRDefault="00E25943" w:rsidP="007E4BEC">
      <w:pPr>
        <w:spacing w:line="276" w:lineRule="auto"/>
        <w:rPr>
          <w:b/>
          <w:bCs/>
          <w:lang w:val="en-US"/>
        </w:rPr>
      </w:pPr>
    </w:p>
    <w:p w14:paraId="0B2D50F2" w14:textId="77777777" w:rsidR="00E25943" w:rsidRDefault="00E25943" w:rsidP="007E4BEC">
      <w:pPr>
        <w:spacing w:line="276" w:lineRule="auto"/>
        <w:rPr>
          <w:b/>
          <w:bCs/>
          <w:lang w:val="en-US"/>
        </w:rPr>
      </w:pPr>
    </w:p>
    <w:p w14:paraId="64871C85" w14:textId="77777777" w:rsidR="005A65B8" w:rsidRPr="00BD3AAC" w:rsidRDefault="005A65B8" w:rsidP="007E4BEC">
      <w:pPr>
        <w:spacing w:line="276" w:lineRule="auto"/>
        <w:rPr>
          <w:b/>
          <w:bCs/>
          <w:lang w:val="en-US"/>
        </w:rPr>
      </w:pPr>
      <w:r w:rsidRPr="00BD3AAC">
        <w:rPr>
          <w:b/>
          <w:bCs/>
          <w:lang w:val="en-US"/>
        </w:rPr>
        <w:t>Resilience</w:t>
      </w:r>
    </w:p>
    <w:p w14:paraId="2E5DF488" w14:textId="4C0E8513" w:rsidR="00F741C0" w:rsidRPr="00D25479" w:rsidRDefault="00F150C3" w:rsidP="007E4BEC">
      <w:pPr>
        <w:spacing w:line="276" w:lineRule="auto"/>
        <w:rPr>
          <w:lang w:val="en-US"/>
        </w:rPr>
      </w:pPr>
      <w:r>
        <w:rPr>
          <w:lang w:val="en-US"/>
        </w:rPr>
        <w:t>In</w:t>
      </w:r>
      <w:r w:rsidR="00E25943">
        <w:rPr>
          <w:lang w:val="en-US"/>
        </w:rPr>
        <w:t xml:space="preserve"> </w:t>
      </w:r>
      <w:r>
        <w:rPr>
          <w:lang w:val="en-US"/>
        </w:rPr>
        <w:t xml:space="preserve">addition </w:t>
      </w:r>
      <w:r w:rsidR="00B637FB">
        <w:rPr>
          <w:lang w:val="en-US"/>
        </w:rPr>
        <w:t>to</w:t>
      </w:r>
      <w:r w:rsidR="00B637FB" w:rsidRPr="00BD3AAC">
        <w:rPr>
          <w:lang w:val="en-US"/>
        </w:rPr>
        <w:t xml:space="preserve"> intrinsic capacity </w:t>
      </w:r>
      <w:r w:rsidR="00B637FB">
        <w:rPr>
          <w:lang w:val="en-US"/>
        </w:rPr>
        <w:t xml:space="preserve">and </w:t>
      </w:r>
      <w:r w:rsidR="00B637FB" w:rsidRPr="00BD3AAC">
        <w:rPr>
          <w:lang w:val="en-US"/>
        </w:rPr>
        <w:t>frailty</w:t>
      </w:r>
      <w:r w:rsidR="00B637FB">
        <w:rPr>
          <w:lang w:val="en-US"/>
        </w:rPr>
        <w:t xml:space="preserve">, the concept of resilience </w:t>
      </w:r>
      <w:r>
        <w:rPr>
          <w:lang w:val="en-US"/>
        </w:rPr>
        <w:t xml:space="preserve">has been </w:t>
      </w:r>
      <w:r w:rsidR="00B637FB">
        <w:rPr>
          <w:lang w:val="en-US"/>
        </w:rPr>
        <w:t xml:space="preserve">introduced. </w:t>
      </w:r>
      <w:r w:rsidR="0057504B" w:rsidRPr="00BD3AAC">
        <w:rPr>
          <w:rFonts w:cs="Arial"/>
          <w:lang w:val="en-US"/>
        </w:rPr>
        <w:t>Oncologic treatments inherently carry risk, even in the fittest of patients</w:t>
      </w:r>
      <w:r w:rsidR="00AE44FC">
        <w:rPr>
          <w:rFonts w:cs="Arial"/>
          <w:lang w:val="en-US"/>
        </w:rPr>
        <w:t xml:space="preserve">. These risks are deemed acceptable </w:t>
      </w:r>
      <w:r w:rsidR="0057504B" w:rsidRPr="00BD3AAC">
        <w:rPr>
          <w:rFonts w:cs="Arial"/>
          <w:lang w:val="en-US"/>
        </w:rPr>
        <w:t xml:space="preserve">given the expected benefit and with the underlying assumption that the patient will be able to recover </w:t>
      </w:r>
      <w:r w:rsidR="00F02EB2">
        <w:rPr>
          <w:rFonts w:cs="Arial"/>
          <w:lang w:val="en-US"/>
        </w:rPr>
        <w:t xml:space="preserve">sufficiently </w:t>
      </w:r>
      <w:r w:rsidR="0057504B" w:rsidRPr="00BD3AAC">
        <w:rPr>
          <w:rFonts w:cs="Arial"/>
          <w:lang w:val="en-US"/>
        </w:rPr>
        <w:t>from the injury caused by the cancer treatment</w:t>
      </w:r>
      <w:r w:rsidR="00AE44FC">
        <w:rPr>
          <w:rFonts w:cs="Arial"/>
          <w:lang w:val="en-US"/>
        </w:rPr>
        <w:t>.</w:t>
      </w:r>
      <w:r w:rsidR="0057504B" w:rsidRPr="00BD3AAC">
        <w:rPr>
          <w:rFonts w:cs="Arial"/>
          <w:lang w:val="en-US"/>
        </w:rPr>
        <w:t xml:space="preserve"> </w:t>
      </w:r>
      <w:r w:rsidR="005D70AA" w:rsidRPr="00BD3AAC">
        <w:rPr>
          <w:rFonts w:cs="Arial"/>
          <w:lang w:val="en-US"/>
        </w:rPr>
        <w:t xml:space="preserve">Frailty assessment has thus far proven most valuable </w:t>
      </w:r>
      <w:r w:rsidR="0057504B" w:rsidRPr="00BD3AAC">
        <w:rPr>
          <w:rFonts w:cs="Arial"/>
          <w:lang w:val="en-US"/>
        </w:rPr>
        <w:t>in predicting</w:t>
      </w:r>
      <w:r w:rsidR="004551D5">
        <w:rPr>
          <w:rFonts w:cs="Arial"/>
          <w:lang w:val="en-US"/>
        </w:rPr>
        <w:t xml:space="preserve"> </w:t>
      </w:r>
      <w:r w:rsidR="00CA34B7">
        <w:rPr>
          <w:rFonts w:cs="Arial"/>
          <w:lang w:val="en-US"/>
        </w:rPr>
        <w:t xml:space="preserve">the </w:t>
      </w:r>
      <w:r w:rsidR="00F741C0" w:rsidRPr="00BD3AAC">
        <w:rPr>
          <w:rFonts w:cs="Arial"/>
          <w:lang w:val="en-US"/>
        </w:rPr>
        <w:t xml:space="preserve">risk </w:t>
      </w:r>
      <w:r w:rsidR="0057504B" w:rsidRPr="00BD3AAC">
        <w:rPr>
          <w:rFonts w:cs="Arial"/>
          <w:lang w:val="en-US"/>
        </w:rPr>
        <w:t>of toxicity or complications,</w:t>
      </w:r>
      <w:r w:rsidR="00BC219F">
        <w:rPr>
          <w:rFonts w:cs="Arial"/>
          <w:lang w:val="en-US"/>
        </w:rPr>
        <w:fldChar w:fldCharType="begin" w:fldLock="1"/>
      </w:r>
      <w:r w:rsidR="00BC219F">
        <w:rPr>
          <w:rFonts w:cs="Arial"/>
          <w:lang w:val="en-US"/>
        </w:rPr>
        <w:instrText>ADDIN CSL_CITATION {"citationItems":[{"id":"ITEM-1","itemData":{"DOI":"10.1016/J.JGO.2022.04.008","ISSN":"1879-4076","PMID":"35545495","abstract":"Aim: The aim of this systematic review is to summarize all available data on the effect of a geriatric assessment in older patients with cancer, for oncologic treatment decisions, the implementation of non-oncologic interventions, patient-doctor communication, and treatment outcome. Additionally, we examined the impact of the type of assessment used. Methods: Systematic Medline and Embase search for studies on the effect of a geriatric assessment on oncologic treatment decisions, non-oncologic interventions, communication, and outcome. Results: Sixty-five publications from 61 studies were included. After a geriatric assessment, the oncologic treatment plan was altered in a median of 31% of patients (range 7–56%), with highest change rates in studies using a multidisciplinary team evaluation. Non-oncologic interventions were recommended in over 70% of patients, provided that an intervention plan or specific expertise was in place. A geriatric assessment led to more goals-of-care discussions and improved communication. The geriatric assessment also led to lower toxicity/complication rates (most strongly if the assessment outcomes were considered during decision making), improved likelihood of treatment completion, and improved physical functioning and quality of life in the majority of included studies. Conclusion: A geriatric assessment can change oncologic treatment plans, leads to non-oncologic interventions, and improve communication about care planning and ageing-related issues. It can decrease toxicity/complications and improve treatment completion and patient-centred outcomes. If multidisciplinary or geriatric input is not available, having a pre-defined non-oncologic intervention plan is important. To maximize the effect on outcomes, the result of the geriatric assessment should be incorporated into oncologic decision-making.","author":[{"dropping-particle":"","family":"Hamaker","given":"Marije","non-dropping-particle":"","parse-names":false,"suffix":""},{"dropping-particle":"","family":"Lund","given":"Cecilia","non-dropping-particle":"","parse-names":false,"suffix":""},{"dropping-particle":"","family":"Molder","given":"Marthe","non-dropping-particle":"te","parse-names":false,"suffix":""},{"dropping-particle":"","family":"Soubeyran","given":"Pierre","non-dropping-particle":"","parse-names":false,"suffix":""},{"dropping-particle":"","family":"Wildiers","given":"Hans","non-dropping-particle":"","parse-names":false,"suffix":""},{"dropping-particle":"","family":"Huis","given":"Lieke","non-dropping-particle":"van","parse-names":false,"suffix":""},{"dropping-particle":"","family":"Rostoft","given":"Siri","non-dropping-particle":"","parse-names":false,"suffix":""}],"container-title":"Journal of geriatric oncology","id":"ITEM-1","issue":"6","issued":{"date-parts":[["2022","7","1"]]},"page":"761-777","publisher":"J Geriatr Oncol","title":"Geriatric assessment in the management of older patients with cancer - A systematic review (update)","type":"article-journal","volume":"13"},"uris":["http://www.mendeley.com/documents/?uuid=df0058e9-c16f-3932-af42-551fd48b298b"]}],"mendeley":{"formattedCitation":"&lt;sup&gt;21&lt;/sup&gt;","plainTextFormattedCitation":"21","previouslyFormattedCitation":"&lt;sup&gt;21&lt;/sup&gt;"},"properties":{"noteIndex":0},"schema":"https://github.com/citation-style-language/schema/raw/master/csl-citation.json"}</w:instrText>
      </w:r>
      <w:r w:rsidR="00BC219F">
        <w:rPr>
          <w:rFonts w:cs="Arial"/>
          <w:lang w:val="en-US"/>
        </w:rPr>
        <w:fldChar w:fldCharType="separate"/>
      </w:r>
      <w:r w:rsidR="00BC219F" w:rsidRPr="00BC219F">
        <w:rPr>
          <w:rFonts w:cs="Arial"/>
          <w:noProof/>
          <w:vertAlign w:val="superscript"/>
          <w:lang w:val="en-US"/>
        </w:rPr>
        <w:t>21</w:t>
      </w:r>
      <w:r w:rsidR="00BC219F">
        <w:rPr>
          <w:rFonts w:cs="Arial"/>
          <w:lang w:val="en-US"/>
        </w:rPr>
        <w:fldChar w:fldCharType="end"/>
      </w:r>
      <w:r w:rsidR="00BC219F">
        <w:rPr>
          <w:rFonts w:cs="Arial"/>
          <w:lang w:val="en-US"/>
        </w:rPr>
        <w:t xml:space="preserve"> b</w:t>
      </w:r>
      <w:r w:rsidR="005D70AA" w:rsidRPr="00BD3AAC">
        <w:rPr>
          <w:rFonts w:cs="Arial"/>
          <w:lang w:val="en-US"/>
        </w:rPr>
        <w:t xml:space="preserve">ut this </w:t>
      </w:r>
      <w:r w:rsidR="00F741C0" w:rsidRPr="00BD3AAC">
        <w:rPr>
          <w:rFonts w:cs="Arial"/>
          <w:lang w:val="en-US"/>
        </w:rPr>
        <w:t>is only</w:t>
      </w:r>
      <w:r w:rsidR="005D70AA" w:rsidRPr="00BD3AAC">
        <w:rPr>
          <w:rFonts w:cs="Arial"/>
          <w:lang w:val="en-US"/>
        </w:rPr>
        <w:t xml:space="preserve"> half the story: what is </w:t>
      </w:r>
      <w:r w:rsidR="002B3DC7">
        <w:rPr>
          <w:rFonts w:cs="Arial"/>
          <w:lang w:val="en-US"/>
        </w:rPr>
        <w:t>also</w:t>
      </w:r>
      <w:r w:rsidR="005D70AA" w:rsidRPr="00BD3AAC">
        <w:rPr>
          <w:rFonts w:cs="Arial"/>
          <w:lang w:val="en-US"/>
        </w:rPr>
        <w:t xml:space="preserve"> important, is whether </w:t>
      </w:r>
      <w:r w:rsidR="00F741C0" w:rsidRPr="00BD3AAC">
        <w:rPr>
          <w:rFonts w:cs="Arial"/>
          <w:lang w:val="en-US"/>
        </w:rPr>
        <w:t xml:space="preserve">a </w:t>
      </w:r>
      <w:r w:rsidR="005D70AA" w:rsidRPr="00BD3AAC">
        <w:rPr>
          <w:rFonts w:cs="Arial"/>
          <w:lang w:val="en-US"/>
        </w:rPr>
        <w:t xml:space="preserve">patient will be able to recover </w:t>
      </w:r>
      <w:r w:rsidR="003270FF">
        <w:rPr>
          <w:rFonts w:cs="Arial"/>
          <w:lang w:val="en-US"/>
        </w:rPr>
        <w:t xml:space="preserve">to an acceptable level after </w:t>
      </w:r>
      <w:r w:rsidR="005D70AA" w:rsidRPr="00BD3AAC">
        <w:rPr>
          <w:rFonts w:cs="Arial"/>
          <w:lang w:val="en-US"/>
        </w:rPr>
        <w:t>the impact of treatment. For example, in a study of women aged 65 years and older with stage I-III breast cancer receiving adjuvant chemotherapy, 42% had functional decline at the end of the chemotherapy.</w:t>
      </w:r>
      <w:r w:rsidR="00BC219F">
        <w:rPr>
          <w:rFonts w:cs="Arial"/>
          <w:lang w:val="en-US"/>
        </w:rPr>
        <w:fldChar w:fldCharType="begin" w:fldLock="1"/>
      </w:r>
      <w:r w:rsidR="00BC219F">
        <w:rPr>
          <w:rFonts w:cs="Arial"/>
          <w:lang w:val="en-US"/>
        </w:rPr>
        <w:instrText>ADDIN CSL_CITATION {"citationItems":[{"id":"ITEM-1","itemData":{"DOI":"10.1111/JGS.15493","ISSN":"1532-5415","PMID":"30146695","abstract":"Objectives: To analyze self-reported changes in physical function in older women with breast cancer receiving adjuvant chemotherapy. Design: Secondary analysis of the Cancer and Leukemia Group B (CALGB) 49907 prospective randomized clinical trial. Setting: CALGB institutions in the United States. Participants: Women aged 65 and older with Stage I to III breast cancer enrolled in CALGB 49907 who had physical function data from before and after receipt of adjuvant chemotherapy (N=256; mean age 71.5, range 65–85). Measurements: Participants were administered the physical function subscale of the European Organization for Research and Treatment of Cancer Quality of Life Questionnaire before chemotherapy, at the end of chemotherapy, and 12 months after chemotherapy initiation. Functional decline was defined as a more than 10-point decrease from baseline at each time point. Resilience was defined as return to within 10 points of baseline. Multivariable regression was used to examine pretreatment characteristics associated with physical function changes. Results: Of 42% of participants who had physical function decline from before to the end of chemotherapy, 47% recovered by 12 months (were resilient). Almost one-third experienced functional decline from before chemotherapy to 12 months later. Pretreatment fatigue was a risk factor for functional decline from before to the end of chemotherapy (P=.02). Risk factors for functional decline at 12 months included pretreatment dyspnea (P=.007) and being unmarried (P=.01). Conclusion: Functional decline was common in older women receiving adjuvant chemotherapy for breast cancer in a clinical trial. Although half recovered their physical function, one-third had a clinically meaningful decline at 12 months. Strategies are needed to prevent functional decline in older adults receiving chemotherapy. J Am Geriatr Soc 67:920–927, 2019.","author":[{"dropping-particle":"","family":"Hurria","given":"Arti","non-dropping-particle":"","parse-names":false,"suffix":""},{"dropping-particle":"","family":"Soto-Perez-de-Celis","given":"Enrique","non-dropping-particle":"","parse-names":false,"suffix":""},{"dropping-particle":"","family":"Allred","given":"Jacob B.","non-dropping-particle":"","parse-names":false,"suffix":""},{"dropping-particle":"","family":"Cohen","given":"Harvey Jay","non-dropping-particle":"","parse-names":false,"suffix":""},{"dropping-particle":"","family":"Arsenyan","given":"Anait","non-dropping-particle":"","parse-names":false,"suffix":""},{"dropping-particle":"","family":"Ballman","given":"Karla","non-dropping-particle":"","parse-names":false,"suffix":""},{"dropping-particle":"","family":"Le-Rademacher","given":"Jennifer","non-dropping-particle":"","parse-names":false,"suffix":""},{"dropping-particle":"","family":"Jatoi","given":"Aminah","non-dropping-particle":"","parse-names":false,"suffix":""},{"dropping-particle":"","family":"Filo","given":"Julie","non-dropping-particle":"","parse-names":false,"suffix":""},{"dropping-particle":"","family":"Mandelblatt","given":"Jeanne","non-dropping-particle":"","parse-names":false,"suffix":""},{"dropping-particle":"","family":"Lafky","given":"Jacqueline M.","non-dropping-particle":"","parse-names":false,"suffix":""},{"dropping-particle":"","family":"Kimmick","given":"Gretchen","non-dropping-particle":"","parse-names":false,"suffix":""},{"dropping-particle":"","family":"Klepin","given":"Heidi D.","non-dropping-particle":"","parse-names":false,"suffix":""},{"dropping-particle":"","family":"Freedman","given":"Rachel A.","non-dropping-particle":"","parse-names":false,"suffix":""},{"dropping-particle":"","family":"Burstein","given":"Harold","non-dropping-particle":"","parse-names":false,"suffix":""},{"dropping-particle":"","family":"Gralow","given":"Julie","non-dropping-particle":"","parse-names":false,"suffix":""},{"dropping-particle":"","family":"Wolff","given":"Antonio C.","non-dropping-particle":"","parse-names":false,"suffix":""},{"dropping-particle":"","family":"Magrinat","given":"Gustav","non-dropping-particle":"","parse-names":false,"suffix":""},{"dropping-particle":"","family":"Barginear","given":"Myra","non-dropping-particle":"","parse-names":false,"suffix":""},{"dropping-particle":"","family":"Muss","given":"Hyman","non-dropping-particle":"","parse-names":false,"suffix":""}],"container-title":"Journal of the American Geriatrics Society","id":"ITEM-1","issue":"5","issued":{"date-parts":[["2019","5","1"]]},"page":"920-927","publisher":"J Am Geriatr Soc","title":"Functional Decline and Resilience in Older Women Receiving Adjuvant Chemotherapy for Breast Cancer","type":"article-journal","volume":"67"},"uris":["http://www.mendeley.com/documents/?uuid=09fb87fd-8e73-365b-8932-04d84b64d6f2"]}],"mendeley":{"formattedCitation":"&lt;sup&gt;24&lt;/sup&gt;","plainTextFormattedCitation":"24","previouslyFormattedCitation":"&lt;sup&gt;24&lt;/sup&gt;"},"properties":{"noteIndex":0},"schema":"https://github.com/citation-style-language/schema/raw/master/csl-citation.json"}</w:instrText>
      </w:r>
      <w:r w:rsidR="00BC219F">
        <w:rPr>
          <w:rFonts w:cs="Arial"/>
          <w:lang w:val="en-US"/>
        </w:rPr>
        <w:fldChar w:fldCharType="separate"/>
      </w:r>
      <w:r w:rsidR="00BC219F" w:rsidRPr="00BC219F">
        <w:rPr>
          <w:rFonts w:cs="Arial"/>
          <w:noProof/>
          <w:vertAlign w:val="superscript"/>
          <w:lang w:val="en-US"/>
        </w:rPr>
        <w:t>24</w:t>
      </w:r>
      <w:r w:rsidR="00BC219F">
        <w:rPr>
          <w:rFonts w:cs="Arial"/>
          <w:lang w:val="en-US"/>
        </w:rPr>
        <w:fldChar w:fldCharType="end"/>
      </w:r>
      <w:r w:rsidR="00BC219F">
        <w:rPr>
          <w:rFonts w:cs="Arial"/>
          <w:lang w:val="en-US"/>
        </w:rPr>
        <w:t xml:space="preserve"> </w:t>
      </w:r>
      <w:r w:rsidR="005D70AA" w:rsidRPr="00BD3AAC">
        <w:rPr>
          <w:rFonts w:cs="Arial"/>
          <w:lang w:val="en-US"/>
        </w:rPr>
        <w:t xml:space="preserve">At one year, nearly half of these patients had recovered to </w:t>
      </w:r>
      <w:r w:rsidR="00AE44FC">
        <w:rPr>
          <w:rFonts w:cs="Arial"/>
          <w:lang w:val="en-US"/>
        </w:rPr>
        <w:t xml:space="preserve">their </w:t>
      </w:r>
      <w:r w:rsidR="005D70AA" w:rsidRPr="00BD3AAC">
        <w:rPr>
          <w:rFonts w:cs="Arial"/>
          <w:lang w:val="en-US"/>
        </w:rPr>
        <w:t xml:space="preserve">baseline </w:t>
      </w:r>
      <w:r w:rsidR="00AE44FC">
        <w:rPr>
          <w:rFonts w:cs="Arial"/>
          <w:lang w:val="en-US"/>
        </w:rPr>
        <w:t xml:space="preserve">level of </w:t>
      </w:r>
      <w:r w:rsidR="005D70AA" w:rsidRPr="00BD3AAC">
        <w:rPr>
          <w:rFonts w:cs="Arial"/>
          <w:lang w:val="en-US"/>
        </w:rPr>
        <w:t>function while for the other half, loss of function was permanent.</w:t>
      </w:r>
      <w:r w:rsidR="00BC219F">
        <w:rPr>
          <w:rFonts w:cs="Arial"/>
          <w:lang w:val="en-US"/>
        </w:rPr>
        <w:fldChar w:fldCharType="begin" w:fldLock="1"/>
      </w:r>
      <w:r w:rsidR="00BC219F">
        <w:rPr>
          <w:rFonts w:cs="Arial"/>
          <w:lang w:val="en-US"/>
        </w:rPr>
        <w:instrText>ADDIN CSL_CITATION {"citationItems":[{"id":"ITEM-1","itemData":{"DOI":"10.1111/JGS.15493","ISSN":"1532-5415","PMID":"30146695","abstract":"Objectives: To analyze self-reported changes in physical function in older women with breast cancer receiving adjuvant chemotherapy. Design: Secondary analysis of the Cancer and Leukemia Group B (CALGB) 49907 prospective randomized clinical trial. Setting: CALGB institutions in the United States. Participants: Women aged 65 and older with Stage I to III breast cancer enrolled in CALGB 49907 who had physical function data from before and after receipt of adjuvant chemotherapy (N=256; mean age 71.5, range 65–85). Measurements: Participants were administered the physical function subscale of the European Organization for Research and Treatment of Cancer Quality of Life Questionnaire before chemotherapy, at the end of chemotherapy, and 12 months after chemotherapy initiation. Functional decline was defined as a more than 10-point decrease from baseline at each time point. Resilience was defined as return to within 10 points of baseline. Multivariable regression was used to examine pretreatment characteristics associated with physical function changes. Results: Of 42% of participants who had physical function decline from before to the end of chemotherapy, 47% recovered by 12 months (were resilient). Almost one-third experienced functional decline from before chemotherapy to 12 months later. Pretreatment fatigue was a risk factor for functional decline from before to the end of chemotherapy (P=.02). Risk factors for functional decline at 12 months included pretreatment dyspnea (P=.007) and being unmarried (P=.01). Conclusion: Functional decline was common in older women receiving adjuvant chemotherapy for breast cancer in a clinical trial. Although half recovered their physical function, one-third had a clinically meaningful decline at 12 months. Strategies are needed to prevent functional decline in older adults receiving chemotherapy. J Am Geriatr Soc 67:920–927, 2019.","author":[{"dropping-particle":"","family":"Hurria","given":"Arti","non-dropping-particle":"","parse-names":false,"suffix":""},{"dropping-particle":"","family":"Soto-Perez-de-Celis","given":"Enrique","non-dropping-particle":"","parse-names":false,"suffix":""},{"dropping-particle":"","family":"Allred","given":"Jacob B.","non-dropping-particle":"","parse-names":false,"suffix":""},{"dropping-particle":"","family":"Cohen","given":"Harvey Jay","non-dropping-particle":"","parse-names":false,"suffix":""},{"dropping-particle":"","family":"Arsenyan","given":"Anait","non-dropping-particle":"","parse-names":false,"suffix":""},{"dropping-particle":"","family":"Ballman","given":"Karla","non-dropping-particle":"","parse-names":false,"suffix":""},{"dropping-particle":"","family":"Le-Rademacher","given":"Jennifer","non-dropping-particle":"","parse-names":false,"suffix":""},{"dropping-particle":"","family":"Jatoi","given":"Aminah","non-dropping-particle":"","parse-names":false,"suffix":""},{"dropping-particle":"","family":"Filo","given":"Julie","non-dropping-particle":"","parse-names":false,"suffix":""},{"dropping-particle":"","family":"Mandelblatt","given":"Jeanne","non-dropping-particle":"","parse-names":false,"suffix":""},{"dropping-particle":"","family":"Lafky","given":"Jacqueline M.","non-dropping-particle":"","parse-names":false,"suffix":""},{"dropping-particle":"","family":"Kimmick","given":"Gretchen","non-dropping-particle":"","parse-names":false,"suffix":""},{"dropping-particle":"","family":"Klepin","given":"Heidi D.","non-dropping-particle":"","parse-names":false,"suffix":""},{"dropping-particle":"","family":"Freedman","given":"Rachel A.","non-dropping-particle":"","parse-names":false,"suffix":""},{"dropping-particle":"","family":"Burstein","given":"Harold","non-dropping-particle":"","parse-names":false,"suffix":""},{"dropping-particle":"","family":"Gralow","given":"Julie","non-dropping-particle":"","parse-names":false,"suffix":""},{"dropping-particle":"","family":"Wolff","given":"Antonio C.","non-dropping-particle":"","parse-names":false,"suffix":""},{"dropping-particle":"","family":"Magrinat","given":"Gustav","non-dropping-particle":"","parse-names":false,"suffix":""},{"dropping-particle":"","family":"Barginear","given":"Myra","non-dropping-particle":"","parse-names":false,"suffix":""},{"dropping-particle":"","family":"Muss","given":"Hyman","non-dropping-particle":"","parse-names":false,"suffix":""}],"container-title":"Journal of the American Geriatrics Society","id":"ITEM-1","issue":"5","issued":{"date-parts":[["2019","5","1"]]},"page":"920-927","publisher":"J Am Geriatr Soc","title":"Functional Decline and Resilience in Older Women Receiving Adjuvant Chemotherapy for Breast Cancer","type":"article-journal","volume":"67"},"uris":["http://www.mendeley.com/documents/?uuid=09fb87fd-8e73-365b-8932-04d84b64d6f2"]}],"mendeley":{"formattedCitation":"&lt;sup&gt;24&lt;/sup&gt;","plainTextFormattedCitation":"24","previouslyFormattedCitation":"&lt;sup&gt;24&lt;/sup&gt;"},"properties":{"noteIndex":0},"schema":"https://github.com/citation-style-language/schema/raw/master/csl-citation.json"}</w:instrText>
      </w:r>
      <w:r w:rsidR="00BC219F">
        <w:rPr>
          <w:rFonts w:cs="Arial"/>
          <w:lang w:val="en-US"/>
        </w:rPr>
        <w:fldChar w:fldCharType="separate"/>
      </w:r>
      <w:r w:rsidR="00BC219F" w:rsidRPr="00BC219F">
        <w:rPr>
          <w:rFonts w:cs="Arial"/>
          <w:noProof/>
          <w:vertAlign w:val="superscript"/>
          <w:lang w:val="en-US"/>
        </w:rPr>
        <w:t>24</w:t>
      </w:r>
      <w:r w:rsidR="00BC219F">
        <w:rPr>
          <w:rFonts w:cs="Arial"/>
          <w:lang w:val="en-US"/>
        </w:rPr>
        <w:fldChar w:fldCharType="end"/>
      </w:r>
      <w:r w:rsidR="005D70AA" w:rsidRPr="00BD3AAC">
        <w:rPr>
          <w:rFonts w:cs="Arial"/>
          <w:lang w:val="en-US"/>
        </w:rPr>
        <w:t xml:space="preserve"> </w:t>
      </w:r>
      <w:r w:rsidR="00F741C0" w:rsidRPr="00BD3AAC">
        <w:rPr>
          <w:rFonts w:cs="Arial"/>
          <w:lang w:val="en-US"/>
        </w:rPr>
        <w:t xml:space="preserve">Thus, while both groups experienced </w:t>
      </w:r>
      <w:r w:rsidR="005E165A">
        <w:rPr>
          <w:rFonts w:cs="Arial"/>
          <w:lang w:val="en-US"/>
        </w:rPr>
        <w:t xml:space="preserve">similar </w:t>
      </w:r>
      <w:r w:rsidR="00F741C0" w:rsidRPr="00BD3AAC">
        <w:rPr>
          <w:rFonts w:cs="Arial"/>
          <w:lang w:val="en-US"/>
        </w:rPr>
        <w:t>negative effects of treatment</w:t>
      </w:r>
      <w:r w:rsidR="005E165A">
        <w:rPr>
          <w:rFonts w:cs="Arial"/>
          <w:lang w:val="en-US"/>
        </w:rPr>
        <w:t xml:space="preserve"> at three months</w:t>
      </w:r>
      <w:r w:rsidR="00F741C0" w:rsidRPr="00BD3AAC">
        <w:rPr>
          <w:rFonts w:cs="Arial"/>
          <w:lang w:val="en-US"/>
        </w:rPr>
        <w:t xml:space="preserve">, the end-result </w:t>
      </w:r>
      <w:r w:rsidR="00E25943">
        <w:rPr>
          <w:rFonts w:cs="Arial"/>
          <w:lang w:val="en-US"/>
        </w:rPr>
        <w:t xml:space="preserve">- and with that </w:t>
      </w:r>
      <w:r w:rsidR="00F741C0" w:rsidRPr="00BD3AAC">
        <w:rPr>
          <w:rFonts w:cs="Arial"/>
          <w:lang w:val="en-US"/>
        </w:rPr>
        <w:t xml:space="preserve">perhaps the acceptability of these effects </w:t>
      </w:r>
      <w:r w:rsidR="003270FF">
        <w:rPr>
          <w:rFonts w:cs="Arial"/>
          <w:lang w:val="en-US"/>
        </w:rPr>
        <w:t>–</w:t>
      </w:r>
      <w:r w:rsidR="00E25943">
        <w:rPr>
          <w:rFonts w:cs="Arial"/>
          <w:lang w:val="en-US"/>
        </w:rPr>
        <w:t xml:space="preserve"> </w:t>
      </w:r>
      <w:r w:rsidR="00F741C0" w:rsidRPr="00BD3AAC">
        <w:rPr>
          <w:rFonts w:cs="Arial"/>
          <w:lang w:val="en-US"/>
        </w:rPr>
        <w:t>differ</w:t>
      </w:r>
      <w:r w:rsidR="003270FF">
        <w:rPr>
          <w:rFonts w:cs="Arial"/>
          <w:lang w:val="en-US"/>
        </w:rPr>
        <w:t xml:space="preserve">ed </w:t>
      </w:r>
      <w:r w:rsidR="00F741C0" w:rsidRPr="00BD3AAC">
        <w:rPr>
          <w:rFonts w:cs="Arial"/>
          <w:lang w:val="en-US"/>
        </w:rPr>
        <w:t>significantly.</w:t>
      </w:r>
    </w:p>
    <w:p w14:paraId="657AD38E" w14:textId="77777777" w:rsidR="00F741C0" w:rsidRPr="00BD3AAC" w:rsidRDefault="00F741C0" w:rsidP="007E4BEC">
      <w:pPr>
        <w:spacing w:line="276" w:lineRule="auto"/>
        <w:ind w:left="708"/>
        <w:rPr>
          <w:i/>
          <w:iCs/>
          <w:lang w:val="en-US"/>
        </w:rPr>
      </w:pPr>
      <w:r w:rsidRPr="00BD3AAC">
        <w:rPr>
          <w:i/>
          <w:iCs/>
          <w:lang w:val="en-US"/>
        </w:rPr>
        <w:t xml:space="preserve">Example: Being diagnosed with cancer has been a shock to Mr. C. While initially feeling overwhelmed, the support that was offered by the </w:t>
      </w:r>
      <w:r w:rsidR="00AE44FC" w:rsidRPr="00BD3AAC">
        <w:rPr>
          <w:i/>
          <w:iCs/>
          <w:lang w:val="en-US"/>
        </w:rPr>
        <w:t>oncolog</w:t>
      </w:r>
      <w:r w:rsidR="00AE44FC">
        <w:rPr>
          <w:i/>
          <w:iCs/>
          <w:lang w:val="en-US"/>
        </w:rPr>
        <w:t>y</w:t>
      </w:r>
      <w:r w:rsidR="00AE44FC" w:rsidRPr="00BD3AAC">
        <w:rPr>
          <w:i/>
          <w:iCs/>
          <w:lang w:val="en-US"/>
        </w:rPr>
        <w:t xml:space="preserve"> </w:t>
      </w:r>
      <w:r w:rsidRPr="00BD3AAC">
        <w:rPr>
          <w:i/>
          <w:iCs/>
          <w:lang w:val="en-US"/>
        </w:rPr>
        <w:t xml:space="preserve">team, the physiotherapist and nutritionist as well as his family motivated him to </w:t>
      </w:r>
      <w:r w:rsidR="004B6D6B" w:rsidRPr="00BD3AAC">
        <w:rPr>
          <w:i/>
          <w:iCs/>
          <w:lang w:val="en-US"/>
        </w:rPr>
        <w:t xml:space="preserve">become more active in preparation for the hemicolectomy. He received a training program to increase his physical condition, and while time prior to the surgery was limited, he felt empowered by the thought that </w:t>
      </w:r>
      <w:r w:rsidR="002B3DC7">
        <w:rPr>
          <w:i/>
          <w:iCs/>
          <w:lang w:val="en-US"/>
        </w:rPr>
        <w:t>his own efforts</w:t>
      </w:r>
      <w:r w:rsidR="004B6D6B" w:rsidRPr="00BD3AAC">
        <w:rPr>
          <w:i/>
          <w:iCs/>
          <w:lang w:val="en-US"/>
        </w:rPr>
        <w:t xml:space="preserve"> could have a positive impact on the overall outcome. </w:t>
      </w:r>
    </w:p>
    <w:p w14:paraId="3412D9BC" w14:textId="77777777" w:rsidR="004B6D6B" w:rsidRPr="00BD3AAC" w:rsidRDefault="005E165A" w:rsidP="007E4BEC">
      <w:pPr>
        <w:spacing w:line="276" w:lineRule="auto"/>
        <w:ind w:left="708"/>
        <w:rPr>
          <w:rFonts w:cs="Arial"/>
          <w:lang w:val="en-US"/>
        </w:rPr>
      </w:pPr>
      <w:r>
        <w:rPr>
          <w:i/>
          <w:iCs/>
          <w:lang w:val="en-US"/>
        </w:rPr>
        <w:t>S</w:t>
      </w:r>
      <w:r w:rsidR="004B6D6B" w:rsidRPr="00BD3AAC">
        <w:rPr>
          <w:i/>
          <w:iCs/>
          <w:lang w:val="en-US"/>
        </w:rPr>
        <w:t xml:space="preserve">urgery was </w:t>
      </w:r>
      <w:r>
        <w:rPr>
          <w:i/>
          <w:iCs/>
          <w:lang w:val="en-US"/>
        </w:rPr>
        <w:t xml:space="preserve">relatively </w:t>
      </w:r>
      <w:r w:rsidR="004B6D6B" w:rsidRPr="00BD3AAC">
        <w:rPr>
          <w:i/>
          <w:iCs/>
          <w:lang w:val="en-US"/>
        </w:rPr>
        <w:t>uncomplicated, although he experience</w:t>
      </w:r>
      <w:r w:rsidR="00C12478">
        <w:rPr>
          <w:i/>
          <w:iCs/>
          <w:lang w:val="en-US"/>
        </w:rPr>
        <w:t>d</w:t>
      </w:r>
      <w:r w:rsidR="004B6D6B" w:rsidRPr="00BD3AAC">
        <w:rPr>
          <w:i/>
          <w:iCs/>
          <w:lang w:val="en-US"/>
        </w:rPr>
        <w:t xml:space="preserve"> some disorientation in the first two nights. </w:t>
      </w:r>
      <w:r w:rsidR="002B3DC7">
        <w:rPr>
          <w:i/>
          <w:iCs/>
          <w:lang w:val="en-US"/>
        </w:rPr>
        <w:t>(</w:t>
      </w:r>
      <w:r w:rsidR="004B6D6B" w:rsidRPr="00BD3AAC">
        <w:rPr>
          <w:i/>
          <w:iCs/>
          <w:lang w:val="en-US"/>
        </w:rPr>
        <w:t>The usual enhanced recovery protocols post-surgery were implemented</w:t>
      </w:r>
      <w:r w:rsidR="00BD3AAC" w:rsidRPr="00BD3AAC">
        <w:rPr>
          <w:i/>
          <w:iCs/>
          <w:lang w:val="en-US"/>
        </w:rPr>
        <w:t>.</w:t>
      </w:r>
      <w:r w:rsidR="002B3DC7">
        <w:rPr>
          <w:i/>
          <w:iCs/>
          <w:lang w:val="en-US"/>
        </w:rPr>
        <w:t>)</w:t>
      </w:r>
      <w:r w:rsidR="00BD3AAC" w:rsidRPr="00BD3AAC">
        <w:rPr>
          <w:i/>
          <w:iCs/>
          <w:lang w:val="en-US"/>
        </w:rPr>
        <w:t xml:space="preserve"> To support his recovery, he was discharged to a rehabilitation facility. Daily physiotherapy, continued nutritional support and the social environment had a positive effect on his overall functioning, mobility and mood. When he </w:t>
      </w:r>
      <w:r>
        <w:rPr>
          <w:i/>
          <w:iCs/>
          <w:lang w:val="en-US"/>
        </w:rPr>
        <w:t>returned</w:t>
      </w:r>
      <w:r w:rsidR="00BD3AAC" w:rsidRPr="00BD3AAC">
        <w:rPr>
          <w:i/>
          <w:iCs/>
          <w:lang w:val="en-US"/>
        </w:rPr>
        <w:t xml:space="preserve"> home after five weeks, he was able to maintain his more positive, active and outgoing attitude.  </w:t>
      </w:r>
    </w:p>
    <w:p w14:paraId="5237D165" w14:textId="1A22FE04" w:rsidR="00A23394" w:rsidRPr="00534DC9" w:rsidRDefault="005D70AA" w:rsidP="007E4BEC">
      <w:pPr>
        <w:pStyle w:val="Tekstopmerking"/>
        <w:spacing w:line="276" w:lineRule="auto"/>
        <w:rPr>
          <w:rFonts w:cs="Arial"/>
          <w:lang w:val="en-US"/>
        </w:rPr>
      </w:pPr>
      <w:r w:rsidRPr="007E4BEC">
        <w:rPr>
          <w:rFonts w:cs="Arial"/>
          <w:sz w:val="22"/>
          <w:lang w:val="en-US"/>
        </w:rPr>
        <w:t>Being able to assess and incorporate recovery potential in</w:t>
      </w:r>
      <w:r w:rsidR="005E165A" w:rsidRPr="007E4BEC">
        <w:rPr>
          <w:rFonts w:cs="Arial"/>
          <w:sz w:val="22"/>
          <w:lang w:val="en-US"/>
        </w:rPr>
        <w:t>to</w:t>
      </w:r>
      <w:r w:rsidRPr="007E4BEC">
        <w:rPr>
          <w:rFonts w:cs="Arial"/>
          <w:sz w:val="22"/>
          <w:lang w:val="en-US"/>
        </w:rPr>
        <w:t xml:space="preserve"> oncologic treatment </w:t>
      </w:r>
      <w:r w:rsidR="00E25943" w:rsidRPr="007E4BEC">
        <w:rPr>
          <w:rFonts w:cs="Arial"/>
          <w:sz w:val="22"/>
          <w:lang w:val="en-US"/>
        </w:rPr>
        <w:t>decision</w:t>
      </w:r>
      <w:r w:rsidR="00E25943">
        <w:rPr>
          <w:rFonts w:cs="Arial"/>
          <w:sz w:val="22"/>
          <w:lang w:val="en-US"/>
        </w:rPr>
        <w:t>-</w:t>
      </w:r>
      <w:r w:rsidRPr="007E4BEC">
        <w:rPr>
          <w:rFonts w:cs="Arial"/>
          <w:sz w:val="22"/>
          <w:lang w:val="en-US"/>
        </w:rPr>
        <w:t>making will allow for further precision in tailoring of treatment.</w:t>
      </w:r>
      <w:r w:rsidR="00355901" w:rsidRPr="007E4BEC">
        <w:rPr>
          <w:rFonts w:cs="Arial"/>
          <w:sz w:val="22"/>
          <w:lang w:val="en-US"/>
        </w:rPr>
        <w:t xml:space="preserve"> </w:t>
      </w:r>
      <w:r w:rsidR="005E165A" w:rsidRPr="007E4BEC">
        <w:rPr>
          <w:rFonts w:cs="Arial"/>
          <w:sz w:val="22"/>
          <w:lang w:val="en-US"/>
        </w:rPr>
        <w:t xml:space="preserve">This recovery potential </w:t>
      </w:r>
      <w:r w:rsidRPr="007E4BEC">
        <w:rPr>
          <w:rFonts w:cs="Arial"/>
          <w:sz w:val="22"/>
          <w:lang w:val="en-US"/>
        </w:rPr>
        <w:t xml:space="preserve">is captured in the concept </w:t>
      </w:r>
      <w:r w:rsidR="005E165A" w:rsidRPr="007E4BEC">
        <w:rPr>
          <w:rFonts w:cs="Arial"/>
          <w:sz w:val="22"/>
          <w:lang w:val="en-US"/>
        </w:rPr>
        <w:t xml:space="preserve">of </w:t>
      </w:r>
      <w:r w:rsidR="00D25479">
        <w:rPr>
          <w:rFonts w:cs="Arial"/>
          <w:sz w:val="22"/>
          <w:lang w:val="en-US"/>
        </w:rPr>
        <w:t xml:space="preserve">physical </w:t>
      </w:r>
      <w:r w:rsidRPr="007E4BEC">
        <w:rPr>
          <w:rFonts w:cs="Arial"/>
          <w:sz w:val="22"/>
          <w:lang w:val="en-US"/>
        </w:rPr>
        <w:t>resilience</w:t>
      </w:r>
      <w:r w:rsidR="007E4BEC" w:rsidRPr="007E4BEC">
        <w:rPr>
          <w:rFonts w:cs="Arial"/>
          <w:sz w:val="22"/>
          <w:lang w:val="en-US"/>
        </w:rPr>
        <w:t xml:space="preserve">. </w:t>
      </w:r>
      <w:r w:rsidR="000272B4" w:rsidRPr="000272B4">
        <w:rPr>
          <w:rFonts w:cs="Arial"/>
          <w:sz w:val="22"/>
          <w:lang w:val="en-US"/>
        </w:rPr>
        <w:t xml:space="preserve">Physical resilience is a characteristic at </w:t>
      </w:r>
      <w:r w:rsidR="00E25943">
        <w:rPr>
          <w:rFonts w:cs="Arial"/>
          <w:sz w:val="22"/>
          <w:lang w:val="en-US"/>
        </w:rPr>
        <w:t>a</w:t>
      </w:r>
      <w:r w:rsidR="00E25943" w:rsidRPr="000272B4">
        <w:rPr>
          <w:rFonts w:cs="Arial"/>
          <w:sz w:val="22"/>
          <w:lang w:val="en-US"/>
        </w:rPr>
        <w:t xml:space="preserve"> </w:t>
      </w:r>
      <w:r w:rsidR="000272B4" w:rsidRPr="000272B4">
        <w:rPr>
          <w:rFonts w:cs="Arial"/>
          <w:sz w:val="22"/>
          <w:lang w:val="en-US"/>
        </w:rPr>
        <w:t>whole</w:t>
      </w:r>
      <w:r w:rsidR="00E25943">
        <w:rPr>
          <w:rFonts w:cs="Arial"/>
          <w:sz w:val="22"/>
          <w:lang w:val="en-US"/>
        </w:rPr>
        <w:t>-</w:t>
      </w:r>
      <w:r w:rsidR="000272B4" w:rsidRPr="000272B4">
        <w:rPr>
          <w:rFonts w:cs="Arial"/>
          <w:sz w:val="22"/>
          <w:lang w:val="en-US"/>
        </w:rPr>
        <w:t>person level which determines an individual’s ability to resist functional decline or recover physical health following a stressor</w:t>
      </w:r>
      <w:r w:rsidR="00BC219F">
        <w:rPr>
          <w:rFonts w:cs="Arial"/>
          <w:sz w:val="22"/>
          <w:lang w:val="en-US"/>
        </w:rPr>
        <w:t>.</w:t>
      </w:r>
      <w:r w:rsidR="00BC219F">
        <w:rPr>
          <w:rFonts w:cs="Arial"/>
          <w:sz w:val="22"/>
          <w:lang w:val="en-US"/>
        </w:rPr>
        <w:fldChar w:fldCharType="begin" w:fldLock="1"/>
      </w:r>
      <w:r w:rsidR="00BC219F">
        <w:rPr>
          <w:rFonts w:cs="Arial"/>
          <w:sz w:val="22"/>
          <w:lang w:val="en-US"/>
        </w:rPr>
        <w:instrText>ADDIN CSL_CITATION {"citationItems":[{"id":"ITEM-1","itemData":{"DOI":"10.1093/GERONA/GLV202","ISSN":"1758-535X","PMID":"26718984","abstract":"Background. Resilience has been described in the psychosocial literature as the capacity to maintain or regain well-being during or after adversity. Physical resilience is a newer concept that is highly relevant to successful aging. Our objective was to characterize the emerging construct of resilience as it pertains to physical health in older adults, and to identify gaps and opportunities to advance research in this area. Methods. We conducted a systematic review to identify English language papers published through January 2015 that apply the term \"resilience\" in relation to physical health in older adults. We applied a modified framework analysis to characterize themes in implicit or explicit definitions of physical resilience. Results. Of 1,078 abstracts identified, 49 articles met criteria for inclusion. Sixteen were letters or concept papers, and only one was an intervention study. Definitions of physical resilience spanned cellular to whole-person levels, incorporated many outcome measures, and represented three conceptual themes: resilience as a trait, trajectory, or characteristic/capacity. Conclusions. Current biomedical literature lacks consensus on how to define and measure physical resilience. We propose a working definition of physical resilience at the whole person level: A characteristic which determines one's ability to resist or recover from functional decline following health stressor(s). We present a conceptual framework that encompasses the related construct of physiologic reserve. We discuss gaps and opportunities in measurement, interactions across contributors to physical resilience, and points of intervention.","author":[{"dropping-particle":"","family":"Whitson","given":"Heather E.","non-dropping-particle":"","parse-names":false,"suffix":""},{"dropping-particle":"","family":"Duan-Porter","given":"Wei","non-dropping-particle":"","parse-names":false,"suffix":""},{"dropping-particle":"","family":"Schmader","given":"Kenneth E.","non-dropping-particle":"","parse-names":false,"suffix":""},{"dropping-particle":"","family":"Morey","given":"Miriam C.","non-dropping-particle":"","parse-names":false,"suffix":""},{"dropping-particle":"","family":"Cohen","given":"Harvey J.","non-dropping-particle":"","parse-names":false,"suffix":""},{"dropping-particle":"","family":"Colón-Emeric","given":"Cathleen S.","non-dropping-particle":"","parse-names":false,"suffix":""}],"container-title":"The journals of gerontology. Series A, Biological sciences and medical sciences","id":"ITEM-1","issue":"4","issued":{"date-parts":[["2016","4","1"]]},"page":"489-495","publisher":"J Gerontol A Biol Sci Med Sci","title":"Physical Resilience in Older Adults: Systematic Review and Development of an Emerging Construct","type":"article-journal","volume":"71"},"uris":["http://www.mendeley.com/documents/?uuid=252c3695-0ba8-3535-8e9b-5a8560d846b6"]}],"mendeley":{"formattedCitation":"&lt;sup&gt;7&lt;/sup&gt;","plainTextFormattedCitation":"7","previouslyFormattedCitation":"&lt;sup&gt;7&lt;/sup&gt;"},"properties":{"noteIndex":0},"schema":"https://github.com/citation-style-language/schema/raw/master/csl-citation.json"}</w:instrText>
      </w:r>
      <w:r w:rsidR="00BC219F">
        <w:rPr>
          <w:rFonts w:cs="Arial"/>
          <w:sz w:val="22"/>
          <w:lang w:val="en-US"/>
        </w:rPr>
        <w:fldChar w:fldCharType="separate"/>
      </w:r>
      <w:r w:rsidR="00BC219F" w:rsidRPr="00BC219F">
        <w:rPr>
          <w:rFonts w:cs="Arial"/>
          <w:noProof/>
          <w:sz w:val="22"/>
          <w:vertAlign w:val="superscript"/>
          <w:lang w:val="en-US"/>
        </w:rPr>
        <w:t>7</w:t>
      </w:r>
      <w:r w:rsidR="00BC219F">
        <w:rPr>
          <w:rFonts w:cs="Arial"/>
          <w:sz w:val="22"/>
          <w:lang w:val="en-US"/>
        </w:rPr>
        <w:fldChar w:fldCharType="end"/>
      </w:r>
      <w:r w:rsidR="000C0208">
        <w:rPr>
          <w:rFonts w:cs="Arial"/>
          <w:sz w:val="22"/>
          <w:lang w:val="en-US"/>
        </w:rPr>
        <w:t xml:space="preserve"> </w:t>
      </w:r>
      <w:r w:rsidR="005E165A" w:rsidRPr="007E4BEC">
        <w:rPr>
          <w:rFonts w:cs="Arial"/>
          <w:sz w:val="22"/>
          <w:lang w:val="en-US"/>
        </w:rPr>
        <w:t xml:space="preserve">It </w:t>
      </w:r>
      <w:r w:rsidR="00355901" w:rsidRPr="007E4BEC">
        <w:rPr>
          <w:rFonts w:cs="Arial"/>
          <w:sz w:val="22"/>
          <w:lang w:val="en-US"/>
        </w:rPr>
        <w:t xml:space="preserve">not only requires having sufficient </w:t>
      </w:r>
      <w:r w:rsidR="00473C7A" w:rsidRPr="007E4BEC">
        <w:rPr>
          <w:rFonts w:cs="Arial"/>
          <w:sz w:val="22"/>
          <w:lang w:val="en-US"/>
        </w:rPr>
        <w:t xml:space="preserve">physiological </w:t>
      </w:r>
      <w:r w:rsidR="00355901" w:rsidRPr="007E4BEC">
        <w:rPr>
          <w:rFonts w:cs="Arial"/>
          <w:sz w:val="22"/>
          <w:lang w:val="en-US"/>
        </w:rPr>
        <w:t>reserves, but also</w:t>
      </w:r>
      <w:r w:rsidR="005E165A" w:rsidRPr="007E4BEC">
        <w:rPr>
          <w:rFonts w:cs="Arial"/>
          <w:sz w:val="22"/>
          <w:lang w:val="en-US"/>
        </w:rPr>
        <w:t xml:space="preserve"> draws on</w:t>
      </w:r>
      <w:r w:rsidR="00355901" w:rsidRPr="007E4BEC">
        <w:rPr>
          <w:rFonts w:cs="Arial"/>
          <w:sz w:val="22"/>
          <w:lang w:val="en-US"/>
        </w:rPr>
        <w:t xml:space="preserve"> resources from the person’s social environment, their mindset</w:t>
      </w:r>
      <w:r w:rsidR="002E3FCE">
        <w:rPr>
          <w:rFonts w:cs="Arial"/>
          <w:sz w:val="22"/>
          <w:lang w:val="en-US"/>
        </w:rPr>
        <w:t>,</w:t>
      </w:r>
      <w:r w:rsidR="00355901" w:rsidRPr="007E4BEC">
        <w:rPr>
          <w:rFonts w:cs="Arial"/>
          <w:sz w:val="22"/>
          <w:lang w:val="en-US"/>
        </w:rPr>
        <w:t xml:space="preserve"> and ability to</w:t>
      </w:r>
      <w:r w:rsidR="00F540DB" w:rsidRPr="007E4BEC">
        <w:rPr>
          <w:rFonts w:cs="Arial"/>
          <w:sz w:val="22"/>
          <w:lang w:val="en-US"/>
        </w:rPr>
        <w:t xml:space="preserve"> manifest adaptive behavior, </w:t>
      </w:r>
      <w:r w:rsidR="00355901" w:rsidRPr="007E4BEC">
        <w:rPr>
          <w:rFonts w:cs="Arial"/>
          <w:sz w:val="22"/>
          <w:lang w:val="en-US"/>
        </w:rPr>
        <w:t>as well as support</w:t>
      </w:r>
      <w:r w:rsidR="003270FF">
        <w:rPr>
          <w:rFonts w:cs="Arial"/>
          <w:sz w:val="22"/>
          <w:lang w:val="en-US"/>
        </w:rPr>
        <w:t xml:space="preserve"> resources</w:t>
      </w:r>
      <w:r w:rsidR="00355901" w:rsidRPr="007E4BEC">
        <w:rPr>
          <w:rFonts w:cs="Arial"/>
          <w:sz w:val="22"/>
          <w:lang w:val="en-US"/>
        </w:rPr>
        <w:t xml:space="preserve"> provide</w:t>
      </w:r>
      <w:r w:rsidR="005E165A" w:rsidRPr="007E4BEC">
        <w:rPr>
          <w:rFonts w:cs="Arial"/>
          <w:sz w:val="22"/>
          <w:lang w:val="en-US"/>
        </w:rPr>
        <w:t>d</w:t>
      </w:r>
      <w:r w:rsidR="00355901" w:rsidRPr="007E4BEC">
        <w:rPr>
          <w:rFonts w:cs="Arial"/>
          <w:sz w:val="22"/>
          <w:lang w:val="en-US"/>
        </w:rPr>
        <w:t xml:space="preserve"> through care or interventions. </w:t>
      </w:r>
      <w:r w:rsidR="007E4BEC" w:rsidRPr="007E4BEC">
        <w:rPr>
          <w:sz w:val="22"/>
          <w:lang w:val="en-US"/>
        </w:rPr>
        <w:t>If the spectrum from robustness to frailty reflects the amount of physiological potential one has to react to stressors, physical resilience refers to the actualization of that potential</w:t>
      </w:r>
      <w:r w:rsidR="000C0208">
        <w:rPr>
          <w:sz w:val="22"/>
          <w:lang w:val="en-US"/>
        </w:rPr>
        <w:t xml:space="preserve"> (</w:t>
      </w:r>
      <w:r w:rsidR="000A281E">
        <w:rPr>
          <w:sz w:val="22"/>
          <w:lang w:val="en-US"/>
        </w:rPr>
        <w:t>Figure 1</w:t>
      </w:r>
      <w:r w:rsidR="00BC219F">
        <w:rPr>
          <w:sz w:val="22"/>
          <w:lang w:val="en-US"/>
        </w:rPr>
        <w:t>)</w:t>
      </w:r>
      <w:r w:rsidR="000C0208">
        <w:rPr>
          <w:sz w:val="22"/>
          <w:lang w:val="en-US"/>
        </w:rPr>
        <w:t>.</w:t>
      </w:r>
      <w:r w:rsidR="00BC219F">
        <w:rPr>
          <w:sz w:val="22"/>
          <w:lang w:val="en-US"/>
        </w:rPr>
        <w:fldChar w:fldCharType="begin" w:fldLock="1"/>
      </w:r>
      <w:r w:rsidR="00BC219F">
        <w:rPr>
          <w:sz w:val="22"/>
          <w:lang w:val="en-US"/>
        </w:rPr>
        <w:instrText>ADDIN CSL_CITATION {"citationItems":[{"id":"ITEM-1","itemData":{"DOI":"10.1093/GERONA/GLV202","ISSN":"1758-535X","PMID":"26718984","abstract":"Background. Resilience has been described in the psychosocial literature as the capacity to maintain or regain well-being during or after adversity. Physical resilience is a newer concept that is highly relevant to successful aging. Our objective was to characterize the emerging construct of resilience as it pertains to physical health in older adults, and to identify gaps and opportunities to advance research in this area. Methods. We conducted a systematic review to identify English language papers published through January 2015 that apply the term \"resilience\" in relation to physical health in older adults. We applied a modified framework analysis to characterize themes in implicit or explicit definitions of physical resilience. Results. Of 1,078 abstracts identified, 49 articles met criteria for inclusion. Sixteen were letters or concept papers, and only one was an intervention study. Definitions of physical resilience spanned cellular to whole-person levels, incorporated many outcome measures, and represented three conceptual themes: resilience as a trait, trajectory, or characteristic/capacity. Conclusions. Current biomedical literature lacks consensus on how to define and measure physical resilience. We propose a working definition of physical resilience at the whole person level: A characteristic which determines one's ability to resist or recover from functional decline following health stressor(s). We present a conceptual framework that encompasses the related construct of physiologic reserve. We discuss gaps and opportunities in measurement, interactions across contributors to physical resilience, and points of intervention.","author":[{"dropping-particle":"","family":"Whitson","given":"Heather E.","non-dropping-particle":"","parse-names":false,"suffix":""},{"dropping-particle":"","family":"Duan-Porter","given":"Wei","non-dropping-particle":"","parse-names":false,"suffix":""},{"dropping-particle":"","family":"Schmader","given":"Kenneth E.","non-dropping-particle":"","parse-names":false,"suffix":""},{"dropping-particle":"","family":"Morey","given":"Miriam C.","non-dropping-particle":"","parse-names":false,"suffix":""},{"dropping-particle":"","family":"Cohen","given":"Harvey J.","non-dropping-particle":"","parse-names":false,"suffix":""},{"dropping-particle":"","family":"Colón-Emeric","given":"Cathleen S.","non-dropping-particle":"","parse-names":false,"suffix":""}],"container-title":"The journals of gerontology. Series A, Biological sciences and medical sciences","id":"ITEM-1","issue":"4","issued":{"date-parts":[["2016","4","1"]]},"page":"489-495","publisher":"J Gerontol A Biol Sci Med Sci","title":"Physical Resilience in Older Adults: Systematic Review and Development of an Emerging Construct","type":"article-journal","volume":"71"},"uris":["http://www.mendeley.com/documents/?uuid=252c3695-0ba8-3535-8e9b-5a8560d846b6"]},{"id":"ITEM-2","itemData":{"author":[{"dropping-particle":"","family":"Witham","given":"MD","non-dropping-particle":"","parse-names":false,"suffix":""},{"dropping-particle":"","family":"Sayer","given":"AA","non-dropping-particle":"","parse-names":false,"suffix":""}],"container-title":"European Geriatric Medicine","id":"ITEM-2","issued":{"date-parts":[["2015"]]},"page":"101-102","title":"Biological resilience in older people - a step beyong frailty?","type":"article-journal","volume":"6"},"uris":["http://www.mendeley.com/documents/?uuid=b22d9582-8c6f-3203-8b63-158e2214c102"]},{"id":"ITEM-3","itemData":{"DOI":"10.1111/JGS.15233","ISSN":"1532-5415","PMID":"29577234","author":[{"dropping-particle":"","family":"Whitson","given":"Heather E.","non-dropping-particle":"","parse-names":false,"suffix":""},{"dropping-particle":"","family":"Cohen","given":"Harvey J.","non-dropping-particle":"","parse-names":false,"suffix":""},{"dropping-particle":"","family":"Schmader","given":"Kenneth E.","non-dropping-particle":"","parse-names":false,"suffix":""},{"dropping-particle":"","family":"Morey","given":"Miriam C.","non-dropping-particle":"","parse-names":false,"suffix":""},{"dropping-particle":"","family":"Kuchel","given":"George","non-dropping-particle":"","parse-names":false,"suffix":""},{"dropping-particle":"","family":"Colon-Emeric","given":"Cathleen S.","non-dropping-particle":"","parse-names":false,"suffix":""}],"container-title":"Journal of the American Geriatrics Society","id":"ITEM-3","issue":"8","issued":{"date-parts":[["2018","8","1"]]},"page":"1459-1461","publisher":"J Am Geriatr Soc","title":"Physical Resilience: Not Simply the Opposite of Frailty","type":"article-journal","volume":"66"},"uris":["http://www.mendeley.com/documents/?uuid=4713a784-e379-3cdd-8e4a-af537abeecbe"]},{"id":"ITEM-4","itemData":{"author":[{"dropping-particle":"","family":"Rockwood","given":"K","non-dropping-particle":"","parse-names":false,"suffix":""},{"dropping-particle":"","family":"Mitnitski A","given":"","non-dropping-particle":"","parse-names":false,"suffix":""}],"container-title":"European Geriatric Medicine","id":"ITEM-4","issued":{"date-parts":[["2015"]]},"page":"405-507","title":"Resilience and frailty: furter steps, best taken together","type":"article-journal","volume":"6"},"uris":["http://www.mendeley.com/documents/?uuid=928afd38-c5c6-3268-8a94-9592c8ff5c38"]},{"id":"ITEM-5","itemData":{"DOI":"10.1016/J.MEHY.2010.11.028","ISSN":"1532-2777","PMID":"21185129","author":[{"dropping-particle":"","family":"Alfieri","given":"Walter","non-dropping-particle":"De","parse-names":false,"suffix":""},{"dropping-particle":"","family":"Costanzo","given":"Sergio","non-dropping-particle":"","parse-names":false,"suffix":""},{"dropping-particle":"","family":"Borgogni","given":"Tiziano","non-dropping-particle":"","parse-names":false,"suffix":""}],"container-title":"Medical hypotheses","id":"ITEM-5","issue":"2","issued":{"date-parts":[["2011","2"]]},"page":"304-305","publisher":"Med Hypotheses","title":"Biological resilience of older adults versus frailty","type":"article-journal","volume":"76"},"uris":["http://www.mendeley.com/documents/?uuid=98749f65-08ef-3924-ba78-02b16eb1a701"]}],"mendeley":{"formattedCitation":"&lt;sup&gt;7–11&lt;/sup&gt;","plainTextFormattedCitation":"7–11","previouslyFormattedCitation":"&lt;sup&gt;7–11&lt;/sup&gt;"},"properties":{"noteIndex":0},"schema":"https://github.com/citation-style-language/schema/raw/master/csl-citation.json"}</w:instrText>
      </w:r>
      <w:r w:rsidR="00BC219F">
        <w:rPr>
          <w:sz w:val="22"/>
          <w:lang w:val="en-US"/>
        </w:rPr>
        <w:fldChar w:fldCharType="separate"/>
      </w:r>
      <w:r w:rsidR="00BC219F" w:rsidRPr="00BC219F">
        <w:rPr>
          <w:noProof/>
          <w:sz w:val="22"/>
          <w:vertAlign w:val="superscript"/>
          <w:lang w:val="en-US"/>
        </w:rPr>
        <w:t>7–11</w:t>
      </w:r>
      <w:r w:rsidR="00BC219F">
        <w:rPr>
          <w:sz w:val="22"/>
          <w:lang w:val="en-US"/>
        </w:rPr>
        <w:fldChar w:fldCharType="end"/>
      </w:r>
      <w:r w:rsidR="007E4BEC" w:rsidRPr="007E4BEC">
        <w:rPr>
          <w:sz w:val="22"/>
          <w:lang w:val="en-US"/>
        </w:rPr>
        <w:t xml:space="preserve"> </w:t>
      </w:r>
      <w:r w:rsidR="00F741C0" w:rsidRPr="007E4BEC">
        <w:rPr>
          <w:rFonts w:cs="Arial"/>
          <w:sz w:val="22"/>
          <w:lang w:val="en-US"/>
        </w:rPr>
        <w:t xml:space="preserve">With its focus on strengths, resources and ability, </w:t>
      </w:r>
      <w:r w:rsidR="007E4BEC" w:rsidRPr="007E4BEC">
        <w:rPr>
          <w:rFonts w:cs="Arial"/>
          <w:sz w:val="22"/>
          <w:lang w:val="en-US"/>
        </w:rPr>
        <w:t xml:space="preserve">resilience </w:t>
      </w:r>
      <w:r w:rsidR="00F741C0" w:rsidRPr="007E4BEC">
        <w:rPr>
          <w:rFonts w:cs="Arial"/>
          <w:sz w:val="22"/>
          <w:lang w:val="en-US"/>
        </w:rPr>
        <w:t xml:space="preserve">takes a more positive </w:t>
      </w:r>
      <w:r w:rsidR="009B242A" w:rsidRPr="007E4BEC">
        <w:rPr>
          <w:sz w:val="22"/>
          <w:lang w:val="en-US"/>
        </w:rPr>
        <w:t>perspective on</w:t>
      </w:r>
      <w:r w:rsidR="000019FF" w:rsidRPr="007E4BEC">
        <w:rPr>
          <w:sz w:val="22"/>
          <w:lang w:val="en-US"/>
        </w:rPr>
        <w:t xml:space="preserve"> an older adult’s</w:t>
      </w:r>
      <w:r w:rsidR="009B242A" w:rsidRPr="007E4BEC">
        <w:rPr>
          <w:sz w:val="22"/>
          <w:lang w:val="en-US"/>
        </w:rPr>
        <w:t xml:space="preserve"> health</w:t>
      </w:r>
      <w:r w:rsidR="000019FF" w:rsidRPr="007E4BEC">
        <w:rPr>
          <w:sz w:val="22"/>
          <w:lang w:val="en-US"/>
        </w:rPr>
        <w:t xml:space="preserve"> status</w:t>
      </w:r>
      <w:r w:rsidR="009B242A" w:rsidRPr="007E4BEC">
        <w:rPr>
          <w:sz w:val="22"/>
          <w:lang w:val="en-US"/>
        </w:rPr>
        <w:t xml:space="preserve">. </w:t>
      </w:r>
    </w:p>
    <w:p w14:paraId="4268F033" w14:textId="7D0C6A53" w:rsidR="006124C2" w:rsidRDefault="00C9669F" w:rsidP="007E4BEC">
      <w:pPr>
        <w:spacing w:line="276" w:lineRule="auto"/>
        <w:rPr>
          <w:lang w:val="en-US"/>
        </w:rPr>
      </w:pPr>
      <w:r>
        <w:rPr>
          <w:lang w:val="en-US"/>
        </w:rPr>
        <w:t xml:space="preserve">A person’s recovery potential is best </w:t>
      </w:r>
      <w:r w:rsidR="00174A68">
        <w:rPr>
          <w:lang w:val="en-US"/>
        </w:rPr>
        <w:t>observed</w:t>
      </w:r>
      <w:r>
        <w:rPr>
          <w:lang w:val="en-US"/>
        </w:rPr>
        <w:t xml:space="preserve"> when an external stressor </w:t>
      </w:r>
      <w:r w:rsidR="00174A68">
        <w:rPr>
          <w:lang w:val="en-US"/>
        </w:rPr>
        <w:t xml:space="preserve">disturbs their equilibrium, by </w:t>
      </w:r>
      <w:r w:rsidR="002B3DC7">
        <w:rPr>
          <w:lang w:val="en-US"/>
        </w:rPr>
        <w:t>seeing</w:t>
      </w:r>
      <w:r w:rsidR="00174A68">
        <w:rPr>
          <w:lang w:val="en-US"/>
        </w:rPr>
        <w:t xml:space="preserve"> </w:t>
      </w:r>
      <w:r>
        <w:rPr>
          <w:lang w:val="en-US"/>
        </w:rPr>
        <w:t xml:space="preserve">the subsequent dynamic response over time. </w:t>
      </w:r>
      <w:r w:rsidR="00A1563B">
        <w:rPr>
          <w:lang w:val="en-US"/>
        </w:rPr>
        <w:t>O</w:t>
      </w:r>
      <w:r w:rsidR="002B3DC7">
        <w:rPr>
          <w:lang w:val="en-US"/>
        </w:rPr>
        <w:t xml:space="preserve">ne way to test this </w:t>
      </w:r>
      <w:r w:rsidR="006C5F8E">
        <w:rPr>
          <w:lang w:val="en-US"/>
        </w:rPr>
        <w:t>is by means of a stimulus-response test</w:t>
      </w:r>
      <w:r w:rsidR="00AE44FC">
        <w:rPr>
          <w:lang w:val="en-US"/>
        </w:rPr>
        <w:t>, which involves</w:t>
      </w:r>
      <w:r w:rsidR="00A1563B">
        <w:rPr>
          <w:lang w:val="en-US"/>
        </w:rPr>
        <w:t xml:space="preserve"> </w:t>
      </w:r>
      <w:r w:rsidR="006C5F8E">
        <w:rPr>
          <w:lang w:val="en-US"/>
        </w:rPr>
        <w:t>standardized probing of a physiological function with an experimental stressor and monitoring the response</w:t>
      </w:r>
      <w:r w:rsidR="00BC219F">
        <w:rPr>
          <w:lang w:val="en-US"/>
        </w:rPr>
        <w:t>.</w:t>
      </w:r>
      <w:r w:rsidR="00BC219F">
        <w:rPr>
          <w:lang w:val="en-US"/>
        </w:rPr>
        <w:fldChar w:fldCharType="begin" w:fldLock="1"/>
      </w:r>
      <w:r w:rsidR="007D5160">
        <w:rPr>
          <w:lang w:val="en-US"/>
        </w:rPr>
        <w:instrText>ADDIN CSL_CITATION {"citationItems":[{"id":"ITEM-1","itemData":{"DOI":"10.1016/J.MAD.2008.09.013","ISSN":"0047-6374","PMID":"18938195","abstract":"Frailty is a state of health signified by an increased vulnerability to adverse health outcomes in the face of stressors (e.g. infection). There is emerging consensus that research on both the theory and measurement of frailty must focus on the dynamic interactions within and across systems underlying the frailty syndrome. In this paper, we propose a dynamical systems modeling approach, based on the stimulus-response experimental paradigm, to propel future advances in the study of frailty. Our proposal is novel in that it provides a quantitative framework to operationalize and test the core notion underlying frailty that it signifies a loss of resilience in homeostatic regulation. The proposed framework offers many important benefits, including (a) insights into whether and how homeostatic regulation differs between frail and non-frail older adults, (b) identification of critical regulatory systems, if they exist, that could function as sentinel systems for screening and early detection of frailty, (c) establishment of the value of provocative tests that can provide maximal information on the integrity of systems identified in (b), and (d) evaluation and unification of diverse empirical descriptions of frailty by providing a mathematical framework anchored in quantifying the loss of resilience, an essential property of frailty. © 2008 Elsevier Ireland Ltd. All rights reserved.","author":[{"dropping-particle":"","family":"Varadhan","given":"R.","non-dropping-particle":"","parse-names":false,"suffix":""},{"dropping-particle":"","family":"Seplaki","given":"C. L.","non-dropping-particle":"","parse-names":false,"suffix":""},{"dropping-particle":"","family":"Xue","given":"Q. L.","non-dropping-particle":"","parse-names":false,"suffix":""},{"dropping-particle":"","family":"Bandeen-Roche","given":"K.","non-dropping-particle":"","parse-names":false,"suffix":""},{"dropping-particle":"","family":"Fried","given":"L. P.","non-dropping-particle":"","parse-names":false,"suffix":""}],"container-title":"Mechanisms of ageing and development","id":"ITEM-1","issue":"11","issued":{"date-parts":[["2008","11"]]},"page":"666-670","publisher":"Mech Ageing Dev","title":"Stimulus-response paradigm for characterizing the loss of resilience in homeostatic regulation associated with frailty","type":"article-journal","volume":"129"},"uris":["http://www.mendeley.com/documents/?uuid=390cd996-e2eb-3431-a02a-4b49095ad85b"]}],"mendeley":{"formattedCitation":"&lt;sup&gt;25&lt;/sup&gt;","plainTextFormattedCitation":"25","previouslyFormattedCitation":"&lt;sup&gt;25&lt;/sup&gt;"},"properties":{"noteIndex":0},"schema":"https://github.com/citation-style-language/schema/raw/master/csl-citation.json"}</w:instrText>
      </w:r>
      <w:r w:rsidR="00BC219F">
        <w:rPr>
          <w:lang w:val="en-US"/>
        </w:rPr>
        <w:fldChar w:fldCharType="separate"/>
      </w:r>
      <w:r w:rsidR="00BC219F" w:rsidRPr="00BC219F">
        <w:rPr>
          <w:noProof/>
          <w:vertAlign w:val="superscript"/>
          <w:lang w:val="en-US"/>
        </w:rPr>
        <w:t>25</w:t>
      </w:r>
      <w:r w:rsidR="00BC219F">
        <w:rPr>
          <w:lang w:val="en-US"/>
        </w:rPr>
        <w:fldChar w:fldCharType="end"/>
      </w:r>
      <w:r w:rsidR="00440BBE">
        <w:rPr>
          <w:lang w:val="en-US"/>
        </w:rPr>
        <w:t xml:space="preserve"> A</w:t>
      </w:r>
      <w:r w:rsidR="00A1563B">
        <w:rPr>
          <w:lang w:val="en-US"/>
        </w:rPr>
        <w:t xml:space="preserve"> </w:t>
      </w:r>
      <w:r w:rsidR="00440BBE">
        <w:rPr>
          <w:lang w:val="en-US"/>
        </w:rPr>
        <w:t>w</w:t>
      </w:r>
      <w:r w:rsidR="006C5F8E">
        <w:rPr>
          <w:lang w:val="en-US"/>
        </w:rPr>
        <w:t>ell-known example</w:t>
      </w:r>
      <w:r w:rsidR="00440BBE">
        <w:rPr>
          <w:lang w:val="en-US"/>
        </w:rPr>
        <w:t xml:space="preserve"> is </w:t>
      </w:r>
      <w:r w:rsidR="006C5F8E">
        <w:rPr>
          <w:lang w:val="en-US"/>
        </w:rPr>
        <w:lastRenderedPageBreak/>
        <w:t>heart</w:t>
      </w:r>
      <w:r w:rsidR="00BD555C">
        <w:rPr>
          <w:lang w:val="en-US"/>
        </w:rPr>
        <w:t xml:space="preserve"> rate</w:t>
      </w:r>
      <w:r w:rsidR="00AE44FC">
        <w:rPr>
          <w:lang w:val="en-US"/>
        </w:rPr>
        <w:t xml:space="preserve"> analysis</w:t>
      </w:r>
      <w:r w:rsidR="00BD555C">
        <w:rPr>
          <w:lang w:val="en-US"/>
        </w:rPr>
        <w:t xml:space="preserve"> </w:t>
      </w:r>
      <w:r w:rsidR="002B3DC7">
        <w:rPr>
          <w:lang w:val="en-US"/>
        </w:rPr>
        <w:t>during</w:t>
      </w:r>
      <w:r w:rsidR="00BD555C">
        <w:rPr>
          <w:lang w:val="en-US"/>
        </w:rPr>
        <w:t xml:space="preserve"> an exercise test</w:t>
      </w:r>
      <w:r w:rsidR="00440BBE">
        <w:rPr>
          <w:lang w:val="en-US"/>
        </w:rPr>
        <w:t xml:space="preserve">, where </w:t>
      </w:r>
      <w:r w:rsidR="00BD555C">
        <w:rPr>
          <w:lang w:val="en-US"/>
        </w:rPr>
        <w:t>longer recovery times</w:t>
      </w:r>
      <w:r w:rsidR="00440BBE">
        <w:rPr>
          <w:lang w:val="en-US"/>
        </w:rPr>
        <w:t xml:space="preserve"> (return of heart rate to resting levels)</w:t>
      </w:r>
      <w:r w:rsidR="00BD555C">
        <w:rPr>
          <w:lang w:val="en-US"/>
        </w:rPr>
        <w:t xml:space="preserve"> </w:t>
      </w:r>
      <w:r w:rsidR="00440BBE">
        <w:rPr>
          <w:lang w:val="en-US"/>
        </w:rPr>
        <w:t>were found</w:t>
      </w:r>
      <w:r w:rsidR="00BD555C">
        <w:rPr>
          <w:lang w:val="en-US"/>
        </w:rPr>
        <w:t xml:space="preserve"> to be associated with mortality or frailty </w:t>
      </w:r>
      <w:r w:rsidR="00983169">
        <w:rPr>
          <w:lang w:val="en-US"/>
        </w:rPr>
        <w:t>in older persons</w:t>
      </w:r>
      <w:r w:rsidR="007D5160">
        <w:rPr>
          <w:lang w:val="en-US"/>
        </w:rPr>
        <w:t>.</w:t>
      </w:r>
      <w:r w:rsidR="007D5160">
        <w:rPr>
          <w:lang w:val="en-US"/>
        </w:rPr>
        <w:fldChar w:fldCharType="begin" w:fldLock="1"/>
      </w:r>
      <w:r w:rsidR="007D5160">
        <w:rPr>
          <w:lang w:val="en-US"/>
        </w:rPr>
        <w:instrText>ADDIN CSL_CITATION {"citationItems":[{"id":"ITEM-1","itemData":{"DOI":"10.1093/GERONA/GLR141","ISSN":"1758-535X","PMID":"21873592","abstract":"Background.We examined women in their 80s and 90s and evaluated the hypothesis that abnormalities in the dynamic response of glucose and insulin to a glucose load are associated with frailty status.Methods.We performed a 75 g oral glucose tolerance test in 73 community-dwelling women aged 84-95 years without known diabetes enrolled in the Women's Health and Aging Study II. We examined the association of frailty status (nonfrail, prefrail, or frail) with oral glucose tolerance test glucose and insulin levels at 0, 30, 60, 120, and 180 minutes using multiple linear regression models.Results.Using American Diabetes Association criteria, only 27% of older women had normal glucose status, 48% had prediabetes, and 25% had undiagnosed diabetes. Fasting glucose, fasting insulin, homeostasis model of assessment-insulin resistance, and Matsuda index were similar by frailty status, adjusting for age and body mass index. Conversely, mean oral glucose tolerance test glucose levels were higher at 60 minutes (44.6 ± 18.1 mg/dL higher) and 120 minutes (67.1 ± 23.5 mg/dL higher) and to a lesser extent at 180 minutes (44.3 ± 22.5 mg/dL higher) in frail versus nonfrail women as was integrated glucose area after adjustment. Mean 120-minute insulin level was also higher in frail versus nonfrail women (45.7 ± 22.4 μU/mL higher). Overall, glucose and insulin responses were more exaggerated and prolonged in frail versus nonfrail or prefrail women.Conclusions.Our data demonstrate dysregulation in response to glucose challenge as a component of physiologic vulnerability associated with frailty in old-old women. Future studies should examine the timing of abnormal glucose-insulin dynamics with respect to the pathogenesis of frailty. © The Author 2012. Published by Oxford University Press on behalf of The Gerontological Society of America. All rights reserved.","author":[{"dropping-particle":"","family":"Kalyani","given":"Rita Rastogi","non-dropping-particle":"","parse-names":false,"suffix":""},{"dropping-particle":"","family":"Varadhan","given":"Ravi","non-dropping-particle":"","parse-names":false,"suffix":""},{"dropping-particle":"","family":"Weiss","given":"Carlos O.","non-dropping-particle":"","parse-names":false,"suffix":""},{"dropping-particle":"","family":"Fried","given":"Linda P.","non-dropping-particle":"","parse-names":false,"suffix":""},{"dropping-particle":"","family":"Cappola","given":"Anne R.","non-dropping-particle":"","parse-names":false,"suffix":""}],"container-title":"The journals of gerontology. Series A, Biological sciences and medical sciences","id":"ITEM-1","issue":"12","issued":{"date-parts":[["2012","12"]]},"page":"1300-1306","publisher":"J Gerontol A Biol Sci Med Sci","title":"Frailty status and altered glucose-insulin dynamics","type":"article-journal","volume":"67"},"uris":["http://www.mendeley.com/documents/?uuid=00beec73-023e-32c5-b46d-22c0c2fd52c2"]},{"id":"ITEM-2","itemData":{"DOI":"10.1093/GERONA/GLT111","ISSN":"1758-535X","PMID":"23873962","abstract":"Background.Normally, standing up causes a blood pressure (BP) drop within 15 seconds, followed by recovery to baseline driven by BP control mechanisms. The prognostic value of this initial BP drop, but also of the recovery hereafter, is unknown. The aim of this study was to examine the prognostic value of these BP characteristics in response to standing.Methods.In a retrospective cohort study of 238 consecutive patients visiting our falls outpatient clinic, we examined the relation between all-cause mortality and BP decline and recovery directly after active standing up with Cox proportional hazards analyses.Results.Of 238 patients (mean age 78.4 ± 7.8 years), during a median follow-up of 21.0 months, 36 (15%) patients died. Neither absolute nor relative (%) initial BP drop after standing predicted mortality. In contrast, the magnitude of BP recovery 40-60 seconds after standing was associated with mortality, even after adjustment for age, comorbidity, and other baseline characteristics. When systolic BP had recovered to less than 80% of prestanding baseline after 60 seconds of standing, this was a powerful independent predictor of mortality (hazard ratio: 3.00; 95% confidence interval 1.17-7.68). Conclusions.Failure to recover from BP decline in the first minute after active standing up is associated with excess mortality in falls clinic patients. A recovery of systolic BP to less than 80% of baseline after 60 seconds may be used as an easily available cardiovascular marker for increased mortality risk in older falls clinic patients. © The Author 2013.","author":[{"dropping-particle":"","family":"Lagro","given":"Joep","non-dropping-particle":"","parse-names":false,"suffix":""},{"dropping-particle":"","family":"Schoon","given":"Yvonne","non-dropping-particle":"","parse-names":false,"suffix":""},{"dropping-particle":"","family":"Heerts","given":"Inger","non-dropping-particle":"","parse-names":false,"suffix":""},{"dropping-particle":"","family":"Meel-Van Den Abeelen","given":"Aisha S.S.","non-dropping-particle":"","parse-names":false,"suffix":""},{"dropping-particle":"","family":"Schalk","given":"Bianca","non-dropping-particle":"","parse-names":false,"suffix":""},{"dropping-particle":"","family":"Wieling","given":"Wouter","non-dropping-particle":"","parse-names":false,"suffix":""},{"dropping-particle":"","family":"Olde Rikkert","given":"Marcel G.M.","non-dropping-particle":"","parse-names":false,"suffix":""},{"dropping-particle":"","family":"Claassen","given":"Jurgen A.H.R.","non-dropping-particle":"","parse-names":false,"suffix":""}],"container-title":"The journals of gerontology. Series A, Biological sciences and medical sciences","id":"ITEM-2","issue":"4","issued":{"date-parts":[["2014","4","1"]]},"page":"471-478","publisher":"J Gerontol A Biol Sci Med Sci","title":"Impaired systolic blood pressure recovery directly after standing predicts mortality in older falls clinic patients","type":"article-journal","volume":"69"},"uris":["http://www.mendeley.com/documents/?uuid=a5777ab7-42e4-3689-8dc3-b139eb238637"]},{"id":"ITEM-3","itemData":{"DOI":"10.1034/J.1601-5215.2002.51011.X","ISSN":"0002-8614","PMID":"12534847","abstract":"OBJECTIVES: To evaluate the prognostic value in older adults of two predictors of mortality: impaired functional capacity and an attenuated heart rate recovery. SETTING: Academic medical center. DESIGN: Prospective study with mean 3.7 years follow-up. PARTICIPANTS: Seven thousand three hundred fiftyfour adults aged 65 and older consecutively referred for exercise testing between 1990 and 1999. Patients with heart failure, valvular disease, atrial fibrillation, and pacemakers were excluded. MEASUREMENTS: The primary endpoint was all-cause mortality. Impaired functional capacity was defined as the peak exercise workload in the lowest quintile of metabolic equivalents achieved according to prespecified strata of age and sex. Heart rate recovery was defined as the fall in heart rate during the first minute after exercise and was abnormal if 12 or fewer beats per minute, except for patients undergoing stress echocardiography, in which case 18 or fewer beats per minute was abnormal. RESULTS: There were 842 deaths. Patients with impaired functional capacity were at increased risk for death (23% vs 9%, hazard ratio (HR) = 2.7, 95% confidence interval (CI) = 2.2-3.1, P &lt; .0001) as were patients with an abnormal heart rate recovery (17% vs 9%, HR = 2.0, 95% CI = 1.8-2.3, P &lt; .0001). After adjusting for age, sex, coronary history, and other confounders, impaired functional capacity (adjusted HR = 2.1, 95% CI = 1.8-2.4) and an abnormal heart rate recovery (adjusted HR = 1.5, 95% CI = 1.3-1.7) independently predicted death. No interactions between these two variables with age were noted. CONCLUSIONS: In older patients, impaired functional capacity and heart rate recovery were independent predictors of death.","author":[{"dropping-particle":"","family":"Messinger-Rapport","given":"Barbara","non-dropping-particle":"","parse-names":false,"suffix":""},{"dropping-particle":"","family":"Snader","given":"Claire E.Pothier","non-dropping-particle":"","parse-names":false,"suffix":""},{"dropping-particle":"","family":"Blackstone","given":"Eugene H.","non-dropping-particle":"","parse-names":false,"suffix":""},{"dropping-particle":"","family":"Yu","given":"David","non-dropping-particle":"","parse-names":false,"suffix":""},{"dropping-particle":"","family":"Lauer","given":"Michael S.","non-dropping-particle":"","parse-names":false,"suffix":""}],"container-title":"Journal of the American Geriatrics Society","id":"ITEM-3","issue":"1","issued":{"date-parts":[["2003","1","1"]]},"page":"63-68","publisher":"J Am Geriatr Soc","title":"Value of exercise capacity and heart rate recovery in older people","type":"article-journal","volume":"51"},"uris":["http://www.mendeley.com/documents/?uuid=f2229c62-44e5-3d1f-8571-93691587e3bd"]},{"id":"ITEM-4","itemData":{"DOI":"10.1111/JGS.15327","ISSN":"1532-5415","PMID":"29668044","abstract":"Objectives: To characterize the relationships between orthostatic blood pressure (BP) and heart rate recovery and frailty in an older population. Design: Cross-sectional study. Setting: Two health centers in the Republic of Ireland. Participants: The Irish Longitudinal Study on Ageing participants aged 50 and older (N=4,334). Measurements: Continuous noninvasive BP responses during active standing were captured using digital photoplethysmography. Frailty was assessed using the Cardiovascular Health Study criteria. Linear mixed models (random intercept) with piecewise splines were used to model differences in rate of BP and heart rate recovery. Results: Ninety-three (2.2%) participants were frail, and 1,366 (31.5%) were prefrail. Adjusting for age and sex, frailty was associated with a slower rate of systolic BP recovery 10 to 20 seconds after standing (frailty by time = –4.12, 95% confidence interval=–5.53 to –2.72) and with subsequent deficits in BP 20 to 50 seconds after standing. Similar results were seen for diastolic BP and heart rate. Further adjustment for health behaviors, morbidities, and medications reduced, but did not attenuate, these associations. Of the 5 frailty criteria, only slow gait speed was consistently related to impaired BP and heart rate responses in the full model. Conclusion: Frailty, particularly slow gait speed, was associated with slower rate of BP and heart rate recovery after active standing. Impaired BP recovery may be a marker of physiological frailty.","author":[{"dropping-particle":"","family":"O'Connell","given":"Matthew D.L.","non-dropping-particle":"","parse-names":false,"suffix":""},{"dropping-particle":"","family":"Savva","given":"George M.","non-dropping-particle":"","parse-names":false,"suffix":""},{"dropping-particle":"","family":"Finucane","given":"Ciarán","non-dropping-particle":"","parse-names":false,"suffix":""},{"dropping-particle":"","family":"Romero-Ortuno","given":"Roman","non-dropping-particle":"","parse-names":false,"suffix":""},{"dropping-particle":"","family":"Fan","given":"Chie Wei","non-dropping-particle":"","parse-names":false,"suffix":""},{"dropping-particle":"","family":"Kenny","given":"Rose Anne","non-dropping-particle":"","parse-names":false,"suffix":""}],"container-title":"Journal of the American Geriatrics Society","id":"ITEM-4","issue":"8","issued":{"date-parts":[["2018","8","1"]]},"page":"1475-1483","publisher":"J Am Geriatr Soc","title":"Impairments in Hemodynamic Responses to Orthostasis Associated with Frailty: Results from The Irish Longitudinal Study on Ageing (TILDA)","type":"article-journal","volume":"66"},"uris":["http://www.mendeley.com/documents/?uuid=c57b0e46-3fb0-3a94-b1d6-1da8a867072c"]}],"mendeley":{"formattedCitation":"&lt;sup&gt;26–29&lt;/sup&gt;","plainTextFormattedCitation":"26–29","previouslyFormattedCitation":"&lt;sup&gt;26–29&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26–29</w:t>
      </w:r>
      <w:r w:rsidR="007D5160">
        <w:rPr>
          <w:lang w:val="en-US"/>
        </w:rPr>
        <w:fldChar w:fldCharType="end"/>
      </w:r>
      <w:r w:rsidR="007D5160">
        <w:rPr>
          <w:lang w:val="en-US"/>
        </w:rPr>
        <w:t xml:space="preserve"> </w:t>
      </w:r>
      <w:r w:rsidR="00F02EB2">
        <w:rPr>
          <w:lang w:val="en-US"/>
        </w:rPr>
        <w:t>Evidence on</w:t>
      </w:r>
      <w:r w:rsidR="0032105F">
        <w:rPr>
          <w:lang w:val="en-US"/>
        </w:rPr>
        <w:t xml:space="preserve"> the association between such dynamic response tests and outcomes of oncologic treatment</w:t>
      </w:r>
      <w:r w:rsidR="00F02EB2">
        <w:rPr>
          <w:lang w:val="en-US"/>
        </w:rPr>
        <w:t xml:space="preserve"> is limited</w:t>
      </w:r>
      <w:r w:rsidR="0032105F">
        <w:rPr>
          <w:lang w:val="en-US"/>
        </w:rPr>
        <w:t>.</w:t>
      </w:r>
      <w:r w:rsidR="007D5160">
        <w:rPr>
          <w:lang w:val="en-US"/>
        </w:rPr>
        <w:fldChar w:fldCharType="begin" w:fldLock="1"/>
      </w:r>
      <w:r w:rsidR="007D5160">
        <w:rPr>
          <w:lang w:val="en-US"/>
        </w:rPr>
        <w:instrText>ADDIN CSL_CITATION {"citationItems":[{"id":"ITEM-1","itemData":{"DOI":"10.1245/S10434-021-10251-3","ISSN":"1534-4681","PMID":"34101066","abstract":"Backgrounds: There is mixed evidence on the value of preoperative cardiorespiratory exercise test (CPET) to predict postoperative outcomes in patients undergoing a cancer surgical procedure. The purpose of this review was to investigate the association between preoperative CPET variables and postoperative complications, length of hospital stay, and quality of life in patients undergoing cancer surgery. Methods: A search was conducted on MEDLINE, Embase, AMED, and Web of science from inception to April 2020. Cohort studies investigating the association between preoperative CPET variables, including peak oxygen uptake (peak VO2), anaerobic threshold (AT), or ventilatory equivalent for carbon dioxide (VE/VCO2), and postoperative outcomes (complications, length of stay, and quality of life) were included. Risk of bias was assessed using the QUIPS tool. A random-effect model meta-analysis was performed whenever possible. Results: Fifty-two unique studies, including 10,030 patients were included. Overall, most studies were rated as having low risk of bias. Higher preoperative peak VO2 was associated with absence of postoperative complications (mean difference [MD]: 2.28; 95% confidence interval [CI]: 1.26–3.29) and no pulmonary complication (MD: 1.47; 95% CI: 0.49–2.45). Preoperative AT and VE/VCO2 also demonstrated some positive trends. None of the included studies reported a negative trend. Conclusions: This systematic review and meta-analysis demonstrated a significant association between superior preoperative CPET values, especially peak VO2, and better postoperative outcomes. The assessment of preoperative functional capacity in patients undergoing cancer surgery has the potential to facilitate treatment decision making.","author":[{"dropping-particle":"","family":"Steffens","given":"Daniel","non-dropping-particle":"","parse-names":false,"suffix":""},{"dropping-particle":"","family":"Ismail","given":"Hilmy","non-dropping-particle":"","parse-names":false,"suffix":""},{"dropping-particle":"","family":"Denehy","given":"Linda","non-dropping-particle":"","parse-names":false,"suffix":""},{"dropping-particle":"","family":"Beckenkamp","given":"Paula R.","non-dropping-particle":"","parse-names":false,"suffix":""},{"dropping-particle":"","family":"Solomon","given":"Michael","non-dropping-particle":"","parse-names":false,"suffix":""},{"dropping-particle":"","family":"Koh","given":"Cherry","non-dropping-particle":"","parse-names":false,"suffix":""},{"dropping-particle":"","family":"Bartyn","given":"Jenna","non-dropping-particle":"","parse-names":false,"suffix":""},{"dropping-particle":"","family":"Pillinger","given":"Neil","non-dropping-particle":"","parse-names":false,"suffix":""}],"container-title":"Annals of surgical oncology","id":"ITEM-1","issue":"12","issued":{"date-parts":[["2021","11","1"]]},"page":"7120-7146","publisher":"Ann Surg Oncol","title":"Preoperative Cardiopulmonary Exercise Test Associated with Postoperative Outcomes in Patients Undergoing Cancer Surgery: A Systematic Review and Meta-Analyses","type":"article-journal","volume":"28"},"uris":["http://www.mendeley.com/documents/?uuid=77cedba5-da9c-3c50-bb0f-56dafbb67ad9"]}],"mendeley":{"formattedCitation":"&lt;sup&gt;30&lt;/sup&gt;","plainTextFormattedCitation":"30","previouslyFormattedCitation":"&lt;sup&gt;30&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30</w:t>
      </w:r>
      <w:r w:rsidR="007D5160">
        <w:rPr>
          <w:lang w:val="en-US"/>
        </w:rPr>
        <w:fldChar w:fldCharType="end"/>
      </w:r>
      <w:r w:rsidR="0032105F">
        <w:rPr>
          <w:lang w:val="en-US"/>
        </w:rPr>
        <w:t xml:space="preserve"> </w:t>
      </w:r>
      <w:r w:rsidR="00C23E92">
        <w:rPr>
          <w:lang w:val="en-US"/>
        </w:rPr>
        <w:t xml:space="preserve">In addition, </w:t>
      </w:r>
      <w:r w:rsidR="00983169">
        <w:rPr>
          <w:lang w:val="en-US"/>
        </w:rPr>
        <w:t xml:space="preserve">it </w:t>
      </w:r>
      <w:r w:rsidR="008646B1">
        <w:rPr>
          <w:lang w:val="en-US"/>
        </w:rPr>
        <w:t xml:space="preserve">is </w:t>
      </w:r>
      <w:r w:rsidR="00983169">
        <w:rPr>
          <w:lang w:val="en-US"/>
        </w:rPr>
        <w:t>a challenge to develop stimulus-response tests that ar</w:t>
      </w:r>
      <w:r w:rsidR="003E41AD">
        <w:rPr>
          <w:lang w:val="en-US"/>
        </w:rPr>
        <w:t>e</w:t>
      </w:r>
      <w:r w:rsidR="00983169">
        <w:rPr>
          <w:lang w:val="en-US"/>
        </w:rPr>
        <w:t xml:space="preserve"> reasonably safe and practically feasible for</w:t>
      </w:r>
      <w:r w:rsidR="0032105F">
        <w:rPr>
          <w:lang w:val="en-US"/>
        </w:rPr>
        <w:t xml:space="preserve"> older or vulnerable </w:t>
      </w:r>
      <w:r w:rsidR="00983169">
        <w:rPr>
          <w:lang w:val="en-US"/>
        </w:rPr>
        <w:t>patients</w:t>
      </w:r>
      <w:r w:rsidR="007D5160">
        <w:rPr>
          <w:lang w:val="en-US"/>
        </w:rPr>
        <w:t>.</w:t>
      </w:r>
      <w:r w:rsidR="007D5160">
        <w:rPr>
          <w:lang w:val="en-US"/>
        </w:rPr>
        <w:fldChar w:fldCharType="begin" w:fldLock="1"/>
      </w:r>
      <w:r w:rsidR="007D5160">
        <w:rPr>
          <w:lang w:val="en-US"/>
        </w:rPr>
        <w:instrText>ADDIN CSL_CITATION {"citationItems":[{"id":"ITEM-1","itemData":{"DOI":"10.1093/GERONA/GLX015","ISSN":"1758-535X","PMID":"28475732","abstract":"Background/Objectives: Resilience, the ability to resist or recover from adverse effects of a stressor, is of widespread interest in social, psychologic, biologic, and medical research and particularly salient as the capacity to respond to stressors becomes diminished with aging. To date, research on human resilience responses to and factors influencing these responses has been limited. Methods: The National Institute on Aging convened a workshop in August 2015 on needs for research to improve measures to predict and assess resilience in human aging. Effects of aging-related factors in impairing homeostatic responses were developed from examples illustrating multiple determinants of clinical resilience outcomes. Research directions were identified by workshop participants. Results: Research needs identified included expanded uses of clinical data and specimens in predicting or assessing resilience, and contributions from epidemiological studies in identifying long-term predictors. Better measures, including simulation tests, are needed to assess resilience and its determinants. Mechanistic studies should include exploration of influences of biologic aging processes on human resiliencies. Important resource and infrastructure needs include consensus phenotype definitions of specific resiliencies, capacity to link epidemiological and clinical resilience data, sensor technology to capture responses to stressors, better laboratory animal models of human resiliencies, and new analytic methods to understand the effects of multiple determinants of stress responses. Conclusions: Extending the focus of care and research to improving the capacity to respond to stressors could benefit older adults in promoting a healthier life span.","author":[{"dropping-particle":"","family":"Hadley","given":"Evan C.","non-dropping-particle":"","parse-names":false,"suffix":""},{"dropping-particle":"","family":"Kuchel","given":"George A.","non-dropping-particle":"","parse-names":false,"suffix":""},{"dropping-particle":"","family":"Newman","given":"Anne B.","non-dropping-particle":"","parse-names":false,"suffix":""}],"container-title":"The journals of gerontology. Series A, Biological sciences and medical sciences","id":"ITEM-1","issue":"7","issued":{"date-parts":[["2017","7","1"]]},"page":"980-990","publisher":"J Gerontol A Biol Sci Med Sci","title":"Report: NIA Workshop on Measures of Physiologic Resiliencies in Human Aging","type":"article-journal","volume":"72"},"uris":["http://www.mendeley.com/documents/?uuid=a6114ae2-cb31-377c-9345-984c2df86f80"]}],"mendeley":{"formattedCitation":"&lt;sup&gt;31&lt;/sup&gt;","plainTextFormattedCitation":"31","previouslyFormattedCitation":"&lt;sup&gt;31&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31</w:t>
      </w:r>
      <w:r w:rsidR="007D5160">
        <w:rPr>
          <w:lang w:val="en-US"/>
        </w:rPr>
        <w:fldChar w:fldCharType="end"/>
      </w:r>
    </w:p>
    <w:p w14:paraId="4ED3AC91" w14:textId="626A6E10" w:rsidR="00C00E2A" w:rsidRDefault="00A46762" w:rsidP="00D509AE">
      <w:pPr>
        <w:widowControl w:val="0"/>
        <w:autoSpaceDE w:val="0"/>
        <w:autoSpaceDN w:val="0"/>
        <w:adjustRightInd w:val="0"/>
        <w:spacing w:after="240" w:line="276" w:lineRule="auto"/>
        <w:rPr>
          <w:rFonts w:cs="Times"/>
          <w:color w:val="000000"/>
          <w:lang w:val="en-US"/>
        </w:rPr>
      </w:pPr>
      <w:r>
        <w:rPr>
          <w:rFonts w:cs="Times"/>
          <w:color w:val="000000"/>
          <w:lang w:val="en-US"/>
        </w:rPr>
        <w:t>An alternative strategy,</w:t>
      </w:r>
      <w:r w:rsidR="00DB4642" w:rsidRPr="009A1477">
        <w:rPr>
          <w:rFonts w:cs="Times"/>
          <w:color w:val="000000"/>
          <w:lang w:val="en-US"/>
        </w:rPr>
        <w:t xml:space="preserve"> circumvent</w:t>
      </w:r>
      <w:r>
        <w:rPr>
          <w:rFonts w:cs="Times"/>
          <w:color w:val="000000"/>
          <w:lang w:val="en-US"/>
        </w:rPr>
        <w:t>ing</w:t>
      </w:r>
      <w:r w:rsidR="00DB4642" w:rsidRPr="009A1477">
        <w:rPr>
          <w:rFonts w:cs="Times"/>
          <w:color w:val="000000"/>
          <w:lang w:val="en-US"/>
        </w:rPr>
        <w:t xml:space="preserve"> </w:t>
      </w:r>
      <w:r w:rsidR="002E3FCE">
        <w:rPr>
          <w:rFonts w:cs="Times"/>
          <w:color w:val="000000"/>
          <w:lang w:val="en-US"/>
        </w:rPr>
        <w:t>the</w:t>
      </w:r>
      <w:r w:rsidR="002E3FCE" w:rsidRPr="009A1477">
        <w:rPr>
          <w:rFonts w:cs="Times"/>
          <w:color w:val="000000"/>
          <w:lang w:val="en-US"/>
        </w:rPr>
        <w:t xml:space="preserve"> </w:t>
      </w:r>
      <w:r w:rsidR="00DB4642" w:rsidRPr="009A1477">
        <w:rPr>
          <w:rFonts w:cs="Times"/>
          <w:color w:val="000000"/>
          <w:lang w:val="en-US"/>
        </w:rPr>
        <w:t>drawbac</w:t>
      </w:r>
      <w:r w:rsidR="009A1477">
        <w:rPr>
          <w:rFonts w:cs="Times"/>
          <w:color w:val="000000"/>
          <w:lang w:val="en-US"/>
        </w:rPr>
        <w:t>ks of ‘artificial’ stimulus-response tests</w:t>
      </w:r>
      <w:r>
        <w:rPr>
          <w:rFonts w:cs="Times"/>
          <w:color w:val="000000"/>
          <w:lang w:val="en-US"/>
        </w:rPr>
        <w:t>,</w:t>
      </w:r>
      <w:r w:rsidR="009A1477">
        <w:rPr>
          <w:rFonts w:cs="Times"/>
          <w:color w:val="000000"/>
          <w:lang w:val="en-US"/>
        </w:rPr>
        <w:t xml:space="preserve"> is to </w:t>
      </w:r>
      <w:r w:rsidR="00DB4642" w:rsidRPr="009A1477">
        <w:rPr>
          <w:rFonts w:cs="Times"/>
          <w:color w:val="000000"/>
          <w:lang w:val="en-US"/>
        </w:rPr>
        <w:t xml:space="preserve">use the fact that a </w:t>
      </w:r>
      <w:r w:rsidR="009A1477">
        <w:rPr>
          <w:rFonts w:cs="Times"/>
          <w:color w:val="000000"/>
          <w:lang w:val="en-US"/>
        </w:rPr>
        <w:t>person</w:t>
      </w:r>
      <w:r w:rsidR="00DB4642" w:rsidRPr="009A1477">
        <w:rPr>
          <w:rFonts w:cs="Times"/>
          <w:color w:val="000000"/>
          <w:lang w:val="en-US"/>
        </w:rPr>
        <w:t xml:space="preserve"> is constantly subject to natural </w:t>
      </w:r>
      <w:r w:rsidR="000D4938" w:rsidRPr="000D4938">
        <w:rPr>
          <w:rFonts w:cs="Times"/>
          <w:color w:val="000000"/>
          <w:lang w:val="en-US"/>
        </w:rPr>
        <w:t>perturbations from the environ</w:t>
      </w:r>
      <w:r w:rsidR="00DB4642" w:rsidRPr="009A1477">
        <w:rPr>
          <w:rFonts w:cs="Times"/>
          <w:color w:val="000000"/>
          <w:lang w:val="en-US"/>
        </w:rPr>
        <w:t xml:space="preserve">ment and must respond </w:t>
      </w:r>
      <w:r w:rsidR="00DB4642" w:rsidRPr="00E06B73">
        <w:rPr>
          <w:rFonts w:cs="Times"/>
          <w:color w:val="000000"/>
          <w:lang w:val="en-US"/>
        </w:rPr>
        <w:t>to these tiny challenges to maintain homeostasis.</w:t>
      </w:r>
      <w:r w:rsidR="007D5160">
        <w:rPr>
          <w:rFonts w:cs="Times"/>
          <w:color w:val="000000"/>
          <w:lang w:val="en-US"/>
        </w:rPr>
        <w:fldChar w:fldCharType="begin" w:fldLock="1"/>
      </w:r>
      <w:r w:rsidR="007D5160">
        <w:rPr>
          <w:rFonts w:cs="Times"/>
          <w:color w:val="000000"/>
          <w:lang w:val="en-US"/>
        </w:rPr>
        <w:instrText>ADDIN CSL_CITATION {"citationItems":[{"id":"ITEM-1","itemData":{"DOI":"10.1093/GERONA/GLX015","ISSN":"1758-535X","PMID":"28475732","abstract":"Background/Objectives: Resilience, the ability to resist or recover from adverse effects of a stressor, is of widespread interest in social, psychologic, biologic, and medical research and particularly salient as the capacity to respond to stressors becomes diminished with aging. To date, research on human resilience responses to and factors influencing these responses has been limited. Methods: The National Institute on Aging convened a workshop in August 2015 on needs for research to improve measures to predict and assess resilience in human aging. Effects of aging-related factors in impairing homeostatic responses were developed from examples illustrating multiple determinants of clinical resilience outcomes. Research directions were identified by workshop participants. Results: Research needs identified included expanded uses of clinical data and specimens in predicting or assessing resilience, and contributions from epidemiological studies in identifying long-term predictors. Better measures, including simulation tests, are needed to assess resilience and its determinants. Mechanistic studies should include exploration of influences of biologic aging processes on human resiliencies. Important resource and infrastructure needs include consensus phenotype definitions of specific resiliencies, capacity to link epidemiological and clinical resilience data, sensor technology to capture responses to stressors, better laboratory animal models of human resiliencies, and new analytic methods to understand the effects of multiple determinants of stress responses. Conclusions: Extending the focus of care and research to improving the capacity to respond to stressors could benefit older adults in promoting a healthier life span.","author":[{"dropping-particle":"","family":"Hadley","given":"Evan C.","non-dropping-particle":"","parse-names":false,"suffix":""},{"dropping-particle":"","family":"Kuchel","given":"George A.","non-dropping-particle":"","parse-names":false,"suffix":""},{"dropping-particle":"","family":"Newman","given":"Anne B.","non-dropping-particle":"","parse-names":false,"suffix":""}],"container-title":"The journals of gerontology. Series A, Biological sciences and medical sciences","id":"ITEM-1","issue":"7","issued":{"date-parts":[["2017","7","1"]]},"page":"980-990","publisher":"J Gerontol A Biol Sci Med Sci","title":"Report: NIA Workshop on Measures of Physiologic Resiliencies in Human Aging","type":"article-journal","volume":"72"},"uris":["http://www.mendeley.com/documents/?uuid=a6114ae2-cb31-377c-9345-984c2df86f80"]},{"id":"ITEM-2","itemData":{"DOI":"10.1097/CCM.0000000000001564","ISSN":"1530-0293","PMID":"26765499","abstract":"We propose a novel paradigm to predict acute attacks and exacerbations in chronic episodic disorders such as asthma, cardiac arrhythmias, migraine, epilepsy, and depression. A better generic understanding of acute transitions in chronic dynamic diseases is increasingly important in critical care medicine because of the higher prevalence and incidence of these chronic diseases in our aging societies. Data Sources: PubMed, Medline, and Web of Science. Study Selection: We selected studies from biology and medicine providing evidence of slowing down after a perturbation as a warning signal for critical transitions. Data Extraction: Recent work in ecology, climate, and systems biology has shown that slowing down of recovery upon perturbations can indicate loss of resilience across complex, nonlinear biologic systems that are approaching a tipping point. This observation is supported by the empiric studies in pathophysiology and controlled laboratory experiments with other living systems, which can flip from one state of clinical balance to a contrasting one. We discuss examples of such evidence in bodily functions such as blood pressure, heart rate, mood, and respiratory regulation when a tipping point for a transition is near. Conclusions: We hypothesize that in a range of chronic episodic diseases, indicators of critical slowing down, such as rising variance and temporal correlation, may be used to assess the risk of attacks, exacerbations, and even mortality. Identification of such early warning signals over a range of diseases will enhance the understanding of why, how, and when attacks and exacerbations will strike and may thus improve disease management in critical care medicine.","author":[{"dropping-particle":"","family":"Olde Rikkert","given":"Marcel G.M.","non-dropping-particle":"","parse-names":false,"suffix":""},{"dropping-particle":"","family":"Dakos","given":"Vasilis","non-dropping-particle":"","parse-names":false,"suffix":""},{"dropping-particle":"","family":"Buchman","given":"Timothy G.","non-dropping-particle":"","parse-names":false,"suffix":""},{"dropping-particle":"De","family":"Boer","given":"Rob","non-dropping-particle":"","parse-names":false,"suffix":""},{"dropping-particle":"","family":"Glass","given":"Leon","non-dropping-particle":"","parse-names":false,"suffix":""},{"dropping-particle":"","family":"Cramer","given":"Angelique O.J.","non-dropping-particle":"","parse-names":false,"suffix":""},{"dropping-particle":"","family":"Levin","given":"Simon","non-dropping-particle":"","parse-names":false,"suffix":""},{"dropping-particle":"","family":"Nes","given":"Egbert","non-dropping-particle":"Van","parse-names":false,"suffix":""},{"dropping-particle":"","family":"Sugihara","given":"George","non-dropping-particle":"","parse-names":false,"suffix":""},{"dropping-particle":"","family":"Ferrari","given":"Michel D.","non-dropping-particle":"","parse-names":false,"suffix":""},{"dropping-particle":"","family":"Tolner","given":"Else A.","non-dropping-particle":"","parse-names":false,"suffix":""},{"dropping-particle":"","family":"Leemput","given":"Ingrid","non-dropping-particle":"Van De","parse-names":false,"suffix":""},{"dropping-particle":"","family":"Lagro","given":"Joep","non-dropping-particle":"","parse-names":false,"suffix":""},{"dropping-particle":"","family":"Melis","given":"Rene","non-dropping-particle":"","parse-names":false,"suffix":""},{"dropping-particle":"","family":"Scheffer","given":"Marten","non-dropping-particle":"","parse-names":false,"suffix":""}],"container-title":"Critical care medicine","id":"ITEM-2","issue":"3","issued":{"date-parts":[["2016","1","1"]]},"page":"601-606","publisher":"Crit Care Med","title":"Slowing Down of Recovery as Generic Risk Marker for Acute Severity Transitions in Chronic Diseases","type":"article-journal","volume":"44"},"uris":["http://www.mendeley.com/documents/?uuid=739b1985-666f-33c1-9a60-406b37dd3914"]},{"id":"ITEM-3","itemData":{"DOI":"10.1073/PNAS.1810630115","ISSN":"1091-6490","PMID":"30373844","abstract":"All life requires the capacity to recover from challenges that are as inevitable as they are unpredictable. Understanding this resilience is essential for managing the health of humans and their livestock. It has long been difficult to quantify resilience directly, forcing practitioners to rely on indirect static indicators of health. However, measurements from wearable electronics and other sources now allow us to analyze the dynamics of physiology and behavior with unsurpassed resolution. The resulting flood of data coincides with the emergence of novel analytical tools for estimating resilience from the pattern of microrecoveries observed in natural time series. Such dynamic indicators of resilience may be used to monitor the risk of systemic failure across systems ranging from organs to entire organisms. These tools invite a fundamental rethinking of our approach to the adaptive management of health and resilience.","author":[{"dropping-particle":"","family":"Scheffer","given":"Marten","non-dropping-particle":"","parse-names":false,"suffix":""},{"dropping-particle":"","family":"Elizabeth Bolhuis","given":"J.","non-dropping-particle":"","parse-names":false,"suffix":""},{"dropping-particle":"","family":"Borsboom","given":"Denny","non-dropping-particle":"","parse-names":false,"suffix":""},{"dropping-particle":"","family":"Buchman","given":"Timothy G.","non-dropping-particle":"","parse-names":false,"suffix":""},{"dropping-particle":"","family":"Gijzel","given":"Sanne M.W.","non-dropping-particle":"","parse-names":false,"suffix":""},{"dropping-particle":"","family":"Goulson","given":"Dave","non-dropping-particle":"","parse-names":false,"suffix":""},{"dropping-particle":"","family":"Kammenga","given":"Jan E.","non-dropping-particle":"","parse-names":false,"suffix":""},{"dropping-particle":"","family":"Kemp","given":"Bas","non-dropping-particle":"","parse-names":false,"suffix":""},{"dropping-particle":"","family":"Leemput","given":"Ingrid A.","non-dropping-particle":"van de","parse-names":false,"suffix":""},{"dropping-particle":"","family":"Levin","given":"Simon","non-dropping-particle":"","parse-names":false,"suffix":""},{"dropping-particle":"","family":"Martin","given":"Carmel Mary","non-dropping-particle":"","parse-names":false,"suffix":""},{"dropping-particle":"","family":"Melis","given":"René J.F.","non-dropping-particle":"","parse-names":false,"suffix":""},{"dropping-particle":"","family":"Nes","given":"Egbert H.","non-dropping-particle":"van","parse-names":false,"suffix":""},{"dropping-particle":"","family":"Michael Romero","given":"L.","non-dropping-particle":"","parse-names":false,"suffix":""},{"dropping-particle":"","family":"Olde Rikkert","given":"Marcel G.M.","non-dropping-particle":"","parse-names":false,"suffix":""}],"container-title":"Proceedings of the National Academy of Sciences of the United States of America","id":"ITEM-3","issue":"47","issued":{"date-parts":[["2018","11","20"]]},"page":"11883-11890","publisher":"Proc Natl Acad Sci U S A","title":"Quantifying resilience of humans and other animals","type":"article-journal","volume":"115"},"uris":["http://www.mendeley.com/documents/?uuid=7dffa048-82d6-3653-90b1-6261feab6874"]},{"id":"ITEM-4","itemData":{"DOI":"10.1111/JGS.16149","ISSN":"1532-5415","PMID":"31498881","abstract":"Background: Geriatricians are often confronted with unexpected health outcomes in older adults with complex multimorbidity. Aging researchers have recently called for a focus on physical resilience as a new approach to explaining such outcomes. Physical resilience, defined as the ability to resist functional decline or recover health following a stressor, is an emerging construct. Methods: Based on an outline of the state-of-the-art in research on the measurement of physical resilience, this article describes what tests to predict resilience can already be used in clinical practice and which innovations are to be expected soon. Results: An older adult's recovery potential is currently predicted by static tests of physiological reserves. Although geriatric medicine typically adopts a multidisciplinary view of the patient and implicitly performs resilience management to a certain extent, clinical management of older adults can benefit from explicitly applying the dynamical concept of resilience. Two crucial leads for advancing our capacity to measure and manage the resilience of individual patients are advocated: first, performing multiple repeated measurements around a stressor can provide insight about the patient's dynamic responses to stressors; and, second, linking psychological and physiological subsystems, as proposed by network studies on resilience, can provide insight into dynamic interactions involved in a resilient response. Conclusion: A big challenge still lies ahead in translating the dynamical concept of resilience into clinical tools and guidelines. As a first step in bridging this gap, this article outlines what opportunities clinicians and researchers can already exploit to improve prediction, understanding, and management of resilience of older adults. J Am Geriatr Soc 67:2650–2657, 2019.","author":[{"dropping-particle":"","family":"Gijzel","given":"Sanne M.W.","non-dropping-particle":"","parse-names":false,"suffix":""},{"dropping-particle":"","family":"Whitson","given":"Heather E.","non-dropping-particle":"","parse-names":false,"suffix":""},{"dropping-particle":"","family":"Leemput","given":"Ingrid A.","non-dropping-particle":"van de","parse-names":false,"suffix":""},{"dropping-particle":"","family":"Scheffer","given":"Marten","non-dropping-particle":"","parse-names":false,"suffix":""},{"dropping-particle":"","family":"Asselt","given":"Dieneke","non-dropping-particle":"van","parse-names":false,"suffix":""},{"dropping-particle":"","family":"Rector","given":"Jerrald L.","non-dropping-particle":"","parse-names":false,"suffix":""},{"dropping-particle":"","family":"Olde Rikkert","given":"Marcel G.M.","non-dropping-particle":"","parse-names":false,"suffix":""},{"dropping-particle":"","family":"Melis","given":"René J.F.","non-dropping-particle":"","parse-names":false,"suffix":""}],"container-title":"Journal of the American Geriatrics Society","id":"ITEM-4","issue":"12","issued":{"date-parts":[["2019","12","1"]]},"page":"2650-2657","publisher":"J Am Geriatr Soc","title":"Resilience in Clinical Care: Getting a Grip on the Recovery Potential of Older Adults","type":"article-journal","volume":"67"},"uris":["http://www.mendeley.com/documents/?uuid=a4f7632d-a606-399a-bbf9-8b9c6a02cf21"]}],"mendeley":{"formattedCitation":"&lt;sup&gt;31–34&lt;/sup&gt;","plainTextFormattedCitation":"31–34","previouslyFormattedCitation":"&lt;sup&gt;31–34&lt;/sup&gt;"},"properties":{"noteIndex":0},"schema":"https://github.com/citation-style-language/schema/raw/master/csl-citation.json"}</w:instrText>
      </w:r>
      <w:r w:rsidR="007D5160">
        <w:rPr>
          <w:rFonts w:cs="Times"/>
          <w:color w:val="000000"/>
          <w:lang w:val="en-US"/>
        </w:rPr>
        <w:fldChar w:fldCharType="separate"/>
      </w:r>
      <w:r w:rsidR="007D5160" w:rsidRPr="007D5160">
        <w:rPr>
          <w:rFonts w:cs="Times"/>
          <w:noProof/>
          <w:color w:val="000000"/>
          <w:vertAlign w:val="superscript"/>
          <w:lang w:val="en-US"/>
        </w:rPr>
        <w:t>31–34</w:t>
      </w:r>
      <w:r w:rsidR="007D5160">
        <w:rPr>
          <w:rFonts w:cs="Times"/>
          <w:color w:val="000000"/>
          <w:lang w:val="en-US"/>
        </w:rPr>
        <w:fldChar w:fldCharType="end"/>
      </w:r>
      <w:r w:rsidR="00DB4642" w:rsidRPr="00E06B73">
        <w:rPr>
          <w:rFonts w:cs="Times"/>
          <w:color w:val="000000"/>
          <w:lang w:val="en-US"/>
        </w:rPr>
        <w:t xml:space="preserve"> When contin</w:t>
      </w:r>
      <w:r w:rsidR="000D4938" w:rsidRPr="00E06B73">
        <w:rPr>
          <w:rFonts w:cs="Times"/>
          <w:color w:val="000000"/>
          <w:lang w:val="en-US"/>
        </w:rPr>
        <w:t>uously monitoring param</w:t>
      </w:r>
      <w:r w:rsidR="009A1477" w:rsidRPr="00A46762">
        <w:rPr>
          <w:rFonts w:cs="Times"/>
          <w:color w:val="000000"/>
          <w:lang w:val="en-US"/>
        </w:rPr>
        <w:t>eters</w:t>
      </w:r>
      <w:r w:rsidR="00AE44FC">
        <w:rPr>
          <w:rFonts w:cs="Times"/>
          <w:color w:val="000000"/>
          <w:lang w:val="en-US"/>
        </w:rPr>
        <w:t xml:space="preserve"> like heart rate or blood pressure</w:t>
      </w:r>
      <w:r w:rsidR="009A1477" w:rsidRPr="00A46762">
        <w:rPr>
          <w:rFonts w:cs="Times"/>
          <w:color w:val="000000"/>
          <w:lang w:val="en-US"/>
        </w:rPr>
        <w:t xml:space="preserve">, </w:t>
      </w:r>
      <w:r w:rsidR="00DB4642" w:rsidRPr="00A46762">
        <w:rPr>
          <w:rFonts w:cs="Times"/>
          <w:color w:val="000000"/>
          <w:lang w:val="en-US"/>
        </w:rPr>
        <w:t xml:space="preserve">dynamic responses to everyday challenges can be captured. </w:t>
      </w:r>
      <w:r w:rsidR="0032105F">
        <w:rPr>
          <w:rFonts w:cs="Times"/>
          <w:color w:val="000000"/>
          <w:lang w:val="en-US"/>
        </w:rPr>
        <w:t xml:space="preserve">In clinic, asking a patient about response to recent stressors (for example, recent illness, previous surgery, or symptoms related to cancer, such as </w:t>
      </w:r>
      <w:proofErr w:type="spellStart"/>
      <w:r w:rsidR="0032105F">
        <w:rPr>
          <w:rFonts w:cs="Times"/>
          <w:color w:val="000000"/>
          <w:lang w:val="en-US"/>
        </w:rPr>
        <w:t>anaemia</w:t>
      </w:r>
      <w:proofErr w:type="spellEnd"/>
      <w:r w:rsidR="0032105F">
        <w:rPr>
          <w:rFonts w:cs="Times"/>
          <w:color w:val="000000"/>
          <w:lang w:val="en-US"/>
        </w:rPr>
        <w:t>) also provides insight in a patients vulnerability and recovery potential.</w:t>
      </w:r>
    </w:p>
    <w:p w14:paraId="299020ED" w14:textId="77777777" w:rsidR="0032105F" w:rsidRDefault="0032105F" w:rsidP="00D509AE">
      <w:pPr>
        <w:widowControl w:val="0"/>
        <w:autoSpaceDE w:val="0"/>
        <w:autoSpaceDN w:val="0"/>
        <w:adjustRightInd w:val="0"/>
        <w:spacing w:after="240" w:line="276" w:lineRule="auto"/>
        <w:rPr>
          <w:rFonts w:cs="Times"/>
          <w:color w:val="000000"/>
          <w:lang w:val="en-US"/>
        </w:rPr>
      </w:pPr>
    </w:p>
    <w:p w14:paraId="194BED4E" w14:textId="77777777" w:rsidR="00D25479" w:rsidRDefault="00742A3B" w:rsidP="007E4BEC">
      <w:pPr>
        <w:spacing w:line="276" w:lineRule="auto"/>
        <w:ind w:right="1275"/>
        <w:rPr>
          <w:b/>
          <w:bCs/>
          <w:lang w:val="en-US"/>
        </w:rPr>
      </w:pPr>
      <w:r>
        <w:rPr>
          <w:b/>
          <w:bCs/>
          <w:lang w:val="en-US"/>
        </w:rPr>
        <w:t>Integration and i</w:t>
      </w:r>
      <w:r w:rsidR="00367B6B">
        <w:rPr>
          <w:b/>
          <w:bCs/>
          <w:lang w:val="en-US"/>
        </w:rPr>
        <w:t xml:space="preserve">mplications </w:t>
      </w:r>
    </w:p>
    <w:p w14:paraId="10DB8E93" w14:textId="6A9203E6" w:rsidR="003D113F" w:rsidRPr="00936378" w:rsidRDefault="00D25479" w:rsidP="003D113F">
      <w:pPr>
        <w:spacing w:line="276" w:lineRule="auto"/>
        <w:rPr>
          <w:rFonts w:cs="Arial"/>
          <w:lang w:val="en"/>
        </w:rPr>
      </w:pPr>
      <w:r>
        <w:rPr>
          <w:lang w:val="en-US"/>
        </w:rPr>
        <w:t>C</w:t>
      </w:r>
      <w:r w:rsidRPr="00D25479">
        <w:rPr>
          <w:lang w:val="en-US"/>
        </w:rPr>
        <w:t>ancer mostly affects older adults, and the dilemma of how to</w:t>
      </w:r>
      <w:r w:rsidR="0078270E">
        <w:rPr>
          <w:lang w:val="en-US"/>
        </w:rPr>
        <w:t xml:space="preserve"> </w:t>
      </w:r>
      <w:r w:rsidRPr="00D25479">
        <w:rPr>
          <w:lang w:val="en-US"/>
        </w:rPr>
        <w:t xml:space="preserve">treat older patients with cancer led to the </w:t>
      </w:r>
      <w:r>
        <w:rPr>
          <w:lang w:val="en-US"/>
        </w:rPr>
        <w:t>incorporation of geriatric concepts in oncology.</w:t>
      </w:r>
      <w:r w:rsidR="00C73C40">
        <w:rPr>
          <w:lang w:val="en-US"/>
        </w:rPr>
        <w:t xml:space="preserve"> Assessing a person’s reserves in relation to the ageing process has become a standard component of the work-up of an older person with </w:t>
      </w:r>
      <w:r w:rsidR="00E61F04">
        <w:rPr>
          <w:lang w:val="en-US"/>
        </w:rPr>
        <w:t>cancer.</w:t>
      </w:r>
      <w:r w:rsidR="00C73C40">
        <w:rPr>
          <w:lang w:val="en-US"/>
        </w:rPr>
        <w:t xml:space="preserve">  </w:t>
      </w:r>
      <w:r w:rsidR="008D2ACF">
        <w:rPr>
          <w:lang w:val="en-US"/>
        </w:rPr>
        <w:t xml:space="preserve">The three concepts discussed in this paper – intrinsic capacity, frailty and resilience – all </w:t>
      </w:r>
      <w:r w:rsidR="008D2ACF" w:rsidRPr="008B3625">
        <w:rPr>
          <w:lang w:val="en-US"/>
        </w:rPr>
        <w:t xml:space="preserve">focus </w:t>
      </w:r>
      <w:r w:rsidR="008D2ACF">
        <w:rPr>
          <w:lang w:val="en-US"/>
        </w:rPr>
        <w:t>on</w:t>
      </w:r>
      <w:r w:rsidR="008D2ACF" w:rsidRPr="008B3625">
        <w:rPr>
          <w:lang w:val="en-US"/>
        </w:rPr>
        <w:t xml:space="preserve"> the development of person-centered care and </w:t>
      </w:r>
      <w:r w:rsidR="0095065B">
        <w:rPr>
          <w:lang w:val="en-US"/>
        </w:rPr>
        <w:t xml:space="preserve">all </w:t>
      </w:r>
      <w:r w:rsidR="008D2ACF" w:rsidRPr="008B3625">
        <w:rPr>
          <w:lang w:val="en-US"/>
        </w:rPr>
        <w:t>lead to tailored care</w:t>
      </w:r>
      <w:r w:rsidR="008D2ACF">
        <w:rPr>
          <w:lang w:val="en-US"/>
        </w:rPr>
        <w:t xml:space="preserve"> through assessing reserves, but each does so from a different perspective</w:t>
      </w:r>
      <w:r w:rsidR="000A281E">
        <w:rPr>
          <w:lang w:val="en-US"/>
        </w:rPr>
        <w:t xml:space="preserve"> (</w:t>
      </w:r>
      <w:r w:rsidR="00051283">
        <w:rPr>
          <w:lang w:val="en-US"/>
        </w:rPr>
        <w:t>Table 1</w:t>
      </w:r>
      <w:r w:rsidR="000A281E">
        <w:rPr>
          <w:lang w:val="en-US"/>
        </w:rPr>
        <w:t>)</w:t>
      </w:r>
      <w:r w:rsidR="008D2ACF">
        <w:rPr>
          <w:lang w:val="en-US"/>
        </w:rPr>
        <w:t xml:space="preserve">. </w:t>
      </w:r>
      <w:r w:rsidR="00AE44FC">
        <w:rPr>
          <w:lang w:val="en-US"/>
        </w:rPr>
        <w:t>F</w:t>
      </w:r>
      <w:r w:rsidR="008D2ACF">
        <w:rPr>
          <w:lang w:val="en-US"/>
        </w:rPr>
        <w:t>railty, which can be seen as a cross-sectional measurement</w:t>
      </w:r>
      <w:r w:rsidR="00F150C3">
        <w:rPr>
          <w:lang w:val="en-US"/>
        </w:rPr>
        <w:t xml:space="preserve"> of intrinsic capacity</w:t>
      </w:r>
      <w:r w:rsidR="008D2ACF">
        <w:rPr>
          <w:lang w:val="en-US"/>
        </w:rPr>
        <w:t>, has prov</w:t>
      </w:r>
      <w:r w:rsidR="00E61F04">
        <w:rPr>
          <w:lang w:val="en-US"/>
        </w:rPr>
        <w:t xml:space="preserve">en </w:t>
      </w:r>
      <w:r w:rsidR="00E80D00">
        <w:rPr>
          <w:lang w:val="en-US"/>
        </w:rPr>
        <w:t xml:space="preserve">fit for purpose </w:t>
      </w:r>
      <w:r w:rsidR="00F150C3">
        <w:rPr>
          <w:lang w:val="en-US"/>
        </w:rPr>
        <w:t>in this setting</w:t>
      </w:r>
      <w:r w:rsidR="008D2ACF">
        <w:rPr>
          <w:lang w:val="en-US"/>
        </w:rPr>
        <w:t>.  Assessing frailty can</w:t>
      </w:r>
      <w:r w:rsidR="008B3625" w:rsidRPr="008B3625">
        <w:rPr>
          <w:lang w:val="en-US"/>
        </w:rPr>
        <w:t xml:space="preserve"> inform and modify the decisional</w:t>
      </w:r>
      <w:r w:rsidR="00122864">
        <w:rPr>
          <w:lang w:val="en-US"/>
        </w:rPr>
        <w:t xml:space="preserve"> process</w:t>
      </w:r>
      <w:r w:rsidR="00E80D00">
        <w:rPr>
          <w:lang w:val="en-US"/>
        </w:rPr>
        <w:t xml:space="preserve">. </w:t>
      </w:r>
      <w:r w:rsidR="00AE44FC">
        <w:rPr>
          <w:lang w:val="en-US"/>
        </w:rPr>
        <w:t xml:space="preserve">It </w:t>
      </w:r>
      <w:r w:rsidR="00CE4EEC">
        <w:rPr>
          <w:lang w:val="en-US"/>
        </w:rPr>
        <w:t>predicts</w:t>
      </w:r>
      <w:r w:rsidR="00531534">
        <w:rPr>
          <w:lang w:val="en-US"/>
        </w:rPr>
        <w:t xml:space="preserve"> outcomes like toxicity </w:t>
      </w:r>
      <w:r w:rsidR="008D2ACF">
        <w:rPr>
          <w:lang w:val="en-US"/>
        </w:rPr>
        <w:t xml:space="preserve">and other treatment-related complications, </w:t>
      </w:r>
      <w:r w:rsidR="00531534">
        <w:rPr>
          <w:lang w:val="en-US"/>
        </w:rPr>
        <w:t xml:space="preserve">and </w:t>
      </w:r>
      <w:r w:rsidR="00CE4EEC">
        <w:rPr>
          <w:lang w:val="en-US"/>
        </w:rPr>
        <w:t>uncovers</w:t>
      </w:r>
      <w:r w:rsidR="0078270E">
        <w:rPr>
          <w:lang w:val="en-US"/>
        </w:rPr>
        <w:t xml:space="preserve"> </w:t>
      </w:r>
      <w:r w:rsidR="00531534">
        <w:rPr>
          <w:lang w:val="en-US"/>
        </w:rPr>
        <w:t>shortcomings in the health status</w:t>
      </w:r>
      <w:r w:rsidR="008D2ACF">
        <w:rPr>
          <w:lang w:val="en-US"/>
        </w:rPr>
        <w:t xml:space="preserve"> that may be amenable to </w:t>
      </w:r>
      <w:r w:rsidR="00531534">
        <w:rPr>
          <w:lang w:val="en-US"/>
        </w:rPr>
        <w:t>intervention</w:t>
      </w:r>
      <w:r w:rsidR="00BA5DB8">
        <w:rPr>
          <w:lang w:val="en-US"/>
        </w:rPr>
        <w:t>.</w:t>
      </w:r>
      <w:r w:rsidR="007D5160">
        <w:rPr>
          <w:lang w:val="en-US"/>
        </w:rPr>
        <w:fldChar w:fldCharType="begin" w:fldLock="1"/>
      </w:r>
      <w:r w:rsidR="007D5160">
        <w:rPr>
          <w:lang w:val="en-US"/>
        </w:rPr>
        <w:instrText>ADDIN CSL_CITATION {"citationItems":[{"id":"ITEM-1","itemData":{"DOI":"10.1016/J.JGO.2022.04.008","ISSN":"1879-4076","PMID":"35545495","abstract":"Aim: The aim of this systematic review is to summarize all available data on the effect of a geriatric assessment in older patients with cancer, for oncologic treatment decisions, the implementation of non-oncologic interventions, patient-doctor communication, and treatment outcome. Additionally, we examined the impact of the type of assessment used. Methods: Systematic Medline and Embase search for studies on the effect of a geriatric assessment on oncologic treatment decisions, non-oncologic interventions, communication, and outcome. Results: Sixty-five publications from 61 studies were included. After a geriatric assessment, the oncologic treatment plan was altered in a median of 31% of patients (range 7–56%), with highest change rates in studies using a multidisciplinary team evaluation. Non-oncologic interventions were recommended in over 70% of patients, provided that an intervention plan or specific expertise was in place. A geriatric assessment led to more goals-of-care discussions and improved communication. The geriatric assessment also led to lower toxicity/complication rates (most strongly if the assessment outcomes were considered during decision making), improved likelihood of treatment completion, and improved physical functioning and quality of life in the majority of included studies. Conclusion: A geriatric assessment can change oncologic treatment plans, leads to non-oncologic interventions, and improve communication about care planning and ageing-related issues. It can decrease toxicity/complications and improve treatment completion and patient-centred outcomes. If multidisciplinary or geriatric input is not available, having a pre-defined non-oncologic intervention plan is important. To maximize the effect on outcomes, the result of the geriatric assessment should be incorporated into oncologic decision-making.","author":[{"dropping-particle":"","family":"Hamaker","given":"Marije","non-dropping-particle":"","parse-names":false,"suffix":""},{"dropping-particle":"","family":"Lund","given":"Cecilia","non-dropping-particle":"","parse-names":false,"suffix":""},{"dropping-particle":"","family":"Molder","given":"Marthe","non-dropping-particle":"te","parse-names":false,"suffix":""},{"dropping-particle":"","family":"Soubeyran","given":"Pierre","non-dropping-particle":"","parse-names":false,"suffix":""},{"dropping-particle":"","family":"Wildiers","given":"Hans","non-dropping-particle":"","parse-names":false,"suffix":""},{"dropping-particle":"","family":"Huis","given":"Lieke","non-dropping-particle":"van","parse-names":false,"suffix":""},{"dropping-particle":"","family":"Rostoft","given":"Siri","non-dropping-particle":"","parse-names":false,"suffix":""}],"container-title":"Journal of geriatric oncology","id":"ITEM-1","issue":"6","issued":{"date-parts":[["2022","7","1"]]},"page":"761-777","publisher":"J Geriatr Oncol","title":"Geriatric assessment in the management of older patients with cancer - A systematic review (update)","type":"article-journal","volume":"13"},"uris":["http://www.mendeley.com/documents/?uuid=df0058e9-c16f-3932-af42-551fd48b298b"]}],"mendeley":{"formattedCitation":"&lt;sup&gt;21&lt;/sup&gt;","plainTextFormattedCitation":"21","previouslyFormattedCitation":"&lt;sup&gt;21&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21</w:t>
      </w:r>
      <w:r w:rsidR="007D5160">
        <w:rPr>
          <w:lang w:val="en-US"/>
        </w:rPr>
        <w:fldChar w:fldCharType="end"/>
      </w:r>
      <w:r w:rsidR="00BA5DB8">
        <w:rPr>
          <w:lang w:val="en-US"/>
        </w:rPr>
        <w:t xml:space="preserve"> </w:t>
      </w:r>
      <w:r w:rsidR="00E80D00">
        <w:rPr>
          <w:lang w:val="en-US"/>
        </w:rPr>
        <w:t xml:space="preserve">However, the </w:t>
      </w:r>
      <w:r w:rsidR="003D113F">
        <w:rPr>
          <w:rFonts w:cs="Arial"/>
          <w:lang w:val="en"/>
        </w:rPr>
        <w:t xml:space="preserve">static frailty assessment </w:t>
      </w:r>
      <w:r w:rsidR="00002421">
        <w:rPr>
          <w:rFonts w:cs="Arial"/>
          <w:lang w:val="en"/>
        </w:rPr>
        <w:t>can</w:t>
      </w:r>
      <w:r w:rsidR="00803B0B">
        <w:rPr>
          <w:rFonts w:cs="Arial"/>
          <w:lang w:val="en"/>
        </w:rPr>
        <w:t>not</w:t>
      </w:r>
      <w:r w:rsidR="003D113F" w:rsidRPr="00936378">
        <w:rPr>
          <w:rFonts w:cs="Arial"/>
          <w:lang w:val="en"/>
        </w:rPr>
        <w:t xml:space="preserve"> </w:t>
      </w:r>
      <w:r w:rsidR="00F150C3">
        <w:rPr>
          <w:rFonts w:cs="Arial"/>
          <w:lang w:val="en"/>
        </w:rPr>
        <w:t>inform us fully</w:t>
      </w:r>
      <w:r w:rsidR="003D113F" w:rsidRPr="00936378">
        <w:rPr>
          <w:rFonts w:cs="Arial"/>
          <w:lang w:val="en"/>
        </w:rPr>
        <w:t xml:space="preserve"> about how </w:t>
      </w:r>
      <w:r w:rsidR="003D113F">
        <w:rPr>
          <w:rFonts w:cs="Arial"/>
          <w:lang w:val="en"/>
        </w:rPr>
        <w:t xml:space="preserve">a person </w:t>
      </w:r>
      <w:r w:rsidR="003D113F" w:rsidRPr="00936378">
        <w:rPr>
          <w:rFonts w:cs="Arial"/>
          <w:lang w:val="en"/>
        </w:rPr>
        <w:t>will recover from</w:t>
      </w:r>
      <w:r w:rsidR="003D113F">
        <w:rPr>
          <w:rFonts w:cs="Arial"/>
          <w:lang w:val="en"/>
        </w:rPr>
        <w:t xml:space="preserve"> </w:t>
      </w:r>
      <w:r w:rsidR="003D113F" w:rsidRPr="00936378">
        <w:rPr>
          <w:rFonts w:cs="Arial"/>
          <w:lang w:val="en"/>
        </w:rPr>
        <w:t>a major stressor</w:t>
      </w:r>
      <w:r w:rsidR="00CE4EEC">
        <w:rPr>
          <w:rFonts w:cs="Arial"/>
          <w:lang w:val="en"/>
        </w:rPr>
        <w:t>.</w:t>
      </w:r>
      <w:r w:rsidR="003D113F" w:rsidRPr="00936378">
        <w:rPr>
          <w:rFonts w:cs="Arial"/>
          <w:lang w:val="en"/>
        </w:rPr>
        <w:t xml:space="preserve"> </w:t>
      </w:r>
      <w:r w:rsidR="00CE4EEC">
        <w:rPr>
          <w:rFonts w:cs="Arial"/>
          <w:lang w:val="en"/>
        </w:rPr>
        <w:t>A patient</w:t>
      </w:r>
      <w:r w:rsidR="003D113F" w:rsidRPr="00936378">
        <w:rPr>
          <w:rFonts w:cs="Arial"/>
          <w:lang w:val="en"/>
        </w:rPr>
        <w:t xml:space="preserve"> with many defi</w:t>
      </w:r>
      <w:r w:rsidR="003D113F">
        <w:rPr>
          <w:rFonts w:cs="Arial"/>
          <w:lang w:val="en"/>
        </w:rPr>
        <w:t>cits</w:t>
      </w:r>
      <w:r w:rsidR="003D113F" w:rsidRPr="00936378">
        <w:rPr>
          <w:rFonts w:cs="Arial"/>
          <w:lang w:val="en"/>
        </w:rPr>
        <w:t xml:space="preserve"> can still be resilient, while </w:t>
      </w:r>
      <w:r w:rsidR="00CE4EEC">
        <w:rPr>
          <w:rFonts w:cs="Arial"/>
          <w:lang w:val="en"/>
        </w:rPr>
        <w:t xml:space="preserve">for another patient without comorbidities </w:t>
      </w:r>
      <w:r w:rsidR="003D113F" w:rsidRPr="00936378">
        <w:rPr>
          <w:rFonts w:cs="Arial"/>
          <w:lang w:val="en"/>
        </w:rPr>
        <w:t xml:space="preserve">the recovery </w:t>
      </w:r>
      <w:r w:rsidR="00CE4EEC">
        <w:rPr>
          <w:rFonts w:cs="Arial"/>
          <w:lang w:val="en"/>
        </w:rPr>
        <w:t xml:space="preserve">may </w:t>
      </w:r>
      <w:r w:rsidR="003D113F" w:rsidRPr="00936378">
        <w:rPr>
          <w:rFonts w:cs="Arial"/>
          <w:lang w:val="en"/>
        </w:rPr>
        <w:t>turn out badly.</w:t>
      </w:r>
      <w:r w:rsidR="00F150C3">
        <w:rPr>
          <w:rFonts w:cs="Arial"/>
          <w:lang w:val="en"/>
        </w:rPr>
        <w:t xml:space="preserve"> To optimize decision making and patient supp</w:t>
      </w:r>
      <w:r w:rsidR="00803B0B">
        <w:rPr>
          <w:rFonts w:cs="Arial"/>
          <w:lang w:val="en"/>
        </w:rPr>
        <w:t>o</w:t>
      </w:r>
      <w:r w:rsidR="00F150C3">
        <w:rPr>
          <w:rFonts w:cs="Arial"/>
          <w:lang w:val="en"/>
        </w:rPr>
        <w:t>rt, i</w:t>
      </w:r>
      <w:r w:rsidR="003D113F" w:rsidRPr="00936378">
        <w:rPr>
          <w:rFonts w:cs="Arial"/>
          <w:lang w:val="en"/>
        </w:rPr>
        <w:t>t would be valuable if the doctor's clinical</w:t>
      </w:r>
      <w:r w:rsidR="00CE4EEC">
        <w:rPr>
          <w:rFonts w:cs="Arial"/>
          <w:lang w:val="en"/>
        </w:rPr>
        <w:t xml:space="preserve"> judgement</w:t>
      </w:r>
      <w:r w:rsidR="003D113F" w:rsidRPr="00936378">
        <w:rPr>
          <w:rFonts w:cs="Arial"/>
          <w:lang w:val="en"/>
        </w:rPr>
        <w:t xml:space="preserve"> could be</w:t>
      </w:r>
      <w:r w:rsidR="003D113F">
        <w:rPr>
          <w:rFonts w:cs="Arial"/>
          <w:lang w:val="en"/>
        </w:rPr>
        <w:t xml:space="preserve"> </w:t>
      </w:r>
      <w:r w:rsidR="00051283">
        <w:rPr>
          <w:rFonts w:cs="Arial"/>
          <w:lang w:val="en"/>
        </w:rPr>
        <w:t xml:space="preserve">supplemented </w:t>
      </w:r>
      <w:r w:rsidR="003D113F">
        <w:rPr>
          <w:rFonts w:cs="Arial"/>
          <w:lang w:val="en"/>
        </w:rPr>
        <w:t xml:space="preserve">by </w:t>
      </w:r>
      <w:r w:rsidR="00F150C3">
        <w:rPr>
          <w:rFonts w:cs="Arial"/>
          <w:lang w:val="en"/>
        </w:rPr>
        <w:t xml:space="preserve">objective </w:t>
      </w:r>
      <w:r w:rsidR="003D113F" w:rsidRPr="00936378">
        <w:rPr>
          <w:rFonts w:cs="Arial"/>
          <w:lang w:val="en"/>
        </w:rPr>
        <w:t>measurement</w:t>
      </w:r>
      <w:r w:rsidR="003D113F">
        <w:rPr>
          <w:rFonts w:cs="Arial"/>
          <w:lang w:val="en"/>
        </w:rPr>
        <w:t>s</w:t>
      </w:r>
      <w:r w:rsidR="00F150C3">
        <w:rPr>
          <w:rFonts w:cs="Arial"/>
          <w:lang w:val="en"/>
        </w:rPr>
        <w:t xml:space="preserve"> that predict meaningful outcomes</w:t>
      </w:r>
      <w:r w:rsidR="003D113F">
        <w:rPr>
          <w:rFonts w:cs="Arial"/>
          <w:lang w:val="en"/>
        </w:rPr>
        <w:t xml:space="preserve"> in daily clinical practice.</w:t>
      </w:r>
      <w:r w:rsidR="00F150C3">
        <w:rPr>
          <w:rFonts w:cs="Arial"/>
          <w:lang w:val="en"/>
        </w:rPr>
        <w:t xml:space="preserve"> </w:t>
      </w:r>
    </w:p>
    <w:p w14:paraId="51F94A95" w14:textId="2DA5FA5E" w:rsidR="008D2ACF" w:rsidRPr="000A668F" w:rsidRDefault="00AE44FC" w:rsidP="000C0208">
      <w:pPr>
        <w:spacing w:line="276" w:lineRule="auto"/>
        <w:rPr>
          <w:lang w:val="en-US"/>
        </w:rPr>
      </w:pPr>
      <w:r>
        <w:rPr>
          <w:lang w:val="en-US"/>
        </w:rPr>
        <w:t xml:space="preserve">In clinical geriatric oncology, the community-based, longitudinal concept of intrinsic capacity, with its emphasis on healthy ageing and pre-clinical decline, </w:t>
      </w:r>
      <w:r w:rsidR="00051283">
        <w:rPr>
          <w:lang w:val="en-US"/>
        </w:rPr>
        <w:t xml:space="preserve">may </w:t>
      </w:r>
      <w:r w:rsidR="009250F1">
        <w:rPr>
          <w:lang w:val="en-US"/>
        </w:rPr>
        <w:t>be less</w:t>
      </w:r>
      <w:r w:rsidR="00051283">
        <w:rPr>
          <w:lang w:val="en-US"/>
        </w:rPr>
        <w:t xml:space="preserve"> </w:t>
      </w:r>
      <w:r>
        <w:rPr>
          <w:lang w:val="en-US"/>
        </w:rPr>
        <w:t>useful</w:t>
      </w:r>
      <w:r w:rsidR="00051283">
        <w:rPr>
          <w:lang w:val="en-US"/>
        </w:rPr>
        <w:t>.</w:t>
      </w:r>
      <w:r>
        <w:rPr>
          <w:lang w:val="en-US"/>
        </w:rPr>
        <w:t xml:space="preserve"> However, </w:t>
      </w:r>
      <w:r w:rsidR="00051283">
        <w:rPr>
          <w:lang w:val="en-US"/>
        </w:rPr>
        <w:t>while</w:t>
      </w:r>
      <w:r w:rsidR="003D113F">
        <w:rPr>
          <w:lang w:val="en-US"/>
        </w:rPr>
        <w:t xml:space="preserve"> frailty is </w:t>
      </w:r>
      <w:r w:rsidR="006C052F">
        <w:rPr>
          <w:lang w:val="en-US"/>
        </w:rPr>
        <w:t xml:space="preserve">generally </w:t>
      </w:r>
      <w:r w:rsidR="003D113F">
        <w:rPr>
          <w:lang w:val="en-US"/>
        </w:rPr>
        <w:t xml:space="preserve">measured </w:t>
      </w:r>
      <w:r w:rsidR="006C052F">
        <w:rPr>
          <w:lang w:val="en-US"/>
        </w:rPr>
        <w:t xml:space="preserve">at a single </w:t>
      </w:r>
      <w:r w:rsidR="003D113F">
        <w:rPr>
          <w:lang w:val="en-US"/>
        </w:rPr>
        <w:t>time point</w:t>
      </w:r>
      <w:r w:rsidR="006C052F">
        <w:rPr>
          <w:lang w:val="en-US"/>
        </w:rPr>
        <w:t xml:space="preserve">, </w:t>
      </w:r>
      <w:r w:rsidR="00051283">
        <w:rPr>
          <w:lang w:val="en-US"/>
        </w:rPr>
        <w:t>intrinsic capacity highlights the importance of t</w:t>
      </w:r>
      <w:r w:rsidR="006C052F">
        <w:rPr>
          <w:lang w:val="en-US"/>
        </w:rPr>
        <w:t>he trajectory of deficits</w:t>
      </w:r>
      <w:r w:rsidR="00051283">
        <w:rPr>
          <w:lang w:val="en-US"/>
        </w:rPr>
        <w:t>, and as such</w:t>
      </w:r>
      <w:r w:rsidR="00BA5DB8">
        <w:rPr>
          <w:lang w:val="en-US"/>
        </w:rPr>
        <w:t xml:space="preserve"> may add useful strategies for interpreting the frailty assessment. For example, when a patients presents in a wheelchair, </w:t>
      </w:r>
      <w:r w:rsidR="00CE4EEC">
        <w:rPr>
          <w:lang w:val="en-US"/>
        </w:rPr>
        <w:t>it</w:t>
      </w:r>
      <w:r w:rsidR="00BA5DB8">
        <w:rPr>
          <w:lang w:val="en-US"/>
        </w:rPr>
        <w:t xml:space="preserve"> </w:t>
      </w:r>
      <w:r w:rsidR="00D505B5">
        <w:rPr>
          <w:lang w:val="en-US"/>
        </w:rPr>
        <w:t>could</w:t>
      </w:r>
      <w:r w:rsidR="00BA5DB8">
        <w:rPr>
          <w:lang w:val="en-US"/>
        </w:rPr>
        <w:t xml:space="preserve"> be</w:t>
      </w:r>
      <w:r w:rsidR="006C052F">
        <w:rPr>
          <w:lang w:val="en-US"/>
        </w:rPr>
        <w:t xml:space="preserve"> a sign of frailty if</w:t>
      </w:r>
      <w:r w:rsidR="003B65EF">
        <w:rPr>
          <w:lang w:val="en-US"/>
        </w:rPr>
        <w:t xml:space="preserve"> caused by </w:t>
      </w:r>
      <w:r w:rsidR="006C052F">
        <w:rPr>
          <w:lang w:val="en-US"/>
        </w:rPr>
        <w:t xml:space="preserve">slowly developing muscle </w:t>
      </w:r>
      <w:r w:rsidR="00122864">
        <w:rPr>
          <w:lang w:val="en-US"/>
        </w:rPr>
        <w:t>wasting</w:t>
      </w:r>
      <w:r w:rsidR="006C052F">
        <w:rPr>
          <w:lang w:val="en-US"/>
        </w:rPr>
        <w:t xml:space="preserve"> with subsequent functional decline and mobility problems</w:t>
      </w:r>
      <w:r w:rsidR="00E80D00">
        <w:rPr>
          <w:lang w:val="en-US"/>
        </w:rPr>
        <w:t xml:space="preserve">. </w:t>
      </w:r>
      <w:r w:rsidR="00051283">
        <w:rPr>
          <w:lang w:val="en-US"/>
        </w:rPr>
        <w:t>I</w:t>
      </w:r>
      <w:r w:rsidR="006C052F">
        <w:rPr>
          <w:lang w:val="en-US"/>
        </w:rPr>
        <w:t xml:space="preserve">f </w:t>
      </w:r>
      <w:r w:rsidR="00BA5DB8">
        <w:rPr>
          <w:lang w:val="en-US"/>
        </w:rPr>
        <w:t xml:space="preserve">it is caused by an accident </w:t>
      </w:r>
      <w:r w:rsidR="00D505B5">
        <w:rPr>
          <w:lang w:val="en-US"/>
        </w:rPr>
        <w:t>during childhood</w:t>
      </w:r>
      <w:r w:rsidR="00BA5DB8">
        <w:rPr>
          <w:lang w:val="en-US"/>
        </w:rPr>
        <w:t xml:space="preserve">, </w:t>
      </w:r>
      <w:r w:rsidR="006C052F">
        <w:rPr>
          <w:lang w:val="en-US"/>
        </w:rPr>
        <w:t>and th</w:t>
      </w:r>
      <w:r w:rsidR="009250F1">
        <w:rPr>
          <w:lang w:val="en-US"/>
        </w:rPr>
        <w:t>e</w:t>
      </w:r>
      <w:r w:rsidR="006C052F">
        <w:rPr>
          <w:lang w:val="en-US"/>
        </w:rPr>
        <w:t xml:space="preserve"> person has adapted and is still fully functional, </w:t>
      </w:r>
      <w:r w:rsidR="00BA5DB8">
        <w:rPr>
          <w:lang w:val="en-US"/>
        </w:rPr>
        <w:t>it</w:t>
      </w:r>
      <w:r w:rsidR="00F02EB2">
        <w:rPr>
          <w:lang w:val="en-US"/>
        </w:rPr>
        <w:t xml:space="preserve"> may </w:t>
      </w:r>
      <w:r w:rsidR="00BA5DB8">
        <w:rPr>
          <w:lang w:val="en-US"/>
        </w:rPr>
        <w:t xml:space="preserve">not </w:t>
      </w:r>
      <w:r w:rsidR="00F02EB2">
        <w:rPr>
          <w:lang w:val="en-US"/>
        </w:rPr>
        <w:t xml:space="preserve">be </w:t>
      </w:r>
      <w:r w:rsidR="00BA5DB8">
        <w:rPr>
          <w:lang w:val="en-US"/>
        </w:rPr>
        <w:t>associated with frailty</w:t>
      </w:r>
      <w:r w:rsidR="006C052F">
        <w:rPr>
          <w:lang w:val="en-US"/>
        </w:rPr>
        <w:t xml:space="preserve"> at all</w:t>
      </w:r>
      <w:r w:rsidR="00051283">
        <w:rPr>
          <w:lang w:val="en-US"/>
        </w:rPr>
        <w:t>. Likewise</w:t>
      </w:r>
      <w:r w:rsidR="000A668F" w:rsidRPr="000A668F">
        <w:rPr>
          <w:lang w:val="en-US"/>
        </w:rPr>
        <w:t xml:space="preserve">, </w:t>
      </w:r>
      <w:r w:rsidR="00265602">
        <w:rPr>
          <w:lang w:val="en-US"/>
        </w:rPr>
        <w:t xml:space="preserve">severe </w:t>
      </w:r>
      <w:proofErr w:type="spellStart"/>
      <w:r w:rsidR="00265602">
        <w:rPr>
          <w:lang w:val="en-US"/>
        </w:rPr>
        <w:t>anaemia</w:t>
      </w:r>
      <w:proofErr w:type="spellEnd"/>
      <w:r w:rsidR="00265602">
        <w:rPr>
          <w:lang w:val="en-US"/>
        </w:rPr>
        <w:t xml:space="preserve"> due to colorectal cancer can cause exertional dyspnea that leads an otherwise healthy older person to opt for a wheel ch</w:t>
      </w:r>
      <w:r w:rsidR="00265602" w:rsidRPr="00AD5A68">
        <w:rPr>
          <w:lang w:val="en-US"/>
        </w:rPr>
        <w:t xml:space="preserve">air at clinic. </w:t>
      </w:r>
      <w:r w:rsidR="00CE4EEC" w:rsidRPr="00AD5A68">
        <w:rPr>
          <w:lang w:val="en-US"/>
        </w:rPr>
        <w:t>I</w:t>
      </w:r>
      <w:r w:rsidR="006C052F" w:rsidRPr="00AD5A68">
        <w:rPr>
          <w:lang w:val="en-US"/>
        </w:rPr>
        <w:t>n the same way that intrinsic capacity focus</w:t>
      </w:r>
      <w:r w:rsidR="00DB4554" w:rsidRPr="00AD5A68">
        <w:rPr>
          <w:lang w:val="en-US"/>
        </w:rPr>
        <w:t>es</w:t>
      </w:r>
      <w:r w:rsidR="006C052F" w:rsidRPr="00AD5A68">
        <w:rPr>
          <w:lang w:val="en-US"/>
        </w:rPr>
        <w:t xml:space="preserve"> on reserves over time, assessing frailty</w:t>
      </w:r>
      <w:r w:rsidR="00265602" w:rsidRPr="00AD5A68">
        <w:rPr>
          <w:lang w:val="en-US"/>
        </w:rPr>
        <w:t xml:space="preserve"> </w:t>
      </w:r>
      <w:r w:rsidR="00CE4EEC" w:rsidRPr="00AD5A68">
        <w:rPr>
          <w:lang w:val="en-US"/>
        </w:rPr>
        <w:t xml:space="preserve">should include </w:t>
      </w:r>
      <w:r w:rsidR="00265602" w:rsidRPr="00AD5A68">
        <w:rPr>
          <w:lang w:val="en-US"/>
        </w:rPr>
        <w:t>a</w:t>
      </w:r>
      <w:r w:rsidR="000A668F" w:rsidRPr="00AD5A68">
        <w:rPr>
          <w:lang w:val="en-US"/>
        </w:rPr>
        <w:t xml:space="preserve"> timeline and the</w:t>
      </w:r>
      <w:r w:rsidR="00265602" w:rsidRPr="00AD5A68">
        <w:rPr>
          <w:lang w:val="en-US"/>
        </w:rPr>
        <w:t xml:space="preserve"> most likely</w:t>
      </w:r>
      <w:r w:rsidR="000A668F" w:rsidRPr="00AD5A68">
        <w:rPr>
          <w:lang w:val="en-US"/>
        </w:rPr>
        <w:t xml:space="preserve"> </w:t>
      </w:r>
      <w:r w:rsidR="00AD5A68" w:rsidRPr="00AD5A68">
        <w:rPr>
          <w:lang w:val="en-US"/>
        </w:rPr>
        <w:t>origin or cause</w:t>
      </w:r>
      <w:r w:rsidR="000A668F" w:rsidRPr="00AD5A68">
        <w:rPr>
          <w:lang w:val="en-US"/>
        </w:rPr>
        <w:t xml:space="preserve"> o</w:t>
      </w:r>
      <w:r w:rsidR="00AD5A68" w:rsidRPr="00AD5A68">
        <w:rPr>
          <w:lang w:val="en-US"/>
        </w:rPr>
        <w:t>f impairments</w:t>
      </w:r>
      <w:r w:rsidR="000A668F" w:rsidRPr="00AD5A68">
        <w:rPr>
          <w:lang w:val="en-US"/>
        </w:rPr>
        <w:t xml:space="preserve">. </w:t>
      </w:r>
    </w:p>
    <w:p w14:paraId="63AF2446" w14:textId="3CD37DE7" w:rsidR="006C5F8E" w:rsidRDefault="00AF63FA" w:rsidP="000A2B0C">
      <w:pPr>
        <w:spacing w:line="276" w:lineRule="auto"/>
        <w:rPr>
          <w:lang w:val="en-US"/>
        </w:rPr>
      </w:pPr>
      <w:r>
        <w:rPr>
          <w:lang w:val="en-US"/>
        </w:rPr>
        <w:lastRenderedPageBreak/>
        <w:t>Additionally, b</w:t>
      </w:r>
      <w:r w:rsidRPr="007E4BEC">
        <w:rPr>
          <w:rFonts w:cs="Arial"/>
          <w:lang w:val="en-US"/>
        </w:rPr>
        <w:t>eing able to assess and incorporate recovery potential into oncologic treatment decision</w:t>
      </w:r>
      <w:r>
        <w:rPr>
          <w:rFonts w:cs="Arial"/>
          <w:lang w:val="en-US"/>
        </w:rPr>
        <w:t>s</w:t>
      </w:r>
      <w:r w:rsidRPr="007E4BEC">
        <w:rPr>
          <w:rFonts w:cs="Arial"/>
          <w:lang w:val="en-US"/>
        </w:rPr>
        <w:t xml:space="preserve"> will allow for further precision in tailoring of treatment</w:t>
      </w:r>
      <w:r>
        <w:rPr>
          <w:rFonts w:cs="Arial"/>
          <w:lang w:val="en-US"/>
        </w:rPr>
        <w:t xml:space="preserve">, and this is captured beautifully in </w:t>
      </w:r>
      <w:r>
        <w:rPr>
          <w:lang w:val="en-US"/>
        </w:rPr>
        <w:t xml:space="preserve">the concept of resilience. </w:t>
      </w:r>
      <w:r w:rsidR="000B747E" w:rsidRPr="00235C2E">
        <w:rPr>
          <w:lang w:val="en-US"/>
        </w:rPr>
        <w:t>Asking about earlier health challenges</w:t>
      </w:r>
      <w:r w:rsidR="006C052F" w:rsidRPr="00235C2E">
        <w:rPr>
          <w:lang w:val="en-US"/>
        </w:rPr>
        <w:t xml:space="preserve"> </w:t>
      </w:r>
      <w:r w:rsidR="000B747E" w:rsidRPr="00235C2E">
        <w:rPr>
          <w:lang w:val="en-US"/>
        </w:rPr>
        <w:t>and the</w:t>
      </w:r>
      <w:r w:rsidR="006C052F" w:rsidRPr="00235C2E">
        <w:rPr>
          <w:lang w:val="en-US"/>
        </w:rPr>
        <w:t xml:space="preserve"> subsequent</w:t>
      </w:r>
      <w:r w:rsidR="000B747E" w:rsidRPr="00235C2E">
        <w:rPr>
          <w:lang w:val="en-US"/>
        </w:rPr>
        <w:t xml:space="preserve"> recovery trajectory can provide </w:t>
      </w:r>
      <w:r>
        <w:rPr>
          <w:lang w:val="en-US"/>
        </w:rPr>
        <w:t xml:space="preserve"> </w:t>
      </w:r>
      <w:r w:rsidR="000B747E" w:rsidRPr="00235C2E">
        <w:rPr>
          <w:lang w:val="en-US"/>
        </w:rPr>
        <w:t>important insight</w:t>
      </w:r>
      <w:r w:rsidR="007D5160">
        <w:rPr>
          <w:lang w:val="en-US"/>
        </w:rPr>
        <w:t>.</w:t>
      </w:r>
      <w:r w:rsidR="007D5160">
        <w:rPr>
          <w:lang w:val="en-US"/>
        </w:rPr>
        <w:fldChar w:fldCharType="begin" w:fldLock="1"/>
      </w:r>
      <w:r w:rsidR="007D5160">
        <w:rPr>
          <w:lang w:val="en-US"/>
        </w:rPr>
        <w:instrText>ADDIN CSL_CITATION {"citationItems":[{"id":"ITEM-1","itemData":{"DOI":"10.1136/BMJ.318.7175.48","ISSN":"0959-8138","PMID":"9872892","author":[{"dropping-particle":"","family":"Greenhalgh","given":"Trisha","non-dropping-particle":"","parse-names":false,"suffix":""},{"dropping-particle":"","family":"Hurwitz","given":"Brian","non-dropping-particle":"","parse-names":false,"suffix":""}],"container-title":"BMJ (Clinical research ed.)","id":"ITEM-1","issue":"7175","issued":{"date-parts":[["1999","1","2"]]},"page":"48","publisher":"BMJ","title":"Narrative based medicine: why study narrative?","type":"article-journal","volume":"318"},"uris":["http://www.mendeley.com/documents/?uuid=0ba5ff2f-3e6b-3c6a-8e60-4b5ddabc6824"]}],"mendeley":{"formattedCitation":"&lt;sup&gt;35&lt;/sup&gt;","plainTextFormattedCitation":"35","previouslyFormattedCitation":"&lt;sup&gt;35&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35</w:t>
      </w:r>
      <w:r w:rsidR="007D5160">
        <w:rPr>
          <w:lang w:val="en-US"/>
        </w:rPr>
        <w:fldChar w:fldCharType="end"/>
      </w:r>
      <w:r w:rsidR="000B747E" w:rsidRPr="00235C2E">
        <w:rPr>
          <w:lang w:val="en-US"/>
        </w:rPr>
        <w:t xml:space="preserve"> </w:t>
      </w:r>
      <w:r w:rsidR="00235C2E">
        <w:rPr>
          <w:lang w:val="en-US"/>
        </w:rPr>
        <w:t xml:space="preserve">In the course of a cancer diagnosis and oncologic work-up, patients can be faced with multiple stressors (cancer-related symptoms, multiple hospital visits, invasive procedures like biopsies or </w:t>
      </w:r>
      <w:r>
        <w:rPr>
          <w:lang w:val="en-US"/>
        </w:rPr>
        <w:t xml:space="preserve">endoscopies) that can be used to assess impact and recovery time. </w:t>
      </w:r>
      <w:r w:rsidR="000B747E" w:rsidRPr="00235C2E">
        <w:rPr>
          <w:lang w:val="en-US"/>
        </w:rPr>
        <w:t>I</w:t>
      </w:r>
      <w:r w:rsidR="002E04F8" w:rsidRPr="00235C2E">
        <w:rPr>
          <w:lang w:val="en-US"/>
        </w:rPr>
        <w:t>n addition, i</w:t>
      </w:r>
      <w:r w:rsidR="000B747E" w:rsidRPr="00235C2E">
        <w:rPr>
          <w:lang w:val="en-US"/>
        </w:rPr>
        <w:t xml:space="preserve">nitiating </w:t>
      </w:r>
      <w:proofErr w:type="spellStart"/>
      <w:r w:rsidR="000B747E" w:rsidRPr="00235C2E">
        <w:rPr>
          <w:lang w:val="en-US"/>
        </w:rPr>
        <w:t>prehabilitation</w:t>
      </w:r>
      <w:proofErr w:type="spellEnd"/>
      <w:r>
        <w:rPr>
          <w:lang w:val="en-US"/>
        </w:rPr>
        <w:t xml:space="preserve"> (for example, exercise training)</w:t>
      </w:r>
      <w:r w:rsidR="000B747E" w:rsidRPr="00235C2E">
        <w:rPr>
          <w:lang w:val="en-US"/>
        </w:rPr>
        <w:t xml:space="preserve"> and observing </w:t>
      </w:r>
      <w:r w:rsidR="00497ED6" w:rsidRPr="00235C2E">
        <w:rPr>
          <w:lang w:val="en-US"/>
        </w:rPr>
        <w:t xml:space="preserve">whether </w:t>
      </w:r>
      <w:r>
        <w:rPr>
          <w:lang w:val="en-US"/>
        </w:rPr>
        <w:t>this</w:t>
      </w:r>
      <w:r w:rsidR="00497ED6" w:rsidRPr="00235C2E">
        <w:rPr>
          <w:lang w:val="en-US"/>
        </w:rPr>
        <w:t xml:space="preserve"> leads to improvement in physical capacity </w:t>
      </w:r>
      <w:r w:rsidR="000B747E" w:rsidRPr="00235C2E">
        <w:rPr>
          <w:lang w:val="en-US"/>
        </w:rPr>
        <w:t>will give relevant clues to the recovery that can be expected</w:t>
      </w:r>
      <w:r>
        <w:rPr>
          <w:lang w:val="en-US"/>
        </w:rPr>
        <w:t xml:space="preserve"> post-treatment</w:t>
      </w:r>
      <w:r w:rsidR="000B747E" w:rsidRPr="00235C2E">
        <w:rPr>
          <w:lang w:val="en-US"/>
        </w:rPr>
        <w:t>.</w:t>
      </w:r>
      <w:r w:rsidR="000A668F" w:rsidRPr="00235C2E">
        <w:rPr>
          <w:lang w:val="en-US"/>
        </w:rPr>
        <w:t xml:space="preserve"> </w:t>
      </w:r>
      <w:r w:rsidR="000A2B0C" w:rsidRPr="00235C2E">
        <w:rPr>
          <w:rFonts w:cs="Arial"/>
          <w:lang w:val="en-US"/>
        </w:rPr>
        <w:t xml:space="preserve"> </w:t>
      </w:r>
    </w:p>
    <w:p w14:paraId="510F6BB8" w14:textId="77777777" w:rsidR="00AF63FA" w:rsidRDefault="00051283" w:rsidP="00AF63FA">
      <w:pPr>
        <w:spacing w:line="276" w:lineRule="auto"/>
        <w:rPr>
          <w:rFonts w:cs="Arial"/>
          <w:lang w:val="en-US"/>
        </w:rPr>
      </w:pPr>
      <w:r>
        <w:rPr>
          <w:lang w:val="en-US"/>
        </w:rPr>
        <w:t>Finally</w:t>
      </w:r>
      <w:r w:rsidR="00AF63FA">
        <w:rPr>
          <w:lang w:val="en-US"/>
        </w:rPr>
        <w:t xml:space="preserve">, the concept of resilience highlights that frailty should be interpreted in a broader sense, not only focusing on the deficits but also on resources, magnitude of the stressor, and mindset: all of which may affect recovery. </w:t>
      </w:r>
      <w:r w:rsidR="00AF63FA">
        <w:rPr>
          <w:rFonts w:cs="Arial"/>
          <w:lang w:val="en-US"/>
        </w:rPr>
        <w:t>For example, a patient with cognitive impairment with a g</w:t>
      </w:r>
      <w:r w:rsidR="00AF63FA" w:rsidRPr="00235C2E">
        <w:rPr>
          <w:rFonts w:cs="Arial"/>
          <w:lang w:val="en-US"/>
        </w:rPr>
        <w:t>ood support system may not encounter problems in daily living and may be resilient</w:t>
      </w:r>
      <w:r w:rsidR="00AF63FA">
        <w:rPr>
          <w:rFonts w:cs="Arial"/>
          <w:lang w:val="en-US"/>
        </w:rPr>
        <w:t>, while a physically fit patient with a depression may struggle to cope</w:t>
      </w:r>
      <w:r w:rsidR="00AF63FA" w:rsidRPr="00235C2E">
        <w:rPr>
          <w:rFonts w:cs="Arial"/>
          <w:lang w:val="en-US"/>
        </w:rPr>
        <w:t>.</w:t>
      </w:r>
      <w:r w:rsidR="00AF63FA">
        <w:rPr>
          <w:rFonts w:cs="Arial"/>
          <w:lang w:val="en-US"/>
        </w:rPr>
        <w:t xml:space="preserve"> </w:t>
      </w:r>
    </w:p>
    <w:p w14:paraId="57A446F6" w14:textId="77777777" w:rsidR="00105184" w:rsidRPr="006D6B7C" w:rsidRDefault="00105184" w:rsidP="00105184">
      <w:pPr>
        <w:tabs>
          <w:tab w:val="left" w:pos="9026"/>
        </w:tabs>
        <w:spacing w:line="276" w:lineRule="auto"/>
        <w:rPr>
          <w:rFonts w:cs="Times"/>
          <w:iCs/>
          <w:color w:val="000000"/>
          <w:lang w:val="en-US"/>
        </w:rPr>
      </w:pPr>
      <w:r>
        <w:rPr>
          <w:lang w:val="en-US"/>
        </w:rPr>
        <w:t xml:space="preserve">Thus, by adding certain practical aspects to daily clinical care, it is possible to take frailty assessment in older patients with cancer to a higher level (Table </w:t>
      </w:r>
      <w:r w:rsidR="00BC76DF">
        <w:rPr>
          <w:lang w:val="en-US"/>
        </w:rPr>
        <w:t>2</w:t>
      </w:r>
      <w:r>
        <w:rPr>
          <w:lang w:val="en-US"/>
        </w:rPr>
        <w:t>).</w:t>
      </w:r>
    </w:p>
    <w:p w14:paraId="54433265" w14:textId="77777777" w:rsidR="000A281E" w:rsidRDefault="000A281E" w:rsidP="008E68B0">
      <w:pPr>
        <w:spacing w:line="276" w:lineRule="auto"/>
        <w:ind w:right="1275"/>
        <w:rPr>
          <w:lang w:val="en-US"/>
        </w:rPr>
      </w:pPr>
    </w:p>
    <w:p w14:paraId="30F11D2A" w14:textId="77777777" w:rsidR="00105184" w:rsidRDefault="008E68B0" w:rsidP="008E68B0">
      <w:pPr>
        <w:spacing w:line="276" w:lineRule="auto"/>
        <w:ind w:right="1275"/>
        <w:rPr>
          <w:b/>
          <w:bCs/>
          <w:lang w:val="en-US"/>
        </w:rPr>
      </w:pPr>
      <w:r>
        <w:rPr>
          <w:b/>
          <w:bCs/>
          <w:lang w:val="en-US"/>
        </w:rPr>
        <w:t>Implications for research</w:t>
      </w:r>
    </w:p>
    <w:p w14:paraId="2CF8B13F" w14:textId="77777777" w:rsidR="00105184" w:rsidRPr="008A2532" w:rsidRDefault="008A2532" w:rsidP="00105184">
      <w:pPr>
        <w:tabs>
          <w:tab w:val="left" w:pos="9026"/>
        </w:tabs>
        <w:spacing w:line="276" w:lineRule="auto"/>
        <w:rPr>
          <w:color w:val="C00000"/>
          <w:lang w:val="en-US"/>
        </w:rPr>
      </w:pPr>
      <w:r>
        <w:rPr>
          <w:lang w:val="en-US"/>
        </w:rPr>
        <w:t xml:space="preserve">For research in geriatric oncology, incorporating resilience is probably one of the largest and most exciting </w:t>
      </w:r>
      <w:r w:rsidRPr="0062102C">
        <w:rPr>
          <w:lang w:val="en-US"/>
        </w:rPr>
        <w:t>challenges for the coming years. It has the potential to</w:t>
      </w:r>
      <w:r w:rsidR="0062102C" w:rsidRPr="0062102C">
        <w:rPr>
          <w:lang w:val="en-US"/>
        </w:rPr>
        <w:t xml:space="preserve"> improve patient education and shared decision making, </w:t>
      </w:r>
      <w:r w:rsidRPr="0062102C">
        <w:rPr>
          <w:lang w:val="en-US"/>
        </w:rPr>
        <w:t>enhance pretreatment assessment of older patients with cancer</w:t>
      </w:r>
      <w:r w:rsidR="0062102C" w:rsidRPr="0062102C">
        <w:rPr>
          <w:lang w:val="en-US"/>
        </w:rPr>
        <w:t xml:space="preserve"> and refine prognostication, and</w:t>
      </w:r>
      <w:r w:rsidRPr="0062102C">
        <w:rPr>
          <w:lang w:val="en-US"/>
        </w:rPr>
        <w:t xml:space="preserve"> to optimize selection of patients for </w:t>
      </w:r>
      <w:proofErr w:type="spellStart"/>
      <w:r w:rsidRPr="0062102C">
        <w:rPr>
          <w:lang w:val="en-US"/>
        </w:rPr>
        <w:t>prehabilitation</w:t>
      </w:r>
      <w:proofErr w:type="spellEnd"/>
      <w:r w:rsidRPr="0062102C">
        <w:rPr>
          <w:lang w:val="en-US"/>
        </w:rPr>
        <w:t xml:space="preserve"> and other interventions</w:t>
      </w:r>
      <w:r w:rsidR="0062102C" w:rsidRPr="0062102C">
        <w:rPr>
          <w:lang w:val="en-US"/>
        </w:rPr>
        <w:t>.</w:t>
      </w:r>
    </w:p>
    <w:p w14:paraId="5BB48152" w14:textId="0B21C09B" w:rsidR="008A2532" w:rsidRDefault="008A2532" w:rsidP="008A2532">
      <w:pPr>
        <w:tabs>
          <w:tab w:val="left" w:pos="9026"/>
        </w:tabs>
        <w:spacing w:line="276" w:lineRule="auto"/>
        <w:rPr>
          <w:lang w:val="en-US"/>
        </w:rPr>
      </w:pPr>
      <w:r>
        <w:rPr>
          <w:lang w:val="en-US"/>
        </w:rPr>
        <w:t>First</w:t>
      </w:r>
      <w:r w:rsidR="001B499C">
        <w:rPr>
          <w:lang w:val="en-US"/>
        </w:rPr>
        <w:t>ly</w:t>
      </w:r>
      <w:r>
        <w:rPr>
          <w:lang w:val="en-US"/>
        </w:rPr>
        <w:t xml:space="preserve">, </w:t>
      </w:r>
      <w:r w:rsidR="00F25F69">
        <w:rPr>
          <w:lang w:val="en-US"/>
        </w:rPr>
        <w:t>adding patient-</w:t>
      </w:r>
      <w:proofErr w:type="spellStart"/>
      <w:r w:rsidR="00F25F69">
        <w:rPr>
          <w:lang w:val="en-US"/>
        </w:rPr>
        <w:t>centred</w:t>
      </w:r>
      <w:proofErr w:type="spellEnd"/>
      <w:r w:rsidR="00F25F69">
        <w:rPr>
          <w:lang w:val="en-US"/>
        </w:rPr>
        <w:t xml:space="preserve"> outcome</w:t>
      </w:r>
      <w:r w:rsidR="00E41E6A">
        <w:rPr>
          <w:lang w:val="en-US"/>
        </w:rPr>
        <w:t>s</w:t>
      </w:r>
      <w:r w:rsidR="00F25F69">
        <w:rPr>
          <w:lang w:val="en-US"/>
        </w:rPr>
        <w:t xml:space="preserve"> and their trajectory over time to the usual oncologic research outcomes (survival, progression) will allow for the construction of injury-recovery trajectories. For this, </w:t>
      </w:r>
      <w:r>
        <w:rPr>
          <w:lang w:val="en-US"/>
        </w:rPr>
        <w:t>patients</w:t>
      </w:r>
      <w:r w:rsidR="00F25F69">
        <w:rPr>
          <w:lang w:val="en-US"/>
        </w:rPr>
        <w:t xml:space="preserve"> should not only be monitored</w:t>
      </w:r>
      <w:r w:rsidR="00051283">
        <w:rPr>
          <w:lang w:val="en-US"/>
        </w:rPr>
        <w:t xml:space="preserve"> frequently</w:t>
      </w:r>
      <w:r>
        <w:rPr>
          <w:lang w:val="en-US"/>
        </w:rPr>
        <w:t xml:space="preserve"> before and during the treatment trajectory, but also during the recovery phase</w:t>
      </w:r>
      <w:r w:rsidR="007D5160">
        <w:rPr>
          <w:lang w:val="en-US"/>
        </w:rPr>
        <w:t>.</w:t>
      </w:r>
      <w:r w:rsidR="007D5160">
        <w:rPr>
          <w:lang w:val="en-US"/>
        </w:rPr>
        <w:fldChar w:fldCharType="begin" w:fldLock="1"/>
      </w:r>
      <w:r w:rsidR="007D5160">
        <w:rPr>
          <w:lang w:val="en-US"/>
        </w:rPr>
        <w:instrText>ADDIN CSL_CITATION {"citationItems":[{"id":"ITEM-1","itemData":{"DOI":"10.1111/JGS.16149","ISSN":"1532-5415","PMID":"31498881","abstract":"Background: Geriatricians are often confronted with unexpected health outcomes in older adults with complex multimorbidity. Aging researchers have recently called for a focus on physical resilience as a new approach to explaining such outcomes. Physical resilience, defined as the ability to resist functional decline or recover health following a stressor, is an emerging construct. Methods: Based on an outline of the state-of-the-art in research on the measurement of physical resilience, this article describes what tests to predict resilience can already be used in clinical practice and which innovations are to be expected soon. Results: An older adult's recovery potential is currently predicted by static tests of physiological reserves. Although geriatric medicine typically adopts a multidisciplinary view of the patient and implicitly performs resilience management to a certain extent, clinical management of older adults can benefit from explicitly applying the dynamical concept of resilience. Two crucial leads for advancing our capacity to measure and manage the resilience of individual patients are advocated: first, performing multiple repeated measurements around a stressor can provide insight about the patient's dynamic responses to stressors; and, second, linking psychological and physiological subsystems, as proposed by network studies on resilience, can provide insight into dynamic interactions involved in a resilient response. Conclusion: A big challenge still lies ahead in translating the dynamical concept of resilience into clinical tools and guidelines. As a first step in bridging this gap, this article outlines what opportunities clinicians and researchers can already exploit to improve prediction, understanding, and management of resilience of older adults. J Am Geriatr Soc 67:2650–2657, 2019.","author":[{"dropping-particle":"","family":"Gijzel","given":"Sanne M.W.","non-dropping-particle":"","parse-names":false,"suffix":""},{"dropping-particle":"","family":"Whitson","given":"Heather E.","non-dropping-particle":"","parse-names":false,"suffix":""},{"dropping-particle":"","family":"Leemput","given":"Ingrid A.","non-dropping-particle":"van de","parse-names":false,"suffix":""},{"dropping-particle":"","family":"Scheffer","given":"Marten","non-dropping-particle":"","parse-names":false,"suffix":""},{"dropping-particle":"","family":"Asselt","given":"Dieneke","non-dropping-particle":"van","parse-names":false,"suffix":""},{"dropping-particle":"","family":"Rector","given":"Jerrald L.","non-dropping-particle":"","parse-names":false,"suffix":""},{"dropping-particle":"","family":"Olde Rikkert","given":"Marcel G.M.","non-dropping-particle":"","parse-names":false,"suffix":""},{"dropping-particle":"","family":"Melis","given":"René J.F.","non-dropping-particle":"","parse-names":false,"suffix":""}],"container-title":"Journal of the American Geriatrics Society","id":"ITEM-1","issue":"12","issued":{"date-parts":[["2019","12","1"]]},"page":"2650-2657","publisher":"J Am Geriatr Soc","title":"Resilience in Clinical Care: Getting a Grip on the Recovery Potential of Older Adults","type":"article-journal","volume":"67"},"uris":["http://www.mendeley.com/documents/?uuid=a4f7632d-a606-399a-bbf9-8b9c6a02cf21"]}],"mendeley":{"formattedCitation":"&lt;sup&gt;34&lt;/sup&gt;","plainTextFormattedCitation":"34","previouslyFormattedCitation":"&lt;sup&gt;34&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34</w:t>
      </w:r>
      <w:r w:rsidR="007D5160">
        <w:rPr>
          <w:lang w:val="en-US"/>
        </w:rPr>
        <w:fldChar w:fldCharType="end"/>
      </w:r>
      <w:r w:rsidR="00F25F69">
        <w:rPr>
          <w:lang w:val="en-US"/>
        </w:rPr>
        <w:t xml:space="preserve"> Understanding the severity of decline</w:t>
      </w:r>
      <w:r w:rsidR="00E41E6A">
        <w:rPr>
          <w:lang w:val="en-US"/>
        </w:rPr>
        <w:t xml:space="preserve"> across various domains (for example, physical, cognitive, social)</w:t>
      </w:r>
      <w:r w:rsidR="00F25F69">
        <w:rPr>
          <w:lang w:val="en-US"/>
        </w:rPr>
        <w:t>, the duration of</w:t>
      </w:r>
      <w:r w:rsidR="0095065B">
        <w:rPr>
          <w:lang w:val="en-US"/>
        </w:rPr>
        <w:t xml:space="preserve"> the</w:t>
      </w:r>
      <w:r w:rsidR="00F25F69">
        <w:rPr>
          <w:lang w:val="en-US"/>
        </w:rPr>
        <w:t xml:space="preserve"> recovery</w:t>
      </w:r>
      <w:r w:rsidR="0095065B">
        <w:rPr>
          <w:lang w:val="en-US"/>
        </w:rPr>
        <w:t xml:space="preserve"> trajectory</w:t>
      </w:r>
      <w:r w:rsidR="00F25F69">
        <w:rPr>
          <w:lang w:val="en-US"/>
        </w:rPr>
        <w:t xml:space="preserve"> and the proportion of patients who are unable to recovery fully will allow for better patient education. This information is essential if we want to optimize shared decision making in the older population, particularly as these patients often prioritize functioning over oncologic outcomes. </w:t>
      </w:r>
      <w:r>
        <w:rPr>
          <w:lang w:val="en-US"/>
        </w:rPr>
        <w:t>At the moment, few studies include functional recovery as an outcome</w:t>
      </w:r>
      <w:r w:rsidR="00F25F69">
        <w:rPr>
          <w:lang w:val="en-US"/>
        </w:rPr>
        <w:t>, and follow-up is often limited to the duration of treatment</w:t>
      </w:r>
      <w:r>
        <w:rPr>
          <w:lang w:val="en-US"/>
        </w:rPr>
        <w:t>.</w:t>
      </w:r>
      <w:r w:rsidR="00F25F69">
        <w:rPr>
          <w:lang w:val="en-US"/>
        </w:rPr>
        <w:t xml:space="preserve"> </w:t>
      </w:r>
      <w:r>
        <w:rPr>
          <w:lang w:val="en-US"/>
        </w:rPr>
        <w:t xml:space="preserve"> </w:t>
      </w:r>
    </w:p>
    <w:p w14:paraId="36D212E9" w14:textId="3FC01CC7" w:rsidR="002104E6" w:rsidRPr="00105184" w:rsidRDefault="00F25F69" w:rsidP="002104E6">
      <w:pPr>
        <w:spacing w:line="276" w:lineRule="auto"/>
        <w:rPr>
          <w:color w:val="C00000"/>
          <w:lang w:val="en-US"/>
        </w:rPr>
      </w:pPr>
      <w:r>
        <w:rPr>
          <w:lang w:val="en-US"/>
        </w:rPr>
        <w:t xml:space="preserve">Once we understand the injury-recovery trajectory on a group level, we can try to determine which </w:t>
      </w:r>
      <w:r w:rsidR="00E41E6A">
        <w:rPr>
          <w:lang w:val="en-US"/>
        </w:rPr>
        <w:t xml:space="preserve">geriatric domains </w:t>
      </w:r>
      <w:r>
        <w:rPr>
          <w:lang w:val="en-US"/>
        </w:rPr>
        <w:t xml:space="preserve">are associated with negative treatment outcomes, such as </w:t>
      </w:r>
      <w:r w:rsidR="00E41E6A">
        <w:rPr>
          <w:lang w:val="en-US"/>
        </w:rPr>
        <w:t xml:space="preserve">prolonged recovery time or permanent loss of functioning. Current frailty research has focused on predicting </w:t>
      </w:r>
      <w:r w:rsidR="001B499C">
        <w:rPr>
          <w:lang w:val="en-US"/>
        </w:rPr>
        <w:t>negative outcomes</w:t>
      </w:r>
      <w:r w:rsidR="00E41E6A">
        <w:rPr>
          <w:lang w:val="en-US"/>
        </w:rPr>
        <w:t>, but is unable to inform us about the associations with recovery</w:t>
      </w:r>
      <w:r w:rsidR="00E41E6A" w:rsidRPr="0062102C">
        <w:rPr>
          <w:lang w:val="en-US"/>
        </w:rPr>
        <w:t>.</w:t>
      </w:r>
      <w:r w:rsidR="002104E6" w:rsidRPr="0062102C">
        <w:rPr>
          <w:lang w:val="en-US"/>
        </w:rPr>
        <w:t xml:space="preserve"> </w:t>
      </w:r>
      <w:r w:rsidR="00051283">
        <w:rPr>
          <w:lang w:val="en-US"/>
        </w:rPr>
        <w:t>Important f</w:t>
      </w:r>
      <w:r w:rsidR="002104E6" w:rsidRPr="0062102C">
        <w:rPr>
          <w:lang w:val="en-US"/>
        </w:rPr>
        <w:t>irst steps are now taken in elective joint surgery, with a recently published template of dynamical tests for various resilience components during surgery and subsequent recovery</w:t>
      </w:r>
      <w:r w:rsidR="0095065B">
        <w:rPr>
          <w:lang w:val="en-US"/>
        </w:rPr>
        <w:t>.</w:t>
      </w:r>
      <w:r w:rsidR="0095065B" w:rsidRPr="0095065B">
        <w:rPr>
          <w:vertAlign w:val="superscript"/>
          <w:lang w:val="en-US"/>
        </w:rPr>
        <w:t>8</w:t>
      </w:r>
      <w:r w:rsidR="002104E6" w:rsidRPr="0062102C">
        <w:rPr>
          <w:lang w:val="en-US"/>
        </w:rPr>
        <w:t xml:space="preserve"> </w:t>
      </w:r>
    </w:p>
    <w:p w14:paraId="342C529B" w14:textId="47741393" w:rsidR="00E41E6A" w:rsidRPr="00105184" w:rsidRDefault="00E41E6A" w:rsidP="00E41E6A">
      <w:pPr>
        <w:spacing w:line="276" w:lineRule="auto"/>
        <w:rPr>
          <w:color w:val="C00000"/>
          <w:lang w:val="en-US"/>
        </w:rPr>
      </w:pPr>
      <w:r>
        <w:rPr>
          <w:lang w:val="en-US"/>
        </w:rPr>
        <w:t>On an individual level, resilience research could focus on developing easy-to-use dynamic response tests that capture an older patient’s recovery potentia</w:t>
      </w:r>
      <w:r w:rsidR="002104E6">
        <w:rPr>
          <w:lang w:val="en-US"/>
        </w:rPr>
        <w:t>l</w:t>
      </w:r>
      <w:r w:rsidR="00590189">
        <w:rPr>
          <w:lang w:val="en-US"/>
        </w:rPr>
        <w:t>.</w:t>
      </w:r>
      <w:r w:rsidR="002104E6">
        <w:rPr>
          <w:lang w:val="en-US"/>
        </w:rPr>
        <w:t xml:space="preserve"> Expanding patient evaluations </w:t>
      </w:r>
      <w:r w:rsidR="002104E6">
        <w:rPr>
          <w:lang w:val="en-US"/>
        </w:rPr>
        <w:lastRenderedPageBreak/>
        <w:t>already in use – such as the preoperative cardiopulmonary exercise test</w:t>
      </w:r>
      <w:r w:rsidR="007D5160">
        <w:rPr>
          <w:lang w:val="en-US"/>
        </w:rPr>
        <w:fldChar w:fldCharType="begin" w:fldLock="1"/>
      </w:r>
      <w:r w:rsidR="007D5160">
        <w:rPr>
          <w:lang w:val="en-US"/>
        </w:rPr>
        <w:instrText>ADDIN CSL_CITATION {"citationItems":[{"id":"ITEM-1","itemData":{"DOI":"10.1245/S10434-021-10251-3","ISSN":"1534-4681","PMID":"34101066","abstract":"Backgrounds: There is mixed evidence on the value of preoperative cardiorespiratory exercise test (CPET) to predict postoperative outcomes in patients undergoing a cancer surgical procedure. The purpose of this review was to investigate the association between preoperative CPET variables and postoperative complications, length of hospital stay, and quality of life in patients undergoing cancer surgery. Methods: A search was conducted on MEDLINE, Embase, AMED, and Web of science from inception to April 2020. Cohort studies investigating the association between preoperative CPET variables, including peak oxygen uptake (peak VO2), anaerobic threshold (AT), or ventilatory equivalent for carbon dioxide (VE/VCO2), and postoperative outcomes (complications, length of stay, and quality of life) were included. Risk of bias was assessed using the QUIPS tool. A random-effect model meta-analysis was performed whenever possible. Results: Fifty-two unique studies, including 10,030 patients were included. Overall, most studies were rated as having low risk of bias. Higher preoperative peak VO2 was associated with absence of postoperative complications (mean difference [MD]: 2.28; 95% confidence interval [CI]: 1.26–3.29) and no pulmonary complication (MD: 1.47; 95% CI: 0.49–2.45). Preoperative AT and VE/VCO2 also demonstrated some positive trends. None of the included studies reported a negative trend. Conclusions: This systematic review and meta-analysis demonstrated a significant association between superior preoperative CPET values, especially peak VO2, and better postoperative outcomes. The assessment of preoperative functional capacity in patients undergoing cancer surgery has the potential to facilitate treatment decision making.","author":[{"dropping-particle":"","family":"Steffens","given":"Daniel","non-dropping-particle":"","parse-names":false,"suffix":""},{"dropping-particle":"","family":"Ismail","given":"Hilmy","non-dropping-particle":"","parse-names":false,"suffix":""},{"dropping-particle":"","family":"Denehy","given":"Linda","non-dropping-particle":"","parse-names":false,"suffix":""},{"dropping-particle":"","family":"Beckenkamp","given":"Paula R.","non-dropping-particle":"","parse-names":false,"suffix":""},{"dropping-particle":"","family":"Solomon","given":"Michael","non-dropping-particle":"","parse-names":false,"suffix":""},{"dropping-particle":"","family":"Koh","given":"Cherry","non-dropping-particle":"","parse-names":false,"suffix":""},{"dropping-particle":"","family":"Bartyn","given":"Jenna","non-dropping-particle":"","parse-names":false,"suffix":""},{"dropping-particle":"","family":"Pillinger","given":"Neil","non-dropping-particle":"","parse-names":false,"suffix":""}],"container-title":"Annals of surgical oncology","id":"ITEM-1","issue":"12","issued":{"date-parts":[["2021","11","1"]]},"page":"7120-7146","publisher":"Ann Surg Oncol","title":"Preoperative Cardiopulmonary Exercise Test Associated with Postoperative Outcomes in Patients Undergoing Cancer Surgery: A Systematic Review and Meta-Analyses","type":"article-journal","volume":"28"},"uris":["http://www.mendeley.com/documents/?uuid=77cedba5-da9c-3c50-bb0f-56dafbb67ad9"]}],"mendeley":{"formattedCitation":"&lt;sup&gt;30&lt;/sup&gt;","plainTextFormattedCitation":"30","previouslyFormattedCitation":"&lt;sup&gt;30&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30</w:t>
      </w:r>
      <w:r w:rsidR="007D5160">
        <w:rPr>
          <w:lang w:val="en-US"/>
        </w:rPr>
        <w:fldChar w:fldCharType="end"/>
      </w:r>
      <w:r w:rsidR="002104E6">
        <w:rPr>
          <w:lang w:val="en-US"/>
        </w:rPr>
        <w:t xml:space="preserve"> – </w:t>
      </w:r>
      <w:r w:rsidR="002104E6" w:rsidRPr="0062102C">
        <w:rPr>
          <w:lang w:val="en-US"/>
        </w:rPr>
        <w:t>to include recovery time, may provide interesting insights. Additionally, m</w:t>
      </w:r>
      <w:r w:rsidRPr="0062102C">
        <w:rPr>
          <w:lang w:val="en-US"/>
        </w:rPr>
        <w:t xml:space="preserve">easurements from wearable and non-wearable electronics </w:t>
      </w:r>
      <w:r w:rsidR="0095065B">
        <w:rPr>
          <w:lang w:val="en-US"/>
        </w:rPr>
        <w:t>may bring</w:t>
      </w:r>
      <w:r w:rsidRPr="0062102C">
        <w:rPr>
          <w:lang w:val="en-US"/>
        </w:rPr>
        <w:t xml:space="preserve"> </w:t>
      </w:r>
      <w:r w:rsidR="0095065B">
        <w:rPr>
          <w:lang w:val="en-US"/>
        </w:rPr>
        <w:t xml:space="preserve">a new perspective on </w:t>
      </w:r>
      <w:r w:rsidRPr="0062102C">
        <w:rPr>
          <w:lang w:val="en-US"/>
        </w:rPr>
        <w:t>the dynamics of resilience</w:t>
      </w:r>
      <w:r w:rsidR="0095065B">
        <w:rPr>
          <w:lang w:val="en-US"/>
        </w:rPr>
        <w:t xml:space="preserve">, opening up </w:t>
      </w:r>
      <w:r w:rsidRPr="0062102C">
        <w:rPr>
          <w:lang w:val="en-US"/>
        </w:rPr>
        <w:t>another exciting new field within geriatric oncology that warrants further exploration</w:t>
      </w:r>
      <w:r w:rsidR="007D5160">
        <w:rPr>
          <w:lang w:val="en-US"/>
        </w:rPr>
        <w:t>.</w:t>
      </w:r>
      <w:r w:rsidR="007D5160">
        <w:rPr>
          <w:lang w:val="en-US"/>
        </w:rPr>
        <w:fldChar w:fldCharType="begin" w:fldLock="1"/>
      </w:r>
      <w:r w:rsidR="007D5160">
        <w:rPr>
          <w:lang w:val="en-US"/>
        </w:rPr>
        <w:instrText>ADDIN CSL_CITATION {"citationItems":[{"id":"ITEM-1","itemData":{"DOI":"10.1245/S10434-021-10251-3","ISSN":"1534-4681","PMID":"34101066","abstract":"Backgrounds: There is mixed evidence on the value of preoperative cardiorespiratory exercise test (CPET) to predict postoperative outcomes in patients undergoing a cancer surgical procedure. The purpose of this review was to investigate the association between preoperative CPET variables and postoperative complications, length of hospital stay, and quality of life in patients undergoing cancer surgery. Methods: A search was conducted on MEDLINE, Embase, AMED, and Web of science from inception to April 2020. Cohort studies investigating the association between preoperative CPET variables, including peak oxygen uptake (peak VO2), anaerobic threshold (AT), or ventilatory equivalent for carbon dioxide (VE/VCO2), and postoperative outcomes (complications, length of stay, and quality of life) were included. Risk of bias was assessed using the QUIPS tool. A random-effect model meta-analysis was performed whenever possible. Results: Fifty-two unique studies, including 10,030 patients were included. Overall, most studies were rated as having low risk of bias. Higher preoperative peak VO2 was associated with absence of postoperative complications (mean difference [MD]: 2.28; 95% confidence interval [CI]: 1.26–3.29) and no pulmonary complication (MD: 1.47; 95% CI: 0.49–2.45). Preoperative AT and VE/VCO2 also demonstrated some positive trends. None of the included studies reported a negative trend. Conclusions: This systematic review and meta-analysis demonstrated a significant association between superior preoperative CPET values, especially peak VO2, and better postoperative outcomes. The assessment of preoperative functional capacity in patients undergoing cancer surgery has the potential to facilitate treatment decision making.","author":[{"dropping-particle":"","family":"Steffens","given":"Daniel","non-dropping-particle":"","parse-names":false,"suffix":""},{"dropping-particle":"","family":"Ismail","given":"Hilmy","non-dropping-particle":"","parse-names":false,"suffix":""},{"dropping-particle":"","family":"Denehy","given":"Linda","non-dropping-particle":"","parse-names":false,"suffix":""},{"dropping-particle":"","family":"Beckenkamp","given":"Paula R.","non-dropping-particle":"","parse-names":false,"suffix":""},{"dropping-particle":"","family":"Solomon","given":"Michael","non-dropping-particle":"","parse-names":false,"suffix":""},{"dropping-particle":"","family":"Koh","given":"Cherry","non-dropping-particle":"","parse-names":false,"suffix":""},{"dropping-particle":"","family":"Bartyn","given":"Jenna","non-dropping-particle":"","parse-names":false,"suffix":""},{"dropping-particle":"","family":"Pillinger","given":"Neil","non-dropping-particle":"","parse-names":false,"suffix":""}],"container-title":"Annals of surgical oncology","id":"ITEM-1","issue":"12","issued":{"date-parts":[["2021","11","1"]]},"page":"7120-7146","publisher":"Ann Surg Oncol","title":"Preoperative Cardiopulmonary Exercise Test Associated with Postoperative Outcomes in Patients Undergoing Cancer Surgery: A Systematic Review and Meta-Analyses","type":"article-journal","volume":"28"},"uris":["http://www.mendeley.com/documents/?uuid=77cedba5-da9c-3c50-bb0f-56dafbb67ad9"]},{"id":"ITEM-2","itemData":{"DOI":"10.1016/J.JAMDA.2019.10.011","ISSN":"1538-9375","PMID":"31836428","abstract":"Objectives: Acute illnesses and subsequent hospital admissions present large health stressors to older adults, after which their recovery is variable. The concept of physical resilience offers opportunities to develop dynamical tools to predict an individual's recovery potential. This study aimed to investigate if dynamical resilience indicators based on repeated physical and mental measurements in acutely hospitalized geriatric patients have added value over single baseline measurements in predicting favorable recovery. Design: Intensive longitudinal study. Setting and Participants: 121 patients (aged 84.3 ± 6.2 years, 60% female) admitted to the geriatric ward for acute illness. Measurements: In addition to preadmission characteristics (frailty, multimorbidity), in-hospital heart rate and physical activity were continuously monitored with a wearable sensor. Momentary well-being (life satisfaction, anxiety, discomfort) was measured by experience sampling 4 times per day. The added value of dynamical indicators of resilience was investigated for predicting recovery at hospital discharge and 3 months later. Results: 31% of participants satisfied the criteria of good recovery at hospital discharge and 50% after 3 months. A combination of a frailty index, multimorbidity, Clinical Frailty Scale, and or gait speed predicted good recovery reasonably well on the short term [area under the receiver operating characteristic curve (AUC) = 0.79], but only moderately after 3 months (AUC = 0.70). On addition of dynamical resilience indicators, the AUC for predicting good 3-month recovery increased to 0.79 (P = .03). Variability in life satisfaction and anxiety during the hospital stay were independent predictors of good 3-month recovery [odds ratio (OR) = 0.24, P = .01, and OR = 0.54, P = .04, respectively]. Conclusions and Implications: These results highlight that measurements capturing the dynamic functioning of multiple physiological systems have added value in assessing physical resilience in clinical practice, especially those monitoring mental responses. Improved monitoring and prediction of physical resilience could help target intensive treatment options and subsequent geriatric rehabilitation to patients who will most likely benefit from them.","author":[{"dropping-particle":"","family":"Gijzel","given":"Sanne M.W.","non-dropping-particle":"","parse-names":false,"suffix":""},{"dropping-particle":"","family":"Rector","given":"Jerrald","non-dropping-particle":"","parse-names":false,"suffix":""},{"dropping-particle":"","family":"Meulen","given":"Fokke B.","non-dropping-particle":"van","parse-names":false,"suffix":""},{"dropping-particle":"","family":"Loeff","given":"Rolinka Schim","non-dropping-particle":"van der","parse-names":false,"suffix":""},{"dropping-particle":"","family":"Leemput","given":"Ingrid A.","non-dropping-particle":"van de","parse-names":false,"suffix":""},{"dropping-particle":"","family":"Scheffer","given":"Marten","non-dropping-particle":"","parse-names":false,"suffix":""},{"dropping-particle":"","family":"Olde Rikkert","given":"Marcel G.M.","non-dropping-particle":"","parse-names":false,"suffix":""},{"dropping-particle":"","family":"Melis","given":"René J.F.","non-dropping-particle":"","parse-names":false,"suffix":""}],"container-title":"Journal of the American Medical Directors Association","id":"ITEM-2","issue":"4","issued":{"date-parts":[["2020","4","1"]]},"page":"525-530.e4","publisher":"J Am Med Dir Assoc","title":"Measurement of Dynamical Resilience Indicators Improves the Prediction of Recovery Following Hospitalization in Older Adults","type":"article-journal","volume":"21"},"uris":["http://www.mendeley.com/documents/?uuid=ef41e102-cb24-358b-abc2-c7662c8cabb1"]},{"id":"ITEM-3","itemData":{"DOI":"10.1097/TA.0000000000000929","ISSN":"2163-0763","PMID":"26595712","abstract":"Background Injury is an external stressor that often initiates a cycle of decline in many older adults. The influence of physical frailty and cognitive decline on 6-month and 1-year outcomes after injury is unreported. We hypothesized that physical frailty and cognitive impairment would be predictive of 6-month and 1-year postinjury function and overall mortality. Methods The sample involved patients who are 65 years or older admitted to a Level I trauma center between October 2013 and March 2014 with a primary injury diagnosis. Surrogates of 188 patients were interviewed within 48 hours of hospital admission to determine preinjury cognitive and physical frailty impairments using brief screening instruments. Follow-up was completed on 172 patients at 6 months and 176 patients at 1 year to determine posthospitalization status and outcomes. Data analysis involved frequencies, measures of central tendency, χ2 analyses, linear and logistic regression. Results The mean age of the patients was 77 years. The median Injury Severity Score (ISS) was 10. The mechanism of injury involved falls from standing (n = 101, 54%). Preinjury vulnerabilities included cognitive impairment (AD8 Dementia Screen [AD8] score ≥ 2, n = 93, 50%) and physical frailty (Vulnerable Elders Survey [VES-13] score ≥ 4, n = 94, 50%). Overall, median physical frailty scores did not return to baseline in the majority of survivors at 1 year. Multivariate regression analysis revealed that preinjury cognitive impairment (6 months, AD8, β =-0.20, p = 0.002) and preinjury physical frailty (6 months, Barthel Index, β = 0.60, p &lt; 0.001; 1 year, Barthel Index, β = 0.52, p &lt; 0.001) are independently associated with physical function (frailty). Multivariate logistic regression analysis revealed that age (odds ratio [OR], 1.09; 95% confidence interval [CI], 1.04-1.14), injury severity (OR, 1.07; 95% CI, 1.02-1.12), and preinjury physical frailty (OR, 1.28; 95% CI, 1.14-1.47) are independently associated with overall mortality at 1 year. Conclusion Preinjury physical frailty is the predominant predictor of postinjury functional status and mortality in geriatric trauma patients. Identification of frailty and appropriate follow-up are crucial for decision making by providers, patients, and family caregivers. Level of Evidence Prognostic study, level II.","author":[{"dropping-particle":"","family":"Maxwell","given":"Cathy A.","non-dropping-particle":"","parse-names":false,"suffix":""},{"dropping-particle":"","family":"Mion","given":"Lorraine C.","non-dropping-particle":"","parse-names":false,"suffix":""},{"dropping-particle":"","family":"Mukherjee","given":"Kaushik","non-dropping-particle":"","parse-names":false,"suffix":""},{"dropping-particle":"","family":"Dietrich","given":"Mary S.","non-dropping-particle":"","parse-names":false,"suffix":""},{"dropping-particle":"","family":"Minnick","given":"Ann","non-dropping-particle":"","parse-names":false,"suffix":""},{"dropping-particle":"","family":"May","given":"Addison","non-dropping-particle":"","parse-names":false,"suffix":""},{"dropping-particle":"","family":"Miller","given":"Richard S.","non-dropping-particle":"","parse-names":false,"suffix":""}],"container-title":"The journal of trauma and acute care surgery","id":"ITEM-3","issue":"2","issued":{"date-parts":[["2016","2","1"]]},"page":"195-203","publisher":"J Trauma Acute Care Surg","title":"Preinjury physical frailty and cognitive impairment among geriatric trauma patients determine postinjury functional recovery and survival","type":"article-journal","volume":"80"},"uris":["http://www.mendeley.com/documents/?uuid=ee25ad2d-d282-378f-94a7-1642554b2b52"]},{"id":"ITEM-4","itemData":{"DOI":"10.1016/J.JAMCOLLSURG.2004.05.280","ISSN":"1072-7515","PMID":"15501119","abstract":"Elders undergo approximately 40% of more than 1 million major abdominal operations annually. Yet evidence about recovery to preoperative levels of functional independence is limited. This study details course and predictors of functional recovery after elective major abdominal operations in the elderly. This was a prospective cohort of 372 consecutive patients, 60 years old or more, enrolled from surgeons in private practice and two university-affiliated hospitals, assessed preoperatively and postoperatively at 1, 3, and 6 weeks, 3 and 6 months, using self-report and performance-based measures (Activities of Daily Living [ADL], Instrumental Activities of Daily Living [IADL], Medical Outcomes Study Short Form-36 Physical Component and Mental Component Scales [PCS, MCS], Geriatric Depression Scale [GDS], Folstein Mini-Mental State Exam [MMSE], timed walk, functional reach, hand grip strength). Mean age was 69 ± 6 years with 56% men, 47% nonHispanic Caucasian, and 42% Mexican American; hospital distribution was 49% private, 51% university-affiliated. Maximum functional declines (95% CI) occurred 1 week postoperatively: ADL, 2.8 points (2.4 to 3.2); IADL, 7.6 points (7 to 8.3); SF-36 PCS, 6.5 points (5.4 to 7.6); Mini-Mental State Exam, 0.5 points (0.2 to 0.7); timed walk, 6.8 seconds (5.2 to 8.4); functional reach, 1.7 inches (1.2 to 2.2); grip strength, 2 kilograms (1.3 to 2.7) (p &lt; 0.001 for all). SF-36 mental component scale and Geriatric Depression Scale scores did not worsen. Mean recovery times were: Mini-Mental State Exam, 3 weeks; timed walk, 6 weeks; ADL, SF-36 PCS, and functional reach, 3 months; and IADL, 6 months. Mean grip strength did not return to preoperative status by 6 months. The incidence of persistent disability at 6 months, compared with preoperative status, was: ADL, 9%; IADL, 19%; PCS, 16%; mental component scale, 17%; timed walk, 39%; functional reach, 58%; and grip strength, 52%. Potentially modifiable independent predictors of ADL and IADL recovery were preoperative physical conditioning and depression plus serious postoperative complications. The clinical course of functional recovery varied across different measures. Protracted disability at 6 months after operation was substantial. Several potentially modifiable factors consistently predicted recovery. © 2004 by the American College of Surgeons.","author":[{"dropping-particle":"","family":"Lawrence","given":"Valerie A.","non-dropping-particle":"","parse-names":false,"suffix":""},{"dropping-particle":"","family":"Hazuda","given":"Helen P.","non-dropping-particle":"","parse-names":false,"suffix":""},{"dropping-particle":"","family":"Cornell","given":"John E.","non-dropping-particle":"","parse-names":false,"suffix":""},{"dropping-particle":"","family":"Pederson","given":"Thomas","non-dropping-particle":"","parse-names":false,"suffix":""},{"dropping-particle":"","family":"Bradshaw","given":"Patrick T.","non-dropping-particle":"","parse-names":false,"suffix":""},{"dropping-particle":"","family":"Mulrow","given":"Cynthia D.","non-dropping-particle":"","parse-names":false,"suffix":""},{"dropping-particle":"","family":"Page","given":"Carey P.","non-dropping-particle":"","parse-names":false,"suffix":""}],"container-title":"Journal of the American College of Surgeons","id":"ITEM-4","issue":"5","issued":{"date-parts":[["2004","11"]]},"page":"762-772","publisher":"J Am Coll Surg","title":"Functional independence after major abdominal surgery in the elderly","type":"article-journal","volume":"199"},"uris":["http://www.mendeley.com/documents/?uuid=2bbedbb2-7a56-3b7d-8b1e-6eb0495fb254"]},{"id":"ITEM-5","itemData":{"DOI":"10.1136/BMJOPEN-2016-011538","ISSN":"2044-6055","PMID":"27496235","abstract":"Objectives Self-management of mobility and fall risk can be important in fall prevention; however, it remains unstudied. Therefore, the current study assessed whether community-dwelling older persons were able to repeatedly self-assess maximum step length (MSL) and gait speed (GS) in their own home for a 6-month period, how these tests changed during this period and if these changes were related to falling. Design This is a prospective study. Setting This study was conducted at home. Participants A total of 56 community-dwelling older adults (24 women (43%), mean age 76.2 (SD 3.9) years) entered the study; of which, 45 completed the study. Methods Participants performed MSL and GS once a week in their own home during a 6-month period. Primary and secondary outcomes Repeated MSL and GS measurements were the primary outcomes. Falls, self-management and mobility were the secondary outcomes. Results Self-assessment of MSL and GS by older persons is feasible. Compliance of repeatedly self-measuring MSL and GS was good; the median number of weekly measurements was 23.0 (88%) and 21.0 (81%) for MSL and GS, respectively. Drop-outs showed less self-management abilities compared to the participants who completed the study (p=0.049). Linear mixed models showed a small significant improvement in MSL and GS over time (p&lt;0.001), without an influence on falling. Conclusions Most community-dwelling older persons are able and willing to repeatedly assess their MSL and GS. Self-managing mobility and fall risk did not increase fall occurrence. The fact that older persons can be actively involved in their own healthcare is clinically relevant. Further studies are needed to examine the (cost-)effectiveness of self-management in fall prevention interventions.","author":[{"dropping-particle":"","family":"Bongers","given":"Kim T.J.","non-dropping-particle":"","parse-names":false,"suffix":""},{"dropping-particle":"","family":"Schoon","given":"Yvonne","non-dropping-particle":"","parse-names":false,"suffix":""},{"dropping-particle":"","family":"Olde Rikkert","given":"Marcel G.M.","non-dropping-particle":"","parse-names":false,"suffix":""}],"container-title":"BMJ open","id":"ITEM-5","issue":"8","issued":{"date-parts":[["2016","8","1"]]},"publisher":"BMJ Open","title":"Feasibility of repeated self-measurements of maximum step length and gait speed by community-dwelling older persons","type":"article-journal","volume":"6"},"uris":["http://www.mendeley.com/documents/?uuid=f7f26fa2-1cac-32a9-94ff-26727e7f11d7"]},{"id":"ITEM-6","itemData":{"DOI":"10.1016/J.JPEDSURG.2017.09.016","ISSN":"1531-5037","PMID":"29092769","abstract":"Background: Assessment of recovery after surgery in children remains highly subjective. However, advances in wearable technology present an opportunity for clinicians to have an objective assessment of postoperative recovery. The aims of this pilot study are to: (1) evaluate acceptability of accelerometer use in pediatric surgical patients, (2) use accelerometer data to characterize the recovery trajectory of physical activity, and (3) determine if postoperative adverse events are associated with a decrease in physical activity. Study design: Children aged 3–18-years-old undergoing elective inpatient and outpatient surgical procedures were invited to participate. Physical activity was measured using an Actigraph GT3X wristworn accelerometer for ≥ 2 days preoperatively and 5–14 days postoperatively. Time spent performing light (LPA) and moderate-to-vigorous physical activity (MVPA) was expressed in minutes/day. Physical activity for each postoperative day was calculated as a percentage of preoperative activity, and recovery trajectories were produced. Adverse events were reported and mapped against recovery trajectories. Results: Of 60 patients enrolled, 25 (10 inpatients, 15 outpatients) completed the study procedures and were included in the analysis. For outpatient procedures, LPA recovered to preoperative level on postoperative day (POD) 7 and MVPA peaked at 90% on POD 8. For inpatient procedures, LPA peaked at 70% on POD 11, and MVPA peaked at 53% on POD 10. Adverse events in 2 patients were associated with a decline in activity. Conclusions: This study demonstrates that objective monitoring of postoperative physical activity using accelerometers is feasible in the pediatric surgical population. Recovery trajectories for inpatient and outpatient procedures differ. Accelerometer technology presents clinicians with a new potential tool for assessing and managing surgical recovery, and for determining if children are not recovering as expected. Type of study: Diagnostic Study. Level of evidence: III.","author":[{"dropping-particle":"","family":"Ghomrawi","given":"Hassan MK","non-dropping-particle":"","parse-names":false,"suffix":""},{"dropping-particle":"","family":"Baumann","given":"Lauren M.","non-dropping-particle":"","parse-names":false,"suffix":""},{"dropping-particle":"","family":"Kwon","given":"Soyang","non-dropping-particle":"","parse-names":false,"suffix":""},{"dropping-particle":"","family":"Hebal","given":"Ferdynand","non-dropping-particle":"","parse-names":false,"suffix":""},{"dropping-particle":"","family":"Hsiung","given":"Grace","non-dropping-particle":"","parse-names":false,"suffix":""},{"dropping-particle":"","family":"Williams","given":"Kibileri","non-dropping-particle":"","parse-names":false,"suffix":""},{"dropping-particle":"","family":"Reimann","given":"Molly","non-dropping-particle":"","parse-names":false,"suffix":""},{"dropping-particle":"","family":"Stake","given":"Christine","non-dropping-particle":"","parse-names":false,"suffix":""},{"dropping-particle":"","family":"Johnson","given":"Emilie K.","non-dropping-particle":"","parse-names":false,"suffix":""},{"dropping-particle":"","family":"Abdullah","given":"Fizan","non-dropping-particle":"","parse-names":false,"suffix":""}],"container-title":"Journal of pediatric surgery","id":"ITEM-6","issue":"8","issued":{"date-parts":[["2018","8","1"]]},"page":"1600-1605","publisher":"J Pediatr Surg","title":"Using accelerometers to characterize recovery after surgery in children","type":"article-journal","volume":"53"},"uris":["http://www.mendeley.com/documents/?uuid=e99f76b2-2b8d-31d8-ab35-1251448ee7dc"]},{"id":"ITEM-7","itemData":{"DOI":"10.1093/geronb/gbq095","ISSN":"17585368","PMID":"21743050","abstract":"To describe a longitudinal community cohort study, Intelligent Systems for Assessing Aging Changes, that has deployed an unobtrusive home-based assessment platform in many seniors homes in the existing community. Several types of sensors have been installed in the homes of 265 elderly persons for an average of 33 months. Metrics assessed by the sensors include total daily activity, time out of home, and walking speed. Participants were given a computer as well as training, and computer usage was monitored. Participants are assessed annually with health and function questionnaires, physical examinations, and neuropsychological testing. Mean age was 83.3 years, mean years of education was 15.5, and 73% of cohort were women. During a 4-week snapshot, participants left their home twice a day on average for a total of 208 min per day. Mean in-home walking speed was 61.0 cm/s. Participants spent 43% of days on the computer averaging 76 min per day. These results demonstrate for the first time the feasibility of engaging seniors in a large-scale deployment of in-home activity assessment technology and the successful collection of these activity metrics. We plan to use this platform to determine if continuous unobtrusive monitoring may detect incident cognitive decline.","author":[{"dropping-particle":"","family":"Kaye","given":"Jeffrey A.","non-dropping-particle":"","parse-names":false,"suffix":""},{"dropping-particle":"","family":"Maxwell","given":"Shoshana A.","non-dropping-particle":"","parse-names":false,"suffix":""},{"dropping-particle":"","family":"Mattek","given":"Nora","non-dropping-particle":"","parse-names":false,"suffix":""},{"dropping-particle":"","family":"Hayes","given":"Tamara L.","non-dropping-particle":"","parse-names":false,"suffix":""},{"dropping-particle":"","family":"Dodge","given":"Hiroko","non-dropping-particle":"","parse-names":false,"suffix":""},{"dropping-particle":"","family":"Pavel","given":"Misha","non-dropping-particle":"","parse-names":false,"suffix":""},{"dropping-particle":"","family":"Jimison","given":"Holly B.","non-dropping-particle":"","parse-names":false,"suffix":""},{"dropping-particle":"","family":"Wild","given":"Katherine","non-dropping-particle":"","parse-names":false,"suffix":""},{"dropping-particle":"","family":"Boise","given":"Linda","non-dropping-particle":"","parse-names":false,"suffix":""},{"dropping-particle":"","family":"Zitzelberger","given":"Tracy A.","non-dropping-particle":"","parse-names":false,"suffix":""}],"container-title":"The journals of gerontology. Series B, Psychological sciences and social sciences","id":"ITEM-7","issued":{"date-parts":[["2011"]]},"title":"Intelligent Systems For Assessing Aging Changes: home-based, unobtrusive, and continuous assessment of aging.","type":"article-journal","volume":"66 Suppl 1"},"uris":["http://www.mendeley.com/documents/?uuid=a2d3508f-5e57-3f81-a513-16c7e8bf9fd1"]}],"mendeley":{"formattedCitation":"&lt;sup&gt;30,36–41&lt;/sup&gt;","manualFormatting":"36–41","plainTextFormattedCitation":"30,36–41","previouslyFormattedCitation":"&lt;sup&gt;30,36–41&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36–41</w:t>
      </w:r>
      <w:r w:rsidR="007D5160">
        <w:rPr>
          <w:lang w:val="en-US"/>
        </w:rPr>
        <w:fldChar w:fldCharType="end"/>
      </w:r>
      <w:r w:rsidRPr="0062102C">
        <w:rPr>
          <w:lang w:val="en-US"/>
        </w:rPr>
        <w:t xml:space="preserve"> </w:t>
      </w:r>
    </w:p>
    <w:p w14:paraId="2369D59C" w14:textId="310D15B7" w:rsidR="006124C2" w:rsidRPr="0062102C" w:rsidRDefault="002104E6" w:rsidP="0062102C">
      <w:pPr>
        <w:tabs>
          <w:tab w:val="left" w:pos="9026"/>
        </w:tabs>
        <w:spacing w:line="276" w:lineRule="auto"/>
        <w:rPr>
          <w:lang w:val="en-GB"/>
        </w:rPr>
      </w:pPr>
      <w:r>
        <w:rPr>
          <w:lang w:val="en-US"/>
        </w:rPr>
        <w:t xml:space="preserve">Finally, understanding which patients are at </w:t>
      </w:r>
      <w:r w:rsidR="0062102C">
        <w:rPr>
          <w:lang w:val="en-US"/>
        </w:rPr>
        <w:t>risk of poor recovery also allows for optimizing patient support before and during treatment, for example by</w:t>
      </w:r>
      <w:r w:rsidR="0062102C" w:rsidRPr="0062102C">
        <w:rPr>
          <w:lang w:val="en-US"/>
        </w:rPr>
        <w:t xml:space="preserve"> </w:t>
      </w:r>
      <w:r w:rsidR="0062102C">
        <w:rPr>
          <w:lang w:val="en-US"/>
        </w:rPr>
        <w:t xml:space="preserve">offering specific interventions to optimize impairments and negate negative treatment effects. Improving patient selection is especially relevant for time-intensive interventions such as </w:t>
      </w:r>
      <w:r w:rsidR="00121CD5">
        <w:rPr>
          <w:lang w:val="en-US"/>
        </w:rPr>
        <w:t>(</w:t>
      </w:r>
      <w:r w:rsidR="0062102C">
        <w:rPr>
          <w:lang w:val="en-US"/>
        </w:rPr>
        <w:t>p</w:t>
      </w:r>
      <w:r w:rsidR="00121CD5">
        <w:rPr>
          <w:lang w:val="en-US"/>
        </w:rPr>
        <w:t>)</w:t>
      </w:r>
      <w:r w:rsidR="0062102C">
        <w:rPr>
          <w:lang w:val="en-US"/>
        </w:rPr>
        <w:t xml:space="preserve">rehabilitation. While on a group level studies regarding </w:t>
      </w:r>
      <w:proofErr w:type="spellStart"/>
      <w:r w:rsidR="0062102C">
        <w:rPr>
          <w:lang w:val="en-US"/>
        </w:rPr>
        <w:t>prehabilitation</w:t>
      </w:r>
      <w:proofErr w:type="spellEnd"/>
      <w:r w:rsidR="0062102C">
        <w:rPr>
          <w:lang w:val="en-US"/>
        </w:rPr>
        <w:t xml:space="preserve"> often fail to be successful,</w:t>
      </w:r>
      <w:r w:rsidR="00590189">
        <w:rPr>
          <w:lang w:val="en-US"/>
        </w:rPr>
        <w:t xml:space="preserve"> particularly in frail patients,</w:t>
      </w:r>
      <w:r w:rsidR="0062102C">
        <w:rPr>
          <w:lang w:val="en-US"/>
        </w:rPr>
        <w:t xml:space="preserve"> on an individual level significant benefits can be seen.</w:t>
      </w:r>
      <w:r w:rsidR="007D5160">
        <w:rPr>
          <w:lang w:val="en-US"/>
        </w:rPr>
        <w:fldChar w:fldCharType="begin" w:fldLock="1"/>
      </w:r>
      <w:r w:rsidR="007D5160">
        <w:rPr>
          <w:lang w:val="en-US"/>
        </w:rPr>
        <w:instrText>ADDIN CSL_CITATION {"citationItems":[{"id":"ITEM-1","itemData":{"DOI":"10.1002/14651858.CD013259.PUB2/INFORMATION/EN","ISSN":"14651858","abstract":"Background: Surgery is the cornerstone in curative treatment of colorectal cancer. Unfortunately, surgery itself can adversely affect patient health. 'Enhanced Recovery After Surgery' programmes, which include multimodal interventions, have improved patient outcomes substantially. However, these are mainly applied peri- and postoperatively. Multimodal prehabilitation includes multiple preoperative interventions to prepare patients for surgery with the aim of increasing resilience, thereby improving postoperative outcomes. Objectives: To determine the effects of multimodal prehabilitation programmes on functional capacity, postoperative complications, and quality of life in adult patients undergoing surgery for colorectal cancer. Search methods: We searched CENTRAL, MEDLINE, Embase and PsycINFO in January 2021. We also searched trial registries up to March 2021. Selection criteria: We included randomised controlled trials (RCTs) in adult patients with non-metastatic colorectal cancer, scheduled for surgery, comparing multimodal prehabilitation programmes (defined as comprising at least two preoperative interventions) with no prehabilitation. We focused on the following outcomes: functional capacity (i.e. 6-minute walk test, VO2peak, handgrip strength), postoperative outcomes (i.e. complications, mortality, length of hospital stay, emergency department visits, re-admissions), health-related quality of life, compliance, safety of prehabilitation, and return to normal activities. Data collection and analysis: Two authors independently selected studies, extracted data, assessed risk of bias and used GRADE to assess the certainty of the evidence. Any disagreements were solved with discussion and consensus. We pooled data to perform meta-analyses, where possible. Main results: We included three RCTs that enrolled 250 participants with non-metastatic colorectal cancer, scheduled for elective (mainly laparoscopic) surgery. Included trials were conducted in tertiary care centres and recruited patients during periods ranging from 17 months to 45 months. A total of 130 participants enrolled in a preoperative four-week trimodal prehabilitation programme consisting of exercise, nutritional intervention, and anxiety reduction techniques. Outcomes of these participants were compared to those of 120 participants who started an identical but postoperative programme. Postoperatively, prehabilitation may improve functional capacity, determined with the 6-minute walk test a…","author":[{"dropping-particle":"","family":"Molenaar","given":"Charlotte J.L.","non-dropping-particle":"","parse-names":false,"suffix":""},{"dropping-particle":"","family":"Rooijen","given":"Stefan J.","non-dropping-particle":"van","parse-names":false,"suffix":""},{"dropping-particle":"","family":"Fokkenrood","given":"Hugo J.P.","non-dropping-particle":"","parse-names":false,"suffix":""},{"dropping-particle":"","family":"Roumen","given":"Rudi M.H.","non-dropping-particle":"","parse-names":false,"suffix":""},{"dropping-particle":"","family":"Janssen","given":"Loes","non-dropping-particle":"","parse-names":false,"suffix":""},{"dropping-particle":"","family":"Slooter","given":"Gerrit D.","non-dropping-particle":"","parse-names":false,"suffix":""}],"container-title":"Cochrane Database of Systematic Reviews","id":"ITEM-1","issue":"5","issued":{"date-parts":[["2022","5","19"]]},"publisher":"John Wiley and Sons Ltd","title":"Prehabilitation versus no prehabilitation to improve functional capacity, reduce postoperative complications and improve quality of life in colorectal cancer surgery","type":"article-journal","volume":"2022"},"uris":["http://www.mendeley.com/documents/?uuid=a87e7487-17dc-324d-8896-f7a954df668b"]}],"mendeley":{"formattedCitation":"&lt;sup&gt;42&lt;/sup&gt;","plainTextFormattedCitation":"42","previouslyFormattedCitation":"&lt;sup&gt;42&lt;/sup&gt;"},"properties":{"noteIndex":0},"schema":"https://github.com/citation-style-language/schema/raw/master/csl-citation.json"}</w:instrText>
      </w:r>
      <w:r w:rsidR="007D5160">
        <w:rPr>
          <w:lang w:val="en-US"/>
        </w:rPr>
        <w:fldChar w:fldCharType="separate"/>
      </w:r>
      <w:r w:rsidR="007D5160" w:rsidRPr="007D5160">
        <w:rPr>
          <w:noProof/>
          <w:vertAlign w:val="superscript"/>
          <w:lang w:val="en-US"/>
        </w:rPr>
        <w:t>42</w:t>
      </w:r>
      <w:r w:rsidR="007D5160">
        <w:rPr>
          <w:lang w:val="en-US"/>
        </w:rPr>
        <w:fldChar w:fldCharType="end"/>
      </w:r>
      <w:r w:rsidR="007D5160">
        <w:rPr>
          <w:lang w:val="en-US"/>
        </w:rPr>
        <w:t xml:space="preserve"> </w:t>
      </w:r>
      <w:r w:rsidR="00121CD5">
        <w:rPr>
          <w:lang w:val="en-US"/>
        </w:rPr>
        <w:t>Resilience research could help us u</w:t>
      </w:r>
      <w:r w:rsidR="0062102C">
        <w:rPr>
          <w:lang w:val="en-US"/>
        </w:rPr>
        <w:t xml:space="preserve">nderstand </w:t>
      </w:r>
      <w:r w:rsidR="00750660">
        <w:rPr>
          <w:lang w:val="en-US"/>
        </w:rPr>
        <w:t>the characteristics of patients who recover well,</w:t>
      </w:r>
      <w:r w:rsidR="00121CD5">
        <w:rPr>
          <w:lang w:val="en-US"/>
        </w:rPr>
        <w:t xml:space="preserve"> and which </w:t>
      </w:r>
      <w:r w:rsidR="00590189">
        <w:rPr>
          <w:lang w:val="en-US"/>
        </w:rPr>
        <w:t>frailty characteristics</w:t>
      </w:r>
      <w:r w:rsidR="00121CD5">
        <w:rPr>
          <w:lang w:val="en-US"/>
        </w:rPr>
        <w:t xml:space="preserve"> will be amenable to (p)rehabilitation. Ultimately, this </w:t>
      </w:r>
      <w:r w:rsidR="00051283">
        <w:rPr>
          <w:lang w:val="en-US"/>
        </w:rPr>
        <w:t xml:space="preserve">could </w:t>
      </w:r>
      <w:r w:rsidR="00121CD5">
        <w:rPr>
          <w:lang w:val="en-US"/>
        </w:rPr>
        <w:t>be an important step in improving outcomes for older patients with cancer.</w:t>
      </w:r>
    </w:p>
    <w:p w14:paraId="2E347839" w14:textId="77777777" w:rsidR="00742A3B" w:rsidRPr="00265602" w:rsidRDefault="00742A3B" w:rsidP="00742A3B">
      <w:pPr>
        <w:pStyle w:val="Lijstalinea"/>
        <w:tabs>
          <w:tab w:val="left" w:pos="9026"/>
        </w:tabs>
        <w:spacing w:line="276" w:lineRule="auto"/>
        <w:rPr>
          <w:b/>
          <w:lang w:val="en-GB"/>
        </w:rPr>
      </w:pPr>
    </w:p>
    <w:p w14:paraId="2DF4DF2D" w14:textId="09D17BB4" w:rsidR="009F2704" w:rsidRPr="006D6B7C" w:rsidRDefault="006D6B7C" w:rsidP="00C73C40">
      <w:pPr>
        <w:tabs>
          <w:tab w:val="left" w:pos="9026"/>
        </w:tabs>
        <w:spacing w:line="276" w:lineRule="auto"/>
        <w:rPr>
          <w:rFonts w:cs="Times"/>
          <w:iCs/>
          <w:color w:val="000000"/>
          <w:lang w:val="en-US"/>
        </w:rPr>
      </w:pPr>
      <w:r w:rsidRPr="006D6B7C">
        <w:rPr>
          <w:rFonts w:cs="Times"/>
          <w:b/>
          <w:bCs/>
          <w:iCs/>
          <w:color w:val="000000"/>
          <w:lang w:val="en-US"/>
        </w:rPr>
        <w:t>In conclusion</w:t>
      </w:r>
      <w:r>
        <w:rPr>
          <w:rFonts w:cs="Times"/>
          <w:iCs/>
          <w:color w:val="000000"/>
          <w:lang w:val="en-US"/>
        </w:rPr>
        <w:t>, adding principles from intrinsic capacity and resilience to frailty assessment</w:t>
      </w:r>
      <w:r w:rsidR="00D35DC5">
        <w:rPr>
          <w:rFonts w:cs="Times"/>
          <w:iCs/>
          <w:color w:val="000000"/>
          <w:lang w:val="en-US"/>
        </w:rPr>
        <w:t xml:space="preserve"> </w:t>
      </w:r>
      <w:r w:rsidR="00D35DC5">
        <w:rPr>
          <w:lang w:val="en-US"/>
        </w:rPr>
        <w:t>provides</w:t>
      </w:r>
      <w:r>
        <w:rPr>
          <w:lang w:val="en-US"/>
        </w:rPr>
        <w:t xml:space="preserve"> opportunities to further personalize treatment and improving outcomes by looking </w:t>
      </w:r>
      <w:r w:rsidR="00BA73B8">
        <w:rPr>
          <w:lang w:val="en-US"/>
        </w:rPr>
        <w:t xml:space="preserve">longitudinally </w:t>
      </w:r>
      <w:r>
        <w:rPr>
          <w:lang w:val="en-US"/>
        </w:rPr>
        <w:t>at recovery potential instead of deficits</w:t>
      </w:r>
      <w:r w:rsidR="00AD5A68">
        <w:rPr>
          <w:lang w:val="en-US"/>
        </w:rPr>
        <w:t xml:space="preserve">. </w:t>
      </w:r>
      <w:r w:rsidR="00D35DC5">
        <w:rPr>
          <w:lang w:val="en-US"/>
        </w:rPr>
        <w:t>F</w:t>
      </w:r>
      <w:r>
        <w:rPr>
          <w:lang w:val="en-US"/>
        </w:rPr>
        <w:t xml:space="preserve">urther research is needed to </w:t>
      </w:r>
      <w:r w:rsidR="00BA73B8">
        <w:rPr>
          <w:lang w:val="en-US"/>
        </w:rPr>
        <w:t xml:space="preserve">increase our understanding of </w:t>
      </w:r>
      <w:r w:rsidR="00AD5A68">
        <w:rPr>
          <w:lang w:val="en-US"/>
        </w:rPr>
        <w:t>the interrelatedness of these concepts and their association with outcomes of cancer treatment</w:t>
      </w:r>
      <w:r w:rsidR="00D35DC5">
        <w:rPr>
          <w:lang w:val="en-US"/>
        </w:rPr>
        <w:t xml:space="preserve">. However, </w:t>
      </w:r>
      <w:r w:rsidR="00105184">
        <w:rPr>
          <w:lang w:val="en-US"/>
        </w:rPr>
        <w:t xml:space="preserve">with some easy </w:t>
      </w:r>
      <w:r w:rsidR="00051283">
        <w:rPr>
          <w:lang w:val="en-US"/>
        </w:rPr>
        <w:t xml:space="preserve">tweaks </w:t>
      </w:r>
      <w:r w:rsidR="00105184">
        <w:rPr>
          <w:lang w:val="en-US"/>
        </w:rPr>
        <w:t xml:space="preserve">to the </w:t>
      </w:r>
      <w:r w:rsidR="00D35DC5">
        <w:rPr>
          <w:lang w:val="en-US"/>
        </w:rPr>
        <w:t>frailty assessment</w:t>
      </w:r>
      <w:r w:rsidR="00105184">
        <w:rPr>
          <w:lang w:val="en-US"/>
        </w:rPr>
        <w:t xml:space="preserve">, </w:t>
      </w:r>
      <w:r w:rsidR="00051283">
        <w:rPr>
          <w:lang w:val="en-US"/>
        </w:rPr>
        <w:t xml:space="preserve">resilience and intrinsic capacity can help </w:t>
      </w:r>
      <w:r w:rsidR="0095065B">
        <w:rPr>
          <w:lang w:val="en-US"/>
        </w:rPr>
        <w:t>take</w:t>
      </w:r>
      <w:r w:rsidR="00105184">
        <w:rPr>
          <w:lang w:val="en-US"/>
        </w:rPr>
        <w:t xml:space="preserve"> the care for </w:t>
      </w:r>
      <w:r w:rsidR="00D35DC5">
        <w:rPr>
          <w:lang w:val="en-US"/>
        </w:rPr>
        <w:t>older patients with cancer to a higher level</w:t>
      </w:r>
      <w:r w:rsidR="008A2532">
        <w:rPr>
          <w:lang w:val="en-US"/>
        </w:rPr>
        <w:t xml:space="preserve"> (Table </w:t>
      </w:r>
      <w:r w:rsidR="00BC76DF">
        <w:rPr>
          <w:lang w:val="en-US"/>
        </w:rPr>
        <w:t>2</w:t>
      </w:r>
      <w:r w:rsidR="008A2532">
        <w:rPr>
          <w:lang w:val="en-US"/>
        </w:rPr>
        <w:t>)</w:t>
      </w:r>
      <w:r w:rsidR="00D35DC5">
        <w:rPr>
          <w:lang w:val="en-US"/>
        </w:rPr>
        <w:t>.</w:t>
      </w:r>
    </w:p>
    <w:p w14:paraId="24D502C6" w14:textId="77777777" w:rsidR="00935E07" w:rsidRDefault="007D5160" w:rsidP="00935E07">
      <w:pPr>
        <w:spacing w:line="276" w:lineRule="auto"/>
        <w:rPr>
          <w:rFonts w:cstheme="minorHAnsi"/>
          <w:i/>
          <w:iCs/>
          <w:lang w:val="en-GB"/>
        </w:rPr>
      </w:pPr>
      <w:r>
        <w:rPr>
          <w:lang w:val="en-US"/>
        </w:rPr>
        <w:br w:type="page"/>
      </w:r>
      <w:r w:rsidR="00935E07">
        <w:rPr>
          <w:rFonts w:cstheme="minorHAnsi"/>
          <w:i/>
          <w:iCs/>
          <w:lang w:val="en-GB"/>
        </w:rPr>
        <w:lastRenderedPageBreak/>
        <w:t>Disclosures</w:t>
      </w:r>
    </w:p>
    <w:p w14:paraId="1AD81BA8" w14:textId="77777777" w:rsidR="00935E07" w:rsidRPr="004E7664" w:rsidRDefault="00935E07" w:rsidP="00935E07">
      <w:pPr>
        <w:spacing w:line="276" w:lineRule="auto"/>
        <w:rPr>
          <w:rFonts w:cstheme="minorHAnsi"/>
          <w:iCs/>
          <w:lang w:val="en-GB"/>
        </w:rPr>
      </w:pPr>
      <w:r>
        <w:rPr>
          <w:rFonts w:cstheme="minorHAnsi"/>
          <w:iCs/>
          <w:lang w:val="en-GB"/>
        </w:rPr>
        <w:t>The authors have no potential conflicts of interest pertaining to this manuscript.</w:t>
      </w:r>
      <w:r w:rsidRPr="00935E07">
        <w:rPr>
          <w:lang w:val="en-GB"/>
        </w:rPr>
        <w:t xml:space="preserve"> </w:t>
      </w:r>
      <w:r w:rsidRPr="00703AE5">
        <w:rPr>
          <w:rFonts w:cstheme="minorHAnsi"/>
          <w:iCs/>
          <w:lang w:val="en-GB"/>
        </w:rPr>
        <w:t>The funders had no role in the design</w:t>
      </w:r>
      <w:r>
        <w:rPr>
          <w:rFonts w:cstheme="minorHAnsi"/>
          <w:iCs/>
          <w:lang w:val="en-GB"/>
        </w:rPr>
        <w:t xml:space="preserve"> </w:t>
      </w:r>
      <w:r w:rsidRPr="00703AE5">
        <w:rPr>
          <w:rFonts w:cstheme="minorHAnsi"/>
          <w:iCs/>
          <w:lang w:val="en-GB"/>
        </w:rPr>
        <w:t>of the study; in the collection, analyses, or interpretation of data; in the writing of the manuscript, or</w:t>
      </w:r>
      <w:r>
        <w:rPr>
          <w:rFonts w:cstheme="minorHAnsi"/>
          <w:iCs/>
          <w:lang w:val="en-GB"/>
        </w:rPr>
        <w:t xml:space="preserve"> </w:t>
      </w:r>
      <w:r w:rsidRPr="00703AE5">
        <w:rPr>
          <w:rFonts w:cstheme="minorHAnsi"/>
          <w:iCs/>
          <w:lang w:val="en-GB"/>
        </w:rPr>
        <w:t>in the decision to publish the results.</w:t>
      </w:r>
    </w:p>
    <w:p w14:paraId="6FA9B892" w14:textId="77777777" w:rsidR="00935E07" w:rsidRDefault="00935E07" w:rsidP="00935E07">
      <w:pPr>
        <w:spacing w:line="276" w:lineRule="auto"/>
        <w:rPr>
          <w:rFonts w:cstheme="minorHAnsi"/>
          <w:i/>
          <w:iCs/>
          <w:lang w:val="en-GB"/>
        </w:rPr>
      </w:pPr>
    </w:p>
    <w:p w14:paraId="5D1AB040" w14:textId="77777777" w:rsidR="00935E07" w:rsidRDefault="00935E07" w:rsidP="00935E07">
      <w:pPr>
        <w:spacing w:line="276" w:lineRule="auto"/>
        <w:rPr>
          <w:rFonts w:cstheme="minorHAnsi"/>
          <w:i/>
          <w:lang w:val="en-GB"/>
        </w:rPr>
      </w:pPr>
    </w:p>
    <w:p w14:paraId="63E860CA" w14:textId="77777777" w:rsidR="00935E07" w:rsidRDefault="00935E07" w:rsidP="00935E07">
      <w:pPr>
        <w:spacing w:line="276" w:lineRule="auto"/>
        <w:rPr>
          <w:rFonts w:cstheme="minorHAnsi"/>
          <w:lang w:val="en-GB"/>
        </w:rPr>
      </w:pPr>
      <w:r w:rsidRPr="004E7664">
        <w:rPr>
          <w:rFonts w:cstheme="minorHAnsi"/>
          <w:i/>
          <w:lang w:val="en-GB"/>
        </w:rPr>
        <w:t>Financial support</w:t>
      </w:r>
    </w:p>
    <w:p w14:paraId="64D6018B" w14:textId="77777777" w:rsidR="00935E07" w:rsidRPr="004E7664" w:rsidRDefault="00935E07" w:rsidP="00935E07">
      <w:pPr>
        <w:spacing w:line="276" w:lineRule="auto"/>
        <w:rPr>
          <w:rFonts w:cstheme="minorHAnsi"/>
          <w:lang w:val="en-GB"/>
        </w:rPr>
      </w:pPr>
      <w:r w:rsidRPr="004E7664">
        <w:rPr>
          <w:rFonts w:cstheme="minorHAnsi"/>
          <w:lang w:val="en-GB"/>
        </w:rPr>
        <w:t>This research was funded by GERONTE. The GERONTE project has received funding from</w:t>
      </w:r>
    </w:p>
    <w:p w14:paraId="01061B60" w14:textId="77777777" w:rsidR="00935E07" w:rsidRPr="004E7664" w:rsidRDefault="00935E07" w:rsidP="00935E07">
      <w:pPr>
        <w:spacing w:line="276" w:lineRule="auto"/>
        <w:rPr>
          <w:rFonts w:cstheme="minorHAnsi"/>
          <w:lang w:val="en-GB"/>
        </w:rPr>
      </w:pPr>
      <w:r w:rsidRPr="004E7664">
        <w:rPr>
          <w:rFonts w:cstheme="minorHAnsi"/>
          <w:lang w:val="en-GB"/>
        </w:rPr>
        <w:t>the European Union’s Horizon 2020 research and innovation programme under grant agreement</w:t>
      </w:r>
    </w:p>
    <w:p w14:paraId="6254D83D" w14:textId="77777777" w:rsidR="00935E07" w:rsidRDefault="00935E07" w:rsidP="00935E07">
      <w:pPr>
        <w:spacing w:line="276" w:lineRule="auto"/>
        <w:rPr>
          <w:rFonts w:cstheme="minorHAnsi"/>
          <w:i/>
          <w:iCs/>
          <w:lang w:val="en-GB"/>
        </w:rPr>
      </w:pPr>
      <w:r w:rsidRPr="004E7664">
        <w:rPr>
          <w:rFonts w:cstheme="minorHAnsi"/>
          <w:lang w:val="en-GB"/>
        </w:rPr>
        <w:t>No. 945218.</w:t>
      </w:r>
    </w:p>
    <w:p w14:paraId="6BF875FF" w14:textId="77777777" w:rsidR="00935E07" w:rsidRDefault="00935E07" w:rsidP="00935E07">
      <w:pPr>
        <w:spacing w:line="276" w:lineRule="auto"/>
        <w:rPr>
          <w:rFonts w:cstheme="minorHAnsi"/>
          <w:i/>
          <w:iCs/>
          <w:lang w:val="en-GB"/>
        </w:rPr>
      </w:pPr>
    </w:p>
    <w:p w14:paraId="35D3BB23" w14:textId="77777777" w:rsidR="00935E07" w:rsidRDefault="00935E07" w:rsidP="00935E07">
      <w:pPr>
        <w:spacing w:line="276" w:lineRule="auto"/>
        <w:rPr>
          <w:rFonts w:cstheme="minorHAnsi"/>
          <w:i/>
          <w:iCs/>
          <w:lang w:val="en-GB"/>
        </w:rPr>
      </w:pPr>
    </w:p>
    <w:p w14:paraId="16BEFF2A" w14:textId="77777777" w:rsidR="00935E07" w:rsidRDefault="00935E07" w:rsidP="00935E07">
      <w:pPr>
        <w:spacing w:line="276" w:lineRule="auto"/>
        <w:rPr>
          <w:rFonts w:cstheme="minorHAnsi"/>
          <w:i/>
          <w:iCs/>
          <w:lang w:val="en-GB"/>
        </w:rPr>
      </w:pPr>
      <w:r>
        <w:rPr>
          <w:rFonts w:cstheme="minorHAnsi"/>
          <w:i/>
          <w:iCs/>
          <w:lang w:val="en-GB"/>
        </w:rPr>
        <w:t>Author roles</w:t>
      </w:r>
    </w:p>
    <w:p w14:paraId="384FB2BE" w14:textId="49599954" w:rsidR="00935E07" w:rsidRPr="006D7D17" w:rsidRDefault="00935E07" w:rsidP="00935E07">
      <w:pPr>
        <w:spacing w:line="276" w:lineRule="auto"/>
        <w:rPr>
          <w:rFonts w:cstheme="minorHAnsi"/>
          <w:iCs/>
          <w:lang w:val="en-GB"/>
        </w:rPr>
      </w:pPr>
      <w:r w:rsidRPr="006D7D17">
        <w:rPr>
          <w:rFonts w:cstheme="minorHAnsi"/>
          <w:iCs/>
          <w:lang w:val="en-GB"/>
        </w:rPr>
        <w:t xml:space="preserve">Conception and design: Marije Hamaker, </w:t>
      </w:r>
      <w:proofErr w:type="spellStart"/>
      <w:r>
        <w:rPr>
          <w:rFonts w:cstheme="minorHAnsi"/>
          <w:iCs/>
          <w:lang w:val="en-GB"/>
        </w:rPr>
        <w:t>Frederiek</w:t>
      </w:r>
      <w:proofErr w:type="spellEnd"/>
      <w:r>
        <w:rPr>
          <w:rFonts w:cstheme="minorHAnsi"/>
          <w:iCs/>
          <w:lang w:val="en-GB"/>
        </w:rPr>
        <w:t xml:space="preserve"> van den Bos</w:t>
      </w:r>
    </w:p>
    <w:p w14:paraId="30B5624D" w14:textId="01B5043A" w:rsidR="00935E07" w:rsidRPr="006D7D17" w:rsidRDefault="00935E07" w:rsidP="00935E07">
      <w:pPr>
        <w:spacing w:line="276" w:lineRule="auto"/>
        <w:rPr>
          <w:rFonts w:cstheme="minorHAnsi"/>
          <w:iCs/>
          <w:lang w:val="en-GB"/>
        </w:rPr>
      </w:pPr>
      <w:r w:rsidRPr="006D7D17">
        <w:rPr>
          <w:rFonts w:cstheme="minorHAnsi"/>
          <w:iCs/>
          <w:lang w:val="en-GB"/>
        </w:rPr>
        <w:t xml:space="preserve">Manuscript writing: </w:t>
      </w:r>
      <w:r>
        <w:rPr>
          <w:rFonts w:cstheme="minorHAnsi"/>
          <w:iCs/>
          <w:lang w:val="en-GB"/>
        </w:rPr>
        <w:t>all</w:t>
      </w:r>
      <w:bookmarkStart w:id="0" w:name="_GoBack"/>
      <w:bookmarkEnd w:id="0"/>
    </w:p>
    <w:p w14:paraId="3988F605" w14:textId="77777777" w:rsidR="00935E07" w:rsidRPr="006D7D17" w:rsidRDefault="00935E07" w:rsidP="00935E07">
      <w:pPr>
        <w:spacing w:line="276" w:lineRule="auto"/>
        <w:rPr>
          <w:rFonts w:cstheme="minorHAnsi"/>
          <w:iCs/>
          <w:lang w:val="en-GB"/>
        </w:rPr>
      </w:pPr>
      <w:r w:rsidRPr="006D7D17">
        <w:rPr>
          <w:rFonts w:cstheme="minorHAnsi"/>
          <w:iCs/>
          <w:lang w:val="en-GB"/>
        </w:rPr>
        <w:t>Approval of final article: all</w:t>
      </w:r>
    </w:p>
    <w:p w14:paraId="26228B3B" w14:textId="5652F3AF" w:rsidR="00935E07" w:rsidRDefault="00935E07" w:rsidP="00935E07">
      <w:pPr>
        <w:rPr>
          <w:lang w:val="en-US"/>
        </w:rPr>
      </w:pPr>
      <w:r w:rsidRPr="006D7D17">
        <w:rPr>
          <w:rFonts w:cstheme="minorHAnsi"/>
          <w:iCs/>
          <w:lang w:val="en-GB"/>
        </w:rPr>
        <w:t>All authors read and approved the final manuscript.</w:t>
      </w:r>
      <w:r>
        <w:rPr>
          <w:lang w:val="en-US"/>
        </w:rPr>
        <w:br w:type="page"/>
      </w:r>
    </w:p>
    <w:p w14:paraId="0240E0EE" w14:textId="77777777" w:rsidR="007D5160" w:rsidRDefault="007D5160">
      <w:pPr>
        <w:rPr>
          <w:lang w:val="en-US"/>
        </w:rPr>
      </w:pPr>
    </w:p>
    <w:p w14:paraId="1B5019A7" w14:textId="50EF50FD" w:rsidR="008F63B3" w:rsidRPr="007D5160" w:rsidRDefault="007D5160" w:rsidP="00C73C40">
      <w:pPr>
        <w:tabs>
          <w:tab w:val="left" w:pos="9026"/>
        </w:tabs>
        <w:spacing w:line="276" w:lineRule="auto"/>
        <w:rPr>
          <w:b/>
          <w:bCs/>
          <w:lang w:val="en-US"/>
        </w:rPr>
      </w:pPr>
      <w:r w:rsidRPr="007D5160">
        <w:rPr>
          <w:b/>
          <w:bCs/>
          <w:lang w:val="en-US"/>
        </w:rPr>
        <w:t>References:</w:t>
      </w:r>
    </w:p>
    <w:p w14:paraId="46E85587" w14:textId="6995D243" w:rsidR="00340D1F" w:rsidRPr="00340D1F" w:rsidRDefault="004F0494" w:rsidP="00340D1F">
      <w:pPr>
        <w:widowControl w:val="0"/>
        <w:autoSpaceDE w:val="0"/>
        <w:autoSpaceDN w:val="0"/>
        <w:adjustRightInd w:val="0"/>
        <w:spacing w:line="240" w:lineRule="auto"/>
        <w:ind w:left="640" w:hanging="640"/>
        <w:rPr>
          <w:rFonts w:ascii="Calibri" w:hAnsi="Calibri" w:cs="Calibri"/>
          <w:noProof/>
          <w:szCs w:val="24"/>
        </w:rPr>
      </w:pPr>
      <w:r>
        <w:rPr>
          <w:lang w:val="en-US"/>
        </w:rPr>
        <w:fldChar w:fldCharType="begin" w:fldLock="1"/>
      </w:r>
      <w:r>
        <w:rPr>
          <w:lang w:val="en-US"/>
        </w:rPr>
        <w:instrText xml:space="preserve">ADDIN Mendeley Bibliography CSL_BIBLIOGRAPHY </w:instrText>
      </w:r>
      <w:r>
        <w:rPr>
          <w:lang w:val="en-US"/>
        </w:rPr>
        <w:fldChar w:fldCharType="separate"/>
      </w:r>
      <w:r w:rsidR="00340D1F" w:rsidRPr="003270FF">
        <w:rPr>
          <w:rFonts w:ascii="Calibri" w:hAnsi="Calibri" w:cs="Calibri"/>
          <w:noProof/>
          <w:szCs w:val="24"/>
          <w:lang w:val="en-GB"/>
        </w:rPr>
        <w:t xml:space="preserve">1. </w:t>
      </w:r>
      <w:r w:rsidR="00340D1F" w:rsidRPr="003270FF">
        <w:rPr>
          <w:rFonts w:ascii="Calibri" w:hAnsi="Calibri" w:cs="Calibri"/>
          <w:noProof/>
          <w:szCs w:val="24"/>
          <w:lang w:val="en-GB"/>
        </w:rPr>
        <w:tab/>
        <w:t xml:space="preserve">Mohile SG, Dale W, Somerfield MR, Hurria A. Practical assessment and management of vulnerabilities in older patients receiving chemotherapy: Asco guideline for geriatric oncology summary. </w:t>
      </w:r>
      <w:r w:rsidR="00340D1F" w:rsidRPr="00340D1F">
        <w:rPr>
          <w:rFonts w:ascii="Calibri" w:hAnsi="Calibri" w:cs="Calibri"/>
          <w:i/>
          <w:iCs/>
          <w:noProof/>
          <w:szCs w:val="24"/>
        </w:rPr>
        <w:t>J Oncol Pract</w:t>
      </w:r>
      <w:r w:rsidR="00340D1F" w:rsidRPr="00340D1F">
        <w:rPr>
          <w:rFonts w:ascii="Calibri" w:hAnsi="Calibri" w:cs="Calibri"/>
          <w:noProof/>
          <w:szCs w:val="24"/>
        </w:rPr>
        <w:t>. 2018;14(7):442-446. doi:10.1200/JOP.18.00180</w:t>
      </w:r>
    </w:p>
    <w:p w14:paraId="5A25FE93"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40D1F">
        <w:rPr>
          <w:rFonts w:ascii="Calibri" w:hAnsi="Calibri" w:cs="Calibri"/>
          <w:noProof/>
          <w:szCs w:val="24"/>
        </w:rPr>
        <w:t xml:space="preserve">2. </w:t>
      </w:r>
      <w:r w:rsidRPr="00340D1F">
        <w:rPr>
          <w:rFonts w:ascii="Calibri" w:hAnsi="Calibri" w:cs="Calibri"/>
          <w:noProof/>
          <w:szCs w:val="24"/>
        </w:rPr>
        <w:tab/>
        <w:t xml:space="preserve">Li D, Sun C-L, Kim H, et al. </w:t>
      </w:r>
      <w:r w:rsidRPr="003270FF">
        <w:rPr>
          <w:rFonts w:ascii="Calibri" w:hAnsi="Calibri" w:cs="Calibri"/>
          <w:noProof/>
          <w:szCs w:val="24"/>
          <w:lang w:val="en-GB"/>
        </w:rPr>
        <w:t xml:space="preserve">Geriatric Assessment-Driven Intervention (GAIN) on Chemotherapy-Related Toxic Effects in Older Adults with Cancer: A Randomized Clinical Trial. </w:t>
      </w:r>
      <w:r w:rsidRPr="003270FF">
        <w:rPr>
          <w:rFonts w:ascii="Calibri" w:hAnsi="Calibri" w:cs="Calibri"/>
          <w:i/>
          <w:iCs/>
          <w:noProof/>
          <w:szCs w:val="24"/>
          <w:lang w:val="en-GB"/>
        </w:rPr>
        <w:t>JAMA Oncol</w:t>
      </w:r>
      <w:r w:rsidRPr="003270FF">
        <w:rPr>
          <w:rFonts w:ascii="Calibri" w:hAnsi="Calibri" w:cs="Calibri"/>
          <w:noProof/>
          <w:szCs w:val="24"/>
          <w:lang w:val="en-GB"/>
        </w:rPr>
        <w:t>. Published online 2021. doi:10.1001/jamaoncol.2021.4158</w:t>
      </w:r>
    </w:p>
    <w:p w14:paraId="7EA421C5"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3. </w:t>
      </w:r>
      <w:r w:rsidRPr="003270FF">
        <w:rPr>
          <w:rFonts w:ascii="Calibri" w:hAnsi="Calibri" w:cs="Calibri"/>
          <w:noProof/>
          <w:szCs w:val="24"/>
          <w:lang w:val="en-GB"/>
        </w:rPr>
        <w:tab/>
        <w:t xml:space="preserve">Mohile SG, Mohamed MR, Xu H, et al. Evaluation of geriatric assessment and management on the toxic effects of cancer treatment (GAP70+): a cluster-randomised study. </w:t>
      </w:r>
      <w:r w:rsidRPr="003270FF">
        <w:rPr>
          <w:rFonts w:ascii="Calibri" w:hAnsi="Calibri" w:cs="Calibri"/>
          <w:i/>
          <w:iCs/>
          <w:noProof/>
          <w:szCs w:val="24"/>
          <w:lang w:val="en-GB"/>
        </w:rPr>
        <w:t>Lancet (London, England)</w:t>
      </w:r>
      <w:r w:rsidRPr="003270FF">
        <w:rPr>
          <w:rFonts w:ascii="Calibri" w:hAnsi="Calibri" w:cs="Calibri"/>
          <w:noProof/>
          <w:szCs w:val="24"/>
          <w:lang w:val="en-GB"/>
        </w:rPr>
        <w:t>. 2021;398(10314):1894-1904. doi:10.1016/S0140-6736(21)01789-X</w:t>
      </w:r>
    </w:p>
    <w:p w14:paraId="79B070A2"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4. </w:t>
      </w:r>
      <w:r w:rsidRPr="003270FF">
        <w:rPr>
          <w:rFonts w:ascii="Calibri" w:hAnsi="Calibri" w:cs="Calibri"/>
          <w:noProof/>
          <w:szCs w:val="24"/>
          <w:lang w:val="en-GB"/>
        </w:rPr>
        <w:tab/>
        <w:t xml:space="preserve">Soo W, King M, Pope A, Parente P, Darzins P, Davis I. Integrated geriatric assessment and treatment (INTEGERATE) in older people with cancer planned for systemic anticancer therapy. </w:t>
      </w:r>
      <w:r w:rsidRPr="003270FF">
        <w:rPr>
          <w:rFonts w:ascii="Calibri" w:hAnsi="Calibri" w:cs="Calibri"/>
          <w:i/>
          <w:iCs/>
          <w:noProof/>
          <w:szCs w:val="24"/>
          <w:lang w:val="en-GB"/>
        </w:rPr>
        <w:t>J Clin Oncol</w:t>
      </w:r>
      <w:r w:rsidRPr="003270FF">
        <w:rPr>
          <w:rFonts w:ascii="Calibri" w:hAnsi="Calibri" w:cs="Calibri"/>
          <w:noProof/>
          <w:szCs w:val="24"/>
          <w:lang w:val="en-GB"/>
        </w:rPr>
        <w:t>. 2020;38(S):12011.</w:t>
      </w:r>
    </w:p>
    <w:p w14:paraId="00DDF09D"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5. </w:t>
      </w:r>
      <w:r w:rsidRPr="003270FF">
        <w:rPr>
          <w:rFonts w:ascii="Calibri" w:hAnsi="Calibri" w:cs="Calibri"/>
          <w:noProof/>
          <w:szCs w:val="24"/>
          <w:lang w:val="en-GB"/>
        </w:rPr>
        <w:tab/>
        <w:t xml:space="preserve">Kalsi T, Babic-Illman G, Ross PJ, et al. The impact of comprehensive geriatric assessment interventions on tolerance to chemotherapy in older people. </w:t>
      </w:r>
      <w:r w:rsidRPr="003270FF">
        <w:rPr>
          <w:rFonts w:ascii="Calibri" w:hAnsi="Calibri" w:cs="Calibri"/>
          <w:i/>
          <w:iCs/>
          <w:noProof/>
          <w:szCs w:val="24"/>
          <w:lang w:val="en-GB"/>
        </w:rPr>
        <w:t>Br J Cancer</w:t>
      </w:r>
      <w:r w:rsidRPr="003270FF">
        <w:rPr>
          <w:rFonts w:ascii="Calibri" w:hAnsi="Calibri" w:cs="Calibri"/>
          <w:noProof/>
          <w:szCs w:val="24"/>
          <w:lang w:val="en-GB"/>
        </w:rPr>
        <w:t>. 2015;112(9):1435-1444. Accessed December 31, 2021. https://www.embase.com/search/results?subaction=viewrecord&amp;id=L603879814&amp;from=export</w:t>
      </w:r>
    </w:p>
    <w:p w14:paraId="5D6470F4"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6. </w:t>
      </w:r>
      <w:r w:rsidRPr="003270FF">
        <w:rPr>
          <w:rFonts w:ascii="Calibri" w:hAnsi="Calibri" w:cs="Calibri"/>
          <w:noProof/>
          <w:szCs w:val="24"/>
          <w:lang w:val="en-GB"/>
        </w:rPr>
        <w:tab/>
        <w:t>Carvalho IA, Martin F, Cesari M, Sumi Y, Thiyagarajan JA, Beard J. Operationalising the concept of intrinsic capacity in clinical settings. Published online 2017.</w:t>
      </w:r>
    </w:p>
    <w:p w14:paraId="714E2A23"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7. </w:t>
      </w:r>
      <w:r w:rsidRPr="003270FF">
        <w:rPr>
          <w:rFonts w:ascii="Calibri" w:hAnsi="Calibri" w:cs="Calibri"/>
          <w:noProof/>
          <w:szCs w:val="24"/>
          <w:lang w:val="en-GB"/>
        </w:rPr>
        <w:tab/>
        <w:t xml:space="preserve">Whitson HE, Duan-Porter W, Schmader KE, Morey MC, Cohen HJ, Colón-Emeric CS. Physical Resilience in Older Adults: Systematic Review and Development of an Emerging Construct. </w:t>
      </w:r>
      <w:r w:rsidRPr="003270FF">
        <w:rPr>
          <w:rFonts w:ascii="Calibri" w:hAnsi="Calibri" w:cs="Calibri"/>
          <w:i/>
          <w:iCs/>
          <w:noProof/>
          <w:szCs w:val="24"/>
          <w:lang w:val="en-GB"/>
        </w:rPr>
        <w:t>J Gerontol A Biol Sci Med Sci</w:t>
      </w:r>
      <w:r w:rsidRPr="003270FF">
        <w:rPr>
          <w:rFonts w:ascii="Calibri" w:hAnsi="Calibri" w:cs="Calibri"/>
          <w:noProof/>
          <w:szCs w:val="24"/>
          <w:lang w:val="en-GB"/>
        </w:rPr>
        <w:t>. 2016;71(4):489-495. doi:10.1093/GERONA/GLV202</w:t>
      </w:r>
    </w:p>
    <w:p w14:paraId="5EB382CA"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8. </w:t>
      </w:r>
      <w:r w:rsidRPr="003270FF">
        <w:rPr>
          <w:rFonts w:ascii="Calibri" w:hAnsi="Calibri" w:cs="Calibri"/>
          <w:noProof/>
          <w:szCs w:val="24"/>
          <w:lang w:val="en-GB"/>
        </w:rPr>
        <w:tab/>
        <w:t xml:space="preserve">Whitson HE, Cohen HJ, Schmader KE, Morey MC, Kuchel G, Colon-Emeric CS. Physical Resilience: Not Simply the Opposite of Frailty. </w:t>
      </w:r>
      <w:r w:rsidRPr="003270FF">
        <w:rPr>
          <w:rFonts w:ascii="Calibri" w:hAnsi="Calibri" w:cs="Calibri"/>
          <w:i/>
          <w:iCs/>
          <w:noProof/>
          <w:szCs w:val="24"/>
          <w:lang w:val="en-GB"/>
        </w:rPr>
        <w:t>J Am Geriatr Soc</w:t>
      </w:r>
      <w:r w:rsidRPr="003270FF">
        <w:rPr>
          <w:rFonts w:ascii="Calibri" w:hAnsi="Calibri" w:cs="Calibri"/>
          <w:noProof/>
          <w:szCs w:val="24"/>
          <w:lang w:val="en-GB"/>
        </w:rPr>
        <w:t>. 2018;66(8):1459-1461. doi:10.1111/JGS.15233</w:t>
      </w:r>
    </w:p>
    <w:p w14:paraId="27AD65D0"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9. </w:t>
      </w:r>
      <w:r w:rsidRPr="003270FF">
        <w:rPr>
          <w:rFonts w:ascii="Calibri" w:hAnsi="Calibri" w:cs="Calibri"/>
          <w:noProof/>
          <w:szCs w:val="24"/>
          <w:lang w:val="en-GB"/>
        </w:rPr>
        <w:tab/>
        <w:t xml:space="preserve">Witham M, Sayer A. Biological resilience in older people - a step beyong frailty? </w:t>
      </w:r>
      <w:r w:rsidRPr="003270FF">
        <w:rPr>
          <w:rFonts w:ascii="Calibri" w:hAnsi="Calibri" w:cs="Calibri"/>
          <w:i/>
          <w:iCs/>
          <w:noProof/>
          <w:szCs w:val="24"/>
          <w:lang w:val="en-GB"/>
        </w:rPr>
        <w:t>Eur Geriatr Med</w:t>
      </w:r>
      <w:r w:rsidRPr="003270FF">
        <w:rPr>
          <w:rFonts w:ascii="Calibri" w:hAnsi="Calibri" w:cs="Calibri"/>
          <w:noProof/>
          <w:szCs w:val="24"/>
          <w:lang w:val="en-GB"/>
        </w:rPr>
        <w:t>. 2015;6:101-102.</w:t>
      </w:r>
    </w:p>
    <w:p w14:paraId="42279BA7"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10. </w:t>
      </w:r>
      <w:r w:rsidRPr="003270FF">
        <w:rPr>
          <w:rFonts w:ascii="Calibri" w:hAnsi="Calibri" w:cs="Calibri"/>
          <w:noProof/>
          <w:szCs w:val="24"/>
          <w:lang w:val="en-GB"/>
        </w:rPr>
        <w:tab/>
        <w:t xml:space="preserve">Rockwood K, Mitnitski A. Resilience and frailty: furter steps, best taken together. </w:t>
      </w:r>
      <w:r w:rsidRPr="003270FF">
        <w:rPr>
          <w:rFonts w:ascii="Calibri" w:hAnsi="Calibri" w:cs="Calibri"/>
          <w:i/>
          <w:iCs/>
          <w:noProof/>
          <w:szCs w:val="24"/>
          <w:lang w:val="en-GB"/>
        </w:rPr>
        <w:t>Eur Geriatr Med</w:t>
      </w:r>
      <w:r w:rsidRPr="003270FF">
        <w:rPr>
          <w:rFonts w:ascii="Calibri" w:hAnsi="Calibri" w:cs="Calibri"/>
          <w:noProof/>
          <w:szCs w:val="24"/>
          <w:lang w:val="en-GB"/>
        </w:rPr>
        <w:t>. 2015;6:405-507.</w:t>
      </w:r>
    </w:p>
    <w:p w14:paraId="048B2D43"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11. </w:t>
      </w:r>
      <w:r w:rsidRPr="003270FF">
        <w:rPr>
          <w:rFonts w:ascii="Calibri" w:hAnsi="Calibri" w:cs="Calibri"/>
          <w:noProof/>
          <w:szCs w:val="24"/>
          <w:lang w:val="en-GB"/>
        </w:rPr>
        <w:tab/>
        <w:t xml:space="preserve">De Alfieri W, Costanzo S, Borgogni T. Biological resilience of older adults versus frailty. </w:t>
      </w:r>
      <w:r w:rsidRPr="003270FF">
        <w:rPr>
          <w:rFonts w:ascii="Calibri" w:hAnsi="Calibri" w:cs="Calibri"/>
          <w:i/>
          <w:iCs/>
          <w:noProof/>
          <w:szCs w:val="24"/>
          <w:lang w:val="en-GB"/>
        </w:rPr>
        <w:t>Med Hypotheses</w:t>
      </w:r>
      <w:r w:rsidRPr="003270FF">
        <w:rPr>
          <w:rFonts w:ascii="Calibri" w:hAnsi="Calibri" w:cs="Calibri"/>
          <w:noProof/>
          <w:szCs w:val="24"/>
          <w:lang w:val="en-GB"/>
        </w:rPr>
        <w:t>. 2011;76(2):304-305. doi:10.1016/J.MEHY.2010.11.028</w:t>
      </w:r>
    </w:p>
    <w:p w14:paraId="6A5423C7"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12. </w:t>
      </w:r>
      <w:r w:rsidRPr="003270FF">
        <w:rPr>
          <w:rFonts w:ascii="Calibri" w:hAnsi="Calibri" w:cs="Calibri"/>
          <w:noProof/>
          <w:szCs w:val="24"/>
          <w:lang w:val="en-GB"/>
        </w:rPr>
        <w:tab/>
        <w:t xml:space="preserve">Belloni G, Cesari M. Frailty and Intrinsic Capacity: Two Distinct but Related Constructs. </w:t>
      </w:r>
      <w:r w:rsidRPr="003270FF">
        <w:rPr>
          <w:rFonts w:ascii="Calibri" w:hAnsi="Calibri" w:cs="Calibri"/>
          <w:i/>
          <w:iCs/>
          <w:noProof/>
          <w:szCs w:val="24"/>
          <w:lang w:val="en-GB"/>
        </w:rPr>
        <w:t>Front Med</w:t>
      </w:r>
      <w:r w:rsidRPr="003270FF">
        <w:rPr>
          <w:rFonts w:ascii="Calibri" w:hAnsi="Calibri" w:cs="Calibri"/>
          <w:noProof/>
          <w:szCs w:val="24"/>
          <w:lang w:val="en-GB"/>
        </w:rPr>
        <w:t>. 2019;6. doi:10.3389/FMED.2019.00133</w:t>
      </w:r>
    </w:p>
    <w:p w14:paraId="38ED6B3A"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13. </w:t>
      </w:r>
      <w:r w:rsidRPr="003270FF">
        <w:rPr>
          <w:rFonts w:ascii="Calibri" w:hAnsi="Calibri" w:cs="Calibri"/>
          <w:noProof/>
          <w:szCs w:val="24"/>
          <w:lang w:val="en-GB"/>
        </w:rPr>
        <w:tab/>
        <w:t xml:space="preserve">Beard JR, Jotheeswaran AT, Cesari M, Araujo De Carvalho I. The structure and predictive value of intrinsic capacity in a longitudinal study of ageing. </w:t>
      </w:r>
      <w:r w:rsidRPr="003270FF">
        <w:rPr>
          <w:rFonts w:ascii="Calibri" w:hAnsi="Calibri" w:cs="Calibri"/>
          <w:i/>
          <w:iCs/>
          <w:noProof/>
          <w:szCs w:val="24"/>
          <w:lang w:val="en-GB"/>
        </w:rPr>
        <w:t>BMJ Open</w:t>
      </w:r>
      <w:r w:rsidRPr="003270FF">
        <w:rPr>
          <w:rFonts w:ascii="Calibri" w:hAnsi="Calibri" w:cs="Calibri"/>
          <w:noProof/>
          <w:szCs w:val="24"/>
          <w:lang w:val="en-GB"/>
        </w:rPr>
        <w:t>. 2019;9(11). doi:10.1136/BMJOPEN-2018-026119</w:t>
      </w:r>
    </w:p>
    <w:p w14:paraId="0737530F"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14. </w:t>
      </w:r>
      <w:r w:rsidRPr="003270FF">
        <w:rPr>
          <w:rFonts w:ascii="Calibri" w:hAnsi="Calibri" w:cs="Calibri"/>
          <w:noProof/>
          <w:szCs w:val="24"/>
          <w:lang w:val="en-GB"/>
        </w:rPr>
        <w:tab/>
        <w:t>Integrated care for older people: guidelines on community-level interventions to manage declines in intrinsic capacity. Accessed November 8, 2022. https://apps.who.int/iris/handle/10665/258981</w:t>
      </w:r>
    </w:p>
    <w:p w14:paraId="707A28C2"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lastRenderedPageBreak/>
        <w:t xml:space="preserve">15. </w:t>
      </w:r>
      <w:r w:rsidRPr="003270FF">
        <w:rPr>
          <w:rFonts w:ascii="Calibri" w:hAnsi="Calibri" w:cs="Calibri"/>
          <w:noProof/>
          <w:szCs w:val="24"/>
          <w:lang w:val="en-GB"/>
        </w:rPr>
        <w:tab/>
        <w:t xml:space="preserve">Rockwood K, Song X, MacKnight C, et al. A global clinical measure of fitness and frailty in elderly people. </w:t>
      </w:r>
      <w:r w:rsidRPr="003270FF">
        <w:rPr>
          <w:rFonts w:ascii="Calibri" w:hAnsi="Calibri" w:cs="Calibri"/>
          <w:i/>
          <w:iCs/>
          <w:noProof/>
          <w:szCs w:val="24"/>
          <w:lang w:val="en-GB"/>
        </w:rPr>
        <w:t>CMAJ</w:t>
      </w:r>
      <w:r w:rsidRPr="003270FF">
        <w:rPr>
          <w:rFonts w:ascii="Calibri" w:hAnsi="Calibri" w:cs="Calibri"/>
          <w:noProof/>
          <w:szCs w:val="24"/>
          <w:lang w:val="en-GB"/>
        </w:rPr>
        <w:t>. 2005;173(5):489-495. doi:10.1503/CMAJ.050051</w:t>
      </w:r>
    </w:p>
    <w:p w14:paraId="197A912A"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16. </w:t>
      </w:r>
      <w:r w:rsidRPr="003270FF">
        <w:rPr>
          <w:rFonts w:ascii="Calibri" w:hAnsi="Calibri" w:cs="Calibri"/>
          <w:noProof/>
          <w:szCs w:val="24"/>
          <w:lang w:val="en-GB"/>
        </w:rPr>
        <w:tab/>
        <w:t xml:space="preserve">Nicholson C, Gordon AL, Tinker A. Changing the way “we” view and talk about frailty…. </w:t>
      </w:r>
      <w:r w:rsidRPr="003270FF">
        <w:rPr>
          <w:rFonts w:ascii="Calibri" w:hAnsi="Calibri" w:cs="Calibri"/>
          <w:i/>
          <w:iCs/>
          <w:noProof/>
          <w:szCs w:val="24"/>
          <w:lang w:val="en-GB"/>
        </w:rPr>
        <w:t>Age Ageing</w:t>
      </w:r>
      <w:r w:rsidRPr="003270FF">
        <w:rPr>
          <w:rFonts w:ascii="Calibri" w:hAnsi="Calibri" w:cs="Calibri"/>
          <w:noProof/>
          <w:szCs w:val="24"/>
          <w:lang w:val="en-GB"/>
        </w:rPr>
        <w:t>. 2017;46(3):349-351. doi:10.1093/AGEING/AFW224</w:t>
      </w:r>
    </w:p>
    <w:p w14:paraId="0E1FC74F"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17. </w:t>
      </w:r>
      <w:r w:rsidRPr="003270FF">
        <w:rPr>
          <w:rFonts w:ascii="Calibri" w:hAnsi="Calibri" w:cs="Calibri"/>
          <w:noProof/>
          <w:szCs w:val="24"/>
          <w:lang w:val="en-GB"/>
        </w:rPr>
        <w:tab/>
        <w:t xml:space="preserve">Fried LP, Tangen CM, Walston J, et al. Frailty in older adults: evidence for a phenotype. </w:t>
      </w:r>
      <w:r w:rsidRPr="003270FF">
        <w:rPr>
          <w:rFonts w:ascii="Calibri" w:hAnsi="Calibri" w:cs="Calibri"/>
          <w:i/>
          <w:iCs/>
          <w:noProof/>
          <w:szCs w:val="24"/>
          <w:lang w:val="en-GB"/>
        </w:rPr>
        <w:t>J Gerontol A Biol Sci Med Sci</w:t>
      </w:r>
      <w:r w:rsidRPr="003270FF">
        <w:rPr>
          <w:rFonts w:ascii="Calibri" w:hAnsi="Calibri" w:cs="Calibri"/>
          <w:noProof/>
          <w:szCs w:val="24"/>
          <w:lang w:val="en-GB"/>
        </w:rPr>
        <w:t>. 2001;56(3). doi:10.1093/GERONA/56.3.M146</w:t>
      </w:r>
    </w:p>
    <w:p w14:paraId="742DED60"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18. </w:t>
      </w:r>
      <w:r w:rsidRPr="003270FF">
        <w:rPr>
          <w:rFonts w:ascii="Calibri" w:hAnsi="Calibri" w:cs="Calibri"/>
          <w:noProof/>
          <w:szCs w:val="24"/>
          <w:lang w:val="en-GB"/>
        </w:rPr>
        <w:tab/>
        <w:t xml:space="preserve">Dent E, Martin FC, Bergman H, Woo J, Romero-Ortuno R, Walston JD. Management of frailty: opportunities, challenges, and future directions. </w:t>
      </w:r>
      <w:r w:rsidRPr="003270FF">
        <w:rPr>
          <w:rFonts w:ascii="Calibri" w:hAnsi="Calibri" w:cs="Calibri"/>
          <w:i/>
          <w:iCs/>
          <w:noProof/>
          <w:szCs w:val="24"/>
          <w:lang w:val="en-GB"/>
        </w:rPr>
        <w:t>Lancet (London, England)</w:t>
      </w:r>
      <w:r w:rsidRPr="003270FF">
        <w:rPr>
          <w:rFonts w:ascii="Calibri" w:hAnsi="Calibri" w:cs="Calibri"/>
          <w:noProof/>
          <w:szCs w:val="24"/>
          <w:lang w:val="en-GB"/>
        </w:rPr>
        <w:t>. 2019;394(10206):1376-1386. doi:10.1016/S0140-6736(19)31785-4</w:t>
      </w:r>
    </w:p>
    <w:p w14:paraId="20F86740"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19. </w:t>
      </w:r>
      <w:r w:rsidRPr="003270FF">
        <w:rPr>
          <w:rFonts w:ascii="Calibri" w:hAnsi="Calibri" w:cs="Calibri"/>
          <w:noProof/>
          <w:szCs w:val="24"/>
          <w:lang w:val="en-GB"/>
        </w:rPr>
        <w:tab/>
        <w:t xml:space="preserve">Clegg A, Young J, Iliffe S, Rikkert MO, Rockwood K. Frailty in elderly people. </w:t>
      </w:r>
      <w:r w:rsidRPr="003270FF">
        <w:rPr>
          <w:rFonts w:ascii="Calibri" w:hAnsi="Calibri" w:cs="Calibri"/>
          <w:i/>
          <w:iCs/>
          <w:noProof/>
          <w:szCs w:val="24"/>
          <w:lang w:val="en-GB"/>
        </w:rPr>
        <w:t>Lancet (London, England)</w:t>
      </w:r>
      <w:r w:rsidRPr="003270FF">
        <w:rPr>
          <w:rFonts w:ascii="Calibri" w:hAnsi="Calibri" w:cs="Calibri"/>
          <w:noProof/>
          <w:szCs w:val="24"/>
          <w:lang w:val="en-GB"/>
        </w:rPr>
        <w:t>. 2013;381(9868):752-762. doi:10.1016/S0140-6736(12)62167-9</w:t>
      </w:r>
    </w:p>
    <w:p w14:paraId="749DC0F6"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20. </w:t>
      </w:r>
      <w:r w:rsidRPr="003270FF">
        <w:rPr>
          <w:rFonts w:ascii="Calibri" w:hAnsi="Calibri" w:cs="Calibri"/>
          <w:noProof/>
          <w:szCs w:val="24"/>
          <w:lang w:val="en-GB"/>
        </w:rPr>
        <w:tab/>
        <w:t xml:space="preserve">Hoogendijk EO, Afilalo J, Ensrud KE, Kowal P, Onder G, Fried LP. Frailty: implications for clinical practice and public health. </w:t>
      </w:r>
      <w:r w:rsidRPr="003270FF">
        <w:rPr>
          <w:rFonts w:ascii="Calibri" w:hAnsi="Calibri" w:cs="Calibri"/>
          <w:i/>
          <w:iCs/>
          <w:noProof/>
          <w:szCs w:val="24"/>
          <w:lang w:val="en-GB"/>
        </w:rPr>
        <w:t>Lancet (London, England)</w:t>
      </w:r>
      <w:r w:rsidRPr="003270FF">
        <w:rPr>
          <w:rFonts w:ascii="Calibri" w:hAnsi="Calibri" w:cs="Calibri"/>
          <w:noProof/>
          <w:szCs w:val="24"/>
          <w:lang w:val="en-GB"/>
        </w:rPr>
        <w:t>. 2019;394(10206):1365-1375. doi:10.1016/S0140-6736(19)31786-6</w:t>
      </w:r>
    </w:p>
    <w:p w14:paraId="63009ED7"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21. </w:t>
      </w:r>
      <w:r w:rsidRPr="003270FF">
        <w:rPr>
          <w:rFonts w:ascii="Calibri" w:hAnsi="Calibri" w:cs="Calibri"/>
          <w:noProof/>
          <w:szCs w:val="24"/>
          <w:lang w:val="en-GB"/>
        </w:rPr>
        <w:tab/>
        <w:t xml:space="preserve">Hamaker M, Lund C, te Molder M, et al. Geriatric assessment in the management of older patients with cancer - A systematic review (update). </w:t>
      </w:r>
      <w:r w:rsidRPr="003270FF">
        <w:rPr>
          <w:rFonts w:ascii="Calibri" w:hAnsi="Calibri" w:cs="Calibri"/>
          <w:i/>
          <w:iCs/>
          <w:noProof/>
          <w:szCs w:val="24"/>
          <w:lang w:val="en-GB"/>
        </w:rPr>
        <w:t>J Geriatr Oncol</w:t>
      </w:r>
      <w:r w:rsidRPr="003270FF">
        <w:rPr>
          <w:rFonts w:ascii="Calibri" w:hAnsi="Calibri" w:cs="Calibri"/>
          <w:noProof/>
          <w:szCs w:val="24"/>
          <w:lang w:val="en-GB"/>
        </w:rPr>
        <w:t>. 2022;13(6):761-777. doi:10.1016/J.JGO.2022.04.008</w:t>
      </w:r>
    </w:p>
    <w:p w14:paraId="29DA9984"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22. </w:t>
      </w:r>
      <w:r w:rsidRPr="003270FF">
        <w:rPr>
          <w:rFonts w:ascii="Calibri" w:hAnsi="Calibri" w:cs="Calibri"/>
          <w:noProof/>
          <w:szCs w:val="24"/>
          <w:lang w:val="en-GB"/>
        </w:rPr>
        <w:tab/>
        <w:t xml:space="preserve">Giri S, Chakiba C, Shih Y-Y, et al. Integration of geriatric assessment into routine oncologic care and advances in geriatric oncology: A young International Society of Geriatric Oncology Report of the 2020 American Society of Clinical Oncology (ASCO) annual meeting. </w:t>
      </w:r>
      <w:r w:rsidRPr="003270FF">
        <w:rPr>
          <w:rFonts w:ascii="Calibri" w:hAnsi="Calibri" w:cs="Calibri"/>
          <w:i/>
          <w:iCs/>
          <w:noProof/>
          <w:szCs w:val="24"/>
          <w:lang w:val="en-GB"/>
        </w:rPr>
        <w:t>J Geriatr Oncol</w:t>
      </w:r>
      <w:r w:rsidRPr="003270FF">
        <w:rPr>
          <w:rFonts w:ascii="Calibri" w:hAnsi="Calibri" w:cs="Calibri"/>
          <w:noProof/>
          <w:szCs w:val="24"/>
          <w:lang w:val="en-GB"/>
        </w:rPr>
        <w:t>. 2020;11(8):1324-1328. doi:10.1016/j.jgo.2020.07.009</w:t>
      </w:r>
    </w:p>
    <w:p w14:paraId="424016A6" w14:textId="77777777" w:rsidR="00340D1F" w:rsidRPr="00340D1F" w:rsidRDefault="00340D1F" w:rsidP="00340D1F">
      <w:pPr>
        <w:widowControl w:val="0"/>
        <w:autoSpaceDE w:val="0"/>
        <w:autoSpaceDN w:val="0"/>
        <w:adjustRightInd w:val="0"/>
        <w:spacing w:line="240" w:lineRule="auto"/>
        <w:ind w:left="640" w:hanging="640"/>
        <w:rPr>
          <w:rFonts w:ascii="Calibri" w:hAnsi="Calibri" w:cs="Calibri"/>
          <w:noProof/>
          <w:szCs w:val="24"/>
        </w:rPr>
      </w:pPr>
      <w:r w:rsidRPr="003270FF">
        <w:rPr>
          <w:rFonts w:ascii="Calibri" w:hAnsi="Calibri" w:cs="Calibri"/>
          <w:noProof/>
          <w:szCs w:val="24"/>
          <w:lang w:val="en-GB"/>
        </w:rPr>
        <w:t xml:space="preserve">23. </w:t>
      </w:r>
      <w:r w:rsidRPr="003270FF">
        <w:rPr>
          <w:rFonts w:ascii="Calibri" w:hAnsi="Calibri" w:cs="Calibri"/>
          <w:noProof/>
          <w:szCs w:val="24"/>
          <w:lang w:val="en-GB"/>
        </w:rPr>
        <w:tab/>
        <w:t xml:space="preserve">Shahrokni A, Tin AL, Sarraf S, et al. Association of Geriatric Comanagement and 90-Day Postoperative Mortality Among Patients Aged 75 Years and Older With Cancer. </w:t>
      </w:r>
      <w:r w:rsidRPr="00340D1F">
        <w:rPr>
          <w:rFonts w:ascii="Calibri" w:hAnsi="Calibri" w:cs="Calibri"/>
          <w:i/>
          <w:iCs/>
          <w:noProof/>
          <w:szCs w:val="24"/>
        </w:rPr>
        <w:t>JAMA Netw open</w:t>
      </w:r>
      <w:r w:rsidRPr="00340D1F">
        <w:rPr>
          <w:rFonts w:ascii="Calibri" w:hAnsi="Calibri" w:cs="Calibri"/>
          <w:noProof/>
          <w:szCs w:val="24"/>
        </w:rPr>
        <w:t>. 2020;3(8). doi:10.1001/JAMANETWORKOPEN.2020.9265</w:t>
      </w:r>
    </w:p>
    <w:p w14:paraId="2FB1B2E6"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40D1F">
        <w:rPr>
          <w:rFonts w:ascii="Calibri" w:hAnsi="Calibri" w:cs="Calibri"/>
          <w:noProof/>
          <w:szCs w:val="24"/>
        </w:rPr>
        <w:t xml:space="preserve">24. </w:t>
      </w:r>
      <w:r w:rsidRPr="00340D1F">
        <w:rPr>
          <w:rFonts w:ascii="Calibri" w:hAnsi="Calibri" w:cs="Calibri"/>
          <w:noProof/>
          <w:szCs w:val="24"/>
        </w:rPr>
        <w:tab/>
        <w:t xml:space="preserve">Hurria A, Soto-Perez-de-Celis E, Allred JB, et al. </w:t>
      </w:r>
      <w:r w:rsidRPr="003270FF">
        <w:rPr>
          <w:rFonts w:ascii="Calibri" w:hAnsi="Calibri" w:cs="Calibri"/>
          <w:noProof/>
          <w:szCs w:val="24"/>
          <w:lang w:val="en-GB"/>
        </w:rPr>
        <w:t xml:space="preserve">Functional Decline and Resilience in Older Women Receiving Adjuvant Chemotherapy for Breast Cancer. </w:t>
      </w:r>
      <w:r w:rsidRPr="003270FF">
        <w:rPr>
          <w:rFonts w:ascii="Calibri" w:hAnsi="Calibri" w:cs="Calibri"/>
          <w:i/>
          <w:iCs/>
          <w:noProof/>
          <w:szCs w:val="24"/>
          <w:lang w:val="en-GB"/>
        </w:rPr>
        <w:t>J Am Geriatr Soc</w:t>
      </w:r>
      <w:r w:rsidRPr="003270FF">
        <w:rPr>
          <w:rFonts w:ascii="Calibri" w:hAnsi="Calibri" w:cs="Calibri"/>
          <w:noProof/>
          <w:szCs w:val="24"/>
          <w:lang w:val="en-GB"/>
        </w:rPr>
        <w:t>. 2019;67(5):920-927. doi:10.1111/JGS.15493</w:t>
      </w:r>
    </w:p>
    <w:p w14:paraId="4F28FE2A"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25. </w:t>
      </w:r>
      <w:r w:rsidRPr="003270FF">
        <w:rPr>
          <w:rFonts w:ascii="Calibri" w:hAnsi="Calibri" w:cs="Calibri"/>
          <w:noProof/>
          <w:szCs w:val="24"/>
          <w:lang w:val="en-GB"/>
        </w:rPr>
        <w:tab/>
        <w:t xml:space="preserve">Varadhan R, Seplaki CL, Xue QL, Bandeen-Roche K, Fried LP. Stimulus-response paradigm for characterizing the loss of resilience in homeostatic regulation associated with frailty. </w:t>
      </w:r>
      <w:r w:rsidRPr="003270FF">
        <w:rPr>
          <w:rFonts w:ascii="Calibri" w:hAnsi="Calibri" w:cs="Calibri"/>
          <w:i/>
          <w:iCs/>
          <w:noProof/>
          <w:szCs w:val="24"/>
          <w:lang w:val="en-GB"/>
        </w:rPr>
        <w:t>Mech Ageing Dev</w:t>
      </w:r>
      <w:r w:rsidRPr="003270FF">
        <w:rPr>
          <w:rFonts w:ascii="Calibri" w:hAnsi="Calibri" w:cs="Calibri"/>
          <w:noProof/>
          <w:szCs w:val="24"/>
          <w:lang w:val="en-GB"/>
        </w:rPr>
        <w:t>. 2008;129(11):666-670. doi:10.1016/J.MAD.2008.09.013</w:t>
      </w:r>
    </w:p>
    <w:p w14:paraId="72AB7E93"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26. </w:t>
      </w:r>
      <w:r w:rsidRPr="003270FF">
        <w:rPr>
          <w:rFonts w:ascii="Calibri" w:hAnsi="Calibri" w:cs="Calibri"/>
          <w:noProof/>
          <w:szCs w:val="24"/>
          <w:lang w:val="en-GB"/>
        </w:rPr>
        <w:tab/>
        <w:t xml:space="preserve">Kalyani RR, Varadhan R, Weiss CO, Fried LP, Cappola AR. Frailty status and altered glucose-insulin dynamics. </w:t>
      </w:r>
      <w:r w:rsidRPr="003270FF">
        <w:rPr>
          <w:rFonts w:ascii="Calibri" w:hAnsi="Calibri" w:cs="Calibri"/>
          <w:i/>
          <w:iCs/>
          <w:noProof/>
          <w:szCs w:val="24"/>
          <w:lang w:val="en-GB"/>
        </w:rPr>
        <w:t>J Gerontol A Biol Sci Med Sci</w:t>
      </w:r>
      <w:r w:rsidRPr="003270FF">
        <w:rPr>
          <w:rFonts w:ascii="Calibri" w:hAnsi="Calibri" w:cs="Calibri"/>
          <w:noProof/>
          <w:szCs w:val="24"/>
          <w:lang w:val="en-GB"/>
        </w:rPr>
        <w:t>. 2012;67(12):1300-1306. doi:10.1093/GERONA/GLR141</w:t>
      </w:r>
    </w:p>
    <w:p w14:paraId="3823CE21"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27. </w:t>
      </w:r>
      <w:r w:rsidRPr="003270FF">
        <w:rPr>
          <w:rFonts w:ascii="Calibri" w:hAnsi="Calibri" w:cs="Calibri"/>
          <w:noProof/>
          <w:szCs w:val="24"/>
          <w:lang w:val="en-GB"/>
        </w:rPr>
        <w:tab/>
        <w:t xml:space="preserve">Lagro J, Schoon Y, Heerts I, et al. Impaired systolic blood pressure recovery directly after standing predicts mortality in older falls clinic patients. </w:t>
      </w:r>
      <w:r w:rsidRPr="003270FF">
        <w:rPr>
          <w:rFonts w:ascii="Calibri" w:hAnsi="Calibri" w:cs="Calibri"/>
          <w:i/>
          <w:iCs/>
          <w:noProof/>
          <w:szCs w:val="24"/>
          <w:lang w:val="en-GB"/>
        </w:rPr>
        <w:t>J Gerontol A Biol Sci Med Sci</w:t>
      </w:r>
      <w:r w:rsidRPr="003270FF">
        <w:rPr>
          <w:rFonts w:ascii="Calibri" w:hAnsi="Calibri" w:cs="Calibri"/>
          <w:noProof/>
          <w:szCs w:val="24"/>
          <w:lang w:val="en-GB"/>
        </w:rPr>
        <w:t>. 2014;69(4):471-478. doi:10.1093/GERONA/GLT111</w:t>
      </w:r>
    </w:p>
    <w:p w14:paraId="50A7A439"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28. </w:t>
      </w:r>
      <w:r w:rsidRPr="003270FF">
        <w:rPr>
          <w:rFonts w:ascii="Calibri" w:hAnsi="Calibri" w:cs="Calibri"/>
          <w:noProof/>
          <w:szCs w:val="24"/>
          <w:lang w:val="en-GB"/>
        </w:rPr>
        <w:tab/>
        <w:t xml:space="preserve">Messinger-Rapport B, Snader CEP, Blackstone EH, Yu D, Lauer MS. Value of exercise capacity and heart rate recovery in older people. </w:t>
      </w:r>
      <w:r w:rsidRPr="003270FF">
        <w:rPr>
          <w:rFonts w:ascii="Calibri" w:hAnsi="Calibri" w:cs="Calibri"/>
          <w:i/>
          <w:iCs/>
          <w:noProof/>
          <w:szCs w:val="24"/>
          <w:lang w:val="en-GB"/>
        </w:rPr>
        <w:t>J Am Geriatr Soc</w:t>
      </w:r>
      <w:r w:rsidRPr="003270FF">
        <w:rPr>
          <w:rFonts w:ascii="Calibri" w:hAnsi="Calibri" w:cs="Calibri"/>
          <w:noProof/>
          <w:szCs w:val="24"/>
          <w:lang w:val="en-GB"/>
        </w:rPr>
        <w:t>. 2003;51(1):63-68. doi:10.1034/J.1601-5215.2002.51011.X</w:t>
      </w:r>
    </w:p>
    <w:p w14:paraId="4A540F8C"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29. </w:t>
      </w:r>
      <w:r w:rsidRPr="003270FF">
        <w:rPr>
          <w:rFonts w:ascii="Calibri" w:hAnsi="Calibri" w:cs="Calibri"/>
          <w:noProof/>
          <w:szCs w:val="24"/>
          <w:lang w:val="en-GB"/>
        </w:rPr>
        <w:tab/>
        <w:t xml:space="preserve">O’Connell MDL, Savva GM, Finucane C, Romero-Ortuno R, Fan CW, Kenny RA. Impairments in Hemodynamic Responses to Orthostasis Associated with Frailty: Results from The Irish Longitudinal Study on Ageing (TILDA). </w:t>
      </w:r>
      <w:r w:rsidRPr="003270FF">
        <w:rPr>
          <w:rFonts w:ascii="Calibri" w:hAnsi="Calibri" w:cs="Calibri"/>
          <w:i/>
          <w:iCs/>
          <w:noProof/>
          <w:szCs w:val="24"/>
          <w:lang w:val="en-GB"/>
        </w:rPr>
        <w:t>J Am Geriatr Soc</w:t>
      </w:r>
      <w:r w:rsidRPr="003270FF">
        <w:rPr>
          <w:rFonts w:ascii="Calibri" w:hAnsi="Calibri" w:cs="Calibri"/>
          <w:noProof/>
          <w:szCs w:val="24"/>
          <w:lang w:val="en-GB"/>
        </w:rPr>
        <w:t>. 2018;66(8):1475-1483. doi:10.1111/JGS.15327</w:t>
      </w:r>
    </w:p>
    <w:p w14:paraId="15E55CD5"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lastRenderedPageBreak/>
        <w:t xml:space="preserve">30. </w:t>
      </w:r>
      <w:r w:rsidRPr="003270FF">
        <w:rPr>
          <w:rFonts w:ascii="Calibri" w:hAnsi="Calibri" w:cs="Calibri"/>
          <w:noProof/>
          <w:szCs w:val="24"/>
          <w:lang w:val="en-GB"/>
        </w:rPr>
        <w:tab/>
        <w:t xml:space="preserve">Steffens D, Ismail H, Denehy L, et al. Preoperative Cardiopulmonary Exercise Test Associated with Postoperative Outcomes in Patients Undergoing Cancer Surgery: A Systematic Review and Meta-Analyses. </w:t>
      </w:r>
      <w:r w:rsidRPr="003270FF">
        <w:rPr>
          <w:rFonts w:ascii="Calibri" w:hAnsi="Calibri" w:cs="Calibri"/>
          <w:i/>
          <w:iCs/>
          <w:noProof/>
          <w:szCs w:val="24"/>
          <w:lang w:val="en-GB"/>
        </w:rPr>
        <w:t>Ann Surg Oncol</w:t>
      </w:r>
      <w:r w:rsidRPr="003270FF">
        <w:rPr>
          <w:rFonts w:ascii="Calibri" w:hAnsi="Calibri" w:cs="Calibri"/>
          <w:noProof/>
          <w:szCs w:val="24"/>
          <w:lang w:val="en-GB"/>
        </w:rPr>
        <w:t>. 2021;28(12):7120-7146. doi:10.1245/S10434-021-10251-3</w:t>
      </w:r>
    </w:p>
    <w:p w14:paraId="1B270B3B"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31. </w:t>
      </w:r>
      <w:r w:rsidRPr="003270FF">
        <w:rPr>
          <w:rFonts w:ascii="Calibri" w:hAnsi="Calibri" w:cs="Calibri"/>
          <w:noProof/>
          <w:szCs w:val="24"/>
          <w:lang w:val="en-GB"/>
        </w:rPr>
        <w:tab/>
        <w:t xml:space="preserve">Hadley EC, Kuchel GA, Newman AB. Report: NIA Workshop on Measures of Physiologic Resiliencies in Human Aging. </w:t>
      </w:r>
      <w:r w:rsidRPr="003270FF">
        <w:rPr>
          <w:rFonts w:ascii="Calibri" w:hAnsi="Calibri" w:cs="Calibri"/>
          <w:i/>
          <w:iCs/>
          <w:noProof/>
          <w:szCs w:val="24"/>
          <w:lang w:val="en-GB"/>
        </w:rPr>
        <w:t>J Gerontol A Biol Sci Med Sci</w:t>
      </w:r>
      <w:r w:rsidRPr="003270FF">
        <w:rPr>
          <w:rFonts w:ascii="Calibri" w:hAnsi="Calibri" w:cs="Calibri"/>
          <w:noProof/>
          <w:szCs w:val="24"/>
          <w:lang w:val="en-GB"/>
        </w:rPr>
        <w:t>. 2017;72(7):980-990. doi:10.1093/GERONA/GLX015</w:t>
      </w:r>
    </w:p>
    <w:p w14:paraId="43E6A495"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32. </w:t>
      </w:r>
      <w:r w:rsidRPr="003270FF">
        <w:rPr>
          <w:rFonts w:ascii="Calibri" w:hAnsi="Calibri" w:cs="Calibri"/>
          <w:noProof/>
          <w:szCs w:val="24"/>
          <w:lang w:val="en-GB"/>
        </w:rPr>
        <w:tab/>
      </w:r>
      <w:r w:rsidRPr="00340D1F">
        <w:rPr>
          <w:rFonts w:ascii="Calibri" w:hAnsi="Calibri" w:cs="Calibri"/>
          <w:noProof/>
          <w:szCs w:val="24"/>
        </w:rPr>
        <w:t xml:space="preserve">Olde Rikkert MGM, Dakos V, Buchman TG, et al. </w:t>
      </w:r>
      <w:r w:rsidRPr="003270FF">
        <w:rPr>
          <w:rFonts w:ascii="Calibri" w:hAnsi="Calibri" w:cs="Calibri"/>
          <w:noProof/>
          <w:szCs w:val="24"/>
          <w:lang w:val="en-GB"/>
        </w:rPr>
        <w:t xml:space="preserve">Slowing Down of Recovery as Generic Risk Marker for Acute Severity Transitions in Chronic Diseases. </w:t>
      </w:r>
      <w:r w:rsidRPr="003270FF">
        <w:rPr>
          <w:rFonts w:ascii="Calibri" w:hAnsi="Calibri" w:cs="Calibri"/>
          <w:i/>
          <w:iCs/>
          <w:noProof/>
          <w:szCs w:val="24"/>
          <w:lang w:val="en-GB"/>
        </w:rPr>
        <w:t>Crit Care Med</w:t>
      </w:r>
      <w:r w:rsidRPr="003270FF">
        <w:rPr>
          <w:rFonts w:ascii="Calibri" w:hAnsi="Calibri" w:cs="Calibri"/>
          <w:noProof/>
          <w:szCs w:val="24"/>
          <w:lang w:val="en-GB"/>
        </w:rPr>
        <w:t>. 2016;44(3):601-606. doi:10.1097/CCM.0000000000001564</w:t>
      </w:r>
    </w:p>
    <w:p w14:paraId="0244D348" w14:textId="77777777" w:rsidR="00340D1F" w:rsidRPr="00340D1F" w:rsidRDefault="00340D1F" w:rsidP="00340D1F">
      <w:pPr>
        <w:widowControl w:val="0"/>
        <w:autoSpaceDE w:val="0"/>
        <w:autoSpaceDN w:val="0"/>
        <w:adjustRightInd w:val="0"/>
        <w:spacing w:line="240" w:lineRule="auto"/>
        <w:ind w:left="640" w:hanging="640"/>
        <w:rPr>
          <w:rFonts w:ascii="Calibri" w:hAnsi="Calibri" w:cs="Calibri"/>
          <w:noProof/>
          <w:szCs w:val="24"/>
        </w:rPr>
      </w:pPr>
      <w:r w:rsidRPr="003270FF">
        <w:rPr>
          <w:rFonts w:ascii="Calibri" w:hAnsi="Calibri" w:cs="Calibri"/>
          <w:noProof/>
          <w:szCs w:val="24"/>
          <w:lang w:val="en-GB"/>
        </w:rPr>
        <w:t xml:space="preserve">33. </w:t>
      </w:r>
      <w:r w:rsidRPr="003270FF">
        <w:rPr>
          <w:rFonts w:ascii="Calibri" w:hAnsi="Calibri" w:cs="Calibri"/>
          <w:noProof/>
          <w:szCs w:val="24"/>
          <w:lang w:val="en-GB"/>
        </w:rPr>
        <w:tab/>
        <w:t xml:space="preserve">Scheffer M, Elizabeth Bolhuis J, Borsboom D, et al. Quantifying resilience of humans and other animals. </w:t>
      </w:r>
      <w:r w:rsidRPr="00340D1F">
        <w:rPr>
          <w:rFonts w:ascii="Calibri" w:hAnsi="Calibri" w:cs="Calibri"/>
          <w:i/>
          <w:iCs/>
          <w:noProof/>
          <w:szCs w:val="24"/>
        </w:rPr>
        <w:t>Proc Natl Acad Sci U S A</w:t>
      </w:r>
      <w:r w:rsidRPr="00340D1F">
        <w:rPr>
          <w:rFonts w:ascii="Calibri" w:hAnsi="Calibri" w:cs="Calibri"/>
          <w:noProof/>
          <w:szCs w:val="24"/>
        </w:rPr>
        <w:t>. 2018;115(47):11883-11890. doi:10.1073/PNAS.1810630115</w:t>
      </w:r>
    </w:p>
    <w:p w14:paraId="256A1AE5"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40D1F">
        <w:rPr>
          <w:rFonts w:ascii="Calibri" w:hAnsi="Calibri" w:cs="Calibri"/>
          <w:noProof/>
          <w:szCs w:val="24"/>
        </w:rPr>
        <w:t xml:space="preserve">34. </w:t>
      </w:r>
      <w:r w:rsidRPr="00340D1F">
        <w:rPr>
          <w:rFonts w:ascii="Calibri" w:hAnsi="Calibri" w:cs="Calibri"/>
          <w:noProof/>
          <w:szCs w:val="24"/>
        </w:rPr>
        <w:tab/>
        <w:t xml:space="preserve">Gijzel SMW, Whitson HE, van de Leemput IA, et al. </w:t>
      </w:r>
      <w:r w:rsidRPr="003270FF">
        <w:rPr>
          <w:rFonts w:ascii="Calibri" w:hAnsi="Calibri" w:cs="Calibri"/>
          <w:noProof/>
          <w:szCs w:val="24"/>
          <w:lang w:val="en-GB"/>
        </w:rPr>
        <w:t xml:space="preserve">Resilience in Clinical Care: Getting a Grip on the Recovery Potential of Older Adults. </w:t>
      </w:r>
      <w:r w:rsidRPr="003270FF">
        <w:rPr>
          <w:rFonts w:ascii="Calibri" w:hAnsi="Calibri" w:cs="Calibri"/>
          <w:i/>
          <w:iCs/>
          <w:noProof/>
          <w:szCs w:val="24"/>
          <w:lang w:val="en-GB"/>
        </w:rPr>
        <w:t>J Am Geriatr Soc</w:t>
      </w:r>
      <w:r w:rsidRPr="003270FF">
        <w:rPr>
          <w:rFonts w:ascii="Calibri" w:hAnsi="Calibri" w:cs="Calibri"/>
          <w:noProof/>
          <w:szCs w:val="24"/>
          <w:lang w:val="en-GB"/>
        </w:rPr>
        <w:t>. 2019;67(12):2650-2657. doi:10.1111/JGS.16149</w:t>
      </w:r>
    </w:p>
    <w:p w14:paraId="72967D56" w14:textId="77777777" w:rsidR="00340D1F" w:rsidRPr="00340D1F" w:rsidRDefault="00340D1F" w:rsidP="00340D1F">
      <w:pPr>
        <w:widowControl w:val="0"/>
        <w:autoSpaceDE w:val="0"/>
        <w:autoSpaceDN w:val="0"/>
        <w:adjustRightInd w:val="0"/>
        <w:spacing w:line="240" w:lineRule="auto"/>
        <w:ind w:left="640" w:hanging="640"/>
        <w:rPr>
          <w:rFonts w:ascii="Calibri" w:hAnsi="Calibri" w:cs="Calibri"/>
          <w:noProof/>
          <w:szCs w:val="24"/>
        </w:rPr>
      </w:pPr>
      <w:r w:rsidRPr="003270FF">
        <w:rPr>
          <w:rFonts w:ascii="Calibri" w:hAnsi="Calibri" w:cs="Calibri"/>
          <w:noProof/>
          <w:szCs w:val="24"/>
          <w:lang w:val="en-GB"/>
        </w:rPr>
        <w:t xml:space="preserve">35. </w:t>
      </w:r>
      <w:r w:rsidRPr="003270FF">
        <w:rPr>
          <w:rFonts w:ascii="Calibri" w:hAnsi="Calibri" w:cs="Calibri"/>
          <w:noProof/>
          <w:szCs w:val="24"/>
          <w:lang w:val="en-GB"/>
        </w:rPr>
        <w:tab/>
        <w:t xml:space="preserve">Greenhalgh T, Hurwitz B. Narrative based medicine: why study narrative? </w:t>
      </w:r>
      <w:r w:rsidRPr="00340D1F">
        <w:rPr>
          <w:rFonts w:ascii="Calibri" w:hAnsi="Calibri" w:cs="Calibri"/>
          <w:i/>
          <w:iCs/>
          <w:noProof/>
          <w:szCs w:val="24"/>
        </w:rPr>
        <w:t>BMJ</w:t>
      </w:r>
      <w:r w:rsidRPr="00340D1F">
        <w:rPr>
          <w:rFonts w:ascii="Calibri" w:hAnsi="Calibri" w:cs="Calibri"/>
          <w:noProof/>
          <w:szCs w:val="24"/>
        </w:rPr>
        <w:t>. 1999;318(7175):48. doi:10.1136/BMJ.318.7175.48</w:t>
      </w:r>
    </w:p>
    <w:p w14:paraId="12533B4A"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40D1F">
        <w:rPr>
          <w:rFonts w:ascii="Calibri" w:hAnsi="Calibri" w:cs="Calibri"/>
          <w:noProof/>
          <w:szCs w:val="24"/>
        </w:rPr>
        <w:t xml:space="preserve">36. </w:t>
      </w:r>
      <w:r w:rsidRPr="00340D1F">
        <w:rPr>
          <w:rFonts w:ascii="Calibri" w:hAnsi="Calibri" w:cs="Calibri"/>
          <w:noProof/>
          <w:szCs w:val="24"/>
        </w:rPr>
        <w:tab/>
        <w:t xml:space="preserve">Gijzel SMW, Rector J, van Meulen FB, et al. </w:t>
      </w:r>
      <w:r w:rsidRPr="003270FF">
        <w:rPr>
          <w:rFonts w:ascii="Calibri" w:hAnsi="Calibri" w:cs="Calibri"/>
          <w:noProof/>
          <w:szCs w:val="24"/>
          <w:lang w:val="en-GB"/>
        </w:rPr>
        <w:t xml:space="preserve">Measurement of Dynamical Resilience Indicators Improves the Prediction of Recovery Following Hospitalization in Older Adults. </w:t>
      </w:r>
      <w:r w:rsidRPr="003270FF">
        <w:rPr>
          <w:rFonts w:ascii="Calibri" w:hAnsi="Calibri" w:cs="Calibri"/>
          <w:i/>
          <w:iCs/>
          <w:noProof/>
          <w:szCs w:val="24"/>
          <w:lang w:val="en-GB"/>
        </w:rPr>
        <w:t>J Am Med Dir Assoc</w:t>
      </w:r>
      <w:r w:rsidRPr="003270FF">
        <w:rPr>
          <w:rFonts w:ascii="Calibri" w:hAnsi="Calibri" w:cs="Calibri"/>
          <w:noProof/>
          <w:szCs w:val="24"/>
          <w:lang w:val="en-GB"/>
        </w:rPr>
        <w:t>. 2020;21(4):525-530.e4. doi:10.1016/J.JAMDA.2019.10.011</w:t>
      </w:r>
    </w:p>
    <w:p w14:paraId="1E1640DB"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37. </w:t>
      </w:r>
      <w:r w:rsidRPr="003270FF">
        <w:rPr>
          <w:rFonts w:ascii="Calibri" w:hAnsi="Calibri" w:cs="Calibri"/>
          <w:noProof/>
          <w:szCs w:val="24"/>
          <w:lang w:val="en-GB"/>
        </w:rPr>
        <w:tab/>
        <w:t xml:space="preserve">Maxwell CA, Mion LC, Mukherjee K, et al. Preinjury physical frailty and cognitive impairment among geriatric trauma patients determine postinjury functional recovery and survival. </w:t>
      </w:r>
      <w:r w:rsidRPr="003270FF">
        <w:rPr>
          <w:rFonts w:ascii="Calibri" w:hAnsi="Calibri" w:cs="Calibri"/>
          <w:i/>
          <w:iCs/>
          <w:noProof/>
          <w:szCs w:val="24"/>
          <w:lang w:val="en-GB"/>
        </w:rPr>
        <w:t>J Trauma Acute Care Surg</w:t>
      </w:r>
      <w:r w:rsidRPr="003270FF">
        <w:rPr>
          <w:rFonts w:ascii="Calibri" w:hAnsi="Calibri" w:cs="Calibri"/>
          <w:noProof/>
          <w:szCs w:val="24"/>
          <w:lang w:val="en-GB"/>
        </w:rPr>
        <w:t>. 2016;80(2):195-203. doi:10.1097/TA.0000000000000929</w:t>
      </w:r>
    </w:p>
    <w:p w14:paraId="56C2C329"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270FF">
        <w:rPr>
          <w:rFonts w:ascii="Calibri" w:hAnsi="Calibri" w:cs="Calibri"/>
          <w:noProof/>
          <w:szCs w:val="24"/>
          <w:lang w:val="en-GB"/>
        </w:rPr>
        <w:t xml:space="preserve">38. </w:t>
      </w:r>
      <w:r w:rsidRPr="003270FF">
        <w:rPr>
          <w:rFonts w:ascii="Calibri" w:hAnsi="Calibri" w:cs="Calibri"/>
          <w:noProof/>
          <w:szCs w:val="24"/>
          <w:lang w:val="en-GB"/>
        </w:rPr>
        <w:tab/>
        <w:t xml:space="preserve">Lawrence VA, Hazuda HP, Cornell JE, et al. Functional independence after major abdominal surgery in the elderly. </w:t>
      </w:r>
      <w:r w:rsidRPr="003270FF">
        <w:rPr>
          <w:rFonts w:ascii="Calibri" w:hAnsi="Calibri" w:cs="Calibri"/>
          <w:i/>
          <w:iCs/>
          <w:noProof/>
          <w:szCs w:val="24"/>
          <w:lang w:val="en-GB"/>
        </w:rPr>
        <w:t>J Am Coll Surg</w:t>
      </w:r>
      <w:r w:rsidRPr="003270FF">
        <w:rPr>
          <w:rFonts w:ascii="Calibri" w:hAnsi="Calibri" w:cs="Calibri"/>
          <w:noProof/>
          <w:szCs w:val="24"/>
          <w:lang w:val="en-GB"/>
        </w:rPr>
        <w:t>. 2004;199(5):762-772. doi:10.1016/J.JAMCOLLSURG.2004.05.280</w:t>
      </w:r>
    </w:p>
    <w:p w14:paraId="08C5DF2E" w14:textId="77777777" w:rsidR="00340D1F" w:rsidRPr="00340D1F" w:rsidRDefault="00340D1F" w:rsidP="00340D1F">
      <w:pPr>
        <w:widowControl w:val="0"/>
        <w:autoSpaceDE w:val="0"/>
        <w:autoSpaceDN w:val="0"/>
        <w:adjustRightInd w:val="0"/>
        <w:spacing w:line="240" w:lineRule="auto"/>
        <w:ind w:left="640" w:hanging="640"/>
        <w:rPr>
          <w:rFonts w:ascii="Calibri" w:hAnsi="Calibri" w:cs="Calibri"/>
          <w:noProof/>
          <w:szCs w:val="24"/>
        </w:rPr>
      </w:pPr>
      <w:r w:rsidRPr="003270FF">
        <w:rPr>
          <w:rFonts w:ascii="Calibri" w:hAnsi="Calibri" w:cs="Calibri"/>
          <w:noProof/>
          <w:szCs w:val="24"/>
          <w:lang w:val="en-GB"/>
        </w:rPr>
        <w:t xml:space="preserve">39. </w:t>
      </w:r>
      <w:r w:rsidRPr="003270FF">
        <w:rPr>
          <w:rFonts w:ascii="Calibri" w:hAnsi="Calibri" w:cs="Calibri"/>
          <w:noProof/>
          <w:szCs w:val="24"/>
          <w:lang w:val="en-GB"/>
        </w:rPr>
        <w:tab/>
        <w:t xml:space="preserve">Bongers KTJ, Schoon Y, Olde Rikkert MGM. Feasibility of repeated self-measurements of maximum step length and gait speed by community-dwelling older persons. </w:t>
      </w:r>
      <w:r w:rsidRPr="00340D1F">
        <w:rPr>
          <w:rFonts w:ascii="Calibri" w:hAnsi="Calibri" w:cs="Calibri"/>
          <w:i/>
          <w:iCs/>
          <w:noProof/>
          <w:szCs w:val="24"/>
        </w:rPr>
        <w:t>BMJ Open</w:t>
      </w:r>
      <w:r w:rsidRPr="00340D1F">
        <w:rPr>
          <w:rFonts w:ascii="Calibri" w:hAnsi="Calibri" w:cs="Calibri"/>
          <w:noProof/>
          <w:szCs w:val="24"/>
        </w:rPr>
        <w:t>. 2016;6(8). doi:10.1136/BMJOPEN-2016-011538</w:t>
      </w:r>
    </w:p>
    <w:p w14:paraId="2A0F8EAD"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szCs w:val="24"/>
          <w:lang w:val="en-GB"/>
        </w:rPr>
      </w:pPr>
      <w:r w:rsidRPr="00340D1F">
        <w:rPr>
          <w:rFonts w:ascii="Calibri" w:hAnsi="Calibri" w:cs="Calibri"/>
          <w:noProof/>
          <w:szCs w:val="24"/>
        </w:rPr>
        <w:t xml:space="preserve">40. </w:t>
      </w:r>
      <w:r w:rsidRPr="00340D1F">
        <w:rPr>
          <w:rFonts w:ascii="Calibri" w:hAnsi="Calibri" w:cs="Calibri"/>
          <w:noProof/>
          <w:szCs w:val="24"/>
        </w:rPr>
        <w:tab/>
        <w:t xml:space="preserve">Ghomrawi HM, Baumann LM, Kwon S, et al. </w:t>
      </w:r>
      <w:r w:rsidRPr="003270FF">
        <w:rPr>
          <w:rFonts w:ascii="Calibri" w:hAnsi="Calibri" w:cs="Calibri"/>
          <w:noProof/>
          <w:szCs w:val="24"/>
          <w:lang w:val="en-GB"/>
        </w:rPr>
        <w:t xml:space="preserve">Using accelerometers to characterize recovery after surgery in children. </w:t>
      </w:r>
      <w:r w:rsidRPr="003270FF">
        <w:rPr>
          <w:rFonts w:ascii="Calibri" w:hAnsi="Calibri" w:cs="Calibri"/>
          <w:i/>
          <w:iCs/>
          <w:noProof/>
          <w:szCs w:val="24"/>
          <w:lang w:val="en-GB"/>
        </w:rPr>
        <w:t>J Pediatr Surg</w:t>
      </w:r>
      <w:r w:rsidRPr="003270FF">
        <w:rPr>
          <w:rFonts w:ascii="Calibri" w:hAnsi="Calibri" w:cs="Calibri"/>
          <w:noProof/>
          <w:szCs w:val="24"/>
          <w:lang w:val="en-GB"/>
        </w:rPr>
        <w:t>. 2018;53(8):1600-1605. doi:10.1016/J.JPEDSURG.2017.09.016</w:t>
      </w:r>
    </w:p>
    <w:p w14:paraId="31E147B5" w14:textId="77777777" w:rsidR="00340D1F" w:rsidRPr="00340D1F" w:rsidRDefault="00340D1F" w:rsidP="00340D1F">
      <w:pPr>
        <w:widowControl w:val="0"/>
        <w:autoSpaceDE w:val="0"/>
        <w:autoSpaceDN w:val="0"/>
        <w:adjustRightInd w:val="0"/>
        <w:spacing w:line="240" w:lineRule="auto"/>
        <w:ind w:left="640" w:hanging="640"/>
        <w:rPr>
          <w:rFonts w:ascii="Calibri" w:hAnsi="Calibri" w:cs="Calibri"/>
          <w:noProof/>
          <w:szCs w:val="24"/>
        </w:rPr>
      </w:pPr>
      <w:r w:rsidRPr="003270FF">
        <w:rPr>
          <w:rFonts w:ascii="Calibri" w:hAnsi="Calibri" w:cs="Calibri"/>
          <w:noProof/>
          <w:szCs w:val="24"/>
          <w:lang w:val="en-GB"/>
        </w:rPr>
        <w:t xml:space="preserve">41. </w:t>
      </w:r>
      <w:r w:rsidRPr="003270FF">
        <w:rPr>
          <w:rFonts w:ascii="Calibri" w:hAnsi="Calibri" w:cs="Calibri"/>
          <w:noProof/>
          <w:szCs w:val="24"/>
          <w:lang w:val="en-GB"/>
        </w:rPr>
        <w:tab/>
        <w:t xml:space="preserve">Kaye JA, Maxwell SA, Mattek N, et al. Intelligent Systems For Assessing Aging Changes: home-based, unobtrusive, and continuous assessment of aging. </w:t>
      </w:r>
      <w:r w:rsidRPr="00340D1F">
        <w:rPr>
          <w:rFonts w:ascii="Calibri" w:hAnsi="Calibri" w:cs="Calibri"/>
          <w:i/>
          <w:iCs/>
          <w:noProof/>
          <w:szCs w:val="24"/>
        </w:rPr>
        <w:t>J Gerontol B Psychol Sci Soc Sci</w:t>
      </w:r>
      <w:r w:rsidRPr="00340D1F">
        <w:rPr>
          <w:rFonts w:ascii="Calibri" w:hAnsi="Calibri" w:cs="Calibri"/>
          <w:noProof/>
          <w:szCs w:val="24"/>
        </w:rPr>
        <w:t>. 2011;66 Suppl 1. doi:10.1093/geronb/gbq095</w:t>
      </w:r>
    </w:p>
    <w:p w14:paraId="2A88C1D2" w14:textId="77777777" w:rsidR="00340D1F" w:rsidRPr="003270FF" w:rsidRDefault="00340D1F" w:rsidP="00340D1F">
      <w:pPr>
        <w:widowControl w:val="0"/>
        <w:autoSpaceDE w:val="0"/>
        <w:autoSpaceDN w:val="0"/>
        <w:adjustRightInd w:val="0"/>
        <w:spacing w:line="240" w:lineRule="auto"/>
        <w:ind w:left="640" w:hanging="640"/>
        <w:rPr>
          <w:rFonts w:ascii="Calibri" w:hAnsi="Calibri" w:cs="Calibri"/>
          <w:noProof/>
          <w:lang w:val="en-GB"/>
        </w:rPr>
      </w:pPr>
      <w:r w:rsidRPr="00340D1F">
        <w:rPr>
          <w:rFonts w:ascii="Calibri" w:hAnsi="Calibri" w:cs="Calibri"/>
          <w:noProof/>
          <w:szCs w:val="24"/>
        </w:rPr>
        <w:t xml:space="preserve">42. </w:t>
      </w:r>
      <w:r w:rsidRPr="00340D1F">
        <w:rPr>
          <w:rFonts w:ascii="Calibri" w:hAnsi="Calibri" w:cs="Calibri"/>
          <w:noProof/>
          <w:szCs w:val="24"/>
        </w:rPr>
        <w:tab/>
        <w:t xml:space="preserve">Molenaar CJL, van Rooijen SJ, Fokkenrood HJP, Roumen RMH, Janssen L, Slooter GD. </w:t>
      </w:r>
      <w:r w:rsidRPr="003270FF">
        <w:rPr>
          <w:rFonts w:ascii="Calibri" w:hAnsi="Calibri" w:cs="Calibri"/>
          <w:noProof/>
          <w:szCs w:val="24"/>
          <w:lang w:val="en-GB"/>
        </w:rPr>
        <w:t xml:space="preserve">Prehabilitation versus no prehabilitation to improve functional capacity, reduce postoperative complications and improve quality of life in colorectal cancer surgery. </w:t>
      </w:r>
      <w:r w:rsidRPr="003270FF">
        <w:rPr>
          <w:rFonts w:ascii="Calibri" w:hAnsi="Calibri" w:cs="Calibri"/>
          <w:i/>
          <w:iCs/>
          <w:noProof/>
          <w:szCs w:val="24"/>
          <w:lang w:val="en-GB"/>
        </w:rPr>
        <w:t>Cochrane Database Syst Rev</w:t>
      </w:r>
      <w:r w:rsidRPr="003270FF">
        <w:rPr>
          <w:rFonts w:ascii="Calibri" w:hAnsi="Calibri" w:cs="Calibri"/>
          <w:noProof/>
          <w:szCs w:val="24"/>
          <w:lang w:val="en-GB"/>
        </w:rPr>
        <w:t>. 2022;2022(5). doi:10.1002/14651858.CD013259.PUB2/INFORMATION/EN</w:t>
      </w:r>
    </w:p>
    <w:p w14:paraId="0829085A" w14:textId="61CB1CE7" w:rsidR="002A54C3" w:rsidRDefault="004F0494" w:rsidP="007E4BEC">
      <w:pPr>
        <w:spacing w:line="276" w:lineRule="auto"/>
        <w:ind w:right="1275"/>
        <w:rPr>
          <w:lang w:val="en-US"/>
        </w:rPr>
      </w:pPr>
      <w:r>
        <w:rPr>
          <w:lang w:val="en-US"/>
        </w:rPr>
        <w:fldChar w:fldCharType="end"/>
      </w:r>
    </w:p>
    <w:p w14:paraId="29321F4A" w14:textId="77777777" w:rsidR="00051283" w:rsidRDefault="00051283">
      <w:pPr>
        <w:rPr>
          <w:lang w:val="en-US"/>
        </w:rPr>
      </w:pPr>
      <w:r>
        <w:rPr>
          <w:lang w:val="en-US"/>
        </w:rPr>
        <w:lastRenderedPageBreak/>
        <w:br w:type="page"/>
      </w:r>
    </w:p>
    <w:p w14:paraId="02E73560" w14:textId="77777777" w:rsidR="00B75145" w:rsidRDefault="00B75145" w:rsidP="007E4BEC">
      <w:pPr>
        <w:spacing w:line="276" w:lineRule="auto"/>
        <w:ind w:right="1275"/>
        <w:rPr>
          <w:lang w:val="en-US"/>
        </w:rPr>
      </w:pPr>
      <w:r>
        <w:rPr>
          <w:lang w:val="en-US"/>
        </w:rPr>
        <w:lastRenderedPageBreak/>
        <w:t>Figures</w:t>
      </w:r>
      <w:r w:rsidR="00D25479">
        <w:rPr>
          <w:lang w:val="en-US"/>
        </w:rPr>
        <w:t xml:space="preserve"> and tables</w:t>
      </w:r>
      <w:r>
        <w:rPr>
          <w:lang w:val="en-US"/>
        </w:rPr>
        <w:t xml:space="preserve">: </w:t>
      </w:r>
    </w:p>
    <w:p w14:paraId="7AF74F08" w14:textId="77777777" w:rsidR="000D45D4" w:rsidRDefault="00B75145" w:rsidP="007E4BEC">
      <w:pPr>
        <w:spacing w:line="276" w:lineRule="auto"/>
        <w:ind w:right="1275"/>
        <w:rPr>
          <w:lang w:val="en-US"/>
        </w:rPr>
      </w:pPr>
      <w:r w:rsidRPr="000A281E">
        <w:rPr>
          <w:b/>
          <w:lang w:val="en-US"/>
        </w:rPr>
        <w:t>Figure 1:</w:t>
      </w:r>
      <w:r w:rsidR="000A281E" w:rsidRPr="000A281E">
        <w:rPr>
          <w:b/>
          <w:lang w:val="en-US"/>
        </w:rPr>
        <w:t xml:space="preserve"> Time </w:t>
      </w:r>
      <w:r w:rsidR="00F36A3A" w:rsidRPr="000A281E">
        <w:rPr>
          <w:b/>
          <w:lang w:val="en-US"/>
        </w:rPr>
        <w:t>perspective</w:t>
      </w:r>
      <w:r w:rsidR="000A281E" w:rsidRPr="000A281E">
        <w:rPr>
          <w:b/>
          <w:lang w:val="en-US"/>
        </w:rPr>
        <w:t xml:space="preserve"> of intrinsic capacity, frailty and resilience</w:t>
      </w:r>
      <w:r w:rsidR="000A281E">
        <w:rPr>
          <w:lang w:val="en-US"/>
        </w:rPr>
        <w:t xml:space="preserve"> </w:t>
      </w:r>
      <w:r w:rsidRPr="00B75145">
        <w:rPr>
          <w:noProof/>
          <w:lang w:val="nb-NO" w:eastAsia="nb-NO"/>
        </w:rPr>
        <w:drawing>
          <wp:inline distT="0" distB="0" distL="0" distR="0" wp14:anchorId="0B9E61FD" wp14:editId="5621DAFC">
            <wp:extent cx="5731510" cy="4298481"/>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4298481"/>
                    </a:xfrm>
                    <a:prstGeom prst="rect">
                      <a:avLst/>
                    </a:prstGeom>
                  </pic:spPr>
                </pic:pic>
              </a:graphicData>
            </a:graphic>
          </wp:inline>
        </w:drawing>
      </w:r>
    </w:p>
    <w:p w14:paraId="7C9FD7B9" w14:textId="77777777" w:rsidR="00F36A3A" w:rsidRDefault="00F36A3A">
      <w:pPr>
        <w:rPr>
          <w:b/>
          <w:lang w:val="en-US"/>
        </w:rPr>
      </w:pPr>
      <w:r>
        <w:rPr>
          <w:b/>
          <w:lang w:val="en-US"/>
        </w:rPr>
        <w:br w:type="page"/>
      </w:r>
    </w:p>
    <w:p w14:paraId="1B23C1AE" w14:textId="77777777" w:rsidR="000A281E" w:rsidRPr="000D45D4" w:rsidRDefault="000A281E" w:rsidP="000A281E">
      <w:pPr>
        <w:spacing w:line="276" w:lineRule="auto"/>
        <w:rPr>
          <w:b/>
          <w:bCs/>
          <w:lang w:val="en-US"/>
        </w:rPr>
      </w:pPr>
      <w:r>
        <w:rPr>
          <w:b/>
          <w:bCs/>
          <w:lang w:val="en-US"/>
        </w:rPr>
        <w:lastRenderedPageBreak/>
        <w:t>Table 1. Differences between intrinsic capacity, frailty and resilience</w:t>
      </w:r>
    </w:p>
    <w:tbl>
      <w:tblPr>
        <w:tblStyle w:val="Tabelraster"/>
        <w:tblW w:w="0" w:type="auto"/>
        <w:tblLook w:val="04A0" w:firstRow="1" w:lastRow="0" w:firstColumn="1" w:lastColumn="0" w:noHBand="0" w:noVBand="1"/>
      </w:tblPr>
      <w:tblGrid>
        <w:gridCol w:w="1838"/>
        <w:gridCol w:w="1985"/>
        <w:gridCol w:w="2409"/>
        <w:gridCol w:w="2524"/>
      </w:tblGrid>
      <w:tr w:rsidR="000A281E" w14:paraId="28A916D8" w14:textId="77777777" w:rsidTr="000C7CF4">
        <w:tc>
          <w:tcPr>
            <w:tcW w:w="1838" w:type="dxa"/>
          </w:tcPr>
          <w:p w14:paraId="45C9F239" w14:textId="77777777" w:rsidR="000A281E" w:rsidRPr="00A120AA" w:rsidRDefault="000A281E" w:rsidP="000C7CF4">
            <w:pPr>
              <w:spacing w:line="276" w:lineRule="auto"/>
              <w:rPr>
                <w:sz w:val="21"/>
                <w:szCs w:val="21"/>
                <w:lang w:val="en-US"/>
              </w:rPr>
            </w:pPr>
          </w:p>
        </w:tc>
        <w:tc>
          <w:tcPr>
            <w:tcW w:w="1985" w:type="dxa"/>
          </w:tcPr>
          <w:p w14:paraId="6F5E4F84" w14:textId="77777777" w:rsidR="000A281E" w:rsidRPr="00A120AA" w:rsidRDefault="000A281E" w:rsidP="000C7CF4">
            <w:pPr>
              <w:spacing w:line="276" w:lineRule="auto"/>
              <w:rPr>
                <w:sz w:val="21"/>
                <w:szCs w:val="21"/>
                <w:lang w:val="en-US"/>
              </w:rPr>
            </w:pPr>
            <w:r w:rsidRPr="00A120AA">
              <w:rPr>
                <w:sz w:val="21"/>
                <w:szCs w:val="21"/>
                <w:lang w:val="en-US"/>
              </w:rPr>
              <w:t>Intrinsic capacity</w:t>
            </w:r>
          </w:p>
        </w:tc>
        <w:tc>
          <w:tcPr>
            <w:tcW w:w="2409" w:type="dxa"/>
          </w:tcPr>
          <w:p w14:paraId="101D80DA" w14:textId="77777777" w:rsidR="000A281E" w:rsidRPr="00A120AA" w:rsidRDefault="000A281E" w:rsidP="000C7CF4">
            <w:pPr>
              <w:spacing w:line="276" w:lineRule="auto"/>
              <w:rPr>
                <w:sz w:val="21"/>
                <w:szCs w:val="21"/>
                <w:lang w:val="en-US"/>
              </w:rPr>
            </w:pPr>
            <w:r w:rsidRPr="00A120AA">
              <w:rPr>
                <w:sz w:val="21"/>
                <w:szCs w:val="21"/>
                <w:lang w:val="en-US"/>
              </w:rPr>
              <w:t>Frailty</w:t>
            </w:r>
          </w:p>
        </w:tc>
        <w:tc>
          <w:tcPr>
            <w:tcW w:w="2524" w:type="dxa"/>
          </w:tcPr>
          <w:p w14:paraId="56E4F573" w14:textId="77777777" w:rsidR="000A281E" w:rsidRPr="00A120AA" w:rsidRDefault="000A281E" w:rsidP="000C7CF4">
            <w:pPr>
              <w:spacing w:line="276" w:lineRule="auto"/>
              <w:rPr>
                <w:sz w:val="21"/>
                <w:szCs w:val="21"/>
                <w:lang w:val="en-US"/>
              </w:rPr>
            </w:pPr>
            <w:r w:rsidRPr="00A120AA">
              <w:rPr>
                <w:sz w:val="21"/>
                <w:szCs w:val="21"/>
                <w:lang w:val="en-US"/>
              </w:rPr>
              <w:t>Resilience</w:t>
            </w:r>
          </w:p>
        </w:tc>
      </w:tr>
      <w:tr w:rsidR="000A281E" w14:paraId="0518B600" w14:textId="77777777" w:rsidTr="000C7CF4">
        <w:tc>
          <w:tcPr>
            <w:tcW w:w="1838" w:type="dxa"/>
          </w:tcPr>
          <w:p w14:paraId="79DE1CAE" w14:textId="77777777" w:rsidR="000A281E" w:rsidRPr="00A120AA" w:rsidRDefault="000A281E" w:rsidP="000C7CF4">
            <w:pPr>
              <w:spacing w:line="276" w:lineRule="auto"/>
              <w:rPr>
                <w:sz w:val="21"/>
                <w:szCs w:val="21"/>
                <w:lang w:val="en-US"/>
              </w:rPr>
            </w:pPr>
            <w:r w:rsidRPr="00A120AA">
              <w:rPr>
                <w:sz w:val="21"/>
                <w:szCs w:val="21"/>
                <w:lang w:val="en-US"/>
              </w:rPr>
              <w:t>Aim</w:t>
            </w:r>
          </w:p>
        </w:tc>
        <w:tc>
          <w:tcPr>
            <w:tcW w:w="1985" w:type="dxa"/>
          </w:tcPr>
          <w:p w14:paraId="58FF3299" w14:textId="77777777" w:rsidR="000A281E" w:rsidRPr="00A120AA" w:rsidRDefault="000A281E" w:rsidP="000C7CF4">
            <w:pPr>
              <w:spacing w:line="276" w:lineRule="auto"/>
              <w:rPr>
                <w:sz w:val="21"/>
                <w:szCs w:val="21"/>
                <w:lang w:val="en-US"/>
              </w:rPr>
            </w:pPr>
            <w:r w:rsidRPr="00A120AA">
              <w:rPr>
                <w:sz w:val="21"/>
                <w:szCs w:val="21"/>
                <w:lang w:val="en-US"/>
              </w:rPr>
              <w:t>Prevention</w:t>
            </w:r>
          </w:p>
        </w:tc>
        <w:tc>
          <w:tcPr>
            <w:tcW w:w="2409" w:type="dxa"/>
          </w:tcPr>
          <w:p w14:paraId="51450D4B" w14:textId="77777777" w:rsidR="000A281E" w:rsidRPr="00A120AA" w:rsidRDefault="000A281E" w:rsidP="000C7CF4">
            <w:pPr>
              <w:spacing w:line="276" w:lineRule="auto"/>
              <w:rPr>
                <w:sz w:val="21"/>
                <w:szCs w:val="21"/>
                <w:lang w:val="en-US"/>
              </w:rPr>
            </w:pPr>
            <w:r w:rsidRPr="00A120AA">
              <w:rPr>
                <w:sz w:val="21"/>
                <w:szCs w:val="21"/>
                <w:lang w:val="en-US"/>
              </w:rPr>
              <w:t>Risk assessment and prognostication</w:t>
            </w:r>
          </w:p>
        </w:tc>
        <w:tc>
          <w:tcPr>
            <w:tcW w:w="2524" w:type="dxa"/>
          </w:tcPr>
          <w:p w14:paraId="611BDDCC" w14:textId="77777777" w:rsidR="000A281E" w:rsidRPr="00A120AA" w:rsidRDefault="000A281E" w:rsidP="000C7CF4">
            <w:pPr>
              <w:spacing w:line="276" w:lineRule="auto"/>
              <w:rPr>
                <w:sz w:val="21"/>
                <w:szCs w:val="21"/>
                <w:lang w:val="en-US"/>
              </w:rPr>
            </w:pPr>
            <w:r w:rsidRPr="00A120AA">
              <w:rPr>
                <w:sz w:val="21"/>
                <w:szCs w:val="21"/>
                <w:lang w:val="en-US"/>
              </w:rPr>
              <w:t>Assessing ability to recover</w:t>
            </w:r>
          </w:p>
        </w:tc>
      </w:tr>
      <w:tr w:rsidR="000A281E" w14:paraId="5FDF96BC" w14:textId="77777777" w:rsidTr="000C7CF4">
        <w:tc>
          <w:tcPr>
            <w:tcW w:w="1838" w:type="dxa"/>
          </w:tcPr>
          <w:p w14:paraId="200ADE24" w14:textId="77777777" w:rsidR="000A281E" w:rsidRPr="00A120AA" w:rsidRDefault="000A281E" w:rsidP="000C7CF4">
            <w:pPr>
              <w:spacing w:line="276" w:lineRule="auto"/>
              <w:rPr>
                <w:sz w:val="21"/>
                <w:szCs w:val="21"/>
                <w:lang w:val="en-US"/>
              </w:rPr>
            </w:pPr>
            <w:r w:rsidRPr="00A120AA">
              <w:rPr>
                <w:sz w:val="21"/>
                <w:szCs w:val="21"/>
                <w:lang w:val="en-US"/>
              </w:rPr>
              <w:t>Focus</w:t>
            </w:r>
          </w:p>
        </w:tc>
        <w:tc>
          <w:tcPr>
            <w:tcW w:w="1985" w:type="dxa"/>
          </w:tcPr>
          <w:p w14:paraId="5BF8D122" w14:textId="77777777" w:rsidR="000A281E" w:rsidRPr="00A120AA" w:rsidRDefault="000A281E" w:rsidP="000C7CF4">
            <w:pPr>
              <w:spacing w:line="276" w:lineRule="auto"/>
              <w:rPr>
                <w:sz w:val="21"/>
                <w:szCs w:val="21"/>
                <w:lang w:val="en-US"/>
              </w:rPr>
            </w:pPr>
            <w:r w:rsidRPr="00A120AA">
              <w:rPr>
                <w:sz w:val="21"/>
                <w:szCs w:val="21"/>
                <w:lang w:val="en-US"/>
              </w:rPr>
              <w:t>Resources</w:t>
            </w:r>
          </w:p>
        </w:tc>
        <w:tc>
          <w:tcPr>
            <w:tcW w:w="2409" w:type="dxa"/>
          </w:tcPr>
          <w:p w14:paraId="737BFF2F" w14:textId="77777777" w:rsidR="000A281E" w:rsidRPr="00A120AA" w:rsidRDefault="000A281E" w:rsidP="000C7CF4">
            <w:pPr>
              <w:spacing w:line="276" w:lineRule="auto"/>
              <w:rPr>
                <w:sz w:val="21"/>
                <w:szCs w:val="21"/>
                <w:lang w:val="en-US"/>
              </w:rPr>
            </w:pPr>
            <w:r w:rsidRPr="00A120AA">
              <w:rPr>
                <w:sz w:val="21"/>
                <w:szCs w:val="21"/>
                <w:lang w:val="en-US"/>
              </w:rPr>
              <w:t>Deficits</w:t>
            </w:r>
          </w:p>
        </w:tc>
        <w:tc>
          <w:tcPr>
            <w:tcW w:w="2524" w:type="dxa"/>
          </w:tcPr>
          <w:p w14:paraId="76F9953F" w14:textId="77777777" w:rsidR="000A281E" w:rsidRPr="00A120AA" w:rsidRDefault="000A281E" w:rsidP="000C7CF4">
            <w:pPr>
              <w:spacing w:line="276" w:lineRule="auto"/>
              <w:rPr>
                <w:sz w:val="21"/>
                <w:szCs w:val="21"/>
                <w:lang w:val="en-US"/>
              </w:rPr>
            </w:pPr>
            <w:r w:rsidRPr="00A120AA">
              <w:rPr>
                <w:sz w:val="21"/>
                <w:szCs w:val="21"/>
                <w:lang w:val="en-US"/>
              </w:rPr>
              <w:t>Recovery potential</w:t>
            </w:r>
          </w:p>
        </w:tc>
      </w:tr>
      <w:tr w:rsidR="000A281E" w:rsidRPr="003270FF" w14:paraId="20A3366F" w14:textId="77777777" w:rsidTr="000C7CF4">
        <w:tc>
          <w:tcPr>
            <w:tcW w:w="1838" w:type="dxa"/>
          </w:tcPr>
          <w:p w14:paraId="1FA68616" w14:textId="77777777" w:rsidR="000A281E" w:rsidRPr="00A120AA" w:rsidRDefault="000A281E" w:rsidP="000C7CF4">
            <w:pPr>
              <w:spacing w:line="276" w:lineRule="auto"/>
              <w:rPr>
                <w:sz w:val="21"/>
                <w:szCs w:val="21"/>
                <w:lang w:val="en-US"/>
              </w:rPr>
            </w:pPr>
            <w:r w:rsidRPr="00A120AA">
              <w:rPr>
                <w:sz w:val="21"/>
                <w:szCs w:val="21"/>
                <w:lang w:val="en-US"/>
              </w:rPr>
              <w:t>Included domains</w:t>
            </w:r>
          </w:p>
        </w:tc>
        <w:tc>
          <w:tcPr>
            <w:tcW w:w="1985" w:type="dxa"/>
          </w:tcPr>
          <w:p w14:paraId="5272C106"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Mobility/locomotor</w:t>
            </w:r>
          </w:p>
          <w:p w14:paraId="1763E484"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Cognition</w:t>
            </w:r>
          </w:p>
          <w:p w14:paraId="6E424D8E"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Sensory status</w:t>
            </w:r>
          </w:p>
          <w:p w14:paraId="00A623DF"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 xml:space="preserve">Psychosocial status </w:t>
            </w:r>
            <w:r>
              <w:rPr>
                <w:sz w:val="21"/>
                <w:szCs w:val="21"/>
                <w:lang w:val="en-US"/>
              </w:rPr>
              <w:t>-</w:t>
            </w:r>
            <w:r w:rsidRPr="00A120AA">
              <w:rPr>
                <w:sz w:val="21"/>
                <w:szCs w:val="21"/>
                <w:lang w:val="en-US"/>
              </w:rPr>
              <w:t xml:space="preserve">Vitality/energy </w:t>
            </w:r>
          </w:p>
        </w:tc>
        <w:tc>
          <w:tcPr>
            <w:tcW w:w="2409" w:type="dxa"/>
          </w:tcPr>
          <w:p w14:paraId="00BAC90E"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Basic and instrumental activities of daily living</w:t>
            </w:r>
          </w:p>
          <w:p w14:paraId="18BFC38E"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Mobility</w:t>
            </w:r>
          </w:p>
          <w:p w14:paraId="0FBDD6AC"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Nutritional status</w:t>
            </w:r>
          </w:p>
          <w:p w14:paraId="00E13288"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Cognition</w:t>
            </w:r>
          </w:p>
          <w:p w14:paraId="5A5C436A"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Mood</w:t>
            </w:r>
          </w:p>
          <w:p w14:paraId="20931DF4"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Social support</w:t>
            </w:r>
          </w:p>
        </w:tc>
        <w:tc>
          <w:tcPr>
            <w:tcW w:w="2524" w:type="dxa"/>
          </w:tcPr>
          <w:p w14:paraId="46F0D835" w14:textId="77777777" w:rsidR="000A281E" w:rsidRPr="00A120AA" w:rsidRDefault="000A281E" w:rsidP="000C7CF4">
            <w:pPr>
              <w:spacing w:line="276" w:lineRule="auto"/>
              <w:rPr>
                <w:sz w:val="21"/>
                <w:szCs w:val="21"/>
                <w:lang w:val="en-US"/>
              </w:rPr>
            </w:pPr>
            <w:r>
              <w:rPr>
                <w:sz w:val="21"/>
                <w:szCs w:val="21"/>
                <w:lang w:val="en-US"/>
              </w:rPr>
              <w:t xml:space="preserve">Any domain can be included, as long as the triad </w:t>
            </w:r>
            <w:r w:rsidRPr="00161C13">
              <w:rPr>
                <w:sz w:val="21"/>
                <w:szCs w:val="21"/>
                <w:lang w:val="en-US"/>
              </w:rPr>
              <w:t>of system, state and stressors</w:t>
            </w:r>
            <w:r>
              <w:rPr>
                <w:sz w:val="21"/>
                <w:szCs w:val="21"/>
                <w:lang w:val="en-US"/>
              </w:rPr>
              <w:t xml:space="preserve"> is clearly specified.  </w:t>
            </w:r>
          </w:p>
        </w:tc>
      </w:tr>
      <w:tr w:rsidR="000A281E" w:rsidRPr="003270FF" w14:paraId="3FAFEE5F" w14:textId="77777777" w:rsidTr="000C7CF4">
        <w:tc>
          <w:tcPr>
            <w:tcW w:w="1838" w:type="dxa"/>
          </w:tcPr>
          <w:p w14:paraId="306BF73F" w14:textId="77777777" w:rsidR="000A281E" w:rsidRPr="00A120AA" w:rsidRDefault="000A281E" w:rsidP="000C7CF4">
            <w:pPr>
              <w:spacing w:line="276" w:lineRule="auto"/>
              <w:rPr>
                <w:sz w:val="21"/>
                <w:szCs w:val="21"/>
                <w:lang w:val="en-US"/>
              </w:rPr>
            </w:pPr>
            <w:r w:rsidRPr="00A120AA">
              <w:rPr>
                <w:sz w:val="21"/>
                <w:szCs w:val="21"/>
                <w:lang w:val="en-US"/>
              </w:rPr>
              <w:t>Outcomes</w:t>
            </w:r>
          </w:p>
        </w:tc>
        <w:tc>
          <w:tcPr>
            <w:tcW w:w="1985" w:type="dxa"/>
          </w:tcPr>
          <w:p w14:paraId="38F90B32" w14:textId="77777777" w:rsidR="000A281E" w:rsidRDefault="000A281E" w:rsidP="000C7CF4">
            <w:pPr>
              <w:spacing w:line="276" w:lineRule="auto"/>
              <w:rPr>
                <w:sz w:val="21"/>
                <w:szCs w:val="21"/>
                <w:lang w:val="en-US"/>
              </w:rPr>
            </w:pPr>
            <w:r>
              <w:rPr>
                <w:sz w:val="21"/>
                <w:szCs w:val="21"/>
                <w:lang w:val="en-US"/>
              </w:rPr>
              <w:t>- Monitoring ageing</w:t>
            </w:r>
          </w:p>
          <w:p w14:paraId="452F58CD" w14:textId="77777777" w:rsidR="000A281E" w:rsidRPr="00A120AA" w:rsidRDefault="000A281E" w:rsidP="000C7CF4">
            <w:pPr>
              <w:spacing w:line="276" w:lineRule="auto"/>
              <w:rPr>
                <w:sz w:val="21"/>
                <w:szCs w:val="21"/>
                <w:lang w:val="en-US"/>
              </w:rPr>
            </w:pPr>
            <w:r>
              <w:rPr>
                <w:sz w:val="21"/>
                <w:szCs w:val="21"/>
                <w:lang w:val="en-US"/>
              </w:rPr>
              <w:t>- Functional ability</w:t>
            </w:r>
          </w:p>
        </w:tc>
        <w:tc>
          <w:tcPr>
            <w:tcW w:w="2409" w:type="dxa"/>
          </w:tcPr>
          <w:p w14:paraId="446E8FEE" w14:textId="77777777" w:rsidR="000A281E" w:rsidRPr="00A120AA" w:rsidRDefault="000A281E" w:rsidP="000C7CF4">
            <w:pPr>
              <w:spacing w:line="276" w:lineRule="auto"/>
              <w:rPr>
                <w:sz w:val="21"/>
                <w:szCs w:val="21"/>
                <w:lang w:val="en-US"/>
              </w:rPr>
            </w:pPr>
            <w:r>
              <w:rPr>
                <w:sz w:val="21"/>
                <w:szCs w:val="21"/>
                <w:lang w:val="en-US"/>
              </w:rPr>
              <w:t>-</w:t>
            </w:r>
            <w:r w:rsidRPr="00A120AA">
              <w:rPr>
                <w:sz w:val="21"/>
                <w:szCs w:val="21"/>
                <w:lang w:val="en-US"/>
              </w:rPr>
              <w:t>Functional status</w:t>
            </w:r>
            <w:r w:rsidRPr="00A120AA">
              <w:rPr>
                <w:sz w:val="21"/>
                <w:szCs w:val="21"/>
                <w:lang w:val="en-US"/>
              </w:rPr>
              <w:br/>
            </w:r>
            <w:r>
              <w:rPr>
                <w:sz w:val="21"/>
                <w:szCs w:val="21"/>
                <w:lang w:val="en-US"/>
              </w:rPr>
              <w:t>-</w:t>
            </w:r>
            <w:r w:rsidRPr="00A120AA">
              <w:rPr>
                <w:sz w:val="21"/>
                <w:szCs w:val="21"/>
                <w:lang w:val="en-US"/>
              </w:rPr>
              <w:t>Quality of life</w:t>
            </w:r>
            <w:r w:rsidRPr="00A120AA">
              <w:rPr>
                <w:sz w:val="21"/>
                <w:szCs w:val="21"/>
                <w:lang w:val="en-US"/>
              </w:rPr>
              <w:br/>
            </w:r>
            <w:r>
              <w:rPr>
                <w:sz w:val="21"/>
                <w:szCs w:val="21"/>
                <w:lang w:val="en-US"/>
              </w:rPr>
              <w:t>-</w:t>
            </w:r>
            <w:r w:rsidRPr="00A120AA">
              <w:rPr>
                <w:sz w:val="21"/>
                <w:szCs w:val="21"/>
                <w:lang w:val="en-US"/>
              </w:rPr>
              <w:t>Toxicity</w:t>
            </w:r>
            <w:r w:rsidRPr="00A120AA">
              <w:rPr>
                <w:sz w:val="21"/>
                <w:szCs w:val="21"/>
                <w:lang w:val="en-US"/>
              </w:rPr>
              <w:br/>
            </w:r>
            <w:r>
              <w:rPr>
                <w:sz w:val="21"/>
                <w:szCs w:val="21"/>
                <w:lang w:val="en-US"/>
              </w:rPr>
              <w:t>-</w:t>
            </w:r>
            <w:r w:rsidRPr="00A120AA">
              <w:rPr>
                <w:sz w:val="21"/>
                <w:szCs w:val="21"/>
                <w:lang w:val="en-US"/>
              </w:rPr>
              <w:t>Complications</w:t>
            </w:r>
          </w:p>
        </w:tc>
        <w:tc>
          <w:tcPr>
            <w:tcW w:w="2524" w:type="dxa"/>
          </w:tcPr>
          <w:p w14:paraId="60948709" w14:textId="77777777" w:rsidR="000A281E" w:rsidRDefault="000A281E" w:rsidP="000C7CF4">
            <w:pPr>
              <w:spacing w:line="276" w:lineRule="auto"/>
              <w:rPr>
                <w:sz w:val="21"/>
                <w:szCs w:val="21"/>
                <w:lang w:val="en-US"/>
              </w:rPr>
            </w:pPr>
            <w:r>
              <w:rPr>
                <w:sz w:val="21"/>
                <w:szCs w:val="21"/>
                <w:lang w:val="en-US"/>
              </w:rPr>
              <w:t>-Resilience stratification groups</w:t>
            </w:r>
          </w:p>
          <w:p w14:paraId="3D0D3B7D" w14:textId="77777777" w:rsidR="000A281E" w:rsidRPr="00A120AA" w:rsidRDefault="000A281E" w:rsidP="000C7CF4">
            <w:pPr>
              <w:spacing w:line="276" w:lineRule="auto"/>
              <w:rPr>
                <w:sz w:val="21"/>
                <w:szCs w:val="21"/>
                <w:lang w:val="en-US"/>
              </w:rPr>
            </w:pPr>
            <w:r>
              <w:rPr>
                <w:sz w:val="21"/>
                <w:szCs w:val="21"/>
                <w:lang w:val="en-US"/>
              </w:rPr>
              <w:t>-Recovery trajectories of, for example, f</w:t>
            </w:r>
            <w:r w:rsidRPr="00A120AA">
              <w:rPr>
                <w:sz w:val="21"/>
                <w:szCs w:val="21"/>
                <w:lang w:val="en-US"/>
              </w:rPr>
              <w:t>unctional status</w:t>
            </w:r>
            <w:r>
              <w:rPr>
                <w:sz w:val="21"/>
                <w:szCs w:val="21"/>
                <w:lang w:val="en-US"/>
              </w:rPr>
              <w:t>, q</w:t>
            </w:r>
            <w:r w:rsidRPr="00A120AA">
              <w:rPr>
                <w:sz w:val="21"/>
                <w:szCs w:val="21"/>
                <w:lang w:val="en-US"/>
              </w:rPr>
              <w:t>uality of life</w:t>
            </w:r>
            <w:r w:rsidRPr="00A120AA">
              <w:rPr>
                <w:sz w:val="21"/>
                <w:szCs w:val="21"/>
                <w:lang w:val="en-US"/>
              </w:rPr>
              <w:br/>
            </w:r>
            <w:r w:rsidR="00121CD5">
              <w:rPr>
                <w:sz w:val="21"/>
                <w:szCs w:val="21"/>
                <w:lang w:val="en-US"/>
              </w:rPr>
              <w:t xml:space="preserve">- </w:t>
            </w:r>
            <w:r w:rsidR="00BC76DF">
              <w:rPr>
                <w:sz w:val="21"/>
                <w:szCs w:val="21"/>
                <w:lang w:val="en-US"/>
              </w:rPr>
              <w:t>Dynamic response</w:t>
            </w:r>
          </w:p>
        </w:tc>
      </w:tr>
    </w:tbl>
    <w:p w14:paraId="5B5882AF" w14:textId="77777777" w:rsidR="000A281E" w:rsidRDefault="000A281E" w:rsidP="000A281E">
      <w:pPr>
        <w:spacing w:line="276" w:lineRule="auto"/>
        <w:rPr>
          <w:lang w:val="en-US"/>
        </w:rPr>
      </w:pPr>
    </w:p>
    <w:p w14:paraId="6D9A5B0C" w14:textId="77777777" w:rsidR="00051283" w:rsidRDefault="00051283" w:rsidP="00051283">
      <w:pPr>
        <w:spacing w:line="276" w:lineRule="auto"/>
        <w:ind w:right="1275"/>
        <w:rPr>
          <w:lang w:val="en-US"/>
        </w:rPr>
      </w:pPr>
    </w:p>
    <w:p w14:paraId="55A3D5A4" w14:textId="77777777" w:rsidR="00F36A3A" w:rsidRDefault="00F36A3A">
      <w:pPr>
        <w:rPr>
          <w:lang w:val="en-US"/>
        </w:rPr>
      </w:pPr>
      <w:r>
        <w:rPr>
          <w:lang w:val="en-US"/>
        </w:rPr>
        <w:br w:type="page"/>
      </w:r>
    </w:p>
    <w:p w14:paraId="0947DF34" w14:textId="77777777" w:rsidR="00051283" w:rsidRDefault="00051283" w:rsidP="00051283">
      <w:pPr>
        <w:spacing w:line="276" w:lineRule="auto"/>
        <w:ind w:right="1275"/>
        <w:rPr>
          <w:b/>
          <w:lang w:val="en-US"/>
        </w:rPr>
      </w:pPr>
      <w:r>
        <w:rPr>
          <w:lang w:val="en-US"/>
        </w:rPr>
        <w:lastRenderedPageBreak/>
        <w:t xml:space="preserve">Table 2. </w:t>
      </w:r>
      <w:r>
        <w:rPr>
          <w:b/>
          <w:lang w:val="en-US"/>
        </w:rPr>
        <w:t>Applying intrinsic capacity, frailty and resilience in clinical practice</w:t>
      </w:r>
    </w:p>
    <w:tbl>
      <w:tblPr>
        <w:tblStyle w:val="Tabelraster"/>
        <w:tblW w:w="0" w:type="auto"/>
        <w:tblInd w:w="-5" w:type="dxa"/>
        <w:tblLook w:val="04A0" w:firstRow="1" w:lastRow="0" w:firstColumn="1" w:lastColumn="0" w:noHBand="0" w:noVBand="1"/>
      </w:tblPr>
      <w:tblGrid>
        <w:gridCol w:w="8036"/>
      </w:tblGrid>
      <w:tr w:rsidR="00051283" w:rsidRPr="003270FF" w14:paraId="390C4565" w14:textId="77777777" w:rsidTr="00E91301">
        <w:tc>
          <w:tcPr>
            <w:tcW w:w="8036" w:type="dxa"/>
          </w:tcPr>
          <w:p w14:paraId="254A9393" w14:textId="77777777" w:rsidR="00051283" w:rsidRPr="00581602" w:rsidRDefault="00051283" w:rsidP="00581602">
            <w:pPr>
              <w:pStyle w:val="Lijstalinea"/>
              <w:numPr>
                <w:ilvl w:val="0"/>
                <w:numId w:val="12"/>
              </w:numPr>
              <w:tabs>
                <w:tab w:val="left" w:pos="9026"/>
              </w:tabs>
              <w:spacing w:line="276" w:lineRule="auto"/>
              <w:rPr>
                <w:lang w:val="en-US"/>
              </w:rPr>
            </w:pPr>
            <w:r w:rsidRPr="00581602">
              <w:rPr>
                <w:lang w:val="en-US"/>
              </w:rPr>
              <w:t>Perform a geriatric assessment for assessing impairment and deficit (frailty)</w:t>
            </w:r>
          </w:p>
        </w:tc>
      </w:tr>
      <w:tr w:rsidR="00051283" w:rsidRPr="003270FF" w14:paraId="6F9D53B5" w14:textId="77777777" w:rsidTr="00E91301">
        <w:tc>
          <w:tcPr>
            <w:tcW w:w="8036" w:type="dxa"/>
          </w:tcPr>
          <w:p w14:paraId="26CF091D" w14:textId="77777777" w:rsidR="00051283" w:rsidRPr="00581602" w:rsidRDefault="00051283" w:rsidP="00581602">
            <w:pPr>
              <w:pStyle w:val="Lijstalinea"/>
              <w:numPr>
                <w:ilvl w:val="0"/>
                <w:numId w:val="12"/>
              </w:numPr>
              <w:tabs>
                <w:tab w:val="left" w:pos="9026"/>
              </w:tabs>
              <w:spacing w:line="276" w:lineRule="auto"/>
              <w:rPr>
                <w:lang w:val="en-GB"/>
              </w:rPr>
            </w:pPr>
            <w:r w:rsidRPr="00581602">
              <w:rPr>
                <w:lang w:val="en-GB"/>
              </w:rPr>
              <w:t>Establish a timeline for each impairment to differentiate between impairment due to frailty and impairment due to cancer (intrinsic capacity)</w:t>
            </w:r>
          </w:p>
        </w:tc>
      </w:tr>
      <w:tr w:rsidR="00051283" w:rsidRPr="003270FF" w14:paraId="1F4C4372" w14:textId="77777777" w:rsidTr="00E91301">
        <w:tc>
          <w:tcPr>
            <w:tcW w:w="8036" w:type="dxa"/>
          </w:tcPr>
          <w:p w14:paraId="01A12D1C" w14:textId="77777777" w:rsidR="00051283" w:rsidRPr="00581602" w:rsidRDefault="00051283" w:rsidP="00581602">
            <w:pPr>
              <w:pStyle w:val="Lijstalinea"/>
              <w:numPr>
                <w:ilvl w:val="0"/>
                <w:numId w:val="12"/>
              </w:numPr>
              <w:tabs>
                <w:tab w:val="left" w:pos="9026"/>
              </w:tabs>
              <w:spacing w:line="276" w:lineRule="auto"/>
              <w:rPr>
                <w:lang w:val="en-GB"/>
              </w:rPr>
            </w:pPr>
            <w:r w:rsidRPr="00581602">
              <w:rPr>
                <w:lang w:val="en-GB"/>
              </w:rPr>
              <w:t>Inquire into resources and the patient’s context (resilience)</w:t>
            </w:r>
          </w:p>
        </w:tc>
      </w:tr>
      <w:tr w:rsidR="00051283" w:rsidRPr="003270FF" w14:paraId="4066CFB7" w14:textId="77777777" w:rsidTr="00E91301">
        <w:tc>
          <w:tcPr>
            <w:tcW w:w="8036" w:type="dxa"/>
          </w:tcPr>
          <w:p w14:paraId="4BC42FB3" w14:textId="77777777" w:rsidR="00051283" w:rsidRPr="00581602" w:rsidRDefault="00051283" w:rsidP="00581602">
            <w:pPr>
              <w:pStyle w:val="Lijstalinea"/>
              <w:numPr>
                <w:ilvl w:val="0"/>
                <w:numId w:val="12"/>
              </w:numPr>
              <w:tabs>
                <w:tab w:val="left" w:pos="9026"/>
              </w:tabs>
              <w:spacing w:line="276" w:lineRule="auto"/>
              <w:rPr>
                <w:lang w:val="en-GB"/>
              </w:rPr>
            </w:pPr>
            <w:r w:rsidRPr="00581602">
              <w:rPr>
                <w:lang w:val="en-GB"/>
              </w:rPr>
              <w:t>Ask about response to prior stressors (resilience)</w:t>
            </w:r>
          </w:p>
        </w:tc>
      </w:tr>
      <w:tr w:rsidR="00051283" w:rsidRPr="003270FF" w14:paraId="59F803FD" w14:textId="77777777" w:rsidTr="00E91301">
        <w:tc>
          <w:tcPr>
            <w:tcW w:w="8036" w:type="dxa"/>
          </w:tcPr>
          <w:p w14:paraId="433B6E01" w14:textId="77777777" w:rsidR="00051283" w:rsidRPr="00581602" w:rsidRDefault="00051283" w:rsidP="00581602">
            <w:pPr>
              <w:pStyle w:val="Lijstalinea"/>
              <w:numPr>
                <w:ilvl w:val="0"/>
                <w:numId w:val="12"/>
              </w:numPr>
              <w:tabs>
                <w:tab w:val="left" w:pos="9026"/>
              </w:tabs>
              <w:spacing w:line="276" w:lineRule="auto"/>
              <w:rPr>
                <w:lang w:val="en-GB"/>
              </w:rPr>
            </w:pPr>
            <w:r w:rsidRPr="00581602">
              <w:rPr>
                <w:lang w:val="en-GB"/>
              </w:rPr>
              <w:t xml:space="preserve">Assess response to </w:t>
            </w:r>
            <w:proofErr w:type="spellStart"/>
            <w:r w:rsidRPr="00581602">
              <w:rPr>
                <w:lang w:val="en-GB"/>
              </w:rPr>
              <w:t>prehabilitation</w:t>
            </w:r>
            <w:proofErr w:type="spellEnd"/>
            <w:r w:rsidRPr="00581602">
              <w:rPr>
                <w:lang w:val="en-GB"/>
              </w:rPr>
              <w:t xml:space="preserve"> (resilience)</w:t>
            </w:r>
          </w:p>
        </w:tc>
      </w:tr>
      <w:tr w:rsidR="00051283" w:rsidRPr="003270FF" w14:paraId="01B15B97" w14:textId="77777777" w:rsidTr="00E91301">
        <w:tc>
          <w:tcPr>
            <w:tcW w:w="8036" w:type="dxa"/>
          </w:tcPr>
          <w:p w14:paraId="1ABDE2C5" w14:textId="77777777" w:rsidR="00051283" w:rsidRPr="00581602" w:rsidRDefault="00051283" w:rsidP="00581602">
            <w:pPr>
              <w:pStyle w:val="Lijstalinea"/>
              <w:numPr>
                <w:ilvl w:val="0"/>
                <w:numId w:val="12"/>
              </w:numPr>
              <w:tabs>
                <w:tab w:val="left" w:pos="9026"/>
              </w:tabs>
              <w:spacing w:line="276" w:lineRule="auto"/>
              <w:rPr>
                <w:lang w:val="en-GB"/>
              </w:rPr>
            </w:pPr>
            <w:r w:rsidRPr="00581602">
              <w:rPr>
                <w:lang w:val="en-GB"/>
              </w:rPr>
              <w:t>Incorporate recovery trajectories in research and shared decision making (resilience)</w:t>
            </w:r>
          </w:p>
        </w:tc>
      </w:tr>
    </w:tbl>
    <w:p w14:paraId="0C134FEE" w14:textId="77777777" w:rsidR="00051283" w:rsidRPr="00265602" w:rsidRDefault="00051283" w:rsidP="007D5160">
      <w:pPr>
        <w:pStyle w:val="Lijstalinea"/>
        <w:tabs>
          <w:tab w:val="left" w:pos="9026"/>
        </w:tabs>
        <w:spacing w:line="276" w:lineRule="auto"/>
        <w:rPr>
          <w:lang w:val="en-GB"/>
        </w:rPr>
      </w:pPr>
    </w:p>
    <w:sectPr w:rsidR="00051283" w:rsidRPr="00265602" w:rsidSect="009D38E7">
      <w:pgSz w:w="11906" w:h="16838"/>
      <w:pgMar w:top="1440" w:right="17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D5FCB"/>
    <w:multiLevelType w:val="multilevel"/>
    <w:tmpl w:val="7F0A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316E"/>
    <w:multiLevelType w:val="multilevel"/>
    <w:tmpl w:val="FC8045C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230531"/>
    <w:multiLevelType w:val="hybridMultilevel"/>
    <w:tmpl w:val="FA3682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1F2B02"/>
    <w:multiLevelType w:val="hybridMultilevel"/>
    <w:tmpl w:val="65D643AC"/>
    <w:lvl w:ilvl="0" w:tplc="5E7AF05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78B6392"/>
    <w:multiLevelType w:val="multilevel"/>
    <w:tmpl w:val="6774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A7365F"/>
    <w:multiLevelType w:val="hybridMultilevel"/>
    <w:tmpl w:val="60D8DA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EA19AB"/>
    <w:multiLevelType w:val="multilevel"/>
    <w:tmpl w:val="E4D8C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7D542F"/>
    <w:multiLevelType w:val="hybridMultilevel"/>
    <w:tmpl w:val="AD2CFE48"/>
    <w:lvl w:ilvl="0" w:tplc="FEA0C7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ACD691D"/>
    <w:multiLevelType w:val="multilevel"/>
    <w:tmpl w:val="AA506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92392"/>
    <w:multiLevelType w:val="hybridMultilevel"/>
    <w:tmpl w:val="EDA449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DD70575"/>
    <w:multiLevelType w:val="hybridMultilevel"/>
    <w:tmpl w:val="719E4D58"/>
    <w:lvl w:ilvl="0" w:tplc="938254BE">
      <w:start w:val="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E0D0F36"/>
    <w:multiLevelType w:val="multilevel"/>
    <w:tmpl w:val="83B6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525165"/>
    <w:multiLevelType w:val="hybridMultilevel"/>
    <w:tmpl w:val="AEE65332"/>
    <w:lvl w:ilvl="0" w:tplc="9346494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3"/>
  </w:num>
  <w:num w:numId="5">
    <w:abstractNumId w:val="10"/>
  </w:num>
  <w:num w:numId="6">
    <w:abstractNumId w:val="7"/>
  </w:num>
  <w:num w:numId="7">
    <w:abstractNumId w:val="1"/>
  </w:num>
  <w:num w:numId="8">
    <w:abstractNumId w:val="9"/>
  </w:num>
  <w:num w:numId="9">
    <w:abstractNumId w:val="12"/>
  </w:num>
  <w:num w:numId="10">
    <w:abstractNumId w:val="5"/>
  </w:num>
  <w:num w:numId="11">
    <w:abstractNumId w:val="2"/>
  </w:num>
  <w:num w:numId="12">
    <w:abstractNumId w:val="8"/>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35A"/>
    <w:rsid w:val="000019FF"/>
    <w:rsid w:val="00002421"/>
    <w:rsid w:val="000272B4"/>
    <w:rsid w:val="00031FF9"/>
    <w:rsid w:val="00040532"/>
    <w:rsid w:val="00051283"/>
    <w:rsid w:val="00053C17"/>
    <w:rsid w:val="000667FB"/>
    <w:rsid w:val="0007035A"/>
    <w:rsid w:val="0008687D"/>
    <w:rsid w:val="000A281E"/>
    <w:rsid w:val="000A2B0C"/>
    <w:rsid w:val="000A3C48"/>
    <w:rsid w:val="000A668F"/>
    <w:rsid w:val="000B42E5"/>
    <w:rsid w:val="000B747E"/>
    <w:rsid w:val="000C0208"/>
    <w:rsid w:val="000C1905"/>
    <w:rsid w:val="000C453B"/>
    <w:rsid w:val="000D2F8B"/>
    <w:rsid w:val="000D45D4"/>
    <w:rsid w:val="000D4938"/>
    <w:rsid w:val="00105184"/>
    <w:rsid w:val="00110ED6"/>
    <w:rsid w:val="00121CD5"/>
    <w:rsid w:val="00122864"/>
    <w:rsid w:val="001377FB"/>
    <w:rsid w:val="00140A4E"/>
    <w:rsid w:val="00152D65"/>
    <w:rsid w:val="001572D6"/>
    <w:rsid w:val="00161C13"/>
    <w:rsid w:val="00164203"/>
    <w:rsid w:val="00164B38"/>
    <w:rsid w:val="00166FBB"/>
    <w:rsid w:val="00174A68"/>
    <w:rsid w:val="001A0825"/>
    <w:rsid w:val="001B499C"/>
    <w:rsid w:val="001D0116"/>
    <w:rsid w:val="001E5BD9"/>
    <w:rsid w:val="001E7E99"/>
    <w:rsid w:val="0020028D"/>
    <w:rsid w:val="00206E71"/>
    <w:rsid w:val="002104E6"/>
    <w:rsid w:val="00234C7E"/>
    <w:rsid w:val="00235C2E"/>
    <w:rsid w:val="00265602"/>
    <w:rsid w:val="002A54C3"/>
    <w:rsid w:val="002B3DC7"/>
    <w:rsid w:val="002E04F8"/>
    <w:rsid w:val="002E3FCE"/>
    <w:rsid w:val="002F0404"/>
    <w:rsid w:val="002F2505"/>
    <w:rsid w:val="0030533A"/>
    <w:rsid w:val="00305A3E"/>
    <w:rsid w:val="0032105F"/>
    <w:rsid w:val="003270FF"/>
    <w:rsid w:val="00334068"/>
    <w:rsid w:val="00340D1F"/>
    <w:rsid w:val="00355901"/>
    <w:rsid w:val="00367B6B"/>
    <w:rsid w:val="003827DF"/>
    <w:rsid w:val="00395E33"/>
    <w:rsid w:val="003972D8"/>
    <w:rsid w:val="003A5C9D"/>
    <w:rsid w:val="003A6F64"/>
    <w:rsid w:val="003B17B1"/>
    <w:rsid w:val="003B65B8"/>
    <w:rsid w:val="003B65EF"/>
    <w:rsid w:val="003D113F"/>
    <w:rsid w:val="003E0BE4"/>
    <w:rsid w:val="003E2F62"/>
    <w:rsid w:val="003E41AD"/>
    <w:rsid w:val="003F0EB7"/>
    <w:rsid w:val="003F63CE"/>
    <w:rsid w:val="004016CB"/>
    <w:rsid w:val="00403D8D"/>
    <w:rsid w:val="00426607"/>
    <w:rsid w:val="00430B87"/>
    <w:rsid w:val="00440BBE"/>
    <w:rsid w:val="00441FC2"/>
    <w:rsid w:val="004551D5"/>
    <w:rsid w:val="004645EA"/>
    <w:rsid w:val="00473C7A"/>
    <w:rsid w:val="00487EEA"/>
    <w:rsid w:val="004925AF"/>
    <w:rsid w:val="00497ED6"/>
    <w:rsid w:val="004A68A9"/>
    <w:rsid w:val="004B6D6B"/>
    <w:rsid w:val="004C115D"/>
    <w:rsid w:val="004E0C5A"/>
    <w:rsid w:val="004F0494"/>
    <w:rsid w:val="004F2109"/>
    <w:rsid w:val="005034D4"/>
    <w:rsid w:val="00531534"/>
    <w:rsid w:val="00534DC9"/>
    <w:rsid w:val="00554DF2"/>
    <w:rsid w:val="00572E1C"/>
    <w:rsid w:val="0057504B"/>
    <w:rsid w:val="00590189"/>
    <w:rsid w:val="0059181A"/>
    <w:rsid w:val="005A65B8"/>
    <w:rsid w:val="005B48EA"/>
    <w:rsid w:val="005D70AA"/>
    <w:rsid w:val="005E165A"/>
    <w:rsid w:val="005F11A6"/>
    <w:rsid w:val="005F11C3"/>
    <w:rsid w:val="006124C2"/>
    <w:rsid w:val="0062102C"/>
    <w:rsid w:val="00660702"/>
    <w:rsid w:val="00673013"/>
    <w:rsid w:val="006A3FB5"/>
    <w:rsid w:val="006C052F"/>
    <w:rsid w:val="006C5F8E"/>
    <w:rsid w:val="006D6B7C"/>
    <w:rsid w:val="006E25B0"/>
    <w:rsid w:val="006F1465"/>
    <w:rsid w:val="006F2FA5"/>
    <w:rsid w:val="006F5F05"/>
    <w:rsid w:val="007104C5"/>
    <w:rsid w:val="00742A3B"/>
    <w:rsid w:val="00750660"/>
    <w:rsid w:val="007527BB"/>
    <w:rsid w:val="00770B9D"/>
    <w:rsid w:val="0078270E"/>
    <w:rsid w:val="00787FB7"/>
    <w:rsid w:val="007A1147"/>
    <w:rsid w:val="007A6B07"/>
    <w:rsid w:val="007B4F03"/>
    <w:rsid w:val="007D5160"/>
    <w:rsid w:val="007E4BEC"/>
    <w:rsid w:val="007F49F7"/>
    <w:rsid w:val="007F7E9C"/>
    <w:rsid w:val="00803B0B"/>
    <w:rsid w:val="00804B6C"/>
    <w:rsid w:val="00834927"/>
    <w:rsid w:val="00841B2D"/>
    <w:rsid w:val="008427F9"/>
    <w:rsid w:val="00842F2E"/>
    <w:rsid w:val="008646B1"/>
    <w:rsid w:val="00892DBC"/>
    <w:rsid w:val="008937A3"/>
    <w:rsid w:val="00896831"/>
    <w:rsid w:val="008A2532"/>
    <w:rsid w:val="008B333D"/>
    <w:rsid w:val="008B3625"/>
    <w:rsid w:val="008D2ACF"/>
    <w:rsid w:val="008E2492"/>
    <w:rsid w:val="008E68B0"/>
    <w:rsid w:val="008F4692"/>
    <w:rsid w:val="008F63B3"/>
    <w:rsid w:val="00900EFA"/>
    <w:rsid w:val="009250F1"/>
    <w:rsid w:val="00935E07"/>
    <w:rsid w:val="00936378"/>
    <w:rsid w:val="0095065B"/>
    <w:rsid w:val="009561B5"/>
    <w:rsid w:val="00983169"/>
    <w:rsid w:val="009A1477"/>
    <w:rsid w:val="009A73E1"/>
    <w:rsid w:val="009B242A"/>
    <w:rsid w:val="009D0052"/>
    <w:rsid w:val="009D38E7"/>
    <w:rsid w:val="009D6C59"/>
    <w:rsid w:val="009E6C89"/>
    <w:rsid w:val="009F2704"/>
    <w:rsid w:val="009F7AAB"/>
    <w:rsid w:val="00A120AA"/>
    <w:rsid w:val="00A1563B"/>
    <w:rsid w:val="00A23394"/>
    <w:rsid w:val="00A4016C"/>
    <w:rsid w:val="00A46762"/>
    <w:rsid w:val="00A63A93"/>
    <w:rsid w:val="00A80F45"/>
    <w:rsid w:val="00AB7721"/>
    <w:rsid w:val="00AD5A68"/>
    <w:rsid w:val="00AE44FC"/>
    <w:rsid w:val="00AF514B"/>
    <w:rsid w:val="00AF63FA"/>
    <w:rsid w:val="00B146DD"/>
    <w:rsid w:val="00B637FB"/>
    <w:rsid w:val="00B70345"/>
    <w:rsid w:val="00B74C0B"/>
    <w:rsid w:val="00B75145"/>
    <w:rsid w:val="00B859FA"/>
    <w:rsid w:val="00B85DC2"/>
    <w:rsid w:val="00BA5DB8"/>
    <w:rsid w:val="00BA73B8"/>
    <w:rsid w:val="00BC219F"/>
    <w:rsid w:val="00BC76DF"/>
    <w:rsid w:val="00BD3AAC"/>
    <w:rsid w:val="00BD555C"/>
    <w:rsid w:val="00C00E2A"/>
    <w:rsid w:val="00C12478"/>
    <w:rsid w:val="00C12B62"/>
    <w:rsid w:val="00C20C94"/>
    <w:rsid w:val="00C211C9"/>
    <w:rsid w:val="00C22663"/>
    <w:rsid w:val="00C23E92"/>
    <w:rsid w:val="00C26531"/>
    <w:rsid w:val="00C56890"/>
    <w:rsid w:val="00C63718"/>
    <w:rsid w:val="00C66CB6"/>
    <w:rsid w:val="00C67383"/>
    <w:rsid w:val="00C713EA"/>
    <w:rsid w:val="00C73C40"/>
    <w:rsid w:val="00C87D3E"/>
    <w:rsid w:val="00C9669F"/>
    <w:rsid w:val="00CA34B7"/>
    <w:rsid w:val="00CA7937"/>
    <w:rsid w:val="00CC6B70"/>
    <w:rsid w:val="00CD0F8C"/>
    <w:rsid w:val="00CE05BB"/>
    <w:rsid w:val="00CE3B5A"/>
    <w:rsid w:val="00CE4EEC"/>
    <w:rsid w:val="00D05A55"/>
    <w:rsid w:val="00D112DE"/>
    <w:rsid w:val="00D17D4E"/>
    <w:rsid w:val="00D22EB2"/>
    <w:rsid w:val="00D25479"/>
    <w:rsid w:val="00D35DC5"/>
    <w:rsid w:val="00D505B5"/>
    <w:rsid w:val="00D509AE"/>
    <w:rsid w:val="00D86B5D"/>
    <w:rsid w:val="00D94CA8"/>
    <w:rsid w:val="00D96B27"/>
    <w:rsid w:val="00D96C94"/>
    <w:rsid w:val="00D97A18"/>
    <w:rsid w:val="00DA694B"/>
    <w:rsid w:val="00DB4554"/>
    <w:rsid w:val="00DB4642"/>
    <w:rsid w:val="00DB6197"/>
    <w:rsid w:val="00E06B73"/>
    <w:rsid w:val="00E25943"/>
    <w:rsid w:val="00E41BB7"/>
    <w:rsid w:val="00E41E6A"/>
    <w:rsid w:val="00E61F04"/>
    <w:rsid w:val="00E620C2"/>
    <w:rsid w:val="00E754C4"/>
    <w:rsid w:val="00E80D00"/>
    <w:rsid w:val="00E86EE0"/>
    <w:rsid w:val="00E90809"/>
    <w:rsid w:val="00E91301"/>
    <w:rsid w:val="00EA6C2C"/>
    <w:rsid w:val="00EC013F"/>
    <w:rsid w:val="00EF3FB7"/>
    <w:rsid w:val="00EF66E5"/>
    <w:rsid w:val="00F02EB2"/>
    <w:rsid w:val="00F150C3"/>
    <w:rsid w:val="00F25F69"/>
    <w:rsid w:val="00F36A3A"/>
    <w:rsid w:val="00F51636"/>
    <w:rsid w:val="00F52DC0"/>
    <w:rsid w:val="00F540DB"/>
    <w:rsid w:val="00F660CB"/>
    <w:rsid w:val="00F670C6"/>
    <w:rsid w:val="00F741C0"/>
    <w:rsid w:val="00F756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5C64"/>
  <w15:docId w15:val="{4CC0B838-7FC5-40A0-AA16-4DD217B0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272B4"/>
  </w:style>
  <w:style w:type="paragraph" w:styleId="Kop1">
    <w:name w:val="heading 1"/>
    <w:basedOn w:val="Standaard"/>
    <w:link w:val="Kop1Char"/>
    <w:uiPriority w:val="9"/>
    <w:qFormat/>
    <w:rsid w:val="009D38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F040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F0404"/>
    <w:rPr>
      <w:rFonts w:ascii="Segoe UI" w:hAnsi="Segoe UI" w:cs="Segoe UI"/>
      <w:sz w:val="18"/>
      <w:szCs w:val="18"/>
    </w:rPr>
  </w:style>
  <w:style w:type="character" w:styleId="Verwijzingopmerking">
    <w:name w:val="annotation reference"/>
    <w:basedOn w:val="Standaardalinea-lettertype"/>
    <w:uiPriority w:val="99"/>
    <w:semiHidden/>
    <w:unhideWhenUsed/>
    <w:rsid w:val="00334068"/>
    <w:rPr>
      <w:sz w:val="16"/>
      <w:szCs w:val="16"/>
    </w:rPr>
  </w:style>
  <w:style w:type="paragraph" w:styleId="Tekstopmerking">
    <w:name w:val="annotation text"/>
    <w:basedOn w:val="Standaard"/>
    <w:link w:val="TekstopmerkingChar"/>
    <w:uiPriority w:val="99"/>
    <w:unhideWhenUsed/>
    <w:rsid w:val="00334068"/>
    <w:pPr>
      <w:spacing w:line="240" w:lineRule="auto"/>
    </w:pPr>
    <w:rPr>
      <w:sz w:val="20"/>
      <w:szCs w:val="20"/>
    </w:rPr>
  </w:style>
  <w:style w:type="character" w:customStyle="1" w:styleId="TekstopmerkingChar">
    <w:name w:val="Tekst opmerking Char"/>
    <w:basedOn w:val="Standaardalinea-lettertype"/>
    <w:link w:val="Tekstopmerking"/>
    <w:uiPriority w:val="99"/>
    <w:rsid w:val="00334068"/>
    <w:rPr>
      <w:sz w:val="20"/>
      <w:szCs w:val="20"/>
    </w:rPr>
  </w:style>
  <w:style w:type="paragraph" w:styleId="Onderwerpvanopmerking">
    <w:name w:val="annotation subject"/>
    <w:basedOn w:val="Tekstopmerking"/>
    <w:next w:val="Tekstopmerking"/>
    <w:link w:val="OnderwerpvanopmerkingChar"/>
    <w:uiPriority w:val="99"/>
    <w:semiHidden/>
    <w:unhideWhenUsed/>
    <w:rsid w:val="00334068"/>
    <w:rPr>
      <w:b/>
      <w:bCs/>
    </w:rPr>
  </w:style>
  <w:style w:type="character" w:customStyle="1" w:styleId="OnderwerpvanopmerkingChar">
    <w:name w:val="Onderwerp van opmerking Char"/>
    <w:basedOn w:val="TekstopmerkingChar"/>
    <w:link w:val="Onderwerpvanopmerking"/>
    <w:uiPriority w:val="99"/>
    <w:semiHidden/>
    <w:rsid w:val="00334068"/>
    <w:rPr>
      <w:b/>
      <w:bCs/>
      <w:sz w:val="20"/>
      <w:szCs w:val="20"/>
    </w:rPr>
  </w:style>
  <w:style w:type="paragraph" w:styleId="Lijstalinea">
    <w:name w:val="List Paragraph"/>
    <w:basedOn w:val="Standaard"/>
    <w:uiPriority w:val="34"/>
    <w:qFormat/>
    <w:rsid w:val="009E6C89"/>
    <w:pPr>
      <w:ind w:left="720"/>
      <w:contextualSpacing/>
    </w:pPr>
  </w:style>
  <w:style w:type="paragraph" w:styleId="Revisie">
    <w:name w:val="Revision"/>
    <w:hidden/>
    <w:uiPriority w:val="99"/>
    <w:semiHidden/>
    <w:rsid w:val="007F7E9C"/>
    <w:pPr>
      <w:spacing w:after="0" w:line="240" w:lineRule="auto"/>
    </w:pPr>
  </w:style>
  <w:style w:type="table" w:styleId="Tabelraster">
    <w:name w:val="Table Grid"/>
    <w:basedOn w:val="Standaardtabel"/>
    <w:uiPriority w:val="39"/>
    <w:rsid w:val="00842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F0E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B6197"/>
    <w:rPr>
      <w:color w:val="0563C1" w:themeColor="hyperlink"/>
      <w:u w:val="single"/>
    </w:rPr>
  </w:style>
  <w:style w:type="character" w:customStyle="1" w:styleId="UnresolvedMention1">
    <w:name w:val="Unresolved Mention1"/>
    <w:basedOn w:val="Standaardalinea-lettertype"/>
    <w:uiPriority w:val="99"/>
    <w:semiHidden/>
    <w:unhideWhenUsed/>
    <w:rsid w:val="00D25479"/>
    <w:rPr>
      <w:color w:val="605E5C"/>
      <w:shd w:val="clear" w:color="auto" w:fill="E1DFDD"/>
    </w:rPr>
  </w:style>
  <w:style w:type="character" w:customStyle="1" w:styleId="docsum-authors">
    <w:name w:val="docsum-authors"/>
    <w:basedOn w:val="Standaardalinea-lettertype"/>
    <w:rsid w:val="009D38E7"/>
  </w:style>
  <w:style w:type="character" w:customStyle="1" w:styleId="docsum-journal-citation">
    <w:name w:val="docsum-journal-citation"/>
    <w:basedOn w:val="Standaardalinea-lettertype"/>
    <w:rsid w:val="009D38E7"/>
  </w:style>
  <w:style w:type="character" w:customStyle="1" w:styleId="citation-part">
    <w:name w:val="citation-part"/>
    <w:basedOn w:val="Standaardalinea-lettertype"/>
    <w:rsid w:val="009D38E7"/>
  </w:style>
  <w:style w:type="character" w:customStyle="1" w:styleId="docsum-pmid">
    <w:name w:val="docsum-pmid"/>
    <w:basedOn w:val="Standaardalinea-lettertype"/>
    <w:rsid w:val="009D38E7"/>
  </w:style>
  <w:style w:type="character" w:customStyle="1" w:styleId="Kop1Char">
    <w:name w:val="Kop 1 Char"/>
    <w:basedOn w:val="Standaardalinea-lettertype"/>
    <w:link w:val="Kop1"/>
    <w:uiPriority w:val="9"/>
    <w:rsid w:val="009D38E7"/>
    <w:rPr>
      <w:rFonts w:ascii="Times New Roman" w:eastAsia="Times New Roman" w:hAnsi="Times New Roman" w:cs="Times New Roman"/>
      <w:b/>
      <w:bCs/>
      <w:kern w:val="36"/>
      <w:sz w:val="48"/>
      <w:szCs w:val="48"/>
      <w:lang w:eastAsia="nl-NL"/>
    </w:rPr>
  </w:style>
  <w:style w:type="character" w:customStyle="1" w:styleId="period">
    <w:name w:val="period"/>
    <w:basedOn w:val="Standaardalinea-lettertype"/>
    <w:rsid w:val="009D38E7"/>
  </w:style>
  <w:style w:type="character" w:customStyle="1" w:styleId="cit">
    <w:name w:val="cit"/>
    <w:basedOn w:val="Standaardalinea-lettertype"/>
    <w:rsid w:val="009D38E7"/>
  </w:style>
  <w:style w:type="character" w:customStyle="1" w:styleId="citation-doi">
    <w:name w:val="citation-doi"/>
    <w:basedOn w:val="Standaardalinea-lettertype"/>
    <w:rsid w:val="009D38E7"/>
  </w:style>
  <w:style w:type="character" w:customStyle="1" w:styleId="secondary-date">
    <w:name w:val="secondary-date"/>
    <w:basedOn w:val="Standaardalinea-lettertype"/>
    <w:rsid w:val="009D38E7"/>
  </w:style>
  <w:style w:type="character" w:customStyle="1" w:styleId="Onopgelostemelding1">
    <w:name w:val="Onopgeloste melding1"/>
    <w:basedOn w:val="Standaardalinea-lettertype"/>
    <w:uiPriority w:val="99"/>
    <w:semiHidden/>
    <w:unhideWhenUsed/>
    <w:rsid w:val="001572D6"/>
    <w:rPr>
      <w:color w:val="605E5C"/>
      <w:shd w:val="clear" w:color="auto" w:fill="E1DFDD"/>
    </w:rPr>
  </w:style>
  <w:style w:type="character" w:customStyle="1" w:styleId="authors-list-item">
    <w:name w:val="authors-list-item"/>
    <w:basedOn w:val="Standaardalinea-lettertype"/>
    <w:rsid w:val="001572D6"/>
  </w:style>
  <w:style w:type="character" w:customStyle="1" w:styleId="author-sup-separator">
    <w:name w:val="author-sup-separator"/>
    <w:basedOn w:val="Standaardalinea-lettertype"/>
    <w:rsid w:val="001572D6"/>
  </w:style>
  <w:style w:type="character" w:customStyle="1" w:styleId="comma">
    <w:name w:val="comma"/>
    <w:basedOn w:val="Standaardalinea-lettertype"/>
    <w:rsid w:val="001572D6"/>
  </w:style>
  <w:style w:type="character" w:customStyle="1" w:styleId="Title1">
    <w:name w:val="Title1"/>
    <w:basedOn w:val="Standaardalinea-lettertype"/>
    <w:rsid w:val="001572D6"/>
  </w:style>
  <w:style w:type="character" w:customStyle="1" w:styleId="identifier">
    <w:name w:val="identifier"/>
    <w:basedOn w:val="Standaardalinea-lettertype"/>
    <w:rsid w:val="001572D6"/>
  </w:style>
  <w:style w:type="character" w:customStyle="1" w:styleId="id-label">
    <w:name w:val="id-label"/>
    <w:basedOn w:val="Standaardalinea-lettertype"/>
    <w:rsid w:val="001572D6"/>
  </w:style>
  <w:style w:type="character" w:styleId="Zwaar">
    <w:name w:val="Strong"/>
    <w:basedOn w:val="Standaardalinea-lettertype"/>
    <w:uiPriority w:val="22"/>
    <w:qFormat/>
    <w:rsid w:val="001572D6"/>
    <w:rPr>
      <w:b/>
      <w:bCs/>
    </w:rPr>
  </w:style>
  <w:style w:type="character" w:styleId="GevolgdeHyperlink">
    <w:name w:val="FollowedHyperlink"/>
    <w:basedOn w:val="Standaardalinea-lettertype"/>
    <w:uiPriority w:val="99"/>
    <w:semiHidden/>
    <w:unhideWhenUsed/>
    <w:rsid w:val="00F150C3"/>
    <w:rPr>
      <w:color w:val="954F72" w:themeColor="followedHyperlink"/>
      <w:u w:val="single"/>
    </w:rPr>
  </w:style>
  <w:style w:type="character" w:styleId="Onopgelostemelding">
    <w:name w:val="Unresolved Mention"/>
    <w:basedOn w:val="Standaardalinea-lettertype"/>
    <w:uiPriority w:val="99"/>
    <w:semiHidden/>
    <w:unhideWhenUsed/>
    <w:rsid w:val="00F02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47343">
      <w:bodyDiv w:val="1"/>
      <w:marLeft w:val="0"/>
      <w:marRight w:val="0"/>
      <w:marTop w:val="0"/>
      <w:marBottom w:val="0"/>
      <w:divBdr>
        <w:top w:val="none" w:sz="0" w:space="0" w:color="auto"/>
        <w:left w:val="none" w:sz="0" w:space="0" w:color="auto"/>
        <w:bottom w:val="none" w:sz="0" w:space="0" w:color="auto"/>
        <w:right w:val="none" w:sz="0" w:space="0" w:color="auto"/>
      </w:divBdr>
    </w:div>
    <w:div w:id="220287418">
      <w:bodyDiv w:val="1"/>
      <w:marLeft w:val="0"/>
      <w:marRight w:val="0"/>
      <w:marTop w:val="0"/>
      <w:marBottom w:val="0"/>
      <w:divBdr>
        <w:top w:val="none" w:sz="0" w:space="0" w:color="auto"/>
        <w:left w:val="none" w:sz="0" w:space="0" w:color="auto"/>
        <w:bottom w:val="none" w:sz="0" w:space="0" w:color="auto"/>
        <w:right w:val="none" w:sz="0" w:space="0" w:color="auto"/>
      </w:divBdr>
      <w:divsChild>
        <w:div w:id="1799376074">
          <w:marLeft w:val="0"/>
          <w:marRight w:val="0"/>
          <w:marTop w:val="0"/>
          <w:marBottom w:val="0"/>
          <w:divBdr>
            <w:top w:val="none" w:sz="0" w:space="0" w:color="auto"/>
            <w:left w:val="none" w:sz="0" w:space="0" w:color="auto"/>
            <w:bottom w:val="none" w:sz="0" w:space="0" w:color="auto"/>
            <w:right w:val="none" w:sz="0" w:space="0" w:color="auto"/>
          </w:divBdr>
          <w:divsChild>
            <w:div w:id="439178776">
              <w:marLeft w:val="0"/>
              <w:marRight w:val="0"/>
              <w:marTop w:val="0"/>
              <w:marBottom w:val="0"/>
              <w:divBdr>
                <w:top w:val="none" w:sz="0" w:space="0" w:color="auto"/>
                <w:left w:val="none" w:sz="0" w:space="0" w:color="auto"/>
                <w:bottom w:val="none" w:sz="0" w:space="0" w:color="auto"/>
                <w:right w:val="none" w:sz="0" w:space="0" w:color="auto"/>
              </w:divBdr>
              <w:divsChild>
                <w:div w:id="103238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533873">
      <w:bodyDiv w:val="1"/>
      <w:marLeft w:val="0"/>
      <w:marRight w:val="0"/>
      <w:marTop w:val="0"/>
      <w:marBottom w:val="0"/>
      <w:divBdr>
        <w:top w:val="none" w:sz="0" w:space="0" w:color="auto"/>
        <w:left w:val="none" w:sz="0" w:space="0" w:color="auto"/>
        <w:bottom w:val="none" w:sz="0" w:space="0" w:color="auto"/>
        <w:right w:val="none" w:sz="0" w:space="0" w:color="auto"/>
      </w:divBdr>
      <w:divsChild>
        <w:div w:id="821316043">
          <w:marLeft w:val="0"/>
          <w:marRight w:val="0"/>
          <w:marTop w:val="0"/>
          <w:marBottom w:val="0"/>
          <w:divBdr>
            <w:top w:val="none" w:sz="0" w:space="0" w:color="auto"/>
            <w:left w:val="none" w:sz="0" w:space="0" w:color="auto"/>
            <w:bottom w:val="none" w:sz="0" w:space="0" w:color="auto"/>
            <w:right w:val="none" w:sz="0" w:space="0" w:color="auto"/>
          </w:divBdr>
        </w:div>
      </w:divsChild>
    </w:div>
    <w:div w:id="355891655">
      <w:bodyDiv w:val="1"/>
      <w:marLeft w:val="0"/>
      <w:marRight w:val="0"/>
      <w:marTop w:val="0"/>
      <w:marBottom w:val="0"/>
      <w:divBdr>
        <w:top w:val="none" w:sz="0" w:space="0" w:color="auto"/>
        <w:left w:val="none" w:sz="0" w:space="0" w:color="auto"/>
        <w:bottom w:val="none" w:sz="0" w:space="0" w:color="auto"/>
        <w:right w:val="none" w:sz="0" w:space="0" w:color="auto"/>
      </w:divBdr>
      <w:divsChild>
        <w:div w:id="1465926884">
          <w:marLeft w:val="0"/>
          <w:marRight w:val="0"/>
          <w:marTop w:val="0"/>
          <w:marBottom w:val="0"/>
          <w:divBdr>
            <w:top w:val="none" w:sz="0" w:space="0" w:color="auto"/>
            <w:left w:val="none" w:sz="0" w:space="0" w:color="auto"/>
            <w:bottom w:val="none" w:sz="0" w:space="0" w:color="auto"/>
            <w:right w:val="none" w:sz="0" w:space="0" w:color="auto"/>
          </w:divBdr>
        </w:div>
        <w:div w:id="1951621251">
          <w:marLeft w:val="0"/>
          <w:marRight w:val="0"/>
          <w:marTop w:val="0"/>
          <w:marBottom w:val="0"/>
          <w:divBdr>
            <w:top w:val="none" w:sz="0" w:space="0" w:color="auto"/>
            <w:left w:val="none" w:sz="0" w:space="0" w:color="auto"/>
            <w:bottom w:val="none" w:sz="0" w:space="0" w:color="auto"/>
            <w:right w:val="none" w:sz="0" w:space="0" w:color="auto"/>
          </w:divBdr>
        </w:div>
        <w:div w:id="406345465">
          <w:marLeft w:val="0"/>
          <w:marRight w:val="0"/>
          <w:marTop w:val="0"/>
          <w:marBottom w:val="0"/>
          <w:divBdr>
            <w:top w:val="none" w:sz="0" w:space="0" w:color="auto"/>
            <w:left w:val="none" w:sz="0" w:space="0" w:color="auto"/>
            <w:bottom w:val="none" w:sz="0" w:space="0" w:color="auto"/>
            <w:right w:val="none" w:sz="0" w:space="0" w:color="auto"/>
          </w:divBdr>
        </w:div>
        <w:div w:id="547643272">
          <w:marLeft w:val="0"/>
          <w:marRight w:val="0"/>
          <w:marTop w:val="0"/>
          <w:marBottom w:val="0"/>
          <w:divBdr>
            <w:top w:val="none" w:sz="0" w:space="0" w:color="auto"/>
            <w:left w:val="none" w:sz="0" w:space="0" w:color="auto"/>
            <w:bottom w:val="none" w:sz="0" w:space="0" w:color="auto"/>
            <w:right w:val="none" w:sz="0" w:space="0" w:color="auto"/>
          </w:divBdr>
        </w:div>
        <w:div w:id="223685889">
          <w:marLeft w:val="0"/>
          <w:marRight w:val="0"/>
          <w:marTop w:val="0"/>
          <w:marBottom w:val="0"/>
          <w:divBdr>
            <w:top w:val="none" w:sz="0" w:space="0" w:color="auto"/>
            <w:left w:val="none" w:sz="0" w:space="0" w:color="auto"/>
            <w:bottom w:val="none" w:sz="0" w:space="0" w:color="auto"/>
            <w:right w:val="none" w:sz="0" w:space="0" w:color="auto"/>
          </w:divBdr>
        </w:div>
      </w:divsChild>
    </w:div>
    <w:div w:id="393548566">
      <w:bodyDiv w:val="1"/>
      <w:marLeft w:val="0"/>
      <w:marRight w:val="0"/>
      <w:marTop w:val="0"/>
      <w:marBottom w:val="0"/>
      <w:divBdr>
        <w:top w:val="none" w:sz="0" w:space="0" w:color="auto"/>
        <w:left w:val="none" w:sz="0" w:space="0" w:color="auto"/>
        <w:bottom w:val="none" w:sz="0" w:space="0" w:color="auto"/>
        <w:right w:val="none" w:sz="0" w:space="0" w:color="auto"/>
      </w:divBdr>
      <w:divsChild>
        <w:div w:id="555122217">
          <w:marLeft w:val="0"/>
          <w:marRight w:val="0"/>
          <w:marTop w:val="0"/>
          <w:marBottom w:val="0"/>
          <w:divBdr>
            <w:top w:val="none" w:sz="0" w:space="0" w:color="auto"/>
            <w:left w:val="none" w:sz="0" w:space="0" w:color="auto"/>
            <w:bottom w:val="none" w:sz="0" w:space="0" w:color="auto"/>
            <w:right w:val="none" w:sz="0" w:space="0" w:color="auto"/>
          </w:divBdr>
        </w:div>
      </w:divsChild>
    </w:div>
    <w:div w:id="411396476">
      <w:bodyDiv w:val="1"/>
      <w:marLeft w:val="0"/>
      <w:marRight w:val="0"/>
      <w:marTop w:val="0"/>
      <w:marBottom w:val="0"/>
      <w:divBdr>
        <w:top w:val="none" w:sz="0" w:space="0" w:color="auto"/>
        <w:left w:val="none" w:sz="0" w:space="0" w:color="auto"/>
        <w:bottom w:val="none" w:sz="0" w:space="0" w:color="auto"/>
        <w:right w:val="none" w:sz="0" w:space="0" w:color="auto"/>
      </w:divBdr>
      <w:divsChild>
        <w:div w:id="1820415523">
          <w:marLeft w:val="0"/>
          <w:marRight w:val="0"/>
          <w:marTop w:val="0"/>
          <w:marBottom w:val="0"/>
          <w:divBdr>
            <w:top w:val="none" w:sz="0" w:space="0" w:color="auto"/>
            <w:left w:val="none" w:sz="0" w:space="0" w:color="auto"/>
            <w:bottom w:val="none" w:sz="0" w:space="0" w:color="auto"/>
            <w:right w:val="none" w:sz="0" w:space="0" w:color="auto"/>
          </w:divBdr>
        </w:div>
      </w:divsChild>
    </w:div>
    <w:div w:id="421996240">
      <w:bodyDiv w:val="1"/>
      <w:marLeft w:val="0"/>
      <w:marRight w:val="0"/>
      <w:marTop w:val="0"/>
      <w:marBottom w:val="0"/>
      <w:divBdr>
        <w:top w:val="none" w:sz="0" w:space="0" w:color="auto"/>
        <w:left w:val="none" w:sz="0" w:space="0" w:color="auto"/>
        <w:bottom w:val="none" w:sz="0" w:space="0" w:color="auto"/>
        <w:right w:val="none" w:sz="0" w:space="0" w:color="auto"/>
      </w:divBdr>
      <w:divsChild>
        <w:div w:id="522675581">
          <w:marLeft w:val="0"/>
          <w:marRight w:val="0"/>
          <w:marTop w:val="0"/>
          <w:marBottom w:val="0"/>
          <w:divBdr>
            <w:top w:val="none" w:sz="0" w:space="0" w:color="auto"/>
            <w:left w:val="none" w:sz="0" w:space="0" w:color="auto"/>
            <w:bottom w:val="none" w:sz="0" w:space="0" w:color="auto"/>
            <w:right w:val="none" w:sz="0" w:space="0" w:color="auto"/>
          </w:divBdr>
          <w:divsChild>
            <w:div w:id="37331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60074">
      <w:bodyDiv w:val="1"/>
      <w:marLeft w:val="0"/>
      <w:marRight w:val="0"/>
      <w:marTop w:val="0"/>
      <w:marBottom w:val="0"/>
      <w:divBdr>
        <w:top w:val="none" w:sz="0" w:space="0" w:color="auto"/>
        <w:left w:val="none" w:sz="0" w:space="0" w:color="auto"/>
        <w:bottom w:val="none" w:sz="0" w:space="0" w:color="auto"/>
        <w:right w:val="none" w:sz="0" w:space="0" w:color="auto"/>
      </w:divBdr>
      <w:divsChild>
        <w:div w:id="2133136236">
          <w:marLeft w:val="0"/>
          <w:marRight w:val="0"/>
          <w:marTop w:val="0"/>
          <w:marBottom w:val="0"/>
          <w:divBdr>
            <w:top w:val="none" w:sz="0" w:space="0" w:color="auto"/>
            <w:left w:val="none" w:sz="0" w:space="0" w:color="auto"/>
            <w:bottom w:val="none" w:sz="0" w:space="0" w:color="auto"/>
            <w:right w:val="none" w:sz="0" w:space="0" w:color="auto"/>
          </w:divBdr>
        </w:div>
      </w:divsChild>
    </w:div>
    <w:div w:id="642001190">
      <w:bodyDiv w:val="1"/>
      <w:marLeft w:val="0"/>
      <w:marRight w:val="0"/>
      <w:marTop w:val="0"/>
      <w:marBottom w:val="0"/>
      <w:divBdr>
        <w:top w:val="none" w:sz="0" w:space="0" w:color="auto"/>
        <w:left w:val="none" w:sz="0" w:space="0" w:color="auto"/>
        <w:bottom w:val="none" w:sz="0" w:space="0" w:color="auto"/>
        <w:right w:val="none" w:sz="0" w:space="0" w:color="auto"/>
      </w:divBdr>
      <w:divsChild>
        <w:div w:id="325977929">
          <w:marLeft w:val="0"/>
          <w:marRight w:val="0"/>
          <w:marTop w:val="0"/>
          <w:marBottom w:val="0"/>
          <w:divBdr>
            <w:top w:val="none" w:sz="0" w:space="0" w:color="auto"/>
            <w:left w:val="none" w:sz="0" w:space="0" w:color="auto"/>
            <w:bottom w:val="none" w:sz="0" w:space="0" w:color="auto"/>
            <w:right w:val="none" w:sz="0" w:space="0" w:color="auto"/>
          </w:divBdr>
          <w:divsChild>
            <w:div w:id="1863590214">
              <w:marLeft w:val="0"/>
              <w:marRight w:val="0"/>
              <w:marTop w:val="0"/>
              <w:marBottom w:val="0"/>
              <w:divBdr>
                <w:top w:val="none" w:sz="0" w:space="0" w:color="auto"/>
                <w:left w:val="none" w:sz="0" w:space="0" w:color="auto"/>
                <w:bottom w:val="none" w:sz="0" w:space="0" w:color="auto"/>
                <w:right w:val="none" w:sz="0" w:space="0" w:color="auto"/>
              </w:divBdr>
            </w:div>
          </w:divsChild>
        </w:div>
        <w:div w:id="2105300251">
          <w:marLeft w:val="0"/>
          <w:marRight w:val="0"/>
          <w:marTop w:val="0"/>
          <w:marBottom w:val="0"/>
          <w:divBdr>
            <w:top w:val="none" w:sz="0" w:space="0" w:color="auto"/>
            <w:left w:val="none" w:sz="0" w:space="0" w:color="auto"/>
            <w:bottom w:val="none" w:sz="0" w:space="0" w:color="auto"/>
            <w:right w:val="none" w:sz="0" w:space="0" w:color="auto"/>
          </w:divBdr>
          <w:divsChild>
            <w:div w:id="233206255">
              <w:marLeft w:val="0"/>
              <w:marRight w:val="0"/>
              <w:marTop w:val="0"/>
              <w:marBottom w:val="0"/>
              <w:divBdr>
                <w:top w:val="none" w:sz="0" w:space="0" w:color="auto"/>
                <w:left w:val="none" w:sz="0" w:space="0" w:color="auto"/>
                <w:bottom w:val="none" w:sz="0" w:space="0" w:color="auto"/>
                <w:right w:val="none" w:sz="0" w:space="0" w:color="auto"/>
              </w:divBdr>
              <w:divsChild>
                <w:div w:id="2777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933">
          <w:marLeft w:val="0"/>
          <w:marRight w:val="0"/>
          <w:marTop w:val="0"/>
          <w:marBottom w:val="0"/>
          <w:divBdr>
            <w:top w:val="none" w:sz="0" w:space="0" w:color="auto"/>
            <w:left w:val="none" w:sz="0" w:space="0" w:color="auto"/>
            <w:bottom w:val="none" w:sz="0" w:space="0" w:color="auto"/>
            <w:right w:val="none" w:sz="0" w:space="0" w:color="auto"/>
          </w:divBdr>
        </w:div>
      </w:divsChild>
    </w:div>
    <w:div w:id="711927915">
      <w:bodyDiv w:val="1"/>
      <w:marLeft w:val="0"/>
      <w:marRight w:val="0"/>
      <w:marTop w:val="0"/>
      <w:marBottom w:val="0"/>
      <w:divBdr>
        <w:top w:val="none" w:sz="0" w:space="0" w:color="auto"/>
        <w:left w:val="none" w:sz="0" w:space="0" w:color="auto"/>
        <w:bottom w:val="none" w:sz="0" w:space="0" w:color="auto"/>
        <w:right w:val="none" w:sz="0" w:space="0" w:color="auto"/>
      </w:divBdr>
      <w:divsChild>
        <w:div w:id="947784440">
          <w:marLeft w:val="0"/>
          <w:marRight w:val="0"/>
          <w:marTop w:val="0"/>
          <w:marBottom w:val="0"/>
          <w:divBdr>
            <w:top w:val="none" w:sz="0" w:space="0" w:color="auto"/>
            <w:left w:val="none" w:sz="0" w:space="0" w:color="auto"/>
            <w:bottom w:val="none" w:sz="0" w:space="0" w:color="auto"/>
            <w:right w:val="none" w:sz="0" w:space="0" w:color="auto"/>
          </w:divBdr>
        </w:div>
        <w:div w:id="1499692555">
          <w:marLeft w:val="0"/>
          <w:marRight w:val="0"/>
          <w:marTop w:val="0"/>
          <w:marBottom w:val="0"/>
          <w:divBdr>
            <w:top w:val="none" w:sz="0" w:space="0" w:color="auto"/>
            <w:left w:val="none" w:sz="0" w:space="0" w:color="auto"/>
            <w:bottom w:val="none" w:sz="0" w:space="0" w:color="auto"/>
            <w:right w:val="none" w:sz="0" w:space="0" w:color="auto"/>
          </w:divBdr>
        </w:div>
      </w:divsChild>
    </w:div>
    <w:div w:id="848371618">
      <w:bodyDiv w:val="1"/>
      <w:marLeft w:val="0"/>
      <w:marRight w:val="0"/>
      <w:marTop w:val="0"/>
      <w:marBottom w:val="0"/>
      <w:divBdr>
        <w:top w:val="none" w:sz="0" w:space="0" w:color="auto"/>
        <w:left w:val="none" w:sz="0" w:space="0" w:color="auto"/>
        <w:bottom w:val="none" w:sz="0" w:space="0" w:color="auto"/>
        <w:right w:val="none" w:sz="0" w:space="0" w:color="auto"/>
      </w:divBdr>
      <w:divsChild>
        <w:div w:id="1148479920">
          <w:marLeft w:val="0"/>
          <w:marRight w:val="0"/>
          <w:marTop w:val="0"/>
          <w:marBottom w:val="0"/>
          <w:divBdr>
            <w:top w:val="none" w:sz="0" w:space="0" w:color="auto"/>
            <w:left w:val="none" w:sz="0" w:space="0" w:color="auto"/>
            <w:bottom w:val="none" w:sz="0" w:space="0" w:color="auto"/>
            <w:right w:val="none" w:sz="0" w:space="0" w:color="auto"/>
          </w:divBdr>
        </w:div>
      </w:divsChild>
    </w:div>
    <w:div w:id="907764675">
      <w:bodyDiv w:val="1"/>
      <w:marLeft w:val="0"/>
      <w:marRight w:val="0"/>
      <w:marTop w:val="0"/>
      <w:marBottom w:val="0"/>
      <w:divBdr>
        <w:top w:val="none" w:sz="0" w:space="0" w:color="auto"/>
        <w:left w:val="none" w:sz="0" w:space="0" w:color="auto"/>
        <w:bottom w:val="none" w:sz="0" w:space="0" w:color="auto"/>
        <w:right w:val="none" w:sz="0" w:space="0" w:color="auto"/>
      </w:divBdr>
    </w:div>
    <w:div w:id="949775321">
      <w:bodyDiv w:val="1"/>
      <w:marLeft w:val="0"/>
      <w:marRight w:val="0"/>
      <w:marTop w:val="0"/>
      <w:marBottom w:val="0"/>
      <w:divBdr>
        <w:top w:val="none" w:sz="0" w:space="0" w:color="auto"/>
        <w:left w:val="none" w:sz="0" w:space="0" w:color="auto"/>
        <w:bottom w:val="none" w:sz="0" w:space="0" w:color="auto"/>
        <w:right w:val="none" w:sz="0" w:space="0" w:color="auto"/>
      </w:divBdr>
      <w:divsChild>
        <w:div w:id="51467685">
          <w:marLeft w:val="0"/>
          <w:marRight w:val="0"/>
          <w:marTop w:val="0"/>
          <w:marBottom w:val="0"/>
          <w:divBdr>
            <w:top w:val="none" w:sz="0" w:space="0" w:color="auto"/>
            <w:left w:val="none" w:sz="0" w:space="0" w:color="auto"/>
            <w:bottom w:val="none" w:sz="0" w:space="0" w:color="auto"/>
            <w:right w:val="none" w:sz="0" w:space="0" w:color="auto"/>
          </w:divBdr>
        </w:div>
        <w:div w:id="820929897">
          <w:marLeft w:val="0"/>
          <w:marRight w:val="0"/>
          <w:marTop w:val="0"/>
          <w:marBottom w:val="0"/>
          <w:divBdr>
            <w:top w:val="none" w:sz="0" w:space="0" w:color="auto"/>
            <w:left w:val="none" w:sz="0" w:space="0" w:color="auto"/>
            <w:bottom w:val="none" w:sz="0" w:space="0" w:color="auto"/>
            <w:right w:val="none" w:sz="0" w:space="0" w:color="auto"/>
          </w:divBdr>
        </w:div>
        <w:div w:id="16934798">
          <w:marLeft w:val="0"/>
          <w:marRight w:val="0"/>
          <w:marTop w:val="0"/>
          <w:marBottom w:val="0"/>
          <w:divBdr>
            <w:top w:val="none" w:sz="0" w:space="0" w:color="auto"/>
            <w:left w:val="none" w:sz="0" w:space="0" w:color="auto"/>
            <w:bottom w:val="none" w:sz="0" w:space="0" w:color="auto"/>
            <w:right w:val="none" w:sz="0" w:space="0" w:color="auto"/>
          </w:divBdr>
        </w:div>
        <w:div w:id="1385904969">
          <w:marLeft w:val="0"/>
          <w:marRight w:val="0"/>
          <w:marTop w:val="0"/>
          <w:marBottom w:val="0"/>
          <w:divBdr>
            <w:top w:val="none" w:sz="0" w:space="0" w:color="auto"/>
            <w:left w:val="none" w:sz="0" w:space="0" w:color="auto"/>
            <w:bottom w:val="none" w:sz="0" w:space="0" w:color="auto"/>
            <w:right w:val="none" w:sz="0" w:space="0" w:color="auto"/>
          </w:divBdr>
        </w:div>
        <w:div w:id="2014642758">
          <w:marLeft w:val="0"/>
          <w:marRight w:val="0"/>
          <w:marTop w:val="0"/>
          <w:marBottom w:val="0"/>
          <w:divBdr>
            <w:top w:val="none" w:sz="0" w:space="0" w:color="auto"/>
            <w:left w:val="none" w:sz="0" w:space="0" w:color="auto"/>
            <w:bottom w:val="none" w:sz="0" w:space="0" w:color="auto"/>
            <w:right w:val="none" w:sz="0" w:space="0" w:color="auto"/>
          </w:divBdr>
        </w:div>
      </w:divsChild>
    </w:div>
    <w:div w:id="983126371">
      <w:bodyDiv w:val="1"/>
      <w:marLeft w:val="0"/>
      <w:marRight w:val="0"/>
      <w:marTop w:val="0"/>
      <w:marBottom w:val="0"/>
      <w:divBdr>
        <w:top w:val="none" w:sz="0" w:space="0" w:color="auto"/>
        <w:left w:val="none" w:sz="0" w:space="0" w:color="auto"/>
        <w:bottom w:val="none" w:sz="0" w:space="0" w:color="auto"/>
        <w:right w:val="none" w:sz="0" w:space="0" w:color="auto"/>
      </w:divBdr>
      <w:divsChild>
        <w:div w:id="393891630">
          <w:marLeft w:val="0"/>
          <w:marRight w:val="0"/>
          <w:marTop w:val="0"/>
          <w:marBottom w:val="0"/>
          <w:divBdr>
            <w:top w:val="none" w:sz="0" w:space="0" w:color="auto"/>
            <w:left w:val="none" w:sz="0" w:space="0" w:color="auto"/>
            <w:bottom w:val="none" w:sz="0" w:space="0" w:color="auto"/>
            <w:right w:val="none" w:sz="0" w:space="0" w:color="auto"/>
          </w:divBdr>
          <w:divsChild>
            <w:div w:id="179498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7460">
      <w:bodyDiv w:val="1"/>
      <w:marLeft w:val="0"/>
      <w:marRight w:val="0"/>
      <w:marTop w:val="0"/>
      <w:marBottom w:val="0"/>
      <w:divBdr>
        <w:top w:val="none" w:sz="0" w:space="0" w:color="auto"/>
        <w:left w:val="none" w:sz="0" w:space="0" w:color="auto"/>
        <w:bottom w:val="none" w:sz="0" w:space="0" w:color="auto"/>
        <w:right w:val="none" w:sz="0" w:space="0" w:color="auto"/>
      </w:divBdr>
      <w:divsChild>
        <w:div w:id="139156065">
          <w:marLeft w:val="0"/>
          <w:marRight w:val="0"/>
          <w:marTop w:val="0"/>
          <w:marBottom w:val="0"/>
          <w:divBdr>
            <w:top w:val="none" w:sz="0" w:space="0" w:color="auto"/>
            <w:left w:val="none" w:sz="0" w:space="0" w:color="auto"/>
            <w:bottom w:val="none" w:sz="0" w:space="0" w:color="auto"/>
            <w:right w:val="none" w:sz="0" w:space="0" w:color="auto"/>
          </w:divBdr>
          <w:divsChild>
            <w:div w:id="122969151">
              <w:marLeft w:val="0"/>
              <w:marRight w:val="0"/>
              <w:marTop w:val="0"/>
              <w:marBottom w:val="0"/>
              <w:divBdr>
                <w:top w:val="none" w:sz="0" w:space="0" w:color="auto"/>
                <w:left w:val="none" w:sz="0" w:space="0" w:color="auto"/>
                <w:bottom w:val="none" w:sz="0" w:space="0" w:color="auto"/>
                <w:right w:val="none" w:sz="0" w:space="0" w:color="auto"/>
              </w:divBdr>
            </w:div>
          </w:divsChild>
        </w:div>
        <w:div w:id="1364211254">
          <w:marLeft w:val="0"/>
          <w:marRight w:val="0"/>
          <w:marTop w:val="0"/>
          <w:marBottom w:val="0"/>
          <w:divBdr>
            <w:top w:val="none" w:sz="0" w:space="0" w:color="auto"/>
            <w:left w:val="none" w:sz="0" w:space="0" w:color="auto"/>
            <w:bottom w:val="none" w:sz="0" w:space="0" w:color="auto"/>
            <w:right w:val="none" w:sz="0" w:space="0" w:color="auto"/>
          </w:divBdr>
          <w:divsChild>
            <w:div w:id="2094085015">
              <w:marLeft w:val="0"/>
              <w:marRight w:val="0"/>
              <w:marTop w:val="0"/>
              <w:marBottom w:val="0"/>
              <w:divBdr>
                <w:top w:val="none" w:sz="0" w:space="0" w:color="auto"/>
                <w:left w:val="none" w:sz="0" w:space="0" w:color="auto"/>
                <w:bottom w:val="none" w:sz="0" w:space="0" w:color="auto"/>
                <w:right w:val="none" w:sz="0" w:space="0" w:color="auto"/>
              </w:divBdr>
              <w:divsChild>
                <w:div w:id="17352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29103">
          <w:marLeft w:val="0"/>
          <w:marRight w:val="0"/>
          <w:marTop w:val="0"/>
          <w:marBottom w:val="0"/>
          <w:divBdr>
            <w:top w:val="none" w:sz="0" w:space="0" w:color="auto"/>
            <w:left w:val="none" w:sz="0" w:space="0" w:color="auto"/>
            <w:bottom w:val="none" w:sz="0" w:space="0" w:color="auto"/>
            <w:right w:val="none" w:sz="0" w:space="0" w:color="auto"/>
          </w:divBdr>
        </w:div>
      </w:divsChild>
    </w:div>
    <w:div w:id="1028483632">
      <w:bodyDiv w:val="1"/>
      <w:marLeft w:val="0"/>
      <w:marRight w:val="0"/>
      <w:marTop w:val="0"/>
      <w:marBottom w:val="0"/>
      <w:divBdr>
        <w:top w:val="none" w:sz="0" w:space="0" w:color="auto"/>
        <w:left w:val="none" w:sz="0" w:space="0" w:color="auto"/>
        <w:bottom w:val="none" w:sz="0" w:space="0" w:color="auto"/>
        <w:right w:val="none" w:sz="0" w:space="0" w:color="auto"/>
      </w:divBdr>
    </w:div>
    <w:div w:id="1118379190">
      <w:bodyDiv w:val="1"/>
      <w:marLeft w:val="0"/>
      <w:marRight w:val="0"/>
      <w:marTop w:val="0"/>
      <w:marBottom w:val="0"/>
      <w:divBdr>
        <w:top w:val="none" w:sz="0" w:space="0" w:color="auto"/>
        <w:left w:val="none" w:sz="0" w:space="0" w:color="auto"/>
        <w:bottom w:val="none" w:sz="0" w:space="0" w:color="auto"/>
        <w:right w:val="none" w:sz="0" w:space="0" w:color="auto"/>
      </w:divBdr>
    </w:div>
    <w:div w:id="1147279396">
      <w:bodyDiv w:val="1"/>
      <w:marLeft w:val="0"/>
      <w:marRight w:val="0"/>
      <w:marTop w:val="0"/>
      <w:marBottom w:val="0"/>
      <w:divBdr>
        <w:top w:val="none" w:sz="0" w:space="0" w:color="auto"/>
        <w:left w:val="none" w:sz="0" w:space="0" w:color="auto"/>
        <w:bottom w:val="none" w:sz="0" w:space="0" w:color="auto"/>
        <w:right w:val="none" w:sz="0" w:space="0" w:color="auto"/>
      </w:divBdr>
      <w:divsChild>
        <w:div w:id="222496429">
          <w:marLeft w:val="0"/>
          <w:marRight w:val="0"/>
          <w:marTop w:val="0"/>
          <w:marBottom w:val="0"/>
          <w:divBdr>
            <w:top w:val="none" w:sz="0" w:space="0" w:color="auto"/>
            <w:left w:val="none" w:sz="0" w:space="0" w:color="auto"/>
            <w:bottom w:val="none" w:sz="0" w:space="0" w:color="auto"/>
            <w:right w:val="none" w:sz="0" w:space="0" w:color="auto"/>
          </w:divBdr>
          <w:divsChild>
            <w:div w:id="1710883307">
              <w:marLeft w:val="0"/>
              <w:marRight w:val="0"/>
              <w:marTop w:val="0"/>
              <w:marBottom w:val="0"/>
              <w:divBdr>
                <w:top w:val="none" w:sz="0" w:space="0" w:color="auto"/>
                <w:left w:val="none" w:sz="0" w:space="0" w:color="auto"/>
                <w:bottom w:val="none" w:sz="0" w:space="0" w:color="auto"/>
                <w:right w:val="none" w:sz="0" w:space="0" w:color="auto"/>
              </w:divBdr>
              <w:divsChild>
                <w:div w:id="439616111">
                  <w:marLeft w:val="0"/>
                  <w:marRight w:val="0"/>
                  <w:marTop w:val="0"/>
                  <w:marBottom w:val="0"/>
                  <w:divBdr>
                    <w:top w:val="none" w:sz="0" w:space="0" w:color="auto"/>
                    <w:left w:val="none" w:sz="0" w:space="0" w:color="auto"/>
                    <w:bottom w:val="none" w:sz="0" w:space="0" w:color="auto"/>
                    <w:right w:val="none" w:sz="0" w:space="0" w:color="auto"/>
                  </w:divBdr>
                  <w:divsChild>
                    <w:div w:id="19539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4725">
          <w:marLeft w:val="0"/>
          <w:marRight w:val="0"/>
          <w:marTop w:val="0"/>
          <w:marBottom w:val="0"/>
          <w:divBdr>
            <w:top w:val="none" w:sz="0" w:space="0" w:color="auto"/>
            <w:left w:val="none" w:sz="0" w:space="0" w:color="auto"/>
            <w:bottom w:val="none" w:sz="0" w:space="0" w:color="auto"/>
            <w:right w:val="none" w:sz="0" w:space="0" w:color="auto"/>
          </w:divBdr>
          <w:divsChild>
            <w:div w:id="1730687407">
              <w:marLeft w:val="0"/>
              <w:marRight w:val="0"/>
              <w:marTop w:val="0"/>
              <w:marBottom w:val="0"/>
              <w:divBdr>
                <w:top w:val="none" w:sz="0" w:space="0" w:color="auto"/>
                <w:left w:val="none" w:sz="0" w:space="0" w:color="auto"/>
                <w:bottom w:val="none" w:sz="0" w:space="0" w:color="auto"/>
                <w:right w:val="none" w:sz="0" w:space="0" w:color="auto"/>
              </w:divBdr>
              <w:divsChild>
                <w:div w:id="74619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71692">
          <w:marLeft w:val="0"/>
          <w:marRight w:val="0"/>
          <w:marTop w:val="0"/>
          <w:marBottom w:val="0"/>
          <w:divBdr>
            <w:top w:val="none" w:sz="0" w:space="0" w:color="auto"/>
            <w:left w:val="none" w:sz="0" w:space="0" w:color="auto"/>
            <w:bottom w:val="none" w:sz="0" w:space="0" w:color="auto"/>
            <w:right w:val="none" w:sz="0" w:space="0" w:color="auto"/>
          </w:divBdr>
        </w:div>
      </w:divsChild>
    </w:div>
    <w:div w:id="1225801901">
      <w:bodyDiv w:val="1"/>
      <w:marLeft w:val="0"/>
      <w:marRight w:val="0"/>
      <w:marTop w:val="0"/>
      <w:marBottom w:val="0"/>
      <w:divBdr>
        <w:top w:val="none" w:sz="0" w:space="0" w:color="auto"/>
        <w:left w:val="none" w:sz="0" w:space="0" w:color="auto"/>
        <w:bottom w:val="none" w:sz="0" w:space="0" w:color="auto"/>
        <w:right w:val="none" w:sz="0" w:space="0" w:color="auto"/>
      </w:divBdr>
      <w:divsChild>
        <w:div w:id="201791461">
          <w:marLeft w:val="0"/>
          <w:marRight w:val="0"/>
          <w:marTop w:val="0"/>
          <w:marBottom w:val="0"/>
          <w:divBdr>
            <w:top w:val="none" w:sz="0" w:space="0" w:color="auto"/>
            <w:left w:val="none" w:sz="0" w:space="0" w:color="auto"/>
            <w:bottom w:val="none" w:sz="0" w:space="0" w:color="auto"/>
            <w:right w:val="none" w:sz="0" w:space="0" w:color="auto"/>
          </w:divBdr>
        </w:div>
      </w:divsChild>
    </w:div>
    <w:div w:id="1247416839">
      <w:bodyDiv w:val="1"/>
      <w:marLeft w:val="0"/>
      <w:marRight w:val="0"/>
      <w:marTop w:val="0"/>
      <w:marBottom w:val="0"/>
      <w:divBdr>
        <w:top w:val="none" w:sz="0" w:space="0" w:color="auto"/>
        <w:left w:val="none" w:sz="0" w:space="0" w:color="auto"/>
        <w:bottom w:val="none" w:sz="0" w:space="0" w:color="auto"/>
        <w:right w:val="none" w:sz="0" w:space="0" w:color="auto"/>
      </w:divBdr>
    </w:div>
    <w:div w:id="1355154765">
      <w:bodyDiv w:val="1"/>
      <w:marLeft w:val="0"/>
      <w:marRight w:val="0"/>
      <w:marTop w:val="0"/>
      <w:marBottom w:val="0"/>
      <w:divBdr>
        <w:top w:val="none" w:sz="0" w:space="0" w:color="auto"/>
        <w:left w:val="none" w:sz="0" w:space="0" w:color="auto"/>
        <w:bottom w:val="none" w:sz="0" w:space="0" w:color="auto"/>
        <w:right w:val="none" w:sz="0" w:space="0" w:color="auto"/>
      </w:divBdr>
    </w:div>
    <w:div w:id="1369258929">
      <w:bodyDiv w:val="1"/>
      <w:marLeft w:val="0"/>
      <w:marRight w:val="0"/>
      <w:marTop w:val="0"/>
      <w:marBottom w:val="0"/>
      <w:divBdr>
        <w:top w:val="none" w:sz="0" w:space="0" w:color="auto"/>
        <w:left w:val="none" w:sz="0" w:space="0" w:color="auto"/>
        <w:bottom w:val="none" w:sz="0" w:space="0" w:color="auto"/>
        <w:right w:val="none" w:sz="0" w:space="0" w:color="auto"/>
      </w:divBdr>
    </w:div>
    <w:div w:id="1443458018">
      <w:bodyDiv w:val="1"/>
      <w:marLeft w:val="0"/>
      <w:marRight w:val="0"/>
      <w:marTop w:val="0"/>
      <w:marBottom w:val="0"/>
      <w:divBdr>
        <w:top w:val="none" w:sz="0" w:space="0" w:color="auto"/>
        <w:left w:val="none" w:sz="0" w:space="0" w:color="auto"/>
        <w:bottom w:val="none" w:sz="0" w:space="0" w:color="auto"/>
        <w:right w:val="none" w:sz="0" w:space="0" w:color="auto"/>
      </w:divBdr>
    </w:div>
    <w:div w:id="1475026483">
      <w:bodyDiv w:val="1"/>
      <w:marLeft w:val="0"/>
      <w:marRight w:val="0"/>
      <w:marTop w:val="0"/>
      <w:marBottom w:val="0"/>
      <w:divBdr>
        <w:top w:val="none" w:sz="0" w:space="0" w:color="auto"/>
        <w:left w:val="none" w:sz="0" w:space="0" w:color="auto"/>
        <w:bottom w:val="none" w:sz="0" w:space="0" w:color="auto"/>
        <w:right w:val="none" w:sz="0" w:space="0" w:color="auto"/>
      </w:divBdr>
    </w:div>
    <w:div w:id="1640106026">
      <w:bodyDiv w:val="1"/>
      <w:marLeft w:val="0"/>
      <w:marRight w:val="0"/>
      <w:marTop w:val="0"/>
      <w:marBottom w:val="0"/>
      <w:divBdr>
        <w:top w:val="none" w:sz="0" w:space="0" w:color="auto"/>
        <w:left w:val="none" w:sz="0" w:space="0" w:color="auto"/>
        <w:bottom w:val="none" w:sz="0" w:space="0" w:color="auto"/>
        <w:right w:val="none" w:sz="0" w:space="0" w:color="auto"/>
      </w:divBdr>
      <w:divsChild>
        <w:div w:id="474839942">
          <w:marLeft w:val="0"/>
          <w:marRight w:val="0"/>
          <w:marTop w:val="0"/>
          <w:marBottom w:val="0"/>
          <w:divBdr>
            <w:top w:val="none" w:sz="0" w:space="0" w:color="auto"/>
            <w:left w:val="none" w:sz="0" w:space="0" w:color="auto"/>
            <w:bottom w:val="none" w:sz="0" w:space="0" w:color="auto"/>
            <w:right w:val="none" w:sz="0" w:space="0" w:color="auto"/>
          </w:divBdr>
        </w:div>
      </w:divsChild>
    </w:div>
    <w:div w:id="1710648345">
      <w:bodyDiv w:val="1"/>
      <w:marLeft w:val="0"/>
      <w:marRight w:val="0"/>
      <w:marTop w:val="0"/>
      <w:marBottom w:val="0"/>
      <w:divBdr>
        <w:top w:val="none" w:sz="0" w:space="0" w:color="auto"/>
        <w:left w:val="none" w:sz="0" w:space="0" w:color="auto"/>
        <w:bottom w:val="none" w:sz="0" w:space="0" w:color="auto"/>
        <w:right w:val="none" w:sz="0" w:space="0" w:color="auto"/>
      </w:divBdr>
      <w:divsChild>
        <w:div w:id="2010937306">
          <w:marLeft w:val="0"/>
          <w:marRight w:val="0"/>
          <w:marTop w:val="0"/>
          <w:marBottom w:val="0"/>
          <w:divBdr>
            <w:top w:val="none" w:sz="0" w:space="0" w:color="auto"/>
            <w:left w:val="none" w:sz="0" w:space="0" w:color="auto"/>
            <w:bottom w:val="none" w:sz="0" w:space="0" w:color="auto"/>
            <w:right w:val="none" w:sz="0" w:space="0" w:color="auto"/>
          </w:divBdr>
          <w:divsChild>
            <w:div w:id="259457104">
              <w:marLeft w:val="0"/>
              <w:marRight w:val="0"/>
              <w:marTop w:val="0"/>
              <w:marBottom w:val="0"/>
              <w:divBdr>
                <w:top w:val="none" w:sz="0" w:space="0" w:color="auto"/>
                <w:left w:val="none" w:sz="0" w:space="0" w:color="auto"/>
                <w:bottom w:val="none" w:sz="0" w:space="0" w:color="auto"/>
                <w:right w:val="none" w:sz="0" w:space="0" w:color="auto"/>
              </w:divBdr>
              <w:divsChild>
                <w:div w:id="1796559428">
                  <w:marLeft w:val="0"/>
                  <w:marRight w:val="0"/>
                  <w:marTop w:val="0"/>
                  <w:marBottom w:val="0"/>
                  <w:divBdr>
                    <w:top w:val="none" w:sz="0" w:space="0" w:color="auto"/>
                    <w:left w:val="none" w:sz="0" w:space="0" w:color="auto"/>
                    <w:bottom w:val="none" w:sz="0" w:space="0" w:color="auto"/>
                    <w:right w:val="none" w:sz="0" w:space="0" w:color="auto"/>
                  </w:divBdr>
                  <w:divsChild>
                    <w:div w:id="68324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85186">
          <w:marLeft w:val="0"/>
          <w:marRight w:val="0"/>
          <w:marTop w:val="0"/>
          <w:marBottom w:val="0"/>
          <w:divBdr>
            <w:top w:val="none" w:sz="0" w:space="0" w:color="auto"/>
            <w:left w:val="none" w:sz="0" w:space="0" w:color="auto"/>
            <w:bottom w:val="none" w:sz="0" w:space="0" w:color="auto"/>
            <w:right w:val="none" w:sz="0" w:space="0" w:color="auto"/>
          </w:divBdr>
          <w:divsChild>
            <w:div w:id="475991829">
              <w:marLeft w:val="0"/>
              <w:marRight w:val="0"/>
              <w:marTop w:val="0"/>
              <w:marBottom w:val="0"/>
              <w:divBdr>
                <w:top w:val="none" w:sz="0" w:space="0" w:color="auto"/>
                <w:left w:val="none" w:sz="0" w:space="0" w:color="auto"/>
                <w:bottom w:val="none" w:sz="0" w:space="0" w:color="auto"/>
                <w:right w:val="none" w:sz="0" w:space="0" w:color="auto"/>
              </w:divBdr>
              <w:divsChild>
                <w:div w:id="35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733564">
          <w:marLeft w:val="0"/>
          <w:marRight w:val="0"/>
          <w:marTop w:val="0"/>
          <w:marBottom w:val="0"/>
          <w:divBdr>
            <w:top w:val="none" w:sz="0" w:space="0" w:color="auto"/>
            <w:left w:val="none" w:sz="0" w:space="0" w:color="auto"/>
            <w:bottom w:val="none" w:sz="0" w:space="0" w:color="auto"/>
            <w:right w:val="none" w:sz="0" w:space="0" w:color="auto"/>
          </w:divBdr>
        </w:div>
      </w:divsChild>
    </w:div>
    <w:div w:id="1861626946">
      <w:bodyDiv w:val="1"/>
      <w:marLeft w:val="0"/>
      <w:marRight w:val="0"/>
      <w:marTop w:val="0"/>
      <w:marBottom w:val="0"/>
      <w:divBdr>
        <w:top w:val="none" w:sz="0" w:space="0" w:color="auto"/>
        <w:left w:val="none" w:sz="0" w:space="0" w:color="auto"/>
        <w:bottom w:val="none" w:sz="0" w:space="0" w:color="auto"/>
        <w:right w:val="none" w:sz="0" w:space="0" w:color="auto"/>
      </w:divBdr>
    </w:div>
    <w:div w:id="1862085620">
      <w:bodyDiv w:val="1"/>
      <w:marLeft w:val="0"/>
      <w:marRight w:val="0"/>
      <w:marTop w:val="0"/>
      <w:marBottom w:val="0"/>
      <w:divBdr>
        <w:top w:val="none" w:sz="0" w:space="0" w:color="auto"/>
        <w:left w:val="none" w:sz="0" w:space="0" w:color="auto"/>
        <w:bottom w:val="none" w:sz="0" w:space="0" w:color="auto"/>
        <w:right w:val="none" w:sz="0" w:space="0" w:color="auto"/>
      </w:divBdr>
    </w:div>
    <w:div w:id="1885168462">
      <w:bodyDiv w:val="1"/>
      <w:marLeft w:val="0"/>
      <w:marRight w:val="0"/>
      <w:marTop w:val="0"/>
      <w:marBottom w:val="0"/>
      <w:divBdr>
        <w:top w:val="none" w:sz="0" w:space="0" w:color="auto"/>
        <w:left w:val="none" w:sz="0" w:space="0" w:color="auto"/>
        <w:bottom w:val="none" w:sz="0" w:space="0" w:color="auto"/>
        <w:right w:val="none" w:sz="0" w:space="0" w:color="auto"/>
      </w:divBdr>
      <w:divsChild>
        <w:div w:id="233509030">
          <w:marLeft w:val="0"/>
          <w:marRight w:val="0"/>
          <w:marTop w:val="0"/>
          <w:marBottom w:val="0"/>
          <w:divBdr>
            <w:top w:val="none" w:sz="0" w:space="0" w:color="auto"/>
            <w:left w:val="none" w:sz="0" w:space="0" w:color="auto"/>
            <w:bottom w:val="none" w:sz="0" w:space="0" w:color="auto"/>
            <w:right w:val="none" w:sz="0" w:space="0" w:color="auto"/>
          </w:divBdr>
        </w:div>
        <w:div w:id="774834420">
          <w:marLeft w:val="0"/>
          <w:marRight w:val="0"/>
          <w:marTop w:val="0"/>
          <w:marBottom w:val="0"/>
          <w:divBdr>
            <w:top w:val="none" w:sz="0" w:space="0" w:color="auto"/>
            <w:left w:val="none" w:sz="0" w:space="0" w:color="auto"/>
            <w:bottom w:val="none" w:sz="0" w:space="0" w:color="auto"/>
            <w:right w:val="none" w:sz="0" w:space="0" w:color="auto"/>
          </w:divBdr>
        </w:div>
      </w:divsChild>
    </w:div>
    <w:div w:id="1895775791">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9">
          <w:marLeft w:val="0"/>
          <w:marRight w:val="0"/>
          <w:marTop w:val="0"/>
          <w:marBottom w:val="0"/>
          <w:divBdr>
            <w:top w:val="none" w:sz="0" w:space="0" w:color="auto"/>
            <w:left w:val="none" w:sz="0" w:space="0" w:color="auto"/>
            <w:bottom w:val="none" w:sz="0" w:space="0" w:color="auto"/>
            <w:right w:val="none" w:sz="0" w:space="0" w:color="auto"/>
          </w:divBdr>
        </w:div>
      </w:divsChild>
    </w:div>
    <w:div w:id="1926185591">
      <w:bodyDiv w:val="1"/>
      <w:marLeft w:val="0"/>
      <w:marRight w:val="0"/>
      <w:marTop w:val="0"/>
      <w:marBottom w:val="0"/>
      <w:divBdr>
        <w:top w:val="none" w:sz="0" w:space="0" w:color="auto"/>
        <w:left w:val="none" w:sz="0" w:space="0" w:color="auto"/>
        <w:bottom w:val="none" w:sz="0" w:space="0" w:color="auto"/>
        <w:right w:val="none" w:sz="0" w:space="0" w:color="auto"/>
      </w:divBdr>
      <w:divsChild>
        <w:div w:id="125128402">
          <w:marLeft w:val="0"/>
          <w:marRight w:val="0"/>
          <w:marTop w:val="0"/>
          <w:marBottom w:val="0"/>
          <w:divBdr>
            <w:top w:val="none" w:sz="0" w:space="0" w:color="auto"/>
            <w:left w:val="none" w:sz="0" w:space="0" w:color="auto"/>
            <w:bottom w:val="none" w:sz="0" w:space="0" w:color="auto"/>
            <w:right w:val="none" w:sz="0" w:space="0" w:color="auto"/>
          </w:divBdr>
          <w:divsChild>
            <w:div w:id="1523785620">
              <w:marLeft w:val="0"/>
              <w:marRight w:val="0"/>
              <w:marTop w:val="0"/>
              <w:marBottom w:val="0"/>
              <w:divBdr>
                <w:top w:val="none" w:sz="0" w:space="0" w:color="auto"/>
                <w:left w:val="none" w:sz="0" w:space="0" w:color="auto"/>
                <w:bottom w:val="none" w:sz="0" w:space="0" w:color="auto"/>
                <w:right w:val="none" w:sz="0" w:space="0" w:color="auto"/>
              </w:divBdr>
              <w:divsChild>
                <w:div w:id="1191214908">
                  <w:marLeft w:val="0"/>
                  <w:marRight w:val="0"/>
                  <w:marTop w:val="0"/>
                  <w:marBottom w:val="0"/>
                  <w:divBdr>
                    <w:top w:val="none" w:sz="0" w:space="0" w:color="auto"/>
                    <w:left w:val="none" w:sz="0" w:space="0" w:color="auto"/>
                    <w:bottom w:val="none" w:sz="0" w:space="0" w:color="auto"/>
                    <w:right w:val="none" w:sz="0" w:space="0" w:color="auto"/>
                  </w:divBdr>
                  <w:divsChild>
                    <w:div w:id="209508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mhamaker@diakhui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A60930E50C2484587DEC0E8EA96A671" ma:contentTypeVersion="14" ma:contentTypeDescription="Opprett et nytt dokument." ma:contentTypeScope="" ma:versionID="5c6d6745f65e0119291ce6badbc6137d">
  <xsd:schema xmlns:xsd="http://www.w3.org/2001/XMLSchema" xmlns:xs="http://www.w3.org/2001/XMLSchema" xmlns:p="http://schemas.microsoft.com/office/2006/metadata/properties" xmlns:ns3="3479d790-c6bb-4bf5-8956-49208da2e0e4" xmlns:ns4="31deecda-6fdb-48cf-85bf-8b5179897f80" targetNamespace="http://schemas.microsoft.com/office/2006/metadata/properties" ma:root="true" ma:fieldsID="d6329d0230465c847ca599069d91a210" ns3:_="" ns4:_="">
    <xsd:import namespace="3479d790-c6bb-4bf5-8956-49208da2e0e4"/>
    <xsd:import namespace="31deecda-6fdb-48cf-85bf-8b5179897f8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9d790-c6bb-4bf5-8956-49208da2e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deecda-6fdb-48cf-85bf-8b5179897f80" elementFormDefault="qualified">
    <xsd:import namespace="http://schemas.microsoft.com/office/2006/documentManagement/types"/>
    <xsd:import namespace="http://schemas.microsoft.com/office/infopath/2007/PartnerControls"/>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ingsdetaljer" ma:internalName="SharedWithDetails" ma:readOnly="true">
      <xsd:simpleType>
        <xsd:restriction base="dms:Note">
          <xsd:maxLength value="255"/>
        </xsd:restriction>
      </xsd:simpleType>
    </xsd:element>
    <xsd:element name="SharingHintHash" ma:index="21"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33AB3FA-E908-4FE6-8ED3-61EBAA2D6D28}">
  <ds:schemaRefs>
    <ds:schemaRef ds:uri="http://schemas.microsoft.com/sharepoint/v3/contenttype/forms"/>
  </ds:schemaRefs>
</ds:datastoreItem>
</file>

<file path=customXml/itemProps2.xml><?xml version="1.0" encoding="utf-8"?>
<ds:datastoreItem xmlns:ds="http://schemas.openxmlformats.org/officeDocument/2006/customXml" ds:itemID="{B020BA0B-F43C-4B5D-98EC-C83549CA2525}">
  <ds:schemaRefs>
    <ds:schemaRef ds:uri="http://schemas.microsoft.com/office/infopath/2007/PartnerControls"/>
    <ds:schemaRef ds:uri="http://purl.org/dc/elements/1.1/"/>
    <ds:schemaRef ds:uri="http://schemas.microsoft.com/office/2006/metadata/properties"/>
    <ds:schemaRef ds:uri="31deecda-6fdb-48cf-85bf-8b5179897f80"/>
    <ds:schemaRef ds:uri="http://purl.org/dc/terms/"/>
    <ds:schemaRef ds:uri="http://schemas.openxmlformats.org/package/2006/metadata/core-properties"/>
    <ds:schemaRef ds:uri="http://schemas.microsoft.com/office/2006/documentManagement/types"/>
    <ds:schemaRef ds:uri="3479d790-c6bb-4bf5-8956-49208da2e0e4"/>
    <ds:schemaRef ds:uri="http://www.w3.org/XML/1998/namespace"/>
    <ds:schemaRef ds:uri="http://purl.org/dc/dcmitype/"/>
  </ds:schemaRefs>
</ds:datastoreItem>
</file>

<file path=customXml/itemProps3.xml><?xml version="1.0" encoding="utf-8"?>
<ds:datastoreItem xmlns:ds="http://schemas.openxmlformats.org/officeDocument/2006/customXml" ds:itemID="{39CC3719-F2A9-49DC-B13E-43ACBBE01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9d790-c6bb-4bf5-8956-49208da2e0e4"/>
    <ds:schemaRef ds:uri="31deecda-6fdb-48cf-85bf-8b5179897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5283C7-B4D6-4663-867D-ECB9268A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36002</Words>
  <Characters>198013</Characters>
  <Application>Microsoft Office Word</Application>
  <DocSecurity>0</DocSecurity>
  <Lines>1650</Lines>
  <Paragraphs>467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Diakonessenhuis</Company>
  <LinksUpToDate>false</LinksUpToDate>
  <CharactersWithSpaces>233548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 F. van den (OUDGNK)</dc:creator>
  <cp:lastModifiedBy>Marije Hamaker</cp:lastModifiedBy>
  <cp:revision>5</cp:revision>
  <cp:lastPrinted>2022-11-07T15:28:00Z</cp:lastPrinted>
  <dcterms:created xsi:type="dcterms:W3CDTF">2022-11-08T12:57:00Z</dcterms:created>
  <dcterms:modified xsi:type="dcterms:W3CDTF">2022-11-08T13:30:00Z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0x0101001A60930E50C2484587DEC0E8EA96A671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0fde2bf7-6c8a-32be-9e7a-10d9e0ceeac9</vt:lpwstr>
  </property>
  <property fmtid="{D5CDD505-2E9C-101B-9397-08002B2CF9AE}" pid="25" name="Mendeley Citation Style_1">
    <vt:lpwstr>http://www.zotero.org/styles/american-medical-association</vt:lpwstr>
  </property>
</Properties>
</file>