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3A12F3" w14:textId="261BF187" w:rsidR="00E56282" w:rsidRPr="00FC3A6A" w:rsidRDefault="00C25384" w:rsidP="00E56282">
      <w:pPr>
        <w:pStyle w:val="DocHead"/>
        <w:ind w:left="-119" w:right="-136" w:firstLine="119"/>
        <w:jc w:val="both"/>
        <w:rPr>
          <w:color w:val="0070C0"/>
          <w:sz w:val="28"/>
          <w:szCs w:val="28"/>
          <w:lang w:val="fr-FR"/>
        </w:rPr>
      </w:pPr>
      <w:r w:rsidRPr="00FC3A6A">
        <w:rPr>
          <w:noProof/>
          <w:color w:val="0070C0"/>
          <w:sz w:val="28"/>
          <w:szCs w:val="28"/>
        </w:rPr>
        <w:drawing>
          <wp:anchor distT="0" distB="0" distL="114300" distR="114300" simplePos="0" relativeHeight="251658752" behindDoc="1" locked="0" layoutInCell="1" allowOverlap="1" wp14:anchorId="48F901C9" wp14:editId="13C66479">
            <wp:simplePos x="0" y="0"/>
            <wp:positionH relativeFrom="column">
              <wp:posOffset>-60325</wp:posOffset>
            </wp:positionH>
            <wp:positionV relativeFrom="paragraph">
              <wp:posOffset>-1050290</wp:posOffset>
            </wp:positionV>
            <wp:extent cx="740410" cy="633730"/>
            <wp:effectExtent l="19050" t="0" r="2540" b="0"/>
            <wp:wrapTight wrapText="bothSides">
              <wp:wrapPolygon edited="0">
                <wp:start x="-556" y="0"/>
                <wp:lineTo x="-556" y="20778"/>
                <wp:lineTo x="21674" y="20778"/>
                <wp:lineTo x="21674" y="0"/>
                <wp:lineTo x="-556" y="0"/>
              </wp:wrapPolygon>
            </wp:wrapTight>
            <wp:docPr id="1" name="Image 1" descr="C:\Users\BelkaInfo\Downloads\WhatsApp Image 2020-05-12 at 15.27.3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elkaInfo\Downloads\WhatsApp Image 2020-05-12 at 15.27.39.jpeg"/>
                    <pic:cNvPicPr>
                      <a:picLocks noChangeAspect="1" noChangeArrowheads="1"/>
                    </pic:cNvPicPr>
                  </pic:nvPicPr>
                  <pic:blipFill>
                    <a:blip r:embed="rId7"/>
                    <a:srcRect/>
                    <a:stretch>
                      <a:fillRect/>
                    </a:stretch>
                  </pic:blipFill>
                  <pic:spPr bwMode="auto">
                    <a:xfrm>
                      <a:off x="0" y="0"/>
                      <a:ext cx="740410" cy="633730"/>
                    </a:xfrm>
                    <a:prstGeom prst="rect">
                      <a:avLst/>
                    </a:prstGeom>
                    <a:noFill/>
                    <a:ln w="9525">
                      <a:noFill/>
                      <a:miter lim="800000"/>
                      <a:headEnd/>
                      <a:tailEnd/>
                    </a:ln>
                  </pic:spPr>
                </pic:pic>
              </a:graphicData>
            </a:graphic>
          </wp:anchor>
        </w:drawing>
      </w:r>
      <w:r w:rsidR="00FB1524" w:rsidRPr="00FC3A6A">
        <w:rPr>
          <w:color w:val="0070C0"/>
          <w:sz w:val="28"/>
          <w:szCs w:val="28"/>
          <w:lang w:val="fr-FR"/>
        </w:rPr>
        <w:t>Cas</w:t>
      </w:r>
      <w:r w:rsidR="00FC3A6A" w:rsidRPr="00FC3A6A">
        <w:rPr>
          <w:color w:val="0070C0"/>
          <w:sz w:val="28"/>
          <w:szCs w:val="28"/>
          <w:lang w:val="fr-FR"/>
        </w:rPr>
        <w:t>e report</w:t>
      </w:r>
    </w:p>
    <w:p w14:paraId="07BFD848" w14:textId="5C11ED95" w:rsidR="00F6491D" w:rsidRPr="00E15961" w:rsidRDefault="00F6491D" w:rsidP="00F6491D">
      <w:pPr>
        <w:rPr>
          <w:rFonts w:asciiTheme="majorBidi" w:hAnsiTheme="majorBidi" w:cstheme="majorBidi"/>
          <w:b/>
          <w:color w:val="0070C0"/>
          <w:sz w:val="28"/>
          <w:szCs w:val="28"/>
          <w:lang w:val="fr-FR"/>
        </w:rPr>
      </w:pPr>
      <w:r w:rsidRPr="00E15961">
        <w:rPr>
          <w:rFonts w:asciiTheme="majorBidi" w:hAnsiTheme="majorBidi" w:cstheme="majorBidi"/>
          <w:b/>
          <w:color w:val="0070C0"/>
          <w:sz w:val="28"/>
          <w:szCs w:val="28"/>
          <w:lang w:val="fr-FR"/>
        </w:rPr>
        <w:t>Cellulite orbitaire de l’enfant : à propos d’un cas</w:t>
      </w:r>
    </w:p>
    <w:p w14:paraId="7C6FFF98" w14:textId="37087F8C" w:rsidR="007B7DAB" w:rsidRPr="00E15961" w:rsidRDefault="00F6491D" w:rsidP="00FC3A6A">
      <w:pPr>
        <w:pStyle w:val="Els-Affiliation"/>
      </w:pPr>
      <w:bookmarkStart w:id="0" w:name="_GoBack"/>
      <w:r w:rsidRPr="00E15961">
        <w:t>Orbital cellulitis in infant: Case Report</w:t>
      </w:r>
      <w:bookmarkStart w:id="1" w:name="_Hlk98322582"/>
      <w:bookmarkStart w:id="2" w:name="_Hlk112777154"/>
    </w:p>
    <w:bookmarkEnd w:id="0"/>
    <w:p w14:paraId="5FCCBE96" w14:textId="7470DBE1" w:rsidR="007B7DAB" w:rsidRPr="00FC3A6A" w:rsidRDefault="007B7DAB" w:rsidP="00FC3A6A">
      <w:pPr>
        <w:pStyle w:val="Els-Affiliation"/>
        <w:rPr>
          <w:i w:val="0"/>
          <w:iCs w:val="0"/>
          <w:color w:val="auto"/>
        </w:rPr>
      </w:pPr>
    </w:p>
    <w:p w14:paraId="626947A1" w14:textId="47643D4A" w:rsidR="00F6491D" w:rsidRPr="00437ECB" w:rsidRDefault="00F6491D" w:rsidP="00FC3A6A">
      <w:pPr>
        <w:pStyle w:val="Els-Affiliation"/>
        <w:rPr>
          <w:rFonts w:ascii="Garamond" w:hAnsi="Garamond"/>
          <w:i w:val="0"/>
          <w:iCs w:val="0"/>
          <w:color w:val="auto"/>
          <w:sz w:val="20"/>
          <w:szCs w:val="20"/>
        </w:rPr>
      </w:pPr>
      <w:r w:rsidRPr="00437ECB">
        <w:rPr>
          <w:rFonts w:ascii="Garamond" w:hAnsi="Garamond"/>
          <w:i w:val="0"/>
          <w:iCs w:val="0"/>
          <w:color w:val="auto"/>
          <w:sz w:val="20"/>
          <w:szCs w:val="20"/>
        </w:rPr>
        <w:t>Souad Bouayed</w:t>
      </w:r>
      <w:r w:rsidR="00437ECB" w:rsidRPr="00437ECB">
        <w:rPr>
          <w:rFonts w:ascii="Garamond" w:hAnsi="Garamond"/>
          <w:b w:val="0"/>
          <w:bCs/>
          <w:i w:val="0"/>
          <w:iCs w:val="0"/>
          <w:sz w:val="20"/>
          <w:szCs w:val="20"/>
        </w:rPr>
        <w:drawing>
          <wp:inline distT="0" distB="0" distL="0" distR="0" wp14:anchorId="6B901C91" wp14:editId="4D75F304">
            <wp:extent cx="114300" cy="102235"/>
            <wp:effectExtent l="0" t="0" r="0" b="0"/>
            <wp:docPr id="2" name="Image 2" descr="page1image3877024">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page1image3877024">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4300" cy="102235"/>
                    </a:xfrm>
                    <a:prstGeom prst="rect">
                      <a:avLst/>
                    </a:prstGeom>
                    <a:noFill/>
                    <a:ln>
                      <a:noFill/>
                    </a:ln>
                  </pic:spPr>
                </pic:pic>
              </a:graphicData>
            </a:graphic>
          </wp:inline>
        </w:drawing>
      </w:r>
      <w:r w:rsidRPr="00437ECB">
        <w:rPr>
          <w:rFonts w:ascii="Garamond" w:hAnsi="Garamond"/>
          <w:i w:val="0"/>
          <w:iCs w:val="0"/>
          <w:color w:val="auto"/>
          <w:sz w:val="20"/>
          <w:szCs w:val="20"/>
        </w:rPr>
        <w:t xml:space="preserve">, Chouaib Bensaadi, Sofiane Ait baziz, Djamil Souttou </w:t>
      </w:r>
    </w:p>
    <w:p w14:paraId="0D5D863C" w14:textId="0A3A582E" w:rsidR="00F6491D" w:rsidRPr="00437ECB" w:rsidRDefault="00F6491D" w:rsidP="00FC3A6A">
      <w:pPr>
        <w:pStyle w:val="Els-Affiliation"/>
        <w:rPr>
          <w:rFonts w:ascii="Garamond" w:hAnsi="Garamond"/>
          <w:b w:val="0"/>
          <w:bCs/>
          <w:i w:val="0"/>
          <w:iCs w:val="0"/>
          <w:color w:val="auto"/>
          <w:sz w:val="20"/>
          <w:szCs w:val="20"/>
        </w:rPr>
      </w:pPr>
      <w:r w:rsidRPr="00437ECB">
        <w:rPr>
          <w:rFonts w:ascii="Garamond" w:hAnsi="Garamond"/>
          <w:b w:val="0"/>
          <w:bCs/>
          <w:i w:val="0"/>
          <w:iCs w:val="0"/>
          <w:color w:val="auto"/>
          <w:sz w:val="20"/>
          <w:szCs w:val="20"/>
        </w:rPr>
        <w:t>Algiers</w:t>
      </w:r>
      <w:r w:rsidR="003F7B99" w:rsidRPr="00437ECB">
        <w:rPr>
          <w:rFonts w:ascii="Garamond" w:hAnsi="Garamond"/>
          <w:b w:val="0"/>
          <w:bCs/>
          <w:i w:val="0"/>
          <w:iCs w:val="0"/>
          <w:color w:val="auto"/>
          <w:sz w:val="20"/>
          <w:szCs w:val="20"/>
        </w:rPr>
        <w:t xml:space="preserve"> faculty of Medecine</w:t>
      </w:r>
      <w:r w:rsidRPr="00437ECB">
        <w:rPr>
          <w:rFonts w:ascii="Garamond" w:hAnsi="Garamond"/>
          <w:b w:val="0"/>
          <w:bCs/>
          <w:i w:val="0"/>
          <w:iCs w:val="0"/>
          <w:color w:val="auto"/>
          <w:sz w:val="20"/>
          <w:szCs w:val="20"/>
        </w:rPr>
        <w:t>, Alg</w:t>
      </w:r>
      <w:bookmarkEnd w:id="1"/>
      <w:r w:rsidRPr="00437ECB">
        <w:rPr>
          <w:rFonts w:ascii="Garamond" w:hAnsi="Garamond"/>
          <w:b w:val="0"/>
          <w:bCs/>
          <w:i w:val="0"/>
          <w:iCs w:val="0"/>
          <w:color w:val="auto"/>
          <w:sz w:val="20"/>
          <w:szCs w:val="20"/>
        </w:rPr>
        <w:t>eria</w:t>
      </w:r>
    </w:p>
    <w:bookmarkEnd w:id="2"/>
    <w:p w14:paraId="6A2905E4" w14:textId="77777777" w:rsidR="009B0C5A" w:rsidRDefault="009B0C5A" w:rsidP="009B0C5A">
      <w:pPr>
        <w:rPr>
          <w:rFonts w:ascii="Times New Roman" w:eastAsia="SimSun" w:hAnsi="Times New Roman" w:cs="Times New Roman"/>
          <w:b/>
          <w:bCs/>
          <w:smallCaps/>
          <w:sz w:val="24"/>
          <w:szCs w:val="24"/>
        </w:rPr>
      </w:pPr>
    </w:p>
    <w:p w14:paraId="317CB3CD" w14:textId="43568B41" w:rsidR="009B0C5A" w:rsidRPr="00C62E2E" w:rsidRDefault="009B0C5A" w:rsidP="009B0C5A">
      <w:pPr>
        <w:rPr>
          <w:rFonts w:ascii="Times New Roman" w:eastAsia="SimSun" w:hAnsi="Times New Roman" w:cs="Times New Roman"/>
          <w:b/>
          <w:bCs/>
          <w:smallCaps/>
          <w:sz w:val="24"/>
          <w:szCs w:val="24"/>
        </w:rPr>
      </w:pPr>
      <w:r w:rsidRPr="00C62E2E">
        <w:rPr>
          <w:rFonts w:ascii="Times New Roman" w:eastAsia="SimSun" w:hAnsi="Times New Roman" w:cs="Times New Roman"/>
          <w:b/>
          <w:bCs/>
          <w:smallCaps/>
          <w:sz w:val="24"/>
          <w:szCs w:val="24"/>
        </w:rPr>
        <w:t>Ab s t r a c t</w:t>
      </w:r>
    </w:p>
    <w:p w14:paraId="6A661B32" w14:textId="0C78A05F" w:rsidR="009B0C5A" w:rsidRPr="009B0C5A" w:rsidRDefault="009B0C5A" w:rsidP="00437ECB">
      <w:pPr>
        <w:rPr>
          <w:rFonts w:asciiTheme="majorBidi" w:hAnsiTheme="majorBidi" w:cstheme="majorBidi"/>
        </w:rPr>
      </w:pPr>
      <w:r>
        <w:rPr>
          <w:rFonts w:asciiTheme="majorBidi" w:hAnsiTheme="majorBidi" w:cstheme="majorBidi"/>
          <w:sz w:val="24"/>
          <w:szCs w:val="24"/>
        </w:rPr>
        <w:t xml:space="preserve">  </w:t>
      </w:r>
      <w:r w:rsidRPr="009B0C5A">
        <w:rPr>
          <w:rFonts w:asciiTheme="majorBidi" w:hAnsiTheme="majorBidi" w:cstheme="majorBidi"/>
        </w:rPr>
        <w:t xml:space="preserve"> </w:t>
      </w:r>
      <w:r>
        <w:rPr>
          <w:rFonts w:asciiTheme="majorBidi" w:hAnsiTheme="majorBidi" w:cstheme="majorBidi"/>
        </w:rPr>
        <w:t xml:space="preserve">  </w:t>
      </w:r>
      <w:r w:rsidRPr="009B0C5A">
        <w:rPr>
          <w:rFonts w:asciiTheme="majorBidi" w:hAnsiTheme="majorBidi" w:cstheme="majorBidi"/>
        </w:rPr>
        <w:t xml:space="preserve"> This case report is about a 14 months old baby, who’ve presented a left side orbital cellulitis evolving 6 days prior her admission, after a badly managed ocular traumatism which was treated with oral nonsteroidal anti-inflammatory (NSAI). Symptoms included Swelling and redness of the eyelid, pain and proptosis. Rapidly, this infant was admitted at the hospital and underwent a CT scan, blood analyses, which showed an orbital cellulitis, classified Chandler stage II, with elevation of the reactive C protein, and leucocytes count. The infant was treated with intravenous antibiotics with a successful response within 10 days.  </w:t>
      </w:r>
    </w:p>
    <w:p w14:paraId="6A2E4978" w14:textId="77777777" w:rsidR="009B0C5A" w:rsidRPr="009B0C5A" w:rsidRDefault="009B0C5A" w:rsidP="009B0C5A">
      <w:pPr>
        <w:rPr>
          <w:rFonts w:asciiTheme="majorBidi" w:hAnsiTheme="majorBidi" w:cstheme="majorBidi"/>
        </w:rPr>
      </w:pPr>
      <w:r w:rsidRPr="009B0C5A">
        <w:rPr>
          <w:rFonts w:asciiTheme="majorBidi" w:hAnsiTheme="majorBidi" w:cstheme="majorBidi"/>
        </w:rPr>
        <w:t xml:space="preserve">       In summary, with this case, we would like to report an uncommon child orbital cellulitis evolving after ocular traumatism and stress out the danger of a misdiagnosis and inappropriate therapy, which could lead to severe complications. </w:t>
      </w:r>
    </w:p>
    <w:p w14:paraId="0CC5678C" w14:textId="0C222F5E" w:rsidR="009B0C5A" w:rsidRDefault="009B0C5A" w:rsidP="009B0C5A">
      <w:pPr>
        <w:spacing w:after="0" w:line="240" w:lineRule="auto"/>
        <w:rPr>
          <w:rFonts w:asciiTheme="majorBidi" w:hAnsiTheme="majorBidi" w:cstheme="majorBidi"/>
        </w:rPr>
      </w:pPr>
      <w:r w:rsidRPr="009B0C5A">
        <w:rPr>
          <w:rFonts w:ascii="Times New Roman" w:eastAsia="SimSun" w:hAnsi="Times New Roman" w:cs="Times New Roman"/>
          <w:b/>
          <w:bCs/>
          <w:smallCaps/>
        </w:rPr>
        <w:t xml:space="preserve">Keywords: </w:t>
      </w:r>
      <w:r w:rsidRPr="009B0C5A">
        <w:rPr>
          <w:rFonts w:asciiTheme="majorBidi" w:hAnsiTheme="majorBidi" w:cstheme="majorBidi"/>
        </w:rPr>
        <w:t>Orbit, cellulitis, children, case report.</w:t>
      </w:r>
    </w:p>
    <w:p w14:paraId="167FE3E5" w14:textId="77777777" w:rsidR="009B0C5A" w:rsidRPr="009B0C5A" w:rsidRDefault="009B0C5A" w:rsidP="009B0C5A">
      <w:pPr>
        <w:spacing w:after="0" w:line="240" w:lineRule="auto"/>
        <w:rPr>
          <w:rFonts w:asciiTheme="majorBidi" w:hAnsiTheme="majorBidi" w:cstheme="majorBidi"/>
        </w:rPr>
      </w:pPr>
    </w:p>
    <w:p w14:paraId="04D4D454" w14:textId="77777777" w:rsidR="00F10AC6" w:rsidRPr="00597067" w:rsidRDefault="00F10AC6" w:rsidP="00F10AC6">
      <w:pPr>
        <w:rPr>
          <w:rFonts w:ascii="Times New Roman" w:eastAsia="SimSun" w:hAnsi="Times New Roman" w:cs="Times New Roman"/>
          <w:b/>
          <w:bCs/>
          <w:smallCaps/>
          <w:sz w:val="24"/>
          <w:szCs w:val="24"/>
          <w:lang w:val="fr-FR"/>
        </w:rPr>
      </w:pPr>
      <w:r w:rsidRPr="00597067">
        <w:rPr>
          <w:rFonts w:ascii="Times New Roman" w:eastAsia="SimSun" w:hAnsi="Times New Roman" w:cs="Times New Roman"/>
          <w:b/>
          <w:bCs/>
          <w:smallCaps/>
          <w:sz w:val="24"/>
          <w:szCs w:val="24"/>
          <w:lang w:val="fr-FR"/>
        </w:rPr>
        <w:t>Résumé</w:t>
      </w:r>
    </w:p>
    <w:p w14:paraId="0779A21B" w14:textId="119596F6" w:rsidR="00F6491D" w:rsidRPr="00FC3A6A" w:rsidRDefault="007B7DAB" w:rsidP="00437ECB">
      <w:pPr>
        <w:rPr>
          <w:rFonts w:asciiTheme="majorBidi" w:hAnsiTheme="majorBidi" w:cstheme="majorBidi"/>
          <w:bCs/>
          <w:lang w:val="fr-FR"/>
        </w:rPr>
      </w:pPr>
      <w:r>
        <w:rPr>
          <w:rFonts w:asciiTheme="majorBidi" w:hAnsiTheme="majorBidi" w:cstheme="majorBidi"/>
          <w:bCs/>
          <w:sz w:val="28"/>
          <w:szCs w:val="28"/>
          <w:lang w:val="fr-FR"/>
        </w:rPr>
        <w:t xml:space="preserve">   </w:t>
      </w:r>
      <w:r w:rsidR="00F6491D" w:rsidRPr="00FC3A6A">
        <w:rPr>
          <w:rFonts w:asciiTheme="majorBidi" w:hAnsiTheme="majorBidi" w:cstheme="majorBidi"/>
          <w:bCs/>
          <w:lang w:val="fr-FR"/>
        </w:rPr>
        <w:t xml:space="preserve">Ce cas décrit un nourrisson de 14 mois qui consulte pour cellulite orbitaire de l’œil gauche évoluant depuis 06 jours à la suite d’un traumatisme orbitaire mal pris en charge et traité par des </w:t>
      </w:r>
      <w:r w:rsidR="009B0C5A">
        <w:rPr>
          <w:rFonts w:asciiTheme="majorBidi" w:hAnsiTheme="majorBidi" w:cstheme="majorBidi"/>
          <w:bCs/>
          <w:lang w:val="fr-FR"/>
        </w:rPr>
        <w:t xml:space="preserve">                        </w:t>
      </w:r>
      <w:r w:rsidR="00F6491D" w:rsidRPr="00FC3A6A">
        <w:rPr>
          <w:rFonts w:asciiTheme="majorBidi" w:hAnsiTheme="majorBidi" w:cstheme="majorBidi"/>
          <w:bCs/>
          <w:lang w:val="fr-FR"/>
        </w:rPr>
        <w:t>anti-inflammatoires non stéroïdiens</w:t>
      </w:r>
      <w:r w:rsidR="00437ECB">
        <w:rPr>
          <w:rFonts w:asciiTheme="majorBidi" w:hAnsiTheme="majorBidi" w:cstheme="majorBidi"/>
          <w:bCs/>
          <w:lang w:val="fr-FR"/>
        </w:rPr>
        <w:t xml:space="preserve">. </w:t>
      </w:r>
      <w:r w:rsidR="00F6491D" w:rsidRPr="00FC3A6A">
        <w:rPr>
          <w:rFonts w:asciiTheme="majorBidi" w:hAnsiTheme="majorBidi" w:cstheme="majorBidi"/>
          <w:bCs/>
          <w:lang w:val="fr-FR"/>
        </w:rPr>
        <w:t>Devant le ptosis, les douleurs, l’œdème et la rougeur des paupières, le nourrisson a été hospitalisé et a bénéficié d’un scanner orbitaire et d’examens de laboratoire révélant une cellulite atteignant les tissus profonds de l’orbite, classée stade II de Chandler avec hyperleucocytose et élévation du taux de CRP.</w:t>
      </w:r>
      <w:r w:rsidR="00437ECB">
        <w:rPr>
          <w:rFonts w:asciiTheme="majorBidi" w:hAnsiTheme="majorBidi" w:cstheme="majorBidi"/>
          <w:bCs/>
          <w:lang w:val="fr-FR"/>
        </w:rPr>
        <w:t xml:space="preserve"> </w:t>
      </w:r>
      <w:r w:rsidR="00F6491D" w:rsidRPr="00FC3A6A">
        <w:rPr>
          <w:rFonts w:asciiTheme="majorBidi" w:hAnsiTheme="majorBidi" w:cstheme="majorBidi"/>
          <w:bCs/>
          <w:lang w:val="fr-FR"/>
        </w:rPr>
        <w:t xml:space="preserve">Rapidement, une antibiothérapie </w:t>
      </w:r>
      <w:r w:rsidR="00437ECB">
        <w:rPr>
          <w:rFonts w:asciiTheme="majorBidi" w:hAnsiTheme="majorBidi" w:cstheme="majorBidi"/>
          <w:bCs/>
          <w:lang w:val="fr-FR"/>
        </w:rPr>
        <w:t xml:space="preserve">a été instaurée </w:t>
      </w:r>
      <w:r w:rsidR="00F6491D" w:rsidRPr="00FC3A6A">
        <w:rPr>
          <w:rFonts w:asciiTheme="majorBidi" w:hAnsiTheme="majorBidi" w:cstheme="majorBidi"/>
          <w:bCs/>
          <w:lang w:val="fr-FR"/>
        </w:rPr>
        <w:t>par voie parentérale avec de bons résultats obtenus au bout de 10 jours.</w:t>
      </w:r>
    </w:p>
    <w:p w14:paraId="604C8953" w14:textId="77777777" w:rsidR="00F6491D" w:rsidRPr="00FC3A6A" w:rsidRDefault="00F6491D" w:rsidP="00F6491D">
      <w:pPr>
        <w:rPr>
          <w:rFonts w:asciiTheme="majorBidi" w:hAnsiTheme="majorBidi" w:cstheme="majorBidi"/>
          <w:bCs/>
          <w:lang w:val="fr-FR"/>
        </w:rPr>
      </w:pPr>
      <w:r w:rsidRPr="00FC3A6A">
        <w:rPr>
          <w:rFonts w:asciiTheme="majorBidi" w:hAnsiTheme="majorBidi" w:cstheme="majorBidi"/>
          <w:bCs/>
          <w:lang w:val="fr-FR"/>
        </w:rPr>
        <w:t xml:space="preserve">    En résumé, ce cas illustre une cellulite orbitaire inhabituelle chez l’enfant survenant après un traumatisme orbitaire et met l’accent sur les risques d’une thérapeutique mal adaptée.</w:t>
      </w:r>
    </w:p>
    <w:p w14:paraId="3EFC764C" w14:textId="6EE5319C" w:rsidR="00597067" w:rsidRPr="00CD6A60" w:rsidRDefault="00F10AC6" w:rsidP="00CD6A60">
      <w:pPr>
        <w:spacing w:after="0" w:line="240" w:lineRule="auto"/>
        <w:rPr>
          <w:rFonts w:asciiTheme="majorBidi" w:hAnsiTheme="majorBidi" w:cstheme="majorBidi"/>
          <w:lang w:val="fr-FR"/>
        </w:rPr>
      </w:pPr>
      <w:r w:rsidRPr="009C0409">
        <w:rPr>
          <w:rFonts w:ascii="Times New Roman" w:eastAsia="SimSun" w:hAnsi="Times New Roman" w:cs="Times New Roman"/>
          <w:b/>
          <w:bCs/>
          <w:smallCaps/>
          <w:lang w:val="fr-FR"/>
        </w:rPr>
        <w:t xml:space="preserve">Mots </w:t>
      </w:r>
      <w:r w:rsidR="009C0409" w:rsidRPr="009C0409">
        <w:rPr>
          <w:rFonts w:ascii="Times New Roman" w:eastAsia="SimSun" w:hAnsi="Times New Roman" w:cs="Times New Roman"/>
          <w:b/>
          <w:bCs/>
          <w:smallCaps/>
          <w:lang w:val="fr-FR"/>
        </w:rPr>
        <w:t>CLÉS :</w:t>
      </w:r>
      <w:r w:rsidRPr="009C0409">
        <w:rPr>
          <w:rFonts w:ascii="Times New Roman" w:eastAsia="SimSun" w:hAnsi="Times New Roman" w:cs="Times New Roman"/>
          <w:b/>
          <w:bCs/>
          <w:smallCaps/>
          <w:lang w:val="fr-FR"/>
        </w:rPr>
        <w:t xml:space="preserve"> </w:t>
      </w:r>
      <w:r w:rsidR="00F6491D" w:rsidRPr="009C0409">
        <w:rPr>
          <w:rFonts w:asciiTheme="majorBidi" w:hAnsiTheme="majorBidi" w:cstheme="majorBidi"/>
          <w:lang w:val="fr-FR"/>
        </w:rPr>
        <w:t>Orbite, cellulite, enfants, cas clinique.</w:t>
      </w:r>
    </w:p>
    <w:p w14:paraId="76530F28" w14:textId="77777777" w:rsidR="00E56282" w:rsidRPr="00437ECB" w:rsidRDefault="00E56282" w:rsidP="00E56282">
      <w:pPr>
        <w:spacing w:after="0" w:line="240" w:lineRule="auto"/>
        <w:rPr>
          <w:rFonts w:ascii="Times New Roman" w:eastAsia="SimSun" w:hAnsi="Times New Roman" w:cs="Times New Roman"/>
          <w:b/>
          <w:bCs/>
          <w:smallCaps/>
          <w:sz w:val="20"/>
          <w:szCs w:val="20"/>
          <w:lang w:val="fr-FR"/>
        </w:rPr>
      </w:pPr>
    </w:p>
    <w:p w14:paraId="6B7971A8" w14:textId="77777777" w:rsidR="00E56282" w:rsidRPr="00437ECB" w:rsidRDefault="00E56282" w:rsidP="00E56282">
      <w:pPr>
        <w:pStyle w:val="Els-Abstract-text"/>
        <w:spacing w:before="0" w:line="240" w:lineRule="auto"/>
        <w:rPr>
          <w:sz w:val="4"/>
          <w:szCs w:val="4"/>
          <w:lang w:val="fr-FR"/>
        </w:rPr>
      </w:pPr>
    </w:p>
    <w:p w14:paraId="2D0A2B40" w14:textId="77777777" w:rsidR="00532EA4" w:rsidRPr="00437ECB" w:rsidRDefault="00532EA4" w:rsidP="00F10AC6">
      <w:pPr>
        <w:tabs>
          <w:tab w:val="center" w:pos="4706"/>
          <w:tab w:val="right" w:pos="9356"/>
          <w:tab w:val="right" w:pos="10080"/>
        </w:tabs>
        <w:spacing w:after="0" w:line="200" w:lineRule="exact"/>
        <w:rPr>
          <w:rFonts w:ascii="Times New Roman" w:eastAsia="SimSun" w:hAnsi="Times New Roman" w:cs="Times New Roman"/>
          <w:noProof/>
          <w:sz w:val="15"/>
          <w:szCs w:val="15"/>
          <w:lang w:val="fr-FR"/>
        </w:rPr>
        <w:sectPr w:rsidR="00532EA4" w:rsidRPr="00437ECB" w:rsidSect="00532EA4">
          <w:headerReference w:type="default"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pPr>
    </w:p>
    <w:p w14:paraId="7A29FB68" w14:textId="30A923DF" w:rsidR="00F10AC6" w:rsidRPr="0057482B" w:rsidRDefault="00F10AC6" w:rsidP="00532EA4">
      <w:pPr>
        <w:tabs>
          <w:tab w:val="center" w:pos="4706"/>
          <w:tab w:val="right" w:pos="9356"/>
          <w:tab w:val="right" w:pos="10080"/>
        </w:tabs>
        <w:spacing w:after="0" w:line="200" w:lineRule="exact"/>
        <w:rPr>
          <w:rFonts w:ascii="Times New Roman" w:eastAsia="SimSun" w:hAnsi="Times New Roman" w:cs="Times New Roman"/>
          <w:noProof/>
          <w:sz w:val="18"/>
          <w:szCs w:val="18"/>
          <w:lang w:val="fr-FR"/>
        </w:rPr>
      </w:pPr>
      <w:r w:rsidRPr="0057482B">
        <w:rPr>
          <w:rFonts w:ascii="Times New Roman" w:eastAsia="SimSun" w:hAnsi="Times New Roman" w:cs="Times New Roman"/>
          <w:noProof/>
          <w:sz w:val="18"/>
          <w:szCs w:val="18"/>
          <w:lang w:val="fr-FR"/>
        </w:rPr>
        <w:t>* Auteur Corredpondant</w:t>
      </w:r>
      <w:r w:rsidRPr="0057482B">
        <w:rPr>
          <w:rFonts w:ascii="Times New Roman" w:eastAsia="SimSun" w:hAnsi="Times New Roman" w:cs="Times New Roman"/>
          <w:i/>
          <w:noProof/>
          <w:sz w:val="18"/>
          <w:szCs w:val="18"/>
          <w:lang w:val="fr-FR"/>
        </w:rPr>
        <w:t>.</w:t>
      </w:r>
      <w:r w:rsidRPr="0057482B">
        <w:rPr>
          <w:rFonts w:ascii="Times New Roman" w:eastAsia="SimSun" w:hAnsi="Times New Roman" w:cs="Times New Roman"/>
          <w:noProof/>
          <w:sz w:val="18"/>
          <w:szCs w:val="18"/>
          <w:lang w:val="fr-FR"/>
        </w:rPr>
        <w:t xml:space="preserve"> Tel.: </w:t>
      </w:r>
      <w:r w:rsidR="00F6491D" w:rsidRPr="0057482B">
        <w:rPr>
          <w:rFonts w:eastAsia="SimSun"/>
          <w:noProof/>
          <w:sz w:val="18"/>
          <w:szCs w:val="18"/>
          <w:lang w:val="fr-FR"/>
        </w:rPr>
        <w:t>+213698980732</w:t>
      </w:r>
      <w:r w:rsidR="00532EA4" w:rsidRPr="0057482B">
        <w:rPr>
          <w:rFonts w:ascii="Times New Roman" w:eastAsia="SimSun" w:hAnsi="Times New Roman" w:cs="Times New Roman"/>
          <w:noProof/>
          <w:sz w:val="18"/>
          <w:szCs w:val="18"/>
          <w:lang w:val="fr-FR"/>
        </w:rPr>
        <w:tab/>
      </w:r>
    </w:p>
    <w:p w14:paraId="379EB7B9" w14:textId="40137DF1" w:rsidR="00532EA4" w:rsidRPr="0057482B" w:rsidRDefault="005F106A" w:rsidP="0057482B">
      <w:pPr>
        <w:rPr>
          <w:rFonts w:asciiTheme="majorBidi" w:eastAsia="SimSun" w:hAnsiTheme="majorBidi" w:cstheme="majorBidi"/>
          <w:color w:val="4472C4" w:themeColor="accent1"/>
          <w:sz w:val="18"/>
          <w:szCs w:val="18"/>
          <w:lang w:val="fr-FR"/>
        </w:rPr>
      </w:pPr>
      <w:r w:rsidRPr="009C0409">
        <w:rPr>
          <w:rFonts w:ascii="Times New Roman" w:eastAsia="SimSun" w:hAnsi="Times New Roman" w:cs="Times New Roman"/>
          <w:sz w:val="18"/>
          <w:szCs w:val="18"/>
          <w:lang w:val="fr-FR"/>
        </w:rPr>
        <w:t>Ad</w:t>
      </w:r>
      <w:r w:rsidR="00F10AC6" w:rsidRPr="009C0409">
        <w:rPr>
          <w:rFonts w:ascii="Times New Roman" w:eastAsia="SimSun" w:hAnsi="Times New Roman" w:cs="Times New Roman"/>
          <w:sz w:val="18"/>
          <w:szCs w:val="18"/>
          <w:lang w:val="fr-FR"/>
        </w:rPr>
        <w:t xml:space="preserve">resse </w:t>
      </w:r>
      <w:r w:rsidR="009C0409" w:rsidRPr="009C0409">
        <w:rPr>
          <w:rFonts w:ascii="Times New Roman" w:eastAsia="SimSun" w:hAnsi="Times New Roman" w:cs="Times New Roman"/>
          <w:sz w:val="18"/>
          <w:szCs w:val="18"/>
          <w:lang w:val="fr-FR"/>
        </w:rPr>
        <w:t>E-mail :</w:t>
      </w:r>
      <w:r w:rsidR="00F10AC6" w:rsidRPr="009C0409">
        <w:rPr>
          <w:rFonts w:ascii="Times New Roman" w:eastAsia="SimSun" w:hAnsi="Times New Roman" w:cs="Times New Roman"/>
          <w:sz w:val="18"/>
          <w:szCs w:val="18"/>
          <w:lang w:val="fr-FR"/>
        </w:rPr>
        <w:t xml:space="preserve"> </w:t>
      </w:r>
      <w:hyperlink r:id="rId14" w:history="1">
        <w:r w:rsidR="00F6491D" w:rsidRPr="003F7B99">
          <w:rPr>
            <w:rStyle w:val="Lienhypertexte"/>
            <w:rFonts w:asciiTheme="majorBidi" w:eastAsia="SimSun" w:hAnsiTheme="majorBidi" w:cstheme="majorBidi"/>
            <w:color w:val="4472C4" w:themeColor="accent1"/>
            <w:sz w:val="18"/>
            <w:szCs w:val="18"/>
            <w:lang w:val="fr-FR"/>
          </w:rPr>
          <w:t>soulelouche@gmail.com</w:t>
        </w:r>
      </w:hyperlink>
      <w:r w:rsidR="0057482B">
        <w:rPr>
          <w:rStyle w:val="Lienhypertexte"/>
          <w:rFonts w:asciiTheme="majorBidi" w:eastAsia="SimSun" w:hAnsiTheme="majorBidi" w:cstheme="majorBidi"/>
          <w:color w:val="4472C4" w:themeColor="accent1"/>
          <w:sz w:val="18"/>
          <w:szCs w:val="18"/>
          <w:lang w:val="fr-FR"/>
        </w:rPr>
        <w:t xml:space="preserve">                   </w:t>
      </w:r>
      <w:r w:rsidR="0057482B" w:rsidRPr="0057482B">
        <w:rPr>
          <w:rStyle w:val="markedcontent"/>
          <w:rFonts w:asciiTheme="majorBidi" w:hAnsiTheme="majorBidi" w:cstheme="majorBidi"/>
          <w:sz w:val="19"/>
          <w:szCs w:val="19"/>
          <w:lang w:val="fr-FR"/>
        </w:rPr>
        <w:t xml:space="preserve">ORCID : </w:t>
      </w:r>
      <w:r w:rsidR="0057482B" w:rsidRPr="0057482B">
        <w:rPr>
          <w:rStyle w:val="markedcontent"/>
          <w:rFonts w:asciiTheme="majorBidi" w:hAnsiTheme="majorBidi" w:cstheme="majorBidi"/>
          <w:color w:val="4472C4" w:themeColor="accent1"/>
          <w:sz w:val="19"/>
          <w:szCs w:val="19"/>
          <w:lang w:val="fr-FR"/>
        </w:rPr>
        <w:t>https://orcid.org/0000-0002-3278-1441</w:t>
      </w:r>
      <w:r w:rsidR="00532EA4" w:rsidRPr="009C0409">
        <w:rPr>
          <w:rFonts w:ascii="Times New Roman" w:eastAsia="SimSun" w:hAnsi="Times New Roman" w:cs="Times New Roman"/>
          <w:color w:val="548DD4"/>
          <w:sz w:val="18"/>
          <w:szCs w:val="18"/>
          <w:lang w:val="fr-FR"/>
        </w:rPr>
        <w:tab/>
      </w:r>
    </w:p>
    <w:p w14:paraId="5EFB0042" w14:textId="15784E7B" w:rsidR="00532EA4" w:rsidRPr="00F6491D" w:rsidRDefault="00F6491D" w:rsidP="00F6491D">
      <w:pPr>
        <w:jc w:val="right"/>
        <w:rPr>
          <w:rFonts w:ascii="Times New Roman" w:eastAsia="SimSun" w:hAnsi="Times New Roman" w:cs="Times New Roman"/>
          <w:sz w:val="15"/>
          <w:szCs w:val="15"/>
          <w:lang w:val="fr-FR"/>
        </w:rPr>
      </w:pPr>
      <w:r>
        <w:rPr>
          <w:rFonts w:ascii="Times New Roman" w:eastAsia="SimSun" w:hAnsi="Times New Roman" w:cs="Times New Roman"/>
          <w:sz w:val="15"/>
          <w:szCs w:val="15"/>
          <w:lang w:val="fr-FR"/>
        </w:rPr>
        <w:lastRenderedPageBreak/>
        <w:t xml:space="preserve">                        </w:t>
      </w:r>
    </w:p>
    <w:p w14:paraId="01C931B7" w14:textId="0D4D3AFA" w:rsidR="00F6491D" w:rsidRPr="009C0409" w:rsidRDefault="00F6491D" w:rsidP="00F10AC6">
      <w:pPr>
        <w:rPr>
          <w:rFonts w:ascii="Times New Roman" w:eastAsia="SimSun" w:hAnsi="Times New Roman" w:cs="Times New Roman"/>
          <w:sz w:val="18"/>
          <w:szCs w:val="18"/>
          <w:lang w:val="fr-FR"/>
        </w:rPr>
      </w:pPr>
      <w:r w:rsidRPr="009C0409">
        <w:rPr>
          <w:rFonts w:ascii="Times New Roman" w:eastAsia="SimSun" w:hAnsi="Times New Roman" w:cs="Times New Roman"/>
          <w:sz w:val="18"/>
          <w:szCs w:val="18"/>
          <w:lang w:val="fr-FR"/>
        </w:rPr>
        <w:t>Date de réception : 31/08/2022</w:t>
      </w:r>
    </w:p>
    <w:p w14:paraId="5E45CBD3" w14:textId="4624419C" w:rsidR="00532EA4" w:rsidRPr="009C0409" w:rsidRDefault="00532EA4" w:rsidP="00F10AC6">
      <w:pPr>
        <w:rPr>
          <w:rFonts w:ascii="Times New Roman" w:eastAsia="SimSun" w:hAnsi="Times New Roman" w:cs="Times New Roman"/>
          <w:sz w:val="18"/>
          <w:szCs w:val="18"/>
          <w:lang w:val="fr-FR"/>
        </w:rPr>
      </w:pPr>
      <w:r w:rsidRPr="009C0409">
        <w:rPr>
          <w:rFonts w:ascii="Times New Roman" w:eastAsia="SimSun" w:hAnsi="Times New Roman" w:cs="Times New Roman"/>
          <w:sz w:val="18"/>
          <w:szCs w:val="18"/>
          <w:lang w:val="fr-FR"/>
        </w:rPr>
        <w:t>Date de révision</w:t>
      </w:r>
      <w:r w:rsidR="00F6491D" w:rsidRPr="009C0409">
        <w:rPr>
          <w:rFonts w:ascii="Times New Roman" w:eastAsia="SimSun" w:hAnsi="Times New Roman" w:cs="Times New Roman"/>
          <w:sz w:val="18"/>
          <w:szCs w:val="18"/>
          <w:lang w:val="fr-FR"/>
        </w:rPr>
        <w:t xml:space="preserve"> : </w:t>
      </w:r>
      <w:r w:rsidR="00E92540" w:rsidRPr="009C0409">
        <w:rPr>
          <w:rFonts w:ascii="Times New Roman" w:eastAsia="SimSun" w:hAnsi="Times New Roman" w:cs="Times New Roman"/>
          <w:sz w:val="18"/>
          <w:szCs w:val="18"/>
          <w:lang w:val="fr-FR"/>
        </w:rPr>
        <w:t>06/01/2023</w:t>
      </w:r>
    </w:p>
    <w:p w14:paraId="1302B943" w14:textId="77777777" w:rsidR="00437ECB" w:rsidRDefault="00532EA4" w:rsidP="00F10AC6">
      <w:pPr>
        <w:rPr>
          <w:rFonts w:ascii="Times New Roman" w:eastAsia="SimSun" w:hAnsi="Times New Roman" w:cs="Times New Roman"/>
          <w:sz w:val="18"/>
          <w:szCs w:val="18"/>
        </w:rPr>
      </w:pPr>
      <w:r w:rsidRPr="009C0409">
        <w:rPr>
          <w:rFonts w:ascii="Times New Roman" w:eastAsia="SimSun" w:hAnsi="Times New Roman" w:cs="Times New Roman"/>
          <w:sz w:val="18"/>
          <w:szCs w:val="18"/>
        </w:rPr>
        <w:t xml:space="preserve">Date </w:t>
      </w:r>
      <w:proofErr w:type="spellStart"/>
      <w:r w:rsidR="009B0C5A">
        <w:rPr>
          <w:rFonts w:ascii="Times New Roman" w:eastAsia="SimSun" w:hAnsi="Times New Roman" w:cs="Times New Roman"/>
          <w:sz w:val="18"/>
          <w:szCs w:val="18"/>
        </w:rPr>
        <w:t>d’</w:t>
      </w:r>
      <w:r w:rsidR="009B0C5A" w:rsidRPr="009C0409">
        <w:rPr>
          <w:rFonts w:ascii="Times New Roman" w:eastAsia="SimSun" w:hAnsi="Times New Roman" w:cs="Times New Roman"/>
          <w:sz w:val="18"/>
          <w:szCs w:val="18"/>
        </w:rPr>
        <w:t>acceptation</w:t>
      </w:r>
      <w:proofErr w:type="spellEnd"/>
      <w:r w:rsidR="009B0C5A">
        <w:rPr>
          <w:rFonts w:ascii="Times New Roman" w:eastAsia="SimSun" w:hAnsi="Times New Roman" w:cs="Times New Roman"/>
          <w:sz w:val="18"/>
          <w:szCs w:val="18"/>
        </w:rPr>
        <w:t>:</w:t>
      </w:r>
      <w:r w:rsidR="00E92540" w:rsidRPr="009C0409">
        <w:rPr>
          <w:rFonts w:ascii="Times New Roman" w:eastAsia="SimSun" w:hAnsi="Times New Roman" w:cs="Times New Roman"/>
          <w:sz w:val="18"/>
          <w:szCs w:val="18"/>
        </w:rPr>
        <w:t xml:space="preserve"> 14/01/2023</w:t>
      </w:r>
    </w:p>
    <w:p w14:paraId="36A9546A" w14:textId="2E746D4B" w:rsidR="00E56282" w:rsidRPr="00437ECB" w:rsidRDefault="00437ECB" w:rsidP="00F10AC6">
      <w:pPr>
        <w:rPr>
          <w:rFonts w:ascii="Times New Roman" w:eastAsia="SimSun" w:hAnsi="Times New Roman" w:cs="Times New Roman"/>
          <w:b/>
          <w:bCs/>
          <w:color w:val="000000" w:themeColor="text1"/>
          <w:sz w:val="18"/>
          <w:szCs w:val="18"/>
        </w:rPr>
      </w:pPr>
      <w:r w:rsidRPr="00437ECB">
        <w:rPr>
          <w:rFonts w:ascii="Times New Roman" w:eastAsia="SimSun" w:hAnsi="Times New Roman" w:cs="Times New Roman"/>
          <w:b/>
          <w:bCs/>
          <w:color w:val="000000" w:themeColor="text1"/>
          <w:sz w:val="18"/>
          <w:szCs w:val="18"/>
        </w:rPr>
        <w:t>DOI</w:t>
      </w:r>
      <w:r w:rsidR="00E56282" w:rsidRPr="00437ECB">
        <w:rPr>
          <w:rFonts w:ascii="Times New Roman" w:eastAsia="SimSun" w:hAnsi="Times New Roman" w:cs="Times New Roman"/>
          <w:b/>
          <w:bCs/>
          <w:color w:val="000000" w:themeColor="text1"/>
          <w:sz w:val="18"/>
          <w:szCs w:val="18"/>
        </w:rPr>
        <w:tab/>
      </w:r>
    </w:p>
    <w:p w14:paraId="19183C87" w14:textId="77777777" w:rsidR="00532EA4" w:rsidRDefault="00532EA4" w:rsidP="00E56282">
      <w:pPr>
        <w:rPr>
          <w:rFonts w:ascii="Times New Roman" w:eastAsia="SimSun" w:hAnsi="Times New Roman" w:cs="Times New Roman"/>
          <w:color w:val="548DD4"/>
          <w:sz w:val="15"/>
          <w:szCs w:val="15"/>
        </w:rPr>
        <w:sectPr w:rsidR="00532EA4" w:rsidSect="00532EA4">
          <w:type w:val="continuous"/>
          <w:pgSz w:w="12240" w:h="15840"/>
          <w:pgMar w:top="1440" w:right="1440" w:bottom="1440" w:left="1440" w:header="720" w:footer="720" w:gutter="0"/>
          <w:cols w:num="2" w:space="720"/>
          <w:titlePg/>
          <w:docGrid w:linePitch="360"/>
        </w:sectPr>
      </w:pPr>
    </w:p>
    <w:p w14:paraId="51D6CE99" w14:textId="77777777" w:rsidR="00E56282" w:rsidRPr="00B650FE" w:rsidRDefault="00E56282" w:rsidP="00E56282">
      <w:pPr>
        <w:rPr>
          <w:rFonts w:ascii="Times New Roman" w:eastAsia="SimSun" w:hAnsi="Times New Roman" w:cs="Times New Roman"/>
          <w:color w:val="548DD4"/>
          <w:sz w:val="15"/>
          <w:szCs w:val="15"/>
        </w:rPr>
      </w:pPr>
    </w:p>
    <w:p w14:paraId="38C0AF54" w14:textId="77777777" w:rsidR="00E56282" w:rsidRPr="00B650FE" w:rsidRDefault="00E56282" w:rsidP="00532EA4">
      <w:pPr>
        <w:pStyle w:val="Els-1storder-head"/>
        <w:numPr>
          <w:ilvl w:val="0"/>
          <w:numId w:val="0"/>
        </w:numPr>
        <w:rPr>
          <w:szCs w:val="19"/>
        </w:rPr>
        <w:sectPr w:rsidR="00E56282" w:rsidRPr="00B650FE" w:rsidSect="00532EA4">
          <w:type w:val="continuous"/>
          <w:pgSz w:w="12240" w:h="15840"/>
          <w:pgMar w:top="1440" w:right="1440" w:bottom="1440" w:left="1440" w:header="720" w:footer="720" w:gutter="0"/>
          <w:cols w:space="720"/>
          <w:titlePg/>
          <w:docGrid w:linePitch="360"/>
        </w:sectPr>
      </w:pPr>
    </w:p>
    <w:p w14:paraId="53130AFF" w14:textId="77777777" w:rsidR="00E56282" w:rsidRPr="009B0C5A" w:rsidRDefault="00E56282" w:rsidP="00E56282">
      <w:pPr>
        <w:pStyle w:val="Els-1storder-head"/>
        <w:rPr>
          <w:color w:val="4472C4" w:themeColor="accent1"/>
          <w:sz w:val="24"/>
          <w:szCs w:val="24"/>
        </w:rPr>
      </w:pPr>
      <w:r w:rsidRPr="009B0C5A">
        <w:rPr>
          <w:color w:val="4472C4" w:themeColor="accent1"/>
          <w:sz w:val="24"/>
          <w:szCs w:val="24"/>
        </w:rPr>
        <w:t xml:space="preserve">Introduction </w:t>
      </w:r>
    </w:p>
    <w:p w14:paraId="1D397B24" w14:textId="4A3F5860" w:rsidR="00F6491D" w:rsidRPr="009C0409" w:rsidRDefault="00F6491D" w:rsidP="00F6491D">
      <w:pPr>
        <w:pStyle w:val="Els-1storder-head"/>
        <w:numPr>
          <w:ilvl w:val="0"/>
          <w:numId w:val="0"/>
        </w:numPr>
        <w:rPr>
          <w:b w:val="0"/>
          <w:bCs/>
          <w:sz w:val="24"/>
          <w:szCs w:val="24"/>
        </w:rPr>
      </w:pPr>
      <w:r>
        <w:t xml:space="preserve">    </w:t>
      </w:r>
      <w:r w:rsidRPr="009C0409">
        <w:rPr>
          <w:b w:val="0"/>
          <w:bCs/>
          <w:sz w:val="24"/>
          <w:szCs w:val="24"/>
        </w:rPr>
        <w:t>Orbital cellulitis is an infection of the deep orbital tissues associated with marked proptosis and ophthalmoplegia. This affection may lead to some potential lethal complications as cavernous sinus thrombosis, meningitis, brain abscess and permanent visual loss due to optic neuritis or orbital nerve ischemia</w:t>
      </w:r>
      <w:r w:rsidRPr="009C0409">
        <w:rPr>
          <w:b w:val="0"/>
          <w:bCs/>
          <w:sz w:val="24"/>
          <w:szCs w:val="24"/>
          <w:vertAlign w:val="superscript"/>
        </w:rPr>
        <w:fldChar w:fldCharType="begin"/>
      </w:r>
      <w:r w:rsidRPr="009C0409">
        <w:rPr>
          <w:b w:val="0"/>
          <w:bCs/>
          <w:sz w:val="24"/>
          <w:szCs w:val="24"/>
          <w:vertAlign w:val="superscript"/>
        </w:rPr>
        <w:instrText xml:space="preserve"> ADDIN ZOTERO_ITEM CSL_CITATION {"citationID":"UTP7vTQV","properties":{"formattedCitation":"(4)","plainCitation":"(4)","noteIndex":0},"citationItems":[{"id":27,"uris":["http://zotero.org/users/local/OXRJLUnp/items/J8NMSHXT"],"itemData":{"id":27,"type":"webpage","title":"Preseptal and orbital cellulitis in children: a review - ClinicalKey","URL":"https://www.clinicalkey.fr/#!/content/journal/1-s2.0-S1751722211000904","accessed":{"date-parts":[["2022",7,23]]}},"label":"act"}],"schema":"https://github.com/citation-style-language/schema/raw/master/csl-citation.json"} </w:instrText>
      </w:r>
      <w:r w:rsidRPr="009C0409">
        <w:rPr>
          <w:b w:val="0"/>
          <w:bCs/>
          <w:sz w:val="24"/>
          <w:szCs w:val="24"/>
          <w:vertAlign w:val="superscript"/>
        </w:rPr>
        <w:fldChar w:fldCharType="separate"/>
      </w:r>
      <w:r w:rsidRPr="009C0409">
        <w:rPr>
          <w:b w:val="0"/>
          <w:bCs/>
          <w:sz w:val="24"/>
          <w:szCs w:val="24"/>
          <w:vertAlign w:val="superscript"/>
        </w:rPr>
        <w:t>[1]</w:t>
      </w:r>
      <w:r w:rsidRPr="009C0409">
        <w:rPr>
          <w:b w:val="0"/>
          <w:bCs/>
          <w:sz w:val="24"/>
          <w:szCs w:val="24"/>
          <w:vertAlign w:val="superscript"/>
        </w:rPr>
        <w:fldChar w:fldCharType="end"/>
      </w:r>
      <w:r w:rsidRPr="009C0409">
        <w:rPr>
          <w:b w:val="0"/>
          <w:bCs/>
          <w:sz w:val="24"/>
          <w:szCs w:val="24"/>
        </w:rPr>
        <w:t>.</w:t>
      </w:r>
    </w:p>
    <w:p w14:paraId="4135D006" w14:textId="2DDFF5D9" w:rsidR="00F6491D" w:rsidRPr="009C0409" w:rsidRDefault="00F6491D" w:rsidP="00F6491D">
      <w:pPr>
        <w:pStyle w:val="Els-1storder-head"/>
        <w:numPr>
          <w:ilvl w:val="0"/>
          <w:numId w:val="0"/>
        </w:numPr>
        <w:rPr>
          <w:b w:val="0"/>
          <w:bCs/>
          <w:sz w:val="24"/>
          <w:szCs w:val="24"/>
        </w:rPr>
      </w:pPr>
      <w:r w:rsidRPr="009C0409">
        <w:rPr>
          <w:b w:val="0"/>
          <w:bCs/>
          <w:sz w:val="24"/>
          <w:szCs w:val="24"/>
        </w:rPr>
        <w:t xml:space="preserve">    The majority of infant’s orbital cellulitis are due to a secondary extension of acute or chronic bacterial sinusitis, especially the ethmoid sinuses or from the other periorbital structures</w:t>
      </w:r>
      <w:r w:rsidRPr="009C0409">
        <w:rPr>
          <w:b w:val="0"/>
          <w:bCs/>
          <w:sz w:val="24"/>
          <w:szCs w:val="24"/>
          <w:vertAlign w:val="superscript"/>
        </w:rPr>
        <w:fldChar w:fldCharType="begin"/>
      </w:r>
      <w:r w:rsidRPr="009C0409">
        <w:rPr>
          <w:b w:val="0"/>
          <w:bCs/>
          <w:sz w:val="24"/>
          <w:szCs w:val="24"/>
          <w:vertAlign w:val="superscript"/>
        </w:rPr>
        <w:instrText xml:space="preserve"> ADDIN ZOTERO_ITEM CSL_CITATION {"citationID":"UTP7vTQV","properties":{"formattedCitation":"(4)","plainCitation":"(4)","noteIndex":0},"citationItems":[{"id":27,"uris":["http://zotero.org/users/local/OXRJLUnp/items/J8NMSHXT"],"itemData":{"id":27,"type":"webpage","title":"Preseptal and orbital cellulitis in children: a review - ClinicalKey","URL":"https://www.clinicalkey.fr/#!/content/journal/1-s2.0-S1751722211000904","accessed":{"date-parts":[["2022",7,23]]}},"label":"act"}],"schema":"https://github.com/citation-style-language/schema/raw/master/csl-citation.json"} </w:instrText>
      </w:r>
      <w:r w:rsidRPr="009C0409">
        <w:rPr>
          <w:b w:val="0"/>
          <w:bCs/>
          <w:sz w:val="24"/>
          <w:szCs w:val="24"/>
          <w:vertAlign w:val="superscript"/>
        </w:rPr>
        <w:fldChar w:fldCharType="separate"/>
      </w:r>
      <w:r w:rsidRPr="009C0409">
        <w:rPr>
          <w:b w:val="0"/>
          <w:bCs/>
          <w:sz w:val="24"/>
          <w:szCs w:val="24"/>
          <w:vertAlign w:val="superscript"/>
        </w:rPr>
        <w:t>[2-3]</w:t>
      </w:r>
      <w:r w:rsidRPr="009C0409">
        <w:rPr>
          <w:b w:val="0"/>
          <w:bCs/>
          <w:sz w:val="24"/>
          <w:szCs w:val="24"/>
          <w:vertAlign w:val="superscript"/>
        </w:rPr>
        <w:fldChar w:fldCharType="end"/>
      </w:r>
      <w:r w:rsidRPr="009C0409">
        <w:rPr>
          <w:b w:val="0"/>
          <w:bCs/>
          <w:sz w:val="24"/>
          <w:szCs w:val="24"/>
        </w:rPr>
        <w:t xml:space="preserve">. Exogenous causes, including traumatisms, remain rare in children and should stress the necessity of a close monitoring of every orbital trauma in children, and avoiding auto medication that could lead to severe complications. </w:t>
      </w:r>
    </w:p>
    <w:p w14:paraId="512F8F2C" w14:textId="69D5325F" w:rsidR="00E56282" w:rsidRPr="009B0C5A" w:rsidRDefault="00757796" w:rsidP="00E56282">
      <w:pPr>
        <w:pStyle w:val="Els-1storder-head"/>
        <w:spacing w:before="100" w:beforeAutospacing="1" w:after="100" w:afterAutospacing="1" w:line="240" w:lineRule="auto"/>
        <w:jc w:val="both"/>
        <w:rPr>
          <w:color w:val="4472C4" w:themeColor="accent1"/>
          <w:sz w:val="24"/>
          <w:szCs w:val="24"/>
          <w:lang w:val="fr-FR"/>
        </w:rPr>
      </w:pPr>
      <w:r>
        <w:rPr>
          <w:color w:val="4472C4" w:themeColor="accent1"/>
          <w:sz w:val="24"/>
          <w:szCs w:val="24"/>
          <w:lang w:val="fr-FR"/>
        </w:rPr>
        <w:t>Case report</w:t>
      </w:r>
    </w:p>
    <w:p w14:paraId="08D22179" w14:textId="7731BB8F" w:rsidR="00E92540" w:rsidRPr="009C0409" w:rsidRDefault="00E92540" w:rsidP="00E92540">
      <w:pPr>
        <w:pStyle w:val="Els-1storder-head"/>
        <w:numPr>
          <w:ilvl w:val="0"/>
          <w:numId w:val="0"/>
        </w:numPr>
        <w:rPr>
          <w:b w:val="0"/>
          <w:bCs/>
          <w:sz w:val="24"/>
          <w:szCs w:val="24"/>
        </w:rPr>
      </w:pPr>
      <w:r w:rsidRPr="00E92540">
        <w:t xml:space="preserve"> </w:t>
      </w:r>
      <w:r>
        <w:t xml:space="preserve">   </w:t>
      </w:r>
      <w:r w:rsidRPr="009C0409">
        <w:rPr>
          <w:b w:val="0"/>
          <w:bCs/>
          <w:sz w:val="24"/>
          <w:szCs w:val="24"/>
        </w:rPr>
        <w:t xml:space="preserve">A 14-months-old girl without any personal or familial medical history, came to the Children’s Emergency department after six days of a progressively evolving left facial swelling and proptosis starting two days after a left side orbital traumatism which was responsible of a 5mm linear wound of the upper eyelid. The temperature was 38 °C. </w:t>
      </w:r>
    </w:p>
    <w:p w14:paraId="4BE64BBE" w14:textId="0FF549FD" w:rsidR="007B7DAB" w:rsidRDefault="00E92540" w:rsidP="0003308C">
      <w:pPr>
        <w:pStyle w:val="Els-1storder-head"/>
        <w:numPr>
          <w:ilvl w:val="0"/>
          <w:numId w:val="0"/>
        </w:numPr>
        <w:rPr>
          <w:b w:val="0"/>
          <w:bCs/>
        </w:rPr>
      </w:pPr>
      <w:r w:rsidRPr="009C0409">
        <w:rPr>
          <w:b w:val="0"/>
          <w:bCs/>
          <w:sz w:val="24"/>
          <w:szCs w:val="24"/>
        </w:rPr>
        <w:t xml:space="preserve">    Two days after the onset of complaints (Swelling, redness and fever), the parents consulted a general practitioner who prescribed topical eye drops (local antibiotics) and oral nonsteroidal anti-inflammatory (NSAI) drugs. Apparently, there was no relief. In fact, the case having got worse, the child was urgently referred to us for appropriate care.     Examination revealed diffuse erythematous swelling of the left upper</w:t>
      </w:r>
      <w:r w:rsidRPr="009C0409">
        <w:rPr>
          <w:sz w:val="24"/>
          <w:szCs w:val="24"/>
        </w:rPr>
        <w:t xml:space="preserve"> </w:t>
      </w:r>
      <w:r w:rsidRPr="009C0409">
        <w:rPr>
          <w:b w:val="0"/>
          <w:bCs/>
          <w:sz w:val="24"/>
          <w:szCs w:val="24"/>
        </w:rPr>
        <w:t>eyelid. The opening of the eye was impossible.</w:t>
      </w:r>
      <w:r w:rsidRPr="00E92540">
        <w:rPr>
          <w:b w:val="0"/>
          <w:bCs/>
        </w:rPr>
        <w:t xml:space="preserve"> </w:t>
      </w:r>
      <w:r w:rsidRPr="009C0409">
        <w:rPr>
          <w:b w:val="0"/>
          <w:bCs/>
          <w:sz w:val="24"/>
          <w:szCs w:val="24"/>
        </w:rPr>
        <w:t xml:space="preserve">Congestion along with purulent discharge was present in this eye (fig.1). Clinical examination of ocular </w:t>
      </w:r>
      <w:r w:rsidRPr="009C0409">
        <w:rPr>
          <w:b w:val="0"/>
          <w:bCs/>
          <w:sz w:val="24"/>
          <w:szCs w:val="24"/>
        </w:rPr>
        <w:t>movements, pupil reactions and Fundus was therefore limited. The examination of the right eye was normal.</w:t>
      </w:r>
    </w:p>
    <w:p w14:paraId="162DF74B" w14:textId="16203EE1" w:rsidR="0003308C" w:rsidRDefault="0003308C" w:rsidP="0003308C">
      <w:pPr>
        <w:pStyle w:val="NormalWeb"/>
        <w:jc w:val="center"/>
        <w:rPr>
          <w:rFonts w:asciiTheme="majorBidi" w:hAnsiTheme="majorBidi" w:cstheme="majorBidi"/>
          <w:sz w:val="20"/>
          <w:szCs w:val="20"/>
        </w:rPr>
      </w:pPr>
      <w:r>
        <w:rPr>
          <w:b/>
          <w:bCs/>
          <w:noProof/>
        </w:rPr>
        <w:drawing>
          <wp:inline distT="0" distB="0" distL="0" distR="0" wp14:anchorId="6E190777" wp14:editId="734D4F34">
            <wp:extent cx="2674486" cy="2899458"/>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27450" cy="2956877"/>
                    </a:xfrm>
                    <a:prstGeom prst="rect">
                      <a:avLst/>
                    </a:prstGeom>
                    <a:noFill/>
                  </pic:spPr>
                </pic:pic>
              </a:graphicData>
            </a:graphic>
          </wp:inline>
        </w:drawing>
      </w:r>
    </w:p>
    <w:p w14:paraId="1CABC2D7" w14:textId="77777777" w:rsidR="0003308C" w:rsidRPr="009C0409" w:rsidRDefault="0003308C" w:rsidP="0003308C">
      <w:pPr>
        <w:rPr>
          <w:rFonts w:asciiTheme="majorBidi" w:hAnsiTheme="majorBidi" w:cstheme="majorBidi"/>
          <w:sz w:val="20"/>
          <w:szCs w:val="20"/>
        </w:rPr>
      </w:pPr>
      <w:r w:rsidRPr="009C0409">
        <w:rPr>
          <w:rFonts w:asciiTheme="majorBidi" w:hAnsiTheme="majorBidi" w:cstheme="majorBidi"/>
          <w:b/>
          <w:bCs/>
          <w:sz w:val="20"/>
          <w:szCs w:val="20"/>
        </w:rPr>
        <w:t>Figure 1:</w:t>
      </w:r>
      <w:r w:rsidRPr="009C0409">
        <w:rPr>
          <w:rFonts w:asciiTheme="majorBidi" w:hAnsiTheme="majorBidi" w:cstheme="majorBidi"/>
          <w:sz w:val="20"/>
          <w:szCs w:val="20"/>
        </w:rPr>
        <w:t xml:space="preserve"> Clinical photography showing severe and total left eyelid ptosis (the opening of the left eye was impossible), proptosis and swelling.</w:t>
      </w:r>
      <w:bookmarkStart w:id="4" w:name="_Hlk124671107"/>
    </w:p>
    <w:p w14:paraId="14FEA416" w14:textId="6817CE49" w:rsidR="0003308C" w:rsidRPr="009C0409" w:rsidRDefault="0003308C" w:rsidP="0003308C">
      <w:pPr>
        <w:rPr>
          <w:rFonts w:asciiTheme="majorBidi" w:hAnsiTheme="majorBidi" w:cstheme="majorBidi"/>
          <w:bCs/>
          <w:sz w:val="24"/>
          <w:szCs w:val="24"/>
        </w:rPr>
      </w:pPr>
      <w:r w:rsidRPr="009C0409">
        <w:rPr>
          <w:rFonts w:asciiTheme="majorBidi" w:hAnsiTheme="majorBidi" w:cstheme="majorBidi"/>
          <w:sz w:val="24"/>
          <w:szCs w:val="24"/>
        </w:rPr>
        <w:t xml:space="preserve">      </w:t>
      </w:r>
      <w:r w:rsidRPr="009C0409">
        <w:rPr>
          <w:rFonts w:asciiTheme="majorBidi" w:hAnsiTheme="majorBidi" w:cstheme="majorBidi"/>
          <w:bCs/>
          <w:sz w:val="24"/>
          <w:szCs w:val="24"/>
        </w:rPr>
        <w:t xml:space="preserve">Blood tests showed a raised C-reactive protein and white blood cells count. The CT scan showed features of orbital cellulitis in the left eye (fig.2) classified Chandler stage II without any sinusitis. </w:t>
      </w:r>
    </w:p>
    <w:p w14:paraId="7451BF3A" w14:textId="6134A549" w:rsidR="0003308C" w:rsidRDefault="0003308C" w:rsidP="0003308C">
      <w:pPr>
        <w:jc w:val="center"/>
        <w:rPr>
          <w:rFonts w:asciiTheme="majorBidi" w:hAnsiTheme="majorBidi" w:cstheme="majorBidi"/>
          <w:bCs/>
        </w:rPr>
      </w:pPr>
      <w:r>
        <w:rPr>
          <w:rFonts w:asciiTheme="majorBidi" w:hAnsiTheme="majorBidi" w:cstheme="majorBidi"/>
          <w:bCs/>
          <w:noProof/>
        </w:rPr>
        <w:lastRenderedPageBreak/>
        <w:drawing>
          <wp:inline distT="0" distB="0" distL="0" distR="0" wp14:anchorId="673CE381" wp14:editId="18B627CF">
            <wp:extent cx="2627983" cy="2851087"/>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43133" cy="2867523"/>
                    </a:xfrm>
                    <a:prstGeom prst="rect">
                      <a:avLst/>
                    </a:prstGeom>
                    <a:noFill/>
                  </pic:spPr>
                </pic:pic>
              </a:graphicData>
            </a:graphic>
          </wp:inline>
        </w:drawing>
      </w:r>
    </w:p>
    <w:p w14:paraId="200C2269" w14:textId="77777777" w:rsidR="0003308C" w:rsidRPr="0003308C" w:rsidRDefault="0003308C" w:rsidP="0003308C">
      <w:pPr>
        <w:rPr>
          <w:rFonts w:asciiTheme="majorBidi" w:hAnsiTheme="majorBidi" w:cstheme="majorBidi"/>
          <w:sz w:val="20"/>
          <w:szCs w:val="20"/>
        </w:rPr>
      </w:pPr>
      <w:r w:rsidRPr="0003308C">
        <w:rPr>
          <w:rFonts w:asciiTheme="majorBidi" w:hAnsiTheme="majorBidi" w:cstheme="majorBidi"/>
          <w:b/>
          <w:bCs/>
          <w:sz w:val="20"/>
          <w:szCs w:val="20"/>
        </w:rPr>
        <w:t>Figure 2:</w:t>
      </w:r>
      <w:r w:rsidRPr="0003308C">
        <w:rPr>
          <w:rFonts w:asciiTheme="majorBidi" w:hAnsiTheme="majorBidi" w:cstheme="majorBidi"/>
          <w:sz w:val="20"/>
          <w:szCs w:val="20"/>
        </w:rPr>
        <w:t xml:space="preserve"> axial CT scan showing an orbital cellulitis Chandler stage II on the left side.</w:t>
      </w:r>
    </w:p>
    <w:bookmarkEnd w:id="4"/>
    <w:p w14:paraId="323C5F53" w14:textId="75B5130F" w:rsidR="00E92540" w:rsidRPr="009C0409" w:rsidRDefault="0003308C" w:rsidP="0003308C">
      <w:pPr>
        <w:pStyle w:val="NormalWeb"/>
        <w:rPr>
          <w:rFonts w:asciiTheme="majorBidi" w:hAnsiTheme="majorBidi" w:cstheme="majorBidi"/>
          <w:u w:val="single"/>
        </w:rPr>
      </w:pPr>
      <w:r>
        <w:rPr>
          <w:rFonts w:asciiTheme="majorBidi" w:hAnsiTheme="majorBidi" w:cstheme="majorBidi"/>
          <w:sz w:val="20"/>
          <w:szCs w:val="20"/>
        </w:rPr>
        <w:t xml:space="preserve">    </w:t>
      </w:r>
      <w:r w:rsidRPr="009C0409">
        <w:rPr>
          <w:rFonts w:asciiTheme="majorBidi" w:hAnsiTheme="majorBidi" w:cstheme="majorBidi"/>
        </w:rPr>
        <w:t xml:space="preserve">Considering those results, the diagnosis of orbital cellulitis stage II has been established and the child </w:t>
      </w:r>
      <w:r w:rsidR="00E92540" w:rsidRPr="009C0409">
        <w:rPr>
          <w:rFonts w:asciiTheme="majorBidi" w:hAnsiTheme="majorBidi" w:cstheme="majorBidi"/>
        </w:rPr>
        <w:t>was admitted. Regarding the high risk and speed of the case evolving into cavernous sinus thrombosis, treatment should be started without delay.</w:t>
      </w:r>
    </w:p>
    <w:p w14:paraId="5121D3CF" w14:textId="77AD43E6" w:rsidR="00E92540" w:rsidRPr="009C0409" w:rsidRDefault="00E92540" w:rsidP="00E92540">
      <w:pPr>
        <w:pStyle w:val="NormalWeb"/>
        <w:rPr>
          <w:rFonts w:asciiTheme="majorBidi" w:hAnsiTheme="majorBidi" w:cstheme="majorBidi"/>
        </w:rPr>
      </w:pPr>
      <w:r w:rsidRPr="009C0409">
        <w:rPr>
          <w:rFonts w:asciiTheme="majorBidi" w:hAnsiTheme="majorBidi" w:cstheme="majorBidi"/>
        </w:rPr>
        <w:t xml:space="preserve">   The baby was managed with intravenous antibiotics including cefotaxime, amikacin and metronidazole for one week followed by oral cefotaxime for one week. For the fever, non- inflammatory steroids were stopped and replaced by intravenous paracetamol.</w:t>
      </w:r>
    </w:p>
    <w:p w14:paraId="7B065D3B" w14:textId="1C3BDB27" w:rsidR="0003308C" w:rsidRPr="009C0409" w:rsidRDefault="0003308C" w:rsidP="0003308C">
      <w:pPr>
        <w:pStyle w:val="NormalWeb"/>
        <w:rPr>
          <w:rFonts w:asciiTheme="majorBidi" w:hAnsiTheme="majorBidi" w:cstheme="majorBidi"/>
        </w:rPr>
      </w:pPr>
      <w:r w:rsidRPr="009C0409">
        <w:rPr>
          <w:rFonts w:asciiTheme="majorBidi" w:hAnsiTheme="majorBidi" w:cstheme="majorBidi"/>
        </w:rPr>
        <w:t xml:space="preserve">   The clinical response was rapidly favorable after 48 hours with a marked reduction of the edema and opening of the eye (fig.3). A total recovery was obtained by the 10</w:t>
      </w:r>
      <w:r w:rsidRPr="009C0409">
        <w:rPr>
          <w:rFonts w:asciiTheme="majorBidi" w:hAnsiTheme="majorBidi" w:cstheme="majorBidi"/>
          <w:vertAlign w:val="superscript"/>
        </w:rPr>
        <w:t>th</w:t>
      </w:r>
      <w:r w:rsidRPr="009C0409">
        <w:rPr>
          <w:rFonts w:asciiTheme="majorBidi" w:hAnsiTheme="majorBidi" w:cstheme="majorBidi"/>
        </w:rPr>
        <w:t xml:space="preserve"> day (fig.4).</w:t>
      </w:r>
    </w:p>
    <w:p w14:paraId="3F532D27" w14:textId="1F8ED17D" w:rsidR="0003308C" w:rsidRDefault="0003308C" w:rsidP="0003308C">
      <w:pPr>
        <w:pStyle w:val="NormalWeb"/>
        <w:jc w:val="center"/>
        <w:rPr>
          <w:rFonts w:asciiTheme="majorBidi" w:hAnsiTheme="majorBidi" w:cstheme="majorBidi"/>
          <w:sz w:val="20"/>
          <w:szCs w:val="20"/>
        </w:rPr>
      </w:pPr>
      <w:r>
        <w:rPr>
          <w:rFonts w:asciiTheme="majorBidi" w:hAnsiTheme="majorBidi" w:cstheme="majorBidi"/>
          <w:noProof/>
          <w:sz w:val="20"/>
          <w:szCs w:val="20"/>
        </w:rPr>
        <w:drawing>
          <wp:inline distT="0" distB="0" distL="0" distR="0" wp14:anchorId="2EFA4DD0" wp14:editId="7C8A54E7">
            <wp:extent cx="2437813" cy="3043851"/>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64789" cy="3077533"/>
                    </a:xfrm>
                    <a:prstGeom prst="rect">
                      <a:avLst/>
                    </a:prstGeom>
                    <a:noFill/>
                  </pic:spPr>
                </pic:pic>
              </a:graphicData>
            </a:graphic>
          </wp:inline>
        </w:drawing>
      </w:r>
    </w:p>
    <w:p w14:paraId="3CF4BEEB" w14:textId="77777777" w:rsidR="0003308C" w:rsidRPr="0003308C" w:rsidRDefault="0003308C" w:rsidP="0003308C">
      <w:pPr>
        <w:rPr>
          <w:rFonts w:asciiTheme="majorBidi" w:hAnsiTheme="majorBidi" w:cstheme="majorBidi"/>
          <w:sz w:val="20"/>
          <w:szCs w:val="20"/>
        </w:rPr>
      </w:pPr>
      <w:r w:rsidRPr="0003308C">
        <w:rPr>
          <w:rFonts w:asciiTheme="majorBidi" w:hAnsiTheme="majorBidi" w:cstheme="majorBidi"/>
          <w:b/>
          <w:bCs/>
          <w:sz w:val="20"/>
          <w:szCs w:val="20"/>
        </w:rPr>
        <w:t>Figure 3:</w:t>
      </w:r>
      <w:r w:rsidRPr="0003308C">
        <w:rPr>
          <w:rFonts w:asciiTheme="majorBidi" w:hAnsiTheme="majorBidi" w:cstheme="majorBidi"/>
          <w:sz w:val="20"/>
          <w:szCs w:val="20"/>
        </w:rPr>
        <w:t xml:space="preserve"> improvement in left eyelid swelling (the eye can easily be opened) 48hours after intravenous treatment, notice the wound scar (*) on the upper eyelid.</w:t>
      </w:r>
    </w:p>
    <w:p w14:paraId="45076A6C" w14:textId="4CD11A4B" w:rsidR="0003308C" w:rsidRDefault="0003308C" w:rsidP="0003308C">
      <w:pPr>
        <w:pStyle w:val="NormalWeb"/>
        <w:jc w:val="center"/>
        <w:rPr>
          <w:rFonts w:asciiTheme="majorBidi" w:hAnsiTheme="majorBidi" w:cstheme="majorBidi"/>
          <w:sz w:val="20"/>
          <w:szCs w:val="20"/>
        </w:rPr>
      </w:pPr>
      <w:r w:rsidRPr="00D22EDE">
        <w:rPr>
          <w:rFonts w:asciiTheme="majorBidi" w:hAnsiTheme="majorBidi" w:cstheme="majorBidi"/>
          <w:noProof/>
        </w:rPr>
        <w:drawing>
          <wp:inline distT="0" distB="0" distL="0" distR="0" wp14:anchorId="14E907F0" wp14:editId="34508A43">
            <wp:extent cx="2558415" cy="3223549"/>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8">
                      <a:extLst>
                        <a:ext uri="{28A0092B-C50C-407E-A947-70E740481C1C}">
                          <a14:useLocalDpi xmlns:a14="http://schemas.microsoft.com/office/drawing/2010/main" val="0"/>
                        </a:ext>
                      </a:extLst>
                    </a:blip>
                    <a:srcRect r="87340" b="40056"/>
                    <a:stretch/>
                  </pic:blipFill>
                  <pic:spPr bwMode="auto">
                    <a:xfrm>
                      <a:off x="0" y="0"/>
                      <a:ext cx="2611148" cy="3289992"/>
                    </a:xfrm>
                    <a:prstGeom prst="rect">
                      <a:avLst/>
                    </a:prstGeom>
                    <a:noFill/>
                    <a:ln>
                      <a:noFill/>
                    </a:ln>
                    <a:extLst>
                      <a:ext uri="{53640926-AAD7-44D8-BBD7-CCE9431645EC}">
                        <a14:shadowObscured xmlns:a14="http://schemas.microsoft.com/office/drawing/2010/main"/>
                      </a:ext>
                    </a:extLst>
                  </pic:spPr>
                </pic:pic>
              </a:graphicData>
            </a:graphic>
          </wp:inline>
        </w:drawing>
      </w:r>
    </w:p>
    <w:p w14:paraId="6B03DDA0" w14:textId="77695455" w:rsidR="003819D6" w:rsidRPr="009C0409" w:rsidRDefault="0003308C" w:rsidP="009C0409">
      <w:pPr>
        <w:rPr>
          <w:rFonts w:asciiTheme="majorBidi" w:hAnsiTheme="majorBidi" w:cstheme="majorBidi"/>
          <w:sz w:val="20"/>
          <w:szCs w:val="20"/>
        </w:rPr>
      </w:pPr>
      <w:r w:rsidRPr="0003308C">
        <w:rPr>
          <w:rFonts w:asciiTheme="majorBidi" w:hAnsiTheme="majorBidi" w:cstheme="majorBidi"/>
          <w:b/>
          <w:bCs/>
          <w:sz w:val="20"/>
          <w:szCs w:val="20"/>
        </w:rPr>
        <w:t>Figure 4:</w:t>
      </w:r>
      <w:r w:rsidRPr="0003308C">
        <w:rPr>
          <w:rFonts w:asciiTheme="majorBidi" w:hAnsiTheme="majorBidi" w:cstheme="majorBidi"/>
          <w:sz w:val="20"/>
          <w:szCs w:val="20"/>
        </w:rPr>
        <w:t xml:space="preserve"> clinical photography on the 10th day of treatment : fully healed.</w:t>
      </w:r>
    </w:p>
    <w:p w14:paraId="5CF2E12C" w14:textId="77777777" w:rsidR="00E56282" w:rsidRPr="00757796" w:rsidRDefault="00597067" w:rsidP="0057482B">
      <w:pPr>
        <w:pStyle w:val="Els-1storder-head"/>
        <w:numPr>
          <w:ilvl w:val="0"/>
          <w:numId w:val="0"/>
        </w:numPr>
        <w:rPr>
          <w:color w:val="4472C4" w:themeColor="accent1"/>
          <w:sz w:val="24"/>
          <w:szCs w:val="24"/>
        </w:rPr>
      </w:pPr>
      <w:r w:rsidRPr="00757796">
        <w:rPr>
          <w:color w:val="4472C4" w:themeColor="accent1"/>
          <w:sz w:val="24"/>
          <w:szCs w:val="24"/>
        </w:rPr>
        <w:lastRenderedPageBreak/>
        <w:t>Discussion</w:t>
      </w:r>
    </w:p>
    <w:p w14:paraId="7ED5C549" w14:textId="52BFB5FA" w:rsidR="00DD498D" w:rsidRPr="009C0409" w:rsidRDefault="00DD498D" w:rsidP="00DD498D">
      <w:pPr>
        <w:pStyle w:val="Els-1storder-head"/>
        <w:numPr>
          <w:ilvl w:val="0"/>
          <w:numId w:val="0"/>
        </w:numPr>
        <w:rPr>
          <w:b w:val="0"/>
          <w:bCs/>
          <w:sz w:val="24"/>
          <w:szCs w:val="24"/>
        </w:rPr>
      </w:pPr>
      <w:r>
        <w:rPr>
          <w:b w:val="0"/>
          <w:bCs/>
        </w:rPr>
        <w:t xml:space="preserve">     </w:t>
      </w:r>
      <w:r w:rsidRPr="009C0409">
        <w:rPr>
          <w:b w:val="0"/>
          <w:bCs/>
          <w:sz w:val="24"/>
          <w:szCs w:val="24"/>
        </w:rPr>
        <w:t xml:space="preserve"> Orbital cellulitis is an infection of the soft tissues posterior to the orbital septum. It represents a rare but severe condition among children, root of many intracranial complications. </w:t>
      </w:r>
    </w:p>
    <w:p w14:paraId="61A14086" w14:textId="7FEF1803" w:rsidR="00DD498D" w:rsidRPr="009C0409" w:rsidRDefault="00DD498D" w:rsidP="00DD498D">
      <w:pPr>
        <w:pStyle w:val="Els-1storder-head"/>
        <w:numPr>
          <w:ilvl w:val="0"/>
          <w:numId w:val="0"/>
        </w:numPr>
        <w:rPr>
          <w:b w:val="0"/>
          <w:bCs/>
          <w:sz w:val="24"/>
          <w:szCs w:val="24"/>
          <w:vertAlign w:val="superscript"/>
        </w:rPr>
      </w:pPr>
      <w:r w:rsidRPr="009C0409">
        <w:rPr>
          <w:b w:val="0"/>
          <w:bCs/>
          <w:sz w:val="24"/>
          <w:szCs w:val="24"/>
        </w:rPr>
        <w:t xml:space="preserve">      90% of cases occur as a secondary extension of acute or chronic bacterial sinusitis, especially the ethmoid sinuses  via a thin, possibly dehiscent, lamina papyracea</w:t>
      </w:r>
      <w:r w:rsidRPr="009C0409">
        <w:rPr>
          <w:b w:val="0"/>
          <w:bCs/>
          <w:sz w:val="24"/>
          <w:szCs w:val="24"/>
          <w:vertAlign w:val="superscript"/>
        </w:rPr>
        <w:fldChar w:fldCharType="begin"/>
      </w:r>
      <w:r w:rsidRPr="009C0409">
        <w:rPr>
          <w:b w:val="0"/>
          <w:bCs/>
          <w:sz w:val="24"/>
          <w:szCs w:val="24"/>
          <w:vertAlign w:val="superscript"/>
        </w:rPr>
        <w:instrText xml:space="preserve"> ADDIN ZOTERO_ITEM CSL_CITATION {"citationID":"UTP7vTQV","properties":{"formattedCitation":"(4)","plainCitation":"(4)","noteIndex":0},"citationItems":[{"id":27,"uris":["http://zotero.org/users/local/OXRJLUnp/items/J8NMSHXT"],"itemData":{"id":27,"type":"webpage","title":"Preseptal and orbital cellulitis in children: a review - ClinicalKey","URL":"https://www.clinicalkey.fr/#!/content/journal/1-s2.0-S1751722211000904","accessed":{"date-parts":[["2022",7,23]]}},"label":"act"}],"schema":"https://github.com/citation-style-language/schema/raw/master/csl-citation.json"} </w:instrText>
      </w:r>
      <w:r w:rsidRPr="009C0409">
        <w:rPr>
          <w:b w:val="0"/>
          <w:bCs/>
          <w:sz w:val="24"/>
          <w:szCs w:val="24"/>
          <w:vertAlign w:val="superscript"/>
        </w:rPr>
        <w:fldChar w:fldCharType="separate"/>
      </w:r>
      <w:r w:rsidRPr="009C0409">
        <w:rPr>
          <w:b w:val="0"/>
          <w:bCs/>
          <w:sz w:val="24"/>
          <w:szCs w:val="24"/>
          <w:vertAlign w:val="superscript"/>
        </w:rPr>
        <w:t>[4]</w:t>
      </w:r>
      <w:r w:rsidRPr="009C0409">
        <w:rPr>
          <w:b w:val="0"/>
          <w:bCs/>
          <w:sz w:val="24"/>
          <w:szCs w:val="24"/>
          <w:vertAlign w:val="superscript"/>
        </w:rPr>
        <w:fldChar w:fldCharType="end"/>
      </w:r>
      <w:r w:rsidRPr="009C0409">
        <w:rPr>
          <w:b w:val="0"/>
          <w:bCs/>
          <w:sz w:val="24"/>
          <w:szCs w:val="24"/>
        </w:rPr>
        <w:t xml:space="preserve">. Other extensions of periorbital structures include the face/eyelids, dacryocystitis and dental infections. Exogenous causes including trauma and orbital/periorbital surgery are rare in infants and a  little palpebral wound may be the starting point in babies due to quick and important inflammatory reactions </w:t>
      </w:r>
      <w:r w:rsidRPr="009C0409">
        <w:rPr>
          <w:b w:val="0"/>
          <w:bCs/>
          <w:sz w:val="24"/>
          <w:szCs w:val="24"/>
          <w:vertAlign w:val="superscript"/>
        </w:rPr>
        <w:fldChar w:fldCharType="begin"/>
      </w:r>
      <w:r w:rsidRPr="009C0409">
        <w:rPr>
          <w:b w:val="0"/>
          <w:bCs/>
          <w:sz w:val="24"/>
          <w:szCs w:val="24"/>
          <w:vertAlign w:val="superscript"/>
        </w:rPr>
        <w:instrText xml:space="preserve"> ADDIN ZOTERO_ITEM CSL_CITATION {"citationID":"UTP7vTQV","properties":{"formattedCitation":"(4)","plainCitation":"(4)","noteIndex":0},"citationItems":[{"id":27,"uris":["http://zotero.org/users/local/OXRJLUnp/items/J8NMSHXT"],"itemData":{"id":27,"type":"webpage","title":"Preseptal and orbital cellulitis in children: a review - ClinicalKey","URL":"https://www.clinicalkey.fr/#!/content/journal/1-s2.0-S1751722211000904","accessed":{"date-parts":[["2022",7,23]]}},"label":"act"}],"schema":"https://github.com/citation-style-language/schema/raw/master/csl-citation.json"} </w:instrText>
      </w:r>
      <w:r w:rsidRPr="009C0409">
        <w:rPr>
          <w:b w:val="0"/>
          <w:bCs/>
          <w:sz w:val="24"/>
          <w:szCs w:val="24"/>
          <w:vertAlign w:val="superscript"/>
        </w:rPr>
        <w:fldChar w:fldCharType="separate"/>
      </w:r>
      <w:r w:rsidRPr="009C0409">
        <w:rPr>
          <w:b w:val="0"/>
          <w:bCs/>
          <w:sz w:val="24"/>
          <w:szCs w:val="24"/>
          <w:vertAlign w:val="superscript"/>
        </w:rPr>
        <w:t>[3-5-8]</w:t>
      </w:r>
      <w:r w:rsidRPr="009C0409">
        <w:rPr>
          <w:b w:val="0"/>
          <w:bCs/>
          <w:sz w:val="24"/>
          <w:szCs w:val="24"/>
          <w:vertAlign w:val="superscript"/>
        </w:rPr>
        <w:fldChar w:fldCharType="end"/>
      </w:r>
      <w:r w:rsidRPr="009C0409">
        <w:rPr>
          <w:b w:val="0"/>
          <w:bCs/>
          <w:sz w:val="24"/>
          <w:szCs w:val="24"/>
          <w:vertAlign w:val="superscript"/>
        </w:rPr>
        <w:t>.</w:t>
      </w:r>
    </w:p>
    <w:p w14:paraId="023544C7" w14:textId="1DEC2EB2" w:rsidR="00DD498D" w:rsidRPr="009C0409" w:rsidRDefault="00DD498D" w:rsidP="00DD498D">
      <w:pPr>
        <w:pStyle w:val="Els-1storder-head"/>
        <w:numPr>
          <w:ilvl w:val="0"/>
          <w:numId w:val="0"/>
        </w:numPr>
        <w:rPr>
          <w:b w:val="0"/>
          <w:bCs/>
          <w:sz w:val="24"/>
          <w:szCs w:val="24"/>
        </w:rPr>
      </w:pPr>
      <w:r w:rsidRPr="009C0409">
        <w:rPr>
          <w:b w:val="0"/>
          <w:bCs/>
          <w:sz w:val="24"/>
          <w:szCs w:val="24"/>
        </w:rPr>
        <w:t xml:space="preserve">      Orbital clinical findings include proptosis, ptosis and restriction of ocular motility, ocular pain, and chemosis. If There’s a decreased visual acuity, or relative afferent pupillary defect, one must consider compressive optic neuropathy which warrants urgent aggressive management </w:t>
      </w:r>
      <w:bookmarkStart w:id="5" w:name="_Hlk112781396"/>
      <w:r w:rsidRPr="009C0409">
        <w:rPr>
          <w:b w:val="0"/>
          <w:bCs/>
          <w:sz w:val="24"/>
          <w:szCs w:val="24"/>
          <w:vertAlign w:val="superscript"/>
        </w:rPr>
        <w:fldChar w:fldCharType="begin"/>
      </w:r>
      <w:r w:rsidRPr="009C0409">
        <w:rPr>
          <w:b w:val="0"/>
          <w:bCs/>
          <w:sz w:val="24"/>
          <w:szCs w:val="24"/>
          <w:vertAlign w:val="superscript"/>
        </w:rPr>
        <w:instrText xml:space="preserve"> ADDIN ZOTERO_ITEM CSL_CITATION {"citationID":"UTP7vTQV","properties":{"formattedCitation":"(4)","plainCitation":"(4)","noteIndex":0},"citationItems":[{"id":27,"uris":["http://zotero.org/users/local/OXRJLUnp/items/J8NMSHXT"],"itemData":{"id":27,"type":"webpage","title":"Preseptal and orbital cellulitis in children: a review - ClinicalKey","URL":"https://www.clinicalkey.fr/#!/content/journal/1-s2.0-S1751722211000904","accessed":{"date-parts":[["2022",7,23]]}},"label":"act"}],"schema":"https://github.com/citation-style-language/schema/raw/master/csl-citation.json"} </w:instrText>
      </w:r>
      <w:r w:rsidRPr="009C0409">
        <w:rPr>
          <w:b w:val="0"/>
          <w:bCs/>
          <w:sz w:val="24"/>
          <w:szCs w:val="24"/>
          <w:vertAlign w:val="superscript"/>
        </w:rPr>
        <w:fldChar w:fldCharType="separate"/>
      </w:r>
      <w:r w:rsidRPr="009C0409">
        <w:rPr>
          <w:b w:val="0"/>
          <w:bCs/>
          <w:sz w:val="24"/>
          <w:szCs w:val="24"/>
          <w:vertAlign w:val="superscript"/>
        </w:rPr>
        <w:t>[3]</w:t>
      </w:r>
      <w:r w:rsidRPr="009C0409">
        <w:rPr>
          <w:b w:val="0"/>
          <w:bCs/>
          <w:sz w:val="24"/>
          <w:szCs w:val="24"/>
          <w:vertAlign w:val="superscript"/>
        </w:rPr>
        <w:fldChar w:fldCharType="end"/>
      </w:r>
      <w:bookmarkEnd w:id="5"/>
      <w:r w:rsidRPr="009C0409">
        <w:rPr>
          <w:b w:val="0"/>
          <w:bCs/>
          <w:sz w:val="24"/>
          <w:szCs w:val="24"/>
        </w:rPr>
        <w:t xml:space="preserve"> . </w:t>
      </w:r>
    </w:p>
    <w:p w14:paraId="7F1A53D7" w14:textId="77777777" w:rsidR="00F8123D" w:rsidRPr="00F8123D" w:rsidRDefault="00F8123D" w:rsidP="00F8123D">
      <w:pPr>
        <w:rPr>
          <w:rFonts w:asciiTheme="majorBidi" w:hAnsiTheme="majorBidi" w:cstheme="majorBidi"/>
          <w:sz w:val="24"/>
          <w:szCs w:val="24"/>
        </w:rPr>
      </w:pPr>
      <w:r>
        <w:rPr>
          <w:rFonts w:asciiTheme="majorBidi" w:hAnsiTheme="majorBidi" w:cstheme="majorBidi"/>
          <w:sz w:val="28"/>
          <w:szCs w:val="28"/>
        </w:rPr>
        <w:t xml:space="preserve">     </w:t>
      </w:r>
      <w:r w:rsidRPr="00F8123D">
        <w:rPr>
          <w:rFonts w:asciiTheme="majorBidi" w:hAnsiTheme="majorBidi" w:cstheme="majorBidi"/>
          <w:sz w:val="24"/>
          <w:szCs w:val="24"/>
        </w:rPr>
        <w:t>In our case, the left upper eyelid swelling was massive and we were unable to open the eye or appreciate ocular motility and pupillary reaction. In such cases, orbital CT scan appears as a key exam for diagnosis.</w:t>
      </w:r>
    </w:p>
    <w:p w14:paraId="5A23FBB9" w14:textId="32FA4DEA" w:rsidR="00F8123D" w:rsidRPr="00F8123D" w:rsidRDefault="00F8123D" w:rsidP="00757796">
      <w:pPr>
        <w:rPr>
          <w:rFonts w:asciiTheme="majorBidi" w:hAnsiTheme="majorBidi" w:cstheme="majorBidi"/>
          <w:sz w:val="24"/>
          <w:szCs w:val="24"/>
        </w:rPr>
      </w:pPr>
      <w:r w:rsidRPr="00F8123D">
        <w:rPr>
          <w:rFonts w:asciiTheme="majorBidi" w:hAnsiTheme="majorBidi" w:cstheme="majorBidi"/>
          <w:sz w:val="24"/>
          <w:szCs w:val="24"/>
        </w:rPr>
        <w:t xml:space="preserve">     We performed a CT scan of the orbits, the maxillo-facial unit, and the brain in our case and we were able: first, to confirm the diagnosis. Then, to classify the cellulitis and exclude an orbital abscess, which may require a surgical intervention and finally, sinusitis was ruled out as an origin of the cellulitis.</w:t>
      </w:r>
    </w:p>
    <w:p w14:paraId="317CC1AC" w14:textId="77777777" w:rsidR="00F8123D" w:rsidRPr="00F8123D" w:rsidRDefault="00F8123D" w:rsidP="00F8123D">
      <w:pPr>
        <w:rPr>
          <w:rFonts w:asciiTheme="majorBidi" w:hAnsiTheme="majorBidi" w:cstheme="majorBidi"/>
          <w:sz w:val="24"/>
          <w:szCs w:val="24"/>
        </w:rPr>
      </w:pPr>
      <w:r w:rsidRPr="00F8123D">
        <w:rPr>
          <w:rFonts w:asciiTheme="majorBidi" w:hAnsiTheme="majorBidi" w:cstheme="majorBidi"/>
          <w:sz w:val="24"/>
          <w:szCs w:val="24"/>
        </w:rPr>
        <w:t xml:space="preserve">     Considering medical history and CT scan images demonstrating no sinusitis, we included the badly managed orbital trauma in the etiopathogenesis of the orbital cellulitis in our case. In fact, the use of </w:t>
      </w:r>
      <w:bookmarkStart w:id="6" w:name="_Hlk124179189"/>
      <w:r w:rsidRPr="00F8123D">
        <w:rPr>
          <w:rStyle w:val="hgkelc"/>
          <w:rFonts w:asciiTheme="majorBidi" w:hAnsiTheme="majorBidi" w:cstheme="majorBidi"/>
          <w:sz w:val="24"/>
          <w:szCs w:val="24"/>
          <w:lang w:val="en"/>
        </w:rPr>
        <w:t>non-</w:t>
      </w:r>
      <w:r w:rsidRPr="00F8123D">
        <w:rPr>
          <w:rStyle w:val="hgkelc"/>
          <w:rFonts w:asciiTheme="majorBidi" w:hAnsiTheme="majorBidi" w:cstheme="majorBidi"/>
          <w:sz w:val="24"/>
          <w:szCs w:val="24"/>
          <w:lang w:val="en"/>
        </w:rPr>
        <w:t>steroidal anti-inflammatory</w:t>
      </w:r>
      <w:r w:rsidRPr="00F8123D">
        <w:rPr>
          <w:rFonts w:asciiTheme="majorBidi" w:hAnsiTheme="majorBidi" w:cstheme="majorBidi"/>
          <w:sz w:val="24"/>
          <w:szCs w:val="24"/>
        </w:rPr>
        <w:t xml:space="preserve"> </w:t>
      </w:r>
      <w:bookmarkEnd w:id="6"/>
      <w:r w:rsidRPr="00F8123D">
        <w:rPr>
          <w:rFonts w:asciiTheme="majorBidi" w:hAnsiTheme="majorBidi" w:cstheme="majorBidi"/>
          <w:sz w:val="24"/>
          <w:szCs w:val="24"/>
        </w:rPr>
        <w:t>substances interfered with the immune system and worsened the clinical findings.</w:t>
      </w:r>
    </w:p>
    <w:p w14:paraId="279FB2D8" w14:textId="788E324F" w:rsidR="00F8123D" w:rsidRPr="00F8123D" w:rsidRDefault="009C0409" w:rsidP="009C0409">
      <w:pPr>
        <w:rPr>
          <w:rFonts w:asciiTheme="majorBidi" w:hAnsiTheme="majorBidi" w:cstheme="majorBidi"/>
          <w:sz w:val="24"/>
          <w:szCs w:val="24"/>
        </w:rPr>
      </w:pPr>
      <w:r>
        <w:rPr>
          <w:rFonts w:asciiTheme="majorBidi" w:hAnsiTheme="majorBidi" w:cstheme="majorBidi"/>
          <w:sz w:val="24"/>
          <w:szCs w:val="24"/>
        </w:rPr>
        <w:t xml:space="preserve">       </w:t>
      </w:r>
      <w:r w:rsidR="00F8123D" w:rsidRPr="00F8123D">
        <w:rPr>
          <w:rFonts w:asciiTheme="majorBidi" w:hAnsiTheme="majorBidi" w:cstheme="majorBidi"/>
          <w:sz w:val="24"/>
          <w:szCs w:val="24"/>
        </w:rPr>
        <w:t xml:space="preserve">The use of </w:t>
      </w:r>
      <w:r w:rsidR="00F8123D" w:rsidRPr="00F8123D">
        <w:rPr>
          <w:rStyle w:val="hgkelc"/>
          <w:rFonts w:asciiTheme="majorBidi" w:hAnsiTheme="majorBidi" w:cstheme="majorBidi"/>
          <w:sz w:val="24"/>
          <w:szCs w:val="24"/>
          <w:lang w:val="en"/>
        </w:rPr>
        <w:t xml:space="preserve">non-steroidal anti-inflammatory drugs </w:t>
      </w:r>
      <w:r w:rsidR="00F8123D" w:rsidRPr="00F8123D">
        <w:rPr>
          <w:rFonts w:asciiTheme="majorBidi" w:hAnsiTheme="majorBidi" w:cstheme="majorBidi"/>
          <w:sz w:val="24"/>
          <w:szCs w:val="24"/>
        </w:rPr>
        <w:t>should be prohibited in such cases</w:t>
      </w:r>
      <w:r w:rsidR="00F8123D" w:rsidRPr="00F8123D">
        <w:rPr>
          <w:rFonts w:asciiTheme="majorBidi" w:hAnsiTheme="majorBidi" w:cstheme="majorBidi"/>
          <w:sz w:val="24"/>
          <w:szCs w:val="24"/>
          <w:vertAlign w:val="superscript"/>
        </w:rPr>
        <w:fldChar w:fldCharType="begin"/>
      </w:r>
      <w:r w:rsidR="00F8123D" w:rsidRPr="00F8123D">
        <w:rPr>
          <w:rFonts w:asciiTheme="majorBidi" w:hAnsiTheme="majorBidi" w:cstheme="majorBidi"/>
          <w:sz w:val="24"/>
          <w:szCs w:val="24"/>
          <w:vertAlign w:val="superscript"/>
        </w:rPr>
        <w:instrText xml:space="preserve"> ADDIN ZOTERO_ITEM CSL_CITATION {"citationID":"UTP7vTQV","properties":{"formattedCitation":"(4)","plainCitation":"(4)","noteIndex":0},"citationItems":[{"id":27,"uris":["http://zotero.org/users/local/OXRJLUnp/items/J8NMSHXT"],"itemData":{"id":27,"type":"webpage","title":"Preseptal and orbital cellulitis in children: a review - ClinicalKey","URL":"https://www.clinicalkey.fr/#!/content/journal/1-s2.0-S1751722211000904","accessed":{"date-parts":[["2022",7,23]]}},"label":"act"}],"schema":"https://github.com/citation-style-language/schema/raw/master/csl-citation.json"} </w:instrText>
      </w:r>
      <w:r w:rsidR="00F8123D" w:rsidRPr="00F8123D">
        <w:rPr>
          <w:rFonts w:asciiTheme="majorBidi" w:hAnsiTheme="majorBidi" w:cstheme="majorBidi"/>
          <w:sz w:val="24"/>
          <w:szCs w:val="24"/>
          <w:vertAlign w:val="superscript"/>
        </w:rPr>
        <w:fldChar w:fldCharType="separate"/>
      </w:r>
      <w:r w:rsidR="00F8123D" w:rsidRPr="00F8123D">
        <w:rPr>
          <w:rFonts w:asciiTheme="majorBidi" w:hAnsiTheme="majorBidi" w:cstheme="majorBidi"/>
          <w:sz w:val="24"/>
          <w:szCs w:val="24"/>
          <w:vertAlign w:val="superscript"/>
        </w:rPr>
        <w:t>[9]</w:t>
      </w:r>
      <w:r w:rsidR="00F8123D" w:rsidRPr="00F8123D">
        <w:rPr>
          <w:rFonts w:asciiTheme="majorBidi" w:hAnsiTheme="majorBidi" w:cstheme="majorBidi"/>
          <w:sz w:val="24"/>
          <w:szCs w:val="24"/>
          <w:vertAlign w:val="superscript"/>
        </w:rPr>
        <w:fldChar w:fldCharType="end"/>
      </w:r>
      <w:r w:rsidR="00F8123D" w:rsidRPr="00F8123D">
        <w:rPr>
          <w:rFonts w:asciiTheme="majorBidi" w:hAnsiTheme="majorBidi" w:cstheme="majorBidi"/>
          <w:sz w:val="24"/>
          <w:szCs w:val="24"/>
        </w:rPr>
        <w:t xml:space="preserve">. </w:t>
      </w:r>
    </w:p>
    <w:p w14:paraId="349CD4D2" w14:textId="77777777" w:rsidR="00F8123D" w:rsidRPr="00F8123D" w:rsidRDefault="00F8123D" w:rsidP="00F8123D">
      <w:pPr>
        <w:rPr>
          <w:rFonts w:asciiTheme="majorBidi" w:hAnsiTheme="majorBidi" w:cstheme="majorBidi"/>
          <w:sz w:val="24"/>
          <w:szCs w:val="24"/>
        </w:rPr>
      </w:pPr>
      <w:r w:rsidRPr="00F8123D">
        <w:rPr>
          <w:rFonts w:asciiTheme="majorBidi" w:hAnsiTheme="majorBidi" w:cstheme="majorBidi"/>
          <w:sz w:val="24"/>
          <w:szCs w:val="24"/>
        </w:rPr>
        <w:t xml:space="preserve">       Many classifications are proposed to classify orbital soft tissue’s infections as Chandler, Jain and Rubin, and others. </w:t>
      </w:r>
    </w:p>
    <w:p w14:paraId="7F9D59A5" w14:textId="327823DD" w:rsidR="00F8123D" w:rsidRDefault="00F8123D" w:rsidP="00757796">
      <w:pPr>
        <w:rPr>
          <w:rFonts w:asciiTheme="majorBidi" w:hAnsiTheme="majorBidi" w:cstheme="majorBidi"/>
          <w:sz w:val="24"/>
          <w:szCs w:val="24"/>
        </w:rPr>
      </w:pPr>
      <w:r w:rsidRPr="00F8123D">
        <w:rPr>
          <w:rFonts w:asciiTheme="majorBidi" w:hAnsiTheme="majorBidi" w:cstheme="majorBidi"/>
          <w:sz w:val="24"/>
          <w:szCs w:val="24"/>
        </w:rPr>
        <w:t xml:space="preserve">      Chandler’s classification is a CT scan based classification that distinguishes pre-septal cellulitis (Chandler stage 1), which affects the eyelids and adnexa, without extending beyond the septum, from the more dangerous infections that develop posteriorly to the orbital septum, i.e., orbital cellulitis (OC, Chandler stage 2), sub-periosteal abscess (SPA, the collection of pus in the lamina papyracea, Chandler stage 3), or orbital abscess (OA, Chandler </w:t>
      </w:r>
      <w:r w:rsidR="00757796">
        <w:rPr>
          <w:rFonts w:asciiTheme="majorBidi" w:hAnsiTheme="majorBidi" w:cstheme="majorBidi"/>
          <w:sz w:val="24"/>
          <w:szCs w:val="24"/>
        </w:rPr>
        <w:t xml:space="preserve">      </w:t>
      </w:r>
      <w:r w:rsidRPr="00F8123D">
        <w:rPr>
          <w:rFonts w:asciiTheme="majorBidi" w:hAnsiTheme="majorBidi" w:cstheme="majorBidi"/>
          <w:sz w:val="24"/>
          <w:szCs w:val="24"/>
        </w:rPr>
        <w:t>stage</w:t>
      </w:r>
      <w:r w:rsidR="00757796">
        <w:rPr>
          <w:rFonts w:asciiTheme="majorBidi" w:hAnsiTheme="majorBidi" w:cstheme="majorBidi"/>
          <w:sz w:val="24"/>
          <w:szCs w:val="24"/>
        </w:rPr>
        <w:t xml:space="preserve"> </w:t>
      </w:r>
      <w:r w:rsidRPr="00F8123D">
        <w:rPr>
          <w:rFonts w:asciiTheme="majorBidi" w:hAnsiTheme="majorBidi" w:cstheme="majorBidi"/>
          <w:sz w:val="24"/>
          <w:szCs w:val="24"/>
        </w:rPr>
        <w:t>4). Chandler stage 5 refers to cavernous sinus thrombosis</w:t>
      </w:r>
      <w:r w:rsidRPr="00F8123D">
        <w:rPr>
          <w:rFonts w:asciiTheme="majorBidi" w:hAnsiTheme="majorBidi" w:cstheme="majorBidi"/>
          <w:sz w:val="24"/>
          <w:szCs w:val="24"/>
          <w:vertAlign w:val="superscript"/>
        </w:rPr>
        <w:fldChar w:fldCharType="begin"/>
      </w:r>
      <w:r w:rsidRPr="00F8123D">
        <w:rPr>
          <w:rFonts w:asciiTheme="majorBidi" w:hAnsiTheme="majorBidi" w:cstheme="majorBidi"/>
          <w:sz w:val="24"/>
          <w:szCs w:val="24"/>
          <w:vertAlign w:val="superscript"/>
        </w:rPr>
        <w:instrText xml:space="preserve"> ADDIN ZOTERO_ITEM CSL_CITATION {"citationID":"UTP7vTQV","properties":{"formattedCitation":"(4)","plainCitation":"(4)","noteIndex":0},"citationItems":[{"id":27,"uris":["http://zotero.org/users/local/OXRJLUnp/items/J8NMSHXT"],"itemData":{"id":27,"type":"webpage","title":"Preseptal and orbital cellulitis in children: a review - ClinicalKey","URL":"https://www.clinicalkey.fr/#!/content/journal/1-s2.0-S1751722211000904","accessed":{"date-parts":[["2022",7,23]]}},"label":"act"}],"schema":"https://github.com/citation-style-language/schema/raw/master/csl-citation.json"} </w:instrText>
      </w:r>
      <w:r w:rsidRPr="00F8123D">
        <w:rPr>
          <w:rFonts w:asciiTheme="majorBidi" w:hAnsiTheme="majorBidi" w:cstheme="majorBidi"/>
          <w:sz w:val="24"/>
          <w:szCs w:val="24"/>
          <w:vertAlign w:val="superscript"/>
        </w:rPr>
        <w:fldChar w:fldCharType="separate"/>
      </w:r>
      <w:r w:rsidRPr="00F8123D">
        <w:rPr>
          <w:rFonts w:asciiTheme="majorBidi" w:hAnsiTheme="majorBidi" w:cstheme="majorBidi"/>
          <w:sz w:val="24"/>
          <w:szCs w:val="24"/>
          <w:vertAlign w:val="superscript"/>
        </w:rPr>
        <w:t>[2]</w:t>
      </w:r>
      <w:r w:rsidRPr="00F8123D">
        <w:rPr>
          <w:rFonts w:asciiTheme="majorBidi" w:hAnsiTheme="majorBidi" w:cstheme="majorBidi"/>
          <w:sz w:val="24"/>
          <w:szCs w:val="24"/>
          <w:vertAlign w:val="superscript"/>
        </w:rPr>
        <w:fldChar w:fldCharType="end"/>
      </w:r>
      <w:r w:rsidRPr="00F8123D">
        <w:rPr>
          <w:rFonts w:asciiTheme="majorBidi" w:hAnsiTheme="majorBidi" w:cstheme="majorBidi"/>
          <w:sz w:val="24"/>
          <w:szCs w:val="24"/>
        </w:rPr>
        <w:t xml:space="preserve">. </w:t>
      </w:r>
    </w:p>
    <w:p w14:paraId="33C3A568" w14:textId="7A05074E" w:rsidR="00F8123D" w:rsidRPr="00F8123D" w:rsidRDefault="00757796" w:rsidP="00757796">
      <w:pPr>
        <w:rPr>
          <w:rFonts w:asciiTheme="majorBidi" w:hAnsiTheme="majorBidi" w:cstheme="majorBidi"/>
          <w:sz w:val="24"/>
          <w:szCs w:val="24"/>
        </w:rPr>
      </w:pPr>
      <w:r>
        <w:rPr>
          <w:rFonts w:asciiTheme="majorBidi" w:hAnsiTheme="majorBidi" w:cstheme="majorBidi"/>
          <w:sz w:val="24"/>
          <w:szCs w:val="24"/>
        </w:rPr>
        <w:t xml:space="preserve">     </w:t>
      </w:r>
      <w:r w:rsidR="00F8123D" w:rsidRPr="00F8123D">
        <w:rPr>
          <w:rFonts w:asciiTheme="majorBidi" w:hAnsiTheme="majorBidi" w:cstheme="majorBidi"/>
          <w:sz w:val="24"/>
          <w:szCs w:val="24"/>
        </w:rPr>
        <w:t>Our infant was classified as Orbital Cellulitis, Chandler stage 2 since no collected abscess was found on CT scan.</w:t>
      </w:r>
    </w:p>
    <w:p w14:paraId="73AD4771" w14:textId="77777777" w:rsidR="00F8123D" w:rsidRPr="00F8123D" w:rsidRDefault="00F8123D" w:rsidP="00F8123D">
      <w:pPr>
        <w:rPr>
          <w:rFonts w:asciiTheme="majorBidi" w:hAnsiTheme="majorBidi" w:cstheme="majorBidi"/>
          <w:sz w:val="24"/>
          <w:szCs w:val="24"/>
          <w:vertAlign w:val="superscript"/>
        </w:rPr>
      </w:pPr>
      <w:r w:rsidRPr="00F8123D">
        <w:rPr>
          <w:rFonts w:asciiTheme="majorBidi" w:hAnsiTheme="majorBidi" w:cstheme="majorBidi"/>
          <w:sz w:val="24"/>
          <w:szCs w:val="24"/>
        </w:rPr>
        <w:t xml:space="preserve">     In post-traumatic orbital cellulitis, the most common organisms isolated are Staphylococcus aureus and Staphylococcus pyogenes. Younger children (under 9 years old) are more likely to have a single bacterial isolate, than older children.</w:t>
      </w:r>
    </w:p>
    <w:p w14:paraId="599AB0E3" w14:textId="77777777" w:rsidR="00F8123D" w:rsidRPr="00F8123D" w:rsidRDefault="00F8123D" w:rsidP="00F8123D">
      <w:pPr>
        <w:rPr>
          <w:rFonts w:asciiTheme="majorBidi" w:hAnsiTheme="majorBidi" w:cstheme="majorBidi"/>
          <w:sz w:val="24"/>
          <w:szCs w:val="24"/>
        </w:rPr>
      </w:pPr>
      <w:r w:rsidRPr="00F8123D">
        <w:rPr>
          <w:rFonts w:asciiTheme="majorBidi" w:hAnsiTheme="majorBidi" w:cstheme="majorBidi"/>
          <w:sz w:val="24"/>
          <w:szCs w:val="24"/>
        </w:rPr>
        <w:t xml:space="preserve">     Large case series, report that the association of aerobic and anaerobic organisms is reported after a trauma and don’t have to be neglected</w:t>
      </w:r>
      <w:r w:rsidRPr="00F8123D">
        <w:rPr>
          <w:rFonts w:asciiTheme="majorBidi" w:hAnsiTheme="majorBidi" w:cstheme="majorBidi"/>
          <w:sz w:val="24"/>
          <w:szCs w:val="24"/>
          <w:vertAlign w:val="superscript"/>
        </w:rPr>
        <w:fldChar w:fldCharType="begin"/>
      </w:r>
      <w:r w:rsidRPr="00F8123D">
        <w:rPr>
          <w:rFonts w:asciiTheme="majorBidi" w:hAnsiTheme="majorBidi" w:cstheme="majorBidi"/>
          <w:sz w:val="24"/>
          <w:szCs w:val="24"/>
          <w:vertAlign w:val="superscript"/>
        </w:rPr>
        <w:instrText xml:space="preserve"> ADDIN ZOTERO_ITEM CSL_CITATION {"citationID":"UTP7vTQV","properties":{"formattedCitation":"(4)","plainCitation":"(4)","noteIndex":0},"citationItems":[{"id":27,"uris":["http://zotero.org/users/local/OXRJLUnp/items/J8NMSHXT"],"itemData":{"id":27,"type":"webpage","title":"Preseptal and orbital cellulitis in children: a review - ClinicalKey","URL":"https://www.clinicalkey.fr/#!/content/journal/1-s2.0-S1751722211000904","accessed":{"date-parts":[["2022",7,23]]}},"label":"act"}],"schema":"https://github.com/citation-style-language/schema/raw/master/csl-citation.json"} </w:instrText>
      </w:r>
      <w:r w:rsidRPr="00F8123D">
        <w:rPr>
          <w:rFonts w:asciiTheme="majorBidi" w:hAnsiTheme="majorBidi" w:cstheme="majorBidi"/>
          <w:sz w:val="24"/>
          <w:szCs w:val="24"/>
          <w:vertAlign w:val="superscript"/>
        </w:rPr>
        <w:fldChar w:fldCharType="separate"/>
      </w:r>
      <w:r w:rsidRPr="00F8123D">
        <w:rPr>
          <w:rFonts w:asciiTheme="majorBidi" w:hAnsiTheme="majorBidi" w:cstheme="majorBidi"/>
          <w:sz w:val="24"/>
          <w:szCs w:val="24"/>
          <w:vertAlign w:val="superscript"/>
        </w:rPr>
        <w:t>[4,7]</w:t>
      </w:r>
      <w:r w:rsidRPr="00F8123D">
        <w:rPr>
          <w:rFonts w:asciiTheme="majorBidi" w:hAnsiTheme="majorBidi" w:cstheme="majorBidi"/>
          <w:sz w:val="24"/>
          <w:szCs w:val="24"/>
          <w:vertAlign w:val="superscript"/>
        </w:rPr>
        <w:fldChar w:fldCharType="end"/>
      </w:r>
      <w:r w:rsidRPr="00F8123D">
        <w:rPr>
          <w:rFonts w:asciiTheme="majorBidi" w:hAnsiTheme="majorBidi" w:cstheme="majorBidi"/>
          <w:sz w:val="24"/>
          <w:szCs w:val="24"/>
        </w:rPr>
        <w:t>.</w:t>
      </w:r>
    </w:p>
    <w:p w14:paraId="4EF5D251" w14:textId="147D88A3" w:rsidR="00F8123D" w:rsidRPr="009C0409" w:rsidRDefault="00F8123D" w:rsidP="009C0409">
      <w:pPr>
        <w:rPr>
          <w:rFonts w:asciiTheme="majorBidi" w:hAnsiTheme="majorBidi" w:cstheme="majorBidi"/>
          <w:sz w:val="24"/>
          <w:szCs w:val="24"/>
          <w:vertAlign w:val="superscript"/>
        </w:rPr>
      </w:pPr>
      <w:r w:rsidRPr="00F8123D">
        <w:rPr>
          <w:rFonts w:asciiTheme="majorBidi" w:hAnsiTheme="majorBidi" w:cstheme="majorBidi"/>
          <w:sz w:val="24"/>
          <w:szCs w:val="24"/>
        </w:rPr>
        <w:t xml:space="preserve">     Clinicians should consider routine anaerobic coverage in antibiotic selection, even when the history is not suggestive of anaerobic etiology</w:t>
      </w:r>
      <w:r w:rsidRPr="00F8123D">
        <w:rPr>
          <w:rFonts w:asciiTheme="majorBidi" w:hAnsiTheme="majorBidi" w:cstheme="majorBidi"/>
          <w:sz w:val="24"/>
          <w:szCs w:val="24"/>
          <w:vertAlign w:val="superscript"/>
        </w:rPr>
        <w:fldChar w:fldCharType="begin"/>
      </w:r>
      <w:r w:rsidRPr="00F8123D">
        <w:rPr>
          <w:rFonts w:asciiTheme="majorBidi" w:hAnsiTheme="majorBidi" w:cstheme="majorBidi"/>
          <w:sz w:val="24"/>
          <w:szCs w:val="24"/>
          <w:vertAlign w:val="superscript"/>
        </w:rPr>
        <w:instrText xml:space="preserve"> ADDIN ZOTERO_ITEM CSL_CITATION {"citationID":"UTP7vTQV","properties":{"formattedCitation":"(4)","plainCitation":"(4)","noteIndex":0},"citationItems":[{"id":27,"uris":["http://zotero.org/users/local/OXRJLUnp/items/J8NMSHXT"],"itemData":{"id":27,"type":"webpage","title":"Preseptal and orbital cellulitis in children: a review - ClinicalKey","URL":"https://www.clinicalkey.fr/#!/content/journal/1-s2.0-S1751722211000904","accessed":{"date-parts":[["2022",7,23]]}},"label":"act"}],"schema":"https://github.com/citation-style-language/schema/raw/master/csl-citation.json"} </w:instrText>
      </w:r>
      <w:r w:rsidRPr="00F8123D">
        <w:rPr>
          <w:rFonts w:asciiTheme="majorBidi" w:hAnsiTheme="majorBidi" w:cstheme="majorBidi"/>
          <w:sz w:val="24"/>
          <w:szCs w:val="24"/>
          <w:vertAlign w:val="superscript"/>
        </w:rPr>
        <w:fldChar w:fldCharType="separate"/>
      </w:r>
      <w:r w:rsidRPr="00F8123D">
        <w:rPr>
          <w:rFonts w:asciiTheme="majorBidi" w:hAnsiTheme="majorBidi" w:cstheme="majorBidi"/>
          <w:sz w:val="24"/>
          <w:szCs w:val="24"/>
          <w:vertAlign w:val="superscript"/>
        </w:rPr>
        <w:t>[8]</w:t>
      </w:r>
      <w:r w:rsidRPr="00F8123D">
        <w:rPr>
          <w:rFonts w:asciiTheme="majorBidi" w:hAnsiTheme="majorBidi" w:cstheme="majorBidi"/>
          <w:sz w:val="24"/>
          <w:szCs w:val="24"/>
          <w:vertAlign w:val="superscript"/>
        </w:rPr>
        <w:fldChar w:fldCharType="end"/>
      </w:r>
      <w:r w:rsidRPr="00F8123D">
        <w:rPr>
          <w:rFonts w:asciiTheme="majorBidi" w:hAnsiTheme="majorBidi" w:cstheme="majorBidi"/>
          <w:sz w:val="24"/>
          <w:szCs w:val="24"/>
          <w:vertAlign w:val="superscript"/>
        </w:rPr>
        <w:t xml:space="preserve"> </w:t>
      </w:r>
      <w:r w:rsidRPr="00F8123D">
        <w:rPr>
          <w:rFonts w:asciiTheme="majorBidi" w:hAnsiTheme="majorBidi" w:cstheme="majorBidi"/>
          <w:sz w:val="24"/>
          <w:szCs w:val="24"/>
        </w:rPr>
        <w:t>.</w:t>
      </w:r>
      <w:r w:rsidRPr="00F8123D">
        <w:rPr>
          <w:rFonts w:asciiTheme="majorBidi" w:hAnsiTheme="majorBidi" w:cstheme="majorBidi"/>
          <w:sz w:val="24"/>
          <w:szCs w:val="24"/>
          <w:vertAlign w:val="superscript"/>
        </w:rPr>
        <w:t xml:space="preserve">    </w:t>
      </w:r>
    </w:p>
    <w:p w14:paraId="5345FC0B" w14:textId="4C73E0A2" w:rsidR="00F8123D" w:rsidRPr="009C0409" w:rsidRDefault="00F8123D" w:rsidP="009C0409">
      <w:pPr>
        <w:rPr>
          <w:rFonts w:asciiTheme="majorBidi" w:hAnsiTheme="majorBidi" w:cstheme="majorBidi"/>
          <w:sz w:val="24"/>
          <w:szCs w:val="24"/>
          <w:vertAlign w:val="superscript"/>
        </w:rPr>
      </w:pPr>
      <w:r w:rsidRPr="00F8123D">
        <w:rPr>
          <w:rFonts w:asciiTheme="majorBidi" w:hAnsiTheme="majorBidi" w:cstheme="majorBidi"/>
          <w:sz w:val="24"/>
          <w:szCs w:val="24"/>
        </w:rPr>
        <w:lastRenderedPageBreak/>
        <w:t xml:space="preserve">      Because of the high risk of the infection spreading to the intra-orbital or intracranial compartment at a high speed, hospital admission should be done from early stages with close monitoring.</w:t>
      </w:r>
    </w:p>
    <w:p w14:paraId="4C1D94A9" w14:textId="0A1B17FC" w:rsidR="00F8123D" w:rsidRPr="00F8123D" w:rsidRDefault="00F8123D" w:rsidP="009C0409">
      <w:pPr>
        <w:rPr>
          <w:rFonts w:asciiTheme="majorBidi" w:hAnsiTheme="majorBidi" w:cstheme="majorBidi"/>
          <w:sz w:val="24"/>
          <w:szCs w:val="24"/>
        </w:rPr>
      </w:pPr>
      <w:r w:rsidRPr="00F8123D">
        <w:rPr>
          <w:rFonts w:asciiTheme="majorBidi" w:hAnsiTheme="majorBidi" w:cstheme="majorBidi"/>
          <w:sz w:val="24"/>
          <w:szCs w:val="24"/>
        </w:rPr>
        <w:t xml:space="preserve">          Medical treatment is preferred in the management of orbital cellulitis in children while surgery is recommended only if there is no improvement or there are worsening  clinical findings after 2 to 3 days of medical treatment </w:t>
      </w:r>
      <w:bookmarkStart w:id="7" w:name="_Hlk124155767"/>
      <w:r w:rsidRPr="00F8123D">
        <w:rPr>
          <w:rFonts w:asciiTheme="majorBidi" w:hAnsiTheme="majorBidi" w:cstheme="majorBidi"/>
          <w:sz w:val="24"/>
          <w:szCs w:val="24"/>
          <w:vertAlign w:val="superscript"/>
        </w:rPr>
        <w:fldChar w:fldCharType="begin"/>
      </w:r>
      <w:r w:rsidRPr="00F8123D">
        <w:rPr>
          <w:rFonts w:asciiTheme="majorBidi" w:hAnsiTheme="majorBidi" w:cstheme="majorBidi"/>
          <w:sz w:val="24"/>
          <w:szCs w:val="24"/>
          <w:vertAlign w:val="superscript"/>
        </w:rPr>
        <w:instrText xml:space="preserve"> ADDIN ZOTERO_ITEM CSL_CITATION {"citationID":"UTP7vTQV","properties":{"formattedCitation":"(4)","plainCitation":"(4)","noteIndex":0},"citationItems":[{"id":27,"uris":["http://zotero.org/users/local/OXRJLUnp/items/J8NMSHXT"],"itemData":{"id":27,"type":"webpage","title":"Preseptal and orbital cellulitis in children: a review - ClinicalKey","URL":"https://www.clinicalkey.fr/#!/content/journal/1-s2.0-S1751722211000904","accessed":{"date-parts":[["2022",7,23]]}},"label":"act"}],"schema":"https://github.com/citation-style-language/schema/raw/master/csl-citation.json"} </w:instrText>
      </w:r>
      <w:r w:rsidRPr="00F8123D">
        <w:rPr>
          <w:rFonts w:asciiTheme="majorBidi" w:hAnsiTheme="majorBidi" w:cstheme="majorBidi"/>
          <w:sz w:val="24"/>
          <w:szCs w:val="24"/>
          <w:vertAlign w:val="superscript"/>
        </w:rPr>
        <w:fldChar w:fldCharType="separate"/>
      </w:r>
      <w:r w:rsidRPr="00F8123D">
        <w:rPr>
          <w:rFonts w:asciiTheme="majorBidi" w:hAnsiTheme="majorBidi" w:cstheme="majorBidi"/>
          <w:sz w:val="24"/>
          <w:szCs w:val="24"/>
          <w:vertAlign w:val="superscript"/>
        </w:rPr>
        <w:t>[2-3-8]</w:t>
      </w:r>
      <w:r w:rsidRPr="00F8123D">
        <w:rPr>
          <w:rFonts w:asciiTheme="majorBidi" w:hAnsiTheme="majorBidi" w:cstheme="majorBidi"/>
          <w:sz w:val="24"/>
          <w:szCs w:val="24"/>
          <w:vertAlign w:val="superscript"/>
        </w:rPr>
        <w:fldChar w:fldCharType="end"/>
      </w:r>
      <w:bookmarkEnd w:id="7"/>
      <w:r w:rsidRPr="00F8123D">
        <w:rPr>
          <w:rFonts w:asciiTheme="majorBidi" w:hAnsiTheme="majorBidi" w:cstheme="majorBidi"/>
          <w:sz w:val="24"/>
          <w:szCs w:val="24"/>
          <w:vertAlign w:val="superscript"/>
        </w:rPr>
        <w:t>.</w:t>
      </w:r>
    </w:p>
    <w:p w14:paraId="2633D296" w14:textId="022D047E" w:rsidR="00F8123D" w:rsidRPr="00F8123D" w:rsidRDefault="00F8123D" w:rsidP="009C0409">
      <w:pPr>
        <w:rPr>
          <w:rFonts w:asciiTheme="majorBidi" w:hAnsiTheme="majorBidi" w:cstheme="majorBidi"/>
          <w:sz w:val="24"/>
          <w:szCs w:val="24"/>
        </w:rPr>
      </w:pPr>
      <w:r w:rsidRPr="00F8123D">
        <w:rPr>
          <w:rFonts w:asciiTheme="majorBidi" w:hAnsiTheme="majorBidi" w:cstheme="majorBidi"/>
          <w:sz w:val="24"/>
          <w:szCs w:val="24"/>
        </w:rPr>
        <w:t xml:space="preserve">          Empiric intravenous antibiotics are chosen to cover both gram positive and gram-negative pathogens. These antibiotics must provide adequate penetration to the central nervous system in order to decrease the risk of intracranial diffusion. </w:t>
      </w:r>
    </w:p>
    <w:p w14:paraId="66D48895" w14:textId="139AA6AF" w:rsidR="00F8123D" w:rsidRPr="00F8123D" w:rsidRDefault="00F8123D" w:rsidP="009C0409">
      <w:pPr>
        <w:rPr>
          <w:rFonts w:asciiTheme="majorBidi" w:hAnsiTheme="majorBidi" w:cstheme="majorBidi"/>
          <w:sz w:val="24"/>
          <w:szCs w:val="24"/>
        </w:rPr>
      </w:pPr>
      <w:r w:rsidRPr="00F8123D">
        <w:rPr>
          <w:rFonts w:asciiTheme="majorBidi" w:hAnsiTheme="majorBidi" w:cstheme="majorBidi"/>
          <w:sz w:val="24"/>
          <w:szCs w:val="24"/>
        </w:rPr>
        <w:t xml:space="preserve">          Published antimicrobial recommendations vary, but for orbital cellulitis, we generally include a second or </w:t>
      </w:r>
      <w:bookmarkStart w:id="8" w:name="_Hlk124173939"/>
      <w:r w:rsidRPr="00F8123D">
        <w:rPr>
          <w:rFonts w:asciiTheme="majorBidi" w:hAnsiTheme="majorBidi" w:cstheme="majorBidi"/>
          <w:sz w:val="24"/>
          <w:szCs w:val="24"/>
        </w:rPr>
        <w:t>third generation cephalosporin</w:t>
      </w:r>
      <w:bookmarkEnd w:id="8"/>
      <w:r w:rsidRPr="00F8123D">
        <w:rPr>
          <w:rFonts w:asciiTheme="majorBidi" w:hAnsiTheme="majorBidi" w:cstheme="majorBidi"/>
          <w:sz w:val="24"/>
          <w:szCs w:val="24"/>
        </w:rPr>
        <w:t>, an aminosid or in areas with high rates of Multi Resistant Staphylococcus Aureus (</w:t>
      </w:r>
      <w:proofErr w:type="spellStart"/>
      <w:r w:rsidRPr="00F8123D">
        <w:rPr>
          <w:rFonts w:asciiTheme="majorBidi" w:hAnsiTheme="majorBidi" w:cstheme="majorBidi"/>
          <w:sz w:val="24"/>
          <w:szCs w:val="24"/>
        </w:rPr>
        <w:t>eg</w:t>
      </w:r>
      <w:proofErr w:type="spellEnd"/>
      <w:r w:rsidRPr="00F8123D">
        <w:rPr>
          <w:rFonts w:asciiTheme="majorBidi" w:hAnsiTheme="majorBidi" w:cstheme="majorBidi"/>
          <w:sz w:val="24"/>
          <w:szCs w:val="24"/>
        </w:rPr>
        <w:t>, US) vancomycin. Some authors advocate for additional anaerobic coverage with metronidazole or clindamycin if certain risk factors are present, such as traumatisms, dental infections or sinusitis.</w:t>
      </w:r>
      <w:r w:rsidRPr="00F8123D">
        <w:rPr>
          <w:rFonts w:asciiTheme="majorBidi" w:hAnsiTheme="majorBidi" w:cstheme="majorBidi"/>
          <w:sz w:val="24"/>
          <w:szCs w:val="24"/>
          <w:vertAlign w:val="superscript"/>
        </w:rPr>
        <w:t xml:space="preserve"> </w:t>
      </w:r>
      <w:r w:rsidRPr="00F8123D">
        <w:rPr>
          <w:rFonts w:asciiTheme="majorBidi" w:hAnsiTheme="majorBidi" w:cstheme="majorBidi"/>
          <w:sz w:val="24"/>
          <w:szCs w:val="24"/>
          <w:vertAlign w:val="superscript"/>
        </w:rPr>
        <w:fldChar w:fldCharType="begin"/>
      </w:r>
      <w:r w:rsidRPr="00F8123D">
        <w:rPr>
          <w:rFonts w:asciiTheme="majorBidi" w:hAnsiTheme="majorBidi" w:cstheme="majorBidi"/>
          <w:sz w:val="24"/>
          <w:szCs w:val="24"/>
          <w:vertAlign w:val="superscript"/>
        </w:rPr>
        <w:instrText xml:space="preserve"> ADDIN ZOTERO_ITEM CSL_CITATION {"citationID":"UTP7vTQV","properties":{"formattedCitation":"(4)","plainCitation":"(4)","noteIndex":0},"citationItems":[{"id":27,"uris":["http://zotero.org/users/local/OXRJLUnp/items/J8NMSHXT"],"itemData":{"id":27,"type":"webpage","title":"Preseptal and orbital cellulitis in children: a review - ClinicalKey","URL":"https://www.clinicalkey.fr/#!/content/journal/1-s2.0-S1751722211000904","accessed":{"date-parts":[["2022",7,23]]}},"label":"act"}],"schema":"https://github.com/citation-style-language/schema/raw/master/csl-citation.json"} </w:instrText>
      </w:r>
      <w:r w:rsidRPr="00F8123D">
        <w:rPr>
          <w:rFonts w:asciiTheme="majorBidi" w:hAnsiTheme="majorBidi" w:cstheme="majorBidi"/>
          <w:sz w:val="24"/>
          <w:szCs w:val="24"/>
          <w:vertAlign w:val="superscript"/>
        </w:rPr>
        <w:fldChar w:fldCharType="separate"/>
      </w:r>
      <w:r w:rsidRPr="00F8123D">
        <w:rPr>
          <w:rFonts w:asciiTheme="majorBidi" w:hAnsiTheme="majorBidi" w:cstheme="majorBidi"/>
          <w:sz w:val="24"/>
          <w:szCs w:val="24"/>
          <w:vertAlign w:val="superscript"/>
        </w:rPr>
        <w:fldChar w:fldCharType="begin"/>
      </w:r>
      <w:r w:rsidRPr="00F8123D">
        <w:rPr>
          <w:rFonts w:asciiTheme="majorBidi" w:hAnsiTheme="majorBidi" w:cstheme="majorBidi"/>
          <w:sz w:val="24"/>
          <w:szCs w:val="24"/>
          <w:vertAlign w:val="superscript"/>
        </w:rPr>
        <w:instrText xml:space="preserve"> ADDIN ZOTERO_ITEM CSL_CITATION {"citationID":"UTP7vTQV","properties":{"formattedCitation":"(4)","plainCitation":"(4)","noteIndex":0},"citationItems":[{"id":27,"uris":["http://zotero.org/users/local/OXRJLUnp/items/J8NMSHXT"],"itemData":{"id":27,"type":"webpage","title":"Preseptal and orbital cellulitis in children: a review - ClinicalKey","URL":"https://www.clinicalkey.fr/#!/content/journal/1-s2.0-S1751722211000904","accessed":{"date-parts":[["2022",7,23]]}},"label":"act"}],"schema":"https://github.com/citation-style-language/schema/raw/master/csl-citation.json"} </w:instrText>
      </w:r>
      <w:r w:rsidRPr="00F8123D">
        <w:rPr>
          <w:rFonts w:asciiTheme="majorBidi" w:hAnsiTheme="majorBidi" w:cstheme="majorBidi"/>
          <w:sz w:val="24"/>
          <w:szCs w:val="24"/>
          <w:vertAlign w:val="superscript"/>
        </w:rPr>
        <w:fldChar w:fldCharType="separate"/>
      </w:r>
      <w:r w:rsidRPr="00F8123D">
        <w:rPr>
          <w:rFonts w:asciiTheme="majorBidi" w:hAnsiTheme="majorBidi" w:cstheme="majorBidi"/>
          <w:sz w:val="24"/>
          <w:szCs w:val="24"/>
          <w:vertAlign w:val="superscript"/>
        </w:rPr>
        <w:t>[2-3-8-</w:t>
      </w:r>
      <w:r w:rsidRPr="00F8123D">
        <w:rPr>
          <w:rFonts w:asciiTheme="majorBidi" w:hAnsiTheme="majorBidi" w:cstheme="majorBidi"/>
          <w:sz w:val="24"/>
          <w:szCs w:val="24"/>
          <w:vertAlign w:val="superscript"/>
        </w:rPr>
        <w:fldChar w:fldCharType="end"/>
      </w:r>
      <w:r w:rsidRPr="00F8123D">
        <w:rPr>
          <w:rFonts w:asciiTheme="majorBidi" w:hAnsiTheme="majorBidi" w:cstheme="majorBidi"/>
          <w:sz w:val="24"/>
          <w:szCs w:val="24"/>
          <w:vertAlign w:val="superscript"/>
        </w:rPr>
        <w:t>9]</w:t>
      </w:r>
      <w:r w:rsidRPr="00F8123D">
        <w:rPr>
          <w:rFonts w:asciiTheme="majorBidi" w:hAnsiTheme="majorBidi" w:cstheme="majorBidi"/>
          <w:sz w:val="24"/>
          <w:szCs w:val="24"/>
          <w:vertAlign w:val="superscript"/>
        </w:rPr>
        <w:fldChar w:fldCharType="end"/>
      </w:r>
    </w:p>
    <w:p w14:paraId="4FB6FCB1" w14:textId="2DF629A2" w:rsidR="00F8123D" w:rsidRPr="00F8123D" w:rsidRDefault="00F8123D" w:rsidP="00757796">
      <w:pPr>
        <w:rPr>
          <w:rFonts w:asciiTheme="majorBidi" w:hAnsiTheme="majorBidi" w:cstheme="majorBidi"/>
          <w:sz w:val="24"/>
          <w:szCs w:val="24"/>
        </w:rPr>
      </w:pPr>
      <w:r w:rsidRPr="00F8123D">
        <w:rPr>
          <w:rFonts w:asciiTheme="majorBidi" w:hAnsiTheme="majorBidi" w:cstheme="majorBidi"/>
          <w:sz w:val="24"/>
          <w:szCs w:val="24"/>
        </w:rPr>
        <w:t xml:space="preserve">        In our case, we associated cefotaxime (third generation cephalosporin), amikacin (an aminosid) and metronidazole. The resolution was rapid and therefore the surgery was not needed.  </w:t>
      </w:r>
    </w:p>
    <w:p w14:paraId="6A45A3A8" w14:textId="2EF95101" w:rsidR="00B650FE" w:rsidRPr="009C0409" w:rsidRDefault="00F8123D" w:rsidP="009C0409">
      <w:pPr>
        <w:rPr>
          <w:rFonts w:asciiTheme="majorBidi" w:hAnsiTheme="majorBidi" w:cstheme="majorBidi"/>
          <w:sz w:val="24"/>
          <w:szCs w:val="24"/>
        </w:rPr>
      </w:pPr>
      <w:r w:rsidRPr="00F8123D">
        <w:rPr>
          <w:rFonts w:asciiTheme="majorBidi" w:hAnsiTheme="majorBidi" w:cstheme="majorBidi"/>
          <w:sz w:val="24"/>
          <w:szCs w:val="24"/>
        </w:rPr>
        <w:t xml:space="preserve">        We keep in thought, that an occluded baby’s eye for one week may develop a deprivation amblyopia. For that reason, we addressed our baby to a pediatric ophthalmologist for an adapted vision screening in the aim to detect a possible amblyopia.</w:t>
      </w:r>
    </w:p>
    <w:p w14:paraId="0CA44B10" w14:textId="77777777" w:rsidR="00F10AC6" w:rsidRPr="00757796" w:rsidRDefault="00B650FE" w:rsidP="00F10AC6">
      <w:pPr>
        <w:pStyle w:val="Els-1storder-head"/>
        <w:spacing w:before="100" w:beforeAutospacing="1" w:after="100" w:afterAutospacing="1" w:line="240" w:lineRule="auto"/>
        <w:rPr>
          <w:color w:val="4472C4" w:themeColor="accent1"/>
          <w:sz w:val="24"/>
          <w:szCs w:val="24"/>
          <w:lang w:val="fr-FR"/>
        </w:rPr>
      </w:pPr>
      <w:r w:rsidRPr="00757796">
        <w:rPr>
          <w:color w:val="4472C4" w:themeColor="accent1"/>
          <w:sz w:val="24"/>
          <w:szCs w:val="24"/>
        </w:rPr>
        <w:t>Conclusion</w:t>
      </w:r>
    </w:p>
    <w:p w14:paraId="44622AE1" w14:textId="52942439" w:rsidR="00F8123D" w:rsidRPr="00F8123D" w:rsidRDefault="00F8123D" w:rsidP="00F8123D">
      <w:pPr>
        <w:pStyle w:val="Els-1storder-head"/>
        <w:numPr>
          <w:ilvl w:val="0"/>
          <w:numId w:val="0"/>
        </w:numPr>
        <w:rPr>
          <w:b w:val="0"/>
          <w:bCs/>
          <w:sz w:val="24"/>
          <w:szCs w:val="24"/>
        </w:rPr>
      </w:pPr>
      <w:r>
        <w:rPr>
          <w:b w:val="0"/>
          <w:bCs/>
        </w:rPr>
        <w:t xml:space="preserve">      </w:t>
      </w:r>
      <w:r w:rsidRPr="00F8123D">
        <w:rPr>
          <w:b w:val="0"/>
          <w:bCs/>
          <w:sz w:val="24"/>
          <w:szCs w:val="24"/>
        </w:rPr>
        <w:t xml:space="preserve">In this case, we showed the gravity of managing a little palpebral wound with </w:t>
      </w:r>
      <w:r w:rsidRPr="00F8123D">
        <w:rPr>
          <w:rStyle w:val="hgkelc"/>
          <w:rFonts w:asciiTheme="majorBidi" w:hAnsiTheme="majorBidi" w:cstheme="majorBidi"/>
          <w:b w:val="0"/>
          <w:bCs/>
          <w:sz w:val="24"/>
          <w:szCs w:val="24"/>
          <w:lang w:val="en"/>
        </w:rPr>
        <w:t>non-steroidal anti-inflammatory drugs without prophylactic antibiotics</w:t>
      </w:r>
      <w:r w:rsidRPr="00F8123D">
        <w:rPr>
          <w:b w:val="0"/>
          <w:bCs/>
          <w:sz w:val="24"/>
          <w:szCs w:val="24"/>
        </w:rPr>
        <w:t>.</w:t>
      </w:r>
    </w:p>
    <w:p w14:paraId="0513CBDD" w14:textId="6E96B247" w:rsidR="00F8123D" w:rsidRPr="00F8123D" w:rsidRDefault="00F8123D" w:rsidP="00F8123D">
      <w:pPr>
        <w:pStyle w:val="Els-1storder-head"/>
        <w:numPr>
          <w:ilvl w:val="0"/>
          <w:numId w:val="0"/>
        </w:numPr>
        <w:rPr>
          <w:b w:val="0"/>
          <w:bCs/>
          <w:sz w:val="24"/>
          <w:szCs w:val="24"/>
        </w:rPr>
      </w:pPr>
      <w:r w:rsidRPr="00F8123D">
        <w:rPr>
          <w:b w:val="0"/>
          <w:bCs/>
          <w:sz w:val="24"/>
          <w:szCs w:val="24"/>
        </w:rPr>
        <w:t xml:space="preserve">     Symptom progression may be insidious if supervision is lacking and self-reporting is inadequate. </w:t>
      </w:r>
    </w:p>
    <w:p w14:paraId="6380A224" w14:textId="6CB2FB38" w:rsidR="00F8123D" w:rsidRPr="00F8123D" w:rsidRDefault="00F8123D" w:rsidP="00F8123D">
      <w:pPr>
        <w:pStyle w:val="Els-1storder-head"/>
        <w:numPr>
          <w:ilvl w:val="0"/>
          <w:numId w:val="0"/>
        </w:numPr>
        <w:rPr>
          <w:b w:val="0"/>
          <w:bCs/>
          <w:sz w:val="24"/>
          <w:szCs w:val="24"/>
        </w:rPr>
      </w:pPr>
      <w:r w:rsidRPr="00F8123D">
        <w:rPr>
          <w:b w:val="0"/>
          <w:bCs/>
          <w:sz w:val="24"/>
          <w:szCs w:val="24"/>
        </w:rPr>
        <w:t xml:space="preserve">     Clinicians should keep in mind orbital cellulitis as a potential complication of any adjacent infection. </w:t>
      </w:r>
    </w:p>
    <w:p w14:paraId="79C6C903" w14:textId="6DCF36A4" w:rsidR="00757796" w:rsidRDefault="00F8123D" w:rsidP="00757796">
      <w:pPr>
        <w:pStyle w:val="Els-1storder-head"/>
        <w:numPr>
          <w:ilvl w:val="0"/>
          <w:numId w:val="0"/>
        </w:numPr>
        <w:rPr>
          <w:b w:val="0"/>
          <w:bCs/>
          <w:sz w:val="24"/>
          <w:szCs w:val="24"/>
        </w:rPr>
      </w:pPr>
      <w:r w:rsidRPr="00F8123D">
        <w:rPr>
          <w:b w:val="0"/>
          <w:bCs/>
          <w:sz w:val="24"/>
          <w:szCs w:val="24"/>
        </w:rPr>
        <w:t xml:space="preserve">     Early diagnosis and treatment of pediatric orbital cellulitis is mandatory in order to avoid severe complications. </w:t>
      </w:r>
    </w:p>
    <w:p w14:paraId="417010E3" w14:textId="77777777" w:rsidR="00757796" w:rsidRPr="00757796" w:rsidRDefault="00757796" w:rsidP="00757796">
      <w:pPr>
        <w:pStyle w:val="Els-body-text"/>
      </w:pPr>
    </w:p>
    <w:p w14:paraId="594090B8" w14:textId="605A7819" w:rsidR="00EA0D0B" w:rsidRPr="00757796" w:rsidRDefault="00C84611" w:rsidP="00757796">
      <w:pPr>
        <w:pStyle w:val="Els-1storder-head"/>
        <w:rPr>
          <w:bCs/>
          <w:color w:val="4472C4" w:themeColor="accent1"/>
          <w:sz w:val="24"/>
          <w:szCs w:val="24"/>
        </w:rPr>
      </w:pPr>
      <w:r w:rsidRPr="00757796">
        <w:rPr>
          <w:color w:val="4472C4" w:themeColor="accent1"/>
          <w:sz w:val="24"/>
          <w:szCs w:val="24"/>
          <w:lang w:val="fr-FR"/>
        </w:rPr>
        <w:t xml:space="preserve">Patient </w:t>
      </w:r>
      <w:r w:rsidR="00001E65" w:rsidRPr="00757796">
        <w:rPr>
          <w:color w:val="4472C4" w:themeColor="accent1"/>
          <w:sz w:val="24"/>
          <w:szCs w:val="24"/>
          <w:lang w:val="fr-FR"/>
        </w:rPr>
        <w:t>C</w:t>
      </w:r>
      <w:r w:rsidR="00F10AC6" w:rsidRPr="00757796">
        <w:rPr>
          <w:color w:val="4472C4" w:themeColor="accent1"/>
          <w:sz w:val="24"/>
          <w:szCs w:val="24"/>
          <w:lang w:val="fr-FR"/>
        </w:rPr>
        <w:t>onse</w:t>
      </w:r>
      <w:r w:rsidR="000416D3" w:rsidRPr="00757796">
        <w:rPr>
          <w:color w:val="4472C4" w:themeColor="accent1"/>
          <w:sz w:val="24"/>
          <w:szCs w:val="24"/>
          <w:lang w:val="fr-FR"/>
        </w:rPr>
        <w:t>n</w:t>
      </w:r>
      <w:r w:rsidR="00F10AC6" w:rsidRPr="00757796">
        <w:rPr>
          <w:color w:val="4472C4" w:themeColor="accent1"/>
          <w:sz w:val="24"/>
          <w:szCs w:val="24"/>
          <w:lang w:val="fr-FR"/>
        </w:rPr>
        <w:t xml:space="preserve">tement </w:t>
      </w:r>
    </w:p>
    <w:p w14:paraId="21B8FFFD" w14:textId="2DA56D81" w:rsidR="009179FB" w:rsidRPr="00757796" w:rsidRDefault="00C84611" w:rsidP="009C0409">
      <w:pPr>
        <w:pStyle w:val="Els-body-text"/>
        <w:spacing w:before="100" w:beforeAutospacing="1" w:after="100" w:afterAutospacing="1" w:line="240" w:lineRule="auto"/>
        <w:rPr>
          <w:rFonts w:eastAsia="Times New Roman"/>
          <w:sz w:val="24"/>
          <w:szCs w:val="24"/>
        </w:rPr>
      </w:pPr>
      <w:r w:rsidRPr="00757796">
        <w:rPr>
          <w:rFonts w:eastAsia="Times New Roman"/>
          <w:sz w:val="24"/>
          <w:szCs w:val="24"/>
        </w:rPr>
        <w:t>Done</w:t>
      </w:r>
      <w:r w:rsidR="000416D3" w:rsidRPr="00757796">
        <w:rPr>
          <w:rFonts w:eastAsia="Times New Roman"/>
          <w:sz w:val="24"/>
          <w:szCs w:val="24"/>
        </w:rPr>
        <w:t xml:space="preserve"> </w:t>
      </w:r>
    </w:p>
    <w:p w14:paraId="51415E35" w14:textId="351BF6ED" w:rsidR="009179FB" w:rsidRPr="00757796" w:rsidRDefault="009179FB" w:rsidP="009179FB">
      <w:pPr>
        <w:pStyle w:val="Els-1storder-head"/>
        <w:rPr>
          <w:color w:val="4472C4" w:themeColor="accent1"/>
          <w:sz w:val="24"/>
          <w:szCs w:val="24"/>
        </w:rPr>
      </w:pPr>
      <w:r w:rsidRPr="00757796">
        <w:rPr>
          <w:color w:val="4472C4" w:themeColor="accent1"/>
          <w:sz w:val="24"/>
          <w:szCs w:val="24"/>
        </w:rPr>
        <w:t>Confli</w:t>
      </w:r>
      <w:r w:rsidR="00757796" w:rsidRPr="00757796">
        <w:rPr>
          <w:color w:val="4472C4" w:themeColor="accent1"/>
          <w:sz w:val="24"/>
          <w:szCs w:val="24"/>
        </w:rPr>
        <w:t>c</w:t>
      </w:r>
      <w:r w:rsidRPr="00757796">
        <w:rPr>
          <w:color w:val="4472C4" w:themeColor="accent1"/>
          <w:sz w:val="24"/>
          <w:szCs w:val="24"/>
        </w:rPr>
        <w:t xml:space="preserve">ts </w:t>
      </w:r>
      <w:r w:rsidR="00F8123D" w:rsidRPr="00757796">
        <w:rPr>
          <w:color w:val="4472C4" w:themeColor="accent1"/>
          <w:sz w:val="24"/>
          <w:szCs w:val="24"/>
        </w:rPr>
        <w:t>of interest</w:t>
      </w:r>
    </w:p>
    <w:p w14:paraId="38EED217" w14:textId="20E5C087" w:rsidR="009179FB" w:rsidRPr="00F8123D" w:rsidRDefault="00F8123D" w:rsidP="009179FB">
      <w:pPr>
        <w:pStyle w:val="p"/>
        <w:shd w:val="clear" w:color="auto" w:fill="FFFFFF"/>
        <w:spacing w:before="166" w:beforeAutospacing="0" w:after="166" w:afterAutospacing="0"/>
        <w:jc w:val="both"/>
        <w:rPr>
          <w:sz w:val="20"/>
        </w:rPr>
      </w:pPr>
      <w:r>
        <w:rPr>
          <w:rStyle w:val="markedcontent"/>
          <w:sz w:val="25"/>
          <w:szCs w:val="25"/>
        </w:rPr>
        <w:t>Authors do not declare any conflict of interest.</w:t>
      </w:r>
    </w:p>
    <w:p w14:paraId="51347F63" w14:textId="35BCDB1A" w:rsidR="009179FB" w:rsidRPr="00757796" w:rsidRDefault="00F8123D" w:rsidP="009179FB">
      <w:pPr>
        <w:pStyle w:val="Els-1storder-head"/>
        <w:rPr>
          <w:color w:val="4472C4" w:themeColor="accent1"/>
          <w:sz w:val="24"/>
          <w:szCs w:val="24"/>
        </w:rPr>
      </w:pPr>
      <w:r w:rsidRPr="00757796">
        <w:rPr>
          <w:color w:val="4472C4" w:themeColor="accent1"/>
          <w:sz w:val="24"/>
          <w:szCs w:val="24"/>
        </w:rPr>
        <w:t xml:space="preserve"> </w:t>
      </w:r>
      <w:r w:rsidR="009179FB" w:rsidRPr="00757796">
        <w:rPr>
          <w:color w:val="4472C4" w:themeColor="accent1"/>
          <w:sz w:val="24"/>
          <w:szCs w:val="24"/>
        </w:rPr>
        <w:t>F</w:t>
      </w:r>
      <w:r w:rsidRPr="00757796">
        <w:rPr>
          <w:color w:val="4472C4" w:themeColor="accent1"/>
          <w:sz w:val="24"/>
          <w:szCs w:val="24"/>
        </w:rPr>
        <w:t>unding</w:t>
      </w:r>
    </w:p>
    <w:p w14:paraId="1AC2B15A" w14:textId="043CEB80" w:rsidR="009C0409" w:rsidRDefault="00F8123D" w:rsidP="00757796">
      <w:pPr>
        <w:pStyle w:val="Els-1storder-head"/>
        <w:numPr>
          <w:ilvl w:val="0"/>
          <w:numId w:val="0"/>
        </w:numPr>
        <w:spacing w:before="100" w:beforeAutospacing="1" w:after="100" w:afterAutospacing="1" w:line="240" w:lineRule="auto"/>
        <w:ind w:left="270" w:hanging="270"/>
        <w:rPr>
          <w:rStyle w:val="markedcontent"/>
          <w:b w:val="0"/>
          <w:bCs/>
          <w:sz w:val="25"/>
          <w:szCs w:val="25"/>
        </w:rPr>
      </w:pPr>
      <w:r w:rsidRPr="00C84611">
        <w:rPr>
          <w:rStyle w:val="markedcontent"/>
          <w:b w:val="0"/>
          <w:bCs/>
          <w:sz w:val="25"/>
          <w:szCs w:val="25"/>
        </w:rPr>
        <w:t>This research did not receive any external funding</w:t>
      </w:r>
    </w:p>
    <w:p w14:paraId="30232EFF" w14:textId="77777777" w:rsidR="00757796" w:rsidRPr="00757796" w:rsidRDefault="00757796" w:rsidP="00757796">
      <w:pPr>
        <w:pStyle w:val="Els-body-text"/>
      </w:pPr>
    </w:p>
    <w:p w14:paraId="5642EE17" w14:textId="5B8D72D5" w:rsidR="000416D3" w:rsidRPr="00757796" w:rsidRDefault="00B650FE" w:rsidP="009C0409">
      <w:pPr>
        <w:pStyle w:val="Els-1storder-head"/>
        <w:numPr>
          <w:ilvl w:val="0"/>
          <w:numId w:val="0"/>
        </w:numPr>
        <w:spacing w:before="100" w:beforeAutospacing="1" w:after="100" w:afterAutospacing="1" w:line="240" w:lineRule="auto"/>
        <w:ind w:left="270" w:hanging="270"/>
        <w:rPr>
          <w:b w:val="0"/>
          <w:bCs/>
          <w:color w:val="4472C4" w:themeColor="accent1"/>
          <w:sz w:val="24"/>
          <w:szCs w:val="24"/>
        </w:rPr>
      </w:pPr>
      <w:r w:rsidRPr="00757796">
        <w:rPr>
          <w:rFonts w:eastAsia="Times New Roman"/>
          <w:color w:val="4472C4" w:themeColor="accent1"/>
          <w:sz w:val="24"/>
          <w:szCs w:val="24"/>
        </w:rPr>
        <w:t>8</w:t>
      </w:r>
      <w:r w:rsidR="000416D3" w:rsidRPr="00757796">
        <w:rPr>
          <w:rFonts w:eastAsia="Times New Roman"/>
          <w:color w:val="4472C4" w:themeColor="accent1"/>
          <w:sz w:val="24"/>
          <w:szCs w:val="24"/>
        </w:rPr>
        <w:t>.</w:t>
      </w:r>
      <w:r w:rsidR="00BD0F48" w:rsidRPr="00757796">
        <w:rPr>
          <w:rFonts w:eastAsia="Times New Roman"/>
          <w:color w:val="4472C4" w:themeColor="accent1"/>
          <w:sz w:val="24"/>
          <w:szCs w:val="24"/>
        </w:rPr>
        <w:t xml:space="preserve"> </w:t>
      </w:r>
      <w:r w:rsidR="000416D3" w:rsidRPr="00757796">
        <w:rPr>
          <w:rFonts w:eastAsia="Times New Roman"/>
          <w:color w:val="4472C4" w:themeColor="accent1"/>
          <w:sz w:val="24"/>
          <w:szCs w:val="24"/>
        </w:rPr>
        <w:t>R</w:t>
      </w:r>
      <w:r w:rsidR="00C84611" w:rsidRPr="00757796">
        <w:rPr>
          <w:rFonts w:eastAsia="Times New Roman"/>
          <w:color w:val="4472C4" w:themeColor="accent1"/>
          <w:sz w:val="24"/>
          <w:szCs w:val="24"/>
        </w:rPr>
        <w:t>e</w:t>
      </w:r>
      <w:r w:rsidR="000416D3" w:rsidRPr="00757796">
        <w:rPr>
          <w:rFonts w:eastAsia="Times New Roman"/>
          <w:color w:val="4472C4" w:themeColor="accent1"/>
          <w:sz w:val="24"/>
          <w:szCs w:val="24"/>
        </w:rPr>
        <w:t>f</w:t>
      </w:r>
      <w:r w:rsidR="00C84611" w:rsidRPr="00757796">
        <w:rPr>
          <w:rFonts w:eastAsia="Times New Roman"/>
          <w:color w:val="4472C4" w:themeColor="accent1"/>
          <w:sz w:val="24"/>
          <w:szCs w:val="24"/>
        </w:rPr>
        <w:t>e</w:t>
      </w:r>
      <w:r w:rsidR="000416D3" w:rsidRPr="00757796">
        <w:rPr>
          <w:rFonts w:eastAsia="Times New Roman"/>
          <w:color w:val="4472C4" w:themeColor="accent1"/>
          <w:sz w:val="24"/>
          <w:szCs w:val="24"/>
        </w:rPr>
        <w:t>rences</w:t>
      </w:r>
    </w:p>
    <w:p w14:paraId="35253E6A" w14:textId="51A9B753" w:rsidR="00C84611" w:rsidRPr="00E15961" w:rsidRDefault="00C84611" w:rsidP="00C84611">
      <w:pPr>
        <w:pStyle w:val="Bibliographie"/>
        <w:rPr>
          <w:rFonts w:asciiTheme="majorBidi" w:hAnsiTheme="majorBidi" w:cstheme="majorBidi"/>
          <w:sz w:val="22"/>
          <w:szCs w:val="22"/>
          <w:lang w:val="en-US"/>
        </w:rPr>
      </w:pPr>
      <w:r w:rsidRPr="00E15961">
        <w:rPr>
          <w:rFonts w:asciiTheme="majorBidi" w:eastAsiaTheme="minorHAnsi" w:hAnsiTheme="majorBidi" w:cstheme="majorBidi"/>
          <w:sz w:val="22"/>
          <w:szCs w:val="22"/>
          <w:lang w:val="en-US" w:eastAsia="en-US"/>
        </w:rPr>
        <w:fldChar w:fldCharType="begin"/>
      </w:r>
      <w:r w:rsidRPr="00E15961">
        <w:rPr>
          <w:rFonts w:asciiTheme="majorBidi" w:hAnsiTheme="majorBidi" w:cstheme="majorBidi"/>
          <w:sz w:val="22"/>
          <w:szCs w:val="22"/>
          <w:lang w:val="en-US"/>
        </w:rPr>
        <w:instrText xml:space="preserve"> ADDIN ZOTERO_BIBL {"uncited":[],"omitted":[["http://zotero.org/users/local/OXRJLUnp/items/J8NMSHXT"]],"custom":[]} CSL_BIBLIOGRAPHY </w:instrText>
      </w:r>
      <w:r w:rsidRPr="00E15961">
        <w:rPr>
          <w:rFonts w:asciiTheme="majorBidi" w:eastAsiaTheme="minorHAnsi" w:hAnsiTheme="majorBidi" w:cstheme="majorBidi"/>
          <w:sz w:val="22"/>
          <w:szCs w:val="22"/>
          <w:lang w:val="en-US" w:eastAsia="en-US"/>
        </w:rPr>
        <w:fldChar w:fldCharType="separate"/>
      </w:r>
      <w:r w:rsidRPr="00E15961">
        <w:rPr>
          <w:rFonts w:asciiTheme="majorBidi" w:hAnsiTheme="majorBidi" w:cstheme="majorBidi"/>
          <w:sz w:val="22"/>
          <w:szCs w:val="22"/>
          <w:lang w:val="en-US"/>
        </w:rPr>
        <w:t>1.</w:t>
      </w:r>
      <w:r w:rsidRPr="00E15961">
        <w:rPr>
          <w:rFonts w:asciiTheme="majorBidi" w:hAnsiTheme="majorBidi" w:cstheme="majorBidi"/>
          <w:sz w:val="22"/>
          <w:szCs w:val="22"/>
          <w:lang w:val="en-US"/>
        </w:rPr>
        <w:tab/>
      </w:r>
      <w:r w:rsidR="00E15961" w:rsidRPr="00E15961">
        <w:rPr>
          <w:rFonts w:asciiTheme="majorBidi" w:hAnsiTheme="majorBidi" w:cstheme="majorBidi"/>
          <w:sz w:val="22"/>
          <w:szCs w:val="22"/>
          <w:lang w:val="en-US"/>
        </w:rPr>
        <w:t xml:space="preserve">Wong, S. J., &amp; Levi, J. (2018). Management of pediatric orbital cellulitis: A systematic review. </w:t>
      </w:r>
      <w:r w:rsidR="00E15961" w:rsidRPr="00E15961">
        <w:rPr>
          <w:rFonts w:asciiTheme="majorBidi" w:hAnsiTheme="majorBidi" w:cstheme="majorBidi"/>
          <w:i/>
          <w:iCs/>
          <w:sz w:val="22"/>
          <w:szCs w:val="22"/>
          <w:lang w:val="en-US"/>
        </w:rPr>
        <w:t>International Journal of Pediatric Otorhinolaryngology</w:t>
      </w:r>
      <w:r w:rsidR="00E15961" w:rsidRPr="00E15961">
        <w:rPr>
          <w:rFonts w:asciiTheme="majorBidi" w:hAnsiTheme="majorBidi" w:cstheme="majorBidi"/>
          <w:sz w:val="22"/>
          <w:szCs w:val="22"/>
          <w:lang w:val="en-US"/>
        </w:rPr>
        <w:t xml:space="preserve">, </w:t>
      </w:r>
      <w:r w:rsidR="00E15961" w:rsidRPr="00E15961">
        <w:rPr>
          <w:rFonts w:asciiTheme="majorBidi" w:hAnsiTheme="majorBidi" w:cstheme="majorBidi"/>
          <w:i/>
          <w:iCs/>
          <w:sz w:val="22"/>
          <w:szCs w:val="22"/>
          <w:lang w:val="en-US"/>
        </w:rPr>
        <w:t>110</w:t>
      </w:r>
      <w:r w:rsidR="00E15961" w:rsidRPr="00E15961">
        <w:rPr>
          <w:rFonts w:asciiTheme="majorBidi" w:hAnsiTheme="majorBidi" w:cstheme="majorBidi"/>
          <w:sz w:val="22"/>
          <w:szCs w:val="22"/>
          <w:lang w:val="en-US"/>
        </w:rPr>
        <w:t xml:space="preserve">, 123-129. </w:t>
      </w:r>
      <w:r w:rsidR="00E15961" w:rsidRPr="00E15961">
        <w:rPr>
          <w:rFonts w:asciiTheme="majorBidi" w:hAnsiTheme="majorBidi" w:cstheme="majorBidi"/>
          <w:color w:val="4472C4" w:themeColor="accent1"/>
          <w:sz w:val="22"/>
          <w:szCs w:val="22"/>
          <w:lang w:val="en-US"/>
        </w:rPr>
        <w:t>https://doi.org/https://doi.org/10.1016/j.ijporl.2018.05.006</w:t>
      </w:r>
    </w:p>
    <w:p w14:paraId="70D8347C" w14:textId="66C1C6A6" w:rsidR="00C84611" w:rsidRPr="00E15961" w:rsidRDefault="00C84611" w:rsidP="00C84611">
      <w:pPr>
        <w:pStyle w:val="Titre5"/>
        <w:rPr>
          <w:rFonts w:asciiTheme="majorBidi" w:eastAsia="Times New Roman" w:hAnsiTheme="majorBidi"/>
          <w:b/>
          <w:bCs/>
          <w:color w:val="auto"/>
          <w:lang w:eastAsia="fr-FR"/>
        </w:rPr>
      </w:pPr>
      <w:r w:rsidRPr="00E15961">
        <w:rPr>
          <w:rFonts w:asciiTheme="majorBidi" w:hAnsiTheme="majorBidi"/>
          <w:color w:val="auto"/>
          <w:lang w:val="fr-FR"/>
        </w:rPr>
        <w:lastRenderedPageBreak/>
        <w:t>2.</w:t>
      </w:r>
      <w:r w:rsidRPr="00E15961">
        <w:rPr>
          <w:rFonts w:asciiTheme="majorBidi" w:hAnsiTheme="majorBidi"/>
          <w:color w:val="auto"/>
          <w:lang w:val="fr-FR"/>
        </w:rPr>
        <w:tab/>
      </w:r>
      <w:r w:rsidR="00E15961" w:rsidRPr="00E15961">
        <w:rPr>
          <w:rFonts w:asciiTheme="majorBidi" w:hAnsiTheme="majorBidi"/>
          <w:color w:val="auto"/>
          <w:lang w:val="fr-FR"/>
        </w:rPr>
        <w:t xml:space="preserve">Toretta, S., Guastella, C., Marchisio, P., &amp; Bosis, S. (2019). </w:t>
      </w:r>
      <w:r w:rsidR="00E15961" w:rsidRPr="00E15961">
        <w:rPr>
          <w:rFonts w:asciiTheme="majorBidi" w:hAnsiTheme="majorBidi"/>
          <w:color w:val="auto"/>
        </w:rPr>
        <w:t xml:space="preserve">Sinonasal-Related Orbital Infections in Children: A Clinical and Therapeutic Overview. </w:t>
      </w:r>
      <w:r w:rsidR="00E15961" w:rsidRPr="00E15961">
        <w:rPr>
          <w:rFonts w:asciiTheme="majorBidi" w:hAnsiTheme="majorBidi"/>
          <w:i/>
          <w:iCs/>
          <w:color w:val="auto"/>
        </w:rPr>
        <w:t>J. Clin. Med.</w:t>
      </w:r>
      <w:r w:rsidR="00E15961" w:rsidRPr="00E15961">
        <w:rPr>
          <w:rFonts w:asciiTheme="majorBidi" w:hAnsiTheme="majorBidi"/>
          <w:color w:val="auto"/>
        </w:rPr>
        <w:t xml:space="preserve"> </w:t>
      </w:r>
      <w:r w:rsidR="00E15961" w:rsidRPr="00E15961">
        <w:rPr>
          <w:rFonts w:asciiTheme="majorBidi" w:hAnsiTheme="majorBidi"/>
          <w:color w:val="4472C4" w:themeColor="accent1"/>
        </w:rPr>
        <w:t>https://doi.org/https://doi.org/10.3390/jcm8010101</w:t>
      </w:r>
    </w:p>
    <w:p w14:paraId="316259EE" w14:textId="169D1EBC" w:rsidR="00C84611" w:rsidRPr="00E15961" w:rsidRDefault="00C84611" w:rsidP="00C84611">
      <w:pPr>
        <w:spacing w:before="100" w:beforeAutospacing="1" w:after="100" w:afterAutospacing="1"/>
        <w:rPr>
          <w:rFonts w:asciiTheme="majorBidi" w:hAnsiTheme="majorBidi" w:cstheme="majorBidi"/>
        </w:rPr>
      </w:pPr>
      <w:r w:rsidRPr="00E15961">
        <w:rPr>
          <w:rFonts w:asciiTheme="majorBidi" w:hAnsiTheme="majorBidi" w:cstheme="majorBidi"/>
        </w:rPr>
        <w:t>3.</w:t>
      </w:r>
      <w:r w:rsidRPr="00E15961">
        <w:rPr>
          <w:rFonts w:asciiTheme="majorBidi" w:hAnsiTheme="majorBidi" w:cstheme="majorBidi"/>
        </w:rPr>
        <w:tab/>
      </w:r>
      <w:r w:rsidR="00E15961" w:rsidRPr="00E15961">
        <w:rPr>
          <w:rFonts w:asciiTheme="majorBidi" w:hAnsiTheme="majorBidi" w:cstheme="majorBidi"/>
        </w:rPr>
        <w:t xml:space="preserve">Williams, K., &amp; Allen, R. (2019). Paediatric orbital and periorbital infections. </w:t>
      </w:r>
      <w:r w:rsidR="00E15961" w:rsidRPr="00E15961">
        <w:rPr>
          <w:rFonts w:asciiTheme="majorBidi" w:hAnsiTheme="majorBidi" w:cstheme="majorBidi"/>
          <w:i/>
          <w:iCs/>
        </w:rPr>
        <w:t>Current Opinion in Ophthalmology</w:t>
      </w:r>
      <w:r w:rsidR="00E15961" w:rsidRPr="00E15961">
        <w:rPr>
          <w:rFonts w:asciiTheme="majorBidi" w:hAnsiTheme="majorBidi" w:cstheme="majorBidi"/>
        </w:rPr>
        <w:t xml:space="preserve">, </w:t>
      </w:r>
      <w:r w:rsidR="00E15961" w:rsidRPr="00E15961">
        <w:rPr>
          <w:rFonts w:asciiTheme="majorBidi" w:hAnsiTheme="majorBidi" w:cstheme="majorBidi"/>
          <w:i/>
          <w:iCs/>
        </w:rPr>
        <w:t>30</w:t>
      </w:r>
      <w:r w:rsidR="00E15961" w:rsidRPr="00E15961">
        <w:rPr>
          <w:rFonts w:asciiTheme="majorBidi" w:hAnsiTheme="majorBidi" w:cstheme="majorBidi"/>
        </w:rPr>
        <w:t xml:space="preserve">, 349-355. </w:t>
      </w:r>
      <w:r w:rsidR="00E15961" w:rsidRPr="00E15961">
        <w:rPr>
          <w:rFonts w:asciiTheme="majorBidi" w:hAnsiTheme="majorBidi" w:cstheme="majorBidi"/>
          <w:color w:val="4472C4" w:themeColor="accent1"/>
        </w:rPr>
        <w:t>https://doi.org/10.1097</w:t>
      </w:r>
    </w:p>
    <w:p w14:paraId="7773F9B2" w14:textId="2DD7897A" w:rsidR="00C84611" w:rsidRPr="00E15961" w:rsidRDefault="00C84611" w:rsidP="009C0409">
      <w:pPr>
        <w:spacing w:before="100" w:beforeAutospacing="1" w:after="100" w:afterAutospacing="1"/>
        <w:rPr>
          <w:rFonts w:asciiTheme="majorBidi" w:hAnsiTheme="majorBidi" w:cstheme="majorBidi"/>
        </w:rPr>
      </w:pPr>
      <w:r w:rsidRPr="00E15961">
        <w:rPr>
          <w:rFonts w:asciiTheme="majorBidi" w:hAnsiTheme="majorBidi" w:cstheme="majorBidi"/>
        </w:rPr>
        <w:t>4.</w:t>
      </w:r>
      <w:r w:rsidRPr="00E15961">
        <w:rPr>
          <w:rFonts w:asciiTheme="majorBidi" w:hAnsiTheme="majorBidi" w:cstheme="majorBidi"/>
        </w:rPr>
        <w:tab/>
      </w:r>
      <w:r w:rsidR="00E15961" w:rsidRPr="00E15961">
        <w:rPr>
          <w:rFonts w:asciiTheme="majorBidi" w:hAnsiTheme="majorBidi" w:cstheme="majorBidi"/>
        </w:rPr>
        <w:t xml:space="preserve">Saadouli, D., Yahiaoui, S., Ben mansour, K., Masmoudi, M., El Afrit, M., &amp; Samoud, A. (2019). Orbital cellulitis in children: Report of 60 cases. </w:t>
      </w:r>
      <w:r w:rsidR="00E15961" w:rsidRPr="00E15961">
        <w:rPr>
          <w:rFonts w:asciiTheme="majorBidi" w:hAnsiTheme="majorBidi" w:cstheme="majorBidi"/>
          <w:i/>
          <w:iCs/>
        </w:rPr>
        <w:t>Journal Français d’Ophtalmologie</w:t>
      </w:r>
      <w:r w:rsidR="00E15961" w:rsidRPr="00E15961">
        <w:rPr>
          <w:rFonts w:asciiTheme="majorBidi" w:hAnsiTheme="majorBidi" w:cstheme="majorBidi"/>
        </w:rPr>
        <w:t xml:space="preserve">, </w:t>
      </w:r>
      <w:r w:rsidR="00E15961" w:rsidRPr="00E15961">
        <w:rPr>
          <w:rFonts w:asciiTheme="majorBidi" w:hAnsiTheme="majorBidi" w:cstheme="majorBidi"/>
          <w:i/>
          <w:iCs/>
        </w:rPr>
        <w:t>42</w:t>
      </w:r>
      <w:r w:rsidR="00E15961" w:rsidRPr="00E15961">
        <w:rPr>
          <w:rFonts w:asciiTheme="majorBidi" w:hAnsiTheme="majorBidi" w:cstheme="majorBidi"/>
        </w:rPr>
        <w:t xml:space="preserve">, 1056-1061. </w:t>
      </w:r>
      <w:r w:rsidR="00E15961" w:rsidRPr="00E15961">
        <w:rPr>
          <w:rFonts w:asciiTheme="majorBidi" w:hAnsiTheme="majorBidi" w:cstheme="majorBidi"/>
          <w:color w:val="4472C4" w:themeColor="accent1"/>
        </w:rPr>
        <w:t>https://doi.org/10.1016/j.jfo.2019.06.008</w:t>
      </w:r>
    </w:p>
    <w:p w14:paraId="373F0EFC" w14:textId="25231717" w:rsidR="00C84611" w:rsidRPr="00E15961" w:rsidRDefault="00C84611" w:rsidP="00C84611">
      <w:pPr>
        <w:pStyle w:val="Bibliographie"/>
        <w:rPr>
          <w:rFonts w:asciiTheme="majorBidi" w:hAnsiTheme="majorBidi" w:cstheme="majorBidi"/>
          <w:sz w:val="22"/>
          <w:szCs w:val="22"/>
          <w:lang w:val="en-US"/>
        </w:rPr>
      </w:pPr>
      <w:r w:rsidRPr="00E15961">
        <w:rPr>
          <w:rFonts w:asciiTheme="majorBidi" w:hAnsiTheme="majorBidi" w:cstheme="majorBidi"/>
          <w:sz w:val="22"/>
          <w:szCs w:val="22"/>
          <w:lang w:val="en-US"/>
        </w:rPr>
        <w:t>5.</w:t>
      </w:r>
      <w:r w:rsidRPr="00E15961">
        <w:rPr>
          <w:rFonts w:asciiTheme="majorBidi" w:hAnsiTheme="majorBidi" w:cstheme="majorBidi"/>
          <w:sz w:val="22"/>
          <w:szCs w:val="22"/>
          <w:lang w:val="en-US"/>
        </w:rPr>
        <w:tab/>
      </w:r>
      <w:r w:rsidR="00E15961" w:rsidRPr="00E15961">
        <w:rPr>
          <w:rFonts w:asciiTheme="majorBidi" w:hAnsiTheme="majorBidi" w:cstheme="majorBidi"/>
          <w:sz w:val="22"/>
          <w:szCs w:val="22"/>
          <w:lang w:val="en-US"/>
        </w:rPr>
        <w:t xml:space="preserve">Mukherjee, B., &amp; Priyadarshini, O. (2013). An unusual case of orbital cellulitis. </w:t>
      </w:r>
      <w:r w:rsidR="00E15961" w:rsidRPr="00E15961">
        <w:rPr>
          <w:rFonts w:asciiTheme="majorBidi" w:hAnsiTheme="majorBidi" w:cstheme="majorBidi"/>
          <w:i/>
          <w:iCs/>
          <w:sz w:val="22"/>
          <w:szCs w:val="22"/>
          <w:lang w:val="en-US"/>
        </w:rPr>
        <w:t>Eye</w:t>
      </w:r>
      <w:r w:rsidR="00E15961" w:rsidRPr="00E15961">
        <w:rPr>
          <w:rFonts w:asciiTheme="majorBidi" w:hAnsiTheme="majorBidi" w:cstheme="majorBidi"/>
          <w:sz w:val="22"/>
          <w:szCs w:val="22"/>
          <w:lang w:val="en-US"/>
        </w:rPr>
        <w:t xml:space="preserve">, </w:t>
      </w:r>
      <w:r w:rsidR="00E15961" w:rsidRPr="00E15961">
        <w:rPr>
          <w:rFonts w:asciiTheme="majorBidi" w:hAnsiTheme="majorBidi" w:cstheme="majorBidi"/>
          <w:i/>
          <w:iCs/>
          <w:sz w:val="22"/>
          <w:szCs w:val="22"/>
          <w:lang w:val="en-US"/>
        </w:rPr>
        <w:t>27</w:t>
      </w:r>
      <w:r w:rsidR="00E15961" w:rsidRPr="00E15961">
        <w:rPr>
          <w:rFonts w:asciiTheme="majorBidi" w:hAnsiTheme="majorBidi" w:cstheme="majorBidi"/>
          <w:sz w:val="22"/>
          <w:szCs w:val="22"/>
          <w:lang w:val="en-US"/>
        </w:rPr>
        <w:t>, 678-679. https://doi.org/10.1038</w:t>
      </w:r>
    </w:p>
    <w:p w14:paraId="092EB3FD" w14:textId="0A880DEE" w:rsidR="00C84611" w:rsidRPr="00E15961" w:rsidRDefault="00C84611" w:rsidP="00C84611">
      <w:pPr>
        <w:pStyle w:val="Bibliographie"/>
        <w:rPr>
          <w:rFonts w:asciiTheme="majorBidi" w:hAnsiTheme="majorBidi" w:cstheme="majorBidi"/>
          <w:sz w:val="22"/>
          <w:szCs w:val="22"/>
          <w:lang w:val="en-US"/>
        </w:rPr>
      </w:pPr>
      <w:r w:rsidRPr="00E15961">
        <w:rPr>
          <w:rFonts w:asciiTheme="majorBidi" w:hAnsiTheme="majorBidi" w:cstheme="majorBidi"/>
          <w:sz w:val="22"/>
          <w:szCs w:val="22"/>
          <w:lang w:val="en-US"/>
        </w:rPr>
        <w:t>6.</w:t>
      </w:r>
      <w:r w:rsidRPr="00E15961">
        <w:rPr>
          <w:rFonts w:asciiTheme="majorBidi" w:hAnsiTheme="majorBidi" w:cstheme="majorBidi"/>
          <w:sz w:val="22"/>
          <w:szCs w:val="22"/>
          <w:lang w:val="en-US"/>
        </w:rPr>
        <w:tab/>
      </w:r>
      <w:r w:rsidR="00E15961" w:rsidRPr="00E15961">
        <w:rPr>
          <w:rFonts w:asciiTheme="majorBidi" w:hAnsiTheme="majorBidi" w:cstheme="majorBidi"/>
          <w:sz w:val="22"/>
          <w:szCs w:val="22"/>
          <w:lang w:val="en-US"/>
        </w:rPr>
        <w:t xml:space="preserve">Chew, W., Kwek, J., Anicete, R., &amp; Low, M. Y. (2022). Pediatric orbital cellulitis: Case report of an unusual etiology and pathogen. </w:t>
      </w:r>
      <w:r w:rsidR="00E15961" w:rsidRPr="00E15961">
        <w:rPr>
          <w:rFonts w:asciiTheme="majorBidi" w:hAnsiTheme="majorBidi" w:cstheme="majorBidi"/>
          <w:i/>
          <w:iCs/>
          <w:sz w:val="22"/>
          <w:szCs w:val="22"/>
          <w:lang w:val="en-US"/>
        </w:rPr>
        <w:t>Ear, Nose &amp; Throat Journal</w:t>
      </w:r>
      <w:r w:rsidR="00E15961" w:rsidRPr="00E15961">
        <w:rPr>
          <w:rFonts w:asciiTheme="majorBidi" w:hAnsiTheme="majorBidi" w:cstheme="majorBidi"/>
          <w:sz w:val="22"/>
          <w:szCs w:val="22"/>
          <w:lang w:val="en-US"/>
        </w:rPr>
        <w:t xml:space="preserve">. </w:t>
      </w:r>
      <w:r w:rsidR="00E15961" w:rsidRPr="00E15961">
        <w:rPr>
          <w:rFonts w:asciiTheme="majorBidi" w:hAnsiTheme="majorBidi" w:cstheme="majorBidi"/>
          <w:color w:val="4472C4" w:themeColor="accent1"/>
          <w:sz w:val="22"/>
          <w:szCs w:val="22"/>
          <w:lang w:val="en-US"/>
        </w:rPr>
        <w:t>https://doi.org/https://doi.org/10.1177/01455613211064002</w:t>
      </w:r>
    </w:p>
    <w:p w14:paraId="5FBBAD9A" w14:textId="4F3F6CFB" w:rsidR="00C84611" w:rsidRPr="00E15961" w:rsidRDefault="00C84611" w:rsidP="00C84611">
      <w:pPr>
        <w:pStyle w:val="Bibliographie"/>
        <w:rPr>
          <w:rFonts w:asciiTheme="majorBidi" w:hAnsiTheme="majorBidi" w:cstheme="majorBidi"/>
          <w:sz w:val="22"/>
          <w:szCs w:val="22"/>
        </w:rPr>
      </w:pPr>
      <w:r w:rsidRPr="00E15961">
        <w:rPr>
          <w:rFonts w:asciiTheme="majorBidi" w:hAnsiTheme="majorBidi" w:cstheme="majorBidi"/>
          <w:sz w:val="22"/>
          <w:szCs w:val="22"/>
          <w:lang w:val="en-US"/>
        </w:rPr>
        <w:t>7.</w:t>
      </w:r>
      <w:r w:rsidRPr="00E15961">
        <w:rPr>
          <w:rFonts w:asciiTheme="majorBidi" w:hAnsiTheme="majorBidi" w:cstheme="majorBidi"/>
          <w:sz w:val="22"/>
          <w:szCs w:val="22"/>
          <w:lang w:val="en-US"/>
        </w:rPr>
        <w:tab/>
      </w:r>
      <w:r w:rsidR="00E15961" w:rsidRPr="00E15961">
        <w:rPr>
          <w:rFonts w:asciiTheme="majorBidi" w:hAnsiTheme="majorBidi" w:cstheme="majorBidi"/>
          <w:sz w:val="22"/>
          <w:szCs w:val="22"/>
          <w:lang w:val="en-US"/>
        </w:rPr>
        <w:t xml:space="preserve">Breigning, S., Roques-Ginetes , M., Marquoux, M., &amp; Bloom, M. (2012). </w:t>
      </w:r>
      <w:r w:rsidR="00E15961" w:rsidRPr="00E15961">
        <w:rPr>
          <w:rFonts w:asciiTheme="majorBidi" w:hAnsiTheme="majorBidi" w:cstheme="majorBidi"/>
          <w:sz w:val="22"/>
          <w:szCs w:val="22"/>
        </w:rPr>
        <w:t xml:space="preserve">Cellulite néonatale à streptocoque du groupe B. </w:t>
      </w:r>
      <w:r w:rsidR="00E15961" w:rsidRPr="00E15961">
        <w:rPr>
          <w:rFonts w:asciiTheme="majorBidi" w:hAnsiTheme="majorBidi" w:cstheme="majorBidi"/>
          <w:i/>
          <w:iCs/>
          <w:sz w:val="22"/>
          <w:szCs w:val="22"/>
        </w:rPr>
        <w:t>Archives De pédiatrie</w:t>
      </w:r>
      <w:r w:rsidR="00E15961" w:rsidRPr="00E15961">
        <w:rPr>
          <w:rFonts w:asciiTheme="majorBidi" w:hAnsiTheme="majorBidi" w:cstheme="majorBidi"/>
          <w:sz w:val="22"/>
          <w:szCs w:val="22"/>
        </w:rPr>
        <w:t xml:space="preserve">, </w:t>
      </w:r>
      <w:r w:rsidR="00E15961" w:rsidRPr="00E15961">
        <w:rPr>
          <w:rFonts w:asciiTheme="majorBidi" w:hAnsiTheme="majorBidi" w:cstheme="majorBidi"/>
          <w:i/>
          <w:iCs/>
          <w:sz w:val="22"/>
          <w:szCs w:val="22"/>
        </w:rPr>
        <w:t>19</w:t>
      </w:r>
      <w:r w:rsidR="00E15961" w:rsidRPr="00E15961">
        <w:rPr>
          <w:rFonts w:asciiTheme="majorBidi" w:hAnsiTheme="majorBidi" w:cstheme="majorBidi"/>
          <w:sz w:val="22"/>
          <w:szCs w:val="22"/>
        </w:rPr>
        <w:t xml:space="preserve">(10), 1079-1081. </w:t>
      </w:r>
      <w:r w:rsidR="00E15961" w:rsidRPr="00E15961">
        <w:rPr>
          <w:rFonts w:asciiTheme="majorBidi" w:hAnsiTheme="majorBidi" w:cstheme="majorBidi"/>
          <w:color w:val="4472C4" w:themeColor="accent1"/>
          <w:sz w:val="22"/>
          <w:szCs w:val="22"/>
        </w:rPr>
        <w:t>https://doi.org/10.1016</w:t>
      </w:r>
    </w:p>
    <w:p w14:paraId="3DFFCBBB" w14:textId="77777777" w:rsidR="00C84611" w:rsidRPr="00E15961" w:rsidRDefault="00C84611" w:rsidP="00C84611">
      <w:pPr>
        <w:pStyle w:val="Bibliographie"/>
        <w:rPr>
          <w:rFonts w:asciiTheme="majorBidi" w:hAnsiTheme="majorBidi" w:cstheme="majorBidi"/>
          <w:sz w:val="22"/>
          <w:szCs w:val="22"/>
        </w:rPr>
      </w:pPr>
      <w:r w:rsidRPr="00E15961">
        <w:rPr>
          <w:rFonts w:asciiTheme="majorBidi" w:hAnsiTheme="majorBidi" w:cstheme="majorBidi"/>
          <w:sz w:val="22"/>
          <w:szCs w:val="22"/>
        </w:rPr>
        <w:t>8.</w:t>
      </w:r>
      <w:r w:rsidRPr="00E15961">
        <w:rPr>
          <w:rFonts w:asciiTheme="majorBidi" w:hAnsiTheme="majorBidi" w:cstheme="majorBidi"/>
          <w:sz w:val="22"/>
          <w:szCs w:val="22"/>
        </w:rPr>
        <w:tab/>
        <w:t>Clinical Practice Guidelines : Periorbital and orbital cellulitis [Internet]. [cité 23 juill 2022]. Disponible sur: https://www.rch.org.au/clinicalguide/guideline_index/Periorbital_and_orbital_cellulitis/</w:t>
      </w:r>
    </w:p>
    <w:p w14:paraId="50673395" w14:textId="5DF0B19A" w:rsidR="00C02B66" w:rsidRPr="00E15961" w:rsidRDefault="00C84611" w:rsidP="00E15961">
      <w:pPr>
        <w:pStyle w:val="Bibliographie"/>
        <w:rPr>
          <w:rFonts w:asciiTheme="majorBidi" w:hAnsiTheme="majorBidi" w:cstheme="majorBidi"/>
          <w:sz w:val="22"/>
          <w:szCs w:val="22"/>
          <w:lang w:val="en-US"/>
        </w:rPr>
      </w:pPr>
      <w:r w:rsidRPr="00E15961">
        <w:rPr>
          <w:rFonts w:asciiTheme="majorBidi" w:hAnsiTheme="majorBidi" w:cstheme="majorBidi"/>
          <w:sz w:val="22"/>
          <w:szCs w:val="22"/>
          <w:lang w:val="en-US"/>
        </w:rPr>
        <w:t xml:space="preserve">9. </w:t>
      </w:r>
      <w:r w:rsidR="00E15961" w:rsidRPr="00E15961">
        <w:rPr>
          <w:rFonts w:asciiTheme="majorBidi" w:hAnsiTheme="majorBidi" w:cstheme="majorBidi"/>
          <w:sz w:val="22"/>
          <w:szCs w:val="22"/>
          <w:lang w:val="en-US"/>
        </w:rPr>
        <w:t xml:space="preserve">Gill, P. J., Parkin, P. C., &amp; Begum, N. (2019). Care and outcomes of Canadian children hospitalised with periorbital and orbital cellulitis: protocol for a multicentre, retrospective cohort study. </w:t>
      </w:r>
      <w:r w:rsidR="00E15961" w:rsidRPr="00E15961">
        <w:rPr>
          <w:rFonts w:asciiTheme="majorBidi" w:hAnsiTheme="majorBidi" w:cstheme="majorBidi"/>
          <w:i/>
          <w:iCs/>
          <w:sz w:val="22"/>
          <w:szCs w:val="22"/>
        </w:rPr>
        <w:t>BMJ Open</w:t>
      </w:r>
      <w:r w:rsidR="00E15961" w:rsidRPr="00E15961">
        <w:rPr>
          <w:rFonts w:asciiTheme="majorBidi" w:hAnsiTheme="majorBidi" w:cstheme="majorBidi"/>
          <w:sz w:val="22"/>
          <w:szCs w:val="22"/>
        </w:rPr>
        <w:t xml:space="preserve">, </w:t>
      </w:r>
      <w:r w:rsidR="00E15961" w:rsidRPr="00E15961">
        <w:rPr>
          <w:rFonts w:asciiTheme="majorBidi" w:hAnsiTheme="majorBidi" w:cstheme="majorBidi"/>
          <w:i/>
          <w:iCs/>
          <w:sz w:val="22"/>
          <w:szCs w:val="22"/>
        </w:rPr>
        <w:t>9</w:t>
      </w:r>
      <w:r w:rsidR="00E15961" w:rsidRPr="00E15961">
        <w:rPr>
          <w:rFonts w:asciiTheme="majorBidi" w:hAnsiTheme="majorBidi" w:cstheme="majorBidi"/>
          <w:sz w:val="22"/>
          <w:szCs w:val="22"/>
        </w:rPr>
        <w:t xml:space="preserve">(12). </w:t>
      </w:r>
      <w:r w:rsidR="00E15961" w:rsidRPr="00E15961">
        <w:rPr>
          <w:rFonts w:asciiTheme="majorBidi" w:hAnsiTheme="majorBidi" w:cstheme="majorBidi"/>
          <w:color w:val="4472C4" w:themeColor="accent1"/>
          <w:sz w:val="22"/>
          <w:szCs w:val="22"/>
        </w:rPr>
        <w:t>https://doi.org/10.1136/bmjopen-2019-035206</w:t>
      </w:r>
      <w:r w:rsidRPr="00E15961">
        <w:rPr>
          <w:rFonts w:asciiTheme="majorBidi" w:hAnsiTheme="majorBidi" w:cstheme="majorBidi"/>
          <w:b/>
          <w:sz w:val="22"/>
          <w:szCs w:val="22"/>
        </w:rPr>
        <w:fldChar w:fldCharType="end"/>
      </w:r>
    </w:p>
    <w:p w14:paraId="2232B379" w14:textId="77777777" w:rsidR="00EA0D0B" w:rsidRPr="00C84611" w:rsidRDefault="00EA0D0B" w:rsidP="00EA0D0B">
      <w:pPr>
        <w:pStyle w:val="Els-body-text"/>
        <w:spacing w:line="240" w:lineRule="auto"/>
        <w:rPr>
          <w:sz w:val="20"/>
        </w:rPr>
      </w:pPr>
    </w:p>
    <w:p w14:paraId="0E1BE25B" w14:textId="77777777" w:rsidR="00D60935" w:rsidRPr="00C84611" w:rsidRDefault="00D60935" w:rsidP="00B650FE">
      <w:pPr>
        <w:pStyle w:val="Els-body-text"/>
        <w:spacing w:line="240" w:lineRule="auto"/>
        <w:ind w:firstLine="0"/>
        <w:sectPr w:rsidR="00D60935" w:rsidRPr="00C84611" w:rsidSect="00532EA4">
          <w:type w:val="continuous"/>
          <w:pgSz w:w="12240" w:h="15840"/>
          <w:pgMar w:top="1440" w:right="1440" w:bottom="1440" w:left="1440" w:header="720" w:footer="861" w:gutter="0"/>
          <w:cols w:num="2" w:space="720"/>
          <w:titlePg/>
          <w:docGrid w:linePitch="360"/>
        </w:sectPr>
      </w:pPr>
    </w:p>
    <w:p w14:paraId="5EC775C7" w14:textId="77777777" w:rsidR="00E56282" w:rsidRPr="00C84611" w:rsidRDefault="00E56282" w:rsidP="00E56282"/>
    <w:p w14:paraId="24FE4064" w14:textId="77777777" w:rsidR="00C8304E" w:rsidRPr="00C84611" w:rsidRDefault="00C8304E"/>
    <w:sectPr w:rsidR="00C8304E" w:rsidRPr="00C84611" w:rsidSect="00532EA4">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D55F91" w14:textId="77777777" w:rsidR="00A94475" w:rsidRDefault="00A94475" w:rsidP="00E56282">
      <w:pPr>
        <w:spacing w:after="0" w:line="240" w:lineRule="auto"/>
      </w:pPr>
      <w:r>
        <w:separator/>
      </w:r>
    </w:p>
  </w:endnote>
  <w:endnote w:type="continuationSeparator" w:id="0">
    <w:p w14:paraId="0D2A33E9" w14:textId="77777777" w:rsidR="00A94475" w:rsidRDefault="00A94475" w:rsidP="00E562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eXGyreAdventor">
    <w:altName w:val="Times New Roman"/>
    <w:panose1 w:val="020B0604020202020204"/>
    <w:charset w:val="00"/>
    <w:family w:val="auto"/>
    <w:pitch w:val="variable"/>
  </w:font>
  <w:font w:name="Tahoma">
    <w:panose1 w:val="020B0604030504040204"/>
    <w:charset w:val="00"/>
    <w:family w:val="swiss"/>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Bidi" w:hAnsiTheme="majorBidi" w:cstheme="majorBidi"/>
        <w:sz w:val="16"/>
        <w:szCs w:val="16"/>
      </w:rPr>
      <w:id w:val="-616060993"/>
      <w:docPartObj>
        <w:docPartGallery w:val="Page Numbers (Bottom of Page)"/>
        <w:docPartUnique/>
      </w:docPartObj>
    </w:sdtPr>
    <w:sdtEndPr/>
    <w:sdtContent>
      <w:sdt>
        <w:sdtPr>
          <w:rPr>
            <w:rFonts w:asciiTheme="majorBidi" w:hAnsiTheme="majorBidi" w:cstheme="majorBidi"/>
            <w:sz w:val="16"/>
            <w:szCs w:val="16"/>
          </w:rPr>
          <w:id w:val="-1564474697"/>
          <w:docPartObj>
            <w:docPartGallery w:val="Page Numbers (Top of Page)"/>
            <w:docPartUnique/>
          </w:docPartObj>
        </w:sdtPr>
        <w:sdtEndPr/>
        <w:sdtContent>
          <w:p w14:paraId="70DA0043" w14:textId="77777777" w:rsidR="00A126CE" w:rsidRDefault="00A126CE">
            <w:pPr>
              <w:pStyle w:val="Pieddepage"/>
              <w:jc w:val="center"/>
              <w:rPr>
                <w:rFonts w:asciiTheme="majorBidi" w:hAnsiTheme="majorBidi" w:cstheme="majorBidi"/>
                <w:sz w:val="16"/>
                <w:szCs w:val="16"/>
              </w:rPr>
            </w:pPr>
          </w:p>
          <w:p w14:paraId="7648F842" w14:textId="77777777" w:rsidR="00A126CE" w:rsidRPr="00820252" w:rsidRDefault="00A126CE">
            <w:pPr>
              <w:pStyle w:val="Pieddepage"/>
              <w:jc w:val="center"/>
              <w:rPr>
                <w:rFonts w:asciiTheme="majorBidi" w:hAnsiTheme="majorBidi" w:cstheme="majorBidi"/>
                <w:b/>
                <w:bCs/>
                <w:sz w:val="16"/>
                <w:szCs w:val="16"/>
              </w:rPr>
            </w:pPr>
          </w:p>
          <w:p w14:paraId="6868E7CC" w14:textId="77777777" w:rsidR="00A126CE" w:rsidRPr="00820252" w:rsidRDefault="00A126CE" w:rsidP="00532EA4">
            <w:pPr>
              <w:pStyle w:val="Pieddepage"/>
              <w:jc w:val="right"/>
              <w:rPr>
                <w:rFonts w:asciiTheme="majorBidi" w:hAnsiTheme="majorBidi" w:cstheme="majorBidi"/>
                <w:sz w:val="16"/>
                <w:szCs w:val="16"/>
              </w:rPr>
            </w:pPr>
            <w:r w:rsidRPr="00820252">
              <w:rPr>
                <w:rFonts w:asciiTheme="majorBidi" w:hAnsiTheme="majorBidi" w:cstheme="majorBidi"/>
                <w:sz w:val="16"/>
                <w:szCs w:val="16"/>
              </w:rPr>
              <w:t xml:space="preserve">Page </w:t>
            </w:r>
            <w:r w:rsidR="00245873" w:rsidRPr="00820252">
              <w:rPr>
                <w:rFonts w:asciiTheme="majorBidi" w:hAnsiTheme="majorBidi" w:cstheme="majorBidi"/>
                <w:b/>
                <w:bCs/>
                <w:sz w:val="16"/>
                <w:szCs w:val="16"/>
              </w:rPr>
              <w:fldChar w:fldCharType="begin"/>
            </w:r>
            <w:r w:rsidRPr="00820252">
              <w:rPr>
                <w:rFonts w:asciiTheme="majorBidi" w:hAnsiTheme="majorBidi" w:cstheme="majorBidi"/>
                <w:b/>
                <w:bCs/>
                <w:sz w:val="16"/>
                <w:szCs w:val="16"/>
              </w:rPr>
              <w:instrText xml:space="preserve"> PAGE </w:instrText>
            </w:r>
            <w:r w:rsidR="00245873" w:rsidRPr="00820252">
              <w:rPr>
                <w:rFonts w:asciiTheme="majorBidi" w:hAnsiTheme="majorBidi" w:cstheme="majorBidi"/>
                <w:b/>
                <w:bCs/>
                <w:sz w:val="16"/>
                <w:szCs w:val="16"/>
              </w:rPr>
              <w:fldChar w:fldCharType="separate"/>
            </w:r>
            <w:r w:rsidR="00303DCE">
              <w:rPr>
                <w:rFonts w:asciiTheme="majorBidi" w:hAnsiTheme="majorBidi" w:cstheme="majorBidi"/>
                <w:b/>
                <w:bCs/>
                <w:noProof/>
                <w:sz w:val="16"/>
                <w:szCs w:val="16"/>
              </w:rPr>
              <w:t>3</w:t>
            </w:r>
            <w:r w:rsidR="00245873" w:rsidRPr="00820252">
              <w:rPr>
                <w:rFonts w:asciiTheme="majorBidi" w:hAnsiTheme="majorBidi" w:cstheme="majorBidi"/>
                <w:b/>
                <w:bCs/>
                <w:sz w:val="16"/>
                <w:szCs w:val="16"/>
              </w:rPr>
              <w:fldChar w:fldCharType="end"/>
            </w:r>
            <w:r w:rsidRPr="00820252">
              <w:rPr>
                <w:rFonts w:asciiTheme="majorBidi" w:hAnsiTheme="majorBidi" w:cstheme="majorBidi"/>
                <w:sz w:val="16"/>
                <w:szCs w:val="16"/>
              </w:rPr>
              <w:t xml:space="preserve"> of </w:t>
            </w:r>
            <w:r w:rsidR="00245873" w:rsidRPr="00820252">
              <w:rPr>
                <w:rFonts w:asciiTheme="majorBidi" w:hAnsiTheme="majorBidi" w:cstheme="majorBidi"/>
                <w:b/>
                <w:bCs/>
                <w:sz w:val="16"/>
                <w:szCs w:val="16"/>
              </w:rPr>
              <w:fldChar w:fldCharType="begin"/>
            </w:r>
            <w:r w:rsidRPr="00820252">
              <w:rPr>
                <w:rFonts w:asciiTheme="majorBidi" w:hAnsiTheme="majorBidi" w:cstheme="majorBidi"/>
                <w:b/>
                <w:bCs/>
                <w:sz w:val="16"/>
                <w:szCs w:val="16"/>
              </w:rPr>
              <w:instrText xml:space="preserve"> NUMPAGES  </w:instrText>
            </w:r>
            <w:r w:rsidR="00245873" w:rsidRPr="00820252">
              <w:rPr>
                <w:rFonts w:asciiTheme="majorBidi" w:hAnsiTheme="majorBidi" w:cstheme="majorBidi"/>
                <w:b/>
                <w:bCs/>
                <w:sz w:val="16"/>
                <w:szCs w:val="16"/>
              </w:rPr>
              <w:fldChar w:fldCharType="separate"/>
            </w:r>
            <w:r w:rsidR="00303DCE">
              <w:rPr>
                <w:rFonts w:asciiTheme="majorBidi" w:hAnsiTheme="majorBidi" w:cstheme="majorBidi"/>
                <w:b/>
                <w:bCs/>
                <w:noProof/>
                <w:sz w:val="16"/>
                <w:szCs w:val="16"/>
              </w:rPr>
              <w:t>3</w:t>
            </w:r>
            <w:r w:rsidR="00245873" w:rsidRPr="00820252">
              <w:rPr>
                <w:rFonts w:asciiTheme="majorBidi" w:hAnsiTheme="majorBidi" w:cstheme="majorBidi"/>
                <w:b/>
                <w:bCs/>
                <w:sz w:val="16"/>
                <w:szCs w:val="16"/>
              </w:rPr>
              <w:fldChar w:fldCharType="end"/>
            </w:r>
          </w:p>
        </w:sdtContent>
      </w:sdt>
    </w:sdtContent>
  </w:sdt>
  <w:p w14:paraId="1B9165A3" w14:textId="77777777" w:rsidR="00A126CE" w:rsidRDefault="00A126C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946FFB" w14:textId="77777777" w:rsidR="00A126CE" w:rsidRDefault="00A126CE" w:rsidP="00532EA4">
    <w:pPr>
      <w:pStyle w:val="Pieddepage"/>
      <w:tabs>
        <w:tab w:val="center" w:pos="4961"/>
      </w:tabs>
      <w:rPr>
        <w:sz w:val="15"/>
        <w:szCs w:val="15"/>
      </w:rPr>
    </w:pPr>
  </w:p>
  <w:p w14:paraId="5498B68A" w14:textId="77777777" w:rsidR="00A126CE" w:rsidRPr="00EA5E42" w:rsidRDefault="00A126CE" w:rsidP="00532EA4">
    <w:pPr>
      <w:pStyle w:val="Pieddepage"/>
      <w:tabs>
        <w:tab w:val="center" w:pos="4961"/>
      </w:tabs>
      <w:rPr>
        <w:rFonts w:asciiTheme="majorBidi" w:hAnsiTheme="majorBidi" w:cstheme="majorBidi"/>
        <w:i/>
        <w:sz w:val="12"/>
        <w:szCs w:val="12"/>
      </w:rPr>
    </w:pPr>
    <w:r w:rsidRPr="00EA5E42">
      <w:rPr>
        <w:rFonts w:asciiTheme="majorBidi" w:hAnsiTheme="majorBidi" w:cstheme="majorBidi"/>
        <w:noProof/>
        <w:sz w:val="12"/>
        <w:szCs w:val="12"/>
      </w:rPr>
      <w:drawing>
        <wp:anchor distT="0" distB="0" distL="114300" distR="114300" simplePos="0" relativeHeight="251661312" behindDoc="0" locked="0" layoutInCell="1" allowOverlap="1" wp14:anchorId="3A743638" wp14:editId="1750DAB0">
          <wp:simplePos x="0" y="0"/>
          <wp:positionH relativeFrom="margin">
            <wp:posOffset>23620</wp:posOffset>
          </wp:positionH>
          <wp:positionV relativeFrom="paragraph">
            <wp:posOffset>162660</wp:posOffset>
          </wp:positionV>
          <wp:extent cx="499925" cy="176110"/>
          <wp:effectExtent l="0" t="0" r="0" b="0"/>
          <wp:wrapNone/>
          <wp:docPr id="1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99925" cy="176110"/>
                  </a:xfrm>
                  <a:prstGeom prst="rect">
                    <a:avLst/>
                  </a:prstGeom>
                </pic:spPr>
              </pic:pic>
            </a:graphicData>
          </a:graphic>
        </wp:anchor>
      </w:drawing>
    </w:r>
    <w:r w:rsidRPr="00EA5E42">
      <w:rPr>
        <w:rFonts w:asciiTheme="majorBidi" w:hAnsiTheme="majorBidi" w:cstheme="majorBidi"/>
        <w:sz w:val="12"/>
        <w:szCs w:val="12"/>
      </w:rPr>
      <w:t>This work is licensed under a Creative Commons Attribution-</w:t>
    </w:r>
    <w:proofErr w:type="spellStart"/>
    <w:r w:rsidRPr="00EA5E42">
      <w:rPr>
        <w:rFonts w:asciiTheme="majorBidi" w:hAnsiTheme="majorBidi" w:cstheme="majorBidi"/>
        <w:sz w:val="12"/>
        <w:szCs w:val="12"/>
      </w:rPr>
      <w:t>NonCommercial</w:t>
    </w:r>
    <w:proofErr w:type="spellEnd"/>
    <w:r w:rsidRPr="00EA5E42">
      <w:rPr>
        <w:rFonts w:asciiTheme="majorBidi" w:hAnsiTheme="majorBidi" w:cstheme="majorBidi"/>
        <w:sz w:val="12"/>
        <w:szCs w:val="12"/>
      </w:rPr>
      <w:t xml:space="preserve"> 4.0 International License. </w:t>
    </w:r>
  </w:p>
  <w:sdt>
    <w:sdtPr>
      <w:rPr>
        <w:rFonts w:asciiTheme="majorBidi" w:hAnsiTheme="majorBidi" w:cstheme="majorBidi"/>
        <w:sz w:val="16"/>
        <w:szCs w:val="16"/>
      </w:rPr>
      <w:id w:val="1876576638"/>
      <w:docPartObj>
        <w:docPartGallery w:val="Page Numbers (Bottom of Page)"/>
        <w:docPartUnique/>
      </w:docPartObj>
    </w:sdtPr>
    <w:sdtEndPr/>
    <w:sdtContent>
      <w:sdt>
        <w:sdtPr>
          <w:rPr>
            <w:rFonts w:asciiTheme="majorBidi" w:hAnsiTheme="majorBidi" w:cstheme="majorBidi"/>
            <w:sz w:val="16"/>
            <w:szCs w:val="16"/>
          </w:rPr>
          <w:id w:val="-1381633611"/>
          <w:docPartObj>
            <w:docPartGallery w:val="Page Numbers (Top of Page)"/>
            <w:docPartUnique/>
          </w:docPartObj>
        </w:sdtPr>
        <w:sdtEndPr/>
        <w:sdtContent>
          <w:p w14:paraId="019FBB7B" w14:textId="77777777" w:rsidR="00A126CE" w:rsidRDefault="00A126CE" w:rsidP="00532EA4">
            <w:pPr>
              <w:pStyle w:val="Pieddepage"/>
              <w:jc w:val="center"/>
              <w:rPr>
                <w:rFonts w:asciiTheme="majorBidi" w:hAnsiTheme="majorBidi" w:cstheme="majorBidi"/>
                <w:sz w:val="16"/>
                <w:szCs w:val="16"/>
              </w:rPr>
            </w:pPr>
          </w:p>
          <w:p w14:paraId="67E80E03" w14:textId="77777777" w:rsidR="00A126CE" w:rsidRPr="00820252" w:rsidRDefault="00A126CE" w:rsidP="00532EA4">
            <w:pPr>
              <w:pStyle w:val="Pieddepage"/>
              <w:jc w:val="center"/>
              <w:rPr>
                <w:rFonts w:asciiTheme="majorBidi" w:hAnsiTheme="majorBidi" w:cstheme="majorBidi"/>
                <w:b/>
                <w:bCs/>
                <w:sz w:val="16"/>
                <w:szCs w:val="16"/>
              </w:rPr>
            </w:pPr>
          </w:p>
          <w:p w14:paraId="4C6E6900" w14:textId="77777777" w:rsidR="00A126CE" w:rsidRPr="00820252" w:rsidRDefault="00A126CE" w:rsidP="00532EA4">
            <w:pPr>
              <w:pStyle w:val="Pieddepage"/>
              <w:jc w:val="right"/>
            </w:pPr>
            <w:r w:rsidRPr="00820252">
              <w:rPr>
                <w:rFonts w:asciiTheme="majorBidi" w:hAnsiTheme="majorBidi" w:cstheme="majorBidi"/>
                <w:sz w:val="16"/>
                <w:szCs w:val="16"/>
              </w:rPr>
              <w:t xml:space="preserve">Page </w:t>
            </w:r>
            <w:r w:rsidR="00245873" w:rsidRPr="00820252">
              <w:rPr>
                <w:rFonts w:asciiTheme="majorBidi" w:hAnsiTheme="majorBidi" w:cstheme="majorBidi"/>
                <w:sz w:val="16"/>
                <w:szCs w:val="16"/>
              </w:rPr>
              <w:fldChar w:fldCharType="begin"/>
            </w:r>
            <w:r w:rsidRPr="00820252">
              <w:rPr>
                <w:rFonts w:asciiTheme="majorBidi" w:hAnsiTheme="majorBidi" w:cstheme="majorBidi"/>
                <w:sz w:val="16"/>
                <w:szCs w:val="16"/>
              </w:rPr>
              <w:instrText xml:space="preserve"> PAGE </w:instrText>
            </w:r>
            <w:r w:rsidR="00245873" w:rsidRPr="00820252">
              <w:rPr>
                <w:rFonts w:asciiTheme="majorBidi" w:hAnsiTheme="majorBidi" w:cstheme="majorBidi"/>
                <w:sz w:val="16"/>
                <w:szCs w:val="16"/>
              </w:rPr>
              <w:fldChar w:fldCharType="separate"/>
            </w:r>
            <w:r w:rsidR="00303DCE">
              <w:rPr>
                <w:rFonts w:asciiTheme="majorBidi" w:hAnsiTheme="majorBidi" w:cstheme="majorBidi"/>
                <w:noProof/>
                <w:sz w:val="16"/>
                <w:szCs w:val="16"/>
              </w:rPr>
              <w:t>1</w:t>
            </w:r>
            <w:r w:rsidR="00245873" w:rsidRPr="00820252">
              <w:rPr>
                <w:rFonts w:asciiTheme="majorBidi" w:hAnsiTheme="majorBidi" w:cstheme="majorBidi"/>
                <w:sz w:val="16"/>
                <w:szCs w:val="16"/>
              </w:rPr>
              <w:fldChar w:fldCharType="end"/>
            </w:r>
            <w:r w:rsidRPr="00820252">
              <w:rPr>
                <w:rFonts w:asciiTheme="majorBidi" w:hAnsiTheme="majorBidi" w:cstheme="majorBidi"/>
                <w:sz w:val="16"/>
                <w:szCs w:val="16"/>
              </w:rPr>
              <w:t xml:space="preserve"> of </w:t>
            </w:r>
            <w:r w:rsidR="00245873" w:rsidRPr="00820252">
              <w:rPr>
                <w:rFonts w:asciiTheme="majorBidi" w:hAnsiTheme="majorBidi" w:cstheme="majorBidi"/>
                <w:sz w:val="16"/>
                <w:szCs w:val="16"/>
              </w:rPr>
              <w:fldChar w:fldCharType="begin"/>
            </w:r>
            <w:r w:rsidRPr="00820252">
              <w:rPr>
                <w:rFonts w:asciiTheme="majorBidi" w:hAnsiTheme="majorBidi" w:cstheme="majorBidi"/>
                <w:sz w:val="16"/>
                <w:szCs w:val="16"/>
              </w:rPr>
              <w:instrText xml:space="preserve"> NUMPAGES  </w:instrText>
            </w:r>
            <w:r w:rsidR="00245873" w:rsidRPr="00820252">
              <w:rPr>
                <w:rFonts w:asciiTheme="majorBidi" w:hAnsiTheme="majorBidi" w:cstheme="majorBidi"/>
                <w:sz w:val="16"/>
                <w:szCs w:val="16"/>
              </w:rPr>
              <w:fldChar w:fldCharType="separate"/>
            </w:r>
            <w:r w:rsidR="00303DCE">
              <w:rPr>
                <w:rFonts w:asciiTheme="majorBidi" w:hAnsiTheme="majorBidi" w:cstheme="majorBidi"/>
                <w:noProof/>
                <w:sz w:val="16"/>
                <w:szCs w:val="16"/>
              </w:rPr>
              <w:t>3</w:t>
            </w:r>
            <w:r w:rsidR="00245873" w:rsidRPr="00820252">
              <w:rPr>
                <w:rFonts w:asciiTheme="majorBidi" w:hAnsiTheme="majorBidi" w:cstheme="majorBidi"/>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2E6D14" w14:textId="77777777" w:rsidR="00A94475" w:rsidRDefault="00A94475" w:rsidP="00E56282">
      <w:pPr>
        <w:spacing w:after="0" w:line="240" w:lineRule="auto"/>
      </w:pPr>
      <w:r>
        <w:separator/>
      </w:r>
    </w:p>
  </w:footnote>
  <w:footnote w:type="continuationSeparator" w:id="0">
    <w:p w14:paraId="33423619" w14:textId="77777777" w:rsidR="00A94475" w:rsidRDefault="00A94475" w:rsidP="00E562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F8C29" w14:textId="3B31570C" w:rsidR="00A126CE" w:rsidRPr="0058707B" w:rsidRDefault="00CD6A60" w:rsidP="00532EA4">
    <w:pPr>
      <w:pStyle w:val="En-tte"/>
      <w:jc w:val="both"/>
      <w:rPr>
        <w:rFonts w:asciiTheme="majorBidi" w:hAnsiTheme="majorBidi" w:cstheme="majorBidi"/>
        <w:sz w:val="18"/>
        <w:szCs w:val="18"/>
      </w:rPr>
    </w:pPr>
    <w:proofErr w:type="spellStart"/>
    <w:r>
      <w:rPr>
        <w:rFonts w:asciiTheme="majorBidi" w:hAnsiTheme="majorBidi" w:cstheme="majorBidi"/>
        <w:sz w:val="18"/>
        <w:szCs w:val="18"/>
      </w:rPr>
      <w:t>Bouayed</w:t>
    </w:r>
    <w:proofErr w:type="spellEnd"/>
    <w:r>
      <w:rPr>
        <w:rFonts w:asciiTheme="majorBidi" w:hAnsiTheme="majorBidi" w:cstheme="majorBidi"/>
        <w:sz w:val="18"/>
        <w:szCs w:val="18"/>
      </w:rPr>
      <w:t xml:space="preserve"> S</w:t>
    </w:r>
    <w:r w:rsidR="00A126CE" w:rsidRPr="0058707B">
      <w:rPr>
        <w:rFonts w:asciiTheme="majorBidi" w:hAnsiTheme="majorBidi" w:cstheme="majorBidi"/>
        <w:sz w:val="18"/>
        <w:szCs w:val="18"/>
      </w:rPr>
      <w:t xml:space="preserve"> </w:t>
    </w:r>
    <w:r w:rsidR="00A126CE" w:rsidRPr="0058707B">
      <w:rPr>
        <w:rFonts w:asciiTheme="majorBidi" w:hAnsiTheme="majorBidi" w:cstheme="majorBidi"/>
        <w:i/>
        <w:iCs/>
        <w:sz w:val="18"/>
        <w:szCs w:val="18"/>
      </w:rPr>
      <w:t>et al.</w:t>
    </w:r>
    <w:r w:rsidR="00A126CE" w:rsidRPr="0058707B">
      <w:rPr>
        <w:rFonts w:asciiTheme="majorBidi" w:hAnsiTheme="majorBidi" w:cstheme="majorBidi"/>
        <w:sz w:val="18"/>
        <w:szCs w:val="18"/>
      </w:rPr>
      <w:t xml:space="preserve">   (</w:t>
    </w:r>
    <w:r>
      <w:rPr>
        <w:rFonts w:asciiTheme="majorBidi" w:hAnsiTheme="majorBidi" w:cstheme="majorBidi"/>
        <w:sz w:val="18"/>
        <w:szCs w:val="18"/>
      </w:rPr>
      <w:t>Orbital cellulitis in infant</w:t>
    </w:r>
    <w:r w:rsidR="00A126CE" w:rsidRPr="0058707B">
      <w:rPr>
        <w:rFonts w:asciiTheme="majorBidi" w:hAnsiTheme="majorBidi" w:cstheme="majorBidi"/>
        <w:sz w:val="18"/>
        <w:szCs w:val="18"/>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9579" w:type="dxa"/>
      <w:jc w:val="center"/>
      <w:tblBorders>
        <w:top w:val="none" w:sz="0" w:space="0" w:color="auto"/>
        <w:left w:val="none" w:sz="0" w:space="0" w:color="auto"/>
        <w:bottom w:val="single" w:sz="36" w:space="0" w:color="auto"/>
        <w:right w:val="none" w:sz="0" w:space="0" w:color="auto"/>
        <w:insideH w:val="none" w:sz="0" w:space="0" w:color="auto"/>
        <w:insideV w:val="none" w:sz="0" w:space="0" w:color="auto"/>
      </w:tblBorders>
      <w:shd w:val="pct10" w:color="F2F2F2" w:themeColor="background1" w:themeShade="F2" w:fill="auto"/>
      <w:tblLayout w:type="fixed"/>
      <w:tblLook w:val="04A0" w:firstRow="1" w:lastRow="0" w:firstColumn="1" w:lastColumn="0" w:noHBand="0" w:noVBand="1"/>
    </w:tblPr>
    <w:tblGrid>
      <w:gridCol w:w="1269"/>
      <w:gridCol w:w="6621"/>
      <w:gridCol w:w="1689"/>
    </w:tblGrid>
    <w:tr w:rsidR="00A126CE" w14:paraId="593921A2" w14:textId="77777777" w:rsidTr="00532EA4">
      <w:trPr>
        <w:trHeight w:val="50"/>
        <w:jc w:val="center"/>
      </w:trPr>
      <w:tc>
        <w:tcPr>
          <w:tcW w:w="1269" w:type="dxa"/>
          <w:tcBorders>
            <w:bottom w:val="single" w:sz="4" w:space="0" w:color="auto"/>
          </w:tcBorders>
          <w:shd w:val="pct10" w:color="F2F2F2" w:themeColor="background1" w:themeShade="F2" w:fill="auto"/>
          <w:vAlign w:val="bottom"/>
        </w:tcPr>
        <w:p w14:paraId="54594B3C" w14:textId="77777777" w:rsidR="00A126CE" w:rsidRDefault="00A126CE" w:rsidP="00532EA4">
          <w:pPr>
            <w:jc w:val="both"/>
          </w:pPr>
        </w:p>
      </w:tc>
      <w:tc>
        <w:tcPr>
          <w:tcW w:w="6621" w:type="dxa"/>
          <w:tcBorders>
            <w:bottom w:val="single" w:sz="4" w:space="0" w:color="auto"/>
          </w:tcBorders>
          <w:shd w:val="pct10" w:color="F2F2F2" w:themeColor="background1" w:themeShade="F2" w:fill="auto"/>
        </w:tcPr>
        <w:p w14:paraId="00A82E18" w14:textId="77777777" w:rsidR="00A126CE" w:rsidRPr="009D747E" w:rsidRDefault="00A126CE" w:rsidP="00532EA4">
          <w:pPr>
            <w:pStyle w:val="Running-head"/>
            <w:spacing w:after="240"/>
          </w:pPr>
          <w:bookmarkStart w:id="3" w:name="_Hlk534457307"/>
          <w:r>
            <w:t>Algerian Jo</w:t>
          </w:r>
          <w:r w:rsidR="00E503C3">
            <w:t>urnal of Health Sciences.Vol. XX</w:t>
          </w:r>
          <w:r>
            <w:t xml:space="preserve"> Num. </w:t>
          </w:r>
          <w:r w:rsidR="00E503C3">
            <w:rPr>
              <w:iCs/>
              <w:szCs w:val="16"/>
            </w:rPr>
            <w:t>XX (2020</w:t>
          </w:r>
          <w:r w:rsidRPr="009D747E">
            <w:rPr>
              <w:iCs/>
              <w:szCs w:val="16"/>
            </w:rPr>
            <w:t>)</w:t>
          </w:r>
          <w:bookmarkEnd w:id="3"/>
        </w:p>
      </w:tc>
      <w:tc>
        <w:tcPr>
          <w:tcW w:w="1689" w:type="dxa"/>
          <w:tcBorders>
            <w:bottom w:val="single" w:sz="4" w:space="0" w:color="auto"/>
          </w:tcBorders>
          <w:shd w:val="pct10" w:color="F2F2F2" w:themeColor="background1" w:themeShade="F2" w:fill="auto"/>
          <w:vAlign w:val="center"/>
        </w:tcPr>
        <w:p w14:paraId="4EFCF468" w14:textId="77777777" w:rsidR="00A126CE" w:rsidRDefault="00A126CE" w:rsidP="00532EA4">
          <w:pPr>
            <w:pStyle w:val="En-tte"/>
            <w:tabs>
              <w:tab w:val="left" w:pos="6804"/>
            </w:tabs>
            <w:jc w:val="center"/>
          </w:pPr>
        </w:p>
      </w:tc>
    </w:tr>
    <w:tr w:rsidR="00A126CE" w14:paraId="6A4E6D66" w14:textId="77777777" w:rsidTr="00532EA4">
      <w:trPr>
        <w:trHeight w:val="50"/>
        <w:jc w:val="center"/>
      </w:trPr>
      <w:tc>
        <w:tcPr>
          <w:tcW w:w="1269" w:type="dxa"/>
          <w:vMerge w:val="restart"/>
          <w:tcBorders>
            <w:top w:val="single" w:sz="4" w:space="0" w:color="auto"/>
          </w:tcBorders>
          <w:shd w:val="pct10" w:color="F2F2F2" w:themeColor="background1" w:themeShade="F2" w:fill="auto"/>
        </w:tcPr>
        <w:p w14:paraId="7FCC1FB6" w14:textId="77777777" w:rsidR="00A126CE" w:rsidRPr="00056920" w:rsidRDefault="00A126CE" w:rsidP="00532EA4">
          <w:pPr>
            <w:contextualSpacing/>
            <w:rPr>
              <w:lang w:val="en-US"/>
            </w:rPr>
          </w:pPr>
        </w:p>
      </w:tc>
      <w:tc>
        <w:tcPr>
          <w:tcW w:w="6621" w:type="dxa"/>
          <w:tcBorders>
            <w:top w:val="single" w:sz="4" w:space="0" w:color="auto"/>
          </w:tcBorders>
          <w:shd w:val="pct10" w:color="F2F2F2" w:themeColor="background1" w:themeShade="F2" w:fill="auto"/>
        </w:tcPr>
        <w:p w14:paraId="54E97D7B" w14:textId="77777777" w:rsidR="00A126CE" w:rsidRPr="002E206D" w:rsidRDefault="00A126CE" w:rsidP="00532EA4">
          <w:pPr>
            <w:ind w:right="-2090"/>
            <w:contextualSpacing/>
          </w:pPr>
        </w:p>
      </w:tc>
      <w:tc>
        <w:tcPr>
          <w:tcW w:w="1689" w:type="dxa"/>
          <w:vMerge w:val="restart"/>
          <w:tcBorders>
            <w:top w:val="single" w:sz="4" w:space="0" w:color="auto"/>
            <w:bottom w:val="single" w:sz="36" w:space="0" w:color="auto"/>
          </w:tcBorders>
          <w:shd w:val="pct10" w:color="F2F2F2" w:themeColor="background1" w:themeShade="F2" w:fill="auto"/>
          <w:vAlign w:val="center"/>
        </w:tcPr>
        <w:p w14:paraId="1C7FB4F9" w14:textId="77777777" w:rsidR="00A126CE" w:rsidRDefault="00A126CE" w:rsidP="00532EA4">
          <w:pPr>
            <w:pStyle w:val="En-tte"/>
            <w:tabs>
              <w:tab w:val="left" w:pos="6804"/>
            </w:tabs>
            <w:contextualSpacing/>
            <w:jc w:val="center"/>
          </w:pPr>
          <w:r>
            <w:rPr>
              <w:noProof/>
            </w:rPr>
            <w:drawing>
              <wp:anchor distT="0" distB="0" distL="114300" distR="114300" simplePos="0" relativeHeight="251660288" behindDoc="0" locked="0" layoutInCell="1" allowOverlap="1" wp14:anchorId="3703C3F2" wp14:editId="2680E8EB">
                <wp:simplePos x="0" y="0"/>
                <wp:positionH relativeFrom="column">
                  <wp:posOffset>116205</wp:posOffset>
                </wp:positionH>
                <wp:positionV relativeFrom="paragraph">
                  <wp:posOffset>-68580</wp:posOffset>
                </wp:positionV>
                <wp:extent cx="889635" cy="838200"/>
                <wp:effectExtent l="0" t="0" r="5715" b="0"/>
                <wp:wrapNone/>
                <wp:docPr id="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889635" cy="838200"/>
                        </a:xfrm>
                        <a:prstGeom prst="rect">
                          <a:avLst/>
                        </a:prstGeom>
                      </pic:spPr>
                    </pic:pic>
                  </a:graphicData>
                </a:graphic>
              </wp:anchor>
            </w:drawing>
          </w:r>
        </w:p>
      </w:tc>
    </w:tr>
    <w:tr w:rsidR="00A126CE" w:rsidRPr="00437ECB" w14:paraId="6A69C465" w14:textId="77777777" w:rsidTr="00532EA4">
      <w:trPr>
        <w:trHeight w:val="50"/>
        <w:jc w:val="center"/>
      </w:trPr>
      <w:tc>
        <w:tcPr>
          <w:tcW w:w="1269" w:type="dxa"/>
          <w:vMerge/>
          <w:shd w:val="pct10" w:color="F2F2F2" w:themeColor="background1" w:themeShade="F2" w:fill="auto"/>
        </w:tcPr>
        <w:p w14:paraId="5DC7E40E" w14:textId="77777777" w:rsidR="00A126CE" w:rsidRDefault="00A126CE" w:rsidP="00532EA4">
          <w:pPr>
            <w:pStyle w:val="En-tte"/>
            <w:tabs>
              <w:tab w:val="left" w:pos="6804"/>
            </w:tabs>
          </w:pPr>
        </w:p>
      </w:tc>
      <w:tc>
        <w:tcPr>
          <w:tcW w:w="6621" w:type="dxa"/>
          <w:shd w:val="clear" w:color="auto" w:fill="D5DCE4" w:themeFill="text2" w:themeFillTint="33"/>
        </w:tcPr>
        <w:p w14:paraId="5884CC8B" w14:textId="77777777" w:rsidR="00A126CE" w:rsidRPr="0058707B" w:rsidRDefault="00A126CE" w:rsidP="00532EA4">
          <w:pPr>
            <w:pStyle w:val="En-tte"/>
            <w:tabs>
              <w:tab w:val="center" w:pos="3329"/>
              <w:tab w:val="left" w:pos="5284"/>
            </w:tabs>
            <w:spacing w:line="220" w:lineRule="atLeast"/>
            <w:jc w:val="center"/>
            <w:rPr>
              <w:rFonts w:ascii="Arial" w:hAnsi="Arial" w:cs="Arial"/>
              <w:sz w:val="18"/>
              <w:szCs w:val="18"/>
              <w:lang w:val="fr-FR"/>
            </w:rPr>
          </w:pPr>
          <w:r>
            <w:rPr>
              <w:rFonts w:ascii="Arial" w:hAnsi="Arial" w:cs="Arial"/>
              <w:sz w:val="18"/>
              <w:szCs w:val="18"/>
              <w:lang w:val="fr-FR"/>
            </w:rPr>
            <w:t xml:space="preserve">En </w:t>
          </w:r>
          <w:r w:rsidRPr="0058707B">
            <w:rPr>
              <w:rFonts w:ascii="Arial" w:hAnsi="Arial" w:cs="Arial"/>
              <w:sz w:val="18"/>
              <w:szCs w:val="18"/>
              <w:lang w:val="fr-FR"/>
            </w:rPr>
            <w:t>li</w:t>
          </w:r>
          <w:r>
            <w:rPr>
              <w:rFonts w:ascii="Arial" w:hAnsi="Arial" w:cs="Arial"/>
              <w:sz w:val="18"/>
              <w:szCs w:val="18"/>
              <w:lang w:val="fr-FR"/>
            </w:rPr>
            <w:t>g</w:t>
          </w:r>
          <w:r w:rsidRPr="0058707B">
            <w:rPr>
              <w:rFonts w:ascii="Arial" w:hAnsi="Arial" w:cs="Arial"/>
              <w:sz w:val="18"/>
              <w:szCs w:val="18"/>
              <w:lang w:val="fr-FR"/>
            </w:rPr>
            <w:t>ne</w:t>
          </w:r>
        </w:p>
        <w:p w14:paraId="79A7DA11" w14:textId="77777777" w:rsidR="00A126CE" w:rsidRPr="0058707B" w:rsidRDefault="00A94475" w:rsidP="00532EA4">
          <w:pPr>
            <w:pStyle w:val="En-tte"/>
            <w:tabs>
              <w:tab w:val="center" w:pos="3329"/>
              <w:tab w:val="left" w:pos="5284"/>
            </w:tabs>
            <w:spacing w:line="220" w:lineRule="atLeast"/>
            <w:jc w:val="center"/>
            <w:rPr>
              <w:sz w:val="18"/>
              <w:szCs w:val="18"/>
              <w:u w:val="single"/>
              <w:lang w:val="fr-FR"/>
            </w:rPr>
          </w:pPr>
          <w:hyperlink r:id="rId2" w:history="1">
            <w:r w:rsidR="00A126CE" w:rsidRPr="0058707B">
              <w:rPr>
                <w:rStyle w:val="Lienhypertexte"/>
                <w:rFonts w:ascii="Arial" w:hAnsi="Arial" w:cs="Arial"/>
                <w:color w:val="00B0F0"/>
                <w:sz w:val="18"/>
                <w:szCs w:val="18"/>
                <w:u w:val="single"/>
                <w:lang w:val="fr-FR"/>
              </w:rPr>
              <w:t>https://www.atrss.dz/ajhs</w:t>
            </w:r>
          </w:hyperlink>
        </w:p>
        <w:p w14:paraId="3765BBC2" w14:textId="77777777" w:rsidR="00A126CE" w:rsidRPr="0058707B" w:rsidRDefault="00A126CE" w:rsidP="00532EA4">
          <w:pPr>
            <w:pStyle w:val="En-tte"/>
            <w:tabs>
              <w:tab w:val="clear" w:pos="9360"/>
              <w:tab w:val="left" w:pos="5040"/>
            </w:tabs>
            <w:rPr>
              <w:rStyle w:val="Lienhypertexte"/>
              <w:rFonts w:ascii="Arial" w:hAnsi="Arial" w:cs="Arial"/>
              <w:i/>
              <w:iCs/>
              <w:color w:val="0000FF"/>
              <w:sz w:val="18"/>
              <w:lang w:val="fr-FR"/>
            </w:rPr>
          </w:pPr>
          <w:r w:rsidRPr="0058707B">
            <w:rPr>
              <w:rStyle w:val="Lienhypertexte"/>
              <w:rFonts w:ascii="Arial" w:hAnsi="Arial" w:cs="Arial"/>
              <w:i/>
              <w:iCs/>
              <w:color w:val="0000FF"/>
              <w:sz w:val="18"/>
              <w:lang w:val="fr-FR"/>
            </w:rPr>
            <w:tab/>
          </w:r>
          <w:r w:rsidRPr="0058707B">
            <w:rPr>
              <w:rStyle w:val="Lienhypertexte"/>
              <w:rFonts w:ascii="Arial" w:hAnsi="Arial" w:cs="Arial"/>
              <w:i/>
              <w:iCs/>
              <w:color w:val="0000FF"/>
              <w:sz w:val="18"/>
              <w:lang w:val="fr-FR"/>
            </w:rPr>
            <w:tab/>
          </w:r>
          <w:r w:rsidRPr="0058707B">
            <w:rPr>
              <w:rStyle w:val="Lienhypertexte"/>
              <w:rFonts w:ascii="Arial" w:hAnsi="Arial" w:cs="Arial"/>
              <w:i/>
              <w:iCs/>
              <w:color w:val="0000FF"/>
              <w:sz w:val="18"/>
              <w:lang w:val="fr-FR"/>
            </w:rPr>
            <w:tab/>
          </w:r>
        </w:p>
        <w:p w14:paraId="54E0C570" w14:textId="77777777" w:rsidR="00A126CE" w:rsidRPr="0058707B" w:rsidRDefault="00A126CE" w:rsidP="00532EA4">
          <w:pPr>
            <w:pStyle w:val="En-tte"/>
            <w:spacing w:line="220" w:lineRule="atLeast"/>
            <w:jc w:val="center"/>
            <w:rPr>
              <w:sz w:val="18"/>
              <w:szCs w:val="18"/>
              <w:lang w:val="fr-FR"/>
            </w:rPr>
          </w:pPr>
        </w:p>
      </w:tc>
      <w:tc>
        <w:tcPr>
          <w:tcW w:w="1689" w:type="dxa"/>
          <w:vMerge/>
          <w:tcBorders>
            <w:bottom w:val="single" w:sz="36" w:space="0" w:color="auto"/>
          </w:tcBorders>
          <w:shd w:val="pct10" w:color="F2F2F2" w:themeColor="background1" w:themeShade="F2" w:fill="auto"/>
          <w:vAlign w:val="center"/>
        </w:tcPr>
        <w:p w14:paraId="4E0329DC" w14:textId="77777777" w:rsidR="00A126CE" w:rsidRPr="0058707B" w:rsidRDefault="00A126CE" w:rsidP="00532EA4">
          <w:pPr>
            <w:pStyle w:val="En-tte"/>
            <w:tabs>
              <w:tab w:val="left" w:pos="6804"/>
            </w:tabs>
            <w:jc w:val="center"/>
            <w:rPr>
              <w:lang w:val="fr-FR"/>
            </w:rPr>
          </w:pPr>
        </w:p>
      </w:tc>
    </w:tr>
    <w:tr w:rsidR="00A126CE" w:rsidRPr="00437ECB" w14:paraId="4166F600" w14:textId="77777777" w:rsidTr="00532EA4">
      <w:trPr>
        <w:trHeight w:val="20"/>
        <w:jc w:val="center"/>
      </w:trPr>
      <w:tc>
        <w:tcPr>
          <w:tcW w:w="1269" w:type="dxa"/>
          <w:vMerge/>
          <w:tcBorders>
            <w:bottom w:val="single" w:sz="36" w:space="0" w:color="auto"/>
          </w:tcBorders>
          <w:shd w:val="pct10" w:color="F2F2F2" w:themeColor="background1" w:themeShade="F2" w:fill="auto"/>
        </w:tcPr>
        <w:p w14:paraId="76A050F9" w14:textId="77777777" w:rsidR="00A126CE" w:rsidRPr="0058707B" w:rsidRDefault="00A126CE" w:rsidP="00532EA4">
          <w:pPr>
            <w:pStyle w:val="En-tte"/>
            <w:tabs>
              <w:tab w:val="left" w:pos="6804"/>
            </w:tabs>
            <w:rPr>
              <w:lang w:val="fr-FR"/>
            </w:rPr>
          </w:pPr>
        </w:p>
      </w:tc>
      <w:tc>
        <w:tcPr>
          <w:tcW w:w="6621" w:type="dxa"/>
          <w:tcBorders>
            <w:bottom w:val="single" w:sz="36" w:space="0" w:color="auto"/>
          </w:tcBorders>
          <w:shd w:val="pct10" w:color="F2F2F2" w:themeColor="background1" w:themeShade="F2" w:fill="auto"/>
        </w:tcPr>
        <w:p w14:paraId="7F4F4B14" w14:textId="77777777" w:rsidR="00A126CE" w:rsidRPr="0058707B" w:rsidRDefault="00A126CE" w:rsidP="00532EA4">
          <w:pPr>
            <w:rPr>
              <w:lang w:val="fr-FR"/>
            </w:rPr>
          </w:pPr>
        </w:p>
      </w:tc>
      <w:tc>
        <w:tcPr>
          <w:tcW w:w="1689" w:type="dxa"/>
          <w:vMerge/>
          <w:tcBorders>
            <w:bottom w:val="single" w:sz="36" w:space="0" w:color="auto"/>
          </w:tcBorders>
          <w:shd w:val="pct10" w:color="F2F2F2" w:themeColor="background1" w:themeShade="F2" w:fill="auto"/>
          <w:vAlign w:val="center"/>
        </w:tcPr>
        <w:p w14:paraId="20002A64" w14:textId="77777777" w:rsidR="00A126CE" w:rsidRPr="0058707B" w:rsidRDefault="00A126CE" w:rsidP="00532EA4">
          <w:pPr>
            <w:pStyle w:val="En-tte"/>
            <w:tabs>
              <w:tab w:val="left" w:pos="6804"/>
            </w:tabs>
            <w:jc w:val="center"/>
            <w:rPr>
              <w:lang w:val="fr-FR"/>
            </w:rPr>
          </w:pPr>
        </w:p>
      </w:tc>
    </w:tr>
  </w:tbl>
  <w:p w14:paraId="25F83644" w14:textId="77777777" w:rsidR="00A126CE" w:rsidRPr="0058707B" w:rsidRDefault="00A126CE">
    <w:pPr>
      <w:pStyle w:val="En-tte"/>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1D289A"/>
    <w:multiLevelType w:val="hybridMultilevel"/>
    <w:tmpl w:val="21A63BBA"/>
    <w:lvl w:ilvl="0" w:tplc="366659FA">
      <w:start w:val="1"/>
      <w:numFmt w:val="decimal"/>
      <w:lvlText w:val="%1."/>
      <w:lvlJc w:val="left"/>
      <w:pPr>
        <w:ind w:left="673" w:hanging="435"/>
      </w:pPr>
      <w:rPr>
        <w:rFonts w:hint="default"/>
      </w:rPr>
    </w:lvl>
    <w:lvl w:ilvl="1" w:tplc="04090019" w:tentative="1">
      <w:start w:val="1"/>
      <w:numFmt w:val="lowerLetter"/>
      <w:lvlText w:val="%2."/>
      <w:lvlJc w:val="left"/>
      <w:pPr>
        <w:ind w:left="1318" w:hanging="360"/>
      </w:pPr>
    </w:lvl>
    <w:lvl w:ilvl="2" w:tplc="0409001B" w:tentative="1">
      <w:start w:val="1"/>
      <w:numFmt w:val="lowerRoman"/>
      <w:lvlText w:val="%3."/>
      <w:lvlJc w:val="right"/>
      <w:pPr>
        <w:ind w:left="2038" w:hanging="180"/>
      </w:pPr>
    </w:lvl>
    <w:lvl w:ilvl="3" w:tplc="0409000F" w:tentative="1">
      <w:start w:val="1"/>
      <w:numFmt w:val="decimal"/>
      <w:lvlText w:val="%4."/>
      <w:lvlJc w:val="left"/>
      <w:pPr>
        <w:ind w:left="2758" w:hanging="360"/>
      </w:pPr>
    </w:lvl>
    <w:lvl w:ilvl="4" w:tplc="04090019" w:tentative="1">
      <w:start w:val="1"/>
      <w:numFmt w:val="lowerLetter"/>
      <w:lvlText w:val="%5."/>
      <w:lvlJc w:val="left"/>
      <w:pPr>
        <w:ind w:left="3478" w:hanging="360"/>
      </w:pPr>
    </w:lvl>
    <w:lvl w:ilvl="5" w:tplc="0409001B" w:tentative="1">
      <w:start w:val="1"/>
      <w:numFmt w:val="lowerRoman"/>
      <w:lvlText w:val="%6."/>
      <w:lvlJc w:val="right"/>
      <w:pPr>
        <w:ind w:left="4198" w:hanging="180"/>
      </w:pPr>
    </w:lvl>
    <w:lvl w:ilvl="6" w:tplc="0409000F" w:tentative="1">
      <w:start w:val="1"/>
      <w:numFmt w:val="decimal"/>
      <w:lvlText w:val="%7."/>
      <w:lvlJc w:val="left"/>
      <w:pPr>
        <w:ind w:left="4918" w:hanging="360"/>
      </w:pPr>
    </w:lvl>
    <w:lvl w:ilvl="7" w:tplc="04090019" w:tentative="1">
      <w:start w:val="1"/>
      <w:numFmt w:val="lowerLetter"/>
      <w:lvlText w:val="%8."/>
      <w:lvlJc w:val="left"/>
      <w:pPr>
        <w:ind w:left="5638" w:hanging="360"/>
      </w:pPr>
    </w:lvl>
    <w:lvl w:ilvl="8" w:tplc="0409001B" w:tentative="1">
      <w:start w:val="1"/>
      <w:numFmt w:val="lowerRoman"/>
      <w:lvlText w:val="%9."/>
      <w:lvlJc w:val="right"/>
      <w:pPr>
        <w:ind w:left="6358" w:hanging="180"/>
      </w:pPr>
    </w:lvl>
  </w:abstractNum>
  <w:abstractNum w:abstractNumId="1" w15:restartNumberingAfterBreak="0">
    <w:nsid w:val="341F42F2"/>
    <w:multiLevelType w:val="multilevel"/>
    <w:tmpl w:val="FED4A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AB56F68"/>
    <w:multiLevelType w:val="hybridMultilevel"/>
    <w:tmpl w:val="135C3548"/>
    <w:lvl w:ilvl="0" w:tplc="667ABDA6">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6205803"/>
    <w:multiLevelType w:val="multilevel"/>
    <w:tmpl w:val="1E2855A8"/>
    <w:lvl w:ilvl="0">
      <w:start w:val="1"/>
      <w:numFmt w:val="decimal"/>
      <w:pStyle w:val="Els-1storder-head"/>
      <w:suff w:val="space"/>
      <w:lvlText w:val="%1."/>
      <w:lvlJc w:val="left"/>
      <w:pPr>
        <w:ind w:left="0" w:firstLine="0"/>
      </w:pPr>
    </w:lvl>
    <w:lvl w:ilvl="1">
      <w:start w:val="1"/>
      <w:numFmt w:val="decimal"/>
      <w:pStyle w:val="Els-2ndorder-head"/>
      <w:suff w:val="space"/>
      <w:lvlText w:val="%1.%2."/>
      <w:lvlJc w:val="left"/>
      <w:pPr>
        <w:ind w:left="4111" w:firstLine="0"/>
      </w:pPr>
    </w:lvl>
    <w:lvl w:ilvl="2">
      <w:start w:val="1"/>
      <w:numFmt w:val="decimal"/>
      <w:pStyle w:val="Els-3rdorder-head"/>
      <w:suff w:val="space"/>
      <w:lvlText w:val="%1.%2.%3."/>
      <w:lvlJc w:val="left"/>
      <w:pPr>
        <w:ind w:left="0" w:firstLine="0"/>
      </w:pPr>
    </w:lvl>
    <w:lvl w:ilvl="3">
      <w:start w:val="1"/>
      <w:numFmt w:val="decimal"/>
      <w:pStyle w:val="Els-4thorder-head"/>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3.%4.%5.%6.%7.%8.%9."/>
      <w:lvlJc w:val="left"/>
      <w:pPr>
        <w:ind w:left="0" w:firstLine="0"/>
      </w:pPr>
    </w:lvl>
  </w:abstractNum>
  <w:num w:numId="1">
    <w:abstractNumId w:val="3"/>
  </w:num>
  <w:num w:numId="2">
    <w:abstractNumId w:val="2"/>
  </w:num>
  <w:num w:numId="3">
    <w:abstractNumId w:val="1"/>
  </w:num>
  <w:num w:numId="4">
    <w:abstractNumId w:val="3"/>
    <w:lvlOverride w:ilvl="0">
      <w:startOverride w:val="5"/>
    </w:lvlOverride>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9"/>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56282"/>
    <w:rsid w:val="00001E65"/>
    <w:rsid w:val="00021A46"/>
    <w:rsid w:val="0003308C"/>
    <w:rsid w:val="0003427E"/>
    <w:rsid w:val="000416D3"/>
    <w:rsid w:val="000A7AF2"/>
    <w:rsid w:val="00113E6B"/>
    <w:rsid w:val="001E64AF"/>
    <w:rsid w:val="00210684"/>
    <w:rsid w:val="00220E27"/>
    <w:rsid w:val="0022230C"/>
    <w:rsid w:val="00245873"/>
    <w:rsid w:val="00300155"/>
    <w:rsid w:val="00303DCE"/>
    <w:rsid w:val="00326694"/>
    <w:rsid w:val="00330D2B"/>
    <w:rsid w:val="003819D6"/>
    <w:rsid w:val="003F7B99"/>
    <w:rsid w:val="00407A79"/>
    <w:rsid w:val="00437ECB"/>
    <w:rsid w:val="00440DC6"/>
    <w:rsid w:val="004470A7"/>
    <w:rsid w:val="004C4599"/>
    <w:rsid w:val="004C62F7"/>
    <w:rsid w:val="004E1544"/>
    <w:rsid w:val="004F6540"/>
    <w:rsid w:val="00504B6A"/>
    <w:rsid w:val="00505C4E"/>
    <w:rsid w:val="00532EA4"/>
    <w:rsid w:val="0057482B"/>
    <w:rsid w:val="00584CB1"/>
    <w:rsid w:val="0058707B"/>
    <w:rsid w:val="00597067"/>
    <w:rsid w:val="005E1CA9"/>
    <w:rsid w:val="005F106A"/>
    <w:rsid w:val="00600964"/>
    <w:rsid w:val="00645C3B"/>
    <w:rsid w:val="00693618"/>
    <w:rsid w:val="00757796"/>
    <w:rsid w:val="0077707A"/>
    <w:rsid w:val="007B7DAB"/>
    <w:rsid w:val="007F2313"/>
    <w:rsid w:val="00814329"/>
    <w:rsid w:val="008246D4"/>
    <w:rsid w:val="008625FA"/>
    <w:rsid w:val="008863F2"/>
    <w:rsid w:val="00916DBA"/>
    <w:rsid w:val="009179FB"/>
    <w:rsid w:val="009409D8"/>
    <w:rsid w:val="00990D2F"/>
    <w:rsid w:val="009B0C5A"/>
    <w:rsid w:val="009C0409"/>
    <w:rsid w:val="009E2D62"/>
    <w:rsid w:val="00A126CE"/>
    <w:rsid w:val="00A137F3"/>
    <w:rsid w:val="00A50078"/>
    <w:rsid w:val="00A54DB2"/>
    <w:rsid w:val="00A94475"/>
    <w:rsid w:val="00AE7164"/>
    <w:rsid w:val="00B2117A"/>
    <w:rsid w:val="00B22784"/>
    <w:rsid w:val="00B650FE"/>
    <w:rsid w:val="00BB6DEF"/>
    <w:rsid w:val="00BD0F48"/>
    <w:rsid w:val="00C02B66"/>
    <w:rsid w:val="00C1735F"/>
    <w:rsid w:val="00C25384"/>
    <w:rsid w:val="00C51C05"/>
    <w:rsid w:val="00C52BEF"/>
    <w:rsid w:val="00C62E2E"/>
    <w:rsid w:val="00C67D32"/>
    <w:rsid w:val="00C8304E"/>
    <w:rsid w:val="00C84611"/>
    <w:rsid w:val="00CB0DEC"/>
    <w:rsid w:val="00CD6A60"/>
    <w:rsid w:val="00D169EC"/>
    <w:rsid w:val="00D30073"/>
    <w:rsid w:val="00D3105E"/>
    <w:rsid w:val="00D53AF6"/>
    <w:rsid w:val="00D542CF"/>
    <w:rsid w:val="00D60935"/>
    <w:rsid w:val="00D6640B"/>
    <w:rsid w:val="00DD498D"/>
    <w:rsid w:val="00E13D6B"/>
    <w:rsid w:val="00E15961"/>
    <w:rsid w:val="00E432BC"/>
    <w:rsid w:val="00E503C3"/>
    <w:rsid w:val="00E56282"/>
    <w:rsid w:val="00E92540"/>
    <w:rsid w:val="00EA0D0B"/>
    <w:rsid w:val="00EA557F"/>
    <w:rsid w:val="00F10AC6"/>
    <w:rsid w:val="00F6491D"/>
    <w:rsid w:val="00F8123D"/>
    <w:rsid w:val="00FB1524"/>
    <w:rsid w:val="00FC3A6A"/>
  </w:rsids>
  <m:mathPr>
    <m:mathFont m:val="Cambria Math"/>
    <m:brkBin m:val="before"/>
    <m:brkBinSub m:val="--"/>
    <m:smallFrac/>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8CB3BCC"/>
  <w15:docId w15:val="{8B718FAD-A4BE-4345-ACB8-9DFACCFC0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6282"/>
  </w:style>
  <w:style w:type="paragraph" w:styleId="Titre3">
    <w:name w:val="heading 3"/>
    <w:basedOn w:val="Normal"/>
    <w:link w:val="Titre3Car"/>
    <w:uiPriority w:val="9"/>
    <w:qFormat/>
    <w:rsid w:val="00EA0D0B"/>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Titre5">
    <w:name w:val="heading 5"/>
    <w:basedOn w:val="Normal"/>
    <w:next w:val="Normal"/>
    <w:link w:val="Titre5Car"/>
    <w:uiPriority w:val="9"/>
    <w:semiHidden/>
    <w:unhideWhenUsed/>
    <w:qFormat/>
    <w:rsid w:val="00C84611"/>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page-number"/>
    <w:basedOn w:val="Normal"/>
    <w:link w:val="En-tteCar"/>
    <w:uiPriority w:val="99"/>
    <w:unhideWhenUsed/>
    <w:rsid w:val="00E56282"/>
    <w:pPr>
      <w:tabs>
        <w:tab w:val="center" w:pos="4680"/>
        <w:tab w:val="right" w:pos="9360"/>
      </w:tabs>
      <w:spacing w:after="0" w:line="240" w:lineRule="auto"/>
    </w:pPr>
  </w:style>
  <w:style w:type="character" w:customStyle="1" w:styleId="En-tteCar">
    <w:name w:val="En-tête Car"/>
    <w:aliases w:val="page-number Car"/>
    <w:basedOn w:val="Policepardfaut"/>
    <w:link w:val="En-tte"/>
    <w:uiPriority w:val="99"/>
    <w:rsid w:val="00E56282"/>
  </w:style>
  <w:style w:type="paragraph" w:styleId="Pieddepage">
    <w:name w:val="footer"/>
    <w:basedOn w:val="Normal"/>
    <w:link w:val="PieddepageCar"/>
    <w:uiPriority w:val="99"/>
    <w:unhideWhenUsed/>
    <w:rsid w:val="00E56282"/>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E56282"/>
  </w:style>
  <w:style w:type="character" w:styleId="Lienhypertexte">
    <w:name w:val="Hyperlink"/>
    <w:semiHidden/>
    <w:rsid w:val="00E56282"/>
    <w:rPr>
      <w:color w:val="auto"/>
      <w:sz w:val="16"/>
      <w:u w:val="none"/>
    </w:rPr>
  </w:style>
  <w:style w:type="table" w:styleId="Grilledutableau">
    <w:name w:val="Table Grid"/>
    <w:basedOn w:val="TableauNormal"/>
    <w:uiPriority w:val="59"/>
    <w:rsid w:val="00E56282"/>
    <w:pPr>
      <w:spacing w:after="0" w:line="240" w:lineRule="auto"/>
    </w:pPr>
    <w:rPr>
      <w:rFonts w:ascii="Times New Roman" w:eastAsia="SimSun" w:hAnsi="Times New Roman" w:cs="Times New Roman"/>
      <w:sz w:val="20"/>
      <w:szCs w:val="20"/>
      <w:lang w:val="en-IN"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unning-head">
    <w:name w:val="Running-head"/>
    <w:basedOn w:val="En-tte"/>
    <w:qFormat/>
    <w:rsid w:val="00E56282"/>
    <w:pPr>
      <w:tabs>
        <w:tab w:val="clear" w:pos="4680"/>
        <w:tab w:val="clear" w:pos="9360"/>
        <w:tab w:val="center" w:pos="4706"/>
        <w:tab w:val="center" w:pos="4920"/>
        <w:tab w:val="right" w:pos="9356"/>
      </w:tabs>
      <w:spacing w:after="80" w:line="200" w:lineRule="exact"/>
      <w:jc w:val="center"/>
    </w:pPr>
    <w:rPr>
      <w:rFonts w:ascii="Times New Roman" w:eastAsia="SimSun" w:hAnsi="Times New Roman" w:cs="Times New Roman"/>
      <w:smallCaps/>
      <w:noProof/>
      <w:sz w:val="14"/>
      <w:szCs w:val="20"/>
    </w:rPr>
  </w:style>
  <w:style w:type="paragraph" w:customStyle="1" w:styleId="Els-Affiliation">
    <w:name w:val="Els-Affiliation"/>
    <w:next w:val="Normal"/>
    <w:autoRedefine/>
    <w:rsid w:val="00FC3A6A"/>
    <w:pPr>
      <w:pBdr>
        <w:bottom w:val="single" w:sz="2" w:space="12" w:color="auto"/>
      </w:pBdr>
      <w:suppressAutoHyphens/>
      <w:spacing w:after="0" w:line="230" w:lineRule="exact"/>
    </w:pPr>
    <w:rPr>
      <w:rFonts w:asciiTheme="majorBidi" w:eastAsia="SimSun" w:hAnsiTheme="majorBidi" w:cstheme="majorBidi"/>
      <w:b/>
      <w:i/>
      <w:iCs/>
      <w:noProof/>
      <w:color w:val="0070C0"/>
      <w:sz w:val="28"/>
      <w:szCs w:val="28"/>
    </w:rPr>
  </w:style>
  <w:style w:type="paragraph" w:customStyle="1" w:styleId="Els-Title">
    <w:name w:val="Els-Title"/>
    <w:next w:val="Normal"/>
    <w:autoRedefine/>
    <w:rsid w:val="00E56282"/>
    <w:pPr>
      <w:suppressAutoHyphens/>
      <w:spacing w:after="340" w:line="440" w:lineRule="exact"/>
      <w:jc w:val="both"/>
    </w:pPr>
    <w:rPr>
      <w:rFonts w:ascii="Times New Roman" w:eastAsia="SimSun" w:hAnsi="Times New Roman" w:cs="Times New Roman"/>
      <w:b/>
      <w:sz w:val="32"/>
      <w:szCs w:val="32"/>
    </w:rPr>
  </w:style>
  <w:style w:type="paragraph" w:customStyle="1" w:styleId="DocHead">
    <w:name w:val="DocHead"/>
    <w:rsid w:val="00E56282"/>
    <w:pPr>
      <w:spacing w:before="190" w:after="280" w:line="240" w:lineRule="exact"/>
    </w:pPr>
    <w:rPr>
      <w:rFonts w:ascii="Times New Roman" w:eastAsia="SimSun" w:hAnsi="Times New Roman" w:cs="Times New Roman"/>
      <w:b/>
      <w:sz w:val="24"/>
      <w:szCs w:val="20"/>
    </w:rPr>
  </w:style>
  <w:style w:type="paragraph" w:customStyle="1" w:styleId="Els-Abstract-text">
    <w:name w:val="Els-Abstract-text"/>
    <w:next w:val="Normal"/>
    <w:rsid w:val="00E56282"/>
    <w:pPr>
      <w:pBdr>
        <w:top w:val="single" w:sz="4" w:space="1" w:color="auto"/>
      </w:pBdr>
      <w:spacing w:before="200" w:after="0" w:line="220" w:lineRule="exact"/>
      <w:jc w:val="both"/>
    </w:pPr>
    <w:rPr>
      <w:rFonts w:ascii="Times New Roman" w:eastAsia="SimSun" w:hAnsi="Times New Roman" w:cs="Times New Roman"/>
      <w:sz w:val="15"/>
      <w:szCs w:val="20"/>
    </w:rPr>
  </w:style>
  <w:style w:type="paragraph" w:customStyle="1" w:styleId="Els-1storder-head">
    <w:name w:val="Els-1storder-head"/>
    <w:next w:val="Els-body-text"/>
    <w:rsid w:val="00E56282"/>
    <w:pPr>
      <w:keepNext/>
      <w:numPr>
        <w:numId w:val="1"/>
      </w:numPr>
      <w:pBdr>
        <w:top w:val="single" w:sz="18" w:space="1" w:color="auto"/>
      </w:pBdr>
      <w:suppressAutoHyphens/>
      <w:spacing w:before="230" w:after="230" w:line="230" w:lineRule="exact"/>
    </w:pPr>
    <w:rPr>
      <w:rFonts w:ascii="Times New Roman" w:eastAsia="SimSun" w:hAnsi="Times New Roman" w:cs="Times New Roman"/>
      <w:b/>
      <w:sz w:val="19"/>
      <w:szCs w:val="20"/>
    </w:rPr>
  </w:style>
  <w:style w:type="paragraph" w:customStyle="1" w:styleId="Els-2ndorder-head">
    <w:name w:val="Els-2ndorder-head"/>
    <w:next w:val="Els-body-text"/>
    <w:rsid w:val="00E56282"/>
    <w:pPr>
      <w:keepNext/>
      <w:numPr>
        <w:ilvl w:val="1"/>
        <w:numId w:val="1"/>
      </w:numPr>
      <w:suppressAutoHyphens/>
      <w:spacing w:before="230" w:after="230" w:line="230" w:lineRule="exact"/>
    </w:pPr>
    <w:rPr>
      <w:rFonts w:ascii="Times New Roman" w:eastAsia="SimSun" w:hAnsi="Times New Roman" w:cs="Times New Roman"/>
      <w:b/>
      <w:i/>
      <w:sz w:val="17"/>
      <w:szCs w:val="20"/>
    </w:rPr>
  </w:style>
  <w:style w:type="paragraph" w:customStyle="1" w:styleId="Els-3rdorder-head">
    <w:name w:val="Els-3rdorder-head"/>
    <w:next w:val="Els-body-text"/>
    <w:rsid w:val="00E56282"/>
    <w:pPr>
      <w:keepNext/>
      <w:numPr>
        <w:ilvl w:val="2"/>
        <w:numId w:val="1"/>
      </w:numPr>
      <w:suppressAutoHyphens/>
      <w:spacing w:before="240" w:after="0" w:line="240" w:lineRule="exact"/>
    </w:pPr>
    <w:rPr>
      <w:rFonts w:ascii="Times New Roman" w:eastAsia="SimSun" w:hAnsi="Times New Roman" w:cs="Times New Roman"/>
      <w:i/>
      <w:sz w:val="20"/>
      <w:szCs w:val="20"/>
    </w:rPr>
  </w:style>
  <w:style w:type="paragraph" w:customStyle="1" w:styleId="Els-4thorder-head">
    <w:name w:val="Els-4thorder-head"/>
    <w:next w:val="Els-body-text"/>
    <w:rsid w:val="00E56282"/>
    <w:pPr>
      <w:keepNext/>
      <w:numPr>
        <w:ilvl w:val="3"/>
        <w:numId w:val="1"/>
      </w:numPr>
      <w:suppressAutoHyphens/>
      <w:spacing w:before="240" w:after="0" w:line="240" w:lineRule="exact"/>
    </w:pPr>
    <w:rPr>
      <w:rFonts w:ascii="Times New Roman" w:eastAsia="SimSun" w:hAnsi="Times New Roman" w:cs="Times New Roman"/>
      <w:i/>
      <w:sz w:val="20"/>
      <w:szCs w:val="20"/>
    </w:rPr>
  </w:style>
  <w:style w:type="paragraph" w:customStyle="1" w:styleId="Els-body-text">
    <w:name w:val="Els-body-text"/>
    <w:rsid w:val="00E56282"/>
    <w:pPr>
      <w:spacing w:after="0" w:line="230" w:lineRule="exact"/>
      <w:ind w:firstLine="238"/>
      <w:jc w:val="both"/>
    </w:pPr>
    <w:rPr>
      <w:rFonts w:ascii="Times New Roman" w:eastAsia="SimSun" w:hAnsi="Times New Roman" w:cs="Times New Roman"/>
      <w:sz w:val="16"/>
      <w:szCs w:val="20"/>
    </w:rPr>
  </w:style>
  <w:style w:type="paragraph" w:customStyle="1" w:styleId="Els-table-text">
    <w:name w:val="Els-table-text"/>
    <w:rsid w:val="00E56282"/>
    <w:pPr>
      <w:spacing w:after="80" w:line="200" w:lineRule="exact"/>
    </w:pPr>
    <w:rPr>
      <w:rFonts w:ascii="Times New Roman" w:eastAsia="SimSun" w:hAnsi="Times New Roman" w:cs="Times New Roman"/>
      <w:sz w:val="14"/>
      <w:szCs w:val="20"/>
    </w:rPr>
  </w:style>
  <w:style w:type="paragraph" w:customStyle="1" w:styleId="Els-table-caption">
    <w:name w:val="Els-table-caption"/>
    <w:rsid w:val="00E56282"/>
    <w:pPr>
      <w:keepLines/>
      <w:spacing w:before="230" w:after="230" w:line="200" w:lineRule="exact"/>
    </w:pPr>
    <w:rPr>
      <w:rFonts w:ascii="Times New Roman" w:eastAsia="SimSun" w:hAnsi="Times New Roman" w:cs="Times New Roman"/>
      <w:b/>
      <w:sz w:val="16"/>
      <w:szCs w:val="20"/>
    </w:rPr>
  </w:style>
  <w:style w:type="paragraph" w:customStyle="1" w:styleId="p">
    <w:name w:val="p"/>
    <w:basedOn w:val="Normal"/>
    <w:rsid w:val="00597067"/>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5970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re3Car">
    <w:name w:val="Titre 3 Car"/>
    <w:basedOn w:val="Policepardfaut"/>
    <w:link w:val="Titre3"/>
    <w:uiPriority w:val="9"/>
    <w:rsid w:val="00EA0D0B"/>
    <w:rPr>
      <w:rFonts w:ascii="Times New Roman" w:eastAsia="Times New Roman" w:hAnsi="Times New Roman" w:cs="Times New Roman"/>
      <w:b/>
      <w:bCs/>
      <w:sz w:val="27"/>
      <w:szCs w:val="27"/>
    </w:rPr>
  </w:style>
  <w:style w:type="paragraph" w:styleId="Corpsdetexte">
    <w:name w:val="Body Text"/>
    <w:basedOn w:val="Normal"/>
    <w:link w:val="CorpsdetexteCar"/>
    <w:uiPriority w:val="1"/>
    <w:qFormat/>
    <w:rsid w:val="00EA0D0B"/>
    <w:pPr>
      <w:widowControl w:val="0"/>
      <w:autoSpaceDE w:val="0"/>
      <w:autoSpaceDN w:val="0"/>
      <w:spacing w:after="0" w:line="240" w:lineRule="auto"/>
    </w:pPr>
    <w:rPr>
      <w:rFonts w:ascii="TeXGyreAdventor" w:eastAsia="TeXGyreAdventor" w:hAnsi="TeXGyreAdventor" w:cs="TeXGyreAdventor"/>
      <w:sz w:val="18"/>
      <w:szCs w:val="18"/>
      <w:lang w:val="fr-FR"/>
    </w:rPr>
  </w:style>
  <w:style w:type="character" w:customStyle="1" w:styleId="CorpsdetexteCar">
    <w:name w:val="Corps de texte Car"/>
    <w:basedOn w:val="Policepardfaut"/>
    <w:link w:val="Corpsdetexte"/>
    <w:uiPriority w:val="1"/>
    <w:rsid w:val="00EA0D0B"/>
    <w:rPr>
      <w:rFonts w:ascii="TeXGyreAdventor" w:eastAsia="TeXGyreAdventor" w:hAnsi="TeXGyreAdventor" w:cs="TeXGyreAdventor"/>
      <w:sz w:val="18"/>
      <w:szCs w:val="18"/>
      <w:lang w:val="fr-FR"/>
    </w:rPr>
  </w:style>
  <w:style w:type="paragraph" w:styleId="Textedebulles">
    <w:name w:val="Balloon Text"/>
    <w:basedOn w:val="Normal"/>
    <w:link w:val="TextedebullesCar"/>
    <w:uiPriority w:val="99"/>
    <w:semiHidden/>
    <w:unhideWhenUsed/>
    <w:rsid w:val="003819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819D6"/>
    <w:rPr>
      <w:rFonts w:ascii="Tahoma" w:hAnsi="Tahoma" w:cs="Tahoma"/>
      <w:sz w:val="16"/>
      <w:szCs w:val="16"/>
    </w:rPr>
  </w:style>
  <w:style w:type="paragraph" w:customStyle="1" w:styleId="Default">
    <w:name w:val="Default"/>
    <w:rsid w:val="00F6491D"/>
    <w:pPr>
      <w:autoSpaceDE w:val="0"/>
      <w:autoSpaceDN w:val="0"/>
      <w:adjustRightInd w:val="0"/>
      <w:spacing w:after="0" w:line="240" w:lineRule="auto"/>
    </w:pPr>
    <w:rPr>
      <w:rFonts w:ascii="Optima" w:hAnsi="Optima" w:cs="Optima"/>
      <w:color w:val="000000"/>
      <w:sz w:val="24"/>
      <w:szCs w:val="24"/>
      <w:lang w:val="fr-FR"/>
    </w:rPr>
  </w:style>
  <w:style w:type="character" w:customStyle="1" w:styleId="hgkelc">
    <w:name w:val="hgkelc"/>
    <w:basedOn w:val="Policepardfaut"/>
    <w:rsid w:val="00F8123D"/>
  </w:style>
  <w:style w:type="character" w:customStyle="1" w:styleId="markedcontent">
    <w:name w:val="markedcontent"/>
    <w:basedOn w:val="Policepardfaut"/>
    <w:rsid w:val="00F8123D"/>
  </w:style>
  <w:style w:type="character" w:customStyle="1" w:styleId="Titre5Car">
    <w:name w:val="Titre 5 Car"/>
    <w:basedOn w:val="Policepardfaut"/>
    <w:link w:val="Titre5"/>
    <w:uiPriority w:val="9"/>
    <w:semiHidden/>
    <w:rsid w:val="00C84611"/>
    <w:rPr>
      <w:rFonts w:asciiTheme="majorHAnsi" w:eastAsiaTheme="majorEastAsia" w:hAnsiTheme="majorHAnsi" w:cstheme="majorBidi"/>
      <w:color w:val="2F5496" w:themeColor="accent1" w:themeShade="BF"/>
    </w:rPr>
  </w:style>
  <w:style w:type="paragraph" w:styleId="Bibliographie">
    <w:name w:val="Bibliography"/>
    <w:basedOn w:val="Normal"/>
    <w:next w:val="Normal"/>
    <w:uiPriority w:val="37"/>
    <w:unhideWhenUsed/>
    <w:rsid w:val="00C84611"/>
    <w:pPr>
      <w:spacing w:after="0" w:line="240" w:lineRule="auto"/>
    </w:pPr>
    <w:rPr>
      <w:rFonts w:ascii="Times New Roman" w:eastAsia="Times New Roman" w:hAnsi="Times New Roman" w:cs="Times New Roman"/>
      <w:sz w:val="24"/>
      <w:szCs w:val="24"/>
      <w:lang w:val="fr-FR" w:eastAsia="fr-FR"/>
    </w:rPr>
  </w:style>
  <w:style w:type="character" w:styleId="Accentuation">
    <w:name w:val="Emphasis"/>
    <w:basedOn w:val="Policepardfaut"/>
    <w:uiPriority w:val="20"/>
    <w:qFormat/>
    <w:rsid w:val="00C84611"/>
    <w:rPr>
      <w:i/>
      <w:iCs/>
    </w:rPr>
  </w:style>
  <w:style w:type="character" w:styleId="CitationHTML">
    <w:name w:val="HTML Cite"/>
    <w:basedOn w:val="Policepardfaut"/>
    <w:uiPriority w:val="99"/>
    <w:semiHidden/>
    <w:unhideWhenUsed/>
    <w:rsid w:val="00C8461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389428">
      <w:bodyDiv w:val="1"/>
      <w:marLeft w:val="0"/>
      <w:marRight w:val="0"/>
      <w:marTop w:val="0"/>
      <w:marBottom w:val="0"/>
      <w:divBdr>
        <w:top w:val="none" w:sz="0" w:space="0" w:color="auto"/>
        <w:left w:val="none" w:sz="0" w:space="0" w:color="auto"/>
        <w:bottom w:val="none" w:sz="0" w:space="0" w:color="auto"/>
        <w:right w:val="none" w:sz="0" w:space="0" w:color="auto"/>
      </w:divBdr>
    </w:div>
    <w:div w:id="326860129">
      <w:bodyDiv w:val="1"/>
      <w:marLeft w:val="0"/>
      <w:marRight w:val="0"/>
      <w:marTop w:val="0"/>
      <w:marBottom w:val="0"/>
      <w:divBdr>
        <w:top w:val="none" w:sz="0" w:space="0" w:color="auto"/>
        <w:left w:val="none" w:sz="0" w:space="0" w:color="auto"/>
        <w:bottom w:val="none" w:sz="0" w:space="0" w:color="auto"/>
        <w:right w:val="none" w:sz="0" w:space="0" w:color="auto"/>
      </w:divBdr>
      <w:divsChild>
        <w:div w:id="777332052">
          <w:marLeft w:val="0"/>
          <w:marRight w:val="0"/>
          <w:marTop w:val="0"/>
          <w:marBottom w:val="0"/>
          <w:divBdr>
            <w:top w:val="none" w:sz="0" w:space="0" w:color="auto"/>
            <w:left w:val="none" w:sz="0" w:space="0" w:color="auto"/>
            <w:bottom w:val="none" w:sz="0" w:space="0" w:color="auto"/>
            <w:right w:val="none" w:sz="0" w:space="0" w:color="auto"/>
          </w:divBdr>
          <w:divsChild>
            <w:div w:id="1329863146">
              <w:marLeft w:val="0"/>
              <w:marRight w:val="0"/>
              <w:marTop w:val="0"/>
              <w:marBottom w:val="0"/>
              <w:divBdr>
                <w:top w:val="none" w:sz="0" w:space="0" w:color="auto"/>
                <w:left w:val="none" w:sz="0" w:space="0" w:color="auto"/>
                <w:bottom w:val="none" w:sz="0" w:space="0" w:color="auto"/>
                <w:right w:val="none" w:sz="0" w:space="0" w:color="auto"/>
              </w:divBdr>
              <w:divsChild>
                <w:div w:id="1020669517">
                  <w:marLeft w:val="0"/>
                  <w:marRight w:val="0"/>
                  <w:marTop w:val="0"/>
                  <w:marBottom w:val="0"/>
                  <w:divBdr>
                    <w:top w:val="none" w:sz="0" w:space="0" w:color="auto"/>
                    <w:left w:val="none" w:sz="0" w:space="0" w:color="auto"/>
                    <w:bottom w:val="none" w:sz="0" w:space="0" w:color="auto"/>
                    <w:right w:val="none" w:sz="0" w:space="0" w:color="auto"/>
                  </w:divBdr>
                  <w:divsChild>
                    <w:div w:id="527060412">
                      <w:marLeft w:val="0"/>
                      <w:marRight w:val="0"/>
                      <w:marTop w:val="0"/>
                      <w:marBottom w:val="0"/>
                      <w:divBdr>
                        <w:top w:val="none" w:sz="0" w:space="0" w:color="auto"/>
                        <w:left w:val="none" w:sz="0" w:space="0" w:color="auto"/>
                        <w:bottom w:val="none" w:sz="0" w:space="0" w:color="auto"/>
                        <w:right w:val="none" w:sz="0" w:space="0" w:color="auto"/>
                      </w:divBdr>
                      <w:divsChild>
                        <w:div w:id="100230015">
                          <w:marLeft w:val="0"/>
                          <w:marRight w:val="0"/>
                          <w:marTop w:val="0"/>
                          <w:marBottom w:val="0"/>
                          <w:divBdr>
                            <w:top w:val="none" w:sz="0" w:space="0" w:color="auto"/>
                            <w:left w:val="none" w:sz="0" w:space="0" w:color="auto"/>
                            <w:bottom w:val="none" w:sz="0" w:space="0" w:color="auto"/>
                            <w:right w:val="none" w:sz="0" w:space="0" w:color="auto"/>
                          </w:divBdr>
                        </w:div>
                      </w:divsChild>
                    </w:div>
                    <w:div w:id="1888837537">
                      <w:marLeft w:val="0"/>
                      <w:marRight w:val="0"/>
                      <w:marTop w:val="0"/>
                      <w:marBottom w:val="0"/>
                      <w:divBdr>
                        <w:top w:val="none" w:sz="0" w:space="0" w:color="auto"/>
                        <w:left w:val="none" w:sz="0" w:space="0" w:color="auto"/>
                        <w:bottom w:val="none" w:sz="0" w:space="0" w:color="auto"/>
                        <w:right w:val="none" w:sz="0" w:space="0" w:color="auto"/>
                      </w:divBdr>
                      <w:divsChild>
                        <w:div w:id="1007710035">
                          <w:marLeft w:val="0"/>
                          <w:marRight w:val="0"/>
                          <w:marTop w:val="0"/>
                          <w:marBottom w:val="0"/>
                          <w:divBdr>
                            <w:top w:val="none" w:sz="0" w:space="0" w:color="auto"/>
                            <w:left w:val="none" w:sz="0" w:space="0" w:color="auto"/>
                            <w:bottom w:val="none" w:sz="0" w:space="0" w:color="auto"/>
                            <w:right w:val="none" w:sz="0" w:space="0" w:color="auto"/>
                          </w:divBdr>
                        </w:div>
                      </w:divsChild>
                    </w:div>
                    <w:div w:id="1865171076">
                      <w:marLeft w:val="0"/>
                      <w:marRight w:val="0"/>
                      <w:marTop w:val="0"/>
                      <w:marBottom w:val="0"/>
                      <w:divBdr>
                        <w:top w:val="none" w:sz="0" w:space="0" w:color="auto"/>
                        <w:left w:val="none" w:sz="0" w:space="0" w:color="auto"/>
                        <w:bottom w:val="none" w:sz="0" w:space="0" w:color="auto"/>
                        <w:right w:val="none" w:sz="0" w:space="0" w:color="auto"/>
                      </w:divBdr>
                      <w:divsChild>
                        <w:div w:id="1471022120">
                          <w:marLeft w:val="0"/>
                          <w:marRight w:val="0"/>
                          <w:marTop w:val="0"/>
                          <w:marBottom w:val="0"/>
                          <w:divBdr>
                            <w:top w:val="none" w:sz="0" w:space="0" w:color="auto"/>
                            <w:left w:val="none" w:sz="0" w:space="0" w:color="auto"/>
                            <w:bottom w:val="none" w:sz="0" w:space="0" w:color="auto"/>
                            <w:right w:val="none" w:sz="0" w:space="0" w:color="auto"/>
                          </w:divBdr>
                        </w:div>
                      </w:divsChild>
                    </w:div>
                    <w:div w:id="750469549">
                      <w:marLeft w:val="0"/>
                      <w:marRight w:val="0"/>
                      <w:marTop w:val="0"/>
                      <w:marBottom w:val="0"/>
                      <w:divBdr>
                        <w:top w:val="none" w:sz="0" w:space="0" w:color="auto"/>
                        <w:left w:val="none" w:sz="0" w:space="0" w:color="auto"/>
                        <w:bottom w:val="none" w:sz="0" w:space="0" w:color="auto"/>
                        <w:right w:val="none" w:sz="0" w:space="0" w:color="auto"/>
                      </w:divBdr>
                      <w:divsChild>
                        <w:div w:id="815881080">
                          <w:marLeft w:val="0"/>
                          <w:marRight w:val="0"/>
                          <w:marTop w:val="0"/>
                          <w:marBottom w:val="0"/>
                          <w:divBdr>
                            <w:top w:val="none" w:sz="0" w:space="0" w:color="auto"/>
                            <w:left w:val="none" w:sz="0" w:space="0" w:color="auto"/>
                            <w:bottom w:val="none" w:sz="0" w:space="0" w:color="auto"/>
                            <w:right w:val="none" w:sz="0" w:space="0" w:color="auto"/>
                          </w:divBdr>
                        </w:div>
                      </w:divsChild>
                    </w:div>
                    <w:div w:id="1626616685">
                      <w:marLeft w:val="0"/>
                      <w:marRight w:val="0"/>
                      <w:marTop w:val="0"/>
                      <w:marBottom w:val="0"/>
                      <w:divBdr>
                        <w:top w:val="none" w:sz="0" w:space="0" w:color="auto"/>
                        <w:left w:val="none" w:sz="0" w:space="0" w:color="auto"/>
                        <w:bottom w:val="none" w:sz="0" w:space="0" w:color="auto"/>
                        <w:right w:val="none" w:sz="0" w:space="0" w:color="auto"/>
                      </w:divBdr>
                      <w:divsChild>
                        <w:div w:id="462357376">
                          <w:marLeft w:val="0"/>
                          <w:marRight w:val="0"/>
                          <w:marTop w:val="0"/>
                          <w:marBottom w:val="0"/>
                          <w:divBdr>
                            <w:top w:val="none" w:sz="0" w:space="0" w:color="auto"/>
                            <w:left w:val="none" w:sz="0" w:space="0" w:color="auto"/>
                            <w:bottom w:val="none" w:sz="0" w:space="0" w:color="auto"/>
                            <w:right w:val="none" w:sz="0" w:space="0" w:color="auto"/>
                          </w:divBdr>
                        </w:div>
                      </w:divsChild>
                    </w:div>
                    <w:div w:id="1289581896">
                      <w:marLeft w:val="0"/>
                      <w:marRight w:val="0"/>
                      <w:marTop w:val="0"/>
                      <w:marBottom w:val="0"/>
                      <w:divBdr>
                        <w:top w:val="none" w:sz="0" w:space="0" w:color="auto"/>
                        <w:left w:val="none" w:sz="0" w:space="0" w:color="auto"/>
                        <w:bottom w:val="none" w:sz="0" w:space="0" w:color="auto"/>
                        <w:right w:val="none" w:sz="0" w:space="0" w:color="auto"/>
                      </w:divBdr>
                      <w:divsChild>
                        <w:div w:id="51463161">
                          <w:marLeft w:val="0"/>
                          <w:marRight w:val="0"/>
                          <w:marTop w:val="0"/>
                          <w:marBottom w:val="0"/>
                          <w:divBdr>
                            <w:top w:val="none" w:sz="0" w:space="0" w:color="auto"/>
                            <w:left w:val="none" w:sz="0" w:space="0" w:color="auto"/>
                            <w:bottom w:val="none" w:sz="0" w:space="0" w:color="auto"/>
                            <w:right w:val="none" w:sz="0" w:space="0" w:color="auto"/>
                          </w:divBdr>
                        </w:div>
                      </w:divsChild>
                    </w:div>
                    <w:div w:id="1514297272">
                      <w:marLeft w:val="0"/>
                      <w:marRight w:val="0"/>
                      <w:marTop w:val="0"/>
                      <w:marBottom w:val="0"/>
                      <w:divBdr>
                        <w:top w:val="none" w:sz="0" w:space="0" w:color="auto"/>
                        <w:left w:val="none" w:sz="0" w:space="0" w:color="auto"/>
                        <w:bottom w:val="none" w:sz="0" w:space="0" w:color="auto"/>
                        <w:right w:val="none" w:sz="0" w:space="0" w:color="auto"/>
                      </w:divBdr>
                      <w:divsChild>
                        <w:div w:id="1973291982">
                          <w:marLeft w:val="0"/>
                          <w:marRight w:val="0"/>
                          <w:marTop w:val="0"/>
                          <w:marBottom w:val="0"/>
                          <w:divBdr>
                            <w:top w:val="none" w:sz="0" w:space="0" w:color="auto"/>
                            <w:left w:val="none" w:sz="0" w:space="0" w:color="auto"/>
                            <w:bottom w:val="none" w:sz="0" w:space="0" w:color="auto"/>
                            <w:right w:val="none" w:sz="0" w:space="0" w:color="auto"/>
                          </w:divBdr>
                        </w:div>
                      </w:divsChild>
                    </w:div>
                    <w:div w:id="1338994193">
                      <w:marLeft w:val="0"/>
                      <w:marRight w:val="0"/>
                      <w:marTop w:val="0"/>
                      <w:marBottom w:val="0"/>
                      <w:divBdr>
                        <w:top w:val="none" w:sz="0" w:space="0" w:color="auto"/>
                        <w:left w:val="none" w:sz="0" w:space="0" w:color="auto"/>
                        <w:bottom w:val="none" w:sz="0" w:space="0" w:color="auto"/>
                        <w:right w:val="none" w:sz="0" w:space="0" w:color="auto"/>
                      </w:divBdr>
                      <w:divsChild>
                        <w:div w:id="1481195386">
                          <w:marLeft w:val="0"/>
                          <w:marRight w:val="0"/>
                          <w:marTop w:val="0"/>
                          <w:marBottom w:val="0"/>
                          <w:divBdr>
                            <w:top w:val="none" w:sz="0" w:space="0" w:color="auto"/>
                            <w:left w:val="none" w:sz="0" w:space="0" w:color="auto"/>
                            <w:bottom w:val="none" w:sz="0" w:space="0" w:color="auto"/>
                            <w:right w:val="none" w:sz="0" w:space="0" w:color="auto"/>
                          </w:divBdr>
                        </w:div>
                      </w:divsChild>
                    </w:div>
                    <w:div w:id="559634953">
                      <w:marLeft w:val="0"/>
                      <w:marRight w:val="0"/>
                      <w:marTop w:val="0"/>
                      <w:marBottom w:val="0"/>
                      <w:divBdr>
                        <w:top w:val="none" w:sz="0" w:space="0" w:color="auto"/>
                        <w:left w:val="none" w:sz="0" w:space="0" w:color="auto"/>
                        <w:bottom w:val="none" w:sz="0" w:space="0" w:color="auto"/>
                        <w:right w:val="none" w:sz="0" w:space="0" w:color="auto"/>
                      </w:divBdr>
                      <w:divsChild>
                        <w:div w:id="427046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7606574">
      <w:bodyDiv w:val="1"/>
      <w:marLeft w:val="0"/>
      <w:marRight w:val="0"/>
      <w:marTop w:val="0"/>
      <w:marBottom w:val="0"/>
      <w:divBdr>
        <w:top w:val="none" w:sz="0" w:space="0" w:color="auto"/>
        <w:left w:val="none" w:sz="0" w:space="0" w:color="auto"/>
        <w:bottom w:val="none" w:sz="0" w:space="0" w:color="auto"/>
        <w:right w:val="none" w:sz="0" w:space="0" w:color="auto"/>
      </w:divBdr>
    </w:div>
    <w:div w:id="1465736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2-3278-1441" TargetMode="External"/><Relationship Id="rId13" Type="http://schemas.openxmlformats.org/officeDocument/2006/relationships/footer" Target="footer2.xml"/><Relationship Id="rId18" Type="http://schemas.openxmlformats.org/officeDocument/2006/relationships/image" Target="media/image8.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image" Target="media/image7.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mailto:soulelouche@gmail.co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hyperlink" Target="https://www.atrss.dz/ajhs" TargetMode="External"/><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3079</Words>
  <Characters>16938</Characters>
  <Application>Microsoft Office Word</Application>
  <DocSecurity>0</DocSecurity>
  <Lines>141</Lines>
  <Paragraphs>39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Meghit Boumediene Khaled</dc:creator>
  <cp:lastModifiedBy>Microsoft Office User</cp:lastModifiedBy>
  <cp:revision>2</cp:revision>
  <cp:lastPrinted>2019-03-06T21:57:00Z</cp:lastPrinted>
  <dcterms:created xsi:type="dcterms:W3CDTF">2023-01-15T21:08:00Z</dcterms:created>
  <dcterms:modified xsi:type="dcterms:W3CDTF">2023-01-15T21:08:00Z</dcterms:modified>
</cp:coreProperties>
</file>