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6282" w:rsidRPr="00CC3649" w:rsidRDefault="00E56282" w:rsidP="00CC3649">
      <w:pPr>
        <w:pStyle w:val="DocHead"/>
        <w:ind w:left="-119" w:right="-136" w:firstLine="119"/>
        <w:jc w:val="both"/>
        <w:rPr>
          <w:rFonts w:ascii="Garamond" w:hAnsi="Garamond"/>
          <w:sz w:val="20"/>
          <w:lang w:val="fr-FR"/>
        </w:rPr>
      </w:pPr>
      <w:r w:rsidRPr="00CC3649">
        <w:rPr>
          <w:rFonts w:ascii="Garamond" w:hAnsi="Garamond"/>
          <w:sz w:val="20"/>
          <w:lang w:val="fr-FR"/>
        </w:rPr>
        <w:t>Article</w:t>
      </w:r>
      <w:r w:rsidR="00365436" w:rsidRPr="00CC3649">
        <w:rPr>
          <w:rFonts w:ascii="Garamond" w:hAnsi="Garamond"/>
          <w:sz w:val="20"/>
          <w:lang w:val="fr-FR"/>
        </w:rPr>
        <w:t xml:space="preserve"> </w:t>
      </w:r>
      <w:r w:rsidR="00E21E5E" w:rsidRPr="00CC3649">
        <w:rPr>
          <w:rFonts w:ascii="Garamond" w:hAnsi="Garamond"/>
          <w:sz w:val="20"/>
          <w:lang w:val="fr-FR"/>
        </w:rPr>
        <w:t>Original</w:t>
      </w:r>
    </w:p>
    <w:p w:rsidR="00ED46E0" w:rsidRPr="006870B0" w:rsidRDefault="00ED46E0" w:rsidP="00CC3649">
      <w:pPr>
        <w:jc w:val="both"/>
        <w:rPr>
          <w:rFonts w:ascii="Garamond" w:hAnsi="Garamond"/>
          <w:b/>
          <w:bCs/>
          <w:sz w:val="32"/>
          <w:szCs w:val="32"/>
          <w:lang w:val="fr-FR"/>
        </w:rPr>
      </w:pPr>
      <w:proofErr w:type="spellStart"/>
      <w:r w:rsidRPr="006870B0">
        <w:rPr>
          <w:rFonts w:ascii="Garamond" w:hAnsi="Garamond"/>
          <w:b/>
          <w:bCs/>
          <w:sz w:val="32"/>
          <w:szCs w:val="32"/>
          <w:lang w:val="fr-FR"/>
        </w:rPr>
        <w:t>Mild</w:t>
      </w:r>
      <w:proofErr w:type="spellEnd"/>
      <w:r w:rsidRPr="006870B0">
        <w:rPr>
          <w:rFonts w:ascii="Garamond" w:hAnsi="Garamond"/>
          <w:b/>
          <w:bCs/>
          <w:sz w:val="32"/>
          <w:szCs w:val="32"/>
          <w:lang w:val="fr-FR"/>
        </w:rPr>
        <w:t xml:space="preserve"> Cognitive </w:t>
      </w:r>
      <w:proofErr w:type="spellStart"/>
      <w:r w:rsidRPr="006870B0">
        <w:rPr>
          <w:rFonts w:ascii="Garamond" w:hAnsi="Garamond"/>
          <w:b/>
          <w:bCs/>
          <w:sz w:val="32"/>
          <w:szCs w:val="32"/>
          <w:lang w:val="fr-FR"/>
        </w:rPr>
        <w:t>Impairment</w:t>
      </w:r>
      <w:proofErr w:type="spellEnd"/>
      <w:r w:rsidRPr="006870B0">
        <w:rPr>
          <w:rFonts w:ascii="Garamond" w:hAnsi="Garamond"/>
          <w:b/>
          <w:bCs/>
          <w:sz w:val="32"/>
          <w:szCs w:val="32"/>
          <w:lang w:val="fr-FR"/>
        </w:rPr>
        <w:t xml:space="preserve"> : </w:t>
      </w:r>
      <w:r w:rsidR="00F0280A" w:rsidRPr="006870B0">
        <w:rPr>
          <w:rFonts w:ascii="Garamond" w:hAnsi="Garamond"/>
          <w:b/>
          <w:bCs/>
          <w:sz w:val="32"/>
          <w:szCs w:val="32"/>
          <w:lang w:val="fr-FR"/>
        </w:rPr>
        <w:t>P</w:t>
      </w:r>
      <w:r w:rsidRPr="006870B0">
        <w:rPr>
          <w:rFonts w:ascii="Garamond" w:hAnsi="Garamond"/>
          <w:b/>
          <w:bCs/>
          <w:sz w:val="32"/>
          <w:szCs w:val="32"/>
          <w:lang w:val="fr-FR"/>
        </w:rPr>
        <w:t>rofil évolutif de 40 patients</w:t>
      </w:r>
    </w:p>
    <w:p w:rsidR="00D47305" w:rsidRPr="006870B0" w:rsidRDefault="00ED46E0" w:rsidP="0013017F">
      <w:pPr>
        <w:spacing w:before="240"/>
        <w:jc w:val="both"/>
        <w:rPr>
          <w:rFonts w:ascii="Garamond" w:hAnsi="Garamond"/>
          <w:i/>
          <w:iCs/>
          <w:sz w:val="32"/>
          <w:szCs w:val="32"/>
        </w:rPr>
      </w:pPr>
      <w:r w:rsidRPr="006870B0">
        <w:rPr>
          <w:rFonts w:ascii="Garamond" w:hAnsi="Garamond"/>
          <w:i/>
          <w:iCs/>
          <w:sz w:val="32"/>
          <w:szCs w:val="32"/>
        </w:rPr>
        <w:t xml:space="preserve">Mild Cognitive Impairment : </w:t>
      </w:r>
      <w:r w:rsidR="00F0280A" w:rsidRPr="006870B0">
        <w:rPr>
          <w:rFonts w:ascii="Garamond" w:hAnsi="Garamond"/>
          <w:i/>
          <w:iCs/>
          <w:sz w:val="32"/>
          <w:szCs w:val="32"/>
        </w:rPr>
        <w:t>E</w:t>
      </w:r>
      <w:r w:rsidRPr="006870B0">
        <w:rPr>
          <w:rFonts w:ascii="Garamond" w:hAnsi="Garamond"/>
          <w:i/>
          <w:iCs/>
          <w:sz w:val="32"/>
          <w:szCs w:val="32"/>
        </w:rPr>
        <w:t>volutionary profile of 40 patients</w:t>
      </w:r>
      <w:r w:rsidR="00D47305" w:rsidRPr="006870B0">
        <w:rPr>
          <w:rFonts w:ascii="Garamond" w:hAnsi="Garamond"/>
          <w:i/>
          <w:iCs/>
          <w:sz w:val="32"/>
          <w:szCs w:val="32"/>
        </w:rPr>
        <w:t xml:space="preserve"> </w:t>
      </w:r>
    </w:p>
    <w:p w:rsidR="00CC3649" w:rsidRPr="0013017F" w:rsidRDefault="00ED46E0" w:rsidP="0013017F">
      <w:pPr>
        <w:pStyle w:val="Els-Affiliation"/>
        <w:pBdr>
          <w:bottom w:val="single" w:sz="2" w:space="12" w:color="auto"/>
        </w:pBdr>
        <w:spacing w:before="240"/>
        <w:jc w:val="both"/>
        <w:rPr>
          <w:rFonts w:ascii="Garamond" w:hAnsi="Garamond"/>
          <w:sz w:val="20"/>
          <w:vertAlign w:val="superscript"/>
          <w:lang w:val="fr-FR"/>
        </w:rPr>
      </w:pPr>
      <w:r w:rsidRPr="00CC3649">
        <w:rPr>
          <w:rFonts w:ascii="Garamond" w:hAnsi="Garamond"/>
          <w:sz w:val="20"/>
          <w:lang w:val="fr-FR"/>
        </w:rPr>
        <w:t>Kediha Mohamed Isla</w:t>
      </w:r>
      <w:r w:rsidR="0013017F" w:rsidRPr="00A666A6">
        <w:rPr>
          <w:rFonts w:eastAsia="Times New Roman"/>
          <w:lang w:eastAsia="fr-FR"/>
        </w:rPr>
        <w:fldChar w:fldCharType="begin"/>
      </w:r>
      <w:r w:rsidR="0013017F" w:rsidRPr="00A666A6">
        <w:rPr>
          <w:rFonts w:eastAsia="Times New Roman"/>
          <w:lang w:val="fr-FR" w:eastAsia="fr-FR"/>
        </w:rPr>
        <w:instrText xml:space="preserve"> INCLUDEPICTURE "/var/folders/qz/tg5nzp2n6mx9rgbvp751l2f40000gn/T/com.microsoft.Word/WebArchiveCopyPasteTempFiles/2048px-ORCID_iD.svg.png" \* MERGEFORMATINET </w:instrText>
      </w:r>
      <w:r w:rsidR="0013017F" w:rsidRPr="00A666A6">
        <w:rPr>
          <w:rFonts w:eastAsia="Times New Roman"/>
          <w:lang w:eastAsia="fr-FR"/>
        </w:rPr>
        <w:fldChar w:fldCharType="separate"/>
      </w:r>
      <w:r w:rsidR="0013017F" w:rsidRPr="00A666A6">
        <w:rPr>
          <w:rFonts w:eastAsia="Times New Roman"/>
          <w:lang w:eastAsia="fr-FR"/>
        </w:rPr>
        <w:drawing>
          <wp:inline distT="0" distB="0" distL="0" distR="0" wp14:anchorId="2AB0A81E" wp14:editId="562E6169">
            <wp:extent cx="156411" cy="156411"/>
            <wp:effectExtent l="0" t="0" r="0" b="0"/>
            <wp:docPr id="2" name="Image 2" descr="ملف:ORCID iD.svg - ويكيبيديا">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ملف:ORCID iD.svg - ويكيبيديا">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962" cy="166962"/>
                    </a:xfrm>
                    <a:prstGeom prst="rect">
                      <a:avLst/>
                    </a:prstGeom>
                    <a:noFill/>
                    <a:ln>
                      <a:noFill/>
                    </a:ln>
                  </pic:spPr>
                </pic:pic>
              </a:graphicData>
            </a:graphic>
          </wp:inline>
        </w:drawing>
      </w:r>
      <w:r w:rsidR="0013017F" w:rsidRPr="00A666A6">
        <w:rPr>
          <w:rFonts w:eastAsia="Times New Roman"/>
          <w:lang w:eastAsia="fr-FR"/>
        </w:rPr>
        <w:fldChar w:fldCharType="end"/>
      </w:r>
      <w:r w:rsidRPr="00CC3649">
        <w:rPr>
          <w:rFonts w:ascii="Garamond" w:hAnsi="Garamond"/>
          <w:sz w:val="20"/>
          <w:lang w:val="fr-FR"/>
        </w:rPr>
        <w:t>m</w:t>
      </w:r>
      <w:r w:rsidR="00E21E5E" w:rsidRPr="00CC3649">
        <w:rPr>
          <w:rFonts w:ascii="Garamond" w:hAnsi="Garamond"/>
          <w:sz w:val="20"/>
          <w:vertAlign w:val="superscript"/>
          <w:lang w:val="fr-FR"/>
        </w:rPr>
        <w:t>1</w:t>
      </w:r>
      <w:r w:rsidRPr="00CC3649">
        <w:rPr>
          <w:rFonts w:ascii="Garamond" w:hAnsi="Garamond"/>
          <w:sz w:val="20"/>
          <w:lang w:val="fr-FR"/>
        </w:rPr>
        <w:t>,Belarbi Soreya</w:t>
      </w:r>
      <w:r w:rsidR="00E21E5E" w:rsidRPr="00CC3649">
        <w:rPr>
          <w:rFonts w:ascii="Garamond" w:hAnsi="Garamond"/>
          <w:sz w:val="20"/>
          <w:vertAlign w:val="superscript"/>
          <w:lang w:val="fr-FR"/>
        </w:rPr>
        <w:t>2</w:t>
      </w:r>
      <w:r w:rsidRPr="00CC3649">
        <w:rPr>
          <w:rFonts w:ascii="Garamond" w:hAnsi="Garamond"/>
          <w:sz w:val="20"/>
          <w:lang w:val="fr-FR"/>
        </w:rPr>
        <w:t>, Mostefaoui Farida</w:t>
      </w:r>
      <w:r w:rsidR="00E21E5E" w:rsidRPr="00CC3649">
        <w:rPr>
          <w:rFonts w:ascii="Garamond" w:hAnsi="Garamond"/>
          <w:sz w:val="20"/>
          <w:vertAlign w:val="superscript"/>
          <w:lang w:val="fr-FR"/>
        </w:rPr>
        <w:t>1</w:t>
      </w:r>
      <w:r w:rsidRPr="00CC3649">
        <w:rPr>
          <w:rFonts w:ascii="Garamond" w:hAnsi="Garamond"/>
          <w:sz w:val="20"/>
          <w:lang w:val="fr-FR"/>
        </w:rPr>
        <w:t>, Lamia Ali Pacha</w:t>
      </w:r>
      <w:r w:rsidRPr="00CC3649">
        <w:rPr>
          <w:rFonts w:ascii="Garamond" w:hAnsi="Garamond"/>
          <w:sz w:val="20"/>
          <w:vertAlign w:val="superscript"/>
          <w:lang w:val="fr-FR"/>
        </w:rPr>
        <w:t>1</w:t>
      </w:r>
      <w:r w:rsidRPr="00CC3649">
        <w:rPr>
          <w:rFonts w:ascii="Garamond" w:hAnsi="Garamond"/>
          <w:sz w:val="20"/>
          <w:lang w:val="fr-FR"/>
        </w:rPr>
        <w:t xml:space="preserve"> </w:t>
      </w:r>
    </w:p>
    <w:p w:rsidR="00E21E5E" w:rsidRPr="00CC3649" w:rsidRDefault="00E21E5E" w:rsidP="0013017F">
      <w:pPr>
        <w:pStyle w:val="Els-Affiliation"/>
        <w:pBdr>
          <w:bottom w:val="single" w:sz="2" w:space="12" w:color="auto"/>
        </w:pBdr>
        <w:jc w:val="both"/>
        <w:rPr>
          <w:rFonts w:ascii="Garamond" w:hAnsi="Garamond"/>
          <w:sz w:val="20"/>
          <w:lang w:val="fr-FR"/>
        </w:rPr>
      </w:pPr>
      <w:r w:rsidRPr="00CC3649">
        <w:rPr>
          <w:rFonts w:ascii="Garamond" w:hAnsi="Garamond"/>
          <w:sz w:val="20"/>
          <w:vertAlign w:val="superscript"/>
          <w:lang w:val="fr-FR"/>
        </w:rPr>
        <w:t xml:space="preserve">1 </w:t>
      </w:r>
      <w:r w:rsidR="00ED46E0" w:rsidRPr="00CC3649">
        <w:rPr>
          <w:rFonts w:ascii="Garamond" w:hAnsi="Garamond"/>
          <w:sz w:val="20"/>
          <w:lang w:val="fr-FR"/>
        </w:rPr>
        <w:t xml:space="preserve">ServiceNeurologie CHU Mustapha Bacha Alger </w:t>
      </w:r>
    </w:p>
    <w:p w:rsidR="00E21E5E" w:rsidRPr="00CC3649" w:rsidRDefault="00E21E5E" w:rsidP="00CC3649">
      <w:pPr>
        <w:pStyle w:val="Els-Affiliation"/>
        <w:pBdr>
          <w:bottom w:val="single" w:sz="2" w:space="12" w:color="auto"/>
        </w:pBdr>
        <w:jc w:val="both"/>
        <w:rPr>
          <w:rFonts w:ascii="Garamond" w:hAnsi="Garamond"/>
          <w:sz w:val="20"/>
          <w:lang w:val="fr-FR"/>
        </w:rPr>
      </w:pPr>
      <w:r w:rsidRPr="00CC3649">
        <w:rPr>
          <w:rFonts w:ascii="Garamond" w:hAnsi="Garamond"/>
          <w:sz w:val="20"/>
          <w:vertAlign w:val="superscript"/>
          <w:lang w:val="fr-FR"/>
        </w:rPr>
        <w:t xml:space="preserve">2 </w:t>
      </w:r>
      <w:r w:rsidR="00ED46E0" w:rsidRPr="00CC3649">
        <w:rPr>
          <w:rFonts w:ascii="Garamond" w:hAnsi="Garamond"/>
          <w:sz w:val="20"/>
          <w:lang w:val="fr-FR"/>
        </w:rPr>
        <w:t xml:space="preserve">Service Neurologie EHS Ali Ait Idir Alger </w:t>
      </w:r>
    </w:p>
    <w:p w:rsidR="00E21E5E" w:rsidRPr="00CC3649" w:rsidRDefault="00E21E5E" w:rsidP="00CC3649">
      <w:pPr>
        <w:jc w:val="both"/>
        <w:rPr>
          <w:rFonts w:ascii="Garamond" w:eastAsia="SimSun" w:hAnsi="Garamond" w:cs="Times New Roman"/>
          <w:b/>
          <w:bCs/>
          <w:smallCaps/>
          <w:sz w:val="20"/>
          <w:szCs w:val="20"/>
          <w:lang w:val="fr-FR"/>
        </w:rPr>
      </w:pPr>
      <w:r w:rsidRPr="00CC3649">
        <w:rPr>
          <w:rFonts w:ascii="Garamond" w:eastAsia="SimSun" w:hAnsi="Garamond" w:cs="Times New Roman"/>
          <w:b/>
          <w:bCs/>
          <w:smallCaps/>
          <w:sz w:val="20"/>
          <w:szCs w:val="20"/>
          <w:lang w:val="fr-FR"/>
        </w:rPr>
        <w:t>Résumé</w:t>
      </w:r>
    </w:p>
    <w:p w:rsidR="00E21E5E" w:rsidRPr="006870B0" w:rsidRDefault="00487AD7" w:rsidP="006870B0">
      <w:pPr>
        <w:tabs>
          <w:tab w:val="left" w:pos="2268"/>
        </w:tabs>
        <w:jc w:val="both"/>
        <w:rPr>
          <w:rFonts w:ascii="Garamond" w:hAnsi="Garamond" w:cstheme="majorBidi"/>
          <w:sz w:val="20"/>
          <w:szCs w:val="20"/>
          <w:lang w:val="fr-FR"/>
        </w:rPr>
      </w:pPr>
      <w:r w:rsidRPr="00CC3649">
        <w:rPr>
          <w:rFonts w:ascii="Garamond" w:hAnsi="Garamond" w:cstheme="majorBidi"/>
          <w:b/>
          <w:bCs/>
          <w:sz w:val="20"/>
          <w:szCs w:val="20"/>
          <w:lang w:val="fr-FR"/>
        </w:rPr>
        <w:t xml:space="preserve">Introduction :  </w:t>
      </w:r>
      <w:r w:rsidR="00CC3649" w:rsidRPr="00CC3649">
        <w:rPr>
          <w:rFonts w:ascii="Garamond" w:hAnsi="Garamond" w:cstheme="majorBidi"/>
          <w:sz w:val="20"/>
          <w:szCs w:val="20"/>
          <w:lang w:val="fr-FR"/>
        </w:rPr>
        <w:t>Les patients présentant</w:t>
      </w:r>
      <w:r w:rsidR="00CC3649" w:rsidRPr="00CC3649">
        <w:rPr>
          <w:rFonts w:ascii="Garamond" w:hAnsi="Garamond" w:cstheme="majorBidi"/>
          <w:sz w:val="20"/>
          <w:szCs w:val="20"/>
          <w:lang w:val="fr-FR"/>
        </w:rPr>
        <w:t xml:space="preserve"> </w:t>
      </w:r>
      <w:r w:rsidR="00CC3649" w:rsidRPr="00CC3649">
        <w:rPr>
          <w:rFonts w:ascii="Garamond" w:hAnsi="Garamond" w:cstheme="majorBidi"/>
          <w:sz w:val="20"/>
          <w:szCs w:val="20"/>
          <w:lang w:val="fr-FR"/>
        </w:rPr>
        <w:t xml:space="preserve">un état pré démentiel ou </w:t>
      </w:r>
      <w:proofErr w:type="spellStart"/>
      <w:r w:rsidR="00CC3649" w:rsidRPr="00CC3649">
        <w:rPr>
          <w:rFonts w:ascii="Garamond" w:hAnsi="Garamond" w:cstheme="majorBidi"/>
          <w:sz w:val="20"/>
          <w:szCs w:val="20"/>
          <w:lang w:val="fr-FR"/>
        </w:rPr>
        <w:t>Mild</w:t>
      </w:r>
      <w:proofErr w:type="spellEnd"/>
      <w:r w:rsidR="00CC3649" w:rsidRPr="00CC3649">
        <w:rPr>
          <w:rFonts w:ascii="Garamond" w:hAnsi="Garamond" w:cstheme="majorBidi"/>
          <w:sz w:val="20"/>
          <w:szCs w:val="20"/>
          <w:lang w:val="fr-FR"/>
        </w:rPr>
        <w:t xml:space="preserve"> cognitive </w:t>
      </w:r>
      <w:proofErr w:type="spellStart"/>
      <w:r w:rsidR="00CC3649" w:rsidRPr="00CC3649">
        <w:rPr>
          <w:rFonts w:ascii="Garamond" w:hAnsi="Garamond" w:cstheme="majorBidi"/>
          <w:sz w:val="20"/>
          <w:szCs w:val="20"/>
          <w:lang w:val="fr-FR"/>
        </w:rPr>
        <w:t>impairment</w:t>
      </w:r>
      <w:proofErr w:type="spellEnd"/>
      <w:r w:rsidR="00CC3649" w:rsidRPr="00CC3649">
        <w:rPr>
          <w:rFonts w:ascii="Garamond" w:hAnsi="Garamond" w:cstheme="majorBidi"/>
          <w:sz w:val="20"/>
          <w:szCs w:val="20"/>
          <w:lang w:val="fr-FR"/>
        </w:rPr>
        <w:t xml:space="preserve"> (MCI)</w:t>
      </w:r>
      <w:r w:rsidR="00CC3649" w:rsidRPr="00CC3649">
        <w:rPr>
          <w:rFonts w:ascii="Garamond" w:hAnsi="Garamond" w:cstheme="majorBidi"/>
          <w:sz w:val="20"/>
          <w:szCs w:val="20"/>
          <w:lang w:val="fr-FR"/>
        </w:rPr>
        <w:t xml:space="preserve"> </w:t>
      </w:r>
      <w:r w:rsidR="00CC3649" w:rsidRPr="00CC3649">
        <w:rPr>
          <w:rFonts w:ascii="Garamond" w:hAnsi="Garamond" w:cstheme="majorBidi"/>
          <w:sz w:val="20"/>
          <w:szCs w:val="20"/>
          <w:lang w:val="fr-FR"/>
        </w:rPr>
        <w:t>ont une plainte</w:t>
      </w:r>
      <w:r w:rsidR="00CC3649" w:rsidRPr="00CC3649">
        <w:rPr>
          <w:rFonts w:ascii="Garamond" w:hAnsi="Garamond" w:cstheme="majorBidi"/>
          <w:sz w:val="20"/>
          <w:szCs w:val="20"/>
          <w:lang w:val="fr-FR"/>
        </w:rPr>
        <w:t xml:space="preserve">  </w:t>
      </w:r>
      <w:r w:rsidRPr="00CC3649">
        <w:rPr>
          <w:rFonts w:ascii="Garamond" w:hAnsi="Garamond" w:cstheme="majorBidi"/>
          <w:b/>
          <w:bCs/>
          <w:sz w:val="20"/>
          <w:szCs w:val="20"/>
          <w:lang w:val="fr-FR"/>
        </w:rPr>
        <w:t xml:space="preserve">                                                                                                                                                                      </w:t>
      </w:r>
      <w:r w:rsidRPr="00CC3649">
        <w:rPr>
          <w:rFonts w:ascii="Garamond" w:hAnsi="Garamond" w:cstheme="majorBidi"/>
          <w:sz w:val="20"/>
          <w:szCs w:val="20"/>
          <w:lang w:val="fr-FR"/>
        </w:rPr>
        <w:t>mnésique avec un fonctionnement cognitif global normal et une autonomie préservée. Plusieurs cadres nosologiques évolutifs sont possibles allant du vieillissement cognitif normal, passant par le MCI dit stable et  jusqu’aux</w:t>
      </w:r>
      <w:r w:rsidR="00CC3649" w:rsidRPr="00CC3649">
        <w:rPr>
          <w:rFonts w:ascii="Garamond" w:hAnsi="Garamond" w:cstheme="majorBidi"/>
          <w:sz w:val="20"/>
          <w:szCs w:val="20"/>
          <w:lang w:val="fr-FR"/>
        </w:rPr>
        <w:t xml:space="preserve"> </w:t>
      </w:r>
      <w:r w:rsidRPr="00CC3649">
        <w:rPr>
          <w:rFonts w:ascii="Garamond" w:hAnsi="Garamond" w:cstheme="majorBidi"/>
          <w:sz w:val="20"/>
          <w:szCs w:val="20"/>
          <w:lang w:val="fr-FR"/>
        </w:rPr>
        <w:t xml:space="preserve">démences (dans les MCI dits instables). </w:t>
      </w:r>
      <w:r w:rsidR="00CC3649" w:rsidRPr="00CC3649">
        <w:rPr>
          <w:rFonts w:ascii="Garamond" w:hAnsi="Garamond" w:cstheme="majorBidi"/>
          <w:sz w:val="20"/>
          <w:szCs w:val="20"/>
          <w:lang w:val="fr-FR"/>
        </w:rPr>
        <w:t>L’objectif de ce travail est d’apprécier les différents profils évolutifs de patients MCI, afin d’instaurer une prise en charge le plus précocement possible.</w:t>
      </w:r>
      <w:r w:rsidR="00CC3649" w:rsidRPr="00CC3649">
        <w:rPr>
          <w:rFonts w:ascii="Garamond" w:hAnsi="Garamond" w:cstheme="majorBidi"/>
          <w:sz w:val="20"/>
          <w:szCs w:val="20"/>
          <w:lang w:val="fr-FR"/>
        </w:rPr>
        <w:t xml:space="preserve"> </w:t>
      </w:r>
      <w:r w:rsidR="00CC3649" w:rsidRPr="00CC3649">
        <w:rPr>
          <w:rFonts w:ascii="Garamond" w:hAnsi="Garamond" w:cstheme="majorBidi"/>
          <w:b/>
          <w:bCs/>
          <w:sz w:val="20"/>
          <w:szCs w:val="20"/>
          <w:lang w:val="fr-FR"/>
        </w:rPr>
        <w:t>Matériel et méthodes :</w:t>
      </w:r>
      <w:r w:rsidR="00CC3649" w:rsidRPr="00CC3649">
        <w:rPr>
          <w:rFonts w:ascii="Garamond" w:hAnsi="Garamond" w:cstheme="majorBidi"/>
          <w:sz w:val="20"/>
          <w:szCs w:val="20"/>
          <w:lang w:val="fr-FR"/>
        </w:rPr>
        <w:t xml:space="preserve"> il s’agit d’une é</w:t>
      </w:r>
      <w:r w:rsidR="00CC3649" w:rsidRPr="00CC3649">
        <w:rPr>
          <w:rFonts w:ascii="Garamond" w:hAnsi="Garamond" w:cstheme="majorBidi"/>
          <w:sz w:val="20"/>
          <w:szCs w:val="20"/>
          <w:lang w:val="fr-FR"/>
        </w:rPr>
        <w:t>tude rétrospective</w:t>
      </w:r>
      <w:r w:rsidR="00CC3649" w:rsidRPr="00CC3649">
        <w:rPr>
          <w:rFonts w:ascii="Garamond" w:hAnsi="Garamond" w:cstheme="majorBidi"/>
          <w:sz w:val="20"/>
          <w:szCs w:val="20"/>
          <w:lang w:val="fr-FR"/>
        </w:rPr>
        <w:t xml:space="preserve"> </w:t>
      </w:r>
      <w:r w:rsidR="00CC3649" w:rsidRPr="00CC3649">
        <w:rPr>
          <w:rFonts w:ascii="Garamond" w:hAnsi="Garamond" w:cstheme="majorBidi"/>
          <w:sz w:val="20"/>
          <w:szCs w:val="20"/>
          <w:lang w:val="fr-FR"/>
        </w:rPr>
        <w:t>avec analyse des données démographiques, mesure des fonctions cognitives.</w:t>
      </w:r>
      <w:r w:rsidR="00CC3649" w:rsidRPr="00CC3649">
        <w:rPr>
          <w:rFonts w:ascii="Garamond" w:hAnsi="Garamond" w:cstheme="majorBidi"/>
          <w:sz w:val="20"/>
          <w:szCs w:val="20"/>
          <w:lang w:val="fr-FR"/>
        </w:rPr>
        <w:t xml:space="preserve"> </w:t>
      </w:r>
      <w:r w:rsidR="00CC3649" w:rsidRPr="00CC3649">
        <w:rPr>
          <w:rFonts w:ascii="Garamond" w:hAnsi="Garamond" w:cstheme="majorBidi"/>
          <w:sz w:val="20"/>
          <w:szCs w:val="20"/>
          <w:lang w:val="fr-FR"/>
        </w:rPr>
        <w:t xml:space="preserve">Cette mesure ayant été </w:t>
      </w:r>
      <w:r w:rsidRPr="00CC3649">
        <w:rPr>
          <w:rFonts w:ascii="Garamond" w:hAnsi="Garamond" w:cstheme="majorBidi"/>
          <w:sz w:val="20"/>
          <w:szCs w:val="20"/>
          <w:lang w:val="fr-FR"/>
        </w:rPr>
        <w:t xml:space="preserve">pratiquée au moment du diagnostic et à plusieurs reprises lors du suivi évolutif sur 5 ans. Un examen neurologique détaillé ainsi qu’un bilan para clinique exhaustif (biologique et radiologique) ont également été pratiqués.6 patients ont bénéficié d’une ponction lombaire avec étude des bio marqueurs de la maladie d’Alzheimer. </w:t>
      </w:r>
      <w:r w:rsidRPr="00CC3649">
        <w:rPr>
          <w:rFonts w:ascii="Garamond" w:hAnsi="Garamond" w:cstheme="majorBidi"/>
          <w:b/>
          <w:bCs/>
          <w:sz w:val="20"/>
          <w:szCs w:val="20"/>
          <w:lang w:val="fr-FR"/>
        </w:rPr>
        <w:t>Résultats:</w:t>
      </w:r>
      <w:r w:rsidRPr="00CC3649">
        <w:rPr>
          <w:rFonts w:ascii="Garamond" w:hAnsi="Garamond" w:cstheme="majorBidi"/>
          <w:sz w:val="20"/>
          <w:szCs w:val="20"/>
          <w:lang w:val="fr-FR"/>
        </w:rPr>
        <w:t xml:space="preserve"> </w:t>
      </w:r>
      <w:r w:rsidR="00CC3649" w:rsidRPr="00CC3649">
        <w:rPr>
          <w:rFonts w:ascii="Garamond" w:hAnsi="Garamond" w:cstheme="majorBidi"/>
          <w:sz w:val="20"/>
          <w:szCs w:val="20"/>
          <w:lang w:val="fr-FR"/>
        </w:rPr>
        <w:t>quarante</w:t>
      </w:r>
      <w:r w:rsidRPr="00CC3649">
        <w:rPr>
          <w:rFonts w:ascii="Garamond" w:hAnsi="Garamond" w:cstheme="majorBidi"/>
          <w:sz w:val="20"/>
          <w:szCs w:val="20"/>
          <w:lang w:val="fr-FR"/>
        </w:rPr>
        <w:t xml:space="preserve"> patients étudiés, 11 (27.5%) ont gardé un MCI stable. 13 patients (32.5%) avaient une forme instable qui a évolué vers une démence. </w:t>
      </w:r>
      <w:r w:rsidR="00CC3649" w:rsidRPr="00CC3649">
        <w:rPr>
          <w:rFonts w:ascii="Garamond" w:hAnsi="Garamond" w:cstheme="majorBidi"/>
          <w:sz w:val="20"/>
          <w:szCs w:val="20"/>
          <w:lang w:val="fr-FR"/>
        </w:rPr>
        <w:t>Huit</w:t>
      </w:r>
      <w:r w:rsidRPr="00CC3649">
        <w:rPr>
          <w:rFonts w:ascii="Garamond" w:hAnsi="Garamond" w:cstheme="majorBidi"/>
          <w:sz w:val="20"/>
          <w:szCs w:val="20"/>
          <w:lang w:val="fr-FR"/>
        </w:rPr>
        <w:t xml:space="preserve"> patients (20%) un vieillissement cognitif normal, 3 (7.5%) un syndrome dépressif et 3 (7.5%) une forme vasculaire (VCI). 1 patient (2.5%) avait une carence en vitamine B12 et 1 (2.5%) une forme para néoplasique probable associée à une thyroïdite d’Hashimoto</w:t>
      </w:r>
      <w:r w:rsidR="00CC3649" w:rsidRPr="00CC3649">
        <w:rPr>
          <w:rFonts w:ascii="Garamond" w:hAnsi="Garamond" w:cstheme="majorBidi"/>
          <w:sz w:val="20"/>
          <w:szCs w:val="20"/>
          <w:lang w:val="fr-FR"/>
        </w:rPr>
        <w:t xml:space="preserve">. </w:t>
      </w:r>
      <w:r w:rsidRPr="00CC3649">
        <w:rPr>
          <w:rFonts w:ascii="Garamond" w:hAnsi="Garamond" w:cstheme="majorBidi"/>
          <w:b/>
          <w:bCs/>
          <w:sz w:val="20"/>
          <w:szCs w:val="20"/>
          <w:lang w:val="fr-FR"/>
        </w:rPr>
        <w:t>Conclusion :</w:t>
      </w:r>
      <w:r w:rsidRPr="00CC3649">
        <w:rPr>
          <w:rFonts w:ascii="Garamond" w:hAnsi="Garamond" w:cstheme="majorBidi"/>
          <w:sz w:val="20"/>
          <w:szCs w:val="20"/>
          <w:lang w:val="fr-FR"/>
        </w:rPr>
        <w:t xml:space="preserve"> Les résultats de cette série Algérienne démontrent l’hétérogénéité évolutive des patients MCI, et suscitent l’intérêt de les diagnostiquer précocement afin de proposer éventuellement une prise en charge précoce.</w:t>
      </w:r>
    </w:p>
    <w:p w:rsidR="00E674F5" w:rsidRDefault="00E21E5E" w:rsidP="006870B0">
      <w:pPr>
        <w:jc w:val="both"/>
        <w:rPr>
          <w:rFonts w:ascii="Garamond" w:eastAsia="SimSun" w:hAnsi="Garamond" w:cs="Times New Roman"/>
          <w:b/>
          <w:bCs/>
          <w:smallCaps/>
          <w:sz w:val="20"/>
          <w:szCs w:val="20"/>
          <w:lang w:val="fr-FR"/>
        </w:rPr>
      </w:pPr>
      <w:r w:rsidRPr="00CC3649">
        <w:rPr>
          <w:rFonts w:ascii="Garamond" w:eastAsia="SimSun" w:hAnsi="Garamond" w:cs="Times New Roman"/>
          <w:b/>
          <w:bCs/>
          <w:smallCaps/>
          <w:sz w:val="20"/>
          <w:szCs w:val="20"/>
          <w:lang w:val="fr-FR"/>
        </w:rPr>
        <w:t xml:space="preserve">Mots Clés: </w:t>
      </w:r>
      <w:r w:rsidR="00975891" w:rsidRPr="00CC3649">
        <w:rPr>
          <w:rFonts w:ascii="Garamond" w:hAnsi="Garamond" w:cstheme="majorBidi"/>
          <w:sz w:val="20"/>
          <w:szCs w:val="20"/>
          <w:lang w:val="fr-FR"/>
        </w:rPr>
        <w:t>MCI, cognition, démence, Alzheimer, biomarqueurs</w:t>
      </w:r>
    </w:p>
    <w:p w:rsidR="006870B0" w:rsidRPr="00CC3649" w:rsidRDefault="006870B0" w:rsidP="006870B0">
      <w:pPr>
        <w:jc w:val="both"/>
        <w:rPr>
          <w:rFonts w:ascii="Garamond" w:eastAsia="SimSun" w:hAnsi="Garamond" w:cs="Times New Roman"/>
          <w:b/>
          <w:bCs/>
          <w:smallCaps/>
          <w:sz w:val="20"/>
          <w:szCs w:val="20"/>
          <w:lang w:val="fr-FR"/>
        </w:rPr>
      </w:pPr>
    </w:p>
    <w:p w:rsidR="00E21E5E" w:rsidRPr="00CC3649" w:rsidRDefault="00E21E5E" w:rsidP="00CC3649">
      <w:pPr>
        <w:jc w:val="both"/>
        <w:rPr>
          <w:rFonts w:ascii="Garamond" w:hAnsi="Garamond" w:cstheme="majorBidi"/>
          <w:sz w:val="20"/>
          <w:szCs w:val="20"/>
        </w:rPr>
      </w:pPr>
      <w:r w:rsidRPr="00CC3649">
        <w:rPr>
          <w:rFonts w:ascii="Garamond" w:eastAsia="SimSun" w:hAnsi="Garamond" w:cs="Times New Roman"/>
          <w:b/>
          <w:bCs/>
          <w:smallCaps/>
          <w:sz w:val="20"/>
          <w:szCs w:val="20"/>
        </w:rPr>
        <w:t>A</w:t>
      </w:r>
      <w:r w:rsidR="00975891" w:rsidRPr="00CC3649">
        <w:rPr>
          <w:rFonts w:ascii="Garamond" w:eastAsia="SimSun" w:hAnsi="Garamond" w:cs="Times New Roman"/>
          <w:b/>
          <w:bCs/>
          <w:smallCaps/>
          <w:sz w:val="20"/>
          <w:szCs w:val="20"/>
        </w:rPr>
        <w:t xml:space="preserve"> </w:t>
      </w:r>
      <w:r w:rsidRPr="00CC3649">
        <w:rPr>
          <w:rFonts w:ascii="Garamond" w:eastAsia="SimSun" w:hAnsi="Garamond" w:cs="Times New Roman"/>
          <w:b/>
          <w:bCs/>
          <w:smallCaps/>
          <w:sz w:val="20"/>
          <w:szCs w:val="20"/>
        </w:rPr>
        <w:t>b s t r a c t</w:t>
      </w:r>
      <w:r w:rsidRPr="00CC3649">
        <w:rPr>
          <w:rFonts w:ascii="Garamond" w:hAnsi="Garamond" w:cstheme="majorBidi"/>
          <w:sz w:val="20"/>
          <w:szCs w:val="20"/>
        </w:rPr>
        <w:t xml:space="preserve">: </w:t>
      </w:r>
    </w:p>
    <w:p w:rsidR="00975891" w:rsidRPr="00CC3649" w:rsidRDefault="00975891" w:rsidP="00CC3649">
      <w:pPr>
        <w:tabs>
          <w:tab w:val="left" w:pos="2268"/>
        </w:tabs>
        <w:jc w:val="both"/>
        <w:rPr>
          <w:rFonts w:ascii="Garamond" w:hAnsi="Garamond" w:cstheme="majorBidi"/>
          <w:sz w:val="20"/>
          <w:szCs w:val="20"/>
        </w:rPr>
      </w:pPr>
      <w:r w:rsidRPr="00F963F2">
        <w:rPr>
          <w:rFonts w:ascii="Garamond" w:hAnsi="Garamond" w:cstheme="majorBidi"/>
          <w:b/>
          <w:bCs/>
          <w:sz w:val="20"/>
          <w:szCs w:val="20"/>
        </w:rPr>
        <w:t>Introduction:</w:t>
      </w:r>
      <w:r w:rsidRPr="00CC3649">
        <w:rPr>
          <w:rFonts w:ascii="Garamond" w:hAnsi="Garamond" w:cstheme="majorBidi"/>
          <w:sz w:val="20"/>
          <w:szCs w:val="20"/>
        </w:rPr>
        <w:t xml:space="preserve"> Patients with pre-dementia or mild cognitive impairment (MCI) have a memory complaint with normal global cognitive functioning and preserved autonomy. Several outcome frameworks are possible, from normal cognitive aging, through stable MCI, to dementia (in unstable MCI).  The aim of this work is to appreciate the different outcome profiles of MCI patients, in order to introduce care as early as possible</w:t>
      </w:r>
      <w:r w:rsidR="0013017F">
        <w:rPr>
          <w:rFonts w:ascii="Garamond" w:hAnsi="Garamond" w:cstheme="majorBidi"/>
          <w:sz w:val="20"/>
          <w:szCs w:val="20"/>
        </w:rPr>
        <w:t xml:space="preserve">. </w:t>
      </w:r>
      <w:r w:rsidRPr="00CC3649">
        <w:rPr>
          <w:rFonts w:ascii="Garamond" w:hAnsi="Garamond" w:cstheme="majorBidi"/>
          <w:sz w:val="20"/>
          <w:szCs w:val="20"/>
        </w:rPr>
        <w:t xml:space="preserve">                                                                                                                                              </w:t>
      </w:r>
      <w:r w:rsidRPr="00F963F2">
        <w:rPr>
          <w:rFonts w:ascii="Garamond" w:hAnsi="Garamond" w:cstheme="majorBidi"/>
          <w:b/>
          <w:bCs/>
          <w:sz w:val="20"/>
          <w:szCs w:val="20"/>
        </w:rPr>
        <w:t>Material and methods:</w:t>
      </w:r>
      <w:r w:rsidRPr="00CC3649">
        <w:rPr>
          <w:rFonts w:ascii="Garamond" w:hAnsi="Garamond" w:cstheme="majorBidi"/>
          <w:sz w:val="20"/>
          <w:szCs w:val="20"/>
        </w:rPr>
        <w:t xml:space="preserve"> Retrospective study with analysis of demographic data, assessment of cognitive functions. This measurement was performed at the time of diagnosis and several times during the 5-year follow-up. A detailed neurological examination as well as an exhaustive paraclinical assessment (biological and radiological) were also performed. 6 patients underwent a lumbar puncture with study of the biomarkers of Alzheimer's disease.                                                                                                                                              </w:t>
      </w:r>
      <w:r w:rsidRPr="00F963F2">
        <w:rPr>
          <w:rFonts w:ascii="Garamond" w:hAnsi="Garamond" w:cstheme="majorBidi"/>
          <w:b/>
          <w:bCs/>
          <w:sz w:val="20"/>
          <w:szCs w:val="20"/>
        </w:rPr>
        <w:t>Results:</w:t>
      </w:r>
      <w:r w:rsidRPr="00CC3649">
        <w:rPr>
          <w:rFonts w:ascii="Garamond" w:hAnsi="Garamond" w:cstheme="majorBidi"/>
          <w:sz w:val="20"/>
          <w:szCs w:val="20"/>
        </w:rPr>
        <w:t xml:space="preserve"> 40 patients studied, 11 (27.5%) had a stable MCI. 13 patients (32.5%) had an unstable form that evolved into dementia.</w:t>
      </w:r>
      <w:r w:rsidR="006702E7">
        <w:rPr>
          <w:rFonts w:ascii="Garamond" w:hAnsi="Garamond" w:cstheme="majorBidi"/>
          <w:sz w:val="20"/>
          <w:szCs w:val="20"/>
        </w:rPr>
        <w:t xml:space="preserve"> </w:t>
      </w:r>
      <w:proofErr w:type="spellStart"/>
      <w:r w:rsidR="006702E7">
        <w:rPr>
          <w:rFonts w:ascii="Garamond" w:hAnsi="Garamond" w:cstheme="majorBidi"/>
          <w:sz w:val="20"/>
          <w:szCs w:val="20"/>
        </w:rPr>
        <w:t>Huit</w:t>
      </w:r>
      <w:proofErr w:type="spellEnd"/>
      <w:r w:rsidRPr="00CC3649">
        <w:rPr>
          <w:rFonts w:ascii="Garamond" w:hAnsi="Garamond" w:cstheme="majorBidi"/>
          <w:sz w:val="20"/>
          <w:szCs w:val="20"/>
        </w:rPr>
        <w:t xml:space="preserve"> patients (20%) had normal cognitive aging, 3 (7.5%) a depressive syndrome and 3 (7.5%) a vascular form (VCI). 1 patient (2.5%) had a vitamin B12 deficiency and 1 (2.5%) a probable para-neoplastic form associated with </w:t>
      </w:r>
      <w:r w:rsidRPr="00CC3649">
        <w:rPr>
          <w:rFonts w:ascii="Garamond" w:hAnsi="Garamond" w:cstheme="majorBidi"/>
          <w:sz w:val="20"/>
          <w:szCs w:val="20"/>
        </w:rPr>
        <w:lastRenderedPageBreak/>
        <w:t>Hashimoto's thyroiditis</w:t>
      </w:r>
      <w:r w:rsidR="006702E7">
        <w:rPr>
          <w:rFonts w:ascii="Garamond" w:hAnsi="Garamond" w:cstheme="majorBidi"/>
          <w:sz w:val="20"/>
          <w:szCs w:val="20"/>
        </w:rPr>
        <w:t xml:space="preserve">. </w:t>
      </w:r>
      <w:r w:rsidRPr="00CC3649">
        <w:rPr>
          <w:rFonts w:ascii="Garamond" w:hAnsi="Garamond" w:cstheme="majorBidi"/>
          <w:sz w:val="20"/>
          <w:szCs w:val="20"/>
        </w:rPr>
        <w:t>Conclusion: The results of this Algerian series demonstrate the heterogeneity of the evolution of MCI patients, and raise the interest to diagnose them early in order to eventually propose an early management.</w:t>
      </w:r>
    </w:p>
    <w:p w:rsidR="00E56282" w:rsidRPr="00CC3649" w:rsidRDefault="00E56282" w:rsidP="00CC3649">
      <w:pPr>
        <w:spacing w:after="0"/>
        <w:jc w:val="both"/>
        <w:rPr>
          <w:rFonts w:ascii="Garamond" w:eastAsia="SimSun" w:hAnsi="Garamond" w:cs="Times New Roman"/>
          <w:smallCaps/>
          <w:sz w:val="20"/>
          <w:szCs w:val="20"/>
        </w:rPr>
      </w:pPr>
      <w:r w:rsidRPr="00CC3649">
        <w:rPr>
          <w:rFonts w:ascii="Garamond" w:eastAsia="SimSun" w:hAnsi="Garamond" w:cs="Times New Roman"/>
          <w:b/>
          <w:bCs/>
          <w:smallCaps/>
          <w:sz w:val="20"/>
          <w:szCs w:val="20"/>
        </w:rPr>
        <w:t xml:space="preserve">Keywords: </w:t>
      </w:r>
      <w:r w:rsidR="00975891" w:rsidRPr="00CC3649">
        <w:rPr>
          <w:rFonts w:ascii="Garamond" w:hAnsi="Garamond" w:cstheme="majorBidi"/>
          <w:sz w:val="20"/>
          <w:szCs w:val="20"/>
        </w:rPr>
        <w:t>MCI, cognition, dementia, Alzheimer, biomarkers</w:t>
      </w:r>
    </w:p>
    <w:p w:rsidR="00E56282" w:rsidRPr="00CC3649" w:rsidRDefault="00E56282" w:rsidP="00CC3649">
      <w:pPr>
        <w:spacing w:after="0" w:line="240" w:lineRule="auto"/>
        <w:jc w:val="both"/>
        <w:rPr>
          <w:rFonts w:ascii="Garamond" w:eastAsia="SimSun" w:hAnsi="Garamond" w:cs="Times New Roman"/>
          <w:b/>
          <w:bCs/>
          <w:smallCaps/>
          <w:sz w:val="20"/>
          <w:szCs w:val="20"/>
        </w:rPr>
      </w:pPr>
    </w:p>
    <w:p w:rsidR="00E56282" w:rsidRPr="00F963F2" w:rsidRDefault="00E56282" w:rsidP="00CC3649">
      <w:pPr>
        <w:pStyle w:val="Els-Abstract-text"/>
        <w:spacing w:before="0" w:line="240" w:lineRule="auto"/>
        <w:rPr>
          <w:rFonts w:ascii="Garamond" w:hAnsi="Garamond"/>
          <w:sz w:val="16"/>
          <w:szCs w:val="16"/>
        </w:rPr>
      </w:pPr>
    </w:p>
    <w:p w:rsidR="00FB76BB" w:rsidRPr="00F963F2" w:rsidRDefault="00FB76BB" w:rsidP="00CC3649">
      <w:pPr>
        <w:tabs>
          <w:tab w:val="center" w:pos="4706"/>
          <w:tab w:val="right" w:pos="9356"/>
          <w:tab w:val="right" w:pos="10080"/>
        </w:tabs>
        <w:spacing w:after="0" w:line="200" w:lineRule="exact"/>
        <w:jc w:val="both"/>
        <w:rPr>
          <w:rFonts w:ascii="Garamond" w:eastAsia="SimSun" w:hAnsi="Garamond" w:cs="Times New Roman"/>
          <w:noProof/>
          <w:sz w:val="16"/>
          <w:szCs w:val="16"/>
        </w:rPr>
        <w:sectPr w:rsidR="00FB76BB" w:rsidRPr="00F963F2" w:rsidSect="00D47305">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pPr>
    </w:p>
    <w:p w:rsidR="00E21E5E" w:rsidRPr="00F963F2" w:rsidRDefault="00E21E5E" w:rsidP="00CC3649">
      <w:pPr>
        <w:tabs>
          <w:tab w:val="center" w:pos="4706"/>
          <w:tab w:val="right" w:pos="9356"/>
          <w:tab w:val="right" w:pos="10080"/>
        </w:tabs>
        <w:spacing w:after="0" w:line="200" w:lineRule="exact"/>
        <w:jc w:val="both"/>
        <w:rPr>
          <w:rFonts w:ascii="Garamond" w:eastAsia="SimSun" w:hAnsi="Garamond" w:cs="Times New Roman"/>
          <w:noProof/>
          <w:sz w:val="16"/>
          <w:szCs w:val="16"/>
          <w:lang w:val="fr-FR"/>
        </w:rPr>
      </w:pPr>
      <w:r w:rsidRPr="00F963F2">
        <w:rPr>
          <w:rFonts w:ascii="Garamond" w:eastAsia="SimSun" w:hAnsi="Garamond" w:cs="Times New Roman"/>
          <w:noProof/>
          <w:sz w:val="16"/>
          <w:szCs w:val="16"/>
          <w:lang w:val="fr-FR"/>
        </w:rPr>
        <w:t>* Auteur Corredpondant</w:t>
      </w:r>
      <w:r w:rsidRPr="00F963F2">
        <w:rPr>
          <w:rFonts w:ascii="Garamond" w:eastAsia="SimSun" w:hAnsi="Garamond" w:cs="Times New Roman"/>
          <w:i/>
          <w:noProof/>
          <w:sz w:val="16"/>
          <w:szCs w:val="16"/>
          <w:lang w:val="fr-FR"/>
        </w:rPr>
        <w:t>.</w:t>
      </w:r>
      <w:r w:rsidRPr="00F963F2">
        <w:rPr>
          <w:rFonts w:ascii="Garamond" w:eastAsia="SimSun" w:hAnsi="Garamond" w:cs="Times New Roman"/>
          <w:noProof/>
          <w:sz w:val="16"/>
          <w:szCs w:val="16"/>
          <w:lang w:val="fr-FR"/>
        </w:rPr>
        <w:t xml:space="preserve"> </w:t>
      </w:r>
      <w:r w:rsidR="00F963F2" w:rsidRPr="00F963F2">
        <w:rPr>
          <w:rFonts w:ascii="Garamond" w:eastAsia="SimSun" w:hAnsi="Garamond" w:cs="Times New Roman"/>
          <w:noProof/>
          <w:sz w:val="16"/>
          <w:szCs w:val="16"/>
          <w:lang w:val="fr-FR"/>
        </w:rPr>
        <w:t xml:space="preserve">Tel : </w:t>
      </w:r>
      <w:r w:rsidRPr="00F963F2">
        <w:rPr>
          <w:rFonts w:ascii="Garamond" w:eastAsia="SimSun" w:hAnsi="Garamond" w:cs="Times New Roman"/>
          <w:noProof/>
          <w:sz w:val="16"/>
          <w:szCs w:val="16"/>
          <w:lang w:val="fr-FR"/>
        </w:rPr>
        <w:t>+0-</w:t>
      </w:r>
      <w:r w:rsidR="00F963F2" w:rsidRPr="00F963F2">
        <w:rPr>
          <w:rFonts w:ascii="Garamond" w:eastAsia="SimSun" w:hAnsi="Garamond" w:cs="Times New Roman"/>
          <w:noProof/>
          <w:sz w:val="16"/>
          <w:szCs w:val="16"/>
          <w:lang w:val="fr-FR"/>
        </w:rPr>
        <w:t>213</w:t>
      </w:r>
      <w:r w:rsidR="00FB76BB" w:rsidRPr="00F963F2">
        <w:rPr>
          <w:rFonts w:ascii="Garamond" w:eastAsia="SimSun" w:hAnsi="Garamond" w:cs="Times New Roman"/>
          <w:noProof/>
          <w:sz w:val="16"/>
          <w:szCs w:val="16"/>
          <w:lang w:val="fr-FR"/>
        </w:rPr>
        <w:t>-</w:t>
      </w:r>
      <w:r w:rsidR="00F963F2" w:rsidRPr="00F963F2">
        <w:rPr>
          <w:rFonts w:ascii="Garamond" w:hAnsi="Garamond"/>
          <w:sz w:val="16"/>
          <w:szCs w:val="16"/>
          <w:lang w:val="fr-FR"/>
        </w:rPr>
        <w:t>554775216</w:t>
      </w:r>
      <w:r w:rsidR="00FB76BB" w:rsidRPr="00F963F2">
        <w:rPr>
          <w:rFonts w:ascii="Garamond" w:eastAsia="SimSun" w:hAnsi="Garamond" w:cs="Times New Roman"/>
          <w:noProof/>
          <w:sz w:val="16"/>
          <w:szCs w:val="16"/>
          <w:lang w:val="fr-FR"/>
        </w:rPr>
        <w:tab/>
      </w:r>
      <w:r w:rsidRPr="00F963F2">
        <w:rPr>
          <w:rFonts w:ascii="Garamond" w:eastAsia="SimSun" w:hAnsi="Garamond" w:cs="Times New Roman"/>
          <w:noProof/>
          <w:sz w:val="16"/>
          <w:szCs w:val="16"/>
          <w:lang w:val="fr-FR"/>
        </w:rPr>
        <w:t xml:space="preserve">      </w:t>
      </w:r>
    </w:p>
    <w:p w:rsidR="00FB76BB" w:rsidRPr="00F963F2" w:rsidRDefault="00557B51" w:rsidP="00CC3649">
      <w:pPr>
        <w:jc w:val="both"/>
        <w:rPr>
          <w:rFonts w:ascii="Garamond" w:eastAsia="SimSun" w:hAnsi="Garamond" w:cs="Times New Roman"/>
          <w:color w:val="548DD4"/>
          <w:sz w:val="16"/>
          <w:szCs w:val="16"/>
          <w:u w:val="single"/>
          <w:lang w:val="fr-FR"/>
        </w:rPr>
      </w:pPr>
      <w:r w:rsidRPr="00F963F2">
        <w:rPr>
          <w:rFonts w:ascii="Garamond" w:eastAsia="SimSun" w:hAnsi="Garamond" w:cs="Times New Roman"/>
          <w:sz w:val="16"/>
          <w:szCs w:val="16"/>
          <w:lang w:val="fr-FR"/>
        </w:rPr>
        <w:t>A</w:t>
      </w:r>
      <w:r w:rsidR="00E21E5E" w:rsidRPr="00F963F2">
        <w:rPr>
          <w:rFonts w:ascii="Garamond" w:eastAsia="SimSun" w:hAnsi="Garamond" w:cs="Times New Roman"/>
          <w:sz w:val="16"/>
          <w:szCs w:val="16"/>
          <w:lang w:val="fr-FR"/>
        </w:rPr>
        <w:t xml:space="preserve">dresse E-mail: </w:t>
      </w:r>
      <w:hyperlink r:id="rId13" w:history="1">
        <w:r w:rsidR="00F963F2" w:rsidRPr="00F963F2">
          <w:rPr>
            <w:rStyle w:val="Lienhypertexte"/>
            <w:rFonts w:ascii="Garamond" w:hAnsi="Garamond"/>
            <w:szCs w:val="16"/>
            <w:lang w:val="fr-FR"/>
          </w:rPr>
          <w:t>kediha.islam@gmail.com</w:t>
        </w:r>
      </w:hyperlink>
    </w:p>
    <w:p w:rsidR="006870B0" w:rsidRPr="00F963F2" w:rsidRDefault="006870B0" w:rsidP="00CC3649">
      <w:pPr>
        <w:jc w:val="both"/>
        <w:rPr>
          <w:rFonts w:ascii="Garamond" w:eastAsia="SimSun" w:hAnsi="Garamond" w:cs="Times New Roman"/>
          <w:sz w:val="16"/>
          <w:szCs w:val="16"/>
          <w:lang w:val="fr-FR"/>
        </w:rPr>
      </w:pPr>
    </w:p>
    <w:p w:rsidR="00F963F2" w:rsidRDefault="00F963F2" w:rsidP="00CC3649">
      <w:pPr>
        <w:jc w:val="both"/>
        <w:rPr>
          <w:rFonts w:ascii="Garamond" w:eastAsia="SimSun" w:hAnsi="Garamond" w:cs="Times New Roman"/>
          <w:sz w:val="16"/>
          <w:szCs w:val="16"/>
          <w:lang w:val="fr-FR"/>
        </w:rPr>
      </w:pPr>
    </w:p>
    <w:p w:rsidR="00F963F2" w:rsidRDefault="00F963F2" w:rsidP="00CC3649">
      <w:pPr>
        <w:jc w:val="both"/>
        <w:rPr>
          <w:rFonts w:ascii="Garamond" w:eastAsia="SimSun" w:hAnsi="Garamond" w:cs="Times New Roman"/>
          <w:sz w:val="16"/>
          <w:szCs w:val="16"/>
          <w:lang w:val="fr-FR"/>
        </w:rPr>
      </w:pPr>
    </w:p>
    <w:p w:rsidR="00FB76BB" w:rsidRPr="00F963F2" w:rsidRDefault="00FB76BB" w:rsidP="00CC3649">
      <w:pPr>
        <w:jc w:val="both"/>
        <w:rPr>
          <w:rFonts w:ascii="Garamond" w:eastAsia="SimSun" w:hAnsi="Garamond" w:cs="Times New Roman"/>
          <w:sz w:val="16"/>
          <w:szCs w:val="16"/>
          <w:lang w:val="fr-FR"/>
        </w:rPr>
      </w:pPr>
      <w:r w:rsidRPr="00F963F2">
        <w:rPr>
          <w:rFonts w:ascii="Garamond" w:eastAsia="SimSun" w:hAnsi="Garamond" w:cs="Times New Roman"/>
          <w:sz w:val="16"/>
          <w:szCs w:val="16"/>
          <w:lang w:val="fr-FR"/>
        </w:rPr>
        <w:t>Date de sou</w:t>
      </w:r>
      <w:r w:rsidR="00557B51" w:rsidRPr="00F963F2">
        <w:rPr>
          <w:rFonts w:ascii="Garamond" w:eastAsia="SimSun" w:hAnsi="Garamond" w:cs="Times New Roman"/>
          <w:sz w:val="16"/>
          <w:szCs w:val="16"/>
          <w:lang w:val="fr-FR"/>
        </w:rPr>
        <w:t>m</w:t>
      </w:r>
      <w:r w:rsidRPr="00F963F2">
        <w:rPr>
          <w:rFonts w:ascii="Garamond" w:eastAsia="SimSun" w:hAnsi="Garamond" w:cs="Times New Roman"/>
          <w:sz w:val="16"/>
          <w:szCs w:val="16"/>
          <w:lang w:val="fr-FR"/>
        </w:rPr>
        <w:t>ission</w:t>
      </w:r>
      <w:r w:rsidR="00557B51" w:rsidRPr="00F963F2">
        <w:rPr>
          <w:rFonts w:ascii="Garamond" w:eastAsia="SimSun" w:hAnsi="Garamond" w:cs="Times New Roman"/>
          <w:sz w:val="16"/>
          <w:szCs w:val="16"/>
          <w:lang w:val="fr-FR"/>
        </w:rPr>
        <w:t> :</w:t>
      </w:r>
      <w:r w:rsidR="00505701">
        <w:rPr>
          <w:rFonts w:ascii="Garamond" w:eastAsia="SimSun" w:hAnsi="Garamond" w:cs="Times New Roman"/>
          <w:sz w:val="16"/>
          <w:szCs w:val="16"/>
          <w:lang w:val="fr-FR"/>
        </w:rPr>
        <w:t xml:space="preserve"> 25/06/2022</w:t>
      </w:r>
    </w:p>
    <w:p w:rsidR="00FB76BB" w:rsidRPr="00F963F2" w:rsidRDefault="00FB76BB" w:rsidP="00CC3649">
      <w:pPr>
        <w:jc w:val="both"/>
        <w:rPr>
          <w:rFonts w:ascii="Garamond" w:eastAsia="SimSun" w:hAnsi="Garamond" w:cs="Times New Roman"/>
          <w:sz w:val="16"/>
          <w:szCs w:val="16"/>
          <w:lang w:val="fr-FR"/>
        </w:rPr>
      </w:pPr>
      <w:r w:rsidRPr="00F963F2">
        <w:rPr>
          <w:rFonts w:ascii="Garamond" w:eastAsia="SimSun" w:hAnsi="Garamond" w:cs="Times New Roman"/>
          <w:sz w:val="16"/>
          <w:szCs w:val="16"/>
          <w:lang w:val="fr-FR"/>
        </w:rPr>
        <w:t>Date de révision</w:t>
      </w:r>
      <w:r w:rsidR="00557B51" w:rsidRPr="00F963F2">
        <w:rPr>
          <w:rFonts w:ascii="Garamond" w:eastAsia="SimSun" w:hAnsi="Garamond" w:cs="Times New Roman"/>
          <w:sz w:val="16"/>
          <w:szCs w:val="16"/>
          <w:lang w:val="fr-FR"/>
        </w:rPr>
        <w:t> :</w:t>
      </w:r>
      <w:r w:rsidR="00505701">
        <w:rPr>
          <w:rFonts w:ascii="Garamond" w:eastAsia="SimSun" w:hAnsi="Garamond" w:cs="Times New Roman"/>
          <w:sz w:val="16"/>
          <w:szCs w:val="16"/>
          <w:lang w:val="fr-FR"/>
        </w:rPr>
        <w:t xml:space="preserve"> 09/09/2022</w:t>
      </w:r>
    </w:p>
    <w:p w:rsidR="00FB76BB" w:rsidRDefault="00FB76BB" w:rsidP="006870B0">
      <w:pPr>
        <w:rPr>
          <w:rFonts w:ascii="Garamond" w:eastAsia="SimSun" w:hAnsi="Garamond" w:cs="Times New Roman"/>
          <w:sz w:val="16"/>
          <w:szCs w:val="16"/>
          <w:lang w:val="fr-FR"/>
        </w:rPr>
      </w:pPr>
      <w:r w:rsidRPr="00F963F2">
        <w:rPr>
          <w:rFonts w:ascii="Garamond" w:eastAsia="SimSun" w:hAnsi="Garamond" w:cs="Times New Roman"/>
          <w:sz w:val="16"/>
          <w:szCs w:val="16"/>
          <w:lang w:val="fr-FR"/>
        </w:rPr>
        <w:t>Date</w:t>
      </w:r>
      <w:r w:rsidR="006870B0" w:rsidRPr="00F963F2">
        <w:rPr>
          <w:rFonts w:ascii="Garamond" w:eastAsia="SimSun" w:hAnsi="Garamond" w:cs="Times New Roman"/>
          <w:sz w:val="16"/>
          <w:szCs w:val="16"/>
          <w:lang w:val="fr-FR"/>
        </w:rPr>
        <w:t xml:space="preserve"> </w:t>
      </w:r>
      <w:r w:rsidRPr="00F963F2">
        <w:rPr>
          <w:rFonts w:ascii="Garamond" w:eastAsia="SimSun" w:hAnsi="Garamond" w:cs="Times New Roman"/>
          <w:sz w:val="16"/>
          <w:szCs w:val="16"/>
          <w:lang w:val="fr-FR"/>
        </w:rPr>
        <w:t>d’acceptation</w:t>
      </w:r>
      <w:r w:rsidR="009E3A30" w:rsidRPr="00F963F2">
        <w:rPr>
          <w:rFonts w:ascii="Garamond" w:eastAsia="SimSun" w:hAnsi="Garamond" w:cs="Times New Roman"/>
          <w:sz w:val="16"/>
          <w:szCs w:val="16"/>
          <w:lang w:val="fr-FR"/>
        </w:rPr>
        <w:t> :</w:t>
      </w:r>
      <w:r w:rsidR="00505701">
        <w:rPr>
          <w:rFonts w:ascii="Garamond" w:eastAsia="SimSun" w:hAnsi="Garamond" w:cs="Times New Roman"/>
          <w:sz w:val="16"/>
          <w:szCs w:val="16"/>
          <w:lang w:val="fr-FR"/>
        </w:rPr>
        <w:t xml:space="preserve"> 18/12/2022</w:t>
      </w:r>
      <w:bookmarkStart w:id="1" w:name="_GoBack"/>
      <w:bookmarkEnd w:id="1"/>
    </w:p>
    <w:p w:rsidR="00F963F2" w:rsidRPr="00F963F2" w:rsidRDefault="00F963F2" w:rsidP="006870B0">
      <w:pPr>
        <w:rPr>
          <w:rFonts w:ascii="Garamond" w:eastAsia="SimSun" w:hAnsi="Garamond" w:cs="Times New Roman"/>
          <w:sz w:val="16"/>
          <w:szCs w:val="16"/>
          <w:lang w:val="fr-FR"/>
        </w:rPr>
        <w:sectPr w:rsidR="00F963F2" w:rsidRPr="00F963F2" w:rsidSect="00FB76BB">
          <w:type w:val="continuous"/>
          <w:pgSz w:w="12240" w:h="15840"/>
          <w:pgMar w:top="1440" w:right="1440" w:bottom="1440" w:left="1440" w:header="720" w:footer="720" w:gutter="0"/>
          <w:cols w:num="2" w:space="720"/>
          <w:titlePg/>
          <w:docGrid w:linePitch="360"/>
        </w:sectPr>
      </w:pPr>
      <w:r>
        <w:rPr>
          <w:rFonts w:ascii="Garamond" w:eastAsia="SimSun" w:hAnsi="Garamond" w:cs="Times New Roman"/>
          <w:sz w:val="16"/>
          <w:szCs w:val="16"/>
          <w:lang w:val="fr-FR"/>
        </w:rPr>
        <w:t xml:space="preserve">DOI : </w:t>
      </w:r>
    </w:p>
    <w:p w:rsidR="009E3A30" w:rsidRPr="00CC3649" w:rsidRDefault="009E3A30" w:rsidP="00CC3649">
      <w:pPr>
        <w:pStyle w:val="Els-body-text"/>
        <w:ind w:firstLine="0"/>
        <w:rPr>
          <w:rFonts w:ascii="Garamond" w:hAnsi="Garamond"/>
          <w:sz w:val="20"/>
          <w:lang w:val="fr-FR"/>
        </w:rPr>
        <w:sectPr w:rsidR="009E3A30" w:rsidRPr="00CC3649" w:rsidSect="00A70899">
          <w:type w:val="continuous"/>
          <w:pgSz w:w="12240" w:h="15840"/>
          <w:pgMar w:top="1440" w:right="1440" w:bottom="1440" w:left="1440" w:header="720" w:footer="720" w:gutter="0"/>
          <w:cols w:num="2" w:space="720"/>
          <w:titlePg/>
          <w:docGrid w:linePitch="360"/>
        </w:sectPr>
      </w:pPr>
    </w:p>
    <w:p w:rsidR="00A70899" w:rsidRPr="00CC3649" w:rsidRDefault="00A70899" w:rsidP="00CC3649">
      <w:pPr>
        <w:pStyle w:val="Els-1storder-head"/>
        <w:numPr>
          <w:ilvl w:val="0"/>
          <w:numId w:val="0"/>
        </w:numPr>
        <w:pBdr>
          <w:top w:val="single" w:sz="18" w:space="0" w:color="auto"/>
        </w:pBdr>
        <w:jc w:val="both"/>
        <w:rPr>
          <w:rFonts w:ascii="Garamond" w:hAnsi="Garamond"/>
          <w:sz w:val="20"/>
          <w:lang w:val="fr-FR"/>
        </w:rPr>
        <w:sectPr w:rsidR="00A70899" w:rsidRPr="00CC3649" w:rsidSect="00217CA8">
          <w:type w:val="continuous"/>
          <w:pgSz w:w="12240" w:h="15840"/>
          <w:pgMar w:top="1440" w:right="1440" w:bottom="1440" w:left="1440" w:header="720" w:footer="861" w:gutter="0"/>
          <w:cols w:num="2" w:space="720"/>
          <w:titlePg/>
          <w:docGrid w:linePitch="360"/>
        </w:sectPr>
      </w:pPr>
    </w:p>
    <w:p w:rsidR="00E21E5E" w:rsidRPr="0013017F" w:rsidRDefault="00E56282" w:rsidP="00CC3649">
      <w:pPr>
        <w:pStyle w:val="Els-1storder-head"/>
        <w:numPr>
          <w:ilvl w:val="0"/>
          <w:numId w:val="0"/>
        </w:numPr>
        <w:pBdr>
          <w:top w:val="single" w:sz="18" w:space="0" w:color="auto"/>
        </w:pBdr>
        <w:jc w:val="both"/>
        <w:rPr>
          <w:rFonts w:ascii="Garamond" w:hAnsi="Garamond"/>
          <w:sz w:val="24"/>
          <w:szCs w:val="24"/>
          <w:lang w:val="fr-FR"/>
        </w:rPr>
      </w:pPr>
      <w:r w:rsidRPr="0013017F">
        <w:rPr>
          <w:rFonts w:ascii="Garamond" w:hAnsi="Garamond"/>
          <w:sz w:val="24"/>
          <w:szCs w:val="24"/>
          <w:lang w:val="fr-FR"/>
        </w:rPr>
        <w:t xml:space="preserve">Introduction </w:t>
      </w:r>
    </w:p>
    <w:p w:rsidR="00975891" w:rsidRPr="00CC3649" w:rsidRDefault="00975891" w:rsidP="00CC3649">
      <w:pPr>
        <w:jc w:val="both"/>
        <w:rPr>
          <w:rFonts w:ascii="Garamond" w:hAnsi="Garamond" w:cstheme="majorBidi"/>
          <w:sz w:val="20"/>
          <w:szCs w:val="20"/>
          <w:lang w:val="fr-FR"/>
        </w:rPr>
      </w:pPr>
      <w:r w:rsidRPr="00CC3649">
        <w:rPr>
          <w:rFonts w:ascii="Garamond" w:hAnsi="Garamond" w:cstheme="majorBidi"/>
          <w:sz w:val="20"/>
          <w:szCs w:val="20"/>
          <w:lang w:val="fr-FR"/>
        </w:rPr>
        <w:t xml:space="preserve">Le vieillissement est un processus lent, progressif, inéluctable et irréversible résultant de facteurs génétiques et environnementaux. Seul, il n’est jamais responsable d’une situation médicale [1]. Néanmoins, cette frange de la population a augmenté de façon importante ces dernières années, avec l’amélioration des conditions générales de vie. En 2017, les personnes âgées de plus de 60 ans représentaient 13% de la population mondiale (environ 962 millions). La taille de cette population devrait atteindre 1.4 milliards en 2030 [2]. Il s’agit d’une population sensible, avec fragilisation de nombreux systèmes vitaux [3]. Cette fragilité se manifeste par diverses maladies physiques, mais également cognitives, avec ou sans retentissement sur la qualité de vie(QDV). De ce fait, et depuis 1999, le terme de </w:t>
      </w:r>
      <w:proofErr w:type="spellStart"/>
      <w:r w:rsidRPr="00CC3649">
        <w:rPr>
          <w:rFonts w:ascii="Garamond" w:hAnsi="Garamond" w:cstheme="majorBidi"/>
          <w:sz w:val="20"/>
          <w:szCs w:val="20"/>
          <w:lang w:val="fr-FR"/>
        </w:rPr>
        <w:t>Mild</w:t>
      </w:r>
      <w:proofErr w:type="spellEnd"/>
      <w:r w:rsidRPr="00CC3649">
        <w:rPr>
          <w:rFonts w:ascii="Garamond" w:hAnsi="Garamond" w:cstheme="majorBidi"/>
          <w:sz w:val="20"/>
          <w:szCs w:val="20"/>
          <w:lang w:val="fr-FR"/>
        </w:rPr>
        <w:t xml:space="preserve"> Cognitive </w:t>
      </w:r>
      <w:proofErr w:type="spellStart"/>
      <w:r w:rsidRPr="00CC3649">
        <w:rPr>
          <w:rFonts w:ascii="Garamond" w:hAnsi="Garamond" w:cstheme="majorBidi"/>
          <w:sz w:val="20"/>
          <w:szCs w:val="20"/>
          <w:lang w:val="fr-FR"/>
        </w:rPr>
        <w:t>Impairment</w:t>
      </w:r>
      <w:proofErr w:type="spellEnd"/>
      <w:r w:rsidRPr="00CC3649">
        <w:rPr>
          <w:rFonts w:ascii="Garamond" w:hAnsi="Garamond" w:cstheme="majorBidi"/>
          <w:sz w:val="20"/>
          <w:szCs w:val="20"/>
          <w:lang w:val="fr-FR"/>
        </w:rPr>
        <w:t xml:space="preserve"> (MCI) est apparu ; « Petersen » le définissait comme un syndrome pré démentiel probable, caractérisé par une plainte cognitive qui ne retentit pas sur les activités de la vie quotidienne, sous tendant un score IADL (Instrumental Activity of Daily Living) à 0. Le spectre des fonctions cognitives déclinantes du sujet âgé se dessine à partir du vieillissement cognitif dit « normal » (VCN), passant par le déficit cognitif subjectif (plainte cognitive avec tests normaux) jusqu’au MCI (avec atteinte d’un ou de </w:t>
      </w:r>
      <w:r w:rsidR="00741031" w:rsidRPr="00CC3649">
        <w:rPr>
          <w:rFonts w:ascii="Garamond" w:hAnsi="Garamond" w:cstheme="majorBidi"/>
          <w:sz w:val="20"/>
          <w:szCs w:val="20"/>
          <w:lang w:val="fr-FR"/>
        </w:rPr>
        <w:t>plusieurs tests cognitifs) et la</w:t>
      </w:r>
      <w:r w:rsidRPr="00CC3649">
        <w:rPr>
          <w:rFonts w:ascii="Garamond" w:hAnsi="Garamond" w:cstheme="majorBidi"/>
          <w:sz w:val="20"/>
          <w:szCs w:val="20"/>
          <w:lang w:val="fr-FR"/>
        </w:rPr>
        <w:t xml:space="preserve"> démence (appelée trouble cognitif majeur depuis les critères DSM V).                                                                                            La figure 1 résume les caractéristiques du MCI.                                                                                                       Le MCI peut être de type amnésique  à domaine unique ou multiple, ou de type non amnésique (affectant une ou plusieurs autres fonctions cognitives) à domaine unique ou multiple également [5]. Depuis 2013, avec l’apparition des critères DSM 5, le MCI est appelé trouble cognitif mineur [6].  Nous présentons dans ce </w:t>
      </w:r>
      <w:r w:rsidRPr="00CC3649">
        <w:rPr>
          <w:rFonts w:ascii="Garamond" w:hAnsi="Garamond" w:cstheme="majorBidi"/>
          <w:sz w:val="20"/>
          <w:szCs w:val="20"/>
          <w:lang w:val="fr-FR"/>
        </w:rPr>
        <w:t>travail, les aspects phénotypiques et le suivi évolutif sur 5 ans, de 40 patients répondant aux critères du MCI.</w:t>
      </w:r>
    </w:p>
    <w:p w:rsidR="00405D34" w:rsidRPr="00CC3649" w:rsidRDefault="00405D34" w:rsidP="00F963F2">
      <w:pPr>
        <w:jc w:val="center"/>
        <w:rPr>
          <w:rFonts w:ascii="Garamond" w:hAnsi="Garamond" w:cstheme="majorBidi"/>
          <w:sz w:val="20"/>
          <w:szCs w:val="20"/>
          <w:lang w:val="fr-FR"/>
        </w:rPr>
      </w:pPr>
      <w:r w:rsidRPr="00CC3649">
        <w:rPr>
          <w:rFonts w:ascii="Garamond" w:hAnsi="Garamond" w:cstheme="majorBidi"/>
          <w:noProof/>
          <w:sz w:val="20"/>
          <w:szCs w:val="20"/>
          <w:lang w:val="fr-FR" w:eastAsia="fr-FR"/>
        </w:rPr>
        <w:drawing>
          <wp:inline distT="0" distB="0" distL="0" distR="0">
            <wp:extent cx="2070100" cy="2029868"/>
            <wp:effectExtent l="19050" t="0" r="635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2070100" cy="2029868"/>
                    </a:xfrm>
                    <a:prstGeom prst="rect">
                      <a:avLst/>
                    </a:prstGeom>
                    <a:noFill/>
                    <a:ln w="9525">
                      <a:noFill/>
                      <a:miter lim="800000"/>
                      <a:headEnd/>
                      <a:tailEnd/>
                    </a:ln>
                  </pic:spPr>
                </pic:pic>
              </a:graphicData>
            </a:graphic>
          </wp:inline>
        </w:drawing>
      </w:r>
    </w:p>
    <w:p w:rsidR="00975891" w:rsidRPr="00CC3649" w:rsidRDefault="00405D34" w:rsidP="00F963F2">
      <w:pPr>
        <w:jc w:val="center"/>
        <w:rPr>
          <w:rFonts w:ascii="Garamond" w:hAnsi="Garamond" w:cstheme="majorBidi"/>
          <w:sz w:val="20"/>
          <w:szCs w:val="20"/>
          <w:lang w:val="fr-FR"/>
        </w:rPr>
      </w:pPr>
      <w:r w:rsidRPr="00CC3649">
        <w:rPr>
          <w:rFonts w:ascii="Garamond" w:hAnsi="Garamond" w:cstheme="majorBidi"/>
          <w:sz w:val="20"/>
          <w:szCs w:val="20"/>
          <w:lang w:val="fr-FR"/>
        </w:rPr>
        <w:t>Figure 1: caractéristiques du MCI</w:t>
      </w:r>
    </w:p>
    <w:p w:rsidR="00A70899" w:rsidRPr="0013017F" w:rsidRDefault="00A70899" w:rsidP="00CC3649">
      <w:pPr>
        <w:pStyle w:val="Els-1storder-head"/>
        <w:numPr>
          <w:ilvl w:val="0"/>
          <w:numId w:val="0"/>
        </w:numPr>
        <w:jc w:val="both"/>
        <w:rPr>
          <w:rFonts w:ascii="Garamond" w:hAnsi="Garamond"/>
          <w:sz w:val="24"/>
          <w:szCs w:val="24"/>
          <w:lang w:val="fr-FR"/>
        </w:rPr>
      </w:pPr>
      <w:r w:rsidRPr="0013017F">
        <w:rPr>
          <w:rFonts w:ascii="Garamond" w:hAnsi="Garamond"/>
          <w:sz w:val="24"/>
          <w:szCs w:val="24"/>
          <w:lang w:val="fr-FR"/>
        </w:rPr>
        <w:t>Matériels and Méthodes</w:t>
      </w:r>
    </w:p>
    <w:p w:rsidR="008D2030" w:rsidRPr="00CC3649" w:rsidRDefault="008D2030" w:rsidP="00CC3649">
      <w:pPr>
        <w:jc w:val="both"/>
        <w:rPr>
          <w:rFonts w:ascii="Garamond" w:hAnsi="Garamond" w:cstheme="majorBidi"/>
          <w:sz w:val="20"/>
          <w:szCs w:val="20"/>
        </w:rPr>
      </w:pPr>
      <w:r w:rsidRPr="00CC3649">
        <w:rPr>
          <w:rFonts w:ascii="Garamond" w:hAnsi="Garamond" w:cstheme="majorBidi"/>
          <w:sz w:val="20"/>
          <w:szCs w:val="20"/>
          <w:lang w:val="fr-FR"/>
        </w:rPr>
        <w:t xml:space="preserve">Il s’agit d’une étude rétrospective, ayant porté sur des patients suivis et diagnostiqués en consultation spécialisée en pathologie de la mémoire. Les patients inclus sont ceux dont le diagnostic de MCI fut posé en 2016 avec les critères suivants : patients présentant l’atteinte d’au moins un domaine cognitif (mémoire ou autre), sans retentissement majeur sur leur vie quotidienne (score IADL égal à 0 voire 1).                                                                                                                                                            </w:t>
      </w:r>
      <w:proofErr w:type="spellStart"/>
      <w:r w:rsidRPr="00CC3649">
        <w:rPr>
          <w:rFonts w:ascii="Garamond" w:hAnsi="Garamond" w:cstheme="majorBidi"/>
          <w:sz w:val="20"/>
          <w:szCs w:val="20"/>
        </w:rPr>
        <w:t>Ils</w:t>
      </w:r>
      <w:proofErr w:type="spellEnd"/>
      <w:r w:rsidRPr="00CC3649">
        <w:rPr>
          <w:rFonts w:ascii="Garamond" w:hAnsi="Garamond" w:cstheme="majorBidi"/>
          <w:sz w:val="20"/>
          <w:szCs w:val="20"/>
        </w:rPr>
        <w:t xml:space="preserve"> </w:t>
      </w:r>
      <w:proofErr w:type="spellStart"/>
      <w:r w:rsidRPr="00CC3649">
        <w:rPr>
          <w:rFonts w:ascii="Garamond" w:hAnsi="Garamond" w:cstheme="majorBidi"/>
          <w:sz w:val="20"/>
          <w:szCs w:val="20"/>
        </w:rPr>
        <w:t>ont</w:t>
      </w:r>
      <w:proofErr w:type="spellEnd"/>
      <w:r w:rsidRPr="00CC3649">
        <w:rPr>
          <w:rFonts w:ascii="Garamond" w:hAnsi="Garamond" w:cstheme="majorBidi"/>
          <w:sz w:val="20"/>
          <w:szCs w:val="20"/>
        </w:rPr>
        <w:t xml:space="preserve"> </w:t>
      </w:r>
      <w:proofErr w:type="spellStart"/>
      <w:r w:rsidRPr="00CC3649">
        <w:rPr>
          <w:rFonts w:ascii="Garamond" w:hAnsi="Garamond" w:cstheme="majorBidi"/>
          <w:sz w:val="20"/>
          <w:szCs w:val="20"/>
        </w:rPr>
        <w:t>bénéficié</w:t>
      </w:r>
      <w:proofErr w:type="spellEnd"/>
      <w:r w:rsidRPr="00CC3649">
        <w:rPr>
          <w:rFonts w:ascii="Garamond" w:hAnsi="Garamond" w:cstheme="majorBidi"/>
          <w:sz w:val="20"/>
          <w:szCs w:val="20"/>
        </w:rPr>
        <w:t xml:space="preserve"> de :                                                                                                                                                       </w:t>
      </w:r>
    </w:p>
    <w:p w:rsidR="008D2030" w:rsidRPr="00CC3649" w:rsidRDefault="008D2030" w:rsidP="00CC3649">
      <w:pPr>
        <w:pStyle w:val="Paragraphedeliste"/>
        <w:numPr>
          <w:ilvl w:val="0"/>
          <w:numId w:val="4"/>
        </w:numPr>
        <w:jc w:val="both"/>
        <w:rPr>
          <w:rFonts w:ascii="Garamond" w:hAnsi="Garamond" w:cstheme="majorBidi"/>
          <w:sz w:val="20"/>
          <w:szCs w:val="20"/>
        </w:rPr>
      </w:pPr>
      <w:r w:rsidRPr="00CC3649">
        <w:rPr>
          <w:rFonts w:ascii="Garamond" w:hAnsi="Garamond" w:cstheme="majorBidi"/>
          <w:sz w:val="20"/>
          <w:szCs w:val="20"/>
        </w:rPr>
        <w:t>Un examen neurologique.</w:t>
      </w:r>
    </w:p>
    <w:p w:rsidR="008D2030" w:rsidRPr="00CC3649" w:rsidRDefault="008D2030" w:rsidP="00F963F2">
      <w:pPr>
        <w:pStyle w:val="Paragraphedeliste"/>
        <w:numPr>
          <w:ilvl w:val="0"/>
          <w:numId w:val="4"/>
        </w:numPr>
        <w:jc w:val="both"/>
        <w:rPr>
          <w:rFonts w:ascii="Garamond" w:hAnsi="Garamond" w:cstheme="majorBidi"/>
          <w:sz w:val="20"/>
          <w:szCs w:val="20"/>
        </w:rPr>
      </w:pPr>
      <w:r w:rsidRPr="00CC3649">
        <w:rPr>
          <w:rFonts w:ascii="Garamond" w:hAnsi="Garamond" w:cstheme="majorBidi"/>
          <w:sz w:val="20"/>
          <w:szCs w:val="20"/>
        </w:rPr>
        <w:t xml:space="preserve">Un bilan biologique, incluant le bilan thyroïdien avec dosage des anticorps anti TPO et anti TG, un dosage de la vitamine B12 et des folates ainsi qu’un bilan standard complet. Ces bilans ayant été pratiqués afin d’éliminer toute cause métabolique </w:t>
      </w:r>
      <w:r w:rsidRPr="00CC3649">
        <w:rPr>
          <w:rFonts w:ascii="Garamond" w:hAnsi="Garamond" w:cstheme="majorBidi"/>
          <w:sz w:val="20"/>
          <w:szCs w:val="20"/>
        </w:rPr>
        <w:lastRenderedPageBreak/>
        <w:t>possible de démence, à savoir une carence en vitamine B12, une encéphalopathie de Hashimoto ou des troubles ioniques éventuels.</w:t>
      </w:r>
    </w:p>
    <w:p w:rsidR="008D2030" w:rsidRPr="00CC3649" w:rsidRDefault="008D2030" w:rsidP="00F963F2">
      <w:pPr>
        <w:pStyle w:val="Paragraphedeliste"/>
        <w:numPr>
          <w:ilvl w:val="0"/>
          <w:numId w:val="4"/>
        </w:numPr>
        <w:jc w:val="both"/>
        <w:rPr>
          <w:rFonts w:ascii="Garamond" w:hAnsi="Garamond" w:cstheme="majorBidi"/>
          <w:sz w:val="20"/>
          <w:szCs w:val="20"/>
        </w:rPr>
      </w:pPr>
      <w:r w:rsidRPr="00CC3649">
        <w:rPr>
          <w:rFonts w:ascii="Garamond" w:hAnsi="Garamond" w:cstheme="majorBidi"/>
          <w:sz w:val="20"/>
          <w:szCs w:val="20"/>
        </w:rPr>
        <w:t xml:space="preserve">Un dosage des biomarqueurs de la maladie d’Alzheimer (MA) dans le liquide </w:t>
      </w:r>
      <w:proofErr w:type="spellStart"/>
      <w:r w:rsidRPr="00CC3649">
        <w:rPr>
          <w:rFonts w:ascii="Garamond" w:hAnsi="Garamond" w:cstheme="majorBidi"/>
          <w:sz w:val="20"/>
          <w:szCs w:val="20"/>
        </w:rPr>
        <w:t>cephalo</w:t>
      </w:r>
      <w:proofErr w:type="spellEnd"/>
      <w:r w:rsidRPr="00CC3649">
        <w:rPr>
          <w:rFonts w:ascii="Garamond" w:hAnsi="Garamond" w:cstheme="majorBidi"/>
          <w:sz w:val="20"/>
          <w:szCs w:val="20"/>
        </w:rPr>
        <w:t xml:space="preserve"> rachidien (LCR) a été pratiqué chez 6 patients, à savoir dosage de la protéine Tau, de la protéine </w:t>
      </w:r>
      <w:proofErr w:type="spellStart"/>
      <w:r w:rsidRPr="00CC3649">
        <w:rPr>
          <w:rFonts w:ascii="Garamond" w:hAnsi="Garamond" w:cstheme="majorBidi"/>
          <w:sz w:val="20"/>
          <w:szCs w:val="20"/>
        </w:rPr>
        <w:t>phospho</w:t>
      </w:r>
      <w:proofErr w:type="spellEnd"/>
      <w:r w:rsidRPr="00CC3649">
        <w:rPr>
          <w:rFonts w:ascii="Garamond" w:hAnsi="Garamond" w:cstheme="majorBidi"/>
          <w:sz w:val="20"/>
          <w:szCs w:val="20"/>
        </w:rPr>
        <w:t xml:space="preserve"> Tau et la protéine A beta 42. Un taux élevé en protéine Tau et </w:t>
      </w:r>
      <w:proofErr w:type="spellStart"/>
      <w:r w:rsidRPr="00CC3649">
        <w:rPr>
          <w:rFonts w:ascii="Garamond" w:hAnsi="Garamond" w:cstheme="majorBidi"/>
          <w:sz w:val="20"/>
          <w:szCs w:val="20"/>
        </w:rPr>
        <w:t>Phospho</w:t>
      </w:r>
      <w:proofErr w:type="spellEnd"/>
      <w:r w:rsidRPr="00CC3649">
        <w:rPr>
          <w:rFonts w:ascii="Garamond" w:hAnsi="Garamond" w:cstheme="majorBidi"/>
          <w:sz w:val="20"/>
          <w:szCs w:val="20"/>
        </w:rPr>
        <w:t xml:space="preserve"> Tau associé à un taux bas en protéine A Beta 42 sont en faveur d’un profil de type Alzheimer.</w:t>
      </w:r>
    </w:p>
    <w:p w:rsidR="008D2030" w:rsidRPr="00CC3649" w:rsidRDefault="008D2030" w:rsidP="00F963F2">
      <w:pPr>
        <w:pStyle w:val="Paragraphedeliste"/>
        <w:numPr>
          <w:ilvl w:val="0"/>
          <w:numId w:val="4"/>
        </w:numPr>
        <w:jc w:val="both"/>
        <w:rPr>
          <w:rFonts w:ascii="Garamond" w:hAnsi="Garamond" w:cstheme="majorBidi"/>
          <w:sz w:val="20"/>
          <w:szCs w:val="20"/>
        </w:rPr>
      </w:pPr>
      <w:r w:rsidRPr="00CC3649">
        <w:rPr>
          <w:rFonts w:ascii="Garamond" w:hAnsi="Garamond" w:cstheme="majorBidi"/>
          <w:sz w:val="20"/>
          <w:szCs w:val="20"/>
        </w:rPr>
        <w:t>Une imagerie cérébrale (TDM et/ou IRM) a été pratiquée chez tous les patients. Cette exploration doit rechercher essentiellement une atrophie temporale interne, notamment des structures hippocampiques.</w:t>
      </w:r>
    </w:p>
    <w:p w:rsidR="008D2030" w:rsidRPr="00CC3649" w:rsidRDefault="008D2030" w:rsidP="00F963F2">
      <w:pPr>
        <w:pStyle w:val="Paragraphedeliste"/>
        <w:numPr>
          <w:ilvl w:val="0"/>
          <w:numId w:val="4"/>
        </w:numPr>
        <w:jc w:val="both"/>
        <w:rPr>
          <w:rFonts w:ascii="Garamond" w:hAnsi="Garamond" w:cstheme="majorBidi"/>
          <w:sz w:val="20"/>
          <w:szCs w:val="20"/>
        </w:rPr>
      </w:pPr>
      <w:r w:rsidRPr="00CC3649">
        <w:rPr>
          <w:rFonts w:ascii="Garamond" w:hAnsi="Garamond" w:cstheme="majorBidi"/>
          <w:sz w:val="20"/>
          <w:szCs w:val="20"/>
        </w:rPr>
        <w:t>Le bilan cognitif s’est basé sur une batterie de tests, en fonction du niveau culturel (NC) classé selon l’</w:t>
      </w:r>
      <w:r w:rsidR="0013017F">
        <w:rPr>
          <w:rFonts w:ascii="Garamond" w:hAnsi="Garamond" w:cstheme="majorBidi"/>
          <w:sz w:val="20"/>
          <w:szCs w:val="20"/>
        </w:rPr>
        <w:t>é</w:t>
      </w:r>
      <w:r w:rsidRPr="00CC3649">
        <w:rPr>
          <w:rFonts w:ascii="Garamond" w:hAnsi="Garamond" w:cstheme="majorBidi"/>
          <w:sz w:val="20"/>
          <w:szCs w:val="20"/>
        </w:rPr>
        <w:t xml:space="preserve">chelle de </w:t>
      </w:r>
      <w:proofErr w:type="spellStart"/>
      <w:r w:rsidRPr="00CC3649">
        <w:rPr>
          <w:rFonts w:ascii="Garamond" w:hAnsi="Garamond" w:cstheme="majorBidi"/>
          <w:sz w:val="20"/>
          <w:szCs w:val="20"/>
        </w:rPr>
        <w:t>Barbizet</w:t>
      </w:r>
      <w:proofErr w:type="spellEnd"/>
      <w:r w:rsidRPr="00CC3649">
        <w:rPr>
          <w:rFonts w:ascii="Garamond" w:hAnsi="Garamond" w:cstheme="majorBidi"/>
          <w:sz w:val="20"/>
          <w:szCs w:val="20"/>
        </w:rPr>
        <w:t> : de NC1 (analphabète) à NC7 (niveau universitaire) et NC8 (universitaire en post graduation). Les tests utilisés sont résumés dans le tableau 1, et divisés en 2 catégories en fonction du NC. Cette évaluation a été réalisée lors de la 1</w:t>
      </w:r>
      <w:r w:rsidRPr="00CC3649">
        <w:rPr>
          <w:rFonts w:ascii="Garamond" w:hAnsi="Garamond" w:cstheme="majorBidi"/>
          <w:sz w:val="20"/>
          <w:szCs w:val="20"/>
          <w:vertAlign w:val="superscript"/>
        </w:rPr>
        <w:t>e</w:t>
      </w:r>
      <w:r w:rsidRPr="00CC3649">
        <w:rPr>
          <w:rFonts w:ascii="Garamond" w:hAnsi="Garamond" w:cstheme="majorBidi"/>
          <w:sz w:val="20"/>
          <w:szCs w:val="20"/>
        </w:rPr>
        <w:t xml:space="preserve"> consultation puis tous les 6 mois à un an dans le suivi  de 5 ans. Les différents tests utilisés permettent une évaluation cognitive globale (pour le MMSE par exemple) mais également une évaluation des fonctions exécutives (BREF), de la mémoire de travail (TNI-93, épreuve des 5 mots, test de l’horloge) et de la mémoire à long terme et visuelle (DMS 48, épreuve des 5 mots et test de </w:t>
      </w:r>
      <w:proofErr w:type="spellStart"/>
      <w:r w:rsidRPr="00CC3649">
        <w:rPr>
          <w:rFonts w:ascii="Garamond" w:hAnsi="Garamond" w:cstheme="majorBidi"/>
          <w:sz w:val="20"/>
          <w:szCs w:val="20"/>
        </w:rPr>
        <w:t>Grober</w:t>
      </w:r>
      <w:proofErr w:type="spellEnd"/>
      <w:r w:rsidRPr="00CC3649">
        <w:rPr>
          <w:rFonts w:ascii="Garamond" w:hAnsi="Garamond" w:cstheme="majorBidi"/>
          <w:sz w:val="20"/>
          <w:szCs w:val="20"/>
        </w:rPr>
        <w:t xml:space="preserve"> et </w:t>
      </w:r>
      <w:proofErr w:type="spellStart"/>
      <w:r w:rsidRPr="00CC3649">
        <w:rPr>
          <w:rFonts w:ascii="Garamond" w:hAnsi="Garamond" w:cstheme="majorBidi"/>
          <w:sz w:val="20"/>
          <w:szCs w:val="20"/>
        </w:rPr>
        <w:t>Bushke</w:t>
      </w:r>
      <w:proofErr w:type="spellEnd"/>
      <w:r w:rsidRPr="00CC3649">
        <w:rPr>
          <w:rFonts w:ascii="Garamond" w:hAnsi="Garamond" w:cstheme="majorBidi"/>
          <w:sz w:val="20"/>
          <w:szCs w:val="20"/>
        </w:rPr>
        <w:t>).</w:t>
      </w:r>
    </w:p>
    <w:p w:rsidR="008D2030" w:rsidRPr="00CC3649" w:rsidRDefault="008D2030" w:rsidP="00F963F2">
      <w:pPr>
        <w:ind w:left="360"/>
        <w:jc w:val="both"/>
        <w:rPr>
          <w:rFonts w:ascii="Garamond" w:hAnsi="Garamond" w:cstheme="majorBidi"/>
          <w:sz w:val="20"/>
          <w:szCs w:val="20"/>
          <w:lang w:val="fr-FR"/>
        </w:rPr>
      </w:pPr>
      <w:r w:rsidRPr="00CC3649">
        <w:rPr>
          <w:rFonts w:ascii="Garamond" w:hAnsi="Garamond" w:cstheme="majorBidi"/>
          <w:sz w:val="20"/>
          <w:szCs w:val="20"/>
          <w:lang w:val="fr-FR"/>
        </w:rPr>
        <w:t xml:space="preserve">Tableau </w:t>
      </w:r>
      <w:r w:rsidR="0013017F">
        <w:rPr>
          <w:rFonts w:ascii="Garamond" w:hAnsi="Garamond" w:cstheme="majorBidi"/>
          <w:sz w:val="20"/>
          <w:szCs w:val="20"/>
          <w:lang w:val="fr-FR"/>
        </w:rPr>
        <w:t>1 :</w:t>
      </w:r>
      <w:r w:rsidRPr="00CC3649">
        <w:rPr>
          <w:rFonts w:ascii="Garamond" w:hAnsi="Garamond" w:cstheme="majorBidi"/>
          <w:sz w:val="20"/>
          <w:szCs w:val="20"/>
          <w:lang w:val="fr-FR"/>
        </w:rPr>
        <w:t xml:space="preserve"> Résultats aux principaux tests psychométriques</w:t>
      </w:r>
    </w:p>
    <w:tbl>
      <w:tblPr>
        <w:tblStyle w:val="Trameclaire-Accent3"/>
        <w:tblW w:w="0" w:type="auto"/>
        <w:tblInd w:w="534" w:type="dxa"/>
        <w:tblLook w:val="04A0" w:firstRow="1" w:lastRow="0" w:firstColumn="1" w:lastColumn="0" w:noHBand="0" w:noVBand="1"/>
      </w:tblPr>
      <w:tblGrid>
        <w:gridCol w:w="989"/>
        <w:gridCol w:w="1464"/>
        <w:gridCol w:w="1549"/>
      </w:tblGrid>
      <w:tr w:rsidR="008D2030" w:rsidRPr="00CC3649" w:rsidTr="001301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Niveau culturel</w:t>
            </w:r>
          </w:p>
        </w:tc>
        <w:tc>
          <w:tcPr>
            <w:tcW w:w="1464" w:type="dxa"/>
          </w:tcPr>
          <w:p w:rsidR="008D2030" w:rsidRPr="00CC3649" w:rsidRDefault="008D2030" w:rsidP="00CC3649">
            <w:pPr>
              <w:jc w:val="both"/>
              <w:cnfStyle w:val="100000000000" w:firstRow="1"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NC &lt; NC3</w:t>
            </w:r>
          </w:p>
        </w:tc>
        <w:tc>
          <w:tcPr>
            <w:tcW w:w="1549" w:type="dxa"/>
          </w:tcPr>
          <w:p w:rsidR="008D2030" w:rsidRPr="00CC3649" w:rsidRDefault="008D2030" w:rsidP="00CC3649">
            <w:pPr>
              <w:jc w:val="both"/>
              <w:cnfStyle w:val="100000000000" w:firstRow="1"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NC≥ NC3</w:t>
            </w:r>
          </w:p>
        </w:tc>
      </w:tr>
      <w:tr w:rsidR="008D2030" w:rsidRPr="00CC3649" w:rsidTr="001301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 xml:space="preserve">Test </w:t>
            </w:r>
          </w:p>
        </w:tc>
        <w:tc>
          <w:tcPr>
            <w:tcW w:w="1464"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MMSE [8]</w:t>
            </w:r>
          </w:p>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BREF [9]</w:t>
            </w:r>
          </w:p>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DMS 48 [10]</w:t>
            </w:r>
          </w:p>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TNI-93 [11]</w:t>
            </w:r>
          </w:p>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IADL</w:t>
            </w:r>
          </w:p>
        </w:tc>
        <w:tc>
          <w:tcPr>
            <w:tcW w:w="1549"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lang w:val="en-US"/>
              </w:rPr>
            </w:pPr>
            <w:r w:rsidRPr="00CC3649">
              <w:rPr>
                <w:rFonts w:ascii="Garamond" w:hAnsi="Garamond" w:cstheme="majorBidi"/>
                <w:color w:val="000000" w:themeColor="text1"/>
                <w:sz w:val="20"/>
                <w:szCs w:val="20"/>
                <w:lang w:val="en-US"/>
              </w:rPr>
              <w:t>MMSE</w:t>
            </w:r>
          </w:p>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lang w:val="en-US"/>
              </w:rPr>
            </w:pPr>
            <w:r w:rsidRPr="00CC3649">
              <w:rPr>
                <w:rFonts w:ascii="Garamond" w:hAnsi="Garamond" w:cstheme="majorBidi"/>
                <w:color w:val="000000" w:themeColor="text1"/>
                <w:sz w:val="20"/>
                <w:szCs w:val="20"/>
                <w:lang w:val="en-US"/>
              </w:rPr>
              <w:t>BREF</w:t>
            </w:r>
          </w:p>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lang w:val="en-US"/>
              </w:rPr>
            </w:pPr>
            <w:r w:rsidRPr="00CC3649">
              <w:rPr>
                <w:rFonts w:ascii="Garamond" w:hAnsi="Garamond" w:cstheme="majorBidi"/>
                <w:color w:val="000000" w:themeColor="text1"/>
                <w:sz w:val="20"/>
                <w:szCs w:val="20"/>
                <w:lang w:val="en-US"/>
              </w:rPr>
              <w:t xml:space="preserve">Set test </w:t>
            </w:r>
            <w:proofErr w:type="spellStart"/>
            <w:r w:rsidRPr="00CC3649">
              <w:rPr>
                <w:rFonts w:ascii="Garamond" w:hAnsi="Garamond" w:cstheme="majorBidi"/>
                <w:color w:val="000000" w:themeColor="text1"/>
                <w:sz w:val="20"/>
                <w:szCs w:val="20"/>
                <w:lang w:val="en-US"/>
              </w:rPr>
              <w:t>d’Isaac</w:t>
            </w:r>
            <w:proofErr w:type="spellEnd"/>
            <w:r w:rsidRPr="00CC3649">
              <w:rPr>
                <w:rFonts w:ascii="Garamond" w:hAnsi="Garamond" w:cstheme="majorBidi"/>
                <w:color w:val="000000" w:themeColor="text1"/>
                <w:sz w:val="20"/>
                <w:szCs w:val="20"/>
                <w:lang w:val="en-US"/>
              </w:rPr>
              <w:t xml:space="preserve"> [12]</w:t>
            </w:r>
          </w:p>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 xml:space="preserve">Test de </w:t>
            </w:r>
            <w:proofErr w:type="spellStart"/>
            <w:r w:rsidRPr="00CC3649">
              <w:rPr>
                <w:rFonts w:ascii="Garamond" w:hAnsi="Garamond" w:cstheme="majorBidi"/>
                <w:color w:val="000000" w:themeColor="text1"/>
                <w:sz w:val="20"/>
                <w:szCs w:val="20"/>
              </w:rPr>
              <w:t>Grober</w:t>
            </w:r>
            <w:proofErr w:type="spellEnd"/>
            <w:r w:rsidRPr="00CC3649">
              <w:rPr>
                <w:rFonts w:ascii="Garamond" w:hAnsi="Garamond" w:cstheme="majorBidi"/>
                <w:color w:val="000000" w:themeColor="text1"/>
                <w:sz w:val="20"/>
                <w:szCs w:val="20"/>
              </w:rPr>
              <w:t xml:space="preserve"> et </w:t>
            </w:r>
            <w:proofErr w:type="spellStart"/>
            <w:r w:rsidRPr="00CC3649">
              <w:rPr>
                <w:rFonts w:ascii="Garamond" w:hAnsi="Garamond" w:cstheme="majorBidi"/>
                <w:color w:val="000000" w:themeColor="text1"/>
                <w:sz w:val="20"/>
                <w:szCs w:val="20"/>
              </w:rPr>
              <w:t>Buschke</w:t>
            </w:r>
            <w:proofErr w:type="spellEnd"/>
            <w:r w:rsidRPr="00CC3649">
              <w:rPr>
                <w:rFonts w:ascii="Garamond" w:hAnsi="Garamond" w:cstheme="majorBidi"/>
                <w:color w:val="000000" w:themeColor="text1"/>
                <w:sz w:val="20"/>
                <w:szCs w:val="20"/>
              </w:rPr>
              <w:t xml:space="preserve"> [13]</w:t>
            </w:r>
          </w:p>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Epreuve des 5 mots [14]</w:t>
            </w:r>
          </w:p>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Test de l’horloge [15]</w:t>
            </w:r>
          </w:p>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DMS 48</w:t>
            </w:r>
          </w:p>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IADL</w:t>
            </w:r>
          </w:p>
        </w:tc>
      </w:tr>
    </w:tbl>
    <w:p w:rsidR="008D2030" w:rsidRPr="00CC3649" w:rsidRDefault="008D2030" w:rsidP="00CC3649">
      <w:pPr>
        <w:pStyle w:val="Els-body-text"/>
        <w:rPr>
          <w:rFonts w:ascii="Garamond" w:hAnsi="Garamond"/>
          <w:sz w:val="20"/>
          <w:lang w:val="fr-FR"/>
        </w:rPr>
      </w:pPr>
    </w:p>
    <w:p w:rsidR="00E56282" w:rsidRPr="0013017F" w:rsidRDefault="00E56282" w:rsidP="00CC3649">
      <w:pPr>
        <w:pStyle w:val="Els-1storder-head"/>
        <w:numPr>
          <w:ilvl w:val="0"/>
          <w:numId w:val="0"/>
        </w:numPr>
        <w:jc w:val="both"/>
        <w:rPr>
          <w:rFonts w:ascii="Garamond" w:hAnsi="Garamond"/>
          <w:sz w:val="24"/>
          <w:szCs w:val="24"/>
          <w:lang w:val="fr-FR"/>
        </w:rPr>
      </w:pPr>
      <w:r w:rsidRPr="0013017F">
        <w:rPr>
          <w:rFonts w:ascii="Garamond" w:hAnsi="Garamond"/>
          <w:sz w:val="24"/>
          <w:szCs w:val="24"/>
          <w:lang w:val="fr-FR"/>
        </w:rPr>
        <w:t>R</w:t>
      </w:r>
      <w:r w:rsidR="00A70899" w:rsidRPr="0013017F">
        <w:rPr>
          <w:rFonts w:ascii="Garamond" w:hAnsi="Garamond"/>
          <w:sz w:val="24"/>
          <w:szCs w:val="24"/>
          <w:lang w:val="fr-FR"/>
        </w:rPr>
        <w:t>é</w:t>
      </w:r>
      <w:r w:rsidR="00C62E2E" w:rsidRPr="0013017F">
        <w:rPr>
          <w:rFonts w:ascii="Garamond" w:hAnsi="Garamond"/>
          <w:sz w:val="24"/>
          <w:szCs w:val="24"/>
          <w:lang w:val="fr-FR"/>
        </w:rPr>
        <w:t>sult</w:t>
      </w:r>
      <w:r w:rsidR="00A70899" w:rsidRPr="0013017F">
        <w:rPr>
          <w:rFonts w:ascii="Garamond" w:hAnsi="Garamond"/>
          <w:sz w:val="24"/>
          <w:szCs w:val="24"/>
          <w:lang w:val="fr-FR"/>
        </w:rPr>
        <w:t>at</w:t>
      </w:r>
      <w:r w:rsidR="00C62E2E" w:rsidRPr="0013017F">
        <w:rPr>
          <w:rFonts w:ascii="Garamond" w:hAnsi="Garamond"/>
          <w:sz w:val="24"/>
          <w:szCs w:val="24"/>
          <w:lang w:val="fr-FR"/>
        </w:rPr>
        <w:t>s</w:t>
      </w:r>
    </w:p>
    <w:p w:rsidR="008D2030" w:rsidRPr="00CC3649" w:rsidRDefault="008D2030" w:rsidP="00CC3649">
      <w:pPr>
        <w:jc w:val="both"/>
        <w:rPr>
          <w:rFonts w:ascii="Garamond" w:hAnsi="Garamond" w:cstheme="majorBidi"/>
          <w:sz w:val="20"/>
          <w:szCs w:val="20"/>
          <w:lang w:val="fr-FR"/>
        </w:rPr>
      </w:pPr>
      <w:r w:rsidRPr="00CC3649">
        <w:rPr>
          <w:rFonts w:ascii="Garamond" w:hAnsi="Garamond" w:cstheme="majorBidi"/>
          <w:sz w:val="20"/>
          <w:szCs w:val="20"/>
          <w:lang w:val="fr-FR"/>
        </w:rPr>
        <w:t xml:space="preserve">40 patients ont été inclus dans ce travail.                                                                                                                          L’âge moyen au diagnostic était de 73.4 ans avec des extrêmes [58-82 ans]. Le délai moyen de consultation, après apparition des symptômes, était de 2.1 ans avec des extrêmes [6 mois-10 ans].  Le </w:t>
      </w:r>
      <w:proofErr w:type="spellStart"/>
      <w:r w:rsidRPr="00CC3649">
        <w:rPr>
          <w:rFonts w:ascii="Garamond" w:hAnsi="Garamond" w:cstheme="majorBidi"/>
          <w:sz w:val="20"/>
          <w:szCs w:val="20"/>
          <w:lang w:val="fr-FR"/>
        </w:rPr>
        <w:t>sex</w:t>
      </w:r>
      <w:proofErr w:type="spellEnd"/>
      <w:r w:rsidRPr="00CC3649">
        <w:rPr>
          <w:rFonts w:ascii="Garamond" w:hAnsi="Garamond" w:cstheme="majorBidi"/>
          <w:sz w:val="20"/>
          <w:szCs w:val="20"/>
          <w:lang w:val="fr-FR"/>
        </w:rPr>
        <w:t xml:space="preserve"> ratio était de 1.1 (21 femmes et 19 hommes).                                                                                              Le NC était inferieur à NC3 chez 19 patients (47.5%) et supérieur ou égal à NC3 chez 21 patients (52.5%).                                                                                                                                                                         Grace aux tests mentionnés dans le tableau 1, nous avons pu explorer plusieurs domaines cognitifs ; avec notamment étude de la mémoire, des fonctions exécutives, du langage et des gnosies.                                                                                                                                                               Il est à noter que tous nos patients ont consulté pour des troubles mnésiques essentiellement, et ont donc été classés en MCI amnésique uni ou multi domaines. Les résultats des principaux tests cognitifs sont résumés dans le tableau 2.</w:t>
      </w:r>
    </w:p>
    <w:p w:rsidR="008D2030" w:rsidRPr="00CC3649" w:rsidRDefault="008D2030" w:rsidP="00CC3649">
      <w:pPr>
        <w:jc w:val="both"/>
        <w:rPr>
          <w:rFonts w:ascii="Garamond" w:hAnsi="Garamond" w:cstheme="majorBidi"/>
          <w:sz w:val="20"/>
          <w:szCs w:val="20"/>
          <w:lang w:val="fr-FR"/>
        </w:rPr>
      </w:pPr>
      <w:r w:rsidRPr="00CC3649">
        <w:rPr>
          <w:rFonts w:ascii="Garamond" w:hAnsi="Garamond" w:cstheme="majorBidi"/>
          <w:sz w:val="20"/>
          <w:szCs w:val="20"/>
          <w:lang w:val="fr-FR"/>
        </w:rPr>
        <w:t>Tableau 2</w:t>
      </w:r>
      <w:r w:rsidR="00F963F2">
        <w:rPr>
          <w:rFonts w:ascii="Garamond" w:hAnsi="Garamond" w:cstheme="majorBidi"/>
          <w:sz w:val="20"/>
          <w:szCs w:val="20"/>
          <w:lang w:val="fr-FR"/>
        </w:rPr>
        <w:t> :</w:t>
      </w:r>
      <w:r w:rsidRPr="00CC3649">
        <w:rPr>
          <w:rFonts w:ascii="Garamond" w:hAnsi="Garamond" w:cstheme="majorBidi"/>
          <w:sz w:val="20"/>
          <w:szCs w:val="20"/>
          <w:lang w:val="fr-FR"/>
        </w:rPr>
        <w:t xml:space="preserve"> Résultats aux principaux tests psychométriques</w:t>
      </w:r>
    </w:p>
    <w:tbl>
      <w:tblPr>
        <w:tblStyle w:val="Trameclaire-Accent4"/>
        <w:tblW w:w="0" w:type="auto"/>
        <w:tblLook w:val="04A0" w:firstRow="1" w:lastRow="0" w:firstColumn="1" w:lastColumn="0" w:noHBand="0" w:noVBand="1"/>
      </w:tblPr>
      <w:tblGrid>
        <w:gridCol w:w="2329"/>
        <w:gridCol w:w="2207"/>
      </w:tblGrid>
      <w:tr w:rsidR="008D2030" w:rsidRPr="00CC3649" w:rsidTr="008D20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9"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Score MMSE moyen</w:t>
            </w:r>
          </w:p>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NC&lt;NC3</w:t>
            </w:r>
          </w:p>
        </w:tc>
        <w:tc>
          <w:tcPr>
            <w:tcW w:w="2207" w:type="dxa"/>
          </w:tcPr>
          <w:p w:rsidR="008D2030" w:rsidRPr="00CC3649" w:rsidRDefault="008D2030" w:rsidP="00CC3649">
            <w:pPr>
              <w:jc w:val="both"/>
              <w:cnfStyle w:val="100000000000" w:firstRow="1" w:lastRow="0" w:firstColumn="0" w:lastColumn="0" w:oddVBand="0" w:evenVBand="0" w:oddHBand="0" w:evenHBand="0" w:firstRowFirstColumn="0" w:firstRowLastColumn="0" w:lastRowFirstColumn="0" w:lastRowLastColumn="0"/>
              <w:rPr>
                <w:rFonts w:ascii="Garamond" w:hAnsi="Garamond" w:cstheme="majorBidi"/>
                <w:b w:val="0"/>
                <w:bCs w:val="0"/>
                <w:color w:val="000000" w:themeColor="text1"/>
                <w:sz w:val="20"/>
                <w:szCs w:val="20"/>
              </w:rPr>
            </w:pPr>
            <w:r w:rsidRPr="00CC3649">
              <w:rPr>
                <w:rFonts w:ascii="Garamond" w:hAnsi="Garamond" w:cstheme="majorBidi"/>
                <w:b w:val="0"/>
                <w:bCs w:val="0"/>
                <w:color w:val="000000" w:themeColor="text1"/>
                <w:sz w:val="20"/>
                <w:szCs w:val="20"/>
              </w:rPr>
              <w:t>17/24</w:t>
            </w:r>
          </w:p>
        </w:tc>
      </w:tr>
      <w:tr w:rsidR="008D2030" w:rsidRPr="00CC3649" w:rsidTr="008D2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9"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Score MMSE moyen</w:t>
            </w:r>
          </w:p>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NC≥ NC3</w:t>
            </w:r>
          </w:p>
        </w:tc>
        <w:tc>
          <w:tcPr>
            <w:tcW w:w="2207"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20.3/30</w:t>
            </w:r>
          </w:p>
        </w:tc>
      </w:tr>
      <w:tr w:rsidR="008D2030" w:rsidRPr="00CC3649" w:rsidTr="008D2030">
        <w:tc>
          <w:tcPr>
            <w:cnfStyle w:val="001000000000" w:firstRow="0" w:lastRow="0" w:firstColumn="1" w:lastColumn="0" w:oddVBand="0" w:evenVBand="0" w:oddHBand="0" w:evenHBand="0" w:firstRowFirstColumn="0" w:firstRowLastColumn="0" w:lastRowFirstColumn="0" w:lastRowLastColumn="0"/>
            <w:tcW w:w="2329"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IADL moyen</w:t>
            </w:r>
          </w:p>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Au moment du diagnostic</w:t>
            </w:r>
          </w:p>
        </w:tc>
        <w:tc>
          <w:tcPr>
            <w:tcW w:w="2207"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0.87/4</w:t>
            </w:r>
          </w:p>
        </w:tc>
      </w:tr>
      <w:tr w:rsidR="008D2030" w:rsidRPr="00CC3649" w:rsidTr="008D2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9"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 xml:space="preserve">BREF moyen </w:t>
            </w:r>
          </w:p>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(pratiquée chez 31 patients)</w:t>
            </w:r>
          </w:p>
        </w:tc>
        <w:tc>
          <w:tcPr>
            <w:tcW w:w="2207"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10.8/18</w:t>
            </w:r>
          </w:p>
        </w:tc>
      </w:tr>
      <w:tr w:rsidR="008D2030" w:rsidRPr="00CC3649" w:rsidTr="008D2030">
        <w:tc>
          <w:tcPr>
            <w:cnfStyle w:val="001000000000" w:firstRow="0" w:lastRow="0" w:firstColumn="1" w:lastColumn="0" w:oddVBand="0" w:evenVBand="0" w:oddHBand="0" w:evenHBand="0" w:firstRowFirstColumn="0" w:firstRowLastColumn="0" w:lastRowFirstColumn="0" w:lastRowLastColumn="0"/>
            <w:tcW w:w="2329"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DMS 48 moyen</w:t>
            </w:r>
          </w:p>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(pratiquée chez 29 patients)</w:t>
            </w:r>
          </w:p>
        </w:tc>
        <w:tc>
          <w:tcPr>
            <w:tcW w:w="2207"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Set 1 : 35.5/48 (73.9% de réponses justes)</w:t>
            </w:r>
          </w:p>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Set 2 : 35.6/48 (74.1% de réponses justes)</w:t>
            </w:r>
          </w:p>
        </w:tc>
      </w:tr>
    </w:tbl>
    <w:p w:rsidR="008D2030" w:rsidRPr="00CC3649" w:rsidRDefault="008D2030" w:rsidP="00CC3649">
      <w:pPr>
        <w:jc w:val="both"/>
        <w:rPr>
          <w:rFonts w:ascii="Garamond" w:hAnsi="Garamond" w:cstheme="majorBidi"/>
          <w:sz w:val="20"/>
          <w:szCs w:val="20"/>
          <w:lang w:val="fr-FR"/>
        </w:rPr>
      </w:pPr>
      <w:r w:rsidRPr="00CC3649">
        <w:rPr>
          <w:rFonts w:ascii="Garamond" w:hAnsi="Garamond" w:cstheme="majorBidi"/>
          <w:sz w:val="20"/>
          <w:szCs w:val="20"/>
          <w:lang w:val="fr-FR"/>
        </w:rPr>
        <w:t xml:space="preserve">Nous remarquons, dans ces premiers résultats aux tests psychométriques, que le score MMSE moyen était plus bas dans le groupe NC inferieur à NC3. Par ailleurs, le score IADL moyen était inferieur à 1 définissant le concept de MCI chez tous nos patients.                      Par ailleurs, 4 patients (10%) ont présenté des troubles du langage associés, des hallucinations visuelles ont été rapportées chez 2 patients (5%), des troubles du comportement chez 3 patients (7.5%) et une désorientation </w:t>
      </w:r>
      <w:proofErr w:type="spellStart"/>
      <w:r w:rsidRPr="00CC3649">
        <w:rPr>
          <w:rFonts w:ascii="Garamond" w:hAnsi="Garamond" w:cstheme="majorBidi"/>
          <w:sz w:val="20"/>
          <w:szCs w:val="20"/>
          <w:lang w:val="fr-FR"/>
        </w:rPr>
        <w:t>temporospatiale</w:t>
      </w:r>
      <w:proofErr w:type="spellEnd"/>
      <w:r w:rsidRPr="00CC3649">
        <w:rPr>
          <w:rFonts w:ascii="Garamond" w:hAnsi="Garamond" w:cstheme="majorBidi"/>
          <w:sz w:val="20"/>
          <w:szCs w:val="20"/>
          <w:lang w:val="fr-FR"/>
        </w:rPr>
        <w:t xml:space="preserve"> chez 12 patients (30%).                                                                                                                                             Dans le cadre du suivi évolutif neurocognitif chez nos patients, une évaluation neuropsychologique stationnaire fait classer les MCI en formes dites « stables », retrouvées chez 19 patients (47.5%), et une aggravation progressive des tests les classe en formes dites « instables », notées chez 13 patients (32.5%).                                                                                                                                                                    </w:t>
      </w:r>
      <w:r w:rsidRPr="00CC3649">
        <w:rPr>
          <w:rFonts w:ascii="Garamond" w:hAnsi="Garamond" w:cstheme="majorBidi"/>
          <w:sz w:val="20"/>
          <w:szCs w:val="20"/>
          <w:lang w:val="fr-FR"/>
        </w:rPr>
        <w:lastRenderedPageBreak/>
        <w:t>Le comparatif des scores (MMSE et IADL) au moment du diagnostic et lors du suivi à la dernière consultation est résumé dans le tableau 3.</w:t>
      </w:r>
    </w:p>
    <w:p w:rsidR="008D2030" w:rsidRPr="00CC3649" w:rsidRDefault="008D2030" w:rsidP="00CC3649">
      <w:pPr>
        <w:jc w:val="both"/>
        <w:rPr>
          <w:rFonts w:ascii="Garamond" w:hAnsi="Garamond" w:cstheme="majorBidi"/>
          <w:sz w:val="20"/>
          <w:szCs w:val="20"/>
          <w:lang w:val="fr-FR"/>
        </w:rPr>
      </w:pPr>
      <w:r w:rsidRPr="00CC3649">
        <w:rPr>
          <w:rFonts w:ascii="Garamond" w:hAnsi="Garamond" w:cstheme="majorBidi"/>
          <w:sz w:val="20"/>
          <w:szCs w:val="20"/>
          <w:lang w:val="fr-FR"/>
        </w:rPr>
        <w:t>Tableau 3</w:t>
      </w:r>
      <w:r w:rsidR="0013017F">
        <w:rPr>
          <w:rFonts w:ascii="Garamond" w:hAnsi="Garamond" w:cstheme="majorBidi"/>
          <w:sz w:val="20"/>
          <w:szCs w:val="20"/>
          <w:lang w:val="fr-FR"/>
        </w:rPr>
        <w:t> :</w:t>
      </w:r>
      <w:r w:rsidRPr="00CC3649">
        <w:rPr>
          <w:rFonts w:ascii="Garamond" w:hAnsi="Garamond" w:cstheme="majorBidi"/>
          <w:sz w:val="20"/>
          <w:szCs w:val="20"/>
          <w:lang w:val="fr-FR"/>
        </w:rPr>
        <w:t xml:space="preserve"> comparatif des tests au moment du diagnostic et à la dernière consultation</w:t>
      </w:r>
    </w:p>
    <w:p w:rsidR="00E674F5" w:rsidRPr="00CC3649" w:rsidRDefault="00E674F5" w:rsidP="00CC3649">
      <w:pPr>
        <w:jc w:val="both"/>
        <w:rPr>
          <w:rFonts w:ascii="Garamond" w:hAnsi="Garamond" w:cstheme="majorBidi"/>
          <w:sz w:val="20"/>
          <w:szCs w:val="20"/>
          <w:lang w:val="fr-FR"/>
        </w:rPr>
      </w:pPr>
    </w:p>
    <w:tbl>
      <w:tblPr>
        <w:tblStyle w:val="Trameclaire-Accent11"/>
        <w:tblW w:w="0" w:type="auto"/>
        <w:tblLook w:val="04A0" w:firstRow="1" w:lastRow="0" w:firstColumn="1" w:lastColumn="0" w:noHBand="0" w:noVBand="1"/>
      </w:tblPr>
      <w:tblGrid>
        <w:gridCol w:w="982"/>
        <w:gridCol w:w="941"/>
        <w:gridCol w:w="941"/>
        <w:gridCol w:w="836"/>
        <w:gridCol w:w="836"/>
      </w:tblGrid>
      <w:tr w:rsidR="008D2030" w:rsidRPr="00CC3649" w:rsidTr="008D20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tcPr>
          <w:p w:rsidR="008D2030" w:rsidRPr="00CC3649" w:rsidRDefault="008D2030" w:rsidP="00CC3649">
            <w:pPr>
              <w:jc w:val="both"/>
              <w:rPr>
                <w:rFonts w:ascii="Garamond" w:hAnsi="Garamond" w:cstheme="majorBidi"/>
                <w:color w:val="000000" w:themeColor="text1"/>
                <w:sz w:val="20"/>
                <w:szCs w:val="20"/>
              </w:rPr>
            </w:pPr>
          </w:p>
        </w:tc>
        <w:tc>
          <w:tcPr>
            <w:tcW w:w="941" w:type="dxa"/>
          </w:tcPr>
          <w:p w:rsidR="008D2030" w:rsidRPr="00CC3649" w:rsidRDefault="008D2030" w:rsidP="00CC3649">
            <w:pPr>
              <w:jc w:val="both"/>
              <w:cnfStyle w:val="100000000000" w:firstRow="1"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MMSE 1</w:t>
            </w:r>
          </w:p>
        </w:tc>
        <w:tc>
          <w:tcPr>
            <w:tcW w:w="941" w:type="dxa"/>
          </w:tcPr>
          <w:p w:rsidR="008D2030" w:rsidRPr="00CC3649" w:rsidRDefault="008D2030" w:rsidP="00CC3649">
            <w:pPr>
              <w:jc w:val="both"/>
              <w:cnfStyle w:val="100000000000" w:firstRow="1"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MMSE 2</w:t>
            </w:r>
          </w:p>
        </w:tc>
        <w:tc>
          <w:tcPr>
            <w:tcW w:w="836" w:type="dxa"/>
          </w:tcPr>
          <w:p w:rsidR="008D2030" w:rsidRPr="00CC3649" w:rsidRDefault="008D2030" w:rsidP="00CC3649">
            <w:pPr>
              <w:jc w:val="both"/>
              <w:cnfStyle w:val="100000000000" w:firstRow="1"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IADL 1</w:t>
            </w:r>
          </w:p>
        </w:tc>
        <w:tc>
          <w:tcPr>
            <w:tcW w:w="836" w:type="dxa"/>
          </w:tcPr>
          <w:p w:rsidR="008D2030" w:rsidRPr="00CC3649" w:rsidRDefault="008D2030" w:rsidP="00CC3649">
            <w:pPr>
              <w:jc w:val="both"/>
              <w:cnfStyle w:val="100000000000" w:firstRow="1"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IADL 2</w:t>
            </w:r>
          </w:p>
        </w:tc>
      </w:tr>
      <w:tr w:rsidR="008D2030" w:rsidRPr="00CC3649" w:rsidTr="008D2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MCI stable</w:t>
            </w:r>
          </w:p>
        </w:tc>
        <w:tc>
          <w:tcPr>
            <w:tcW w:w="941"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19.6</w:t>
            </w:r>
          </w:p>
        </w:tc>
        <w:tc>
          <w:tcPr>
            <w:tcW w:w="941"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19.2</w:t>
            </w:r>
          </w:p>
        </w:tc>
        <w:tc>
          <w:tcPr>
            <w:tcW w:w="836"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0.53/4</w:t>
            </w:r>
          </w:p>
        </w:tc>
        <w:tc>
          <w:tcPr>
            <w:tcW w:w="836"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1.05/4</w:t>
            </w:r>
          </w:p>
        </w:tc>
      </w:tr>
      <w:tr w:rsidR="008D2030" w:rsidRPr="00CC3649" w:rsidTr="008D2030">
        <w:tc>
          <w:tcPr>
            <w:cnfStyle w:val="001000000000" w:firstRow="0" w:lastRow="0" w:firstColumn="1" w:lastColumn="0" w:oddVBand="0" w:evenVBand="0" w:oddHBand="0" w:evenHBand="0" w:firstRowFirstColumn="0" w:firstRowLastColumn="0" w:lastRowFirstColumn="0" w:lastRowLastColumn="0"/>
            <w:tcW w:w="982"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MCI instable</w:t>
            </w:r>
          </w:p>
        </w:tc>
        <w:tc>
          <w:tcPr>
            <w:tcW w:w="941"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19.1</w:t>
            </w:r>
          </w:p>
        </w:tc>
        <w:tc>
          <w:tcPr>
            <w:tcW w:w="941"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16.2</w:t>
            </w:r>
          </w:p>
        </w:tc>
        <w:tc>
          <w:tcPr>
            <w:tcW w:w="836"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0.94/4</w:t>
            </w:r>
          </w:p>
        </w:tc>
        <w:tc>
          <w:tcPr>
            <w:tcW w:w="836"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2.23/4</w:t>
            </w:r>
          </w:p>
        </w:tc>
      </w:tr>
    </w:tbl>
    <w:p w:rsidR="0013017F" w:rsidRDefault="0013017F" w:rsidP="00CC3649">
      <w:pPr>
        <w:jc w:val="both"/>
        <w:rPr>
          <w:rFonts w:ascii="Garamond" w:hAnsi="Garamond" w:cstheme="majorBidi"/>
          <w:sz w:val="20"/>
          <w:szCs w:val="20"/>
          <w:lang w:val="fr-FR"/>
        </w:rPr>
      </w:pPr>
    </w:p>
    <w:p w:rsidR="008D2030" w:rsidRPr="00CC3649" w:rsidRDefault="008D2030" w:rsidP="00CC3649">
      <w:pPr>
        <w:jc w:val="both"/>
        <w:rPr>
          <w:rFonts w:ascii="Garamond" w:hAnsi="Garamond" w:cstheme="majorBidi"/>
          <w:sz w:val="20"/>
          <w:szCs w:val="20"/>
          <w:lang w:val="fr-FR"/>
        </w:rPr>
      </w:pPr>
      <w:r w:rsidRPr="00CC3649">
        <w:rPr>
          <w:rFonts w:ascii="Garamond" w:hAnsi="Garamond" w:cstheme="majorBidi"/>
          <w:sz w:val="20"/>
          <w:szCs w:val="20"/>
          <w:lang w:val="fr-FR"/>
        </w:rPr>
        <w:t>Dans ce tableau, un comparatif a été pratiqué au moment du diagnostic (chiffre 1) et lors de la dernière consultation (chiffre 2) chez l’ensemble de nos patients. Nous avons utilisé pour cela les scores MMSE et IADL et ceci a permis de classer nos patients en 2 groupes : MCI stable avec un score MMSE 1 et 2 stables ainsi que le score IADL 1 et 2 (autour de 1). Contrairement au groupe MCI instable ou le score MMSE s’est aggravé de 3 points en moyenne mais également le score IADL qui passe de 0.94 à 2.23.                                                                    Sur le plan para clinique, une atrophie hippocampique a été observée chez 18 patients (45%) avec la répartition suivante : 21% chez les MCI stables et 84.6% chez les MCI instables.                                             Les biomarqueurs de la MA, testés chez 6 patients, sont résumés dans le tableau 4, avec les diagnostics posés.  Les diagnostics évoqués, après 5 années de suivi, sont représentées dans la figure 2.</w:t>
      </w:r>
    </w:p>
    <w:p w:rsidR="008D2030" w:rsidRPr="00CC3649" w:rsidRDefault="008D2030" w:rsidP="00CC3649">
      <w:pPr>
        <w:jc w:val="both"/>
        <w:rPr>
          <w:rFonts w:ascii="Garamond" w:hAnsi="Garamond" w:cstheme="majorBidi"/>
          <w:sz w:val="20"/>
          <w:szCs w:val="20"/>
          <w:lang w:val="fr-FR"/>
        </w:rPr>
      </w:pPr>
      <w:r w:rsidRPr="00CC3649">
        <w:rPr>
          <w:rFonts w:ascii="Garamond" w:hAnsi="Garamond" w:cstheme="majorBidi"/>
          <w:sz w:val="20"/>
          <w:szCs w:val="20"/>
          <w:lang w:val="fr-FR"/>
        </w:rPr>
        <w:t>Tableau 4</w:t>
      </w:r>
      <w:r w:rsidR="0013017F">
        <w:rPr>
          <w:rFonts w:ascii="Garamond" w:hAnsi="Garamond" w:cstheme="majorBidi"/>
          <w:sz w:val="20"/>
          <w:szCs w:val="20"/>
          <w:lang w:val="fr-FR"/>
        </w:rPr>
        <w:t> :</w:t>
      </w:r>
      <w:r w:rsidRPr="00CC3649">
        <w:rPr>
          <w:rFonts w:ascii="Garamond" w:hAnsi="Garamond" w:cstheme="majorBidi"/>
          <w:sz w:val="20"/>
          <w:szCs w:val="20"/>
          <w:lang w:val="fr-FR"/>
        </w:rPr>
        <w:t xml:space="preserve"> résultats </w:t>
      </w:r>
      <w:r w:rsidR="00E674F5" w:rsidRPr="00CC3649">
        <w:rPr>
          <w:rFonts w:ascii="Garamond" w:hAnsi="Garamond" w:cstheme="majorBidi"/>
          <w:sz w:val="20"/>
          <w:szCs w:val="20"/>
          <w:lang w:val="fr-FR"/>
        </w:rPr>
        <w:t xml:space="preserve">des </w:t>
      </w:r>
      <w:r w:rsidRPr="00CC3649">
        <w:rPr>
          <w:rFonts w:ascii="Garamond" w:hAnsi="Garamond" w:cstheme="majorBidi"/>
          <w:sz w:val="20"/>
          <w:szCs w:val="20"/>
          <w:lang w:val="fr-FR"/>
        </w:rPr>
        <w:t>biomarqueurs MA chez les 6 patients</w:t>
      </w:r>
    </w:p>
    <w:tbl>
      <w:tblPr>
        <w:tblStyle w:val="Trameclaire-Accent2"/>
        <w:tblW w:w="0" w:type="auto"/>
        <w:tblLook w:val="04A0" w:firstRow="1" w:lastRow="0" w:firstColumn="1" w:lastColumn="0" w:noHBand="0" w:noVBand="1"/>
      </w:tblPr>
      <w:tblGrid>
        <w:gridCol w:w="1340"/>
        <w:gridCol w:w="1744"/>
        <w:gridCol w:w="1452"/>
      </w:tblGrid>
      <w:tr w:rsidR="008D2030" w:rsidRPr="00CC3649" w:rsidTr="008D20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Patient 16</w:t>
            </w:r>
          </w:p>
        </w:tc>
        <w:tc>
          <w:tcPr>
            <w:tcW w:w="1744" w:type="dxa"/>
          </w:tcPr>
          <w:p w:rsidR="008D2030" w:rsidRPr="00CC3649" w:rsidRDefault="008D2030" w:rsidP="00CC3649">
            <w:pPr>
              <w:jc w:val="both"/>
              <w:cnfStyle w:val="100000000000" w:firstRow="1" w:lastRow="0" w:firstColumn="0" w:lastColumn="0" w:oddVBand="0" w:evenVBand="0" w:oddHBand="0" w:evenHBand="0" w:firstRowFirstColumn="0" w:firstRowLastColumn="0" w:lastRowFirstColumn="0" w:lastRowLastColumn="0"/>
              <w:rPr>
                <w:rFonts w:ascii="Garamond" w:hAnsi="Garamond" w:cstheme="majorBidi"/>
                <w:b w:val="0"/>
                <w:bCs w:val="0"/>
                <w:color w:val="000000" w:themeColor="text1"/>
                <w:sz w:val="20"/>
                <w:szCs w:val="20"/>
              </w:rPr>
            </w:pPr>
            <w:r w:rsidRPr="00CC3649">
              <w:rPr>
                <w:rFonts w:ascii="Garamond" w:hAnsi="Garamond" w:cstheme="majorBidi"/>
                <w:b w:val="0"/>
                <w:bCs w:val="0"/>
                <w:color w:val="000000" w:themeColor="text1"/>
                <w:sz w:val="20"/>
                <w:szCs w:val="20"/>
              </w:rPr>
              <w:t>AB 42 normale / Tau et P Tau élevées</w:t>
            </w:r>
          </w:p>
        </w:tc>
        <w:tc>
          <w:tcPr>
            <w:tcW w:w="1452" w:type="dxa"/>
          </w:tcPr>
          <w:p w:rsidR="008D2030" w:rsidRPr="00CC3649" w:rsidRDefault="008D2030" w:rsidP="00CC3649">
            <w:pPr>
              <w:jc w:val="both"/>
              <w:cnfStyle w:val="100000000000" w:firstRow="1" w:lastRow="0" w:firstColumn="0" w:lastColumn="0" w:oddVBand="0" w:evenVBand="0" w:oddHBand="0" w:evenHBand="0" w:firstRowFirstColumn="0" w:firstRowLastColumn="0" w:lastRowFirstColumn="0" w:lastRowLastColumn="0"/>
              <w:rPr>
                <w:rFonts w:ascii="Garamond" w:hAnsi="Garamond" w:cstheme="majorBidi"/>
                <w:b w:val="0"/>
                <w:bCs w:val="0"/>
                <w:color w:val="000000" w:themeColor="text1"/>
                <w:sz w:val="20"/>
                <w:szCs w:val="20"/>
              </w:rPr>
            </w:pPr>
            <w:r w:rsidRPr="00CC3649">
              <w:rPr>
                <w:rFonts w:ascii="Garamond" w:hAnsi="Garamond" w:cstheme="majorBidi"/>
                <w:b w:val="0"/>
                <w:bCs w:val="0"/>
                <w:color w:val="000000" w:themeColor="text1"/>
                <w:sz w:val="20"/>
                <w:szCs w:val="20"/>
              </w:rPr>
              <w:t>MCI instable (MA)</w:t>
            </w:r>
          </w:p>
        </w:tc>
      </w:tr>
      <w:tr w:rsidR="008D2030" w:rsidRPr="00CC3649" w:rsidTr="008D2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Patient 28</w:t>
            </w:r>
          </w:p>
        </w:tc>
        <w:tc>
          <w:tcPr>
            <w:tcW w:w="1744"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Biomarqueurs normaux</w:t>
            </w:r>
          </w:p>
        </w:tc>
        <w:tc>
          <w:tcPr>
            <w:tcW w:w="1452"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VCN</w:t>
            </w:r>
          </w:p>
        </w:tc>
      </w:tr>
      <w:tr w:rsidR="008D2030" w:rsidRPr="00CC3649" w:rsidTr="008D2030">
        <w:tc>
          <w:tcPr>
            <w:cnfStyle w:val="001000000000" w:firstRow="0" w:lastRow="0" w:firstColumn="1" w:lastColumn="0" w:oddVBand="0" w:evenVBand="0" w:oddHBand="0" w:evenHBand="0" w:firstRowFirstColumn="0" w:firstRowLastColumn="0" w:lastRowFirstColumn="0" w:lastRowLastColumn="0"/>
            <w:tcW w:w="1340"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Patient 29</w:t>
            </w:r>
          </w:p>
        </w:tc>
        <w:tc>
          <w:tcPr>
            <w:tcW w:w="1744"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Biomarqueurs normaux</w:t>
            </w:r>
          </w:p>
        </w:tc>
        <w:tc>
          <w:tcPr>
            <w:tcW w:w="1452"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VCN</w:t>
            </w:r>
          </w:p>
        </w:tc>
      </w:tr>
      <w:tr w:rsidR="008D2030" w:rsidRPr="00CC3649" w:rsidTr="008D2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Patient 31</w:t>
            </w:r>
          </w:p>
        </w:tc>
        <w:tc>
          <w:tcPr>
            <w:tcW w:w="1744"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Biomarqueurs normaux</w:t>
            </w:r>
          </w:p>
        </w:tc>
        <w:tc>
          <w:tcPr>
            <w:tcW w:w="1452"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VCN</w:t>
            </w:r>
          </w:p>
        </w:tc>
      </w:tr>
      <w:tr w:rsidR="008D2030" w:rsidRPr="00CC3649" w:rsidTr="008D2030">
        <w:tc>
          <w:tcPr>
            <w:cnfStyle w:val="001000000000" w:firstRow="0" w:lastRow="0" w:firstColumn="1" w:lastColumn="0" w:oddVBand="0" w:evenVBand="0" w:oddHBand="0" w:evenHBand="0" w:firstRowFirstColumn="0" w:firstRowLastColumn="0" w:lastRowFirstColumn="0" w:lastRowLastColumn="0"/>
            <w:tcW w:w="1340"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Patient 34</w:t>
            </w:r>
          </w:p>
        </w:tc>
        <w:tc>
          <w:tcPr>
            <w:tcW w:w="1744"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 xml:space="preserve">AB 42 normale / Tau Normale / </w:t>
            </w:r>
            <w:proofErr w:type="spellStart"/>
            <w:r w:rsidRPr="00CC3649">
              <w:rPr>
                <w:rFonts w:ascii="Garamond" w:hAnsi="Garamond" w:cstheme="majorBidi"/>
                <w:color w:val="000000" w:themeColor="text1"/>
                <w:sz w:val="20"/>
                <w:szCs w:val="20"/>
              </w:rPr>
              <w:t>PTau</w:t>
            </w:r>
            <w:proofErr w:type="spellEnd"/>
            <w:r w:rsidRPr="00CC3649">
              <w:rPr>
                <w:rFonts w:ascii="Garamond" w:hAnsi="Garamond" w:cstheme="majorBidi"/>
                <w:color w:val="000000" w:themeColor="text1"/>
                <w:sz w:val="20"/>
                <w:szCs w:val="20"/>
              </w:rPr>
              <w:t xml:space="preserve"> élevée</w:t>
            </w:r>
          </w:p>
        </w:tc>
        <w:tc>
          <w:tcPr>
            <w:tcW w:w="1452"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Démence mixte</w:t>
            </w:r>
          </w:p>
        </w:tc>
      </w:tr>
      <w:tr w:rsidR="008D2030" w:rsidRPr="00CC3649" w:rsidTr="008D20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0" w:type="dxa"/>
          </w:tcPr>
          <w:p w:rsidR="008D2030" w:rsidRPr="00CC3649" w:rsidRDefault="008D2030" w:rsidP="00CC3649">
            <w:p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Patient 37</w:t>
            </w:r>
          </w:p>
        </w:tc>
        <w:tc>
          <w:tcPr>
            <w:tcW w:w="1744"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AB 42 normale / Tau et P Tau élevées</w:t>
            </w:r>
          </w:p>
        </w:tc>
        <w:tc>
          <w:tcPr>
            <w:tcW w:w="1452" w:type="dxa"/>
          </w:tcPr>
          <w:p w:rsidR="008D2030" w:rsidRPr="00CC3649" w:rsidRDefault="008D2030" w:rsidP="00CC3649">
            <w:pPr>
              <w:jc w:val="both"/>
              <w:cnfStyle w:val="000000100000" w:firstRow="0" w:lastRow="0" w:firstColumn="0" w:lastColumn="0" w:oddVBand="0" w:evenVBand="0" w:oddHBand="1" w:evenHBand="0" w:firstRowFirstColumn="0" w:firstRowLastColumn="0" w:lastRowFirstColumn="0" w:lastRowLastColumn="0"/>
              <w:rPr>
                <w:rFonts w:ascii="Garamond" w:hAnsi="Garamond" w:cstheme="majorBidi"/>
                <w:color w:val="000000" w:themeColor="text1"/>
                <w:sz w:val="20"/>
                <w:szCs w:val="20"/>
              </w:rPr>
            </w:pPr>
            <w:r w:rsidRPr="00CC3649">
              <w:rPr>
                <w:rFonts w:ascii="Garamond" w:hAnsi="Garamond" w:cstheme="majorBidi"/>
                <w:color w:val="000000" w:themeColor="text1"/>
                <w:sz w:val="20"/>
                <w:szCs w:val="20"/>
              </w:rPr>
              <w:t>MCI instable (MA)</w:t>
            </w:r>
          </w:p>
        </w:tc>
      </w:tr>
      <w:tr w:rsidR="008D2030" w:rsidRPr="00CC3649" w:rsidTr="008D2030">
        <w:tc>
          <w:tcPr>
            <w:cnfStyle w:val="001000000000" w:firstRow="0" w:lastRow="0" w:firstColumn="1" w:lastColumn="0" w:oddVBand="0" w:evenVBand="0" w:oddHBand="0" w:evenHBand="0" w:firstRowFirstColumn="0" w:firstRowLastColumn="0" w:lastRowFirstColumn="0" w:lastRowLastColumn="0"/>
            <w:tcW w:w="1340" w:type="dxa"/>
          </w:tcPr>
          <w:p w:rsidR="008D2030" w:rsidRPr="00CC3649" w:rsidRDefault="008D2030" w:rsidP="00CC3649">
            <w:pPr>
              <w:jc w:val="both"/>
              <w:rPr>
                <w:rFonts w:ascii="Garamond" w:hAnsi="Garamond" w:cstheme="majorBidi"/>
                <w:color w:val="000000" w:themeColor="text1"/>
                <w:sz w:val="20"/>
                <w:szCs w:val="20"/>
              </w:rPr>
            </w:pPr>
          </w:p>
        </w:tc>
        <w:tc>
          <w:tcPr>
            <w:tcW w:w="1744"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p>
        </w:tc>
        <w:tc>
          <w:tcPr>
            <w:tcW w:w="1452" w:type="dxa"/>
          </w:tcPr>
          <w:p w:rsidR="008D2030" w:rsidRPr="00CC3649" w:rsidRDefault="008D2030" w:rsidP="00CC3649">
            <w:pPr>
              <w:jc w:val="both"/>
              <w:cnfStyle w:val="000000000000" w:firstRow="0" w:lastRow="0" w:firstColumn="0" w:lastColumn="0" w:oddVBand="0" w:evenVBand="0" w:oddHBand="0" w:evenHBand="0" w:firstRowFirstColumn="0" w:firstRowLastColumn="0" w:lastRowFirstColumn="0" w:lastRowLastColumn="0"/>
              <w:rPr>
                <w:rFonts w:ascii="Garamond" w:hAnsi="Garamond" w:cstheme="majorBidi"/>
                <w:color w:val="000000" w:themeColor="text1"/>
                <w:sz w:val="20"/>
                <w:szCs w:val="20"/>
              </w:rPr>
            </w:pPr>
          </w:p>
        </w:tc>
      </w:tr>
    </w:tbl>
    <w:p w:rsidR="00302F93" w:rsidRPr="00CC3649" w:rsidRDefault="008D2030" w:rsidP="00CC3649">
      <w:pPr>
        <w:pStyle w:val="Els-body-text"/>
        <w:spacing w:before="100" w:beforeAutospacing="1" w:after="100" w:afterAutospacing="1" w:line="240" w:lineRule="auto"/>
        <w:ind w:firstLine="0"/>
        <w:rPr>
          <w:rFonts w:ascii="Garamond" w:hAnsi="Garamond" w:cstheme="majorBidi"/>
          <w:sz w:val="20"/>
          <w:lang w:val="fr-FR"/>
        </w:rPr>
      </w:pPr>
      <w:r w:rsidRPr="00CC3649">
        <w:rPr>
          <w:rFonts w:ascii="Garamond" w:hAnsi="Garamond" w:cstheme="majorBidi"/>
          <w:sz w:val="20"/>
          <w:lang w:val="fr-FR"/>
        </w:rPr>
        <w:t>Dans ce tableau, les résultats des biomarqueurs dans le LCR étaient normaux chez 3 patients. Ils étaient en faveur d’une MCI instable donc d’une MA chez 2 patients, et en faveur d’un profil de démence mixte chez un patient.</w:t>
      </w:r>
    </w:p>
    <w:p w:rsidR="00405D34" w:rsidRPr="0013017F" w:rsidRDefault="00405D34" w:rsidP="0013017F">
      <w:pPr>
        <w:pStyle w:val="Els-body-text"/>
        <w:spacing w:before="100" w:beforeAutospacing="1" w:after="100" w:afterAutospacing="1" w:line="240" w:lineRule="auto"/>
        <w:ind w:firstLine="0"/>
        <w:rPr>
          <w:rFonts w:ascii="Garamond" w:hAnsi="Garamond"/>
          <w:sz w:val="20"/>
          <w:lang w:val="fr-FR"/>
        </w:rPr>
      </w:pPr>
      <w:r w:rsidRPr="00CC3649">
        <w:rPr>
          <w:rFonts w:ascii="Garamond" w:hAnsi="Garamond"/>
          <w:noProof/>
          <w:sz w:val="20"/>
          <w:lang w:val="fr-FR" w:eastAsia="fr-FR"/>
        </w:rPr>
        <w:drawing>
          <wp:inline distT="0" distB="0" distL="0" distR="0">
            <wp:extent cx="2743200" cy="1808939"/>
            <wp:effectExtent l="19050" t="0" r="0" b="0"/>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2743200" cy="1808939"/>
                    </a:xfrm>
                    <a:prstGeom prst="rect">
                      <a:avLst/>
                    </a:prstGeom>
                    <a:noFill/>
                    <a:ln w="9525">
                      <a:noFill/>
                      <a:miter lim="800000"/>
                      <a:headEnd/>
                      <a:tailEnd/>
                    </a:ln>
                  </pic:spPr>
                </pic:pic>
              </a:graphicData>
            </a:graphic>
          </wp:inline>
        </w:drawing>
      </w:r>
      <w:r w:rsidRPr="0013017F">
        <w:rPr>
          <w:rFonts w:ascii="Garamond" w:hAnsi="Garamond" w:cstheme="majorBidi"/>
          <w:szCs w:val="16"/>
          <w:lang w:val="fr-FR"/>
        </w:rPr>
        <w:t xml:space="preserve">AD : maladie d’Alzheimer, VCI : </w:t>
      </w:r>
      <w:proofErr w:type="spellStart"/>
      <w:r w:rsidRPr="0013017F">
        <w:rPr>
          <w:rFonts w:ascii="Garamond" w:hAnsi="Garamond" w:cstheme="majorBidi"/>
          <w:szCs w:val="16"/>
          <w:lang w:val="fr-FR"/>
        </w:rPr>
        <w:t>vascular</w:t>
      </w:r>
      <w:proofErr w:type="spellEnd"/>
      <w:r w:rsidRPr="0013017F">
        <w:rPr>
          <w:rFonts w:ascii="Garamond" w:hAnsi="Garamond" w:cstheme="majorBidi"/>
          <w:szCs w:val="16"/>
          <w:lang w:val="fr-FR"/>
        </w:rPr>
        <w:t xml:space="preserve"> cognitive </w:t>
      </w:r>
      <w:proofErr w:type="spellStart"/>
      <w:r w:rsidRPr="0013017F">
        <w:rPr>
          <w:rFonts w:ascii="Garamond" w:hAnsi="Garamond" w:cstheme="majorBidi"/>
          <w:szCs w:val="16"/>
          <w:lang w:val="fr-FR"/>
        </w:rPr>
        <w:t>impairment</w:t>
      </w:r>
      <w:proofErr w:type="spellEnd"/>
    </w:p>
    <w:p w:rsidR="00E56282" w:rsidRPr="00CC3649" w:rsidRDefault="00405D34" w:rsidP="00CC3649">
      <w:pPr>
        <w:jc w:val="both"/>
        <w:rPr>
          <w:rFonts w:ascii="Garamond" w:hAnsi="Garamond" w:cstheme="majorBidi"/>
          <w:sz w:val="20"/>
          <w:szCs w:val="20"/>
          <w:lang w:val="fr-FR"/>
        </w:rPr>
      </w:pPr>
      <w:r w:rsidRPr="00CC3649">
        <w:rPr>
          <w:rFonts w:ascii="Garamond" w:hAnsi="Garamond" w:cstheme="majorBidi"/>
          <w:sz w:val="20"/>
          <w:szCs w:val="20"/>
          <w:lang w:val="fr-FR"/>
        </w:rPr>
        <w:t>Les différents diagnostics retrouvés sont représentés dans cette figure, avec une prédominance des formes stables, suivies par la MA. Des cas de démence mixte, de déficit en vitamine B12, d’encéphalopathie de Hashimoto ainsi que des syndromes dépressifs (pouvant mimer un début de MA) ont été retrouvés dans notre série.</w:t>
      </w:r>
    </w:p>
    <w:p w:rsidR="00E56282" w:rsidRPr="0013017F" w:rsidRDefault="00E56282" w:rsidP="00CC3649">
      <w:pPr>
        <w:pStyle w:val="Els-1storder-head"/>
        <w:numPr>
          <w:ilvl w:val="0"/>
          <w:numId w:val="0"/>
        </w:numPr>
        <w:jc w:val="both"/>
        <w:rPr>
          <w:rFonts w:ascii="Garamond" w:hAnsi="Garamond"/>
          <w:sz w:val="24"/>
          <w:szCs w:val="24"/>
          <w:lang w:val="fr-FR"/>
        </w:rPr>
      </w:pPr>
      <w:r w:rsidRPr="0013017F">
        <w:rPr>
          <w:rFonts w:ascii="Garamond" w:hAnsi="Garamond"/>
          <w:sz w:val="24"/>
          <w:szCs w:val="24"/>
          <w:lang w:val="fr-FR"/>
        </w:rPr>
        <w:t>Discussion</w:t>
      </w:r>
    </w:p>
    <w:p w:rsidR="00405D34" w:rsidRPr="00CC3649" w:rsidRDefault="00405D34" w:rsidP="00CC3649">
      <w:pPr>
        <w:jc w:val="both"/>
        <w:rPr>
          <w:rFonts w:ascii="Garamond" w:hAnsi="Garamond" w:cstheme="majorBidi"/>
          <w:sz w:val="20"/>
          <w:szCs w:val="20"/>
          <w:lang w:val="fr-FR"/>
        </w:rPr>
      </w:pPr>
      <w:r w:rsidRPr="00CC3649">
        <w:rPr>
          <w:rFonts w:ascii="Garamond" w:hAnsi="Garamond" w:cstheme="majorBidi"/>
          <w:sz w:val="20"/>
          <w:szCs w:val="20"/>
          <w:lang w:val="fr-FR"/>
        </w:rPr>
        <w:t xml:space="preserve">Notre travail relate les profils évolutifs variés qui suivent un trouble cognitif léger ou MCI. En effet, les patients ayant présenté un MCI stable (47.5%) ont évolué vers une entité clinique normale, le vieillissement cognitif normal (VCN) dans 39% des cas. D’autres étiologies ont été identifiées : une atteinte vasculaire (le VCI : </w:t>
      </w:r>
      <w:proofErr w:type="spellStart"/>
      <w:r w:rsidRPr="00CC3649">
        <w:rPr>
          <w:rFonts w:ascii="Garamond" w:hAnsi="Garamond" w:cstheme="majorBidi"/>
          <w:sz w:val="20"/>
          <w:szCs w:val="20"/>
          <w:lang w:val="fr-FR"/>
        </w:rPr>
        <w:t>vascular</w:t>
      </w:r>
      <w:proofErr w:type="spellEnd"/>
      <w:r w:rsidRPr="00CC3649">
        <w:rPr>
          <w:rFonts w:ascii="Garamond" w:hAnsi="Garamond" w:cstheme="majorBidi"/>
          <w:sz w:val="20"/>
          <w:szCs w:val="20"/>
          <w:lang w:val="fr-FR"/>
        </w:rPr>
        <w:t xml:space="preserve"> cognitive </w:t>
      </w:r>
      <w:proofErr w:type="spellStart"/>
      <w:r w:rsidRPr="00CC3649">
        <w:rPr>
          <w:rFonts w:ascii="Garamond" w:hAnsi="Garamond" w:cstheme="majorBidi"/>
          <w:sz w:val="20"/>
          <w:szCs w:val="20"/>
          <w:lang w:val="fr-FR"/>
        </w:rPr>
        <w:t>impairment</w:t>
      </w:r>
      <w:proofErr w:type="spellEnd"/>
      <w:r w:rsidRPr="00CC3649">
        <w:rPr>
          <w:rFonts w:ascii="Garamond" w:hAnsi="Garamond" w:cstheme="majorBidi"/>
          <w:sz w:val="20"/>
          <w:szCs w:val="20"/>
          <w:lang w:val="fr-FR"/>
        </w:rPr>
        <w:t xml:space="preserve">), une carence en vitamine B12, un syndrome dépressif chez 3 patients et un patient présentant l’association d’une forme paranéoplasique probable à une encéphalite d’Hashimoto.                                                                                 </w:t>
      </w:r>
    </w:p>
    <w:p w:rsidR="00405D34" w:rsidRPr="00CC3649" w:rsidRDefault="00405D34" w:rsidP="00CC3649">
      <w:pPr>
        <w:jc w:val="both"/>
        <w:rPr>
          <w:rFonts w:ascii="Garamond" w:hAnsi="Garamond" w:cstheme="majorBidi"/>
          <w:sz w:val="20"/>
          <w:szCs w:val="20"/>
          <w:lang w:val="fr-FR"/>
        </w:rPr>
      </w:pPr>
      <w:r w:rsidRPr="00CC3649">
        <w:rPr>
          <w:rFonts w:ascii="Garamond" w:hAnsi="Garamond" w:cstheme="majorBidi"/>
          <w:sz w:val="20"/>
          <w:szCs w:val="20"/>
          <w:lang w:val="fr-FR"/>
        </w:rPr>
        <w:t>Par ailleurs, tous nos patients avec MCI instable ont évolué vers une MA. En analysant leurs données cliniques et para cliniques, il semblerait que certains facteurs sont prédictifs de cette évolution dans notre série :                                                                                                                                                                           - le score MMSE (lors de la 1</w:t>
      </w:r>
      <w:r w:rsidRPr="00CC3649">
        <w:rPr>
          <w:rFonts w:ascii="Garamond" w:hAnsi="Garamond" w:cstheme="majorBidi"/>
          <w:sz w:val="20"/>
          <w:szCs w:val="20"/>
          <w:vertAlign w:val="superscript"/>
          <w:lang w:val="fr-FR"/>
        </w:rPr>
        <w:t>e</w:t>
      </w:r>
      <w:r w:rsidRPr="00CC3649">
        <w:rPr>
          <w:rFonts w:ascii="Garamond" w:hAnsi="Garamond" w:cstheme="majorBidi"/>
          <w:sz w:val="20"/>
          <w:szCs w:val="20"/>
          <w:lang w:val="fr-FR"/>
        </w:rPr>
        <w:t xml:space="preserve"> consultation ou consultation de référence), qui était plus bas en moyenne que le score obtenu chez les patients avec MCI stable.                                                                     - Une atteinte précoce des fonctions exécutives.                                                                                                      - Un score IADL légèrement supérieur à la 1</w:t>
      </w:r>
      <w:r w:rsidRPr="00CC3649">
        <w:rPr>
          <w:rFonts w:ascii="Garamond" w:hAnsi="Garamond" w:cstheme="majorBidi"/>
          <w:sz w:val="20"/>
          <w:szCs w:val="20"/>
          <w:vertAlign w:val="superscript"/>
          <w:lang w:val="fr-FR"/>
        </w:rPr>
        <w:t>e</w:t>
      </w:r>
      <w:r w:rsidRPr="00CC3649">
        <w:rPr>
          <w:rFonts w:ascii="Garamond" w:hAnsi="Garamond" w:cstheme="majorBidi"/>
          <w:sz w:val="20"/>
          <w:szCs w:val="20"/>
          <w:lang w:val="fr-FR"/>
        </w:rPr>
        <w:t xml:space="preserve"> </w:t>
      </w:r>
      <w:r w:rsidRPr="00CC3649">
        <w:rPr>
          <w:rFonts w:ascii="Garamond" w:hAnsi="Garamond" w:cstheme="majorBidi"/>
          <w:sz w:val="20"/>
          <w:szCs w:val="20"/>
          <w:lang w:val="fr-FR"/>
        </w:rPr>
        <w:lastRenderedPageBreak/>
        <w:t>consultation et qui s’est élevé significativement lors des consultations de suivi.                                                                                                                                               -L’atrophie hippocampique était plus importante et nettement plus fréquente dans les MCI instables.</w:t>
      </w:r>
    </w:p>
    <w:p w:rsidR="00405D34" w:rsidRPr="00CC3649" w:rsidRDefault="00405D34" w:rsidP="00CC3649">
      <w:pPr>
        <w:jc w:val="both"/>
        <w:rPr>
          <w:rFonts w:ascii="Garamond" w:hAnsi="Garamond" w:cstheme="majorBidi"/>
          <w:sz w:val="20"/>
          <w:szCs w:val="20"/>
          <w:lang w:val="fr-FR"/>
        </w:rPr>
      </w:pPr>
      <w:r w:rsidRPr="00CC3649">
        <w:rPr>
          <w:rFonts w:ascii="Garamond" w:hAnsi="Garamond" w:cstheme="majorBidi"/>
          <w:sz w:val="20"/>
          <w:szCs w:val="20"/>
          <w:lang w:val="fr-FR"/>
        </w:rPr>
        <w:t xml:space="preserve">Tous nos patients ont présenté un MCI instable de type MCI amnésique uni domaine le plus souvent, mais 6 patients avaient une forme multi domaines (3 avec troubles du langage à type de fluence verbale réduite, 2 patients avec troubles du comportement, et 1 patient avec atteinte </w:t>
      </w:r>
      <w:proofErr w:type="spellStart"/>
      <w:r w:rsidRPr="00CC3649">
        <w:rPr>
          <w:rFonts w:ascii="Garamond" w:hAnsi="Garamond" w:cstheme="majorBidi"/>
          <w:sz w:val="20"/>
          <w:szCs w:val="20"/>
          <w:lang w:val="fr-FR"/>
        </w:rPr>
        <w:t>dysexecutive</w:t>
      </w:r>
      <w:proofErr w:type="spellEnd"/>
      <w:r w:rsidRPr="00CC3649">
        <w:rPr>
          <w:rFonts w:ascii="Garamond" w:hAnsi="Garamond" w:cstheme="majorBidi"/>
          <w:sz w:val="20"/>
          <w:szCs w:val="20"/>
          <w:lang w:val="fr-FR"/>
        </w:rPr>
        <w:t>). A noter que le MCI amnésique est caractérisé par une atteinte mnésique isolée, le MCI non amnésique uni domaine est défini par l’atteinte d’un seul domaine cognitif mais non amnésique, le MCI multi domaines se définit par une atteinte mnésique associée à l’atteinte d’un ou plusieurs autres domaines cognitifs, et le MCI multi domaines non amnésique qui est caractérisé par  l’atteinte d’un ou plusieurs domaines non amnésiques [16].</w:t>
      </w:r>
    </w:p>
    <w:p w:rsidR="00405D34" w:rsidRPr="00CC3649" w:rsidRDefault="00405D34" w:rsidP="00CC3649">
      <w:pPr>
        <w:jc w:val="both"/>
        <w:rPr>
          <w:rFonts w:ascii="Garamond" w:hAnsi="Garamond" w:cstheme="majorBidi"/>
          <w:sz w:val="20"/>
          <w:szCs w:val="20"/>
          <w:lang w:val="fr-FR"/>
        </w:rPr>
      </w:pPr>
      <w:r w:rsidRPr="00CC3649">
        <w:rPr>
          <w:rFonts w:ascii="Garamond" w:hAnsi="Garamond" w:cstheme="majorBidi"/>
          <w:sz w:val="20"/>
          <w:szCs w:val="20"/>
          <w:lang w:val="fr-FR"/>
        </w:rPr>
        <w:t xml:space="preserve">Une étude multicentrique [17] portant sur 980 patients de plus de 75 ans, testés et suivis durant 6 ans, a révélé un profil évolutif très large pour les 4 sous-types MCI. La MA était plus fréquemment observée dans les suites évolutives du MCI amnésique </w:t>
      </w:r>
      <w:proofErr w:type="spellStart"/>
      <w:r w:rsidRPr="00CC3649">
        <w:rPr>
          <w:rFonts w:ascii="Garamond" w:hAnsi="Garamond" w:cstheme="majorBidi"/>
          <w:sz w:val="20"/>
          <w:szCs w:val="20"/>
          <w:lang w:val="fr-FR"/>
        </w:rPr>
        <w:t>unidomaine</w:t>
      </w:r>
      <w:proofErr w:type="spellEnd"/>
      <w:r w:rsidRPr="00CC3649">
        <w:rPr>
          <w:rFonts w:ascii="Garamond" w:hAnsi="Garamond" w:cstheme="majorBidi"/>
          <w:sz w:val="20"/>
          <w:szCs w:val="20"/>
          <w:lang w:val="fr-FR"/>
        </w:rPr>
        <w:t xml:space="preserve"> que dans les MCI non amnésiques multi domaines. Elément non vérifié dans notre série vu l’absence de ce sous-type.</w:t>
      </w:r>
    </w:p>
    <w:p w:rsidR="00405D34" w:rsidRPr="00CC3649" w:rsidRDefault="00405D34" w:rsidP="00CC3649">
      <w:pPr>
        <w:jc w:val="both"/>
        <w:rPr>
          <w:rFonts w:ascii="Garamond" w:hAnsi="Garamond" w:cstheme="majorBidi"/>
          <w:sz w:val="20"/>
          <w:szCs w:val="20"/>
          <w:lang w:val="fr-FR"/>
        </w:rPr>
      </w:pPr>
      <w:r w:rsidRPr="00CC3649">
        <w:rPr>
          <w:rFonts w:ascii="Garamond" w:hAnsi="Garamond" w:cstheme="majorBidi"/>
          <w:sz w:val="20"/>
          <w:szCs w:val="20"/>
          <w:lang w:val="fr-FR"/>
        </w:rPr>
        <w:t xml:space="preserve">Une série </w:t>
      </w:r>
      <w:proofErr w:type="spellStart"/>
      <w:r w:rsidRPr="00CC3649">
        <w:rPr>
          <w:rFonts w:ascii="Garamond" w:hAnsi="Garamond" w:cstheme="majorBidi"/>
          <w:sz w:val="20"/>
          <w:szCs w:val="20"/>
          <w:lang w:val="fr-FR"/>
        </w:rPr>
        <w:t>autopsique</w:t>
      </w:r>
      <w:proofErr w:type="spellEnd"/>
      <w:r w:rsidRPr="00CC3649">
        <w:rPr>
          <w:rFonts w:ascii="Garamond" w:hAnsi="Garamond" w:cstheme="majorBidi"/>
          <w:sz w:val="20"/>
          <w:szCs w:val="20"/>
          <w:lang w:val="fr-FR"/>
        </w:rPr>
        <w:t xml:space="preserve"> large de 874 patients issus de 4 centres « mémoire » Américains [18], et diagnostiqués MCI a conclu, après 7.9 ans de suivi, à 39.2% des patients restés MCI, 46.8% ont évolué vers une démence et 13.9 % avec une cognition normale. La particularité est que le sous-groupe, diagnostiqué MCI, avait des lésions neuropathologiques compatibles avec celles d’une MA dans un quart des cas autopsiés. Ceci souligne la probable « face cachée de l’iceberg » dans ces affections pré-démentielles.</w:t>
      </w:r>
    </w:p>
    <w:p w:rsidR="00405D34" w:rsidRPr="00CC3649" w:rsidRDefault="00405D34" w:rsidP="00CC3649">
      <w:pPr>
        <w:jc w:val="both"/>
        <w:rPr>
          <w:rFonts w:ascii="Garamond" w:hAnsi="Garamond" w:cstheme="majorBidi"/>
          <w:sz w:val="20"/>
          <w:szCs w:val="20"/>
          <w:lang w:val="fr-FR"/>
        </w:rPr>
      </w:pPr>
      <w:r w:rsidRPr="00CC3649">
        <w:rPr>
          <w:rFonts w:ascii="Garamond" w:hAnsi="Garamond" w:cstheme="majorBidi"/>
          <w:sz w:val="20"/>
          <w:szCs w:val="20"/>
          <w:lang w:val="fr-FR"/>
        </w:rPr>
        <w:t>L’atteinte des fonctions exécutives a été, également, clairement impliquée comme facteur prédictif d’évolution vers une MA [19], comme cela est retrouvé dans notre série.</w:t>
      </w:r>
    </w:p>
    <w:p w:rsidR="00405D34" w:rsidRPr="0013017F" w:rsidRDefault="00405D34" w:rsidP="0013017F">
      <w:pPr>
        <w:jc w:val="both"/>
        <w:rPr>
          <w:rFonts w:ascii="Garamond" w:hAnsi="Garamond" w:cstheme="majorBidi"/>
          <w:sz w:val="20"/>
          <w:szCs w:val="20"/>
          <w:lang w:val="fr-FR"/>
        </w:rPr>
      </w:pPr>
      <w:r w:rsidRPr="00CC3649">
        <w:rPr>
          <w:rFonts w:ascii="Garamond" w:hAnsi="Garamond" w:cstheme="majorBidi"/>
          <w:sz w:val="20"/>
          <w:szCs w:val="20"/>
          <w:lang w:val="fr-FR"/>
        </w:rPr>
        <w:t xml:space="preserve">Les données radiologiques (IRM) constituent un autre élément prédictif d’évolution vers une MA en cas d’atrophie hippocampique [20]. Ceci fut également noté dans notre série, avec cette prédominance de l’atrophie hippocampique dans le groupe MCI instable. Néanmoins, aucune corrélation par rapport au degré d’atrophie et la sévérité du tableau clinique MCI n’a pu être effectuée, et ceci est du au fait que les médecins radiologues ne l’ont pas quantifiée dans toutes les IRM </w:t>
      </w:r>
      <w:r w:rsidRPr="00CC3649">
        <w:rPr>
          <w:rFonts w:ascii="Garamond" w:hAnsi="Garamond" w:cstheme="majorBidi"/>
          <w:sz w:val="20"/>
          <w:szCs w:val="20"/>
          <w:lang w:val="fr-FR"/>
        </w:rPr>
        <w:t xml:space="preserve">pratiquées (classification de </w:t>
      </w:r>
      <w:proofErr w:type="spellStart"/>
      <w:r w:rsidRPr="00CC3649">
        <w:rPr>
          <w:rFonts w:ascii="Garamond" w:hAnsi="Garamond" w:cstheme="majorBidi"/>
          <w:sz w:val="20"/>
          <w:szCs w:val="20"/>
          <w:lang w:val="fr-FR"/>
        </w:rPr>
        <w:t>Scheltens</w:t>
      </w:r>
      <w:proofErr w:type="spellEnd"/>
      <w:r w:rsidRPr="00CC3649">
        <w:rPr>
          <w:rFonts w:ascii="Garamond" w:hAnsi="Garamond" w:cstheme="majorBidi"/>
          <w:sz w:val="20"/>
          <w:szCs w:val="20"/>
          <w:lang w:val="fr-FR"/>
        </w:rPr>
        <w:t>). Cet état de fait pourrait constituer une limite à notre étude.</w:t>
      </w:r>
    </w:p>
    <w:p w:rsidR="00E56282" w:rsidRPr="0013017F" w:rsidRDefault="00E56282" w:rsidP="00CC3649">
      <w:pPr>
        <w:pStyle w:val="Els-1storder-head"/>
        <w:numPr>
          <w:ilvl w:val="0"/>
          <w:numId w:val="0"/>
        </w:numPr>
        <w:jc w:val="both"/>
        <w:rPr>
          <w:rFonts w:ascii="Garamond" w:hAnsi="Garamond"/>
          <w:sz w:val="24"/>
          <w:szCs w:val="24"/>
          <w:lang w:val="fr-FR"/>
        </w:rPr>
      </w:pPr>
      <w:r w:rsidRPr="0013017F">
        <w:rPr>
          <w:rFonts w:ascii="Garamond" w:hAnsi="Garamond"/>
          <w:sz w:val="24"/>
          <w:szCs w:val="24"/>
          <w:lang w:val="fr-FR"/>
        </w:rPr>
        <w:t>Conclusion</w:t>
      </w:r>
    </w:p>
    <w:p w:rsidR="00405D34" w:rsidRPr="00CC3649" w:rsidRDefault="00405D34" w:rsidP="00CC3649">
      <w:pPr>
        <w:jc w:val="both"/>
        <w:rPr>
          <w:rFonts w:ascii="Garamond" w:hAnsi="Garamond" w:cstheme="majorBidi"/>
          <w:sz w:val="20"/>
          <w:szCs w:val="20"/>
          <w:lang w:val="fr-FR"/>
        </w:rPr>
      </w:pPr>
      <w:r w:rsidRPr="00CC3649">
        <w:rPr>
          <w:rFonts w:ascii="Garamond" w:hAnsi="Garamond" w:cstheme="majorBidi"/>
          <w:sz w:val="20"/>
          <w:szCs w:val="20"/>
          <w:lang w:val="fr-FR"/>
        </w:rPr>
        <w:t>Notre étude a révélé des profils évolutifs très variés, et qui sont directement corrélés aux sous types MCI mais également à certains facteurs prédictifs.                                                                                                      Savoir identifier un MCI instable précocement, sur des arguments neuropsychologiques et radiologiques, permettrait une prise en charge globale optimale. L’intérêt croissant pour les biomarqueurs de la MA  dans le LCR est également un fort élément prédictif  et qui devrait être généralisé à la pratique quotidienne, en étant plus accessible également. Ceci était retrouvé dans notre série vu que tous nos patients avec biomarqueurs positifs ont évolué vers une MA.</w:t>
      </w:r>
    </w:p>
    <w:p w:rsidR="00405D34" w:rsidRPr="00CC3649" w:rsidRDefault="00405D34" w:rsidP="00CC3649">
      <w:pPr>
        <w:pStyle w:val="Els-body-text"/>
        <w:rPr>
          <w:rFonts w:ascii="Garamond" w:hAnsi="Garamond"/>
          <w:sz w:val="20"/>
          <w:lang w:val="fr-FR"/>
        </w:rPr>
      </w:pPr>
    </w:p>
    <w:p w:rsidR="00217CA8" w:rsidRPr="0013017F" w:rsidRDefault="00217CA8" w:rsidP="00CC3649">
      <w:pPr>
        <w:pStyle w:val="Els-1storder-head"/>
        <w:numPr>
          <w:ilvl w:val="0"/>
          <w:numId w:val="0"/>
        </w:numPr>
        <w:jc w:val="both"/>
        <w:rPr>
          <w:rFonts w:ascii="Garamond" w:hAnsi="Garamond"/>
          <w:sz w:val="24"/>
          <w:szCs w:val="24"/>
          <w:lang w:val="fr-FR"/>
        </w:rPr>
      </w:pPr>
      <w:r w:rsidRPr="0013017F">
        <w:rPr>
          <w:rFonts w:ascii="Garamond" w:hAnsi="Garamond"/>
          <w:sz w:val="24"/>
          <w:szCs w:val="24"/>
          <w:lang w:val="fr-FR"/>
        </w:rPr>
        <w:t>Conflits d’intérêt</w:t>
      </w:r>
    </w:p>
    <w:p w:rsidR="00217CA8" w:rsidRPr="00CC3649" w:rsidRDefault="00217CA8" w:rsidP="00CC3649">
      <w:pPr>
        <w:pStyle w:val="Els-1storder-head"/>
        <w:numPr>
          <w:ilvl w:val="0"/>
          <w:numId w:val="0"/>
        </w:numPr>
        <w:spacing w:before="100" w:beforeAutospacing="1" w:after="100" w:afterAutospacing="1" w:line="240" w:lineRule="auto"/>
        <w:jc w:val="both"/>
        <w:rPr>
          <w:rFonts w:ascii="Garamond" w:hAnsi="Garamond"/>
          <w:b w:val="0"/>
          <w:sz w:val="20"/>
          <w:lang w:val="fr-FR"/>
        </w:rPr>
      </w:pPr>
      <w:r w:rsidRPr="00CC3649">
        <w:rPr>
          <w:rFonts w:ascii="Garamond" w:hAnsi="Garamond"/>
          <w:b w:val="0"/>
          <w:sz w:val="20"/>
          <w:lang w:val="fr-FR"/>
        </w:rPr>
        <w:t xml:space="preserve">Les auteurs ne déclarent aucun conflit d'intérêt". </w:t>
      </w:r>
    </w:p>
    <w:p w:rsidR="00A70899" w:rsidRPr="0013017F" w:rsidRDefault="00A70899" w:rsidP="00CC3649">
      <w:pPr>
        <w:pStyle w:val="Els-1storder-head"/>
        <w:numPr>
          <w:ilvl w:val="0"/>
          <w:numId w:val="0"/>
        </w:numPr>
        <w:jc w:val="both"/>
        <w:rPr>
          <w:rFonts w:ascii="Garamond" w:hAnsi="Garamond"/>
          <w:sz w:val="24"/>
          <w:szCs w:val="24"/>
          <w:lang w:val="fr-FR"/>
        </w:rPr>
      </w:pPr>
      <w:r w:rsidRPr="0013017F">
        <w:rPr>
          <w:rFonts w:ascii="Garamond" w:hAnsi="Garamond"/>
          <w:sz w:val="24"/>
          <w:szCs w:val="24"/>
          <w:lang w:val="fr-FR"/>
        </w:rPr>
        <w:t>Financement</w:t>
      </w:r>
    </w:p>
    <w:p w:rsidR="00A70899" w:rsidRPr="00CC3649" w:rsidRDefault="00A70899" w:rsidP="00CC3649">
      <w:pPr>
        <w:pStyle w:val="Els-body-text"/>
        <w:spacing w:before="100" w:beforeAutospacing="1" w:after="100" w:afterAutospacing="1" w:line="240" w:lineRule="auto"/>
        <w:ind w:firstLine="0"/>
        <w:rPr>
          <w:rFonts w:ascii="Garamond" w:hAnsi="Garamond"/>
          <w:sz w:val="20"/>
          <w:lang w:val="fr-FR"/>
        </w:rPr>
      </w:pPr>
      <w:r w:rsidRPr="00CC3649">
        <w:rPr>
          <w:rFonts w:ascii="Garamond" w:hAnsi="Garamond"/>
          <w:sz w:val="20"/>
          <w:lang w:val="fr-FR"/>
        </w:rPr>
        <w:t>Cette recherche n'a</w:t>
      </w:r>
      <w:r w:rsidR="00405D34" w:rsidRPr="00CC3649">
        <w:rPr>
          <w:rFonts w:ascii="Garamond" w:hAnsi="Garamond"/>
          <w:sz w:val="20"/>
          <w:lang w:val="fr-FR"/>
        </w:rPr>
        <w:t xml:space="preserve"> reçu aucun financement externe</w:t>
      </w:r>
      <w:r w:rsidRPr="00CC3649">
        <w:rPr>
          <w:rFonts w:ascii="Garamond" w:hAnsi="Garamond"/>
          <w:sz w:val="20"/>
          <w:lang w:val="fr-FR"/>
        </w:rPr>
        <w:t>.</w:t>
      </w:r>
    </w:p>
    <w:p w:rsidR="00A70899" w:rsidRPr="0013017F" w:rsidRDefault="00A70899" w:rsidP="0013017F">
      <w:pPr>
        <w:pStyle w:val="Els-1storder-head"/>
        <w:numPr>
          <w:ilvl w:val="0"/>
          <w:numId w:val="0"/>
        </w:numPr>
        <w:spacing w:before="100" w:beforeAutospacing="1" w:after="100" w:afterAutospacing="1" w:line="240" w:lineRule="auto"/>
        <w:ind w:left="270" w:hanging="270"/>
        <w:jc w:val="both"/>
        <w:rPr>
          <w:rFonts w:ascii="Garamond" w:eastAsia="Times New Roman" w:hAnsi="Garamond"/>
          <w:sz w:val="24"/>
          <w:szCs w:val="24"/>
          <w:lang w:val="fr-FR"/>
        </w:rPr>
      </w:pPr>
      <w:r w:rsidRPr="0013017F">
        <w:rPr>
          <w:rFonts w:ascii="Garamond" w:eastAsia="Times New Roman" w:hAnsi="Garamond"/>
          <w:sz w:val="24"/>
          <w:szCs w:val="24"/>
          <w:lang w:val="fr-FR"/>
        </w:rPr>
        <w:t>Références</w:t>
      </w:r>
    </w:p>
    <w:p w:rsidR="00405D34" w:rsidRPr="00CC3649" w:rsidRDefault="00405D34" w:rsidP="0013017F">
      <w:pPr>
        <w:pStyle w:val="Paragraphedeliste"/>
        <w:numPr>
          <w:ilvl w:val="0"/>
          <w:numId w:val="6"/>
        </w:numPr>
        <w:spacing w:after="0" w:line="240" w:lineRule="auto"/>
        <w:ind w:right="82"/>
        <w:jc w:val="both"/>
        <w:textAlignment w:val="top"/>
        <w:rPr>
          <w:rFonts w:ascii="Garamond" w:eastAsia="Times New Roman" w:hAnsi="Garamond" w:cstheme="majorBidi"/>
          <w:color w:val="000000" w:themeColor="text1"/>
          <w:sz w:val="20"/>
          <w:szCs w:val="20"/>
          <w:lang w:eastAsia="fr-FR"/>
        </w:rPr>
      </w:pPr>
      <w:proofErr w:type="spellStart"/>
      <w:r w:rsidRPr="00CC3649">
        <w:rPr>
          <w:rFonts w:ascii="Garamond" w:hAnsi="Garamond" w:cstheme="majorBidi"/>
          <w:color w:val="000000" w:themeColor="text1"/>
          <w:sz w:val="20"/>
          <w:szCs w:val="20"/>
        </w:rPr>
        <w:t>Boureau</w:t>
      </w:r>
      <w:proofErr w:type="spellEnd"/>
      <w:r w:rsidRPr="00CC3649">
        <w:rPr>
          <w:rFonts w:ascii="Garamond" w:hAnsi="Garamond" w:cstheme="majorBidi"/>
          <w:color w:val="000000" w:themeColor="text1"/>
          <w:sz w:val="20"/>
          <w:szCs w:val="20"/>
        </w:rPr>
        <w:t xml:space="preserve">, AS., de </w:t>
      </w:r>
      <w:proofErr w:type="spellStart"/>
      <w:r w:rsidRPr="00CC3649">
        <w:rPr>
          <w:rFonts w:ascii="Garamond" w:hAnsi="Garamond" w:cstheme="majorBidi"/>
          <w:color w:val="000000" w:themeColor="text1"/>
          <w:sz w:val="20"/>
          <w:szCs w:val="20"/>
        </w:rPr>
        <w:t>Decker</w:t>
      </w:r>
      <w:proofErr w:type="spellEnd"/>
      <w:r w:rsidRPr="00CC3649">
        <w:rPr>
          <w:rFonts w:ascii="Garamond" w:hAnsi="Garamond" w:cstheme="majorBidi"/>
          <w:color w:val="000000" w:themeColor="text1"/>
          <w:sz w:val="20"/>
          <w:szCs w:val="20"/>
        </w:rPr>
        <w:t>, L. (2020). Le vieillissement normal. Revue du praticien. 70(7)</w:t>
      </w:r>
      <w:r w:rsidRPr="00CC3649">
        <w:rPr>
          <w:rFonts w:ascii="Garamond" w:eastAsia="Times New Roman" w:hAnsi="Garamond" w:cstheme="majorBidi"/>
          <w:color w:val="000000" w:themeColor="text1"/>
          <w:sz w:val="20"/>
          <w:szCs w:val="20"/>
          <w:lang w:eastAsia="fr-FR"/>
        </w:rPr>
        <w:t>;e223-9</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r w:rsidRPr="00CC3649">
        <w:rPr>
          <w:rFonts w:ascii="Garamond" w:hAnsi="Garamond" w:cstheme="majorBidi"/>
          <w:color w:val="000000" w:themeColor="text1"/>
          <w:sz w:val="20"/>
          <w:szCs w:val="20"/>
          <w:lang w:val="en-US"/>
        </w:rPr>
        <w:t>United Nations. DOE ASA/Population division. (2017). World population prospect: the 2017 revision, key findings and advance tables. 2017.                                                                                         Http: //esa.un.org/unpd/wpp/publications/files/wpp2017_keyfindings.pdf.</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r w:rsidRPr="00CC3649">
        <w:rPr>
          <w:rFonts w:ascii="Garamond" w:hAnsi="Garamond" w:cstheme="majorBidi"/>
          <w:color w:val="000000" w:themeColor="text1"/>
          <w:sz w:val="20"/>
          <w:szCs w:val="20"/>
          <w:lang w:val="en-US"/>
        </w:rPr>
        <w:t xml:space="preserve">Clegg, A., Young, J., </w:t>
      </w:r>
      <w:proofErr w:type="spellStart"/>
      <w:r w:rsidRPr="00CC3649">
        <w:rPr>
          <w:rFonts w:ascii="Garamond" w:hAnsi="Garamond" w:cstheme="majorBidi"/>
          <w:color w:val="000000" w:themeColor="text1"/>
          <w:sz w:val="20"/>
          <w:szCs w:val="20"/>
          <w:lang w:val="en-US"/>
        </w:rPr>
        <w:t>Ilife</w:t>
      </w:r>
      <w:proofErr w:type="spellEnd"/>
      <w:r w:rsidRPr="00CC3649">
        <w:rPr>
          <w:rFonts w:ascii="Garamond" w:hAnsi="Garamond" w:cstheme="majorBidi"/>
          <w:color w:val="000000" w:themeColor="text1"/>
          <w:sz w:val="20"/>
          <w:szCs w:val="20"/>
          <w:lang w:val="en-US"/>
        </w:rPr>
        <w:t xml:space="preserve">, S., </w:t>
      </w:r>
      <w:proofErr w:type="spellStart"/>
      <w:r w:rsidRPr="00CC3649">
        <w:rPr>
          <w:rFonts w:ascii="Garamond" w:hAnsi="Garamond" w:cstheme="majorBidi"/>
          <w:color w:val="000000" w:themeColor="text1"/>
          <w:sz w:val="20"/>
          <w:szCs w:val="20"/>
          <w:lang w:val="en-US"/>
        </w:rPr>
        <w:t>Kikkert</w:t>
      </w:r>
      <w:proofErr w:type="spellEnd"/>
      <w:r w:rsidRPr="00CC3649">
        <w:rPr>
          <w:rFonts w:ascii="Garamond" w:hAnsi="Garamond" w:cstheme="majorBidi"/>
          <w:color w:val="000000" w:themeColor="text1"/>
          <w:sz w:val="20"/>
          <w:szCs w:val="20"/>
          <w:lang w:val="en-US"/>
        </w:rPr>
        <w:t>, MO., Rockwood, K. (2013). Frailty in elderly people. Lancet.</w:t>
      </w:r>
      <w:r w:rsidRPr="00CC3649">
        <w:rPr>
          <w:rFonts w:ascii="Garamond" w:hAnsi="Garamond" w:cstheme="majorBidi"/>
          <w:color w:val="000000" w:themeColor="text1"/>
          <w:sz w:val="20"/>
          <w:szCs w:val="20"/>
          <w:shd w:val="clear" w:color="auto" w:fill="FFFFFF"/>
        </w:rPr>
        <w:t xml:space="preserve"> </w:t>
      </w:r>
      <w:proofErr w:type="spellStart"/>
      <w:r w:rsidRPr="00CC3649">
        <w:rPr>
          <w:rFonts w:ascii="Garamond" w:hAnsi="Garamond" w:cstheme="majorBidi"/>
          <w:color w:val="000000" w:themeColor="text1"/>
          <w:sz w:val="20"/>
          <w:szCs w:val="20"/>
          <w:shd w:val="clear" w:color="auto" w:fill="FFFFFF"/>
        </w:rPr>
        <w:t>doi</w:t>
      </w:r>
      <w:proofErr w:type="spellEnd"/>
      <w:r w:rsidRPr="00CC3649">
        <w:rPr>
          <w:rFonts w:ascii="Garamond" w:hAnsi="Garamond" w:cstheme="majorBidi"/>
          <w:color w:val="000000" w:themeColor="text1"/>
          <w:sz w:val="20"/>
          <w:szCs w:val="20"/>
          <w:shd w:val="clear" w:color="auto" w:fill="FFFFFF"/>
        </w:rPr>
        <w:t>: 10.1016/S0140-6736(12)62167-9.</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r w:rsidRPr="00CC3649">
        <w:rPr>
          <w:rFonts w:ascii="Garamond" w:hAnsi="Garamond" w:cstheme="majorBidi"/>
          <w:color w:val="000000" w:themeColor="text1"/>
          <w:sz w:val="20"/>
          <w:szCs w:val="20"/>
          <w:lang w:val="en-US"/>
        </w:rPr>
        <w:t xml:space="preserve">Petersen, RC., Smith, GE., Waring, SC., </w:t>
      </w:r>
      <w:proofErr w:type="spellStart"/>
      <w:r w:rsidRPr="00CC3649">
        <w:rPr>
          <w:rFonts w:ascii="Garamond" w:hAnsi="Garamond" w:cstheme="majorBidi"/>
          <w:color w:val="000000" w:themeColor="text1"/>
          <w:sz w:val="20"/>
          <w:szCs w:val="20"/>
          <w:lang w:val="en-US"/>
        </w:rPr>
        <w:t>Ivnik</w:t>
      </w:r>
      <w:proofErr w:type="spellEnd"/>
      <w:r w:rsidRPr="00CC3649">
        <w:rPr>
          <w:rFonts w:ascii="Garamond" w:hAnsi="Garamond" w:cstheme="majorBidi"/>
          <w:color w:val="000000" w:themeColor="text1"/>
          <w:sz w:val="20"/>
          <w:szCs w:val="20"/>
          <w:lang w:val="en-US"/>
        </w:rPr>
        <w:t xml:space="preserve">, RJ., </w:t>
      </w:r>
      <w:proofErr w:type="spellStart"/>
      <w:r w:rsidRPr="00CC3649">
        <w:rPr>
          <w:rFonts w:ascii="Garamond" w:hAnsi="Garamond" w:cstheme="majorBidi"/>
          <w:color w:val="000000" w:themeColor="text1"/>
          <w:sz w:val="20"/>
          <w:szCs w:val="20"/>
          <w:lang w:val="en-US"/>
        </w:rPr>
        <w:t>Tangalos</w:t>
      </w:r>
      <w:proofErr w:type="spellEnd"/>
      <w:r w:rsidRPr="00CC3649">
        <w:rPr>
          <w:rFonts w:ascii="Garamond" w:hAnsi="Garamond" w:cstheme="majorBidi"/>
          <w:color w:val="000000" w:themeColor="text1"/>
          <w:sz w:val="20"/>
          <w:szCs w:val="20"/>
          <w:lang w:val="en-US"/>
        </w:rPr>
        <w:t xml:space="preserve">, E. et </w:t>
      </w:r>
      <w:proofErr w:type="spellStart"/>
      <w:r w:rsidRPr="00CC3649">
        <w:rPr>
          <w:rFonts w:ascii="Garamond" w:hAnsi="Garamond" w:cstheme="majorBidi"/>
          <w:color w:val="000000" w:themeColor="text1"/>
          <w:sz w:val="20"/>
          <w:szCs w:val="20"/>
          <w:lang w:val="en-US"/>
        </w:rPr>
        <w:t>Kokmen</w:t>
      </w:r>
      <w:proofErr w:type="spellEnd"/>
      <w:r w:rsidRPr="00CC3649">
        <w:rPr>
          <w:rFonts w:ascii="Garamond" w:hAnsi="Garamond" w:cstheme="majorBidi"/>
          <w:color w:val="000000" w:themeColor="text1"/>
          <w:sz w:val="20"/>
          <w:szCs w:val="20"/>
          <w:lang w:val="en-US"/>
        </w:rPr>
        <w:t>, E. (1999). Mild Cognitive Impairment: clinical characterization and outcome. Archives of neurology.</w:t>
      </w:r>
      <w:r w:rsidRPr="00CC3649">
        <w:rPr>
          <w:rFonts w:ascii="Garamond" w:hAnsi="Garamond" w:cstheme="majorBidi"/>
          <w:color w:val="000000" w:themeColor="text1"/>
          <w:sz w:val="20"/>
          <w:szCs w:val="20"/>
          <w:shd w:val="clear" w:color="auto" w:fill="FFFFFF"/>
          <w:lang w:val="en-US"/>
        </w:rPr>
        <w:t xml:space="preserve"> </w:t>
      </w:r>
      <w:proofErr w:type="spellStart"/>
      <w:r w:rsidRPr="00CC3649">
        <w:rPr>
          <w:rFonts w:ascii="Garamond" w:hAnsi="Garamond" w:cstheme="majorBidi"/>
          <w:color w:val="000000" w:themeColor="text1"/>
          <w:sz w:val="20"/>
          <w:szCs w:val="20"/>
          <w:shd w:val="clear" w:color="auto" w:fill="FFFFFF"/>
          <w:lang w:val="en-US"/>
        </w:rPr>
        <w:t>doi</w:t>
      </w:r>
      <w:proofErr w:type="spellEnd"/>
      <w:r w:rsidRPr="00CC3649">
        <w:rPr>
          <w:rFonts w:ascii="Garamond" w:hAnsi="Garamond" w:cstheme="majorBidi"/>
          <w:color w:val="000000" w:themeColor="text1"/>
          <w:sz w:val="20"/>
          <w:szCs w:val="20"/>
          <w:shd w:val="clear" w:color="auto" w:fill="FFFFFF"/>
          <w:lang w:val="en-US"/>
        </w:rPr>
        <w:t>: 10.1001/archneur.56.3.303.</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r w:rsidRPr="00CC3649">
        <w:rPr>
          <w:rFonts w:ascii="Garamond" w:hAnsi="Garamond" w:cstheme="majorBidi"/>
          <w:color w:val="000000" w:themeColor="text1"/>
          <w:sz w:val="20"/>
          <w:szCs w:val="20"/>
          <w:lang w:val="en-US"/>
        </w:rPr>
        <w:t xml:space="preserve">Petersen, RC. (2016). Mild cognitive impairment. Continuum </w:t>
      </w:r>
      <w:r w:rsidRPr="00CC3649">
        <w:rPr>
          <w:rFonts w:ascii="Garamond" w:hAnsi="Garamond" w:cstheme="majorBidi"/>
          <w:color w:val="000000" w:themeColor="text1"/>
          <w:sz w:val="20"/>
          <w:szCs w:val="20"/>
          <w:shd w:val="clear" w:color="auto" w:fill="FFFFFF"/>
        </w:rPr>
        <w:t>(</w:t>
      </w:r>
      <w:proofErr w:type="spellStart"/>
      <w:r w:rsidRPr="00CC3649">
        <w:rPr>
          <w:rFonts w:ascii="Garamond" w:hAnsi="Garamond" w:cstheme="majorBidi"/>
          <w:color w:val="000000" w:themeColor="text1"/>
          <w:sz w:val="20"/>
          <w:szCs w:val="20"/>
          <w:shd w:val="clear" w:color="auto" w:fill="FFFFFF"/>
        </w:rPr>
        <w:t>Minneap</w:t>
      </w:r>
      <w:proofErr w:type="spellEnd"/>
      <w:r w:rsidRPr="00CC3649">
        <w:rPr>
          <w:rFonts w:ascii="Garamond" w:hAnsi="Garamond" w:cstheme="majorBidi"/>
          <w:color w:val="000000" w:themeColor="text1"/>
          <w:sz w:val="20"/>
          <w:szCs w:val="20"/>
          <w:shd w:val="clear" w:color="auto" w:fill="FFFFFF"/>
        </w:rPr>
        <w:t xml:space="preserve"> </w:t>
      </w:r>
      <w:proofErr w:type="spellStart"/>
      <w:r w:rsidRPr="00CC3649">
        <w:rPr>
          <w:rFonts w:ascii="Garamond" w:hAnsi="Garamond" w:cstheme="majorBidi"/>
          <w:color w:val="000000" w:themeColor="text1"/>
          <w:sz w:val="20"/>
          <w:szCs w:val="20"/>
          <w:shd w:val="clear" w:color="auto" w:fill="FFFFFF"/>
        </w:rPr>
        <w:t>Minn</w:t>
      </w:r>
      <w:proofErr w:type="spellEnd"/>
      <w:r w:rsidRPr="00CC3649">
        <w:rPr>
          <w:rFonts w:ascii="Garamond" w:hAnsi="Garamond" w:cstheme="majorBidi"/>
          <w:color w:val="000000" w:themeColor="text1"/>
          <w:sz w:val="20"/>
          <w:szCs w:val="20"/>
          <w:shd w:val="clear" w:color="auto" w:fill="FFFFFF"/>
        </w:rPr>
        <w:t xml:space="preserve">). 2016 Apr;22(2 </w:t>
      </w:r>
      <w:proofErr w:type="spellStart"/>
      <w:r w:rsidRPr="00CC3649">
        <w:rPr>
          <w:rFonts w:ascii="Garamond" w:hAnsi="Garamond" w:cstheme="majorBidi"/>
          <w:color w:val="000000" w:themeColor="text1"/>
          <w:sz w:val="20"/>
          <w:szCs w:val="20"/>
          <w:shd w:val="clear" w:color="auto" w:fill="FFFFFF"/>
        </w:rPr>
        <w:lastRenderedPageBreak/>
        <w:t>Dementia</w:t>
      </w:r>
      <w:proofErr w:type="spellEnd"/>
      <w:r w:rsidRPr="00CC3649">
        <w:rPr>
          <w:rFonts w:ascii="Garamond" w:hAnsi="Garamond" w:cstheme="majorBidi"/>
          <w:color w:val="000000" w:themeColor="text1"/>
          <w:sz w:val="20"/>
          <w:szCs w:val="20"/>
          <w:shd w:val="clear" w:color="auto" w:fill="FFFFFF"/>
        </w:rPr>
        <w:t xml:space="preserve">):404-18. </w:t>
      </w:r>
      <w:proofErr w:type="spellStart"/>
      <w:r w:rsidRPr="00CC3649">
        <w:rPr>
          <w:rFonts w:ascii="Garamond" w:hAnsi="Garamond" w:cstheme="majorBidi"/>
          <w:color w:val="000000" w:themeColor="text1"/>
          <w:sz w:val="20"/>
          <w:szCs w:val="20"/>
          <w:shd w:val="clear" w:color="auto" w:fill="FFFFFF"/>
        </w:rPr>
        <w:t>doi</w:t>
      </w:r>
      <w:proofErr w:type="spellEnd"/>
      <w:r w:rsidRPr="00CC3649">
        <w:rPr>
          <w:rFonts w:ascii="Garamond" w:hAnsi="Garamond" w:cstheme="majorBidi"/>
          <w:color w:val="000000" w:themeColor="text1"/>
          <w:sz w:val="20"/>
          <w:szCs w:val="20"/>
          <w:shd w:val="clear" w:color="auto" w:fill="FFFFFF"/>
        </w:rPr>
        <w:t>: 10.1212/CON.0000000000000313.</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r w:rsidRPr="00CC3649">
        <w:rPr>
          <w:rFonts w:ascii="Garamond" w:hAnsi="Garamond" w:cstheme="majorBidi"/>
          <w:color w:val="000000" w:themeColor="text1"/>
          <w:sz w:val="20"/>
          <w:szCs w:val="20"/>
          <w:lang w:val="en-US"/>
        </w:rPr>
        <w:t>American psychiatric association. (2013). Diagnosis and statistical manual of mental disorders (fifth edition/DSM5).</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proofErr w:type="spellStart"/>
      <w:r w:rsidRPr="00CC3649">
        <w:rPr>
          <w:rFonts w:ascii="Garamond" w:hAnsi="Garamond" w:cstheme="majorBidi"/>
          <w:color w:val="000000" w:themeColor="text1"/>
          <w:sz w:val="20"/>
          <w:szCs w:val="20"/>
          <w:lang w:val="en-US"/>
        </w:rPr>
        <w:t>Barbizet</w:t>
      </w:r>
      <w:proofErr w:type="spellEnd"/>
      <w:r w:rsidRPr="00CC3649">
        <w:rPr>
          <w:rFonts w:ascii="Garamond" w:hAnsi="Garamond" w:cstheme="majorBidi"/>
          <w:color w:val="000000" w:themeColor="text1"/>
          <w:sz w:val="20"/>
          <w:szCs w:val="20"/>
          <w:lang w:val="en-US"/>
        </w:rPr>
        <w:t xml:space="preserve">, J. (1963). Clinical study of memory. </w:t>
      </w:r>
      <w:proofErr w:type="spellStart"/>
      <w:r w:rsidRPr="00CC3649">
        <w:rPr>
          <w:rFonts w:ascii="Garamond" w:hAnsi="Garamond" w:cstheme="majorBidi"/>
          <w:color w:val="000000" w:themeColor="text1"/>
          <w:sz w:val="20"/>
          <w:szCs w:val="20"/>
          <w:lang w:val="en-US"/>
        </w:rPr>
        <w:t>Sem</w:t>
      </w:r>
      <w:proofErr w:type="spellEnd"/>
      <w:r w:rsidRPr="00CC3649">
        <w:rPr>
          <w:rFonts w:ascii="Garamond" w:hAnsi="Garamond" w:cstheme="majorBidi"/>
          <w:color w:val="000000" w:themeColor="text1"/>
          <w:sz w:val="20"/>
          <w:szCs w:val="20"/>
          <w:lang w:val="en-US"/>
        </w:rPr>
        <w:t xml:space="preserve"> Hop.</w:t>
      </w:r>
      <w:r w:rsidRPr="00CC3649">
        <w:rPr>
          <w:rFonts w:ascii="Garamond" w:hAnsi="Garamond" w:cstheme="majorBidi"/>
          <w:color w:val="000000" w:themeColor="text1"/>
          <w:sz w:val="20"/>
          <w:szCs w:val="20"/>
          <w:shd w:val="clear" w:color="auto" w:fill="FFFFFF"/>
        </w:rPr>
        <w:t xml:space="preserve"> French. PMID: 13966554.</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rPr>
      </w:pPr>
      <w:proofErr w:type="spellStart"/>
      <w:r w:rsidRPr="00CC3649">
        <w:rPr>
          <w:rFonts w:ascii="Garamond" w:hAnsi="Garamond" w:cstheme="majorBidi"/>
          <w:color w:val="000000" w:themeColor="text1"/>
          <w:sz w:val="20"/>
          <w:szCs w:val="20"/>
        </w:rPr>
        <w:t>Kalafat</w:t>
      </w:r>
      <w:proofErr w:type="spellEnd"/>
      <w:r w:rsidRPr="00CC3649">
        <w:rPr>
          <w:rFonts w:ascii="Garamond" w:hAnsi="Garamond" w:cstheme="majorBidi"/>
          <w:color w:val="000000" w:themeColor="text1"/>
          <w:sz w:val="20"/>
          <w:szCs w:val="20"/>
        </w:rPr>
        <w:t xml:space="preserve">, M., </w:t>
      </w:r>
      <w:proofErr w:type="spellStart"/>
      <w:r w:rsidRPr="00CC3649">
        <w:rPr>
          <w:rFonts w:ascii="Garamond" w:hAnsi="Garamond" w:cstheme="majorBidi"/>
          <w:color w:val="000000" w:themeColor="text1"/>
          <w:sz w:val="20"/>
          <w:szCs w:val="20"/>
        </w:rPr>
        <w:t>Hugonot-Dienier</w:t>
      </w:r>
      <w:proofErr w:type="spellEnd"/>
      <w:r w:rsidRPr="00CC3649">
        <w:rPr>
          <w:rFonts w:ascii="Garamond" w:hAnsi="Garamond" w:cstheme="majorBidi"/>
          <w:color w:val="000000" w:themeColor="text1"/>
          <w:sz w:val="20"/>
          <w:szCs w:val="20"/>
        </w:rPr>
        <w:t xml:space="preserve">, L., </w:t>
      </w:r>
      <w:proofErr w:type="spellStart"/>
      <w:r w:rsidRPr="00CC3649">
        <w:rPr>
          <w:rFonts w:ascii="Garamond" w:hAnsi="Garamond" w:cstheme="majorBidi"/>
          <w:color w:val="000000" w:themeColor="text1"/>
          <w:sz w:val="20"/>
          <w:szCs w:val="20"/>
        </w:rPr>
        <w:t>Poitrenaud</w:t>
      </w:r>
      <w:proofErr w:type="spellEnd"/>
      <w:r w:rsidRPr="00CC3649">
        <w:rPr>
          <w:rFonts w:ascii="Garamond" w:hAnsi="Garamond" w:cstheme="majorBidi"/>
          <w:color w:val="000000" w:themeColor="text1"/>
          <w:sz w:val="20"/>
          <w:szCs w:val="20"/>
        </w:rPr>
        <w:t xml:space="preserve">, J. (2003). </w:t>
      </w:r>
      <w:proofErr w:type="spellStart"/>
      <w:r w:rsidRPr="00CC3649">
        <w:rPr>
          <w:rFonts w:ascii="Garamond" w:hAnsi="Garamond" w:cstheme="majorBidi"/>
          <w:color w:val="000000" w:themeColor="text1"/>
          <w:sz w:val="20"/>
          <w:szCs w:val="20"/>
        </w:rPr>
        <w:t>Etalonnage</w:t>
      </w:r>
      <w:proofErr w:type="spellEnd"/>
      <w:r w:rsidRPr="00CC3649">
        <w:rPr>
          <w:rFonts w:ascii="Garamond" w:hAnsi="Garamond" w:cstheme="majorBidi"/>
          <w:color w:val="000000" w:themeColor="text1"/>
          <w:sz w:val="20"/>
          <w:szCs w:val="20"/>
        </w:rPr>
        <w:t xml:space="preserve"> </w:t>
      </w:r>
      <w:proofErr w:type="spellStart"/>
      <w:r w:rsidRPr="00CC3649">
        <w:rPr>
          <w:rFonts w:ascii="Garamond" w:hAnsi="Garamond" w:cstheme="majorBidi"/>
          <w:color w:val="000000" w:themeColor="text1"/>
          <w:sz w:val="20"/>
          <w:szCs w:val="20"/>
        </w:rPr>
        <w:t>Francais</w:t>
      </w:r>
      <w:proofErr w:type="spellEnd"/>
      <w:r w:rsidRPr="00CC3649">
        <w:rPr>
          <w:rFonts w:ascii="Garamond" w:hAnsi="Garamond" w:cstheme="majorBidi"/>
          <w:color w:val="000000" w:themeColor="text1"/>
          <w:sz w:val="20"/>
          <w:szCs w:val="20"/>
        </w:rPr>
        <w:t xml:space="preserve"> du MMS version GREGO. </w:t>
      </w:r>
      <w:proofErr w:type="spellStart"/>
      <w:r w:rsidRPr="00CC3649">
        <w:rPr>
          <w:rFonts w:ascii="Garamond" w:hAnsi="Garamond" w:cstheme="majorBidi"/>
          <w:color w:val="000000" w:themeColor="text1"/>
          <w:sz w:val="20"/>
          <w:szCs w:val="20"/>
        </w:rPr>
        <w:t>Rev</w:t>
      </w:r>
      <w:proofErr w:type="spellEnd"/>
      <w:r w:rsidRPr="00CC3649">
        <w:rPr>
          <w:rFonts w:ascii="Garamond" w:hAnsi="Garamond" w:cstheme="majorBidi"/>
          <w:color w:val="000000" w:themeColor="text1"/>
          <w:sz w:val="20"/>
          <w:szCs w:val="20"/>
        </w:rPr>
        <w:t xml:space="preserve"> Neuropsychologie.</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 xml:space="preserve">Dubois, B., </w:t>
      </w:r>
      <w:proofErr w:type="spellStart"/>
      <w:r w:rsidRPr="00CC3649">
        <w:rPr>
          <w:rFonts w:ascii="Garamond" w:hAnsi="Garamond" w:cstheme="majorBidi"/>
          <w:color w:val="000000" w:themeColor="text1"/>
          <w:sz w:val="20"/>
          <w:szCs w:val="20"/>
          <w:shd w:val="clear" w:color="auto" w:fill="FFFFFF"/>
        </w:rPr>
        <w:t>Slachevsky</w:t>
      </w:r>
      <w:proofErr w:type="spellEnd"/>
      <w:r w:rsidRPr="00CC3649">
        <w:rPr>
          <w:rFonts w:ascii="Garamond" w:hAnsi="Garamond" w:cstheme="majorBidi"/>
          <w:color w:val="000000" w:themeColor="text1"/>
          <w:sz w:val="20"/>
          <w:szCs w:val="20"/>
          <w:shd w:val="clear" w:color="auto" w:fill="FFFFFF"/>
        </w:rPr>
        <w:t xml:space="preserve">, A., </w:t>
      </w:r>
      <w:proofErr w:type="spellStart"/>
      <w:r w:rsidRPr="00CC3649">
        <w:rPr>
          <w:rFonts w:ascii="Garamond" w:hAnsi="Garamond" w:cstheme="majorBidi"/>
          <w:color w:val="000000" w:themeColor="text1"/>
          <w:sz w:val="20"/>
          <w:szCs w:val="20"/>
          <w:shd w:val="clear" w:color="auto" w:fill="FFFFFF"/>
        </w:rPr>
        <w:t>Litvan</w:t>
      </w:r>
      <w:proofErr w:type="spellEnd"/>
      <w:r w:rsidRPr="00CC3649">
        <w:rPr>
          <w:rFonts w:ascii="Garamond" w:hAnsi="Garamond" w:cstheme="majorBidi"/>
          <w:color w:val="000000" w:themeColor="text1"/>
          <w:sz w:val="20"/>
          <w:szCs w:val="20"/>
          <w:shd w:val="clear" w:color="auto" w:fill="FFFFFF"/>
        </w:rPr>
        <w:t xml:space="preserve">, I., </w:t>
      </w:r>
      <w:proofErr w:type="spellStart"/>
      <w:r w:rsidRPr="00CC3649">
        <w:rPr>
          <w:rFonts w:ascii="Garamond" w:hAnsi="Garamond" w:cstheme="majorBidi"/>
          <w:color w:val="000000" w:themeColor="text1"/>
          <w:sz w:val="20"/>
          <w:szCs w:val="20"/>
          <w:shd w:val="clear" w:color="auto" w:fill="FFFFFF"/>
        </w:rPr>
        <w:t>Pillon</w:t>
      </w:r>
      <w:proofErr w:type="spellEnd"/>
      <w:r w:rsidRPr="00CC3649">
        <w:rPr>
          <w:rFonts w:ascii="Garamond" w:hAnsi="Garamond" w:cstheme="majorBidi"/>
          <w:color w:val="000000" w:themeColor="text1"/>
          <w:sz w:val="20"/>
          <w:szCs w:val="20"/>
          <w:shd w:val="clear" w:color="auto" w:fill="FFFFFF"/>
        </w:rPr>
        <w:t>, B.</w:t>
      </w:r>
      <w:r w:rsidRPr="00CC3649">
        <w:rPr>
          <w:rFonts w:ascii="Garamond" w:hAnsi="Garamond" w:cstheme="majorBidi"/>
          <w:color w:val="000000" w:themeColor="text1"/>
          <w:sz w:val="20"/>
          <w:szCs w:val="20"/>
        </w:rPr>
        <w:t xml:space="preserve"> (2000). </w:t>
      </w:r>
      <w:r w:rsidRPr="00CC3649">
        <w:rPr>
          <w:rFonts w:ascii="Garamond" w:hAnsi="Garamond" w:cstheme="majorBidi"/>
          <w:color w:val="000000" w:themeColor="text1"/>
          <w:sz w:val="20"/>
          <w:szCs w:val="20"/>
          <w:lang w:val="en-US"/>
        </w:rPr>
        <w:t xml:space="preserve">The FAB : a frontal assessment battery at bedside. </w:t>
      </w:r>
      <w:proofErr w:type="spellStart"/>
      <w:r w:rsidRPr="00CC3649">
        <w:rPr>
          <w:rFonts w:ascii="Garamond" w:hAnsi="Garamond" w:cstheme="majorBidi"/>
          <w:color w:val="000000" w:themeColor="text1"/>
          <w:sz w:val="20"/>
          <w:szCs w:val="20"/>
        </w:rPr>
        <w:t>Neurology</w:t>
      </w:r>
      <w:proofErr w:type="spellEnd"/>
      <w:r w:rsidRPr="00CC3649">
        <w:rPr>
          <w:rFonts w:ascii="Garamond" w:hAnsi="Garamond" w:cstheme="majorBidi"/>
          <w:color w:val="000000" w:themeColor="text1"/>
          <w:sz w:val="20"/>
          <w:szCs w:val="20"/>
        </w:rPr>
        <w:t>.</w:t>
      </w:r>
      <w:r w:rsidRPr="00CC3649">
        <w:rPr>
          <w:rFonts w:ascii="Garamond" w:hAnsi="Garamond" w:cstheme="majorBidi"/>
          <w:color w:val="000000" w:themeColor="text1"/>
          <w:sz w:val="20"/>
          <w:szCs w:val="20"/>
          <w:shd w:val="clear" w:color="auto" w:fill="FFFFFF"/>
        </w:rPr>
        <w:t xml:space="preserve"> </w:t>
      </w:r>
      <w:proofErr w:type="spellStart"/>
      <w:r w:rsidRPr="00CC3649">
        <w:rPr>
          <w:rFonts w:ascii="Garamond" w:hAnsi="Garamond" w:cstheme="majorBidi"/>
          <w:color w:val="000000" w:themeColor="text1"/>
          <w:sz w:val="20"/>
          <w:szCs w:val="20"/>
          <w:shd w:val="clear" w:color="auto" w:fill="FFFFFF"/>
        </w:rPr>
        <w:t>doi</w:t>
      </w:r>
      <w:proofErr w:type="spellEnd"/>
      <w:r w:rsidRPr="00CC3649">
        <w:rPr>
          <w:rFonts w:ascii="Garamond" w:hAnsi="Garamond" w:cstheme="majorBidi"/>
          <w:color w:val="000000" w:themeColor="text1"/>
          <w:sz w:val="20"/>
          <w:szCs w:val="20"/>
          <w:shd w:val="clear" w:color="auto" w:fill="FFFFFF"/>
        </w:rPr>
        <w:t>: 10.1212/wnl.55.11.1621.</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 xml:space="preserve">Barbeau, E., </w:t>
      </w:r>
      <w:proofErr w:type="spellStart"/>
      <w:r w:rsidRPr="00CC3649">
        <w:rPr>
          <w:rFonts w:ascii="Garamond" w:hAnsi="Garamond" w:cstheme="majorBidi"/>
          <w:color w:val="000000" w:themeColor="text1"/>
          <w:sz w:val="20"/>
          <w:szCs w:val="20"/>
        </w:rPr>
        <w:t>Tramoni</w:t>
      </w:r>
      <w:proofErr w:type="spellEnd"/>
      <w:r w:rsidRPr="00CC3649">
        <w:rPr>
          <w:rFonts w:ascii="Garamond" w:hAnsi="Garamond" w:cstheme="majorBidi"/>
          <w:color w:val="000000" w:themeColor="text1"/>
          <w:sz w:val="20"/>
          <w:szCs w:val="20"/>
        </w:rPr>
        <w:t xml:space="preserve">, E., Joubert, S., </w:t>
      </w:r>
      <w:proofErr w:type="spellStart"/>
      <w:r w:rsidRPr="00CC3649">
        <w:rPr>
          <w:rFonts w:ascii="Garamond" w:hAnsi="Garamond" w:cstheme="majorBidi"/>
          <w:color w:val="000000" w:themeColor="text1"/>
          <w:sz w:val="20"/>
          <w:szCs w:val="20"/>
        </w:rPr>
        <w:t>Mancine</w:t>
      </w:r>
      <w:proofErr w:type="spellEnd"/>
      <w:r w:rsidRPr="00CC3649">
        <w:rPr>
          <w:rFonts w:ascii="Garamond" w:hAnsi="Garamond" w:cstheme="majorBidi"/>
          <w:color w:val="000000" w:themeColor="text1"/>
          <w:sz w:val="20"/>
          <w:szCs w:val="20"/>
        </w:rPr>
        <w:t xml:space="preserve">, J., </w:t>
      </w:r>
      <w:proofErr w:type="spellStart"/>
      <w:r w:rsidRPr="00CC3649">
        <w:rPr>
          <w:rFonts w:ascii="Garamond" w:hAnsi="Garamond" w:cstheme="majorBidi"/>
          <w:color w:val="000000" w:themeColor="text1"/>
          <w:sz w:val="20"/>
          <w:szCs w:val="20"/>
        </w:rPr>
        <w:t>Ceccaldi</w:t>
      </w:r>
      <w:proofErr w:type="spellEnd"/>
      <w:r w:rsidRPr="00CC3649">
        <w:rPr>
          <w:rFonts w:ascii="Garamond" w:hAnsi="Garamond" w:cstheme="majorBidi"/>
          <w:color w:val="000000" w:themeColor="text1"/>
          <w:sz w:val="20"/>
          <w:szCs w:val="20"/>
        </w:rPr>
        <w:t>, M., Poncet, M. (2004). Evaluation de la mémoire de reconnaissance visuelle : normalisation d’une nouvelle épreuve en choix forcé (DMS 48) et utilité en neuropsychologie clinique. GREMEM Editors. L’</w:t>
      </w:r>
      <w:proofErr w:type="spellStart"/>
      <w:r w:rsidRPr="00CC3649">
        <w:rPr>
          <w:rFonts w:ascii="Garamond" w:hAnsi="Garamond" w:cstheme="majorBidi"/>
          <w:color w:val="000000" w:themeColor="text1"/>
          <w:sz w:val="20"/>
          <w:szCs w:val="20"/>
        </w:rPr>
        <w:t>evaluation</w:t>
      </w:r>
      <w:proofErr w:type="spellEnd"/>
      <w:r w:rsidRPr="00CC3649">
        <w:rPr>
          <w:rFonts w:ascii="Garamond" w:hAnsi="Garamond" w:cstheme="majorBidi"/>
          <w:color w:val="000000" w:themeColor="text1"/>
          <w:sz w:val="20"/>
          <w:szCs w:val="20"/>
        </w:rPr>
        <w:t xml:space="preserve"> des troubles de la mémoire. Marseille. https://cerco.cnrs.fr/DMS48/</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r w:rsidRPr="00CC3649">
        <w:rPr>
          <w:rFonts w:ascii="Garamond" w:hAnsi="Garamond" w:cstheme="majorBidi"/>
          <w:color w:val="000000" w:themeColor="text1"/>
          <w:sz w:val="20"/>
          <w:szCs w:val="20"/>
        </w:rPr>
        <w:t xml:space="preserve">Maillet, D., </w:t>
      </w:r>
      <w:proofErr w:type="spellStart"/>
      <w:r w:rsidRPr="00CC3649">
        <w:rPr>
          <w:rFonts w:ascii="Garamond" w:hAnsi="Garamond" w:cstheme="majorBidi"/>
          <w:color w:val="000000" w:themeColor="text1"/>
          <w:sz w:val="20"/>
          <w:szCs w:val="20"/>
        </w:rPr>
        <w:t>Matharau</w:t>
      </w:r>
      <w:proofErr w:type="spellEnd"/>
      <w:r w:rsidRPr="00CC3649">
        <w:rPr>
          <w:rFonts w:ascii="Garamond" w:hAnsi="Garamond" w:cstheme="majorBidi"/>
          <w:color w:val="000000" w:themeColor="text1"/>
          <w:sz w:val="20"/>
          <w:szCs w:val="20"/>
        </w:rPr>
        <w:t xml:space="preserve">, F., Le </w:t>
      </w:r>
      <w:proofErr w:type="spellStart"/>
      <w:r w:rsidRPr="00CC3649">
        <w:rPr>
          <w:rFonts w:ascii="Garamond" w:hAnsi="Garamond" w:cstheme="majorBidi"/>
          <w:color w:val="000000" w:themeColor="text1"/>
          <w:sz w:val="20"/>
          <w:szCs w:val="20"/>
        </w:rPr>
        <w:t>Clesiau</w:t>
      </w:r>
      <w:proofErr w:type="spellEnd"/>
      <w:r w:rsidRPr="00CC3649">
        <w:rPr>
          <w:rFonts w:ascii="Garamond" w:hAnsi="Garamond" w:cstheme="majorBidi"/>
          <w:color w:val="000000" w:themeColor="text1"/>
          <w:sz w:val="20"/>
          <w:szCs w:val="20"/>
        </w:rPr>
        <w:t xml:space="preserve">, H., </w:t>
      </w:r>
      <w:proofErr w:type="spellStart"/>
      <w:r w:rsidRPr="00CC3649">
        <w:rPr>
          <w:rFonts w:ascii="Garamond" w:hAnsi="Garamond" w:cstheme="majorBidi"/>
          <w:color w:val="000000" w:themeColor="text1"/>
          <w:sz w:val="20"/>
          <w:szCs w:val="20"/>
        </w:rPr>
        <w:t>Bailon</w:t>
      </w:r>
      <w:proofErr w:type="spellEnd"/>
      <w:r w:rsidRPr="00CC3649">
        <w:rPr>
          <w:rFonts w:ascii="Garamond" w:hAnsi="Garamond" w:cstheme="majorBidi"/>
          <w:color w:val="000000" w:themeColor="text1"/>
          <w:sz w:val="20"/>
          <w:szCs w:val="20"/>
        </w:rPr>
        <w:t xml:space="preserve">, O., Peres, K., </w:t>
      </w:r>
      <w:proofErr w:type="spellStart"/>
      <w:r w:rsidRPr="00CC3649">
        <w:rPr>
          <w:rFonts w:ascii="Garamond" w:hAnsi="Garamond" w:cstheme="majorBidi"/>
          <w:color w:val="000000" w:themeColor="text1"/>
          <w:sz w:val="20"/>
          <w:szCs w:val="20"/>
        </w:rPr>
        <w:t>Amieva</w:t>
      </w:r>
      <w:proofErr w:type="spellEnd"/>
      <w:r w:rsidRPr="00CC3649">
        <w:rPr>
          <w:rFonts w:ascii="Garamond" w:hAnsi="Garamond" w:cstheme="majorBidi"/>
          <w:color w:val="000000" w:themeColor="text1"/>
          <w:sz w:val="20"/>
          <w:szCs w:val="20"/>
        </w:rPr>
        <w:t xml:space="preserve">, H., Belin, C.(2016). </w:t>
      </w:r>
      <w:r w:rsidRPr="00CC3649">
        <w:rPr>
          <w:rFonts w:ascii="Garamond" w:hAnsi="Garamond" w:cstheme="majorBidi"/>
          <w:color w:val="000000" w:themeColor="text1"/>
          <w:sz w:val="20"/>
          <w:szCs w:val="20"/>
          <w:lang w:val="en-US"/>
        </w:rPr>
        <w:t xml:space="preserve">TNI-93 : a new memory test for dementia detection in illiterate and low-educated patients. Arch </w:t>
      </w:r>
      <w:proofErr w:type="spellStart"/>
      <w:r w:rsidRPr="00CC3649">
        <w:rPr>
          <w:rFonts w:ascii="Garamond" w:hAnsi="Garamond" w:cstheme="majorBidi"/>
          <w:color w:val="000000" w:themeColor="text1"/>
          <w:sz w:val="20"/>
          <w:szCs w:val="20"/>
          <w:lang w:val="en-US"/>
        </w:rPr>
        <w:t>Clin</w:t>
      </w:r>
      <w:proofErr w:type="spellEnd"/>
      <w:r w:rsidRPr="00CC3649">
        <w:rPr>
          <w:rFonts w:ascii="Garamond" w:hAnsi="Garamond" w:cstheme="majorBidi"/>
          <w:color w:val="000000" w:themeColor="text1"/>
          <w:sz w:val="20"/>
          <w:szCs w:val="20"/>
          <w:lang w:val="en-US"/>
        </w:rPr>
        <w:t xml:space="preserve"> </w:t>
      </w:r>
      <w:proofErr w:type="spellStart"/>
      <w:r w:rsidRPr="00CC3649">
        <w:rPr>
          <w:rFonts w:ascii="Garamond" w:hAnsi="Garamond" w:cstheme="majorBidi"/>
          <w:color w:val="000000" w:themeColor="text1"/>
          <w:sz w:val="20"/>
          <w:szCs w:val="20"/>
          <w:lang w:val="en-US"/>
        </w:rPr>
        <w:t>Neuropsychol</w:t>
      </w:r>
      <w:proofErr w:type="spellEnd"/>
      <w:r w:rsidRPr="00CC3649">
        <w:rPr>
          <w:rFonts w:ascii="Garamond" w:hAnsi="Garamond" w:cstheme="majorBidi"/>
          <w:color w:val="000000" w:themeColor="text1"/>
          <w:sz w:val="20"/>
          <w:szCs w:val="20"/>
          <w:lang w:val="en-US"/>
        </w:rPr>
        <w:t>.</w:t>
      </w:r>
      <w:r w:rsidRPr="00CC3649">
        <w:rPr>
          <w:rFonts w:ascii="Garamond" w:hAnsi="Garamond" w:cstheme="majorBidi"/>
          <w:color w:val="000000" w:themeColor="text1"/>
          <w:sz w:val="20"/>
          <w:szCs w:val="20"/>
          <w:shd w:val="clear" w:color="auto" w:fill="FFFFFF"/>
        </w:rPr>
        <w:t xml:space="preserve"> </w:t>
      </w:r>
      <w:proofErr w:type="spellStart"/>
      <w:r w:rsidRPr="00CC3649">
        <w:rPr>
          <w:rFonts w:ascii="Garamond" w:hAnsi="Garamond" w:cstheme="majorBidi"/>
          <w:color w:val="000000" w:themeColor="text1"/>
          <w:sz w:val="20"/>
          <w:szCs w:val="20"/>
          <w:shd w:val="clear" w:color="auto" w:fill="FFFFFF"/>
        </w:rPr>
        <w:t>doi</w:t>
      </w:r>
      <w:proofErr w:type="spellEnd"/>
      <w:r w:rsidRPr="00CC3649">
        <w:rPr>
          <w:rFonts w:ascii="Garamond" w:hAnsi="Garamond" w:cstheme="majorBidi"/>
          <w:color w:val="000000" w:themeColor="text1"/>
          <w:sz w:val="20"/>
          <w:szCs w:val="20"/>
          <w:shd w:val="clear" w:color="auto" w:fill="FFFFFF"/>
        </w:rPr>
        <w:t>: 10.1093/</w:t>
      </w:r>
      <w:proofErr w:type="spellStart"/>
      <w:r w:rsidRPr="00CC3649">
        <w:rPr>
          <w:rFonts w:ascii="Garamond" w:hAnsi="Garamond" w:cstheme="majorBidi"/>
          <w:color w:val="000000" w:themeColor="text1"/>
          <w:sz w:val="20"/>
          <w:szCs w:val="20"/>
          <w:shd w:val="clear" w:color="auto" w:fill="FFFFFF"/>
        </w:rPr>
        <w:t>arclin</w:t>
      </w:r>
      <w:proofErr w:type="spellEnd"/>
      <w:r w:rsidRPr="00CC3649">
        <w:rPr>
          <w:rFonts w:ascii="Garamond" w:hAnsi="Garamond" w:cstheme="majorBidi"/>
          <w:color w:val="000000" w:themeColor="text1"/>
          <w:sz w:val="20"/>
          <w:szCs w:val="20"/>
          <w:shd w:val="clear" w:color="auto" w:fill="FFFFFF"/>
        </w:rPr>
        <w:t>/acw065. </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rPr>
      </w:pPr>
      <w:proofErr w:type="spellStart"/>
      <w:r w:rsidRPr="00CC3649">
        <w:rPr>
          <w:rFonts w:ascii="Garamond" w:hAnsi="Garamond" w:cstheme="majorBidi"/>
          <w:color w:val="000000" w:themeColor="text1"/>
          <w:sz w:val="20"/>
          <w:szCs w:val="20"/>
          <w:shd w:val="clear" w:color="auto" w:fill="FFFFFF"/>
        </w:rPr>
        <w:t>Antérion</w:t>
      </w:r>
      <w:proofErr w:type="spellEnd"/>
      <w:r w:rsidRPr="00CC3649">
        <w:rPr>
          <w:rFonts w:ascii="Garamond" w:hAnsi="Garamond" w:cstheme="majorBidi"/>
          <w:color w:val="000000" w:themeColor="text1"/>
          <w:sz w:val="20"/>
          <w:szCs w:val="20"/>
          <w:shd w:val="clear" w:color="auto" w:fill="FFFFFF"/>
        </w:rPr>
        <w:t xml:space="preserve">, CT., Honoré, S., </w:t>
      </w:r>
      <w:proofErr w:type="spellStart"/>
      <w:r w:rsidRPr="00CC3649">
        <w:rPr>
          <w:rFonts w:ascii="Garamond" w:hAnsi="Garamond" w:cstheme="majorBidi"/>
          <w:color w:val="000000" w:themeColor="text1"/>
          <w:sz w:val="20"/>
          <w:szCs w:val="20"/>
          <w:shd w:val="clear" w:color="auto" w:fill="FFFFFF"/>
        </w:rPr>
        <w:t>Cougny</w:t>
      </w:r>
      <w:proofErr w:type="spellEnd"/>
      <w:r w:rsidRPr="00CC3649">
        <w:rPr>
          <w:rFonts w:ascii="Garamond" w:hAnsi="Garamond" w:cstheme="majorBidi"/>
          <w:color w:val="000000" w:themeColor="text1"/>
          <w:sz w:val="20"/>
          <w:szCs w:val="20"/>
          <w:shd w:val="clear" w:color="auto" w:fill="FFFFFF"/>
        </w:rPr>
        <w:t xml:space="preserve">, H., </w:t>
      </w:r>
      <w:proofErr w:type="spellStart"/>
      <w:r w:rsidRPr="00CC3649">
        <w:rPr>
          <w:rFonts w:ascii="Garamond" w:hAnsi="Garamond" w:cstheme="majorBidi"/>
          <w:color w:val="000000" w:themeColor="text1"/>
          <w:sz w:val="20"/>
          <w:szCs w:val="20"/>
          <w:shd w:val="clear" w:color="auto" w:fill="FFFFFF"/>
        </w:rPr>
        <w:t>Grosmaitre</w:t>
      </w:r>
      <w:proofErr w:type="spellEnd"/>
      <w:r w:rsidRPr="00CC3649">
        <w:rPr>
          <w:rFonts w:ascii="Garamond" w:hAnsi="Garamond" w:cstheme="majorBidi"/>
          <w:color w:val="000000" w:themeColor="text1"/>
          <w:sz w:val="20"/>
          <w:szCs w:val="20"/>
          <w:shd w:val="clear" w:color="auto" w:fill="FFFFFF"/>
        </w:rPr>
        <w:t>, C., Laurent, B</w:t>
      </w:r>
      <w:r w:rsidRPr="00CC3649">
        <w:rPr>
          <w:rFonts w:ascii="Garamond" w:hAnsi="Garamond" w:cstheme="majorBidi"/>
          <w:color w:val="000000" w:themeColor="text1"/>
          <w:sz w:val="20"/>
          <w:szCs w:val="20"/>
        </w:rPr>
        <w:t>. (2001). Revue neurologique.</w:t>
      </w:r>
      <w:r w:rsidRPr="00CC3649">
        <w:rPr>
          <w:rFonts w:ascii="Garamond" w:hAnsi="Garamond" w:cstheme="majorBidi"/>
          <w:color w:val="000000" w:themeColor="text1"/>
          <w:sz w:val="20"/>
          <w:szCs w:val="20"/>
          <w:shd w:val="clear" w:color="auto" w:fill="FFFFFF"/>
        </w:rPr>
        <w:t xml:space="preserve"> Nov;157(11 Pt 1):1377-82. French. PMID: 11924006.</w:t>
      </w:r>
    </w:p>
    <w:p w:rsidR="00405D34" w:rsidRPr="00CC3649" w:rsidRDefault="00405D34" w:rsidP="0013017F">
      <w:pPr>
        <w:pStyle w:val="Paragraphedeliste"/>
        <w:numPr>
          <w:ilvl w:val="0"/>
          <w:numId w:val="6"/>
        </w:numPr>
        <w:spacing w:beforeAutospacing="1" w:after="0" w:afterAutospacing="1" w:line="240" w:lineRule="auto"/>
        <w:jc w:val="both"/>
        <w:rPr>
          <w:rFonts w:ascii="Garamond" w:eastAsia="Times New Roman" w:hAnsi="Garamond" w:cstheme="majorBidi"/>
          <w:color w:val="000000" w:themeColor="text1"/>
          <w:sz w:val="20"/>
          <w:szCs w:val="20"/>
          <w:lang w:eastAsia="fr-FR"/>
        </w:rPr>
      </w:pPr>
      <w:proofErr w:type="spellStart"/>
      <w:r w:rsidRPr="00CC3649">
        <w:rPr>
          <w:rFonts w:ascii="Garamond" w:hAnsi="Garamond" w:cstheme="majorBidi"/>
          <w:color w:val="000000" w:themeColor="text1"/>
          <w:sz w:val="20"/>
          <w:szCs w:val="20"/>
          <w:lang w:val="en-US"/>
        </w:rPr>
        <w:t>Grober</w:t>
      </w:r>
      <w:proofErr w:type="spellEnd"/>
      <w:r w:rsidRPr="00CC3649">
        <w:rPr>
          <w:rFonts w:ascii="Garamond" w:hAnsi="Garamond" w:cstheme="majorBidi"/>
          <w:color w:val="000000" w:themeColor="text1"/>
          <w:sz w:val="20"/>
          <w:szCs w:val="20"/>
          <w:lang w:val="en-US"/>
        </w:rPr>
        <w:t xml:space="preserve">, E., </w:t>
      </w:r>
      <w:proofErr w:type="spellStart"/>
      <w:r w:rsidRPr="00CC3649">
        <w:rPr>
          <w:rFonts w:ascii="Garamond" w:hAnsi="Garamond" w:cstheme="majorBidi"/>
          <w:color w:val="000000" w:themeColor="text1"/>
          <w:sz w:val="20"/>
          <w:szCs w:val="20"/>
          <w:lang w:val="en-US"/>
        </w:rPr>
        <w:t>Buschke</w:t>
      </w:r>
      <w:proofErr w:type="spellEnd"/>
      <w:r w:rsidRPr="00CC3649">
        <w:rPr>
          <w:rFonts w:ascii="Garamond" w:hAnsi="Garamond" w:cstheme="majorBidi"/>
          <w:color w:val="000000" w:themeColor="text1"/>
          <w:sz w:val="20"/>
          <w:szCs w:val="20"/>
          <w:lang w:val="en-US"/>
        </w:rPr>
        <w:t xml:space="preserve">, H. (1987). Genuine memory deficits in dementia. </w:t>
      </w:r>
      <w:r w:rsidRPr="00CC3649">
        <w:rPr>
          <w:rFonts w:ascii="Garamond" w:hAnsi="Garamond" w:cstheme="majorBidi"/>
          <w:color w:val="000000" w:themeColor="text1"/>
          <w:sz w:val="20"/>
          <w:szCs w:val="20"/>
        </w:rPr>
        <w:t xml:space="preserve">Dev </w:t>
      </w:r>
      <w:proofErr w:type="spellStart"/>
      <w:r w:rsidRPr="00CC3649">
        <w:rPr>
          <w:rFonts w:ascii="Garamond" w:hAnsi="Garamond" w:cstheme="majorBidi"/>
          <w:color w:val="000000" w:themeColor="text1"/>
          <w:sz w:val="20"/>
          <w:szCs w:val="20"/>
        </w:rPr>
        <w:t>Neuropsychol</w:t>
      </w:r>
      <w:proofErr w:type="spellEnd"/>
      <w:r w:rsidRPr="00CC3649">
        <w:rPr>
          <w:rFonts w:ascii="Garamond" w:hAnsi="Garamond" w:cstheme="majorBidi"/>
          <w:color w:val="000000" w:themeColor="text1"/>
          <w:sz w:val="20"/>
          <w:szCs w:val="20"/>
        </w:rPr>
        <w:t xml:space="preserve">. </w:t>
      </w:r>
      <w:hyperlink r:id="rId16" w:history="1">
        <w:r w:rsidRPr="00CC3649">
          <w:rPr>
            <w:rFonts w:ascii="Garamond" w:eastAsia="Times New Roman" w:hAnsi="Garamond" w:cstheme="majorBidi"/>
            <w:color w:val="000000" w:themeColor="text1"/>
            <w:sz w:val="20"/>
            <w:szCs w:val="20"/>
            <w:lang w:eastAsia="fr-FR"/>
          </w:rPr>
          <w:t>https://doi.org/10.1080/87565648709540361</w:t>
        </w:r>
      </w:hyperlink>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rPr>
      </w:pPr>
      <w:r w:rsidRPr="00CC3649">
        <w:rPr>
          <w:rFonts w:ascii="Garamond" w:hAnsi="Garamond" w:cstheme="majorBidi"/>
          <w:color w:val="000000" w:themeColor="text1"/>
          <w:sz w:val="20"/>
          <w:szCs w:val="20"/>
        </w:rPr>
        <w:t xml:space="preserve">Dubois, B., </w:t>
      </w:r>
      <w:proofErr w:type="spellStart"/>
      <w:r w:rsidRPr="00CC3649">
        <w:rPr>
          <w:rFonts w:ascii="Garamond" w:hAnsi="Garamond" w:cstheme="majorBidi"/>
          <w:color w:val="000000" w:themeColor="text1"/>
          <w:sz w:val="20"/>
          <w:szCs w:val="20"/>
        </w:rPr>
        <w:t>Touchon</w:t>
      </w:r>
      <w:proofErr w:type="spellEnd"/>
      <w:r w:rsidRPr="00CC3649">
        <w:rPr>
          <w:rFonts w:ascii="Garamond" w:hAnsi="Garamond" w:cstheme="majorBidi"/>
          <w:color w:val="000000" w:themeColor="text1"/>
          <w:sz w:val="20"/>
          <w:szCs w:val="20"/>
        </w:rPr>
        <w:t xml:space="preserve">, J., </w:t>
      </w:r>
      <w:proofErr w:type="spellStart"/>
      <w:r w:rsidRPr="00CC3649">
        <w:rPr>
          <w:rFonts w:ascii="Garamond" w:hAnsi="Garamond" w:cstheme="majorBidi"/>
          <w:color w:val="000000" w:themeColor="text1"/>
          <w:sz w:val="20"/>
          <w:szCs w:val="20"/>
        </w:rPr>
        <w:t>Portet</w:t>
      </w:r>
      <w:proofErr w:type="spellEnd"/>
      <w:r w:rsidRPr="00CC3649">
        <w:rPr>
          <w:rFonts w:ascii="Garamond" w:hAnsi="Garamond" w:cstheme="majorBidi"/>
          <w:color w:val="000000" w:themeColor="text1"/>
          <w:sz w:val="20"/>
          <w:szCs w:val="20"/>
        </w:rPr>
        <w:t xml:space="preserve">, F., </w:t>
      </w:r>
      <w:proofErr w:type="spellStart"/>
      <w:r w:rsidRPr="00CC3649">
        <w:rPr>
          <w:rFonts w:ascii="Garamond" w:hAnsi="Garamond" w:cstheme="majorBidi"/>
          <w:color w:val="000000" w:themeColor="text1"/>
          <w:sz w:val="20"/>
          <w:szCs w:val="20"/>
        </w:rPr>
        <w:t>Ousset</w:t>
      </w:r>
      <w:proofErr w:type="spellEnd"/>
      <w:r w:rsidRPr="00CC3649">
        <w:rPr>
          <w:rFonts w:ascii="Garamond" w:hAnsi="Garamond" w:cstheme="majorBidi"/>
          <w:color w:val="000000" w:themeColor="text1"/>
          <w:sz w:val="20"/>
          <w:szCs w:val="20"/>
        </w:rPr>
        <w:t xml:space="preserve">, PJ., </w:t>
      </w:r>
      <w:proofErr w:type="spellStart"/>
      <w:r w:rsidRPr="00CC3649">
        <w:rPr>
          <w:rFonts w:ascii="Garamond" w:hAnsi="Garamond" w:cstheme="majorBidi"/>
          <w:color w:val="000000" w:themeColor="text1"/>
          <w:sz w:val="20"/>
          <w:szCs w:val="20"/>
        </w:rPr>
        <w:t>Vellas</w:t>
      </w:r>
      <w:proofErr w:type="spellEnd"/>
      <w:r w:rsidRPr="00CC3649">
        <w:rPr>
          <w:rFonts w:ascii="Garamond" w:hAnsi="Garamond" w:cstheme="majorBidi"/>
          <w:color w:val="000000" w:themeColor="text1"/>
          <w:sz w:val="20"/>
          <w:szCs w:val="20"/>
        </w:rPr>
        <w:t>, B., Michel, BF. (2002). Le test des 5 mots  un test simple et sensible pour le diagnostic de la maladie d’Alzheimer. Presse médicale.</w:t>
      </w:r>
      <w:r w:rsidRPr="00CC3649">
        <w:rPr>
          <w:rFonts w:ascii="Garamond" w:hAnsi="Garamond" w:cstheme="majorBidi"/>
          <w:color w:val="000000" w:themeColor="text1"/>
          <w:sz w:val="20"/>
          <w:szCs w:val="20"/>
          <w:shd w:val="clear" w:color="auto" w:fill="FFFFFF"/>
        </w:rPr>
        <w:t xml:space="preserve"> 9;31(36):1696-9. French. PMID: 12467149.</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r w:rsidRPr="00CC3649">
        <w:rPr>
          <w:rFonts w:ascii="Garamond" w:hAnsi="Garamond" w:cstheme="majorBidi"/>
          <w:color w:val="000000" w:themeColor="text1"/>
          <w:sz w:val="20"/>
          <w:szCs w:val="20"/>
          <w:lang w:val="en-US"/>
        </w:rPr>
        <w:t xml:space="preserve">Shulman, KI., Pushkar Gold, D., Cohen, CA., </w:t>
      </w:r>
      <w:proofErr w:type="spellStart"/>
      <w:r w:rsidRPr="00CC3649">
        <w:rPr>
          <w:rFonts w:ascii="Garamond" w:hAnsi="Garamond" w:cstheme="majorBidi"/>
          <w:color w:val="000000" w:themeColor="text1"/>
          <w:sz w:val="20"/>
          <w:szCs w:val="20"/>
          <w:lang w:val="en-US"/>
        </w:rPr>
        <w:t>Zuchero</w:t>
      </w:r>
      <w:proofErr w:type="spellEnd"/>
      <w:r w:rsidRPr="00CC3649">
        <w:rPr>
          <w:rFonts w:ascii="Garamond" w:hAnsi="Garamond" w:cstheme="majorBidi"/>
          <w:color w:val="000000" w:themeColor="text1"/>
          <w:sz w:val="20"/>
          <w:szCs w:val="20"/>
          <w:lang w:val="en-US"/>
        </w:rPr>
        <w:t xml:space="preserve">, CA. (1993). Clock-drawing and dementia in the community: a longitudinal study. </w:t>
      </w:r>
      <w:proofErr w:type="spellStart"/>
      <w:r w:rsidRPr="00CC3649">
        <w:rPr>
          <w:rFonts w:ascii="Garamond" w:hAnsi="Garamond" w:cstheme="majorBidi"/>
          <w:color w:val="000000" w:themeColor="text1"/>
          <w:sz w:val="20"/>
          <w:szCs w:val="20"/>
          <w:lang w:val="en-US"/>
        </w:rPr>
        <w:t>Int</w:t>
      </w:r>
      <w:proofErr w:type="spellEnd"/>
      <w:r w:rsidRPr="00CC3649">
        <w:rPr>
          <w:rFonts w:ascii="Garamond" w:hAnsi="Garamond" w:cstheme="majorBidi"/>
          <w:color w:val="000000" w:themeColor="text1"/>
          <w:sz w:val="20"/>
          <w:szCs w:val="20"/>
          <w:lang w:val="en-US"/>
        </w:rPr>
        <w:t xml:space="preserve"> J of Geriatric Psychiatry. </w:t>
      </w:r>
      <w:hyperlink r:id="rId17" w:history="1">
        <w:r w:rsidRPr="00CC3649">
          <w:rPr>
            <w:rStyle w:val="Lienhypertexte"/>
            <w:rFonts w:ascii="Garamond" w:hAnsi="Garamond" w:cstheme="majorBidi"/>
            <w:color w:val="000000" w:themeColor="text1"/>
            <w:sz w:val="20"/>
            <w:szCs w:val="20"/>
            <w:shd w:val="clear" w:color="auto" w:fill="FFFFFF"/>
            <w:lang w:val="en-US"/>
          </w:rPr>
          <w:t>https://doi.org/10.1002/gps.930080606</w:t>
        </w:r>
      </w:hyperlink>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proofErr w:type="spellStart"/>
      <w:r w:rsidRPr="00CC3649">
        <w:rPr>
          <w:rFonts w:ascii="Garamond" w:hAnsi="Garamond" w:cstheme="majorBidi"/>
          <w:color w:val="000000" w:themeColor="text1"/>
          <w:sz w:val="20"/>
          <w:szCs w:val="20"/>
          <w:lang w:val="en-US"/>
        </w:rPr>
        <w:t>Jongsiriyamyoug</w:t>
      </w:r>
      <w:proofErr w:type="spellEnd"/>
      <w:r w:rsidRPr="00CC3649">
        <w:rPr>
          <w:rFonts w:ascii="Garamond" w:hAnsi="Garamond" w:cstheme="majorBidi"/>
          <w:color w:val="000000" w:themeColor="text1"/>
          <w:sz w:val="20"/>
          <w:szCs w:val="20"/>
          <w:lang w:val="en-US"/>
        </w:rPr>
        <w:t xml:space="preserve">, S., </w:t>
      </w:r>
      <w:proofErr w:type="spellStart"/>
      <w:r w:rsidRPr="00CC3649">
        <w:rPr>
          <w:rFonts w:ascii="Garamond" w:hAnsi="Garamond" w:cstheme="majorBidi"/>
          <w:color w:val="000000" w:themeColor="text1"/>
          <w:sz w:val="20"/>
          <w:szCs w:val="20"/>
          <w:lang w:val="en-US"/>
        </w:rPr>
        <w:t>Limpawattana</w:t>
      </w:r>
      <w:proofErr w:type="spellEnd"/>
      <w:r w:rsidRPr="00CC3649">
        <w:rPr>
          <w:rFonts w:ascii="Garamond" w:hAnsi="Garamond" w:cstheme="majorBidi"/>
          <w:color w:val="000000" w:themeColor="text1"/>
          <w:sz w:val="20"/>
          <w:szCs w:val="20"/>
          <w:lang w:val="en-US"/>
        </w:rPr>
        <w:t xml:space="preserve">, P. (2018). MCI in clinical practice: a </w:t>
      </w:r>
      <w:proofErr w:type="spellStart"/>
      <w:r w:rsidRPr="00CC3649">
        <w:rPr>
          <w:rFonts w:ascii="Garamond" w:hAnsi="Garamond" w:cstheme="majorBidi"/>
          <w:color w:val="000000" w:themeColor="text1"/>
          <w:sz w:val="20"/>
          <w:szCs w:val="20"/>
          <w:lang w:val="en-US"/>
        </w:rPr>
        <w:t>revilio</w:t>
      </w:r>
      <w:proofErr w:type="spellEnd"/>
      <w:r w:rsidRPr="00CC3649">
        <w:rPr>
          <w:rFonts w:ascii="Garamond" w:hAnsi="Garamond" w:cstheme="majorBidi"/>
          <w:color w:val="000000" w:themeColor="text1"/>
          <w:sz w:val="20"/>
          <w:szCs w:val="20"/>
          <w:lang w:val="en-US"/>
        </w:rPr>
        <w:t xml:space="preserve"> article. Am J on Alzheimer disease and other dementias.</w:t>
      </w:r>
      <w:r w:rsidRPr="00CC3649">
        <w:rPr>
          <w:rFonts w:ascii="Garamond" w:hAnsi="Garamond" w:cstheme="majorBidi"/>
          <w:color w:val="000000" w:themeColor="text1"/>
          <w:sz w:val="20"/>
          <w:szCs w:val="20"/>
          <w:shd w:val="clear" w:color="auto" w:fill="FFFFFF"/>
        </w:rPr>
        <w:t xml:space="preserve"> </w:t>
      </w:r>
      <w:proofErr w:type="spellStart"/>
      <w:r w:rsidRPr="00CC3649">
        <w:rPr>
          <w:rFonts w:ascii="Garamond" w:hAnsi="Garamond" w:cstheme="majorBidi"/>
          <w:color w:val="000000" w:themeColor="text1"/>
          <w:sz w:val="20"/>
          <w:szCs w:val="20"/>
          <w:shd w:val="clear" w:color="auto" w:fill="FFFFFF"/>
        </w:rPr>
        <w:t>doi</w:t>
      </w:r>
      <w:proofErr w:type="spellEnd"/>
      <w:r w:rsidRPr="00CC3649">
        <w:rPr>
          <w:rFonts w:ascii="Garamond" w:hAnsi="Garamond" w:cstheme="majorBidi"/>
          <w:color w:val="000000" w:themeColor="text1"/>
          <w:sz w:val="20"/>
          <w:szCs w:val="20"/>
          <w:shd w:val="clear" w:color="auto" w:fill="FFFFFF"/>
        </w:rPr>
        <w:t>: 10.1177/1533317518791401.</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proofErr w:type="spellStart"/>
      <w:r w:rsidRPr="00CC3649">
        <w:rPr>
          <w:rFonts w:ascii="Garamond" w:hAnsi="Garamond" w:cstheme="majorBidi"/>
          <w:color w:val="000000" w:themeColor="text1"/>
          <w:sz w:val="20"/>
          <w:szCs w:val="20"/>
          <w:lang w:val="en-US"/>
        </w:rPr>
        <w:t>Busse</w:t>
      </w:r>
      <w:proofErr w:type="spellEnd"/>
      <w:r w:rsidRPr="00CC3649">
        <w:rPr>
          <w:rFonts w:ascii="Garamond" w:hAnsi="Garamond" w:cstheme="majorBidi"/>
          <w:color w:val="000000" w:themeColor="text1"/>
          <w:sz w:val="20"/>
          <w:szCs w:val="20"/>
          <w:lang w:val="en-US"/>
        </w:rPr>
        <w:t xml:space="preserve">, A., Hensel, A., </w:t>
      </w:r>
      <w:proofErr w:type="spellStart"/>
      <w:r w:rsidRPr="00CC3649">
        <w:rPr>
          <w:rFonts w:ascii="Garamond" w:hAnsi="Garamond" w:cstheme="majorBidi"/>
          <w:color w:val="000000" w:themeColor="text1"/>
          <w:sz w:val="20"/>
          <w:szCs w:val="20"/>
          <w:lang w:val="en-US"/>
        </w:rPr>
        <w:t>Guhne</w:t>
      </w:r>
      <w:proofErr w:type="spellEnd"/>
      <w:r w:rsidRPr="00CC3649">
        <w:rPr>
          <w:rFonts w:ascii="Garamond" w:hAnsi="Garamond" w:cstheme="majorBidi"/>
          <w:color w:val="000000" w:themeColor="text1"/>
          <w:sz w:val="20"/>
          <w:szCs w:val="20"/>
          <w:lang w:val="en-US"/>
        </w:rPr>
        <w:t xml:space="preserve">, U., </w:t>
      </w:r>
      <w:proofErr w:type="spellStart"/>
      <w:r w:rsidRPr="00CC3649">
        <w:rPr>
          <w:rFonts w:ascii="Garamond" w:hAnsi="Garamond" w:cstheme="majorBidi"/>
          <w:color w:val="000000" w:themeColor="text1"/>
          <w:sz w:val="20"/>
          <w:szCs w:val="20"/>
          <w:lang w:val="en-US"/>
        </w:rPr>
        <w:t>Angermeyer</w:t>
      </w:r>
      <w:proofErr w:type="spellEnd"/>
      <w:r w:rsidRPr="00CC3649">
        <w:rPr>
          <w:rFonts w:ascii="Garamond" w:hAnsi="Garamond" w:cstheme="majorBidi"/>
          <w:color w:val="000000" w:themeColor="text1"/>
          <w:sz w:val="20"/>
          <w:szCs w:val="20"/>
          <w:lang w:val="en-US"/>
        </w:rPr>
        <w:t xml:space="preserve">, MC., Riedel-Heller, SG.(2006). MCI: long </w:t>
      </w:r>
      <w:proofErr w:type="spellStart"/>
      <w:r w:rsidRPr="00CC3649">
        <w:rPr>
          <w:rFonts w:ascii="Garamond" w:hAnsi="Garamond" w:cstheme="majorBidi"/>
          <w:color w:val="000000" w:themeColor="text1"/>
          <w:sz w:val="20"/>
          <w:szCs w:val="20"/>
          <w:lang w:val="en-US"/>
        </w:rPr>
        <w:t>terme</w:t>
      </w:r>
      <w:proofErr w:type="spellEnd"/>
      <w:r w:rsidRPr="00CC3649">
        <w:rPr>
          <w:rFonts w:ascii="Garamond" w:hAnsi="Garamond" w:cstheme="majorBidi"/>
          <w:color w:val="000000" w:themeColor="text1"/>
          <w:sz w:val="20"/>
          <w:szCs w:val="20"/>
          <w:lang w:val="en-US"/>
        </w:rPr>
        <w:t xml:space="preserve"> course of four clinical subtypes. Neurology.</w:t>
      </w:r>
      <w:r w:rsidRPr="00CC3649">
        <w:rPr>
          <w:rFonts w:ascii="Garamond" w:hAnsi="Garamond" w:cstheme="majorBidi"/>
          <w:color w:val="000000" w:themeColor="text1"/>
          <w:sz w:val="20"/>
          <w:szCs w:val="20"/>
          <w:shd w:val="clear" w:color="auto" w:fill="FFFFFF"/>
          <w:lang w:val="en-US"/>
        </w:rPr>
        <w:t xml:space="preserve"> </w:t>
      </w:r>
      <w:proofErr w:type="spellStart"/>
      <w:r w:rsidRPr="00CC3649">
        <w:rPr>
          <w:rFonts w:ascii="Garamond" w:hAnsi="Garamond" w:cstheme="majorBidi"/>
          <w:color w:val="000000" w:themeColor="text1"/>
          <w:sz w:val="20"/>
          <w:szCs w:val="20"/>
          <w:shd w:val="clear" w:color="auto" w:fill="FFFFFF"/>
          <w:lang w:val="en-US"/>
        </w:rPr>
        <w:t>doi</w:t>
      </w:r>
      <w:proofErr w:type="spellEnd"/>
      <w:r w:rsidRPr="00CC3649">
        <w:rPr>
          <w:rFonts w:ascii="Garamond" w:hAnsi="Garamond" w:cstheme="majorBidi"/>
          <w:color w:val="000000" w:themeColor="text1"/>
          <w:sz w:val="20"/>
          <w:szCs w:val="20"/>
          <w:shd w:val="clear" w:color="auto" w:fill="FFFFFF"/>
          <w:lang w:val="en-US"/>
        </w:rPr>
        <w:t>: 10.1212/01.wnl.0000249117.23318.e1. </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r w:rsidRPr="00CC3649">
        <w:rPr>
          <w:rFonts w:ascii="Garamond" w:hAnsi="Garamond" w:cstheme="majorBidi"/>
          <w:color w:val="000000" w:themeColor="text1"/>
          <w:sz w:val="20"/>
          <w:szCs w:val="20"/>
          <w:lang w:val="en-US"/>
        </w:rPr>
        <w:t xml:space="preserve">Abner, EL., </w:t>
      </w:r>
      <w:proofErr w:type="spellStart"/>
      <w:r w:rsidRPr="00CC3649">
        <w:rPr>
          <w:rFonts w:ascii="Garamond" w:hAnsi="Garamond" w:cstheme="majorBidi"/>
          <w:color w:val="000000" w:themeColor="text1"/>
          <w:sz w:val="20"/>
          <w:szCs w:val="20"/>
          <w:lang w:val="en-US"/>
        </w:rPr>
        <w:t>Kryscio</w:t>
      </w:r>
      <w:proofErr w:type="spellEnd"/>
      <w:r w:rsidRPr="00CC3649">
        <w:rPr>
          <w:rFonts w:ascii="Garamond" w:hAnsi="Garamond" w:cstheme="majorBidi"/>
          <w:color w:val="000000" w:themeColor="text1"/>
          <w:sz w:val="20"/>
          <w:szCs w:val="20"/>
          <w:lang w:val="en-US"/>
        </w:rPr>
        <w:t xml:space="preserve">, RJ., Schmitt, FA., </w:t>
      </w:r>
      <w:proofErr w:type="spellStart"/>
      <w:r w:rsidRPr="00CC3649">
        <w:rPr>
          <w:rFonts w:ascii="Garamond" w:hAnsi="Garamond" w:cstheme="majorBidi"/>
          <w:color w:val="000000" w:themeColor="text1"/>
          <w:sz w:val="20"/>
          <w:szCs w:val="20"/>
          <w:lang w:val="en-US"/>
        </w:rPr>
        <w:t>Fardo</w:t>
      </w:r>
      <w:proofErr w:type="spellEnd"/>
      <w:r w:rsidRPr="00CC3649">
        <w:rPr>
          <w:rFonts w:ascii="Garamond" w:hAnsi="Garamond" w:cstheme="majorBidi"/>
          <w:color w:val="000000" w:themeColor="text1"/>
          <w:sz w:val="20"/>
          <w:szCs w:val="20"/>
          <w:lang w:val="en-US"/>
        </w:rPr>
        <w:t xml:space="preserve">, DN., </w:t>
      </w:r>
      <w:proofErr w:type="spellStart"/>
      <w:r w:rsidRPr="00CC3649">
        <w:rPr>
          <w:rFonts w:ascii="Garamond" w:hAnsi="Garamond" w:cstheme="majorBidi"/>
          <w:color w:val="000000" w:themeColor="text1"/>
          <w:sz w:val="20"/>
          <w:szCs w:val="20"/>
          <w:lang w:val="en-US"/>
        </w:rPr>
        <w:t>Moga</w:t>
      </w:r>
      <w:proofErr w:type="spellEnd"/>
      <w:r w:rsidRPr="00CC3649">
        <w:rPr>
          <w:rFonts w:ascii="Garamond" w:hAnsi="Garamond" w:cstheme="majorBidi"/>
          <w:color w:val="000000" w:themeColor="text1"/>
          <w:sz w:val="20"/>
          <w:szCs w:val="20"/>
          <w:lang w:val="en-US"/>
        </w:rPr>
        <w:t xml:space="preserve">, DC., </w:t>
      </w:r>
      <w:proofErr w:type="spellStart"/>
      <w:r w:rsidRPr="00CC3649">
        <w:rPr>
          <w:rFonts w:ascii="Garamond" w:hAnsi="Garamond" w:cstheme="majorBidi"/>
          <w:color w:val="000000" w:themeColor="text1"/>
          <w:sz w:val="20"/>
          <w:szCs w:val="20"/>
          <w:lang w:val="en-US"/>
        </w:rPr>
        <w:t>Ighodaro</w:t>
      </w:r>
      <w:proofErr w:type="spellEnd"/>
      <w:r w:rsidRPr="00CC3649">
        <w:rPr>
          <w:rFonts w:ascii="Garamond" w:hAnsi="Garamond" w:cstheme="majorBidi"/>
          <w:color w:val="000000" w:themeColor="text1"/>
          <w:sz w:val="20"/>
          <w:szCs w:val="20"/>
          <w:lang w:val="en-US"/>
        </w:rPr>
        <w:t xml:space="preserve"> </w:t>
      </w:r>
      <w:proofErr w:type="spellStart"/>
      <w:r w:rsidRPr="00CC3649">
        <w:rPr>
          <w:rFonts w:ascii="Garamond" w:hAnsi="Garamond" w:cstheme="majorBidi"/>
          <w:color w:val="000000" w:themeColor="text1"/>
          <w:sz w:val="20"/>
          <w:szCs w:val="20"/>
          <w:lang w:val="en-US"/>
        </w:rPr>
        <w:t>andal</w:t>
      </w:r>
      <w:proofErr w:type="spellEnd"/>
      <w:r w:rsidRPr="00CC3649">
        <w:rPr>
          <w:rFonts w:ascii="Garamond" w:hAnsi="Garamond" w:cstheme="majorBidi"/>
          <w:color w:val="000000" w:themeColor="text1"/>
          <w:sz w:val="20"/>
          <w:szCs w:val="20"/>
          <w:lang w:val="en-US"/>
        </w:rPr>
        <w:t>, ET.</w:t>
      </w:r>
      <w:r w:rsidRPr="00CC3649">
        <w:rPr>
          <w:rFonts w:ascii="Garamond" w:hAnsi="Garamond" w:cstheme="majorBidi"/>
          <w:color w:val="000000" w:themeColor="text1"/>
          <w:sz w:val="20"/>
          <w:szCs w:val="20"/>
          <w:shd w:val="clear" w:color="auto" w:fill="FFFFFF"/>
          <w:lang w:val="en-US"/>
        </w:rPr>
        <w:t xml:space="preserve"> </w:t>
      </w:r>
      <w:proofErr w:type="spellStart"/>
      <w:r w:rsidRPr="00CC3649">
        <w:rPr>
          <w:rFonts w:ascii="Garamond" w:hAnsi="Garamond" w:cstheme="majorBidi"/>
          <w:color w:val="000000" w:themeColor="text1"/>
          <w:sz w:val="20"/>
          <w:szCs w:val="20"/>
          <w:shd w:val="clear" w:color="auto" w:fill="FFFFFF"/>
          <w:lang w:val="en-US"/>
        </w:rPr>
        <w:t>Jicha</w:t>
      </w:r>
      <w:proofErr w:type="spellEnd"/>
      <w:r w:rsidRPr="00CC3649">
        <w:rPr>
          <w:rFonts w:ascii="Garamond" w:hAnsi="Garamond" w:cstheme="majorBidi"/>
          <w:color w:val="000000" w:themeColor="text1"/>
          <w:sz w:val="20"/>
          <w:szCs w:val="20"/>
          <w:shd w:val="clear" w:color="auto" w:fill="FFFFFF"/>
          <w:lang w:val="en-US"/>
        </w:rPr>
        <w:t xml:space="preserve">, GA., Yu, L., Dodge, HH., </w:t>
      </w:r>
      <w:proofErr w:type="spellStart"/>
      <w:r w:rsidRPr="00CC3649">
        <w:rPr>
          <w:rFonts w:ascii="Garamond" w:hAnsi="Garamond" w:cstheme="majorBidi"/>
          <w:color w:val="000000" w:themeColor="text1"/>
          <w:sz w:val="20"/>
          <w:szCs w:val="20"/>
          <w:shd w:val="clear" w:color="auto" w:fill="FFFFFF"/>
          <w:lang w:val="en-US"/>
        </w:rPr>
        <w:t>Xiong</w:t>
      </w:r>
      <w:proofErr w:type="spellEnd"/>
      <w:r w:rsidRPr="00CC3649">
        <w:rPr>
          <w:rFonts w:ascii="Garamond" w:hAnsi="Garamond" w:cstheme="majorBidi"/>
          <w:color w:val="000000" w:themeColor="text1"/>
          <w:sz w:val="20"/>
          <w:szCs w:val="20"/>
          <w:shd w:val="clear" w:color="auto" w:fill="FFFFFF"/>
          <w:lang w:val="en-US"/>
        </w:rPr>
        <w:t xml:space="preserve">, C., </w:t>
      </w:r>
      <w:proofErr w:type="spellStart"/>
      <w:r w:rsidRPr="00CC3649">
        <w:rPr>
          <w:rFonts w:ascii="Garamond" w:hAnsi="Garamond" w:cstheme="majorBidi"/>
          <w:color w:val="000000" w:themeColor="text1"/>
          <w:sz w:val="20"/>
          <w:szCs w:val="20"/>
          <w:shd w:val="clear" w:color="auto" w:fill="FFFFFF"/>
          <w:lang w:val="en-US"/>
        </w:rPr>
        <w:t>Woltjer</w:t>
      </w:r>
      <w:proofErr w:type="spellEnd"/>
      <w:r w:rsidRPr="00CC3649">
        <w:rPr>
          <w:rFonts w:ascii="Garamond" w:hAnsi="Garamond" w:cstheme="majorBidi"/>
          <w:color w:val="000000" w:themeColor="text1"/>
          <w:sz w:val="20"/>
          <w:szCs w:val="20"/>
          <w:shd w:val="clear" w:color="auto" w:fill="FFFFFF"/>
          <w:lang w:val="en-US"/>
        </w:rPr>
        <w:t>, RL., Schneider, JA., Cairns, NJ., Bennett, DA., Nelson, PT.</w:t>
      </w:r>
      <w:r w:rsidRPr="00CC3649">
        <w:rPr>
          <w:rFonts w:ascii="Garamond" w:hAnsi="Garamond" w:cstheme="majorBidi"/>
          <w:color w:val="000000" w:themeColor="text1"/>
          <w:sz w:val="20"/>
          <w:szCs w:val="20"/>
          <w:lang w:val="en-US"/>
        </w:rPr>
        <w:t xml:space="preserve"> (2017). Outcomes after diagnosis of MCI in a large autopsy series. Annals of neurology.</w:t>
      </w:r>
      <w:r w:rsidRPr="00CC3649">
        <w:rPr>
          <w:rFonts w:ascii="Garamond" w:hAnsi="Garamond" w:cstheme="majorBidi"/>
          <w:color w:val="000000" w:themeColor="text1"/>
          <w:sz w:val="20"/>
          <w:szCs w:val="20"/>
          <w:shd w:val="clear" w:color="auto" w:fill="FFFFFF"/>
        </w:rPr>
        <w:t xml:space="preserve"> </w:t>
      </w:r>
      <w:proofErr w:type="spellStart"/>
      <w:r w:rsidRPr="00CC3649">
        <w:rPr>
          <w:rFonts w:ascii="Garamond" w:hAnsi="Garamond" w:cstheme="majorBidi"/>
          <w:color w:val="000000" w:themeColor="text1"/>
          <w:sz w:val="20"/>
          <w:szCs w:val="20"/>
          <w:shd w:val="clear" w:color="auto" w:fill="FFFFFF"/>
        </w:rPr>
        <w:t>doi</w:t>
      </w:r>
      <w:proofErr w:type="spellEnd"/>
      <w:r w:rsidRPr="00CC3649">
        <w:rPr>
          <w:rFonts w:ascii="Garamond" w:hAnsi="Garamond" w:cstheme="majorBidi"/>
          <w:color w:val="000000" w:themeColor="text1"/>
          <w:sz w:val="20"/>
          <w:szCs w:val="20"/>
          <w:shd w:val="clear" w:color="auto" w:fill="FFFFFF"/>
        </w:rPr>
        <w:t xml:space="preserve">: 10.1002/ana.24903. </w:t>
      </w:r>
      <w:proofErr w:type="spellStart"/>
      <w:r w:rsidRPr="00CC3649">
        <w:rPr>
          <w:rFonts w:ascii="Garamond" w:hAnsi="Garamond" w:cstheme="majorBidi"/>
          <w:color w:val="000000" w:themeColor="text1"/>
          <w:sz w:val="20"/>
          <w:szCs w:val="20"/>
          <w:shd w:val="clear" w:color="auto" w:fill="FFFFFF"/>
        </w:rPr>
        <w:t>Epub</w:t>
      </w:r>
      <w:proofErr w:type="spellEnd"/>
      <w:r w:rsidRPr="00CC3649">
        <w:rPr>
          <w:rFonts w:ascii="Garamond" w:hAnsi="Garamond" w:cstheme="majorBidi"/>
          <w:color w:val="000000" w:themeColor="text1"/>
          <w:sz w:val="20"/>
          <w:szCs w:val="20"/>
          <w:shd w:val="clear" w:color="auto" w:fill="FFFFFF"/>
        </w:rPr>
        <w:t xml:space="preserve"> 2017 Mar 22. </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proofErr w:type="spellStart"/>
      <w:r w:rsidRPr="00CC3649">
        <w:rPr>
          <w:rFonts w:ascii="Garamond" w:hAnsi="Garamond" w:cstheme="majorBidi"/>
          <w:color w:val="000000" w:themeColor="text1"/>
          <w:sz w:val="20"/>
          <w:szCs w:val="20"/>
          <w:lang w:val="en-US"/>
        </w:rPr>
        <w:t>Chehrehnegar</w:t>
      </w:r>
      <w:proofErr w:type="spellEnd"/>
      <w:r w:rsidRPr="00CC3649">
        <w:rPr>
          <w:rFonts w:ascii="Garamond" w:hAnsi="Garamond" w:cstheme="majorBidi"/>
          <w:color w:val="000000" w:themeColor="text1"/>
          <w:sz w:val="20"/>
          <w:szCs w:val="20"/>
          <w:lang w:val="en-US"/>
        </w:rPr>
        <w:t xml:space="preserve">, N., </w:t>
      </w:r>
      <w:proofErr w:type="spellStart"/>
      <w:r w:rsidRPr="00CC3649">
        <w:rPr>
          <w:rFonts w:ascii="Garamond" w:hAnsi="Garamond" w:cstheme="majorBidi"/>
          <w:color w:val="000000" w:themeColor="text1"/>
          <w:sz w:val="20"/>
          <w:szCs w:val="20"/>
          <w:lang w:val="en-US"/>
        </w:rPr>
        <w:t>Nejati</w:t>
      </w:r>
      <w:proofErr w:type="spellEnd"/>
      <w:r w:rsidRPr="00CC3649">
        <w:rPr>
          <w:rFonts w:ascii="Garamond" w:hAnsi="Garamond" w:cstheme="majorBidi"/>
          <w:color w:val="000000" w:themeColor="text1"/>
          <w:sz w:val="20"/>
          <w:szCs w:val="20"/>
          <w:lang w:val="en-US"/>
        </w:rPr>
        <w:t xml:space="preserve">, V., </w:t>
      </w:r>
      <w:proofErr w:type="spellStart"/>
      <w:r w:rsidRPr="00CC3649">
        <w:rPr>
          <w:rFonts w:ascii="Garamond" w:hAnsi="Garamond" w:cstheme="majorBidi"/>
          <w:color w:val="000000" w:themeColor="text1"/>
          <w:sz w:val="20"/>
          <w:szCs w:val="20"/>
          <w:lang w:val="en-US"/>
        </w:rPr>
        <w:t>Shati</w:t>
      </w:r>
      <w:proofErr w:type="spellEnd"/>
      <w:r w:rsidRPr="00CC3649">
        <w:rPr>
          <w:rFonts w:ascii="Garamond" w:hAnsi="Garamond" w:cstheme="majorBidi"/>
          <w:color w:val="000000" w:themeColor="text1"/>
          <w:sz w:val="20"/>
          <w:szCs w:val="20"/>
          <w:lang w:val="en-US"/>
        </w:rPr>
        <w:t xml:space="preserve">, M., </w:t>
      </w:r>
      <w:proofErr w:type="spellStart"/>
      <w:r w:rsidRPr="00CC3649">
        <w:rPr>
          <w:rFonts w:ascii="Garamond" w:hAnsi="Garamond" w:cstheme="majorBidi"/>
          <w:color w:val="000000" w:themeColor="text1"/>
          <w:sz w:val="20"/>
          <w:szCs w:val="20"/>
          <w:lang w:val="en-US"/>
        </w:rPr>
        <w:t>Roshedi</w:t>
      </w:r>
      <w:proofErr w:type="spellEnd"/>
      <w:r w:rsidRPr="00CC3649">
        <w:rPr>
          <w:rFonts w:ascii="Garamond" w:hAnsi="Garamond" w:cstheme="majorBidi"/>
          <w:color w:val="000000" w:themeColor="text1"/>
          <w:sz w:val="20"/>
          <w:szCs w:val="20"/>
          <w:lang w:val="en-US"/>
        </w:rPr>
        <w:t xml:space="preserve">, V., </w:t>
      </w:r>
      <w:proofErr w:type="spellStart"/>
      <w:r w:rsidRPr="00CC3649">
        <w:rPr>
          <w:rFonts w:ascii="Garamond" w:hAnsi="Garamond" w:cstheme="majorBidi"/>
          <w:color w:val="000000" w:themeColor="text1"/>
          <w:sz w:val="20"/>
          <w:szCs w:val="20"/>
          <w:lang w:val="en-US"/>
        </w:rPr>
        <w:t>Lotfi</w:t>
      </w:r>
      <w:proofErr w:type="spellEnd"/>
      <w:r w:rsidRPr="00CC3649">
        <w:rPr>
          <w:rFonts w:ascii="Garamond" w:hAnsi="Garamond" w:cstheme="majorBidi"/>
          <w:color w:val="000000" w:themeColor="text1"/>
          <w:sz w:val="20"/>
          <w:szCs w:val="20"/>
          <w:lang w:val="en-US"/>
        </w:rPr>
        <w:t xml:space="preserve">, M., </w:t>
      </w:r>
      <w:proofErr w:type="spellStart"/>
      <w:r w:rsidRPr="00CC3649">
        <w:rPr>
          <w:rFonts w:ascii="Garamond" w:hAnsi="Garamond" w:cstheme="majorBidi"/>
          <w:color w:val="000000" w:themeColor="text1"/>
          <w:sz w:val="20"/>
          <w:szCs w:val="20"/>
          <w:shd w:val="clear" w:color="auto" w:fill="FFFFFF"/>
          <w:lang w:val="en-US"/>
        </w:rPr>
        <w:t>Adelirad</w:t>
      </w:r>
      <w:proofErr w:type="spellEnd"/>
      <w:r w:rsidRPr="00CC3649">
        <w:rPr>
          <w:rFonts w:ascii="Garamond" w:hAnsi="Garamond" w:cstheme="majorBidi"/>
          <w:color w:val="000000" w:themeColor="text1"/>
          <w:sz w:val="20"/>
          <w:szCs w:val="20"/>
          <w:shd w:val="clear" w:color="auto" w:fill="FFFFFF"/>
          <w:lang w:val="en-US"/>
        </w:rPr>
        <w:t xml:space="preserve"> F, </w:t>
      </w:r>
      <w:proofErr w:type="spellStart"/>
      <w:r w:rsidRPr="00CC3649">
        <w:rPr>
          <w:rFonts w:ascii="Garamond" w:hAnsi="Garamond" w:cstheme="majorBidi"/>
          <w:color w:val="000000" w:themeColor="text1"/>
          <w:sz w:val="20"/>
          <w:szCs w:val="20"/>
          <w:shd w:val="clear" w:color="auto" w:fill="FFFFFF"/>
          <w:lang w:val="en-US"/>
        </w:rPr>
        <w:t>Foroughan</w:t>
      </w:r>
      <w:proofErr w:type="spellEnd"/>
      <w:r w:rsidRPr="00CC3649">
        <w:rPr>
          <w:rFonts w:ascii="Garamond" w:hAnsi="Garamond" w:cstheme="majorBidi"/>
          <w:color w:val="000000" w:themeColor="text1"/>
          <w:sz w:val="20"/>
          <w:szCs w:val="20"/>
          <w:shd w:val="clear" w:color="auto" w:fill="FFFFFF"/>
          <w:lang w:val="en-US"/>
        </w:rPr>
        <w:t xml:space="preserve"> M</w:t>
      </w:r>
      <w:r w:rsidRPr="00CC3649">
        <w:rPr>
          <w:rFonts w:ascii="Garamond" w:hAnsi="Garamond" w:cstheme="majorBidi"/>
          <w:color w:val="000000" w:themeColor="text1"/>
          <w:sz w:val="20"/>
          <w:szCs w:val="20"/>
          <w:lang w:val="en-US"/>
        </w:rPr>
        <w:t xml:space="preserve">. (2019).  Early detection of cognitive disturbances in MCI: a systematic review of observational studies. </w:t>
      </w:r>
      <w:proofErr w:type="spellStart"/>
      <w:r w:rsidRPr="00CC3649">
        <w:rPr>
          <w:rFonts w:ascii="Garamond" w:hAnsi="Garamond" w:cstheme="majorBidi"/>
          <w:color w:val="000000" w:themeColor="text1"/>
          <w:sz w:val="20"/>
          <w:szCs w:val="20"/>
          <w:lang w:val="en-US"/>
        </w:rPr>
        <w:t>Psychogeriatrics</w:t>
      </w:r>
      <w:proofErr w:type="spellEnd"/>
      <w:r w:rsidRPr="00CC3649">
        <w:rPr>
          <w:rFonts w:ascii="Garamond" w:hAnsi="Garamond" w:cstheme="majorBidi"/>
          <w:color w:val="000000" w:themeColor="text1"/>
          <w:sz w:val="20"/>
          <w:szCs w:val="20"/>
          <w:lang w:val="en-US"/>
        </w:rPr>
        <w:t>.</w:t>
      </w:r>
      <w:r w:rsidRPr="00CC3649">
        <w:rPr>
          <w:rFonts w:ascii="Garamond" w:hAnsi="Garamond" w:cstheme="majorBidi"/>
          <w:color w:val="000000" w:themeColor="text1"/>
          <w:sz w:val="20"/>
          <w:szCs w:val="20"/>
          <w:shd w:val="clear" w:color="auto" w:fill="FFFFFF"/>
        </w:rPr>
        <w:t xml:space="preserve"> 10.1111/psyg.12484. </w:t>
      </w:r>
      <w:proofErr w:type="spellStart"/>
      <w:r w:rsidRPr="00CC3649">
        <w:rPr>
          <w:rFonts w:ascii="Garamond" w:hAnsi="Garamond" w:cstheme="majorBidi"/>
          <w:color w:val="000000" w:themeColor="text1"/>
          <w:sz w:val="20"/>
          <w:szCs w:val="20"/>
          <w:shd w:val="clear" w:color="auto" w:fill="FFFFFF"/>
        </w:rPr>
        <w:t>Epub</w:t>
      </w:r>
      <w:proofErr w:type="spellEnd"/>
      <w:r w:rsidRPr="00CC3649">
        <w:rPr>
          <w:rFonts w:ascii="Garamond" w:hAnsi="Garamond" w:cstheme="majorBidi"/>
          <w:color w:val="000000" w:themeColor="text1"/>
          <w:sz w:val="20"/>
          <w:szCs w:val="20"/>
          <w:shd w:val="clear" w:color="auto" w:fill="FFFFFF"/>
        </w:rPr>
        <w:t xml:space="preserve"> 2019 </w:t>
      </w:r>
      <w:proofErr w:type="spellStart"/>
      <w:r w:rsidRPr="00CC3649">
        <w:rPr>
          <w:rFonts w:ascii="Garamond" w:hAnsi="Garamond" w:cstheme="majorBidi"/>
          <w:color w:val="000000" w:themeColor="text1"/>
          <w:sz w:val="20"/>
          <w:szCs w:val="20"/>
          <w:shd w:val="clear" w:color="auto" w:fill="FFFFFF"/>
        </w:rPr>
        <w:t>Dec</w:t>
      </w:r>
      <w:proofErr w:type="spellEnd"/>
      <w:r w:rsidRPr="00CC3649">
        <w:rPr>
          <w:rFonts w:ascii="Garamond" w:hAnsi="Garamond" w:cstheme="majorBidi"/>
          <w:color w:val="000000" w:themeColor="text1"/>
          <w:sz w:val="20"/>
          <w:szCs w:val="20"/>
          <w:shd w:val="clear" w:color="auto" w:fill="FFFFFF"/>
        </w:rPr>
        <w:t xml:space="preserve"> 6.</w:t>
      </w:r>
    </w:p>
    <w:p w:rsidR="00405D34" w:rsidRPr="00CC3649" w:rsidRDefault="00405D34" w:rsidP="0013017F">
      <w:pPr>
        <w:pStyle w:val="Paragraphedeliste"/>
        <w:numPr>
          <w:ilvl w:val="0"/>
          <w:numId w:val="6"/>
        </w:numPr>
        <w:jc w:val="both"/>
        <w:rPr>
          <w:rFonts w:ascii="Garamond" w:hAnsi="Garamond" w:cstheme="majorBidi"/>
          <w:color w:val="000000" w:themeColor="text1"/>
          <w:sz w:val="20"/>
          <w:szCs w:val="20"/>
          <w:lang w:val="en-US"/>
        </w:rPr>
      </w:pPr>
      <w:proofErr w:type="spellStart"/>
      <w:r w:rsidRPr="00CC3649">
        <w:rPr>
          <w:rFonts w:ascii="Garamond" w:hAnsi="Garamond" w:cstheme="majorBidi"/>
          <w:color w:val="000000" w:themeColor="text1"/>
          <w:sz w:val="20"/>
          <w:szCs w:val="20"/>
          <w:lang w:val="en-US"/>
        </w:rPr>
        <w:t>Eshkoor</w:t>
      </w:r>
      <w:proofErr w:type="spellEnd"/>
      <w:r w:rsidRPr="00CC3649">
        <w:rPr>
          <w:rFonts w:ascii="Garamond" w:hAnsi="Garamond" w:cstheme="majorBidi"/>
          <w:color w:val="000000" w:themeColor="text1"/>
          <w:sz w:val="20"/>
          <w:szCs w:val="20"/>
          <w:lang w:val="en-US"/>
        </w:rPr>
        <w:t xml:space="preserve">, SA., Hamid, TA., </w:t>
      </w:r>
      <w:proofErr w:type="spellStart"/>
      <w:r w:rsidRPr="00CC3649">
        <w:rPr>
          <w:rFonts w:ascii="Garamond" w:hAnsi="Garamond" w:cstheme="majorBidi"/>
          <w:color w:val="000000" w:themeColor="text1"/>
          <w:sz w:val="20"/>
          <w:szCs w:val="20"/>
          <w:lang w:val="en-US"/>
        </w:rPr>
        <w:t>Mun</w:t>
      </w:r>
      <w:proofErr w:type="spellEnd"/>
      <w:r w:rsidRPr="00CC3649">
        <w:rPr>
          <w:rFonts w:ascii="Garamond" w:hAnsi="Garamond" w:cstheme="majorBidi"/>
          <w:color w:val="000000" w:themeColor="text1"/>
          <w:sz w:val="20"/>
          <w:szCs w:val="20"/>
          <w:lang w:val="en-US"/>
        </w:rPr>
        <w:t>, CY., Ng, CK. (2015). MCI and its management in older people. Clinical interventions in aging.</w:t>
      </w:r>
      <w:r w:rsidRPr="00CC3649">
        <w:rPr>
          <w:rFonts w:ascii="Garamond" w:hAnsi="Garamond" w:cstheme="majorBidi"/>
          <w:color w:val="000000" w:themeColor="text1"/>
          <w:sz w:val="20"/>
          <w:szCs w:val="20"/>
          <w:shd w:val="clear" w:color="auto" w:fill="FFFFFF"/>
        </w:rPr>
        <w:t xml:space="preserve"> </w:t>
      </w:r>
      <w:proofErr w:type="spellStart"/>
      <w:r w:rsidRPr="00CC3649">
        <w:rPr>
          <w:rFonts w:ascii="Garamond" w:hAnsi="Garamond" w:cstheme="majorBidi"/>
          <w:color w:val="000000" w:themeColor="text1"/>
          <w:sz w:val="20"/>
          <w:szCs w:val="20"/>
          <w:shd w:val="clear" w:color="auto" w:fill="FFFFFF"/>
        </w:rPr>
        <w:t>doi</w:t>
      </w:r>
      <w:proofErr w:type="spellEnd"/>
      <w:r w:rsidRPr="00CC3649">
        <w:rPr>
          <w:rFonts w:ascii="Garamond" w:hAnsi="Garamond" w:cstheme="majorBidi"/>
          <w:color w:val="000000" w:themeColor="text1"/>
          <w:sz w:val="20"/>
          <w:szCs w:val="20"/>
          <w:shd w:val="clear" w:color="auto" w:fill="FFFFFF"/>
        </w:rPr>
        <w:t>: 10.2147/CIA.S73922. PMID: 25914527.</w:t>
      </w:r>
    </w:p>
    <w:p w:rsidR="00405D34" w:rsidRPr="00CC3649" w:rsidRDefault="00405D34" w:rsidP="0013017F">
      <w:pPr>
        <w:pStyle w:val="Paragraphedeliste"/>
        <w:jc w:val="both"/>
        <w:rPr>
          <w:rFonts w:ascii="Garamond" w:hAnsi="Garamond"/>
          <w:sz w:val="20"/>
          <w:szCs w:val="20"/>
          <w:lang w:val="en-US"/>
        </w:rPr>
      </w:pPr>
    </w:p>
    <w:p w:rsidR="00405D34" w:rsidRPr="00CC3649" w:rsidRDefault="00405D34" w:rsidP="0013017F">
      <w:pPr>
        <w:pStyle w:val="Paragraphedeliste"/>
        <w:jc w:val="both"/>
        <w:rPr>
          <w:rFonts w:ascii="Garamond" w:hAnsi="Garamond"/>
          <w:sz w:val="20"/>
          <w:szCs w:val="20"/>
          <w:lang w:val="en-US"/>
        </w:rPr>
      </w:pPr>
    </w:p>
    <w:p w:rsidR="00A70899" w:rsidRPr="00CC3649" w:rsidRDefault="00A70899" w:rsidP="0013017F">
      <w:pPr>
        <w:pStyle w:val="Els-body-text"/>
        <w:spacing w:before="100" w:beforeAutospacing="1" w:after="100" w:afterAutospacing="1" w:line="240" w:lineRule="auto"/>
        <w:ind w:firstLine="0"/>
        <w:rPr>
          <w:rFonts w:ascii="Garamond" w:hAnsi="Garamond"/>
          <w:sz w:val="20"/>
          <w:lang w:val="fr-FR"/>
        </w:rPr>
      </w:pPr>
    </w:p>
    <w:p w:rsidR="00A70899" w:rsidRPr="00CC3649" w:rsidRDefault="00A70899" w:rsidP="00CC3649">
      <w:pPr>
        <w:pStyle w:val="Els-body-text"/>
        <w:spacing w:before="100" w:beforeAutospacing="1" w:after="100" w:afterAutospacing="1" w:line="240" w:lineRule="auto"/>
        <w:ind w:firstLine="0"/>
        <w:rPr>
          <w:rFonts w:ascii="Garamond" w:hAnsi="Garamond"/>
          <w:sz w:val="20"/>
          <w:lang w:val="fr-FR"/>
        </w:rPr>
        <w:sectPr w:rsidR="00A70899" w:rsidRPr="00CC3649" w:rsidSect="00217CA8">
          <w:type w:val="continuous"/>
          <w:pgSz w:w="12240" w:h="15840"/>
          <w:pgMar w:top="1440" w:right="1440" w:bottom="1440" w:left="1440" w:header="720" w:footer="861" w:gutter="0"/>
          <w:cols w:num="2" w:space="720"/>
          <w:titlePg/>
          <w:docGrid w:linePitch="360"/>
        </w:sectPr>
      </w:pPr>
      <w:r w:rsidRPr="00CC3649">
        <w:rPr>
          <w:rFonts w:ascii="Garamond" w:hAnsi="Garamond"/>
          <w:sz w:val="20"/>
          <w:lang w:val="fr-FR"/>
        </w:rPr>
        <w:t xml:space="preserve"> </w:t>
      </w:r>
    </w:p>
    <w:p w:rsidR="00A70899" w:rsidRPr="00CC3649" w:rsidRDefault="00A70899" w:rsidP="00CC3649">
      <w:pPr>
        <w:pStyle w:val="p"/>
        <w:shd w:val="clear" w:color="auto" w:fill="FFFFFF"/>
        <w:spacing w:before="166" w:beforeAutospacing="0" w:after="166" w:afterAutospacing="0"/>
        <w:jc w:val="both"/>
        <w:rPr>
          <w:rFonts w:ascii="Garamond" w:hAnsi="Garamond"/>
          <w:sz w:val="20"/>
          <w:szCs w:val="20"/>
          <w:lang w:val="fr-FR"/>
        </w:rPr>
      </w:pPr>
    </w:p>
    <w:p w:rsidR="001E212F" w:rsidRPr="00CC3649" w:rsidRDefault="001E212F" w:rsidP="00CC3649">
      <w:pPr>
        <w:pStyle w:val="Els-body-text"/>
        <w:spacing w:before="100" w:beforeAutospacing="1" w:after="100" w:afterAutospacing="1" w:line="240" w:lineRule="auto"/>
        <w:ind w:left="673" w:firstLine="0"/>
        <w:rPr>
          <w:rFonts w:ascii="Garamond" w:eastAsia="Times New Roman" w:hAnsi="Garamond"/>
          <w:sz w:val="20"/>
          <w:lang w:val="fr-FR"/>
        </w:rPr>
        <w:sectPr w:rsidR="001E212F" w:rsidRPr="00CC3649" w:rsidSect="001E212F">
          <w:type w:val="continuous"/>
          <w:pgSz w:w="12240" w:h="15840"/>
          <w:pgMar w:top="1440" w:right="1440" w:bottom="1440" w:left="1440" w:header="720" w:footer="861" w:gutter="0"/>
          <w:cols w:num="2" w:space="720"/>
          <w:titlePg/>
          <w:docGrid w:linePitch="360"/>
        </w:sectPr>
      </w:pPr>
    </w:p>
    <w:p w:rsidR="00FA0649" w:rsidRPr="00CC3649" w:rsidRDefault="00FA0649" w:rsidP="00CC3649">
      <w:pPr>
        <w:pStyle w:val="Els-body-text"/>
        <w:spacing w:before="100" w:beforeAutospacing="1" w:after="100" w:afterAutospacing="1" w:line="240" w:lineRule="auto"/>
        <w:ind w:left="673" w:firstLine="0"/>
        <w:rPr>
          <w:rFonts w:ascii="Garamond" w:eastAsia="Times New Roman" w:hAnsi="Garamond"/>
          <w:sz w:val="20"/>
          <w:lang w:val="fr-FR"/>
        </w:rPr>
      </w:pPr>
    </w:p>
    <w:sectPr w:rsidR="00FA0649" w:rsidRPr="00CC3649" w:rsidSect="00217CA8">
      <w:type w:val="continuous"/>
      <w:pgSz w:w="12240" w:h="15840"/>
      <w:pgMar w:top="1440" w:right="1440" w:bottom="1440" w:left="1440" w:header="720" w:footer="861"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17A2" w:rsidRDefault="006D17A2" w:rsidP="00E56282">
      <w:pPr>
        <w:spacing w:after="0" w:line="240" w:lineRule="auto"/>
      </w:pPr>
      <w:r>
        <w:separator/>
      </w:r>
    </w:p>
  </w:endnote>
  <w:endnote w:type="continuationSeparator" w:id="0">
    <w:p w:rsidR="006D17A2" w:rsidRDefault="006D17A2" w:rsidP="00E56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Bidi" w:hAnsiTheme="majorBidi" w:cstheme="majorBidi"/>
        <w:sz w:val="16"/>
        <w:szCs w:val="16"/>
      </w:rPr>
      <w:id w:val="-616060993"/>
      <w:docPartObj>
        <w:docPartGallery w:val="Page Numbers (Bottom of Page)"/>
        <w:docPartUnique/>
      </w:docPartObj>
    </w:sdtPr>
    <w:sdtEndPr/>
    <w:sdtContent>
      <w:sdt>
        <w:sdtPr>
          <w:rPr>
            <w:rFonts w:asciiTheme="majorBidi" w:hAnsiTheme="majorBidi" w:cstheme="majorBidi"/>
            <w:sz w:val="16"/>
            <w:szCs w:val="16"/>
          </w:rPr>
          <w:id w:val="-1564474697"/>
          <w:docPartObj>
            <w:docPartGallery w:val="Page Numbers (Top of Page)"/>
            <w:docPartUnique/>
          </w:docPartObj>
        </w:sdtPr>
        <w:sdtEndPr/>
        <w:sdtContent>
          <w:p w:rsidR="00FB76BB" w:rsidRDefault="00FB76BB">
            <w:pPr>
              <w:pStyle w:val="Pieddepage"/>
              <w:jc w:val="center"/>
              <w:rPr>
                <w:rFonts w:asciiTheme="majorBidi" w:hAnsiTheme="majorBidi" w:cstheme="majorBidi"/>
                <w:sz w:val="16"/>
                <w:szCs w:val="16"/>
              </w:rPr>
            </w:pPr>
          </w:p>
          <w:p w:rsidR="00FB76BB" w:rsidRPr="00820252" w:rsidRDefault="00FB76BB">
            <w:pPr>
              <w:pStyle w:val="Pieddepage"/>
              <w:jc w:val="center"/>
              <w:rPr>
                <w:rFonts w:asciiTheme="majorBidi" w:hAnsiTheme="majorBidi" w:cstheme="majorBidi"/>
                <w:b/>
                <w:bCs/>
                <w:sz w:val="16"/>
                <w:szCs w:val="16"/>
              </w:rPr>
            </w:pPr>
          </w:p>
          <w:p w:rsidR="00FB76BB" w:rsidRPr="00820252" w:rsidRDefault="00FB76BB" w:rsidP="00D47305">
            <w:pPr>
              <w:pStyle w:val="Pieddepage"/>
              <w:jc w:val="right"/>
              <w:rPr>
                <w:rFonts w:asciiTheme="majorBidi" w:hAnsiTheme="majorBidi" w:cstheme="majorBidi"/>
                <w:sz w:val="16"/>
                <w:szCs w:val="16"/>
              </w:rPr>
            </w:pPr>
            <w:r w:rsidRPr="00820252">
              <w:rPr>
                <w:rFonts w:asciiTheme="majorBidi" w:hAnsiTheme="majorBidi" w:cstheme="majorBidi"/>
                <w:sz w:val="16"/>
                <w:szCs w:val="16"/>
              </w:rPr>
              <w:t xml:space="preserve">Page </w:t>
            </w:r>
            <w:r w:rsidR="007F2549"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PAGE </w:instrText>
            </w:r>
            <w:r w:rsidR="007F2549" w:rsidRPr="00820252">
              <w:rPr>
                <w:rFonts w:asciiTheme="majorBidi" w:hAnsiTheme="majorBidi" w:cstheme="majorBidi"/>
                <w:b/>
                <w:bCs/>
                <w:sz w:val="16"/>
                <w:szCs w:val="16"/>
              </w:rPr>
              <w:fldChar w:fldCharType="separate"/>
            </w:r>
            <w:r w:rsidR="00E674F5">
              <w:rPr>
                <w:rFonts w:asciiTheme="majorBidi" w:hAnsiTheme="majorBidi" w:cstheme="majorBidi"/>
                <w:b/>
                <w:bCs/>
                <w:noProof/>
                <w:sz w:val="16"/>
                <w:szCs w:val="16"/>
              </w:rPr>
              <w:t>2</w:t>
            </w:r>
            <w:r w:rsidR="007F2549" w:rsidRPr="00820252">
              <w:rPr>
                <w:rFonts w:asciiTheme="majorBidi" w:hAnsiTheme="majorBidi" w:cstheme="majorBidi"/>
                <w:b/>
                <w:bCs/>
                <w:sz w:val="16"/>
                <w:szCs w:val="16"/>
              </w:rPr>
              <w:fldChar w:fldCharType="end"/>
            </w:r>
            <w:r w:rsidRPr="00820252">
              <w:rPr>
                <w:rFonts w:asciiTheme="majorBidi" w:hAnsiTheme="majorBidi" w:cstheme="majorBidi"/>
                <w:sz w:val="16"/>
                <w:szCs w:val="16"/>
              </w:rPr>
              <w:t xml:space="preserve"> of </w:t>
            </w:r>
            <w:r w:rsidR="007F2549" w:rsidRPr="00820252">
              <w:rPr>
                <w:rFonts w:asciiTheme="majorBidi" w:hAnsiTheme="majorBidi" w:cstheme="majorBidi"/>
                <w:b/>
                <w:bCs/>
                <w:sz w:val="16"/>
                <w:szCs w:val="16"/>
              </w:rPr>
              <w:fldChar w:fldCharType="begin"/>
            </w:r>
            <w:r w:rsidRPr="00820252">
              <w:rPr>
                <w:rFonts w:asciiTheme="majorBidi" w:hAnsiTheme="majorBidi" w:cstheme="majorBidi"/>
                <w:b/>
                <w:bCs/>
                <w:sz w:val="16"/>
                <w:szCs w:val="16"/>
              </w:rPr>
              <w:instrText xml:space="preserve"> NUMPAGES  </w:instrText>
            </w:r>
            <w:r w:rsidR="007F2549" w:rsidRPr="00820252">
              <w:rPr>
                <w:rFonts w:asciiTheme="majorBidi" w:hAnsiTheme="majorBidi" w:cstheme="majorBidi"/>
                <w:b/>
                <w:bCs/>
                <w:sz w:val="16"/>
                <w:szCs w:val="16"/>
              </w:rPr>
              <w:fldChar w:fldCharType="separate"/>
            </w:r>
            <w:r w:rsidR="00E674F5">
              <w:rPr>
                <w:rFonts w:asciiTheme="majorBidi" w:hAnsiTheme="majorBidi" w:cstheme="majorBidi"/>
                <w:b/>
                <w:bCs/>
                <w:noProof/>
                <w:sz w:val="16"/>
                <w:szCs w:val="16"/>
              </w:rPr>
              <w:t>7</w:t>
            </w:r>
            <w:r w:rsidR="007F2549" w:rsidRPr="00820252">
              <w:rPr>
                <w:rFonts w:asciiTheme="majorBidi" w:hAnsiTheme="majorBidi" w:cstheme="majorBidi"/>
                <w:b/>
                <w:bCs/>
                <w:sz w:val="16"/>
                <w:szCs w:val="16"/>
              </w:rPr>
              <w:fldChar w:fldCharType="end"/>
            </w:r>
          </w:p>
        </w:sdtContent>
      </w:sdt>
    </w:sdtContent>
  </w:sdt>
  <w:p w:rsidR="00FB76BB" w:rsidRDefault="00FB76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6BB" w:rsidRDefault="00FB76BB" w:rsidP="00D47305">
    <w:pPr>
      <w:pStyle w:val="Pieddepage"/>
      <w:tabs>
        <w:tab w:val="center" w:pos="4961"/>
      </w:tabs>
      <w:rPr>
        <w:sz w:val="15"/>
        <w:szCs w:val="15"/>
      </w:rPr>
    </w:pPr>
  </w:p>
  <w:p w:rsidR="00FB76BB" w:rsidRPr="00EA5E42" w:rsidRDefault="00FB76BB" w:rsidP="00D47305">
    <w:pPr>
      <w:pStyle w:val="Pieddepage"/>
      <w:tabs>
        <w:tab w:val="center" w:pos="4961"/>
      </w:tabs>
      <w:rPr>
        <w:rFonts w:asciiTheme="majorBidi" w:hAnsiTheme="majorBidi" w:cstheme="majorBidi"/>
        <w:i/>
        <w:sz w:val="12"/>
        <w:szCs w:val="12"/>
      </w:rPr>
    </w:pPr>
    <w:r w:rsidRPr="00EA5E42">
      <w:rPr>
        <w:rFonts w:asciiTheme="majorBidi" w:hAnsiTheme="majorBidi" w:cstheme="majorBidi"/>
        <w:noProof/>
        <w:sz w:val="12"/>
        <w:szCs w:val="12"/>
        <w:lang w:val="fr-FR" w:eastAsia="fr-FR"/>
      </w:rPr>
      <w:drawing>
        <wp:anchor distT="0" distB="0" distL="114300" distR="114300" simplePos="0" relativeHeight="251661312" behindDoc="0" locked="0" layoutInCell="1" allowOverlap="1">
          <wp:simplePos x="0" y="0"/>
          <wp:positionH relativeFrom="margin">
            <wp:posOffset>23620</wp:posOffset>
          </wp:positionH>
          <wp:positionV relativeFrom="paragraph">
            <wp:posOffset>162660</wp:posOffset>
          </wp:positionV>
          <wp:extent cx="499925" cy="17611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99925" cy="176110"/>
                  </a:xfrm>
                  <a:prstGeom prst="rect">
                    <a:avLst/>
                  </a:prstGeom>
                </pic:spPr>
              </pic:pic>
            </a:graphicData>
          </a:graphic>
        </wp:anchor>
      </w:drawing>
    </w:r>
    <w:r w:rsidRPr="00EA5E42">
      <w:rPr>
        <w:rFonts w:asciiTheme="majorBidi" w:hAnsiTheme="majorBidi" w:cstheme="majorBidi"/>
        <w:sz w:val="12"/>
        <w:szCs w:val="12"/>
      </w:rPr>
      <w:t>This work is licensed under a Creative Commons Attribution-</w:t>
    </w:r>
    <w:proofErr w:type="spellStart"/>
    <w:r w:rsidRPr="00EA5E42">
      <w:rPr>
        <w:rFonts w:asciiTheme="majorBidi" w:hAnsiTheme="majorBidi" w:cstheme="majorBidi"/>
        <w:sz w:val="12"/>
        <w:szCs w:val="12"/>
      </w:rPr>
      <w:t>NonCommercial</w:t>
    </w:r>
    <w:proofErr w:type="spellEnd"/>
    <w:r w:rsidRPr="00EA5E42">
      <w:rPr>
        <w:rFonts w:asciiTheme="majorBidi" w:hAnsiTheme="majorBidi" w:cstheme="majorBidi"/>
        <w:sz w:val="12"/>
        <w:szCs w:val="12"/>
      </w:rPr>
      <w:t xml:space="preserve"> 4.0 International License. </w:t>
    </w:r>
  </w:p>
  <w:sdt>
    <w:sdtPr>
      <w:rPr>
        <w:rFonts w:asciiTheme="majorBidi" w:hAnsiTheme="majorBidi" w:cstheme="majorBidi"/>
        <w:sz w:val="16"/>
        <w:szCs w:val="16"/>
      </w:rPr>
      <w:id w:val="1876576638"/>
      <w:docPartObj>
        <w:docPartGallery w:val="Page Numbers (Bottom of Page)"/>
        <w:docPartUnique/>
      </w:docPartObj>
    </w:sdtPr>
    <w:sdtEndPr/>
    <w:sdtContent>
      <w:sdt>
        <w:sdtPr>
          <w:rPr>
            <w:rFonts w:asciiTheme="majorBidi" w:hAnsiTheme="majorBidi" w:cstheme="majorBidi"/>
            <w:sz w:val="16"/>
            <w:szCs w:val="16"/>
          </w:rPr>
          <w:id w:val="-1381633611"/>
          <w:docPartObj>
            <w:docPartGallery w:val="Page Numbers (Top of Page)"/>
            <w:docPartUnique/>
          </w:docPartObj>
        </w:sdtPr>
        <w:sdtEndPr/>
        <w:sdtContent>
          <w:p w:rsidR="00FB76BB" w:rsidRDefault="00FB76BB" w:rsidP="00D47305">
            <w:pPr>
              <w:pStyle w:val="Pieddepage"/>
              <w:jc w:val="center"/>
              <w:rPr>
                <w:rFonts w:asciiTheme="majorBidi" w:hAnsiTheme="majorBidi" w:cstheme="majorBidi"/>
                <w:sz w:val="16"/>
                <w:szCs w:val="16"/>
              </w:rPr>
            </w:pPr>
          </w:p>
          <w:p w:rsidR="00FB76BB" w:rsidRPr="00820252" w:rsidRDefault="00FB76BB" w:rsidP="00D47305">
            <w:pPr>
              <w:pStyle w:val="Pieddepage"/>
              <w:jc w:val="center"/>
              <w:rPr>
                <w:rFonts w:asciiTheme="majorBidi" w:hAnsiTheme="majorBidi" w:cstheme="majorBidi"/>
                <w:b/>
                <w:bCs/>
                <w:sz w:val="16"/>
                <w:szCs w:val="16"/>
              </w:rPr>
            </w:pPr>
          </w:p>
          <w:p w:rsidR="00FB76BB" w:rsidRPr="00820252" w:rsidRDefault="00FB76BB" w:rsidP="00D47305">
            <w:pPr>
              <w:pStyle w:val="Pieddepage"/>
              <w:jc w:val="right"/>
            </w:pPr>
            <w:r w:rsidRPr="00820252">
              <w:rPr>
                <w:rFonts w:asciiTheme="majorBidi" w:hAnsiTheme="majorBidi" w:cstheme="majorBidi"/>
                <w:sz w:val="16"/>
                <w:szCs w:val="16"/>
              </w:rPr>
              <w:t xml:space="preserve">Page </w:t>
            </w:r>
            <w:r w:rsidR="007F2549"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PAGE </w:instrText>
            </w:r>
            <w:r w:rsidR="007F2549" w:rsidRPr="00820252">
              <w:rPr>
                <w:rFonts w:asciiTheme="majorBidi" w:hAnsiTheme="majorBidi" w:cstheme="majorBidi"/>
                <w:sz w:val="16"/>
                <w:szCs w:val="16"/>
              </w:rPr>
              <w:fldChar w:fldCharType="separate"/>
            </w:r>
            <w:r w:rsidR="00E674F5">
              <w:rPr>
                <w:rFonts w:asciiTheme="majorBidi" w:hAnsiTheme="majorBidi" w:cstheme="majorBidi"/>
                <w:noProof/>
                <w:sz w:val="16"/>
                <w:szCs w:val="16"/>
              </w:rPr>
              <w:t>1</w:t>
            </w:r>
            <w:r w:rsidR="007F2549" w:rsidRPr="00820252">
              <w:rPr>
                <w:rFonts w:asciiTheme="majorBidi" w:hAnsiTheme="majorBidi" w:cstheme="majorBidi"/>
                <w:sz w:val="16"/>
                <w:szCs w:val="16"/>
              </w:rPr>
              <w:fldChar w:fldCharType="end"/>
            </w:r>
            <w:r w:rsidRPr="00820252">
              <w:rPr>
                <w:rFonts w:asciiTheme="majorBidi" w:hAnsiTheme="majorBidi" w:cstheme="majorBidi"/>
                <w:sz w:val="16"/>
                <w:szCs w:val="16"/>
              </w:rPr>
              <w:t xml:space="preserve"> of </w:t>
            </w:r>
            <w:r w:rsidR="007F2549" w:rsidRPr="00820252">
              <w:rPr>
                <w:rFonts w:asciiTheme="majorBidi" w:hAnsiTheme="majorBidi" w:cstheme="majorBidi"/>
                <w:sz w:val="16"/>
                <w:szCs w:val="16"/>
              </w:rPr>
              <w:fldChar w:fldCharType="begin"/>
            </w:r>
            <w:r w:rsidRPr="00820252">
              <w:rPr>
                <w:rFonts w:asciiTheme="majorBidi" w:hAnsiTheme="majorBidi" w:cstheme="majorBidi"/>
                <w:sz w:val="16"/>
                <w:szCs w:val="16"/>
              </w:rPr>
              <w:instrText xml:space="preserve"> NUMPAGES  </w:instrText>
            </w:r>
            <w:r w:rsidR="007F2549" w:rsidRPr="00820252">
              <w:rPr>
                <w:rFonts w:asciiTheme="majorBidi" w:hAnsiTheme="majorBidi" w:cstheme="majorBidi"/>
                <w:sz w:val="16"/>
                <w:szCs w:val="16"/>
              </w:rPr>
              <w:fldChar w:fldCharType="separate"/>
            </w:r>
            <w:r w:rsidR="00E674F5">
              <w:rPr>
                <w:rFonts w:asciiTheme="majorBidi" w:hAnsiTheme="majorBidi" w:cstheme="majorBidi"/>
                <w:noProof/>
                <w:sz w:val="16"/>
                <w:szCs w:val="16"/>
              </w:rPr>
              <w:t>7</w:t>
            </w:r>
            <w:r w:rsidR="007F2549" w:rsidRPr="00820252">
              <w:rPr>
                <w:rFonts w:asciiTheme="majorBidi" w:hAnsiTheme="majorBidi" w:cstheme="majorBidi"/>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17A2" w:rsidRDefault="006D17A2" w:rsidP="00E56282">
      <w:pPr>
        <w:spacing w:after="0" w:line="240" w:lineRule="auto"/>
      </w:pPr>
      <w:r>
        <w:separator/>
      </w:r>
    </w:p>
  </w:footnote>
  <w:footnote w:type="continuationSeparator" w:id="0">
    <w:p w:rsidR="006D17A2" w:rsidRDefault="006D17A2" w:rsidP="00E56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6BB" w:rsidRPr="0058707B" w:rsidRDefault="00960042" w:rsidP="00D47305">
    <w:pPr>
      <w:pStyle w:val="En-tte"/>
      <w:jc w:val="both"/>
      <w:rPr>
        <w:rFonts w:asciiTheme="majorBidi" w:hAnsiTheme="majorBidi" w:cstheme="majorBidi"/>
        <w:sz w:val="18"/>
        <w:szCs w:val="18"/>
      </w:rPr>
    </w:pPr>
    <w:proofErr w:type="spellStart"/>
    <w:r>
      <w:rPr>
        <w:rFonts w:asciiTheme="majorBidi" w:hAnsiTheme="majorBidi" w:cstheme="majorBidi"/>
        <w:sz w:val="18"/>
        <w:szCs w:val="18"/>
      </w:rPr>
      <w:t>Kediha</w:t>
    </w:r>
    <w:proofErr w:type="spellEnd"/>
    <w:r>
      <w:rPr>
        <w:rFonts w:asciiTheme="majorBidi" w:hAnsiTheme="majorBidi" w:cstheme="majorBidi"/>
        <w:sz w:val="18"/>
        <w:szCs w:val="18"/>
      </w:rPr>
      <w:t xml:space="preserve"> MI</w:t>
    </w:r>
    <w:r w:rsidR="00FB76BB" w:rsidRPr="0058707B">
      <w:rPr>
        <w:rFonts w:asciiTheme="majorBidi" w:hAnsiTheme="majorBidi" w:cstheme="majorBidi"/>
        <w:sz w:val="18"/>
        <w:szCs w:val="18"/>
      </w:rPr>
      <w:t xml:space="preserve"> </w:t>
    </w:r>
    <w:r w:rsidR="00FB76BB" w:rsidRPr="0058707B">
      <w:rPr>
        <w:rFonts w:asciiTheme="majorBidi" w:hAnsiTheme="majorBidi" w:cstheme="majorBidi"/>
        <w:i/>
        <w:iCs/>
        <w:sz w:val="18"/>
        <w:szCs w:val="18"/>
      </w:rPr>
      <w:t>et al.</w:t>
    </w:r>
    <w:r w:rsidR="00FB76BB" w:rsidRPr="0058707B">
      <w:rPr>
        <w:rFonts w:asciiTheme="majorBidi" w:hAnsiTheme="majorBidi" w:cstheme="majorBidi"/>
        <w:sz w:val="18"/>
        <w:szCs w:val="18"/>
      </w:rPr>
      <w:t xml:space="preserve">   (</w:t>
    </w:r>
    <w:r>
      <w:rPr>
        <w:rFonts w:asciiTheme="majorBidi" w:hAnsiTheme="majorBidi" w:cstheme="majorBidi"/>
        <w:sz w:val="18"/>
        <w:szCs w:val="18"/>
      </w:rPr>
      <w:t>Mild Cognitive Impair</w:t>
    </w:r>
    <w:r w:rsidR="00F55265">
      <w:rPr>
        <w:rFonts w:asciiTheme="majorBidi" w:hAnsiTheme="majorBidi" w:cstheme="majorBidi"/>
        <w:sz w:val="18"/>
        <w:szCs w:val="18"/>
      </w:rPr>
      <w:t>ment</w:t>
    </w:r>
    <w:r w:rsidR="00FB76BB" w:rsidRPr="0058707B">
      <w:rPr>
        <w:rFonts w:asciiTheme="majorBidi" w:hAnsiTheme="majorBidi" w:cstheme="majorBidi"/>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579" w:type="dxa"/>
      <w:jc w:val="center"/>
      <w:tblBorders>
        <w:top w:val="none" w:sz="0" w:space="0" w:color="auto"/>
        <w:left w:val="none" w:sz="0" w:space="0" w:color="auto"/>
        <w:bottom w:val="single" w:sz="36" w:space="0" w:color="auto"/>
        <w:right w:val="none" w:sz="0" w:space="0" w:color="auto"/>
        <w:insideH w:val="none" w:sz="0" w:space="0" w:color="auto"/>
        <w:insideV w:val="none" w:sz="0" w:space="0" w:color="auto"/>
      </w:tblBorders>
      <w:shd w:val="pct10" w:color="F2F2F2" w:themeColor="background1" w:themeShade="F2" w:fill="auto"/>
      <w:tblLayout w:type="fixed"/>
      <w:tblLook w:val="04A0" w:firstRow="1" w:lastRow="0" w:firstColumn="1" w:lastColumn="0" w:noHBand="0" w:noVBand="1"/>
    </w:tblPr>
    <w:tblGrid>
      <w:gridCol w:w="1269"/>
      <w:gridCol w:w="6621"/>
      <w:gridCol w:w="1689"/>
    </w:tblGrid>
    <w:tr w:rsidR="00FB76BB" w:rsidTr="00D47305">
      <w:trPr>
        <w:trHeight w:val="50"/>
        <w:jc w:val="center"/>
      </w:trPr>
      <w:tc>
        <w:tcPr>
          <w:tcW w:w="1269" w:type="dxa"/>
          <w:tcBorders>
            <w:bottom w:val="single" w:sz="4" w:space="0" w:color="auto"/>
          </w:tcBorders>
          <w:shd w:val="pct10" w:color="F2F2F2" w:themeColor="background1" w:themeShade="F2" w:fill="auto"/>
          <w:vAlign w:val="bottom"/>
        </w:tcPr>
        <w:p w:rsidR="00FB76BB" w:rsidRDefault="00FB76BB" w:rsidP="00D47305">
          <w:pPr>
            <w:jc w:val="both"/>
          </w:pPr>
        </w:p>
      </w:tc>
      <w:tc>
        <w:tcPr>
          <w:tcW w:w="6621" w:type="dxa"/>
          <w:tcBorders>
            <w:bottom w:val="single" w:sz="4" w:space="0" w:color="auto"/>
          </w:tcBorders>
          <w:shd w:val="pct10" w:color="F2F2F2" w:themeColor="background1" w:themeShade="F2" w:fill="auto"/>
        </w:tcPr>
        <w:p w:rsidR="00FB76BB" w:rsidRPr="009D747E" w:rsidRDefault="00FB76BB" w:rsidP="00D47305">
          <w:pPr>
            <w:pStyle w:val="Running-head"/>
            <w:spacing w:after="240"/>
          </w:pPr>
          <w:bookmarkStart w:id="0" w:name="_Hlk534457307"/>
          <w:r>
            <w:t>Algerian Jo</w:t>
          </w:r>
          <w:r w:rsidR="007534D1">
            <w:t>urnal of Health Sciences.Vol. XX</w:t>
          </w:r>
          <w:r>
            <w:t xml:space="preserve"> Num. </w:t>
          </w:r>
          <w:r w:rsidR="007534D1">
            <w:rPr>
              <w:iCs/>
              <w:szCs w:val="16"/>
            </w:rPr>
            <w:t>XX (Year</w:t>
          </w:r>
          <w:r w:rsidRPr="009D747E">
            <w:rPr>
              <w:iCs/>
              <w:szCs w:val="16"/>
            </w:rPr>
            <w:t>) 000–000</w:t>
          </w:r>
          <w:bookmarkEnd w:id="0"/>
        </w:p>
      </w:tc>
      <w:tc>
        <w:tcPr>
          <w:tcW w:w="1689" w:type="dxa"/>
          <w:tcBorders>
            <w:bottom w:val="single" w:sz="4" w:space="0" w:color="auto"/>
          </w:tcBorders>
          <w:shd w:val="pct10" w:color="F2F2F2" w:themeColor="background1" w:themeShade="F2" w:fill="auto"/>
          <w:vAlign w:val="center"/>
        </w:tcPr>
        <w:p w:rsidR="00FB76BB" w:rsidRDefault="00FB76BB" w:rsidP="00D47305">
          <w:pPr>
            <w:pStyle w:val="En-tte"/>
            <w:tabs>
              <w:tab w:val="left" w:pos="6804"/>
            </w:tabs>
            <w:jc w:val="center"/>
          </w:pPr>
        </w:p>
      </w:tc>
    </w:tr>
    <w:tr w:rsidR="00FB76BB" w:rsidTr="00D47305">
      <w:trPr>
        <w:trHeight w:val="50"/>
        <w:jc w:val="center"/>
      </w:trPr>
      <w:tc>
        <w:tcPr>
          <w:tcW w:w="1269" w:type="dxa"/>
          <w:vMerge w:val="restart"/>
          <w:tcBorders>
            <w:top w:val="single" w:sz="4" w:space="0" w:color="auto"/>
          </w:tcBorders>
          <w:shd w:val="pct10" w:color="F2F2F2" w:themeColor="background1" w:themeShade="F2" w:fill="auto"/>
        </w:tcPr>
        <w:p w:rsidR="00FB76BB" w:rsidRPr="00056920" w:rsidRDefault="00365436" w:rsidP="00D47305">
          <w:pPr>
            <w:contextualSpacing/>
            <w:rPr>
              <w:lang w:val="en-US"/>
            </w:rPr>
          </w:pPr>
          <w:r>
            <w:rPr>
              <w:noProof/>
              <w:lang w:val="fr-FR" w:eastAsia="fr-FR"/>
            </w:rPr>
            <w:drawing>
              <wp:anchor distT="0" distB="0" distL="114300" distR="114300" simplePos="0" relativeHeight="251662336" behindDoc="0" locked="0" layoutInCell="1" allowOverlap="1">
                <wp:simplePos x="0" y="0"/>
                <wp:positionH relativeFrom="column">
                  <wp:posOffset>-17780</wp:posOffset>
                </wp:positionH>
                <wp:positionV relativeFrom="paragraph">
                  <wp:posOffset>120650</wp:posOffset>
                </wp:positionV>
                <wp:extent cx="666750" cy="603250"/>
                <wp:effectExtent l="19050" t="0" r="0" b="0"/>
                <wp:wrapNone/>
                <wp:docPr id="1" name="Image 1" descr="C:\Users\BelkaInfo\Downloads\WhatsApp Image 2020-05-12 at 15.27.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lkaInfo\Downloads\WhatsApp Image 2020-05-12 at 15.27.39.jpeg"/>
                        <pic:cNvPicPr>
                          <a:picLocks noChangeAspect="1" noChangeArrowheads="1"/>
                        </pic:cNvPicPr>
                      </pic:nvPicPr>
                      <pic:blipFill>
                        <a:blip r:embed="rId1"/>
                        <a:srcRect/>
                        <a:stretch>
                          <a:fillRect/>
                        </a:stretch>
                      </pic:blipFill>
                      <pic:spPr bwMode="auto">
                        <a:xfrm>
                          <a:off x="0" y="0"/>
                          <a:ext cx="666750" cy="603250"/>
                        </a:xfrm>
                        <a:prstGeom prst="rect">
                          <a:avLst/>
                        </a:prstGeom>
                        <a:noFill/>
                        <a:ln w="9525">
                          <a:noFill/>
                          <a:miter lim="800000"/>
                          <a:headEnd/>
                          <a:tailEnd/>
                        </a:ln>
                      </pic:spPr>
                    </pic:pic>
                  </a:graphicData>
                </a:graphic>
              </wp:anchor>
            </w:drawing>
          </w:r>
        </w:p>
      </w:tc>
      <w:tc>
        <w:tcPr>
          <w:tcW w:w="6621" w:type="dxa"/>
          <w:tcBorders>
            <w:top w:val="single" w:sz="4" w:space="0" w:color="auto"/>
          </w:tcBorders>
          <w:shd w:val="pct10" w:color="F2F2F2" w:themeColor="background1" w:themeShade="F2" w:fill="auto"/>
        </w:tcPr>
        <w:p w:rsidR="00FB76BB" w:rsidRPr="002E206D" w:rsidRDefault="00FB76BB" w:rsidP="00D47305">
          <w:pPr>
            <w:ind w:right="-2090"/>
            <w:contextualSpacing/>
          </w:pPr>
        </w:p>
      </w:tc>
      <w:tc>
        <w:tcPr>
          <w:tcW w:w="1689" w:type="dxa"/>
          <w:vMerge w:val="restart"/>
          <w:tcBorders>
            <w:top w:val="single" w:sz="4" w:space="0" w:color="auto"/>
            <w:bottom w:val="single" w:sz="36" w:space="0" w:color="auto"/>
          </w:tcBorders>
          <w:shd w:val="pct10" w:color="F2F2F2" w:themeColor="background1" w:themeShade="F2" w:fill="auto"/>
          <w:vAlign w:val="center"/>
        </w:tcPr>
        <w:p w:rsidR="00FB76BB" w:rsidRDefault="00FB76BB" w:rsidP="00D47305">
          <w:pPr>
            <w:pStyle w:val="En-tte"/>
            <w:tabs>
              <w:tab w:val="left" w:pos="6804"/>
            </w:tabs>
            <w:contextualSpacing/>
            <w:jc w:val="center"/>
          </w:pPr>
          <w:r>
            <w:rPr>
              <w:noProof/>
              <w:lang w:val="fr-FR" w:eastAsia="fr-FR"/>
            </w:rPr>
            <w:drawing>
              <wp:anchor distT="0" distB="0" distL="114300" distR="114300" simplePos="0" relativeHeight="251660288" behindDoc="0" locked="0" layoutInCell="1" allowOverlap="1">
                <wp:simplePos x="0" y="0"/>
                <wp:positionH relativeFrom="column">
                  <wp:posOffset>116205</wp:posOffset>
                </wp:positionH>
                <wp:positionV relativeFrom="paragraph">
                  <wp:posOffset>-68580</wp:posOffset>
                </wp:positionV>
                <wp:extent cx="889635" cy="838200"/>
                <wp:effectExtent l="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889635" cy="838200"/>
                        </a:xfrm>
                        <a:prstGeom prst="rect">
                          <a:avLst/>
                        </a:prstGeom>
                      </pic:spPr>
                    </pic:pic>
                  </a:graphicData>
                </a:graphic>
              </wp:anchor>
            </w:drawing>
          </w:r>
        </w:p>
      </w:tc>
    </w:tr>
    <w:tr w:rsidR="00FB76BB" w:rsidRPr="00CC3649" w:rsidTr="00D47305">
      <w:trPr>
        <w:trHeight w:val="50"/>
        <w:jc w:val="center"/>
      </w:trPr>
      <w:tc>
        <w:tcPr>
          <w:tcW w:w="1269" w:type="dxa"/>
          <w:vMerge/>
          <w:shd w:val="pct10" w:color="F2F2F2" w:themeColor="background1" w:themeShade="F2" w:fill="auto"/>
        </w:tcPr>
        <w:p w:rsidR="00FB76BB" w:rsidRDefault="00FB76BB" w:rsidP="00D47305">
          <w:pPr>
            <w:pStyle w:val="En-tte"/>
            <w:tabs>
              <w:tab w:val="left" w:pos="6804"/>
            </w:tabs>
          </w:pPr>
        </w:p>
      </w:tc>
      <w:tc>
        <w:tcPr>
          <w:tcW w:w="6621" w:type="dxa"/>
          <w:shd w:val="clear" w:color="auto" w:fill="D5DCE4" w:themeFill="text2" w:themeFillTint="33"/>
        </w:tcPr>
        <w:p w:rsidR="00FB76BB" w:rsidRPr="0058707B" w:rsidRDefault="00FB76BB" w:rsidP="00D47305">
          <w:pPr>
            <w:pStyle w:val="En-tte"/>
            <w:tabs>
              <w:tab w:val="center" w:pos="3329"/>
              <w:tab w:val="left" w:pos="5284"/>
            </w:tabs>
            <w:spacing w:line="220" w:lineRule="atLeast"/>
            <w:jc w:val="center"/>
            <w:rPr>
              <w:rFonts w:ascii="Arial" w:hAnsi="Arial" w:cs="Arial"/>
              <w:sz w:val="18"/>
              <w:szCs w:val="18"/>
              <w:lang w:val="fr-FR"/>
            </w:rPr>
          </w:pPr>
          <w:r>
            <w:rPr>
              <w:rFonts w:ascii="Arial" w:hAnsi="Arial" w:cs="Arial"/>
              <w:sz w:val="18"/>
              <w:szCs w:val="18"/>
              <w:lang w:val="fr-FR"/>
            </w:rPr>
            <w:t>En ligne</w:t>
          </w:r>
        </w:p>
        <w:p w:rsidR="00FB76BB" w:rsidRPr="0058707B" w:rsidRDefault="006D17A2" w:rsidP="00D47305">
          <w:pPr>
            <w:pStyle w:val="En-tte"/>
            <w:tabs>
              <w:tab w:val="center" w:pos="3329"/>
              <w:tab w:val="left" w:pos="5284"/>
            </w:tabs>
            <w:spacing w:line="220" w:lineRule="atLeast"/>
            <w:jc w:val="center"/>
            <w:rPr>
              <w:sz w:val="18"/>
              <w:szCs w:val="18"/>
              <w:u w:val="single"/>
              <w:lang w:val="fr-FR"/>
            </w:rPr>
          </w:pPr>
          <w:hyperlink r:id="rId3" w:history="1">
            <w:r w:rsidR="00FB76BB" w:rsidRPr="0058707B">
              <w:rPr>
                <w:rStyle w:val="Lienhypertexte"/>
                <w:rFonts w:ascii="Arial" w:hAnsi="Arial" w:cs="Arial"/>
                <w:color w:val="00B0F0"/>
                <w:sz w:val="18"/>
                <w:szCs w:val="18"/>
                <w:u w:val="single"/>
                <w:lang w:val="fr-FR"/>
              </w:rPr>
              <w:t>https://www.atrss.dz/ajhs</w:t>
            </w:r>
          </w:hyperlink>
        </w:p>
        <w:p w:rsidR="00FB76BB" w:rsidRPr="0058707B" w:rsidRDefault="00FB76BB" w:rsidP="00D47305">
          <w:pPr>
            <w:pStyle w:val="En-tte"/>
            <w:tabs>
              <w:tab w:val="clear" w:pos="9360"/>
              <w:tab w:val="left" w:pos="5040"/>
            </w:tabs>
            <w:rPr>
              <w:rStyle w:val="Lienhypertexte"/>
              <w:rFonts w:ascii="Arial" w:hAnsi="Arial" w:cs="Arial"/>
              <w:i/>
              <w:iCs/>
              <w:color w:val="0000FF"/>
              <w:sz w:val="18"/>
              <w:lang w:val="fr-FR"/>
            </w:rPr>
          </w:pPr>
          <w:r w:rsidRPr="0058707B">
            <w:rPr>
              <w:rStyle w:val="Lienhypertexte"/>
              <w:rFonts w:ascii="Arial" w:hAnsi="Arial" w:cs="Arial"/>
              <w:i/>
              <w:iCs/>
              <w:color w:val="0000FF"/>
              <w:sz w:val="18"/>
              <w:lang w:val="fr-FR"/>
            </w:rPr>
            <w:tab/>
          </w:r>
          <w:r w:rsidRPr="0058707B">
            <w:rPr>
              <w:rStyle w:val="Lienhypertexte"/>
              <w:rFonts w:ascii="Arial" w:hAnsi="Arial" w:cs="Arial"/>
              <w:i/>
              <w:iCs/>
              <w:color w:val="0000FF"/>
              <w:sz w:val="18"/>
              <w:lang w:val="fr-FR"/>
            </w:rPr>
            <w:tab/>
          </w:r>
          <w:r w:rsidRPr="0058707B">
            <w:rPr>
              <w:rStyle w:val="Lienhypertexte"/>
              <w:rFonts w:ascii="Arial" w:hAnsi="Arial" w:cs="Arial"/>
              <w:i/>
              <w:iCs/>
              <w:color w:val="0000FF"/>
              <w:sz w:val="18"/>
              <w:lang w:val="fr-FR"/>
            </w:rPr>
            <w:tab/>
          </w:r>
        </w:p>
        <w:p w:rsidR="00FB76BB" w:rsidRPr="0058707B" w:rsidRDefault="00FB76BB" w:rsidP="00D47305">
          <w:pPr>
            <w:pStyle w:val="En-tte"/>
            <w:spacing w:line="220" w:lineRule="atLeast"/>
            <w:jc w:val="center"/>
            <w:rPr>
              <w:sz w:val="18"/>
              <w:szCs w:val="18"/>
              <w:lang w:val="fr-FR"/>
            </w:rPr>
          </w:pPr>
        </w:p>
      </w:tc>
      <w:tc>
        <w:tcPr>
          <w:tcW w:w="1689" w:type="dxa"/>
          <w:vMerge/>
          <w:tcBorders>
            <w:bottom w:val="single" w:sz="36" w:space="0" w:color="auto"/>
          </w:tcBorders>
          <w:shd w:val="pct10" w:color="F2F2F2" w:themeColor="background1" w:themeShade="F2" w:fill="auto"/>
          <w:vAlign w:val="center"/>
        </w:tcPr>
        <w:p w:rsidR="00FB76BB" w:rsidRPr="0058707B" w:rsidRDefault="00FB76BB" w:rsidP="00D47305">
          <w:pPr>
            <w:pStyle w:val="En-tte"/>
            <w:tabs>
              <w:tab w:val="left" w:pos="6804"/>
            </w:tabs>
            <w:jc w:val="center"/>
            <w:rPr>
              <w:lang w:val="fr-FR"/>
            </w:rPr>
          </w:pPr>
        </w:p>
      </w:tc>
    </w:tr>
    <w:tr w:rsidR="00FB76BB" w:rsidRPr="00CC3649" w:rsidTr="00D47305">
      <w:trPr>
        <w:trHeight w:val="20"/>
        <w:jc w:val="center"/>
      </w:trPr>
      <w:tc>
        <w:tcPr>
          <w:tcW w:w="1269" w:type="dxa"/>
          <w:vMerge/>
          <w:tcBorders>
            <w:bottom w:val="single" w:sz="36" w:space="0" w:color="auto"/>
          </w:tcBorders>
          <w:shd w:val="pct10" w:color="F2F2F2" w:themeColor="background1" w:themeShade="F2" w:fill="auto"/>
        </w:tcPr>
        <w:p w:rsidR="00FB76BB" w:rsidRPr="0058707B" w:rsidRDefault="00FB76BB" w:rsidP="00D47305">
          <w:pPr>
            <w:pStyle w:val="En-tte"/>
            <w:tabs>
              <w:tab w:val="left" w:pos="6804"/>
            </w:tabs>
            <w:rPr>
              <w:lang w:val="fr-FR"/>
            </w:rPr>
          </w:pPr>
        </w:p>
      </w:tc>
      <w:tc>
        <w:tcPr>
          <w:tcW w:w="6621" w:type="dxa"/>
          <w:tcBorders>
            <w:bottom w:val="single" w:sz="36" w:space="0" w:color="auto"/>
          </w:tcBorders>
          <w:shd w:val="pct10" w:color="F2F2F2" w:themeColor="background1" w:themeShade="F2" w:fill="auto"/>
        </w:tcPr>
        <w:p w:rsidR="00FB76BB" w:rsidRPr="0058707B" w:rsidRDefault="00FB76BB" w:rsidP="00D47305">
          <w:pPr>
            <w:rPr>
              <w:lang w:val="fr-FR"/>
            </w:rPr>
          </w:pPr>
        </w:p>
      </w:tc>
      <w:tc>
        <w:tcPr>
          <w:tcW w:w="1689" w:type="dxa"/>
          <w:vMerge/>
          <w:tcBorders>
            <w:bottom w:val="single" w:sz="36" w:space="0" w:color="auto"/>
          </w:tcBorders>
          <w:shd w:val="pct10" w:color="F2F2F2" w:themeColor="background1" w:themeShade="F2" w:fill="auto"/>
          <w:vAlign w:val="center"/>
        </w:tcPr>
        <w:p w:rsidR="00FB76BB" w:rsidRPr="0058707B" w:rsidRDefault="00FB76BB" w:rsidP="00D47305">
          <w:pPr>
            <w:pStyle w:val="En-tte"/>
            <w:tabs>
              <w:tab w:val="left" w:pos="6804"/>
            </w:tabs>
            <w:jc w:val="center"/>
            <w:rPr>
              <w:lang w:val="fr-FR"/>
            </w:rPr>
          </w:pPr>
        </w:p>
      </w:tc>
    </w:tr>
  </w:tbl>
  <w:p w:rsidR="00FB76BB" w:rsidRPr="0058707B" w:rsidRDefault="00FB76BB">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52F54"/>
    <w:multiLevelType w:val="hybridMultilevel"/>
    <w:tmpl w:val="C0D8BCF6"/>
    <w:lvl w:ilvl="0" w:tplc="6E7C0298">
      <w:start w:val="1"/>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1D289A"/>
    <w:multiLevelType w:val="hybridMultilevel"/>
    <w:tmpl w:val="21A63BBA"/>
    <w:lvl w:ilvl="0" w:tplc="366659FA">
      <w:start w:val="1"/>
      <w:numFmt w:val="decimal"/>
      <w:lvlText w:val="%1."/>
      <w:lvlJc w:val="left"/>
      <w:pPr>
        <w:ind w:left="673" w:hanging="435"/>
      </w:pPr>
      <w:rPr>
        <w:rFonts w:hint="default"/>
      </w:rPr>
    </w:lvl>
    <w:lvl w:ilvl="1" w:tplc="04090019" w:tentative="1">
      <w:start w:val="1"/>
      <w:numFmt w:val="lowerLetter"/>
      <w:lvlText w:val="%2."/>
      <w:lvlJc w:val="left"/>
      <w:pPr>
        <w:ind w:left="1318" w:hanging="360"/>
      </w:pPr>
    </w:lvl>
    <w:lvl w:ilvl="2" w:tplc="0409001B" w:tentative="1">
      <w:start w:val="1"/>
      <w:numFmt w:val="lowerRoman"/>
      <w:lvlText w:val="%3."/>
      <w:lvlJc w:val="right"/>
      <w:pPr>
        <w:ind w:left="2038" w:hanging="180"/>
      </w:pPr>
    </w:lvl>
    <w:lvl w:ilvl="3" w:tplc="0409000F" w:tentative="1">
      <w:start w:val="1"/>
      <w:numFmt w:val="decimal"/>
      <w:lvlText w:val="%4."/>
      <w:lvlJc w:val="left"/>
      <w:pPr>
        <w:ind w:left="2758" w:hanging="360"/>
      </w:pPr>
    </w:lvl>
    <w:lvl w:ilvl="4" w:tplc="04090019" w:tentative="1">
      <w:start w:val="1"/>
      <w:numFmt w:val="lowerLetter"/>
      <w:lvlText w:val="%5."/>
      <w:lvlJc w:val="left"/>
      <w:pPr>
        <w:ind w:left="3478" w:hanging="360"/>
      </w:pPr>
    </w:lvl>
    <w:lvl w:ilvl="5" w:tplc="0409001B" w:tentative="1">
      <w:start w:val="1"/>
      <w:numFmt w:val="lowerRoman"/>
      <w:lvlText w:val="%6."/>
      <w:lvlJc w:val="right"/>
      <w:pPr>
        <w:ind w:left="4198" w:hanging="180"/>
      </w:pPr>
    </w:lvl>
    <w:lvl w:ilvl="6" w:tplc="0409000F" w:tentative="1">
      <w:start w:val="1"/>
      <w:numFmt w:val="decimal"/>
      <w:lvlText w:val="%7."/>
      <w:lvlJc w:val="left"/>
      <w:pPr>
        <w:ind w:left="4918" w:hanging="360"/>
      </w:pPr>
    </w:lvl>
    <w:lvl w:ilvl="7" w:tplc="04090019" w:tentative="1">
      <w:start w:val="1"/>
      <w:numFmt w:val="lowerLetter"/>
      <w:lvlText w:val="%8."/>
      <w:lvlJc w:val="left"/>
      <w:pPr>
        <w:ind w:left="5638" w:hanging="360"/>
      </w:pPr>
    </w:lvl>
    <w:lvl w:ilvl="8" w:tplc="0409001B" w:tentative="1">
      <w:start w:val="1"/>
      <w:numFmt w:val="lowerRoman"/>
      <w:lvlText w:val="%9."/>
      <w:lvlJc w:val="right"/>
      <w:pPr>
        <w:ind w:left="6358" w:hanging="180"/>
      </w:pPr>
    </w:lvl>
  </w:abstractNum>
  <w:abstractNum w:abstractNumId="2" w15:restartNumberingAfterBreak="0">
    <w:nsid w:val="25DE66E8"/>
    <w:multiLevelType w:val="multilevel"/>
    <w:tmpl w:val="26C24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782BB7"/>
    <w:multiLevelType w:val="hybridMultilevel"/>
    <w:tmpl w:val="420895E8"/>
    <w:lvl w:ilvl="0" w:tplc="4F700E68">
      <w:start w:val="1"/>
      <w:numFmt w:val="decimal"/>
      <w:lvlText w:val="%1."/>
      <w:lvlJc w:val="left"/>
      <w:pPr>
        <w:ind w:left="360" w:hanging="360"/>
      </w:pPr>
      <w:rPr>
        <w:rFonts w:asciiTheme="minorHAnsi" w:eastAsiaTheme="minorHAnsi" w:hAnsiTheme="minorHAnsi" w:cstheme="minorBidi"/>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3AB56F68"/>
    <w:multiLevelType w:val="hybridMultilevel"/>
    <w:tmpl w:val="135C3548"/>
    <w:lvl w:ilvl="0" w:tplc="667ABDA6">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4111"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num w:numId="1">
    <w:abstractNumId w:val="5"/>
  </w:num>
  <w:num w:numId="2">
    <w:abstractNumId w:val="4"/>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6282"/>
    <w:rsid w:val="00021A46"/>
    <w:rsid w:val="0003427E"/>
    <w:rsid w:val="000B4563"/>
    <w:rsid w:val="00113E6B"/>
    <w:rsid w:val="0013017F"/>
    <w:rsid w:val="00185B02"/>
    <w:rsid w:val="001E212F"/>
    <w:rsid w:val="001E64AF"/>
    <w:rsid w:val="0020055B"/>
    <w:rsid w:val="00214C21"/>
    <w:rsid w:val="00217CA8"/>
    <w:rsid w:val="00220E27"/>
    <w:rsid w:val="0022230C"/>
    <w:rsid w:val="002377FA"/>
    <w:rsid w:val="002E73B2"/>
    <w:rsid w:val="00300155"/>
    <w:rsid w:val="00302F93"/>
    <w:rsid w:val="003126F0"/>
    <w:rsid w:val="00330D2B"/>
    <w:rsid w:val="00365436"/>
    <w:rsid w:val="00405D34"/>
    <w:rsid w:val="00407A79"/>
    <w:rsid w:val="00440DC6"/>
    <w:rsid w:val="004470A7"/>
    <w:rsid w:val="004672E4"/>
    <w:rsid w:val="00487AD7"/>
    <w:rsid w:val="004C4599"/>
    <w:rsid w:val="004E1544"/>
    <w:rsid w:val="004F6540"/>
    <w:rsid w:val="00505701"/>
    <w:rsid w:val="00505C4E"/>
    <w:rsid w:val="00557B51"/>
    <w:rsid w:val="00584CB1"/>
    <w:rsid w:val="0058707B"/>
    <w:rsid w:val="00600964"/>
    <w:rsid w:val="00645C3B"/>
    <w:rsid w:val="006702E7"/>
    <w:rsid w:val="006870B0"/>
    <w:rsid w:val="006B46BB"/>
    <w:rsid w:val="006D17A2"/>
    <w:rsid w:val="00741031"/>
    <w:rsid w:val="007534D1"/>
    <w:rsid w:val="007F2313"/>
    <w:rsid w:val="007F2549"/>
    <w:rsid w:val="007F2ACD"/>
    <w:rsid w:val="008625FA"/>
    <w:rsid w:val="008863F2"/>
    <w:rsid w:val="008D2030"/>
    <w:rsid w:val="0093461E"/>
    <w:rsid w:val="009409D8"/>
    <w:rsid w:val="00960042"/>
    <w:rsid w:val="00975891"/>
    <w:rsid w:val="00990D2F"/>
    <w:rsid w:val="009C3088"/>
    <w:rsid w:val="009E2D62"/>
    <w:rsid w:val="009E3A30"/>
    <w:rsid w:val="00A137F3"/>
    <w:rsid w:val="00A54DB2"/>
    <w:rsid w:val="00A70899"/>
    <w:rsid w:val="00AE7164"/>
    <w:rsid w:val="00B2117A"/>
    <w:rsid w:val="00BC57EF"/>
    <w:rsid w:val="00C1735F"/>
    <w:rsid w:val="00C51C05"/>
    <w:rsid w:val="00C52BEF"/>
    <w:rsid w:val="00C62E2E"/>
    <w:rsid w:val="00C67D32"/>
    <w:rsid w:val="00C8304E"/>
    <w:rsid w:val="00CB0DEC"/>
    <w:rsid w:val="00CC3649"/>
    <w:rsid w:val="00D11FEC"/>
    <w:rsid w:val="00D169EC"/>
    <w:rsid w:val="00D30073"/>
    <w:rsid w:val="00D3105E"/>
    <w:rsid w:val="00D47305"/>
    <w:rsid w:val="00D542CF"/>
    <w:rsid w:val="00D60935"/>
    <w:rsid w:val="00E13D6B"/>
    <w:rsid w:val="00E21E5E"/>
    <w:rsid w:val="00E432BC"/>
    <w:rsid w:val="00E45E4F"/>
    <w:rsid w:val="00E51F82"/>
    <w:rsid w:val="00E56282"/>
    <w:rsid w:val="00E674F5"/>
    <w:rsid w:val="00ED46E0"/>
    <w:rsid w:val="00F0280A"/>
    <w:rsid w:val="00F44BBF"/>
    <w:rsid w:val="00F55265"/>
    <w:rsid w:val="00F963F2"/>
    <w:rsid w:val="00FA0649"/>
    <w:rsid w:val="00FB76BB"/>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604530"/>
  <w15:docId w15:val="{1A1DF702-193A-394A-8F2D-E80C9F624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28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page-number"/>
    <w:basedOn w:val="Normal"/>
    <w:link w:val="En-tteCar"/>
    <w:uiPriority w:val="99"/>
    <w:unhideWhenUsed/>
    <w:rsid w:val="00E56282"/>
    <w:pPr>
      <w:tabs>
        <w:tab w:val="center" w:pos="4680"/>
        <w:tab w:val="right" w:pos="9360"/>
      </w:tabs>
      <w:spacing w:after="0" w:line="240" w:lineRule="auto"/>
    </w:pPr>
  </w:style>
  <w:style w:type="character" w:customStyle="1" w:styleId="En-tteCar">
    <w:name w:val="En-tête Car"/>
    <w:aliases w:val="page-number Car"/>
    <w:basedOn w:val="Policepardfaut"/>
    <w:link w:val="En-tte"/>
    <w:uiPriority w:val="99"/>
    <w:rsid w:val="00E56282"/>
  </w:style>
  <w:style w:type="paragraph" w:styleId="Pieddepage">
    <w:name w:val="footer"/>
    <w:basedOn w:val="Normal"/>
    <w:link w:val="PieddepageCar"/>
    <w:uiPriority w:val="99"/>
    <w:unhideWhenUsed/>
    <w:rsid w:val="00E56282"/>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E56282"/>
  </w:style>
  <w:style w:type="character" w:styleId="Lienhypertexte">
    <w:name w:val="Hyperlink"/>
    <w:semiHidden/>
    <w:rsid w:val="00E56282"/>
    <w:rPr>
      <w:color w:val="auto"/>
      <w:sz w:val="16"/>
      <w:u w:val="none"/>
    </w:rPr>
  </w:style>
  <w:style w:type="table" w:styleId="Grilledutableau">
    <w:name w:val="Table Grid"/>
    <w:basedOn w:val="TableauNormal"/>
    <w:uiPriority w:val="59"/>
    <w:rsid w:val="00E56282"/>
    <w:pPr>
      <w:spacing w:after="0" w:line="240" w:lineRule="auto"/>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nning-head">
    <w:name w:val="Running-head"/>
    <w:basedOn w:val="En-tte"/>
    <w:qFormat/>
    <w:rsid w:val="00E56282"/>
    <w:pPr>
      <w:tabs>
        <w:tab w:val="clear" w:pos="4680"/>
        <w:tab w:val="clear" w:pos="9360"/>
        <w:tab w:val="center" w:pos="4706"/>
        <w:tab w:val="center" w:pos="4920"/>
        <w:tab w:val="right" w:pos="9356"/>
      </w:tabs>
      <w:spacing w:after="80" w:line="200" w:lineRule="exact"/>
      <w:jc w:val="center"/>
    </w:pPr>
    <w:rPr>
      <w:rFonts w:ascii="Times New Roman" w:eastAsia="SimSun" w:hAnsi="Times New Roman" w:cs="Times New Roman"/>
      <w:smallCaps/>
      <w:noProof/>
      <w:sz w:val="14"/>
      <w:szCs w:val="20"/>
    </w:rPr>
  </w:style>
  <w:style w:type="paragraph" w:customStyle="1" w:styleId="Els-Affiliation">
    <w:name w:val="Els-Affiliation"/>
    <w:next w:val="Normal"/>
    <w:autoRedefine/>
    <w:rsid w:val="00E56282"/>
    <w:pPr>
      <w:pBdr>
        <w:bottom w:val="single" w:sz="2" w:space="1" w:color="auto"/>
      </w:pBdr>
      <w:suppressAutoHyphens/>
      <w:spacing w:after="0" w:line="230" w:lineRule="exact"/>
    </w:pPr>
    <w:rPr>
      <w:rFonts w:ascii="Times New Roman" w:eastAsia="SimSun" w:hAnsi="Times New Roman" w:cs="Times New Roman"/>
      <w:i/>
      <w:noProof/>
      <w:sz w:val="16"/>
      <w:szCs w:val="20"/>
    </w:rPr>
  </w:style>
  <w:style w:type="paragraph" w:customStyle="1" w:styleId="Els-Title">
    <w:name w:val="Els-Title"/>
    <w:next w:val="Normal"/>
    <w:autoRedefine/>
    <w:rsid w:val="00E56282"/>
    <w:pPr>
      <w:suppressAutoHyphens/>
      <w:spacing w:after="340" w:line="440" w:lineRule="exact"/>
      <w:jc w:val="both"/>
    </w:pPr>
    <w:rPr>
      <w:rFonts w:ascii="Times New Roman" w:eastAsia="SimSun" w:hAnsi="Times New Roman" w:cs="Times New Roman"/>
      <w:b/>
      <w:sz w:val="32"/>
      <w:szCs w:val="32"/>
    </w:rPr>
  </w:style>
  <w:style w:type="paragraph" w:customStyle="1" w:styleId="DocHead">
    <w:name w:val="DocHead"/>
    <w:rsid w:val="00E56282"/>
    <w:pPr>
      <w:spacing w:before="190" w:after="280" w:line="240" w:lineRule="exact"/>
    </w:pPr>
    <w:rPr>
      <w:rFonts w:ascii="Times New Roman" w:eastAsia="SimSun" w:hAnsi="Times New Roman" w:cs="Times New Roman"/>
      <w:b/>
      <w:sz w:val="24"/>
      <w:szCs w:val="20"/>
    </w:rPr>
  </w:style>
  <w:style w:type="paragraph" w:customStyle="1" w:styleId="Els-Abstract-text">
    <w:name w:val="Els-Abstract-text"/>
    <w:next w:val="Normal"/>
    <w:rsid w:val="00E56282"/>
    <w:pPr>
      <w:pBdr>
        <w:top w:val="single" w:sz="4" w:space="1" w:color="auto"/>
      </w:pBdr>
      <w:spacing w:before="200" w:after="0" w:line="220" w:lineRule="exact"/>
      <w:jc w:val="both"/>
    </w:pPr>
    <w:rPr>
      <w:rFonts w:ascii="Times New Roman" w:eastAsia="SimSun" w:hAnsi="Times New Roman" w:cs="Times New Roman"/>
      <w:sz w:val="15"/>
      <w:szCs w:val="20"/>
    </w:rPr>
  </w:style>
  <w:style w:type="paragraph" w:customStyle="1" w:styleId="Els-1storder-head">
    <w:name w:val="Els-1storder-head"/>
    <w:next w:val="Els-body-text"/>
    <w:rsid w:val="00E56282"/>
    <w:pPr>
      <w:keepNext/>
      <w:numPr>
        <w:numId w:val="1"/>
      </w:numPr>
      <w:pBdr>
        <w:top w:val="single" w:sz="18" w:space="1" w:color="auto"/>
      </w:pBdr>
      <w:suppressAutoHyphens/>
      <w:spacing w:before="230" w:after="230" w:line="230" w:lineRule="exact"/>
    </w:pPr>
    <w:rPr>
      <w:rFonts w:ascii="Times New Roman" w:eastAsia="SimSun" w:hAnsi="Times New Roman" w:cs="Times New Roman"/>
      <w:b/>
      <w:sz w:val="19"/>
      <w:szCs w:val="20"/>
    </w:rPr>
  </w:style>
  <w:style w:type="paragraph" w:customStyle="1" w:styleId="Els-2ndorder-head">
    <w:name w:val="Els-2ndorder-head"/>
    <w:next w:val="Els-body-text"/>
    <w:rsid w:val="00E56282"/>
    <w:pPr>
      <w:keepNext/>
      <w:numPr>
        <w:ilvl w:val="1"/>
        <w:numId w:val="1"/>
      </w:numPr>
      <w:suppressAutoHyphens/>
      <w:spacing w:before="230" w:after="230" w:line="230" w:lineRule="exact"/>
    </w:pPr>
    <w:rPr>
      <w:rFonts w:ascii="Times New Roman" w:eastAsia="SimSun" w:hAnsi="Times New Roman" w:cs="Times New Roman"/>
      <w:b/>
      <w:i/>
      <w:sz w:val="17"/>
      <w:szCs w:val="20"/>
    </w:rPr>
  </w:style>
  <w:style w:type="paragraph" w:customStyle="1" w:styleId="Els-3rdorder-head">
    <w:name w:val="Els-3rdorder-head"/>
    <w:next w:val="Els-body-text"/>
    <w:rsid w:val="00E56282"/>
    <w:pPr>
      <w:keepNext/>
      <w:numPr>
        <w:ilvl w:val="2"/>
        <w:numId w:val="1"/>
      </w:numPr>
      <w:suppressAutoHyphens/>
      <w:spacing w:before="240" w:after="0" w:line="240" w:lineRule="exact"/>
    </w:pPr>
    <w:rPr>
      <w:rFonts w:ascii="Times New Roman" w:eastAsia="SimSun" w:hAnsi="Times New Roman" w:cs="Times New Roman"/>
      <w:i/>
      <w:sz w:val="20"/>
      <w:szCs w:val="20"/>
    </w:rPr>
  </w:style>
  <w:style w:type="paragraph" w:customStyle="1" w:styleId="Els-4thorder-head">
    <w:name w:val="Els-4thorder-head"/>
    <w:next w:val="Els-body-text"/>
    <w:rsid w:val="00E56282"/>
    <w:pPr>
      <w:keepNext/>
      <w:numPr>
        <w:ilvl w:val="3"/>
        <w:numId w:val="1"/>
      </w:numPr>
      <w:suppressAutoHyphens/>
      <w:spacing w:before="240" w:after="0" w:line="240" w:lineRule="exact"/>
    </w:pPr>
    <w:rPr>
      <w:rFonts w:ascii="Times New Roman" w:eastAsia="SimSun" w:hAnsi="Times New Roman" w:cs="Times New Roman"/>
      <w:i/>
      <w:sz w:val="20"/>
      <w:szCs w:val="20"/>
    </w:rPr>
  </w:style>
  <w:style w:type="paragraph" w:customStyle="1" w:styleId="Els-body-text">
    <w:name w:val="Els-body-text"/>
    <w:rsid w:val="00E56282"/>
    <w:pPr>
      <w:spacing w:after="0" w:line="230" w:lineRule="exact"/>
      <w:ind w:firstLine="238"/>
      <w:jc w:val="both"/>
    </w:pPr>
    <w:rPr>
      <w:rFonts w:ascii="Times New Roman" w:eastAsia="SimSun" w:hAnsi="Times New Roman" w:cs="Times New Roman"/>
      <w:sz w:val="16"/>
      <w:szCs w:val="20"/>
    </w:rPr>
  </w:style>
  <w:style w:type="paragraph" w:customStyle="1" w:styleId="Els-table-text">
    <w:name w:val="Els-table-text"/>
    <w:rsid w:val="00E56282"/>
    <w:pPr>
      <w:spacing w:after="80" w:line="200" w:lineRule="exact"/>
    </w:pPr>
    <w:rPr>
      <w:rFonts w:ascii="Times New Roman" w:eastAsia="SimSun" w:hAnsi="Times New Roman" w:cs="Times New Roman"/>
      <w:sz w:val="14"/>
      <w:szCs w:val="20"/>
    </w:rPr>
  </w:style>
  <w:style w:type="paragraph" w:customStyle="1" w:styleId="Els-table-caption">
    <w:name w:val="Els-table-caption"/>
    <w:rsid w:val="00E56282"/>
    <w:pPr>
      <w:keepLines/>
      <w:spacing w:before="230" w:after="230" w:line="200" w:lineRule="exact"/>
    </w:pPr>
    <w:rPr>
      <w:rFonts w:ascii="Times New Roman" w:eastAsia="SimSun" w:hAnsi="Times New Roman" w:cs="Times New Roman"/>
      <w:b/>
      <w:sz w:val="16"/>
      <w:szCs w:val="20"/>
    </w:rPr>
  </w:style>
  <w:style w:type="paragraph" w:customStyle="1" w:styleId="p">
    <w:name w:val="p"/>
    <w:basedOn w:val="Normal"/>
    <w:rsid w:val="00217CA8"/>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36543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65436"/>
    <w:rPr>
      <w:rFonts w:ascii="Tahoma" w:hAnsi="Tahoma" w:cs="Tahoma"/>
      <w:sz w:val="16"/>
      <w:szCs w:val="16"/>
    </w:rPr>
  </w:style>
  <w:style w:type="paragraph" w:styleId="Paragraphedeliste">
    <w:name w:val="List Paragraph"/>
    <w:basedOn w:val="Normal"/>
    <w:uiPriority w:val="34"/>
    <w:qFormat/>
    <w:rsid w:val="008D2030"/>
    <w:pPr>
      <w:spacing w:after="200" w:line="276" w:lineRule="auto"/>
      <w:ind w:left="720"/>
      <w:contextualSpacing/>
    </w:pPr>
    <w:rPr>
      <w:lang w:val="fr-FR"/>
    </w:rPr>
  </w:style>
  <w:style w:type="table" w:styleId="Trameclaire-Accent4">
    <w:name w:val="Light Shading Accent 4"/>
    <w:basedOn w:val="TableauNormal"/>
    <w:uiPriority w:val="60"/>
    <w:rsid w:val="008D2030"/>
    <w:pPr>
      <w:spacing w:after="0" w:line="240" w:lineRule="auto"/>
    </w:pPr>
    <w:rPr>
      <w:color w:val="BF8F00" w:themeColor="accent4" w:themeShade="BF"/>
      <w:lang w:val="fr-FR"/>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Trameclaire-Accent3">
    <w:name w:val="Light Shading Accent 3"/>
    <w:basedOn w:val="TableauNormal"/>
    <w:uiPriority w:val="60"/>
    <w:rsid w:val="008D2030"/>
    <w:pPr>
      <w:spacing w:after="0" w:line="240" w:lineRule="auto"/>
    </w:pPr>
    <w:rPr>
      <w:color w:val="7B7B7B" w:themeColor="accent3" w:themeShade="BF"/>
      <w:lang w:val="fr-FR"/>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Trameclaire-Accent11">
    <w:name w:val="Trame claire - Accent 11"/>
    <w:basedOn w:val="TableauNormal"/>
    <w:uiPriority w:val="60"/>
    <w:rsid w:val="008D2030"/>
    <w:pPr>
      <w:spacing w:after="0" w:line="240" w:lineRule="auto"/>
    </w:pPr>
    <w:rPr>
      <w:color w:val="2F5496" w:themeColor="accent1" w:themeShade="BF"/>
      <w:lang w:val="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Trameclaire-Accent2">
    <w:name w:val="Light Shading Accent 2"/>
    <w:basedOn w:val="TableauNormal"/>
    <w:uiPriority w:val="60"/>
    <w:rsid w:val="008D2030"/>
    <w:pPr>
      <w:spacing w:after="0" w:line="240" w:lineRule="auto"/>
    </w:pPr>
    <w:rPr>
      <w:color w:val="C45911" w:themeColor="accent2" w:themeShade="BF"/>
      <w:lang w:val="fr-FR"/>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ediha.islam@gmail.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rcid.org/0000-0002-2656-8716" TargetMode="External"/><Relationship Id="rId12" Type="http://schemas.openxmlformats.org/officeDocument/2006/relationships/footer" Target="footer2.xml"/><Relationship Id="rId17" Type="http://schemas.openxmlformats.org/officeDocument/2006/relationships/hyperlink" Target="https://doi.org/10.1002/gps.930080606" TargetMode="External"/><Relationship Id="rId2" Type="http://schemas.openxmlformats.org/officeDocument/2006/relationships/styles" Target="styles.xml"/><Relationship Id="rId16" Type="http://schemas.openxmlformats.org/officeDocument/2006/relationships/hyperlink" Target="https://doi.org/10.1080/8756564870954036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hyperlink" Target="https://www.atrss.dz/ajhs" TargetMode="External"/><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3600</Words>
  <Characters>19800</Characters>
  <Application>Microsoft Office Word</Application>
  <DocSecurity>0</DocSecurity>
  <Lines>165</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Meghit Boumediene Khaled</dc:creator>
  <cp:lastModifiedBy>Microsoft Office User</cp:lastModifiedBy>
  <cp:revision>7</cp:revision>
  <cp:lastPrinted>2019-03-06T21:57:00Z</cp:lastPrinted>
  <dcterms:created xsi:type="dcterms:W3CDTF">2022-12-18T19:29:00Z</dcterms:created>
  <dcterms:modified xsi:type="dcterms:W3CDTF">2022-12-18T20:15:00Z</dcterms:modified>
</cp:coreProperties>
</file>