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5FB6" w:rsidRPr="00C62E2E" w:rsidRDefault="004F5FB6" w:rsidP="004F5FB6">
      <w:pPr>
        <w:pStyle w:val="DocHead"/>
        <w:ind w:left="-119" w:right="-136" w:firstLine="119"/>
        <w:jc w:val="both"/>
      </w:pPr>
      <w:r>
        <w:t>Review</w:t>
      </w:r>
    </w:p>
    <w:p w:rsidR="004F5FB6" w:rsidRDefault="00BA368B" w:rsidP="004F5FB6">
      <w:pPr>
        <w:pStyle w:val="Els-Title"/>
      </w:pPr>
      <w:r w:rsidRPr="00BA368B">
        <w:t>Exposure to organophosphate pesticides and thyroid function: A systematic review</w:t>
      </w:r>
      <w:r w:rsidR="004F5FB6" w:rsidRPr="00C62E2E">
        <w:t xml:space="preserve"> </w:t>
      </w:r>
    </w:p>
    <w:p w:rsidR="004F5FB6" w:rsidRPr="00BA368B" w:rsidRDefault="00BA368B" w:rsidP="004F5FB6">
      <w:pPr>
        <w:pStyle w:val="Els-Title"/>
        <w:rPr>
          <w:lang w:val="fr-FR"/>
        </w:rPr>
      </w:pPr>
      <w:r w:rsidRPr="00BA368B">
        <w:rPr>
          <w:lang w:val="fr-FR"/>
        </w:rPr>
        <w:t>Exposition aux pesticides organophosphorés et fonction thyroïdienne : Une revue systématique</w:t>
      </w:r>
      <w:r w:rsidR="004F5FB6" w:rsidRPr="00BA368B">
        <w:rPr>
          <w:lang w:val="fr-FR"/>
        </w:rPr>
        <w:t xml:space="preserve">  </w:t>
      </w:r>
    </w:p>
    <w:p w:rsidR="004F5FB6" w:rsidRPr="00BA368B" w:rsidRDefault="004F5FB6" w:rsidP="004F5FB6">
      <w:pPr>
        <w:pStyle w:val="Els-Affiliation"/>
        <w:pBdr>
          <w:bottom w:val="single" w:sz="2" w:space="12" w:color="auto"/>
        </w:pBdr>
        <w:jc w:val="both"/>
        <w:rPr>
          <w:lang w:val="fr-FR"/>
        </w:rPr>
      </w:pPr>
    </w:p>
    <w:p w:rsidR="004F5FB6" w:rsidRPr="0036053B" w:rsidRDefault="0036053B" w:rsidP="004F5FB6">
      <w:pPr>
        <w:pStyle w:val="Els-Affiliation"/>
        <w:pBdr>
          <w:bottom w:val="single" w:sz="2" w:space="12" w:color="auto"/>
        </w:pBdr>
        <w:jc w:val="both"/>
        <w:rPr>
          <w:vertAlign w:val="superscript"/>
          <w:lang w:val="fr-FR"/>
        </w:rPr>
      </w:pPr>
      <w:r w:rsidRPr="0036053B">
        <w:rPr>
          <w:lang w:val="fr-FR"/>
        </w:rPr>
        <w:t>Bilel Chefirat*</w:t>
      </w:r>
      <w:r w:rsidRPr="0036053B">
        <w:rPr>
          <w:vertAlign w:val="superscript"/>
          <w:lang w:val="fr-FR"/>
        </w:rPr>
        <w:t>1,2,3</w:t>
      </w:r>
      <w:r w:rsidRPr="0036053B">
        <w:rPr>
          <w:lang w:val="fr-FR"/>
        </w:rPr>
        <w:t>, Haciba Rezk-kallah</w:t>
      </w:r>
      <w:r w:rsidRPr="0036053B">
        <w:rPr>
          <w:vertAlign w:val="superscript"/>
          <w:lang w:val="fr-FR"/>
        </w:rPr>
        <w:t>1,2,3</w:t>
      </w:r>
      <w:r w:rsidRPr="0036053B">
        <w:rPr>
          <w:lang w:val="fr-FR"/>
        </w:rPr>
        <w:t>, Hakima Bettayeb</w:t>
      </w:r>
      <w:r w:rsidRPr="0036053B">
        <w:rPr>
          <w:vertAlign w:val="superscript"/>
          <w:lang w:val="fr-FR"/>
        </w:rPr>
        <w:t>1,2,3</w:t>
      </w:r>
      <w:r w:rsidRPr="0036053B">
        <w:rPr>
          <w:lang w:val="fr-FR"/>
        </w:rPr>
        <w:t>, Ryma Mesbah</w:t>
      </w:r>
      <w:r w:rsidRPr="0036053B">
        <w:rPr>
          <w:vertAlign w:val="superscript"/>
          <w:lang w:val="fr-FR"/>
        </w:rPr>
        <w:t>1</w:t>
      </w:r>
      <w:r w:rsidRPr="0036053B">
        <w:rPr>
          <w:lang w:val="fr-FR"/>
        </w:rPr>
        <w:t>, Ahlem Terbeche</w:t>
      </w:r>
      <w:r w:rsidRPr="0036053B">
        <w:rPr>
          <w:vertAlign w:val="superscript"/>
          <w:lang w:val="fr-FR"/>
        </w:rPr>
        <w:t>1</w:t>
      </w:r>
    </w:p>
    <w:p w:rsidR="004F5FB6" w:rsidRPr="00C62E2E" w:rsidRDefault="004F5FB6" w:rsidP="00BA25B8">
      <w:pPr>
        <w:pStyle w:val="Els-Affiliation"/>
        <w:pBdr>
          <w:bottom w:val="single" w:sz="2" w:space="12" w:color="auto"/>
        </w:pBdr>
        <w:jc w:val="both"/>
      </w:pPr>
      <w:r w:rsidRPr="00C62E2E">
        <w:rPr>
          <w:vertAlign w:val="superscript"/>
        </w:rPr>
        <w:t xml:space="preserve">1 </w:t>
      </w:r>
      <w:r w:rsidR="00BA25B8" w:rsidRPr="00BA25B8">
        <w:t>Department of Pharmacy, Faculty of Medicine, University Oran1 Ahmed Ben Bella, Oran, Algeria</w:t>
      </w:r>
      <w:r w:rsidRPr="00C62E2E">
        <w:t xml:space="preserve"> </w:t>
      </w:r>
    </w:p>
    <w:p w:rsidR="00BA25B8" w:rsidRDefault="004F5FB6" w:rsidP="00BA25B8">
      <w:pPr>
        <w:pStyle w:val="Els-Affiliation"/>
        <w:pBdr>
          <w:bottom w:val="single" w:sz="2" w:space="12" w:color="auto"/>
        </w:pBdr>
        <w:jc w:val="both"/>
      </w:pPr>
      <w:r w:rsidRPr="00C62E2E">
        <w:rPr>
          <w:vertAlign w:val="superscript"/>
        </w:rPr>
        <w:t xml:space="preserve">2 </w:t>
      </w:r>
      <w:r w:rsidR="00BA25B8" w:rsidRPr="00BA25B8">
        <w:t>Department of Pharmacology Toxicology, University Hospital of Oran, Oran, Algeria</w:t>
      </w:r>
    </w:p>
    <w:p w:rsidR="004F5FB6" w:rsidRDefault="00BA25B8" w:rsidP="00BA25B8">
      <w:pPr>
        <w:pStyle w:val="Els-Affiliation"/>
        <w:pBdr>
          <w:bottom w:val="single" w:sz="2" w:space="12" w:color="auto"/>
        </w:pBdr>
        <w:jc w:val="both"/>
      </w:pPr>
      <w:r w:rsidRPr="00BA25B8">
        <w:rPr>
          <w:vertAlign w:val="superscript"/>
        </w:rPr>
        <w:t>3</w:t>
      </w:r>
      <w:r w:rsidRPr="00BA25B8">
        <w:t xml:space="preserve"> Environmental Health Research Laboratory, University Oran1 Ahmed Ben Bella, Oran, Algeria</w:t>
      </w:r>
      <w:r w:rsidR="004F5FB6" w:rsidRPr="00C62E2E">
        <w:t xml:space="preserve"> </w:t>
      </w:r>
    </w:p>
    <w:p w:rsidR="004F5FB6" w:rsidRPr="004F5FB6" w:rsidRDefault="004F5FB6" w:rsidP="004F5FB6">
      <w:pPr>
        <w:rPr>
          <w:rFonts w:asciiTheme="majorBidi" w:hAnsiTheme="majorBidi" w:cstheme="majorBidi"/>
          <w:sz w:val="20"/>
          <w:szCs w:val="20"/>
          <w:lang w:val="en-AU"/>
        </w:rPr>
      </w:pPr>
      <w:r w:rsidRPr="004F5FB6">
        <w:rPr>
          <w:rFonts w:eastAsia="SimSun"/>
          <w:b/>
          <w:bCs/>
          <w:smallCaps/>
          <w:sz w:val="24"/>
          <w:szCs w:val="24"/>
          <w:lang w:val="en-AU"/>
        </w:rPr>
        <w:t>Ab s t r a c t</w:t>
      </w:r>
      <w:r w:rsidRPr="004F5FB6">
        <w:rPr>
          <w:rFonts w:asciiTheme="majorBidi" w:hAnsiTheme="majorBidi" w:cstheme="majorBidi"/>
          <w:sz w:val="20"/>
          <w:szCs w:val="20"/>
          <w:lang w:val="en-AU"/>
        </w:rPr>
        <w:t xml:space="preserve">: </w:t>
      </w:r>
    </w:p>
    <w:p w:rsidR="00851FA3" w:rsidRDefault="00864A3F" w:rsidP="00851FA3">
      <w:pPr>
        <w:jc w:val="both"/>
        <w:rPr>
          <w:rFonts w:asciiTheme="majorBidi" w:eastAsia="Calibri" w:hAnsiTheme="majorBidi" w:cstheme="majorBidi"/>
          <w:bCs/>
          <w:sz w:val="20"/>
          <w:szCs w:val="20"/>
          <w:lang w:val="en-US"/>
        </w:rPr>
      </w:pPr>
      <w:r w:rsidRPr="007838C7">
        <w:rPr>
          <w:rFonts w:asciiTheme="majorBidi" w:eastAsia="Calibri" w:hAnsiTheme="majorBidi" w:cstheme="majorBidi"/>
          <w:bCs/>
          <w:sz w:val="20"/>
          <w:szCs w:val="20"/>
          <w:lang w:val="en-US"/>
        </w:rPr>
        <w:t xml:space="preserve">Organophosphate pesticides (OPs) are widely used for various agricultural, industrial and domestic purposes. Long-term exposure to these products leads to several health problems, including a potential disruption of </w:t>
      </w:r>
      <w:r>
        <w:rPr>
          <w:rFonts w:asciiTheme="majorBidi" w:eastAsia="Calibri" w:hAnsiTheme="majorBidi" w:cstheme="majorBidi"/>
          <w:bCs/>
          <w:sz w:val="20"/>
          <w:szCs w:val="20"/>
          <w:lang w:val="en-US"/>
        </w:rPr>
        <w:t xml:space="preserve">the </w:t>
      </w:r>
      <w:r w:rsidRPr="007838C7">
        <w:rPr>
          <w:rFonts w:asciiTheme="majorBidi" w:eastAsia="Calibri" w:hAnsiTheme="majorBidi" w:cstheme="majorBidi"/>
          <w:bCs/>
          <w:sz w:val="20"/>
          <w:szCs w:val="20"/>
          <w:lang w:val="en-US"/>
        </w:rPr>
        <w:t xml:space="preserve">thyroid gland </w:t>
      </w:r>
      <w:r>
        <w:rPr>
          <w:rFonts w:asciiTheme="majorBidi" w:eastAsia="Calibri" w:hAnsiTheme="majorBidi" w:cstheme="majorBidi"/>
          <w:bCs/>
          <w:sz w:val="20"/>
          <w:szCs w:val="20"/>
          <w:lang w:val="en-US"/>
        </w:rPr>
        <w:t xml:space="preserve">as </w:t>
      </w:r>
      <w:r w:rsidRPr="007838C7">
        <w:rPr>
          <w:rFonts w:asciiTheme="majorBidi" w:eastAsia="Calibri" w:hAnsiTheme="majorBidi" w:cstheme="majorBidi"/>
          <w:bCs/>
          <w:sz w:val="20"/>
          <w:szCs w:val="20"/>
          <w:lang w:val="en-US"/>
        </w:rPr>
        <w:t xml:space="preserve">suggested by recent </w:t>
      </w:r>
      <w:r>
        <w:rPr>
          <w:rFonts w:asciiTheme="majorBidi" w:eastAsia="Calibri" w:hAnsiTheme="majorBidi" w:cstheme="majorBidi"/>
          <w:bCs/>
          <w:sz w:val="20"/>
          <w:szCs w:val="20"/>
          <w:lang w:val="en-US"/>
        </w:rPr>
        <w:t>studies</w:t>
      </w:r>
      <w:r w:rsidRPr="007838C7">
        <w:rPr>
          <w:rFonts w:asciiTheme="majorBidi" w:eastAsia="Calibri" w:hAnsiTheme="majorBidi" w:cstheme="majorBidi"/>
          <w:bCs/>
          <w:sz w:val="20"/>
          <w:szCs w:val="20"/>
          <w:lang w:val="en-US"/>
        </w:rPr>
        <w:t xml:space="preserve">. The purpose of this review is to examine </w:t>
      </w:r>
      <w:r>
        <w:rPr>
          <w:rFonts w:asciiTheme="majorBidi" w:eastAsia="Calibri" w:hAnsiTheme="majorBidi" w:cstheme="majorBidi"/>
          <w:bCs/>
          <w:sz w:val="20"/>
          <w:szCs w:val="20"/>
          <w:lang w:val="en-US"/>
        </w:rPr>
        <w:t xml:space="preserve">the </w:t>
      </w:r>
      <w:r w:rsidRPr="007838C7">
        <w:rPr>
          <w:rFonts w:asciiTheme="majorBidi" w:eastAsia="Calibri" w:hAnsiTheme="majorBidi" w:cstheme="majorBidi"/>
          <w:bCs/>
          <w:sz w:val="20"/>
          <w:szCs w:val="20"/>
          <w:lang w:val="en-US"/>
        </w:rPr>
        <w:t xml:space="preserve">published scientific </w:t>
      </w:r>
      <w:r w:rsidRPr="00994BDB">
        <w:rPr>
          <w:rFonts w:asciiTheme="majorBidi" w:eastAsia="Calibri" w:hAnsiTheme="majorBidi" w:cstheme="majorBidi"/>
          <w:bCs/>
          <w:sz w:val="20"/>
          <w:szCs w:val="20"/>
          <w:lang w:val="en-US"/>
        </w:rPr>
        <w:t xml:space="preserve">evidence </w:t>
      </w:r>
      <w:r>
        <w:rPr>
          <w:rFonts w:asciiTheme="majorBidi" w:eastAsia="Calibri" w:hAnsiTheme="majorBidi" w:cstheme="majorBidi"/>
          <w:bCs/>
          <w:sz w:val="20"/>
          <w:szCs w:val="20"/>
          <w:lang w:val="en-US"/>
        </w:rPr>
        <w:t>on</w:t>
      </w:r>
      <w:r w:rsidRPr="007838C7">
        <w:rPr>
          <w:rFonts w:asciiTheme="majorBidi" w:eastAsia="Calibri" w:hAnsiTheme="majorBidi" w:cstheme="majorBidi"/>
          <w:bCs/>
          <w:sz w:val="20"/>
          <w:szCs w:val="20"/>
          <w:lang w:val="en-US"/>
        </w:rPr>
        <w:t xml:space="preserve"> this effect.</w:t>
      </w:r>
    </w:p>
    <w:p w:rsidR="00851FA3" w:rsidRDefault="00864A3F" w:rsidP="00851FA3">
      <w:pPr>
        <w:jc w:val="both"/>
        <w:rPr>
          <w:rFonts w:asciiTheme="majorBidi" w:eastAsia="Calibri" w:hAnsiTheme="majorBidi" w:cstheme="majorBidi"/>
          <w:b/>
          <w:bCs/>
          <w:sz w:val="20"/>
          <w:szCs w:val="20"/>
          <w:lang w:val="en-US"/>
        </w:rPr>
      </w:pPr>
      <w:r w:rsidRPr="007838C7">
        <w:rPr>
          <w:rFonts w:asciiTheme="majorBidi" w:eastAsia="Calibri" w:hAnsiTheme="majorBidi" w:cstheme="majorBidi"/>
          <w:sz w:val="20"/>
          <w:szCs w:val="20"/>
          <w:lang w:val="en-US"/>
        </w:rPr>
        <w:t xml:space="preserve">A systematic review </w:t>
      </w:r>
      <w:r w:rsidRPr="00994BDB">
        <w:rPr>
          <w:rFonts w:asciiTheme="majorBidi" w:eastAsia="Calibri" w:hAnsiTheme="majorBidi" w:cstheme="majorBidi"/>
          <w:sz w:val="20"/>
          <w:szCs w:val="20"/>
          <w:lang w:val="en-US"/>
        </w:rPr>
        <w:t>of articles published between 1970 and 2019 was conducted using the PubMed and ScienceDirect databases</w:t>
      </w:r>
      <w:r w:rsidRPr="007838C7">
        <w:rPr>
          <w:rFonts w:asciiTheme="majorBidi" w:eastAsia="Calibri" w:hAnsiTheme="majorBidi" w:cstheme="majorBidi"/>
          <w:sz w:val="20"/>
          <w:szCs w:val="20"/>
          <w:lang w:val="en-US"/>
        </w:rPr>
        <w:t>.</w:t>
      </w:r>
      <w:r>
        <w:rPr>
          <w:rFonts w:asciiTheme="majorBidi" w:eastAsia="Calibri" w:hAnsiTheme="majorBidi" w:cstheme="majorBidi"/>
          <w:sz w:val="20"/>
          <w:szCs w:val="20"/>
          <w:lang w:val="en-US"/>
        </w:rPr>
        <w:t xml:space="preserve"> </w:t>
      </w:r>
    </w:p>
    <w:p w:rsidR="00851FA3" w:rsidRDefault="00864A3F" w:rsidP="00851FA3">
      <w:pPr>
        <w:jc w:val="both"/>
        <w:rPr>
          <w:rFonts w:asciiTheme="majorBidi" w:eastAsia="Calibri" w:hAnsiTheme="majorBidi" w:cstheme="majorBidi"/>
          <w:sz w:val="20"/>
          <w:szCs w:val="20"/>
          <w:lang w:val="en-US"/>
        </w:rPr>
      </w:pPr>
      <w:r w:rsidRPr="007838C7">
        <w:rPr>
          <w:rFonts w:asciiTheme="majorBidi" w:eastAsia="Calibri" w:hAnsiTheme="majorBidi" w:cstheme="majorBidi"/>
          <w:sz w:val="20"/>
          <w:szCs w:val="20"/>
          <w:lang w:val="en-US"/>
        </w:rPr>
        <w:t xml:space="preserve">22 studies were included in this review: 4 human studies, 16 </w:t>
      </w:r>
      <w:r w:rsidRPr="007838C7">
        <w:rPr>
          <w:rFonts w:asciiTheme="majorBidi" w:eastAsia="Calibri" w:hAnsiTheme="majorBidi" w:cstheme="majorBidi"/>
          <w:i/>
          <w:iCs/>
          <w:sz w:val="20"/>
          <w:szCs w:val="20"/>
          <w:lang w:val="en-US"/>
        </w:rPr>
        <w:t>in vivo</w:t>
      </w:r>
      <w:r w:rsidRPr="007838C7">
        <w:rPr>
          <w:rFonts w:asciiTheme="majorBidi" w:eastAsia="Calibri" w:hAnsiTheme="majorBidi" w:cstheme="majorBidi"/>
          <w:sz w:val="20"/>
          <w:szCs w:val="20"/>
          <w:lang w:val="en-US"/>
        </w:rPr>
        <w:t xml:space="preserve"> studies and 2 </w:t>
      </w:r>
      <w:r w:rsidRPr="007838C7">
        <w:rPr>
          <w:rFonts w:asciiTheme="majorBidi" w:eastAsia="Calibri" w:hAnsiTheme="majorBidi" w:cstheme="majorBidi"/>
          <w:i/>
          <w:iCs/>
          <w:sz w:val="20"/>
          <w:szCs w:val="20"/>
          <w:lang w:val="en-US"/>
        </w:rPr>
        <w:t>in vitro</w:t>
      </w:r>
      <w:r w:rsidRPr="007838C7">
        <w:rPr>
          <w:rFonts w:asciiTheme="majorBidi" w:eastAsia="Calibri" w:hAnsiTheme="majorBidi" w:cstheme="majorBidi"/>
          <w:sz w:val="20"/>
          <w:szCs w:val="20"/>
          <w:lang w:val="en-US"/>
        </w:rPr>
        <w:t xml:space="preserve"> studies. Almost all </w:t>
      </w:r>
      <w:r w:rsidRPr="007838C7">
        <w:rPr>
          <w:rFonts w:asciiTheme="majorBidi" w:eastAsia="Calibri" w:hAnsiTheme="majorBidi" w:cstheme="majorBidi"/>
          <w:i/>
          <w:iCs/>
          <w:sz w:val="20"/>
          <w:szCs w:val="20"/>
          <w:lang w:val="en-US"/>
        </w:rPr>
        <w:t>in vivo</w:t>
      </w:r>
      <w:r w:rsidRPr="007838C7">
        <w:rPr>
          <w:rFonts w:asciiTheme="majorBidi" w:eastAsia="Calibri" w:hAnsiTheme="majorBidi" w:cstheme="majorBidi"/>
          <w:sz w:val="20"/>
          <w:szCs w:val="20"/>
          <w:lang w:val="en-US"/>
        </w:rPr>
        <w:t xml:space="preserve"> studies have shown impaired thyroid function with decreased T3 and T4 hormones and increased TSH</w:t>
      </w:r>
      <w:r>
        <w:rPr>
          <w:rFonts w:asciiTheme="majorBidi" w:eastAsia="Calibri" w:hAnsiTheme="majorBidi" w:cstheme="majorBidi"/>
          <w:sz w:val="20"/>
          <w:szCs w:val="20"/>
          <w:lang w:val="en-US"/>
        </w:rPr>
        <w:t xml:space="preserve"> levels</w:t>
      </w:r>
      <w:r w:rsidRPr="007838C7">
        <w:rPr>
          <w:rFonts w:asciiTheme="majorBidi" w:eastAsia="Calibri" w:hAnsiTheme="majorBidi" w:cstheme="majorBidi"/>
          <w:sz w:val="20"/>
          <w:szCs w:val="20"/>
          <w:lang w:val="en-US"/>
        </w:rPr>
        <w:t xml:space="preserve">, reflecting hypothyroidism. The findings from human studies converge with </w:t>
      </w:r>
      <w:r w:rsidRPr="007838C7">
        <w:rPr>
          <w:rFonts w:asciiTheme="majorBidi" w:eastAsia="Calibri" w:hAnsiTheme="majorBidi" w:cstheme="majorBidi"/>
          <w:i/>
          <w:iCs/>
          <w:sz w:val="20"/>
          <w:szCs w:val="20"/>
          <w:lang w:val="en-US"/>
        </w:rPr>
        <w:t>in vivo</w:t>
      </w:r>
      <w:r w:rsidRPr="007838C7">
        <w:rPr>
          <w:rFonts w:asciiTheme="majorBidi" w:eastAsia="Calibri" w:hAnsiTheme="majorBidi" w:cstheme="majorBidi"/>
          <w:sz w:val="20"/>
          <w:szCs w:val="20"/>
          <w:lang w:val="en-US"/>
        </w:rPr>
        <w:t xml:space="preserve"> tests </w:t>
      </w:r>
      <w:r w:rsidRPr="00976507">
        <w:rPr>
          <w:rFonts w:asciiTheme="majorBidi" w:eastAsia="Calibri" w:hAnsiTheme="majorBidi" w:cstheme="majorBidi"/>
          <w:sz w:val="20"/>
          <w:szCs w:val="20"/>
          <w:lang w:val="en-US"/>
        </w:rPr>
        <w:t xml:space="preserve">regarding </w:t>
      </w:r>
      <w:r w:rsidRPr="007838C7">
        <w:rPr>
          <w:rFonts w:asciiTheme="majorBidi" w:eastAsia="Calibri" w:hAnsiTheme="majorBidi" w:cstheme="majorBidi"/>
          <w:sz w:val="20"/>
          <w:szCs w:val="20"/>
          <w:lang w:val="en-US"/>
        </w:rPr>
        <w:t xml:space="preserve">the presence of a disruption in thyroid hormones, but diverge in the direction of this disruption. In the 2 </w:t>
      </w:r>
      <w:r w:rsidRPr="007838C7">
        <w:rPr>
          <w:rFonts w:asciiTheme="majorBidi" w:eastAsia="Calibri" w:hAnsiTheme="majorBidi" w:cstheme="majorBidi"/>
          <w:i/>
          <w:iCs/>
          <w:sz w:val="20"/>
          <w:szCs w:val="20"/>
          <w:lang w:val="en-US"/>
        </w:rPr>
        <w:t>in vitro</w:t>
      </w:r>
      <w:r w:rsidRPr="007838C7">
        <w:rPr>
          <w:rFonts w:asciiTheme="majorBidi" w:eastAsia="Calibri" w:hAnsiTheme="majorBidi" w:cstheme="majorBidi"/>
          <w:sz w:val="20"/>
          <w:szCs w:val="20"/>
          <w:lang w:val="en-US"/>
        </w:rPr>
        <w:t xml:space="preserve"> studies, </w:t>
      </w:r>
      <w:proofErr w:type="spellStart"/>
      <w:r w:rsidRPr="007838C7">
        <w:rPr>
          <w:rFonts w:asciiTheme="majorBidi" w:eastAsia="Calibri" w:hAnsiTheme="majorBidi" w:cstheme="majorBidi"/>
          <w:sz w:val="20"/>
          <w:szCs w:val="20"/>
          <w:lang w:val="en-US"/>
        </w:rPr>
        <w:t>dysthyroidism</w:t>
      </w:r>
      <w:proofErr w:type="spellEnd"/>
      <w:r w:rsidRPr="007838C7">
        <w:rPr>
          <w:rFonts w:asciiTheme="majorBidi" w:eastAsia="Calibri" w:hAnsiTheme="majorBidi" w:cstheme="majorBidi"/>
          <w:sz w:val="20"/>
          <w:szCs w:val="20"/>
          <w:lang w:val="en-US"/>
        </w:rPr>
        <w:t xml:space="preserve"> was induced by OPs, although the diagnostic tools were different, in terms of cell lines or parameters explored.</w:t>
      </w:r>
    </w:p>
    <w:p w:rsidR="004F5FB6" w:rsidRDefault="00864A3F" w:rsidP="00851FA3">
      <w:pPr>
        <w:jc w:val="both"/>
        <w:rPr>
          <w:rFonts w:asciiTheme="majorBidi" w:eastAsia="Calibri" w:hAnsiTheme="majorBidi" w:cstheme="majorBidi"/>
          <w:sz w:val="20"/>
          <w:szCs w:val="20"/>
          <w:lang w:val="en-US"/>
        </w:rPr>
      </w:pPr>
      <w:r>
        <w:rPr>
          <w:rFonts w:asciiTheme="majorBidi" w:eastAsia="Calibri" w:hAnsiTheme="majorBidi" w:cstheme="majorBidi"/>
          <w:sz w:val="20"/>
          <w:szCs w:val="20"/>
          <w:lang w:val="en-US"/>
        </w:rPr>
        <w:t>S</w:t>
      </w:r>
      <w:r w:rsidRPr="007838C7">
        <w:rPr>
          <w:rFonts w:asciiTheme="majorBidi" w:eastAsia="Calibri" w:hAnsiTheme="majorBidi" w:cstheme="majorBidi"/>
          <w:sz w:val="20"/>
          <w:szCs w:val="20"/>
          <w:lang w:val="en-US"/>
        </w:rPr>
        <w:t>tudi</w:t>
      </w:r>
      <w:r>
        <w:rPr>
          <w:rFonts w:asciiTheme="majorBidi" w:eastAsia="Calibri" w:hAnsiTheme="majorBidi" w:cstheme="majorBidi"/>
          <w:sz w:val="20"/>
          <w:szCs w:val="20"/>
          <w:lang w:val="en-US"/>
        </w:rPr>
        <w:t>es on</w:t>
      </w:r>
      <w:r w:rsidRPr="007838C7">
        <w:rPr>
          <w:rFonts w:asciiTheme="majorBidi" w:eastAsia="Calibri" w:hAnsiTheme="majorBidi" w:cstheme="majorBidi"/>
          <w:sz w:val="20"/>
          <w:szCs w:val="20"/>
          <w:lang w:val="en-US"/>
        </w:rPr>
        <w:t xml:space="preserve"> the impact of OPs on thyroid function remain insufficient. More clinical and empirical studies are needed with a standardized methodology </w:t>
      </w:r>
      <w:r w:rsidRPr="00976507">
        <w:rPr>
          <w:rFonts w:asciiTheme="majorBidi" w:eastAsia="Calibri" w:hAnsiTheme="majorBidi" w:cstheme="majorBidi"/>
          <w:sz w:val="20"/>
          <w:szCs w:val="20"/>
          <w:lang w:val="en-US"/>
        </w:rPr>
        <w:t xml:space="preserve">that allows </w:t>
      </w:r>
      <w:r w:rsidRPr="007838C7">
        <w:rPr>
          <w:rFonts w:asciiTheme="majorBidi" w:eastAsia="Calibri" w:hAnsiTheme="majorBidi" w:cstheme="majorBidi"/>
          <w:sz w:val="20"/>
          <w:szCs w:val="20"/>
          <w:lang w:val="en-US"/>
        </w:rPr>
        <w:t>the comparison of the results of several studies.</w:t>
      </w:r>
    </w:p>
    <w:p w:rsidR="007D6C13" w:rsidRPr="004F5FB6" w:rsidRDefault="007D6C13" w:rsidP="00851FA3">
      <w:pPr>
        <w:jc w:val="both"/>
        <w:rPr>
          <w:rFonts w:asciiTheme="majorBidi" w:hAnsiTheme="majorBidi" w:cstheme="majorBidi"/>
          <w:sz w:val="20"/>
          <w:szCs w:val="20"/>
          <w:lang w:val="en-AU"/>
        </w:rPr>
      </w:pPr>
    </w:p>
    <w:p w:rsidR="004F5FB6" w:rsidRPr="00DF2D36" w:rsidRDefault="004F5FB6" w:rsidP="00864A3F">
      <w:pPr>
        <w:rPr>
          <w:rFonts w:asciiTheme="majorBidi" w:hAnsiTheme="majorBidi" w:cstheme="majorBidi"/>
          <w:sz w:val="20"/>
          <w:szCs w:val="20"/>
        </w:rPr>
      </w:pPr>
      <w:r w:rsidRPr="00DF2D36">
        <w:rPr>
          <w:rFonts w:eastAsia="SimSun"/>
          <w:b/>
          <w:bCs/>
          <w:smallCaps/>
          <w:sz w:val="20"/>
          <w:szCs w:val="20"/>
        </w:rPr>
        <w:t xml:space="preserve">Keywords: </w:t>
      </w:r>
      <w:proofErr w:type="spellStart"/>
      <w:r w:rsidR="00864A3F" w:rsidRPr="00DF2D36">
        <w:rPr>
          <w:rFonts w:asciiTheme="majorBidi" w:hAnsiTheme="majorBidi" w:cstheme="majorBidi"/>
          <w:sz w:val="20"/>
          <w:szCs w:val="20"/>
        </w:rPr>
        <w:t>Organophosphate</w:t>
      </w:r>
      <w:proofErr w:type="spellEnd"/>
      <w:r w:rsidR="00864A3F" w:rsidRPr="00DF2D36">
        <w:rPr>
          <w:rFonts w:asciiTheme="majorBidi" w:hAnsiTheme="majorBidi" w:cstheme="majorBidi"/>
          <w:sz w:val="20"/>
          <w:szCs w:val="20"/>
        </w:rPr>
        <w:t xml:space="preserve"> pesticides, Endocrine disruption, </w:t>
      </w:r>
      <w:bookmarkStart w:id="0" w:name="_GoBack"/>
      <w:proofErr w:type="spellStart"/>
      <w:r w:rsidR="00864A3F" w:rsidRPr="00DF2D36">
        <w:rPr>
          <w:rFonts w:asciiTheme="majorBidi" w:hAnsiTheme="majorBidi" w:cstheme="majorBidi"/>
          <w:sz w:val="20"/>
          <w:szCs w:val="20"/>
        </w:rPr>
        <w:t>Thyroid</w:t>
      </w:r>
      <w:proofErr w:type="spellEnd"/>
      <w:r w:rsidR="00864A3F" w:rsidRPr="00DF2D36">
        <w:rPr>
          <w:rFonts w:asciiTheme="majorBidi" w:hAnsiTheme="majorBidi" w:cstheme="majorBidi"/>
          <w:sz w:val="20"/>
          <w:szCs w:val="20"/>
        </w:rPr>
        <w:t xml:space="preserve"> hormone</w:t>
      </w:r>
      <w:bookmarkEnd w:id="0"/>
    </w:p>
    <w:p w:rsidR="004F5FB6" w:rsidRPr="00DF2D36" w:rsidRDefault="004F5FB6" w:rsidP="004F5FB6">
      <w:pPr>
        <w:rPr>
          <w:rFonts w:eastAsia="SimSun"/>
          <w:b/>
          <w:bCs/>
          <w:smallCaps/>
          <w:sz w:val="24"/>
          <w:szCs w:val="24"/>
        </w:rPr>
      </w:pPr>
    </w:p>
    <w:p w:rsidR="004F5FB6" w:rsidRPr="00597067" w:rsidRDefault="004F5FB6" w:rsidP="004F5FB6">
      <w:pPr>
        <w:rPr>
          <w:rFonts w:eastAsia="SimSun"/>
          <w:b/>
          <w:bCs/>
          <w:smallCaps/>
          <w:sz w:val="24"/>
          <w:szCs w:val="24"/>
        </w:rPr>
      </w:pPr>
      <w:r w:rsidRPr="00597067">
        <w:rPr>
          <w:rFonts w:eastAsia="SimSun"/>
          <w:b/>
          <w:bCs/>
          <w:smallCaps/>
          <w:sz w:val="24"/>
          <w:szCs w:val="24"/>
        </w:rPr>
        <w:t>Résumé</w:t>
      </w:r>
    </w:p>
    <w:p w:rsidR="00851FA3" w:rsidRPr="00851FA3" w:rsidRDefault="00851FA3" w:rsidP="00851FA3">
      <w:pPr>
        <w:jc w:val="both"/>
        <w:rPr>
          <w:rFonts w:asciiTheme="majorBidi" w:eastAsia="Calibri" w:hAnsiTheme="majorBidi" w:cstheme="majorBidi"/>
          <w:bCs/>
          <w:sz w:val="20"/>
          <w:szCs w:val="20"/>
        </w:rPr>
      </w:pPr>
      <w:r w:rsidRPr="00851FA3">
        <w:rPr>
          <w:rFonts w:asciiTheme="majorBidi" w:eastAsia="Calibri" w:hAnsiTheme="majorBidi" w:cstheme="majorBidi"/>
          <w:bCs/>
          <w:sz w:val="20"/>
          <w:szCs w:val="20"/>
        </w:rPr>
        <w:t>Les pesticides organophosphorés (OP) sont largement utilisés à diverses fins agricoles, industrielles et domestiques. L'exposition à long terme à ces produits entraîne plusieurs problèmes de santé, notamment une perturbation potentielle de la glande thyroïde, comme le suggèrent des études récentes. L'objectif de cette revue est d'examiner les preuves scientifiques publiées sur cet effet.</w:t>
      </w:r>
    </w:p>
    <w:p w:rsidR="00851FA3" w:rsidRPr="00851FA3" w:rsidRDefault="00851FA3" w:rsidP="00851FA3">
      <w:pPr>
        <w:jc w:val="both"/>
        <w:rPr>
          <w:rFonts w:asciiTheme="majorBidi" w:eastAsia="Calibri" w:hAnsiTheme="majorBidi" w:cstheme="majorBidi"/>
          <w:bCs/>
          <w:sz w:val="20"/>
          <w:szCs w:val="20"/>
        </w:rPr>
      </w:pPr>
      <w:r w:rsidRPr="00851FA3">
        <w:rPr>
          <w:rFonts w:asciiTheme="majorBidi" w:eastAsia="Calibri" w:hAnsiTheme="majorBidi" w:cstheme="majorBidi"/>
          <w:bCs/>
          <w:sz w:val="20"/>
          <w:szCs w:val="20"/>
        </w:rPr>
        <w:t xml:space="preserve">Une revue systématique des articles publiés entre 1970 et 2019 a été réalisée en utilisant les bases de données </w:t>
      </w:r>
      <w:proofErr w:type="spellStart"/>
      <w:r w:rsidRPr="00851FA3">
        <w:rPr>
          <w:rFonts w:asciiTheme="majorBidi" w:eastAsia="Calibri" w:hAnsiTheme="majorBidi" w:cstheme="majorBidi"/>
          <w:bCs/>
          <w:sz w:val="20"/>
          <w:szCs w:val="20"/>
        </w:rPr>
        <w:t>PubMed</w:t>
      </w:r>
      <w:proofErr w:type="spellEnd"/>
      <w:r w:rsidRPr="00851FA3">
        <w:rPr>
          <w:rFonts w:asciiTheme="majorBidi" w:eastAsia="Calibri" w:hAnsiTheme="majorBidi" w:cstheme="majorBidi"/>
          <w:bCs/>
          <w:sz w:val="20"/>
          <w:szCs w:val="20"/>
        </w:rPr>
        <w:t xml:space="preserve"> et </w:t>
      </w:r>
      <w:proofErr w:type="spellStart"/>
      <w:r w:rsidRPr="00851FA3">
        <w:rPr>
          <w:rFonts w:asciiTheme="majorBidi" w:eastAsia="Calibri" w:hAnsiTheme="majorBidi" w:cstheme="majorBidi"/>
          <w:bCs/>
          <w:sz w:val="20"/>
          <w:szCs w:val="20"/>
        </w:rPr>
        <w:t>ScienceDirect</w:t>
      </w:r>
      <w:proofErr w:type="spellEnd"/>
      <w:r w:rsidRPr="00851FA3">
        <w:rPr>
          <w:rFonts w:asciiTheme="majorBidi" w:eastAsia="Calibri" w:hAnsiTheme="majorBidi" w:cstheme="majorBidi"/>
          <w:bCs/>
          <w:sz w:val="20"/>
          <w:szCs w:val="20"/>
        </w:rPr>
        <w:t>.</w:t>
      </w:r>
    </w:p>
    <w:p w:rsidR="00851FA3" w:rsidRPr="00851FA3" w:rsidRDefault="00851FA3" w:rsidP="00851FA3">
      <w:pPr>
        <w:jc w:val="both"/>
        <w:rPr>
          <w:rFonts w:asciiTheme="majorBidi" w:eastAsia="Calibri" w:hAnsiTheme="majorBidi" w:cstheme="majorBidi"/>
          <w:bCs/>
          <w:sz w:val="20"/>
          <w:szCs w:val="20"/>
        </w:rPr>
      </w:pPr>
      <w:r w:rsidRPr="00851FA3">
        <w:rPr>
          <w:rFonts w:asciiTheme="majorBidi" w:eastAsia="Calibri" w:hAnsiTheme="majorBidi" w:cstheme="majorBidi"/>
          <w:bCs/>
          <w:sz w:val="20"/>
          <w:szCs w:val="20"/>
        </w:rPr>
        <w:t xml:space="preserve">22 études ont été incluses dans cette revue : 4 études évaluant l’effet chez l’homme, 16 études </w:t>
      </w:r>
      <w:r w:rsidRPr="00851FA3">
        <w:rPr>
          <w:rFonts w:asciiTheme="majorBidi" w:eastAsia="Calibri" w:hAnsiTheme="majorBidi" w:cstheme="majorBidi"/>
          <w:bCs/>
          <w:i/>
          <w:iCs/>
          <w:sz w:val="20"/>
          <w:szCs w:val="20"/>
        </w:rPr>
        <w:t>in vivo</w:t>
      </w:r>
      <w:r w:rsidRPr="00851FA3">
        <w:rPr>
          <w:rFonts w:asciiTheme="majorBidi" w:eastAsia="Calibri" w:hAnsiTheme="majorBidi" w:cstheme="majorBidi"/>
          <w:bCs/>
          <w:sz w:val="20"/>
          <w:szCs w:val="20"/>
        </w:rPr>
        <w:t xml:space="preserve"> et 2 études </w:t>
      </w:r>
      <w:r w:rsidRPr="00851FA3">
        <w:rPr>
          <w:rFonts w:asciiTheme="majorBidi" w:eastAsia="Calibri" w:hAnsiTheme="majorBidi" w:cstheme="majorBidi"/>
          <w:bCs/>
          <w:i/>
          <w:iCs/>
          <w:sz w:val="20"/>
          <w:szCs w:val="20"/>
        </w:rPr>
        <w:t>in vitro</w:t>
      </w:r>
      <w:r w:rsidRPr="00851FA3">
        <w:rPr>
          <w:rFonts w:asciiTheme="majorBidi" w:eastAsia="Calibri" w:hAnsiTheme="majorBidi" w:cstheme="majorBidi"/>
          <w:bCs/>
          <w:sz w:val="20"/>
          <w:szCs w:val="20"/>
        </w:rPr>
        <w:t xml:space="preserve">. La quasi-totalité des études </w:t>
      </w:r>
      <w:r w:rsidRPr="00851FA3">
        <w:rPr>
          <w:rFonts w:asciiTheme="majorBidi" w:eastAsia="Calibri" w:hAnsiTheme="majorBidi" w:cstheme="majorBidi"/>
          <w:bCs/>
          <w:i/>
          <w:iCs/>
          <w:sz w:val="20"/>
          <w:szCs w:val="20"/>
        </w:rPr>
        <w:t>in vivo</w:t>
      </w:r>
      <w:r w:rsidRPr="00851FA3">
        <w:rPr>
          <w:rFonts w:asciiTheme="majorBidi" w:eastAsia="Calibri" w:hAnsiTheme="majorBidi" w:cstheme="majorBidi"/>
          <w:bCs/>
          <w:sz w:val="20"/>
          <w:szCs w:val="20"/>
        </w:rPr>
        <w:t xml:space="preserve"> ont montré une altération de la fonction thyroïdienne avec diminution des hormones T3 et T4 et augmentation de la TSH, témoignant d’un hypothyroïdisme. Les conclusions des études chez </w:t>
      </w:r>
      <w:r w:rsidRPr="00851FA3">
        <w:rPr>
          <w:rFonts w:asciiTheme="majorBidi" w:eastAsia="Calibri" w:hAnsiTheme="majorBidi" w:cstheme="majorBidi"/>
          <w:bCs/>
          <w:sz w:val="20"/>
          <w:szCs w:val="20"/>
        </w:rPr>
        <w:lastRenderedPageBreak/>
        <w:t xml:space="preserve">l’Homme convergent avec les essais </w:t>
      </w:r>
      <w:r w:rsidRPr="00851FA3">
        <w:rPr>
          <w:rFonts w:asciiTheme="majorBidi" w:eastAsia="Calibri" w:hAnsiTheme="majorBidi" w:cstheme="majorBidi"/>
          <w:bCs/>
          <w:i/>
          <w:iCs/>
          <w:sz w:val="20"/>
          <w:szCs w:val="20"/>
        </w:rPr>
        <w:t>in vivo</w:t>
      </w:r>
      <w:r w:rsidRPr="00851FA3">
        <w:rPr>
          <w:rFonts w:asciiTheme="majorBidi" w:eastAsia="Calibri" w:hAnsiTheme="majorBidi" w:cstheme="majorBidi"/>
          <w:bCs/>
          <w:sz w:val="20"/>
          <w:szCs w:val="20"/>
        </w:rPr>
        <w:t xml:space="preserve"> quant à la présence d'une perturbation au niveau des hormones thyroïdiennes, mais sont divergentes quant au sens de cette perturbation. Dans les 2 études </w:t>
      </w:r>
      <w:r w:rsidRPr="00851FA3">
        <w:rPr>
          <w:rFonts w:asciiTheme="majorBidi" w:eastAsia="Calibri" w:hAnsiTheme="majorBidi" w:cstheme="majorBidi"/>
          <w:bCs/>
          <w:i/>
          <w:iCs/>
          <w:sz w:val="20"/>
          <w:szCs w:val="20"/>
        </w:rPr>
        <w:t>in vitro</w:t>
      </w:r>
      <w:r w:rsidRPr="00851FA3">
        <w:rPr>
          <w:rFonts w:asciiTheme="majorBidi" w:eastAsia="Calibri" w:hAnsiTheme="majorBidi" w:cstheme="majorBidi"/>
          <w:bCs/>
          <w:sz w:val="20"/>
          <w:szCs w:val="20"/>
        </w:rPr>
        <w:t>, une dysthyroïdie a été induite par les OP, bien que les outils de diagnostic aient été différents, en termes de lignées cellulaires ou de paramètres explorés.</w:t>
      </w:r>
    </w:p>
    <w:p w:rsidR="00851FA3" w:rsidRDefault="00851FA3" w:rsidP="00851FA3">
      <w:pPr>
        <w:jc w:val="both"/>
        <w:rPr>
          <w:rFonts w:asciiTheme="majorBidi" w:eastAsia="Calibri" w:hAnsiTheme="majorBidi" w:cstheme="majorBidi"/>
          <w:bCs/>
          <w:sz w:val="20"/>
          <w:szCs w:val="20"/>
        </w:rPr>
      </w:pPr>
      <w:r w:rsidRPr="00851FA3">
        <w:rPr>
          <w:rFonts w:asciiTheme="majorBidi" w:eastAsia="Calibri" w:hAnsiTheme="majorBidi" w:cstheme="majorBidi"/>
          <w:bCs/>
          <w:sz w:val="20"/>
          <w:szCs w:val="20"/>
        </w:rPr>
        <w:t>Les travaux étudiant l'impact des OP sur la fonction thyroïdienne restent insuffisantes. Des études cliniques et empiriques supplémentaires sont nécessaires avec une méthodologie standardisée permettant la comparaison des résultats.</w:t>
      </w:r>
    </w:p>
    <w:p w:rsidR="007D6C13" w:rsidRPr="00851FA3" w:rsidRDefault="007D6C13" w:rsidP="00851FA3">
      <w:pPr>
        <w:jc w:val="both"/>
        <w:rPr>
          <w:rFonts w:asciiTheme="majorBidi" w:eastAsia="Calibri" w:hAnsiTheme="majorBidi" w:cstheme="majorBidi"/>
          <w:bCs/>
          <w:sz w:val="20"/>
          <w:szCs w:val="20"/>
        </w:rPr>
      </w:pPr>
    </w:p>
    <w:p w:rsidR="004F5FB6" w:rsidRPr="00D8680A" w:rsidRDefault="004F5FB6" w:rsidP="00851FA3">
      <w:pPr>
        <w:rPr>
          <w:rFonts w:eastAsia="SimSun"/>
          <w:b/>
          <w:bCs/>
          <w:smallCaps/>
          <w:sz w:val="24"/>
          <w:szCs w:val="24"/>
        </w:rPr>
      </w:pPr>
      <w:r w:rsidRPr="00597067">
        <w:rPr>
          <w:rFonts w:eastAsia="SimSun"/>
          <w:b/>
          <w:bCs/>
          <w:smallCaps/>
          <w:sz w:val="20"/>
          <w:szCs w:val="20"/>
        </w:rPr>
        <w:t xml:space="preserve">Mots Clés: </w:t>
      </w:r>
      <w:r w:rsidR="00851FA3" w:rsidRPr="00851FA3">
        <w:rPr>
          <w:rFonts w:asciiTheme="majorBidi" w:hAnsiTheme="majorBidi" w:cstheme="majorBidi"/>
          <w:sz w:val="20"/>
          <w:szCs w:val="20"/>
        </w:rPr>
        <w:t>Pesticides organophosphorés, Perturbation endocrinienne, Hormone thyroïdienne</w:t>
      </w:r>
    </w:p>
    <w:p w:rsidR="004F5FB6" w:rsidRPr="00C62E2E" w:rsidRDefault="004F5FB6" w:rsidP="004F5FB6">
      <w:pPr>
        <w:jc w:val="both"/>
        <w:rPr>
          <w:rFonts w:eastAsia="SimSun"/>
          <w:b/>
          <w:bCs/>
          <w:smallCaps/>
          <w:sz w:val="20"/>
          <w:szCs w:val="20"/>
        </w:rPr>
      </w:pPr>
    </w:p>
    <w:p w:rsidR="004F5FB6" w:rsidRPr="004F5FB6" w:rsidRDefault="004F5FB6" w:rsidP="004F5FB6">
      <w:pPr>
        <w:pStyle w:val="Els-Abstract-text"/>
        <w:spacing w:before="0" w:line="240" w:lineRule="auto"/>
        <w:rPr>
          <w:sz w:val="4"/>
          <w:szCs w:val="4"/>
          <w:lang w:val="fr-FR"/>
        </w:rPr>
      </w:pPr>
    </w:p>
    <w:p w:rsidR="004F5FB6" w:rsidRDefault="004F5FB6" w:rsidP="004F5FB6">
      <w:pPr>
        <w:tabs>
          <w:tab w:val="center" w:pos="4706"/>
          <w:tab w:val="right" w:pos="9356"/>
          <w:tab w:val="right" w:pos="10080"/>
        </w:tabs>
        <w:spacing w:line="200" w:lineRule="exact"/>
        <w:jc w:val="both"/>
        <w:rPr>
          <w:rFonts w:eastAsia="SimSun"/>
          <w:noProof/>
          <w:sz w:val="15"/>
          <w:szCs w:val="15"/>
        </w:rPr>
        <w:sectPr w:rsidR="004F5FB6" w:rsidSect="004F5FB6">
          <w:headerReference w:type="default" r:id="rId8"/>
          <w:footerReference w:type="default" r:id="rId9"/>
          <w:headerReference w:type="first" r:id="rId10"/>
          <w:footerReference w:type="first" r:id="rId11"/>
          <w:type w:val="continuous"/>
          <w:pgSz w:w="12240" w:h="15840"/>
          <w:pgMar w:top="1440" w:right="1440" w:bottom="1440" w:left="1440" w:header="720" w:footer="720" w:gutter="0"/>
          <w:cols w:space="720"/>
          <w:titlePg/>
          <w:docGrid w:linePitch="360"/>
        </w:sectPr>
      </w:pPr>
    </w:p>
    <w:p w:rsidR="004F5FB6" w:rsidRPr="004F5FB6" w:rsidRDefault="004F5FB6" w:rsidP="008243F5">
      <w:pPr>
        <w:tabs>
          <w:tab w:val="center" w:pos="4706"/>
          <w:tab w:val="right" w:pos="9356"/>
          <w:tab w:val="right" w:pos="10080"/>
        </w:tabs>
        <w:spacing w:line="200" w:lineRule="exact"/>
        <w:jc w:val="both"/>
        <w:rPr>
          <w:rFonts w:eastAsia="SimSun"/>
          <w:noProof/>
          <w:sz w:val="15"/>
          <w:szCs w:val="15"/>
          <w:lang w:val="en-AU"/>
        </w:rPr>
      </w:pPr>
      <w:r w:rsidRPr="004F5FB6">
        <w:rPr>
          <w:rFonts w:eastAsia="SimSun"/>
          <w:noProof/>
          <w:sz w:val="15"/>
          <w:szCs w:val="15"/>
          <w:lang w:val="en-AU"/>
        </w:rPr>
        <w:t xml:space="preserve">* </w:t>
      </w:r>
      <w:r w:rsidRPr="004F5FB6">
        <w:rPr>
          <w:rFonts w:eastAsia="SimSun"/>
          <w:i/>
          <w:noProof/>
          <w:sz w:val="15"/>
          <w:szCs w:val="15"/>
          <w:lang w:val="en-AU"/>
        </w:rPr>
        <w:t>Corresponding author.</w:t>
      </w:r>
      <w:r w:rsidRPr="004F5FB6">
        <w:rPr>
          <w:rFonts w:eastAsia="SimSun"/>
          <w:noProof/>
          <w:sz w:val="15"/>
          <w:szCs w:val="15"/>
          <w:lang w:val="en-AU"/>
        </w:rPr>
        <w:t xml:space="preserve"> </w:t>
      </w:r>
      <w:r w:rsidR="008243F5">
        <w:rPr>
          <w:rFonts w:eastAsia="SimSun"/>
          <w:noProof/>
          <w:sz w:val="15"/>
          <w:szCs w:val="15"/>
          <w:lang w:val="en-AU"/>
        </w:rPr>
        <w:t>Mob</w:t>
      </w:r>
      <w:r w:rsidRPr="004F5FB6">
        <w:rPr>
          <w:rFonts w:eastAsia="SimSun"/>
          <w:noProof/>
          <w:sz w:val="15"/>
          <w:szCs w:val="15"/>
          <w:lang w:val="en-AU"/>
        </w:rPr>
        <w:t xml:space="preserve">: </w:t>
      </w:r>
      <w:r w:rsidR="00BA1B24" w:rsidRPr="008243F5">
        <w:rPr>
          <w:rFonts w:eastAsia="SimSun"/>
          <w:noProof/>
          <w:sz w:val="15"/>
          <w:szCs w:val="15"/>
          <w:lang w:val="en-GB"/>
        </w:rPr>
        <w:t>+213 550 52 49 05</w:t>
      </w:r>
      <w:r w:rsidRPr="004F5FB6">
        <w:rPr>
          <w:rFonts w:eastAsia="SimSun"/>
          <w:noProof/>
          <w:sz w:val="15"/>
          <w:szCs w:val="15"/>
          <w:lang w:val="en-AU"/>
        </w:rPr>
        <w:t xml:space="preserve">; </w:t>
      </w:r>
      <w:r w:rsidR="008243F5" w:rsidRPr="004F5FB6">
        <w:rPr>
          <w:rFonts w:eastAsia="SimSun"/>
          <w:noProof/>
          <w:sz w:val="15"/>
          <w:szCs w:val="15"/>
          <w:lang w:val="en-AU"/>
        </w:rPr>
        <w:t>Tel.</w:t>
      </w:r>
      <w:r w:rsidR="008243F5">
        <w:rPr>
          <w:rFonts w:eastAsia="SimSun"/>
          <w:noProof/>
          <w:sz w:val="15"/>
          <w:szCs w:val="15"/>
          <w:lang w:val="en-AU"/>
        </w:rPr>
        <w:t>/</w:t>
      </w:r>
      <w:r w:rsidR="008243F5" w:rsidRPr="004F5FB6">
        <w:rPr>
          <w:rFonts w:eastAsia="SimSun"/>
          <w:noProof/>
          <w:sz w:val="15"/>
          <w:szCs w:val="15"/>
          <w:lang w:val="en-AU"/>
        </w:rPr>
        <w:t>Fax</w:t>
      </w:r>
      <w:r w:rsidRPr="004F5FB6">
        <w:rPr>
          <w:rFonts w:eastAsia="SimSun"/>
          <w:noProof/>
          <w:sz w:val="15"/>
          <w:szCs w:val="15"/>
          <w:lang w:val="en-AU"/>
        </w:rPr>
        <w:t>: +</w:t>
      </w:r>
      <w:r w:rsidR="00864A3F">
        <w:rPr>
          <w:rFonts w:eastAsia="SimSun"/>
          <w:noProof/>
          <w:sz w:val="15"/>
          <w:szCs w:val="15"/>
          <w:lang w:val="en-AU"/>
        </w:rPr>
        <w:t>213 41</w:t>
      </w:r>
      <w:r w:rsidR="00BA1B24">
        <w:rPr>
          <w:rFonts w:eastAsia="SimSun"/>
          <w:noProof/>
          <w:sz w:val="15"/>
          <w:szCs w:val="15"/>
          <w:lang w:val="en-AU"/>
        </w:rPr>
        <w:t xml:space="preserve"> </w:t>
      </w:r>
      <w:r w:rsidR="00864A3F">
        <w:rPr>
          <w:rFonts w:eastAsia="SimSun"/>
          <w:noProof/>
          <w:sz w:val="15"/>
          <w:szCs w:val="15"/>
          <w:lang w:val="en-AU"/>
        </w:rPr>
        <w:t>41</w:t>
      </w:r>
      <w:r w:rsidR="00BA1B24">
        <w:rPr>
          <w:rFonts w:eastAsia="SimSun"/>
          <w:noProof/>
          <w:sz w:val="15"/>
          <w:szCs w:val="15"/>
          <w:lang w:val="en-AU"/>
        </w:rPr>
        <w:t xml:space="preserve"> </w:t>
      </w:r>
      <w:r w:rsidR="00864A3F">
        <w:rPr>
          <w:rFonts w:eastAsia="SimSun"/>
          <w:noProof/>
          <w:sz w:val="15"/>
          <w:szCs w:val="15"/>
          <w:lang w:val="en-AU"/>
        </w:rPr>
        <w:t>49</w:t>
      </w:r>
      <w:r w:rsidR="00BA1B24">
        <w:rPr>
          <w:rFonts w:eastAsia="SimSun"/>
          <w:noProof/>
          <w:sz w:val="15"/>
          <w:szCs w:val="15"/>
          <w:lang w:val="en-AU"/>
        </w:rPr>
        <w:t xml:space="preserve"> </w:t>
      </w:r>
      <w:r w:rsidR="00864A3F">
        <w:rPr>
          <w:rFonts w:eastAsia="SimSun"/>
          <w:noProof/>
          <w:sz w:val="15"/>
          <w:szCs w:val="15"/>
          <w:lang w:val="en-AU"/>
        </w:rPr>
        <w:t>49</w:t>
      </w:r>
      <w:r w:rsidR="00BA1B24">
        <w:rPr>
          <w:rFonts w:eastAsia="SimSun"/>
          <w:noProof/>
          <w:sz w:val="15"/>
          <w:szCs w:val="15"/>
          <w:lang w:val="en-AU"/>
        </w:rPr>
        <w:t xml:space="preserve"> / +213 41 40 14 00</w:t>
      </w:r>
      <w:r w:rsidRPr="004F5FB6">
        <w:rPr>
          <w:rFonts w:eastAsia="SimSun"/>
          <w:noProof/>
          <w:sz w:val="15"/>
          <w:szCs w:val="15"/>
          <w:lang w:val="en-AU"/>
        </w:rPr>
        <w:t>.</w:t>
      </w:r>
      <w:r w:rsidRPr="004F5FB6">
        <w:rPr>
          <w:rFonts w:eastAsia="SimSun"/>
          <w:noProof/>
          <w:sz w:val="15"/>
          <w:szCs w:val="15"/>
          <w:lang w:val="en-AU"/>
        </w:rPr>
        <w:tab/>
      </w:r>
    </w:p>
    <w:p w:rsidR="004F5FB6" w:rsidRPr="004F5FB6" w:rsidRDefault="00864A3F" w:rsidP="00864A3F">
      <w:pPr>
        <w:jc w:val="both"/>
        <w:rPr>
          <w:rFonts w:eastAsia="SimSun"/>
          <w:color w:val="548DD4"/>
          <w:sz w:val="15"/>
          <w:szCs w:val="15"/>
          <w:lang w:val="en-AU"/>
        </w:rPr>
      </w:pPr>
      <w:r>
        <w:rPr>
          <w:rFonts w:eastAsia="SimSun"/>
          <w:sz w:val="15"/>
          <w:szCs w:val="15"/>
          <w:lang w:val="en-AU"/>
        </w:rPr>
        <w:t>e</w:t>
      </w:r>
      <w:r w:rsidR="004F5FB6" w:rsidRPr="004F5FB6">
        <w:rPr>
          <w:rFonts w:eastAsia="SimSun"/>
          <w:sz w:val="15"/>
          <w:szCs w:val="15"/>
          <w:lang w:val="en-AU"/>
        </w:rPr>
        <w:t>-mail</w:t>
      </w:r>
      <w:r>
        <w:rPr>
          <w:rFonts w:eastAsia="SimSun"/>
          <w:sz w:val="15"/>
          <w:szCs w:val="15"/>
          <w:lang w:val="en-AU"/>
        </w:rPr>
        <w:t xml:space="preserve"> </w:t>
      </w:r>
      <w:r w:rsidR="004F5FB6" w:rsidRPr="004F5FB6">
        <w:rPr>
          <w:rFonts w:eastAsia="SimSun"/>
          <w:sz w:val="15"/>
          <w:szCs w:val="15"/>
          <w:lang w:val="en-AU"/>
        </w:rPr>
        <w:t xml:space="preserve">Address: </w:t>
      </w:r>
      <w:r>
        <w:rPr>
          <w:rFonts w:eastAsia="SimSun"/>
          <w:color w:val="548DD4"/>
          <w:sz w:val="15"/>
          <w:szCs w:val="15"/>
          <w:u w:val="single"/>
          <w:lang w:val="en-AU"/>
        </w:rPr>
        <w:t>chefirat.bilel</w:t>
      </w:r>
      <w:r w:rsidR="004F5FB6" w:rsidRPr="004F5FB6">
        <w:rPr>
          <w:rFonts w:eastAsia="SimSun"/>
          <w:color w:val="548DD4"/>
          <w:sz w:val="15"/>
          <w:szCs w:val="15"/>
          <w:u w:val="single"/>
          <w:lang w:val="en-AU"/>
        </w:rPr>
        <w:t>@gmail.com</w:t>
      </w:r>
      <w:r w:rsidR="004F5FB6" w:rsidRPr="004F5FB6">
        <w:rPr>
          <w:rFonts w:eastAsia="SimSun"/>
          <w:color w:val="548DD4"/>
          <w:sz w:val="15"/>
          <w:szCs w:val="15"/>
          <w:lang w:val="en-AU"/>
        </w:rPr>
        <w:tab/>
      </w:r>
    </w:p>
    <w:p w:rsidR="004F5FB6" w:rsidRPr="004F5FB6" w:rsidRDefault="004F5FB6" w:rsidP="004F5FB6">
      <w:pPr>
        <w:jc w:val="both"/>
        <w:rPr>
          <w:rFonts w:eastAsia="SimSun"/>
          <w:sz w:val="15"/>
          <w:szCs w:val="15"/>
          <w:lang w:val="en-AU"/>
        </w:rPr>
      </w:pPr>
      <w:r w:rsidRPr="004F5FB6">
        <w:rPr>
          <w:rFonts w:eastAsia="SimSun"/>
          <w:sz w:val="15"/>
          <w:szCs w:val="15"/>
          <w:lang w:val="en-AU"/>
        </w:rPr>
        <w:t>Received on:</w:t>
      </w:r>
    </w:p>
    <w:p w:rsidR="004F5FB6" w:rsidRPr="004F5FB6" w:rsidRDefault="004F5FB6" w:rsidP="004F5FB6">
      <w:pPr>
        <w:jc w:val="both"/>
        <w:rPr>
          <w:rFonts w:eastAsia="SimSun"/>
          <w:sz w:val="15"/>
          <w:szCs w:val="15"/>
          <w:lang w:val="en-AU"/>
        </w:rPr>
      </w:pPr>
      <w:r w:rsidRPr="004F5FB6">
        <w:rPr>
          <w:rFonts w:eastAsia="SimSun"/>
          <w:sz w:val="15"/>
          <w:szCs w:val="15"/>
          <w:lang w:val="en-AU"/>
        </w:rPr>
        <w:t>Revised on:</w:t>
      </w:r>
    </w:p>
    <w:p w:rsidR="004F5FB6" w:rsidRPr="004F5FB6" w:rsidRDefault="004F5FB6" w:rsidP="004F5FB6">
      <w:pPr>
        <w:rPr>
          <w:rFonts w:eastAsia="SimSun"/>
          <w:color w:val="548DD4"/>
          <w:sz w:val="15"/>
          <w:szCs w:val="15"/>
          <w:lang w:val="en-AU"/>
        </w:rPr>
        <w:sectPr w:rsidR="004F5FB6" w:rsidRPr="004F5FB6" w:rsidSect="004F5FB6">
          <w:type w:val="continuous"/>
          <w:pgSz w:w="12240" w:h="15840"/>
          <w:pgMar w:top="1440" w:right="1440" w:bottom="1440" w:left="1440" w:header="720" w:footer="720" w:gutter="0"/>
          <w:cols w:num="2" w:space="720"/>
          <w:titlePg/>
          <w:docGrid w:linePitch="360"/>
        </w:sectPr>
      </w:pPr>
      <w:r w:rsidRPr="004F5FB6">
        <w:rPr>
          <w:rFonts w:eastAsia="SimSun"/>
          <w:sz w:val="15"/>
          <w:szCs w:val="15"/>
          <w:lang w:val="en-AU"/>
        </w:rPr>
        <w:t>Accepted on:</w:t>
      </w:r>
      <w:r w:rsidRPr="004F5FB6">
        <w:rPr>
          <w:rFonts w:eastAsia="SimSun"/>
          <w:color w:val="548DD4"/>
          <w:sz w:val="15"/>
          <w:szCs w:val="15"/>
          <w:lang w:val="en-AU"/>
        </w:rPr>
        <w:t xml:space="preserve"> </w:t>
      </w:r>
    </w:p>
    <w:p w:rsidR="004F5FB6" w:rsidRPr="004F5FB6" w:rsidRDefault="004F5FB6" w:rsidP="004F5FB6">
      <w:pPr>
        <w:jc w:val="both"/>
        <w:rPr>
          <w:rFonts w:eastAsia="SimSun"/>
          <w:color w:val="548DD4"/>
          <w:sz w:val="15"/>
          <w:szCs w:val="15"/>
          <w:lang w:val="en-AU"/>
        </w:rPr>
      </w:pPr>
      <w:r w:rsidRPr="004F5FB6">
        <w:rPr>
          <w:rFonts w:eastAsia="SimSun"/>
          <w:color w:val="548DD4"/>
          <w:sz w:val="15"/>
          <w:szCs w:val="15"/>
          <w:lang w:val="en-AU"/>
        </w:rPr>
        <w:tab/>
      </w:r>
      <w:r w:rsidRPr="004F5FB6">
        <w:rPr>
          <w:rFonts w:eastAsia="SimSun"/>
          <w:color w:val="548DD4"/>
          <w:sz w:val="15"/>
          <w:szCs w:val="15"/>
          <w:lang w:val="en-AU"/>
        </w:rPr>
        <w:tab/>
      </w:r>
      <w:r w:rsidRPr="004F5FB6">
        <w:rPr>
          <w:rFonts w:eastAsia="SimSun"/>
          <w:color w:val="548DD4"/>
          <w:sz w:val="15"/>
          <w:szCs w:val="15"/>
          <w:lang w:val="en-AU"/>
        </w:rPr>
        <w:tab/>
      </w:r>
      <w:r w:rsidRPr="004F5FB6">
        <w:rPr>
          <w:rFonts w:eastAsia="SimSun"/>
          <w:color w:val="548DD4"/>
          <w:sz w:val="15"/>
          <w:szCs w:val="15"/>
          <w:lang w:val="en-AU"/>
        </w:rPr>
        <w:tab/>
      </w:r>
      <w:r w:rsidRPr="004F5FB6">
        <w:rPr>
          <w:rFonts w:eastAsia="SimSun"/>
          <w:color w:val="548DD4"/>
          <w:sz w:val="15"/>
          <w:szCs w:val="15"/>
          <w:lang w:val="en-AU"/>
        </w:rPr>
        <w:tab/>
      </w:r>
    </w:p>
    <w:p w:rsidR="004F5FB6" w:rsidRPr="004F5FB6" w:rsidRDefault="004F5FB6" w:rsidP="004F5FB6">
      <w:pPr>
        <w:jc w:val="both"/>
        <w:rPr>
          <w:rFonts w:eastAsia="SimSun"/>
          <w:color w:val="548DD4"/>
          <w:sz w:val="15"/>
          <w:szCs w:val="15"/>
          <w:lang w:val="en-AU"/>
        </w:rPr>
      </w:pPr>
    </w:p>
    <w:p w:rsidR="004F5FB6" w:rsidRPr="004F5FB6" w:rsidRDefault="004F5FB6" w:rsidP="004F5FB6">
      <w:pPr>
        <w:jc w:val="both"/>
        <w:rPr>
          <w:rFonts w:eastAsia="SimSun"/>
          <w:color w:val="548DD4"/>
          <w:sz w:val="15"/>
          <w:szCs w:val="15"/>
          <w:lang w:val="en-AU"/>
        </w:rPr>
      </w:pPr>
    </w:p>
    <w:p w:rsidR="004F5FB6" w:rsidRPr="00C62E2E" w:rsidRDefault="004F5FB6" w:rsidP="004F5FB6">
      <w:pPr>
        <w:pStyle w:val="Els-1storder-head"/>
        <w:ind w:left="270"/>
        <w:jc w:val="both"/>
        <w:rPr>
          <w:szCs w:val="19"/>
        </w:rPr>
        <w:sectPr w:rsidR="004F5FB6" w:rsidRPr="00C62E2E" w:rsidSect="004F5FB6">
          <w:type w:val="continuous"/>
          <w:pgSz w:w="12240" w:h="15840"/>
          <w:pgMar w:top="1440" w:right="1440" w:bottom="1440" w:left="1440" w:header="720" w:footer="720" w:gutter="0"/>
          <w:cols w:space="720"/>
          <w:titlePg/>
          <w:docGrid w:linePitch="360"/>
        </w:sectPr>
      </w:pPr>
    </w:p>
    <w:p w:rsidR="004F5FB6" w:rsidRPr="00C62E2E" w:rsidRDefault="004F5FB6" w:rsidP="004F5FB6">
      <w:pPr>
        <w:pStyle w:val="Els-1storder-head"/>
        <w:numPr>
          <w:ilvl w:val="0"/>
          <w:numId w:val="0"/>
        </w:numPr>
        <w:spacing w:before="0" w:after="0"/>
        <w:ind w:left="1530" w:hanging="1530"/>
        <w:jc w:val="both"/>
        <w:rPr>
          <w:sz w:val="20"/>
        </w:rPr>
      </w:pPr>
    </w:p>
    <w:p w:rsidR="0082243B" w:rsidRPr="00DF2D36" w:rsidRDefault="007D6C13" w:rsidP="00DF2D36">
      <w:pPr>
        <w:pStyle w:val="Els-body-text"/>
        <w:spacing w:before="100" w:beforeAutospacing="1" w:after="100" w:afterAutospacing="1" w:line="240" w:lineRule="auto"/>
        <w:rPr>
          <w:rFonts w:eastAsia="Times New Roman"/>
          <w:b/>
          <w:bCs/>
          <w:sz w:val="20"/>
          <w:szCs w:val="24"/>
        </w:rPr>
      </w:pPr>
      <w:r>
        <w:rPr>
          <w:rFonts w:eastAsia="Times New Roman"/>
          <w:b/>
          <w:bCs/>
          <w:sz w:val="20"/>
          <w:szCs w:val="24"/>
        </w:rPr>
        <w:t>Introduction</w:t>
      </w:r>
    </w:p>
    <w:p w:rsidR="00DF2D36" w:rsidRPr="00DF2D36" w:rsidRDefault="00DF2D36" w:rsidP="00DF2D36">
      <w:pPr>
        <w:pStyle w:val="Els-body-text"/>
        <w:spacing w:before="100" w:beforeAutospacing="1" w:after="100" w:afterAutospacing="1" w:line="240" w:lineRule="auto"/>
        <w:rPr>
          <w:sz w:val="20"/>
          <w:szCs w:val="24"/>
        </w:rPr>
      </w:pPr>
      <w:r w:rsidRPr="00DF2D36">
        <w:rPr>
          <w:sz w:val="20"/>
          <w:szCs w:val="24"/>
        </w:rPr>
        <w:t xml:space="preserve">The thyroid gland plays a crucial role through the secretion of hormones. Thyroid hormones are vital for a multitude of physiological functions, including metabolic effects, potentiating adrenaline and growth hormone and are essential for the ossification and maturation of organs. In the central nervous system, they lead to maturation and connections between neurons. In the autonomic nervous system, they potentiate the effects of catecholamines, accelerate transit and possibly have a trophic action on the skin and appendages </w:t>
      </w:r>
      <w:r w:rsidRPr="00DF2D36">
        <w:rPr>
          <w:b/>
          <w:bCs/>
          <w:sz w:val="20"/>
          <w:szCs w:val="24"/>
        </w:rPr>
        <w:t>[1]</w:t>
      </w:r>
      <w:r w:rsidRPr="00DF2D36">
        <w:rPr>
          <w:sz w:val="20"/>
          <w:szCs w:val="24"/>
        </w:rPr>
        <w:t>.</w:t>
      </w:r>
    </w:p>
    <w:p w:rsidR="00DF2D36" w:rsidRPr="00DF2D36" w:rsidRDefault="00DF2D36" w:rsidP="00DF2D36">
      <w:pPr>
        <w:pStyle w:val="Els-body-text"/>
        <w:spacing w:before="100" w:beforeAutospacing="1" w:after="100" w:afterAutospacing="1" w:line="240" w:lineRule="auto"/>
        <w:rPr>
          <w:sz w:val="20"/>
          <w:szCs w:val="24"/>
        </w:rPr>
      </w:pPr>
      <w:r w:rsidRPr="00DF2D36">
        <w:rPr>
          <w:sz w:val="20"/>
          <w:szCs w:val="24"/>
        </w:rPr>
        <w:t xml:space="preserve">The thyroid is probably the most vulnerable endocrine gland to changes in its environment. Chemical compounds that have a negative impact on thyroid homeostasis are called thyroid disruptors. These fall within the broader framework of endocrine disruptors, a concept that has become an emerging concern in public health. Thyroid disruptors can be of natural or synthetic origin. Chemical compounds of natural origin have always existed in the environment and have goitrogenic properties known for a long time. Exposure is generally dietary: thiocyanates and isothiocyanates present in cruciferous vegetables (cabbage, broccoli, turnip, radish, etc.) and in tobacco, cyanogenic glucosides present in some roots or tubers (cassava, sweet potato), disulfides (onion, garlic), isoflavones (millet, sorghum, beans, soy). Environmental synthetic thyroid disruptors are at the center of this problem. These are products from the </w:t>
      </w:r>
      <w:proofErr w:type="spellStart"/>
      <w:r w:rsidRPr="00DF2D36">
        <w:rPr>
          <w:sz w:val="20"/>
          <w:szCs w:val="24"/>
        </w:rPr>
        <w:t>phyto</w:t>
      </w:r>
      <w:proofErr w:type="spellEnd"/>
      <w:r w:rsidRPr="00DF2D36">
        <w:rPr>
          <w:sz w:val="20"/>
          <w:szCs w:val="24"/>
        </w:rPr>
        <w:t>-</w:t>
      </w:r>
      <w:proofErr w:type="spellStart"/>
      <w:r w:rsidRPr="00DF2D36">
        <w:rPr>
          <w:sz w:val="20"/>
          <w:szCs w:val="24"/>
        </w:rPr>
        <w:t>agro</w:t>
      </w:r>
      <w:proofErr w:type="spellEnd"/>
      <w:r w:rsidRPr="00DF2D36">
        <w:rPr>
          <w:sz w:val="20"/>
          <w:szCs w:val="24"/>
        </w:rPr>
        <w:t xml:space="preserve">-food industry or industrial products, released in large quantities into the environment. The list of these products is long and is growing every year. All areas are affected by food industry, cosmetics, pesticides and persistent organic </w:t>
      </w:r>
      <w:r w:rsidRPr="00DF2D36">
        <w:rPr>
          <w:sz w:val="20"/>
          <w:szCs w:val="24"/>
        </w:rPr>
        <w:t xml:space="preserve">pollutants, industrial products, paints, solvents, plastics (phthalates, bisphenol A), heavy metals, flame-retardants, dioxins, etc. </w:t>
      </w:r>
      <w:r w:rsidRPr="00DF2D36">
        <w:rPr>
          <w:b/>
          <w:bCs/>
          <w:sz w:val="20"/>
          <w:szCs w:val="24"/>
        </w:rPr>
        <w:t>[2,3]</w:t>
      </w:r>
      <w:r w:rsidRPr="00DF2D36">
        <w:rPr>
          <w:sz w:val="20"/>
          <w:szCs w:val="24"/>
        </w:rPr>
        <w:t>.</w:t>
      </w:r>
    </w:p>
    <w:p w:rsidR="00DF2D36" w:rsidRPr="00DF2D36" w:rsidRDefault="00DF2D36" w:rsidP="00DF2D36">
      <w:pPr>
        <w:pStyle w:val="Els-body-text"/>
        <w:spacing w:before="100" w:beforeAutospacing="1" w:after="100" w:afterAutospacing="1" w:line="240" w:lineRule="auto"/>
        <w:rPr>
          <w:sz w:val="20"/>
          <w:szCs w:val="24"/>
        </w:rPr>
      </w:pPr>
      <w:r w:rsidRPr="00DF2D36">
        <w:rPr>
          <w:sz w:val="20"/>
          <w:szCs w:val="24"/>
        </w:rPr>
        <w:t xml:space="preserve">Pesticides, potential endocrine disruptors, have been increasingly used in recent years to overcome the food needs of the population. Among the pesticide classes, organophosphates are an important issue for health since they are widely used because of their cost-effectiveness, their wide and attractive spectrum of action and their low persistence. These products are used mainly for the protection of plants in agriculture and horticulture as well as in public hygiene in the campaigns of </w:t>
      </w:r>
      <w:proofErr w:type="spellStart"/>
      <w:r w:rsidRPr="00DF2D36">
        <w:rPr>
          <w:sz w:val="20"/>
          <w:szCs w:val="24"/>
        </w:rPr>
        <w:t>disinsectization</w:t>
      </w:r>
      <w:proofErr w:type="spellEnd"/>
      <w:r w:rsidRPr="00DF2D36">
        <w:rPr>
          <w:sz w:val="20"/>
          <w:szCs w:val="24"/>
        </w:rPr>
        <w:t xml:space="preserve"> and locust control, in the forest field, landscape maintenance, in veterinary practice, etc. Today, many OPs are marketed worldwide in the form of thousands of different products </w:t>
      </w:r>
      <w:r w:rsidRPr="00DF2D36">
        <w:rPr>
          <w:b/>
          <w:bCs/>
          <w:sz w:val="20"/>
          <w:szCs w:val="24"/>
        </w:rPr>
        <w:t>[4]</w:t>
      </w:r>
      <w:r w:rsidRPr="00DF2D36">
        <w:rPr>
          <w:sz w:val="20"/>
          <w:szCs w:val="24"/>
        </w:rPr>
        <w:t>.</w:t>
      </w:r>
    </w:p>
    <w:p w:rsidR="00DF2D36" w:rsidRPr="00DF2D36" w:rsidRDefault="00DF2D36" w:rsidP="00DF2D36">
      <w:pPr>
        <w:pStyle w:val="Els-body-text"/>
        <w:spacing w:before="100" w:beforeAutospacing="1" w:after="100" w:afterAutospacing="1" w:line="240" w:lineRule="auto"/>
        <w:rPr>
          <w:sz w:val="20"/>
          <w:szCs w:val="24"/>
        </w:rPr>
      </w:pPr>
      <w:r w:rsidRPr="00DF2D36">
        <w:rPr>
          <w:sz w:val="20"/>
          <w:szCs w:val="24"/>
        </w:rPr>
        <w:t xml:space="preserve">To date, the most frequently reported health effects related to chronic exposure to OPs are cancers, reproductive disorders and neurological disorders </w:t>
      </w:r>
      <w:r w:rsidRPr="00DF2D36">
        <w:rPr>
          <w:b/>
          <w:bCs/>
          <w:sz w:val="20"/>
          <w:szCs w:val="24"/>
        </w:rPr>
        <w:t>[5]</w:t>
      </w:r>
      <w:r w:rsidRPr="00DF2D36">
        <w:rPr>
          <w:sz w:val="20"/>
          <w:szCs w:val="24"/>
        </w:rPr>
        <w:t xml:space="preserve">. However, other effects have been mentioned in the literature, notably with the recent emergence of the concept of "endocrine disruption." Many publications report that exposure to OPs changes thyroid signaling to relevant levels in living beings. In view of the </w:t>
      </w:r>
      <w:proofErr w:type="spellStart"/>
      <w:r w:rsidRPr="00DF2D36">
        <w:rPr>
          <w:sz w:val="20"/>
          <w:szCs w:val="24"/>
        </w:rPr>
        <w:t>equivocity</w:t>
      </w:r>
      <w:proofErr w:type="spellEnd"/>
      <w:r w:rsidRPr="00DF2D36">
        <w:rPr>
          <w:sz w:val="20"/>
          <w:szCs w:val="24"/>
        </w:rPr>
        <w:t xml:space="preserve"> of the results emerging from the literature, the present work aims to clarify the current state of knowledge about the impact of OPs on thyroid function.</w:t>
      </w:r>
    </w:p>
    <w:p w:rsidR="00A36D06" w:rsidRPr="00DF2D36" w:rsidRDefault="00CD3515" w:rsidP="00DF2D36">
      <w:pPr>
        <w:pStyle w:val="Els-body-text"/>
        <w:spacing w:before="100" w:beforeAutospacing="1" w:after="100" w:afterAutospacing="1" w:line="240" w:lineRule="auto"/>
        <w:rPr>
          <w:b/>
          <w:bCs/>
          <w:sz w:val="20"/>
          <w:lang w:val="en-GB"/>
        </w:rPr>
      </w:pPr>
      <w:r w:rsidRPr="00DF2D36">
        <w:rPr>
          <w:b/>
          <w:bCs/>
          <w:sz w:val="20"/>
          <w:lang w:val="en-GB"/>
        </w:rPr>
        <w:t>Methods</w:t>
      </w:r>
    </w:p>
    <w:p w:rsidR="00DF2D36" w:rsidRPr="00DF2D36" w:rsidRDefault="00DF2D36" w:rsidP="00DF2D36">
      <w:pPr>
        <w:pStyle w:val="Els-body-text"/>
        <w:spacing w:before="100" w:beforeAutospacing="1" w:after="100" w:afterAutospacing="1" w:line="240" w:lineRule="auto"/>
        <w:rPr>
          <w:sz w:val="20"/>
        </w:rPr>
      </w:pPr>
      <w:r w:rsidRPr="00DF2D36">
        <w:rPr>
          <w:sz w:val="20"/>
        </w:rPr>
        <w:t>An in-depth review of Anglo-Saxon scientific research was carried out independently by five reviewers, through a systematic review of all the original articles that investigated the thyroid disruptive effect of OPs, for the period from the first January 1970 to December 31, 2019.</w:t>
      </w:r>
    </w:p>
    <w:p w:rsidR="00DF2D36" w:rsidRPr="00DF2D36" w:rsidRDefault="00DF2D36" w:rsidP="00DF2D36">
      <w:pPr>
        <w:pStyle w:val="Els-body-text"/>
        <w:spacing w:before="100" w:beforeAutospacing="1" w:after="100" w:afterAutospacing="1" w:line="240" w:lineRule="auto"/>
        <w:rPr>
          <w:sz w:val="20"/>
        </w:rPr>
      </w:pPr>
      <w:r w:rsidRPr="00DF2D36">
        <w:rPr>
          <w:sz w:val="20"/>
        </w:rPr>
        <w:lastRenderedPageBreak/>
        <w:t>Literature searches were performed in PubMed and ScienceDirect databases, using the following terms (</w:t>
      </w:r>
      <w:proofErr w:type="spellStart"/>
      <w:r w:rsidRPr="00DF2D36">
        <w:rPr>
          <w:sz w:val="20"/>
        </w:rPr>
        <w:t>MeSH</w:t>
      </w:r>
      <w:proofErr w:type="spellEnd"/>
      <w:r w:rsidRPr="00DF2D36">
        <w:rPr>
          <w:sz w:val="20"/>
        </w:rPr>
        <w:t xml:space="preserve"> terms):  </w:t>
      </w:r>
      <w:r w:rsidRPr="00DF2D36">
        <w:rPr>
          <w:i/>
          <w:iCs/>
          <w:sz w:val="20"/>
        </w:rPr>
        <w:t>pesticides organophosphates, non-persistent insecticides, thyroid stimulating hormone, t4 thyroid hormone, t3 thyroid hormone, and thyroid gland</w:t>
      </w:r>
      <w:r w:rsidRPr="00DF2D36">
        <w:rPr>
          <w:sz w:val="20"/>
        </w:rPr>
        <w:t>. Retrieved studies were examined to determine whether they met or did not meet our inclusion criteria before checking the articles.</w:t>
      </w:r>
    </w:p>
    <w:p w:rsidR="00DF2D36" w:rsidRPr="00DF2D36" w:rsidRDefault="00DF2D36" w:rsidP="00DF2D36">
      <w:pPr>
        <w:pStyle w:val="Els-body-text"/>
        <w:spacing w:before="100" w:beforeAutospacing="1" w:after="100" w:afterAutospacing="1" w:line="240" w:lineRule="auto"/>
        <w:rPr>
          <w:sz w:val="20"/>
        </w:rPr>
      </w:pPr>
      <w:r w:rsidRPr="00DF2D36">
        <w:rPr>
          <w:b/>
          <w:bCs/>
          <w:sz w:val="20"/>
        </w:rPr>
        <w:t xml:space="preserve">Inclusion criteria: </w:t>
      </w:r>
      <w:r w:rsidRPr="00DF2D36">
        <w:rPr>
          <w:sz w:val="20"/>
        </w:rPr>
        <w:t>as criteria that guided the selection process of the articles, we included all the epidemiological or experimental studies that examined the association between exposure to OPs and thyroid function, written in English, with access to the full text.</w:t>
      </w:r>
    </w:p>
    <w:p w:rsidR="00DF2D36" w:rsidRPr="00DF2D36" w:rsidRDefault="00DF2D36" w:rsidP="00DF2D36">
      <w:pPr>
        <w:pStyle w:val="Els-body-text"/>
        <w:spacing w:before="100" w:beforeAutospacing="1" w:after="100" w:afterAutospacing="1" w:line="240" w:lineRule="auto"/>
        <w:rPr>
          <w:sz w:val="20"/>
        </w:rPr>
      </w:pPr>
      <w:r w:rsidRPr="00DF2D36">
        <w:rPr>
          <w:b/>
          <w:bCs/>
          <w:sz w:val="20"/>
        </w:rPr>
        <w:t>Exclusion criteria:</w:t>
      </w:r>
      <w:r w:rsidRPr="00DF2D36">
        <w:rPr>
          <w:sz w:val="20"/>
        </w:rPr>
        <w:t xml:space="preserve"> all experimental studies on histopathological changes in the thyroid following exposure to OPs, without exploration of thyroid function, were excluded. This will be the same for all publications that study the effects of exposure to different classes of pesticides, including OPs, on thyroid function without specifying the part of the latter.</w:t>
      </w:r>
    </w:p>
    <w:p w:rsidR="00DF2D36" w:rsidRPr="00DF2D36" w:rsidRDefault="00DF2D36" w:rsidP="00DF2D36">
      <w:pPr>
        <w:pStyle w:val="Els-body-text"/>
        <w:spacing w:before="100" w:beforeAutospacing="1" w:after="100" w:afterAutospacing="1" w:line="240" w:lineRule="auto"/>
        <w:rPr>
          <w:sz w:val="20"/>
        </w:rPr>
      </w:pPr>
      <w:r w:rsidRPr="00DF2D36">
        <w:rPr>
          <w:sz w:val="20"/>
        </w:rPr>
        <w:t>It should be noted that the article selection process is based on the methodological recommendations provided by the Preferred Reporting Items for Systematic reviews and Meta-Analyzes (PRISMA) grid, drawing up the different guidelines for conducting meta-analyzes and systematic reviews of the literature.</w:t>
      </w:r>
    </w:p>
    <w:p w:rsidR="00A36D06" w:rsidRPr="00DF2D36" w:rsidRDefault="00CD3515" w:rsidP="00DF2D36">
      <w:pPr>
        <w:pStyle w:val="Els-body-text"/>
        <w:spacing w:before="100" w:beforeAutospacing="1" w:after="100" w:afterAutospacing="1" w:line="240" w:lineRule="auto"/>
        <w:rPr>
          <w:b/>
          <w:bCs/>
          <w:sz w:val="20"/>
          <w:lang w:val="en-GB"/>
        </w:rPr>
      </w:pPr>
      <w:r w:rsidRPr="00DF2D36">
        <w:rPr>
          <w:b/>
          <w:bCs/>
          <w:sz w:val="20"/>
          <w:lang w:val="en-GB"/>
        </w:rPr>
        <w:t>Res</w:t>
      </w:r>
      <w:r w:rsidR="007D6C13">
        <w:rPr>
          <w:b/>
          <w:bCs/>
          <w:sz w:val="20"/>
          <w:lang w:val="en-GB"/>
        </w:rPr>
        <w:t>ults</w:t>
      </w:r>
    </w:p>
    <w:p w:rsidR="00DF2D36" w:rsidRDefault="00DF2D36" w:rsidP="00DF2D36">
      <w:pPr>
        <w:pStyle w:val="Els-body-text"/>
        <w:spacing w:before="100" w:beforeAutospacing="1" w:after="100" w:afterAutospacing="1" w:line="240" w:lineRule="auto"/>
        <w:rPr>
          <w:sz w:val="20"/>
        </w:rPr>
      </w:pPr>
      <w:r w:rsidRPr="00DF2D36">
        <w:rPr>
          <w:sz w:val="20"/>
        </w:rPr>
        <w:t xml:space="preserve">PubMed produced 29 results from the search criteria, while ScienceDirect produced 26 articles, for a total of 55 articles. After deletion of 4 </w:t>
      </w:r>
      <w:proofErr w:type="spellStart"/>
      <w:r w:rsidRPr="00DF2D36">
        <w:rPr>
          <w:sz w:val="20"/>
        </w:rPr>
        <w:t>duplicatives</w:t>
      </w:r>
      <w:proofErr w:type="spellEnd"/>
      <w:r w:rsidRPr="00DF2D36">
        <w:rPr>
          <w:sz w:val="20"/>
        </w:rPr>
        <w:t xml:space="preserve">, 22 articles were rejected if it was determined from the title or the abstract that the study failed to meet the inclusion criteria as indicated in the flow diagram </w:t>
      </w:r>
      <w:r w:rsidRPr="00DF2D36">
        <w:rPr>
          <w:b/>
          <w:bCs/>
          <w:sz w:val="20"/>
        </w:rPr>
        <w:t>(figure 1)</w:t>
      </w:r>
      <w:r w:rsidRPr="00DF2D36">
        <w:rPr>
          <w:sz w:val="20"/>
        </w:rPr>
        <w:t xml:space="preserve">. After this screening, 7 articles were also excluded because they did not meet finally the initial criteria "false-positive" (n=6) or were not accessible (n=1). Finally, a total of 22 studies were eligible for inclusion in this systematic review: 4 studies evaluated the effect on humans, 16 </w:t>
      </w:r>
      <w:r w:rsidRPr="00DF2D36">
        <w:rPr>
          <w:i/>
          <w:iCs/>
          <w:sz w:val="20"/>
        </w:rPr>
        <w:t>in vivo</w:t>
      </w:r>
      <w:r w:rsidRPr="00DF2D36">
        <w:rPr>
          <w:sz w:val="20"/>
        </w:rPr>
        <w:t xml:space="preserve"> studies and 2 </w:t>
      </w:r>
      <w:r w:rsidRPr="00DF2D36">
        <w:rPr>
          <w:i/>
          <w:iCs/>
          <w:sz w:val="20"/>
        </w:rPr>
        <w:t>in vitro</w:t>
      </w:r>
      <w:r w:rsidRPr="00DF2D36">
        <w:rPr>
          <w:sz w:val="20"/>
        </w:rPr>
        <w:t xml:space="preserve"> studies.</w:t>
      </w:r>
    </w:p>
    <w:p w:rsidR="00DF2D36" w:rsidRDefault="00DF2D36" w:rsidP="00DF2D36">
      <w:pPr>
        <w:pStyle w:val="Els-body-text"/>
        <w:spacing w:before="100" w:beforeAutospacing="1" w:after="100" w:afterAutospacing="1" w:line="240" w:lineRule="auto"/>
        <w:rPr>
          <w:sz w:val="20"/>
        </w:rPr>
      </w:pPr>
      <w:r>
        <w:rPr>
          <w:rFonts w:asciiTheme="majorBidi" w:eastAsia="Calibri" w:hAnsiTheme="majorBidi" w:cstheme="majorBidi"/>
          <w:noProof/>
          <w:sz w:val="20"/>
          <w:lang w:val="fr-FR" w:eastAsia="fr-FR"/>
        </w:rPr>
        <w:drawing>
          <wp:inline distT="0" distB="0" distL="0" distR="0" wp14:anchorId="104E4042" wp14:editId="2503E970">
            <wp:extent cx="2743200" cy="2124537"/>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2124537"/>
                    </a:xfrm>
                    <a:prstGeom prst="rect">
                      <a:avLst/>
                    </a:prstGeom>
                    <a:noFill/>
                  </pic:spPr>
                </pic:pic>
              </a:graphicData>
            </a:graphic>
          </wp:inline>
        </w:drawing>
      </w:r>
    </w:p>
    <w:p w:rsidR="00DF2D36" w:rsidRPr="00DF2D36" w:rsidRDefault="00DF2D36" w:rsidP="00DF2D36">
      <w:pPr>
        <w:pStyle w:val="Els-body-text"/>
        <w:spacing w:before="100" w:beforeAutospacing="1" w:after="100" w:afterAutospacing="1"/>
        <w:jc w:val="center"/>
        <w:rPr>
          <w:sz w:val="20"/>
          <w:lang w:val="en-GB"/>
        </w:rPr>
      </w:pPr>
      <w:r w:rsidRPr="00DF2D36">
        <w:rPr>
          <w:b/>
          <w:bCs/>
          <w:sz w:val="20"/>
          <w:lang w:val="en-GB"/>
        </w:rPr>
        <w:t>Figure 1.</w:t>
      </w:r>
      <w:r w:rsidRPr="00DF2D36">
        <w:rPr>
          <w:sz w:val="20"/>
          <w:lang w:val="en-GB"/>
        </w:rPr>
        <w:t xml:space="preserve"> Literature selection diagram for the systematic review.</w:t>
      </w:r>
    </w:p>
    <w:p w:rsidR="00DF2D36" w:rsidRDefault="00DF2D36" w:rsidP="00DF2D36">
      <w:pPr>
        <w:pStyle w:val="Els-body-text"/>
        <w:spacing w:before="100" w:beforeAutospacing="1" w:after="100" w:afterAutospacing="1" w:line="240" w:lineRule="auto"/>
        <w:rPr>
          <w:sz w:val="20"/>
        </w:rPr>
      </w:pPr>
      <w:r w:rsidRPr="00DF2D36">
        <w:rPr>
          <w:sz w:val="20"/>
        </w:rPr>
        <w:t xml:space="preserve">The results of the research are expressed in the form of tables </w:t>
      </w:r>
      <w:r w:rsidRPr="00DF2D36">
        <w:rPr>
          <w:b/>
          <w:bCs/>
          <w:sz w:val="20"/>
        </w:rPr>
        <w:t>(tables 1-3)</w:t>
      </w:r>
      <w:r w:rsidRPr="00DF2D36">
        <w:rPr>
          <w:sz w:val="20"/>
        </w:rPr>
        <w:t xml:space="preserve"> including the identification of the study, the methodology, the evaluation parameters as well as the results and the conclusion of each study.</w:t>
      </w:r>
    </w:p>
    <w:p w:rsidR="00A24F89" w:rsidRDefault="00A24F89" w:rsidP="00DF2D36">
      <w:pPr>
        <w:pStyle w:val="Els-body-text"/>
        <w:spacing w:before="100" w:beforeAutospacing="1" w:after="100" w:afterAutospacing="1" w:line="240" w:lineRule="auto"/>
        <w:rPr>
          <w:sz w:val="20"/>
        </w:rPr>
      </w:pPr>
    </w:p>
    <w:p w:rsidR="00A24F89" w:rsidRDefault="00A24F89" w:rsidP="00DF2D36">
      <w:pPr>
        <w:pStyle w:val="Els-body-text"/>
        <w:spacing w:before="100" w:beforeAutospacing="1" w:after="100" w:afterAutospacing="1" w:line="240" w:lineRule="auto"/>
        <w:rPr>
          <w:sz w:val="20"/>
        </w:rPr>
      </w:pPr>
    </w:p>
    <w:p w:rsidR="00A24F89" w:rsidRDefault="00A24F89" w:rsidP="00DF2D36">
      <w:pPr>
        <w:pStyle w:val="Els-body-text"/>
        <w:spacing w:before="100" w:beforeAutospacing="1" w:after="100" w:afterAutospacing="1" w:line="240" w:lineRule="auto"/>
        <w:rPr>
          <w:sz w:val="20"/>
        </w:rPr>
      </w:pPr>
    </w:p>
    <w:p w:rsidR="00A24F89" w:rsidRDefault="00A24F89" w:rsidP="00DF2D36">
      <w:pPr>
        <w:pStyle w:val="Els-body-text"/>
        <w:spacing w:before="100" w:beforeAutospacing="1" w:after="100" w:afterAutospacing="1" w:line="240" w:lineRule="auto"/>
        <w:rPr>
          <w:sz w:val="20"/>
        </w:rPr>
      </w:pPr>
    </w:p>
    <w:p w:rsidR="00A24F89" w:rsidRDefault="00A24F89" w:rsidP="00DF2D36">
      <w:pPr>
        <w:pStyle w:val="Els-body-text"/>
        <w:spacing w:before="100" w:beforeAutospacing="1" w:after="100" w:afterAutospacing="1" w:line="240" w:lineRule="auto"/>
        <w:rPr>
          <w:sz w:val="20"/>
        </w:rPr>
      </w:pPr>
    </w:p>
    <w:p w:rsidR="00A24F89" w:rsidRDefault="00A24F89" w:rsidP="00DF2D36">
      <w:pPr>
        <w:pStyle w:val="Els-body-text"/>
        <w:spacing w:before="100" w:beforeAutospacing="1" w:after="100" w:afterAutospacing="1" w:line="240" w:lineRule="auto"/>
        <w:rPr>
          <w:sz w:val="20"/>
        </w:rPr>
      </w:pPr>
    </w:p>
    <w:p w:rsidR="00A24F89" w:rsidRDefault="00A24F89" w:rsidP="00DF2D36">
      <w:pPr>
        <w:pStyle w:val="Els-body-text"/>
        <w:spacing w:before="100" w:beforeAutospacing="1" w:after="100" w:afterAutospacing="1" w:line="240" w:lineRule="auto"/>
        <w:rPr>
          <w:sz w:val="20"/>
        </w:rPr>
      </w:pPr>
    </w:p>
    <w:p w:rsidR="00A24F89" w:rsidRDefault="00A24F89" w:rsidP="00DF2D36">
      <w:pPr>
        <w:pStyle w:val="Els-body-text"/>
        <w:spacing w:before="100" w:beforeAutospacing="1" w:after="100" w:afterAutospacing="1" w:line="240" w:lineRule="auto"/>
        <w:rPr>
          <w:sz w:val="20"/>
        </w:rPr>
      </w:pPr>
    </w:p>
    <w:p w:rsidR="00A24F89" w:rsidRDefault="00A24F89" w:rsidP="00DF2D36">
      <w:pPr>
        <w:pStyle w:val="Els-body-text"/>
        <w:spacing w:before="100" w:beforeAutospacing="1" w:after="100" w:afterAutospacing="1" w:line="240" w:lineRule="auto"/>
        <w:rPr>
          <w:sz w:val="20"/>
        </w:rPr>
      </w:pPr>
    </w:p>
    <w:p w:rsidR="00A24F89" w:rsidRDefault="00A24F89" w:rsidP="00DF2D36">
      <w:pPr>
        <w:pStyle w:val="Els-body-text"/>
        <w:spacing w:before="100" w:beforeAutospacing="1" w:after="100" w:afterAutospacing="1" w:line="240" w:lineRule="auto"/>
        <w:rPr>
          <w:sz w:val="20"/>
        </w:rPr>
      </w:pPr>
    </w:p>
    <w:p w:rsidR="00A24F89" w:rsidRDefault="00A24F89" w:rsidP="00DF2D36">
      <w:pPr>
        <w:pStyle w:val="Els-body-text"/>
        <w:spacing w:before="100" w:beforeAutospacing="1" w:after="100" w:afterAutospacing="1" w:line="240" w:lineRule="auto"/>
        <w:rPr>
          <w:sz w:val="20"/>
        </w:rPr>
      </w:pPr>
    </w:p>
    <w:p w:rsidR="00A24F89" w:rsidRDefault="00A24F89" w:rsidP="00DF2D36">
      <w:pPr>
        <w:pStyle w:val="Els-body-text"/>
        <w:spacing w:before="100" w:beforeAutospacing="1" w:after="100" w:afterAutospacing="1" w:line="240" w:lineRule="auto"/>
        <w:rPr>
          <w:sz w:val="20"/>
        </w:rPr>
      </w:pPr>
    </w:p>
    <w:p w:rsidR="00A24F89" w:rsidRDefault="00A24F89" w:rsidP="00DF2D36">
      <w:pPr>
        <w:pStyle w:val="Els-body-text"/>
        <w:spacing w:before="100" w:beforeAutospacing="1" w:after="100" w:afterAutospacing="1" w:line="240" w:lineRule="auto"/>
        <w:rPr>
          <w:sz w:val="20"/>
        </w:rPr>
      </w:pPr>
    </w:p>
    <w:p w:rsidR="00A24F89" w:rsidRPr="00DF2D36" w:rsidRDefault="00A24F89" w:rsidP="00DF2D36">
      <w:pPr>
        <w:pStyle w:val="Els-body-text"/>
        <w:spacing w:before="100" w:beforeAutospacing="1" w:after="100" w:afterAutospacing="1" w:line="240" w:lineRule="auto"/>
        <w:rPr>
          <w:sz w:val="20"/>
        </w:rPr>
      </w:pPr>
    </w:p>
    <w:p w:rsidR="00A24F89" w:rsidRDefault="00A24F89" w:rsidP="00DF2D36">
      <w:pPr>
        <w:pStyle w:val="Els-body-text"/>
        <w:spacing w:before="100" w:beforeAutospacing="1" w:after="100" w:afterAutospacing="1"/>
        <w:rPr>
          <w:b/>
          <w:bCs/>
          <w:sz w:val="20"/>
        </w:rPr>
        <w:sectPr w:rsidR="00A24F89" w:rsidSect="002C5FD9">
          <w:headerReference w:type="first" r:id="rId13"/>
          <w:type w:val="continuous"/>
          <w:pgSz w:w="12240" w:h="15840"/>
          <w:pgMar w:top="1440" w:right="1440" w:bottom="1440" w:left="1440" w:header="720" w:footer="861" w:gutter="0"/>
          <w:cols w:num="2" w:space="720"/>
          <w:titlePg/>
          <w:docGrid w:linePitch="360"/>
        </w:sectPr>
      </w:pPr>
    </w:p>
    <w:p w:rsidR="00DF2D36" w:rsidRPr="00DF2D36" w:rsidRDefault="00DF2D36" w:rsidP="00DF2D36">
      <w:pPr>
        <w:pStyle w:val="Els-body-text"/>
        <w:spacing w:before="100" w:beforeAutospacing="1" w:after="100" w:afterAutospacing="1"/>
        <w:rPr>
          <w:sz w:val="20"/>
        </w:rPr>
      </w:pPr>
      <w:r w:rsidRPr="00DF2D36">
        <w:rPr>
          <w:b/>
          <w:bCs/>
          <w:sz w:val="20"/>
        </w:rPr>
        <w:lastRenderedPageBreak/>
        <w:t>Table 1.</w:t>
      </w:r>
      <w:r w:rsidRPr="00DF2D36">
        <w:rPr>
          <w:sz w:val="20"/>
        </w:rPr>
        <w:t xml:space="preserve"> Summary table of </w:t>
      </w:r>
      <w:r w:rsidRPr="00DF2D36">
        <w:rPr>
          <w:i/>
          <w:iCs/>
          <w:sz w:val="20"/>
        </w:rPr>
        <w:t>in vivo</w:t>
      </w:r>
      <w:r w:rsidRPr="00DF2D36">
        <w:rPr>
          <w:sz w:val="20"/>
        </w:rPr>
        <w:t xml:space="preserve"> studies analyzing the OP-thyroid disruption relationship.</w:t>
      </w:r>
    </w:p>
    <w:tbl>
      <w:tblPr>
        <w:tblStyle w:val="Grilledutableau1"/>
        <w:tblW w:w="0" w:type="auto"/>
        <w:tblLook w:val="04A0" w:firstRow="1" w:lastRow="0" w:firstColumn="1" w:lastColumn="0" w:noHBand="0" w:noVBand="1"/>
      </w:tblPr>
      <w:tblGrid>
        <w:gridCol w:w="717"/>
        <w:gridCol w:w="2665"/>
        <w:gridCol w:w="2286"/>
        <w:gridCol w:w="1970"/>
        <w:gridCol w:w="1938"/>
      </w:tblGrid>
      <w:tr w:rsidR="00A24F89" w:rsidRPr="00A24F89" w:rsidTr="004901AA">
        <w:trPr>
          <w:trHeight w:val="340"/>
        </w:trPr>
        <w:tc>
          <w:tcPr>
            <w:tcW w:w="0" w:type="auto"/>
            <w:tcBorders>
              <w:top w:val="single" w:sz="4" w:space="0" w:color="auto"/>
              <w:left w:val="single" w:sz="4" w:space="0" w:color="auto"/>
              <w:bottom w:val="single" w:sz="4" w:space="0" w:color="auto"/>
              <w:right w:val="single" w:sz="4" w:space="0" w:color="auto"/>
            </w:tcBorders>
            <w:vAlign w:val="center"/>
            <w:hideMark/>
          </w:tcPr>
          <w:p w:rsidR="00616635" w:rsidRPr="00A24F89" w:rsidRDefault="00616635" w:rsidP="00A24F89">
            <w:pPr>
              <w:jc w:val="center"/>
              <w:rPr>
                <w:rFonts w:asciiTheme="majorBidi" w:eastAsia="Calibri" w:hAnsiTheme="majorBidi" w:cstheme="majorBidi"/>
                <w:b/>
                <w:bCs/>
                <w:sz w:val="20"/>
                <w:szCs w:val="20"/>
              </w:rPr>
            </w:pPr>
            <w:proofErr w:type="spellStart"/>
            <w:r w:rsidRPr="00A24F89">
              <w:rPr>
                <w:rFonts w:asciiTheme="majorBidi" w:eastAsia="Calibri" w:hAnsiTheme="majorBidi" w:cstheme="majorBidi"/>
                <w:b/>
                <w:bCs/>
                <w:sz w:val="20"/>
                <w:szCs w:val="20"/>
              </w:rPr>
              <w:t>Study</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rsidR="00616635" w:rsidRPr="00A24F89" w:rsidRDefault="00616635" w:rsidP="00A24F89">
            <w:pPr>
              <w:jc w:val="center"/>
              <w:rPr>
                <w:rFonts w:asciiTheme="majorBidi" w:eastAsia="Calibri" w:hAnsiTheme="majorBidi" w:cstheme="majorBidi"/>
                <w:b/>
                <w:bCs/>
                <w:sz w:val="20"/>
                <w:szCs w:val="20"/>
              </w:rPr>
            </w:pPr>
            <w:proofErr w:type="spellStart"/>
            <w:r w:rsidRPr="00A24F89">
              <w:rPr>
                <w:rFonts w:asciiTheme="majorBidi" w:eastAsia="Calibri" w:hAnsiTheme="majorBidi" w:cstheme="majorBidi"/>
                <w:b/>
                <w:bCs/>
                <w:sz w:val="20"/>
                <w:szCs w:val="20"/>
              </w:rPr>
              <w:t>Methodology</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rsidR="00616635" w:rsidRPr="00A24F89" w:rsidRDefault="00616635" w:rsidP="00A24F89">
            <w:pPr>
              <w:jc w:val="center"/>
              <w:rPr>
                <w:rFonts w:asciiTheme="majorBidi" w:eastAsia="Calibri" w:hAnsiTheme="majorBidi" w:cstheme="majorBidi"/>
                <w:b/>
                <w:bCs/>
                <w:sz w:val="20"/>
                <w:szCs w:val="20"/>
              </w:rPr>
            </w:pPr>
            <w:proofErr w:type="spellStart"/>
            <w:r w:rsidRPr="00A24F89">
              <w:rPr>
                <w:rFonts w:asciiTheme="majorBidi" w:eastAsia="Calibri" w:hAnsiTheme="majorBidi" w:cstheme="majorBidi"/>
                <w:b/>
                <w:bCs/>
                <w:sz w:val="20"/>
                <w:szCs w:val="20"/>
              </w:rPr>
              <w:t>Assessment</w:t>
            </w:r>
            <w:proofErr w:type="spellEnd"/>
            <w:r w:rsidRPr="00A24F89">
              <w:rPr>
                <w:rFonts w:asciiTheme="majorBidi" w:eastAsia="Calibri" w:hAnsiTheme="majorBidi" w:cstheme="majorBidi"/>
                <w:b/>
                <w:bCs/>
                <w:sz w:val="20"/>
                <w:szCs w:val="20"/>
              </w:rPr>
              <w:t xml:space="preserve"> </w:t>
            </w:r>
            <w:proofErr w:type="spellStart"/>
            <w:r w:rsidRPr="00A24F89">
              <w:rPr>
                <w:rFonts w:asciiTheme="majorBidi" w:eastAsia="Calibri" w:hAnsiTheme="majorBidi" w:cstheme="majorBidi"/>
                <w:b/>
                <w:bCs/>
                <w:sz w:val="20"/>
                <w:szCs w:val="20"/>
              </w:rPr>
              <w:t>parameters</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rsidR="00616635" w:rsidRPr="00A24F89" w:rsidRDefault="00616635" w:rsidP="00A24F89">
            <w:pPr>
              <w:jc w:val="center"/>
              <w:rPr>
                <w:rFonts w:asciiTheme="majorBidi" w:eastAsia="Calibri" w:hAnsiTheme="majorBidi" w:cstheme="majorBidi"/>
                <w:b/>
                <w:bCs/>
                <w:sz w:val="20"/>
                <w:szCs w:val="20"/>
              </w:rPr>
            </w:pPr>
            <w:proofErr w:type="spellStart"/>
            <w:r w:rsidRPr="00A24F89">
              <w:rPr>
                <w:rFonts w:asciiTheme="majorBidi" w:eastAsia="Calibri" w:hAnsiTheme="majorBidi" w:cstheme="majorBidi"/>
                <w:b/>
                <w:bCs/>
                <w:sz w:val="20"/>
                <w:szCs w:val="20"/>
              </w:rPr>
              <w:t>Results</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rsidR="00616635" w:rsidRPr="00A24F89" w:rsidRDefault="00616635" w:rsidP="00A24F89">
            <w:pPr>
              <w:jc w:val="center"/>
              <w:rPr>
                <w:rFonts w:asciiTheme="majorBidi" w:eastAsia="Calibri" w:hAnsiTheme="majorBidi" w:cstheme="majorBidi"/>
                <w:b/>
                <w:bCs/>
                <w:sz w:val="20"/>
                <w:szCs w:val="20"/>
              </w:rPr>
            </w:pPr>
            <w:r w:rsidRPr="00A24F89">
              <w:rPr>
                <w:rFonts w:asciiTheme="majorBidi" w:eastAsia="Calibri" w:hAnsiTheme="majorBidi" w:cstheme="majorBidi"/>
                <w:b/>
                <w:bCs/>
                <w:sz w:val="20"/>
                <w:szCs w:val="20"/>
              </w:rPr>
              <w:t>Conclusion</w:t>
            </w:r>
          </w:p>
        </w:tc>
      </w:tr>
      <w:tr w:rsidR="00A24F89" w:rsidRPr="00ED5856" w:rsidTr="004901AA">
        <w:trPr>
          <w:trHeight w:val="340"/>
        </w:trPr>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b/>
                <w:bCs/>
                <w:sz w:val="20"/>
                <w:szCs w:val="20"/>
              </w:rPr>
            </w:pPr>
            <w:r w:rsidRPr="00A24F89">
              <w:rPr>
                <w:rFonts w:asciiTheme="majorBidi" w:eastAsia="Calibri" w:hAnsiTheme="majorBidi" w:cstheme="majorBidi"/>
                <w:b/>
                <w:bCs/>
                <w:sz w:val="20"/>
                <w:szCs w:val="20"/>
              </w:rPr>
              <w:t>[6]</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 xml:space="preserve">-Collect of 100 adult specimens of </w:t>
            </w:r>
            <w:r w:rsidRPr="00A24F89">
              <w:rPr>
                <w:rFonts w:asciiTheme="majorBidi" w:eastAsia="Calibri" w:hAnsiTheme="majorBidi" w:cstheme="majorBidi"/>
                <w:i/>
                <w:iCs/>
                <w:sz w:val="20"/>
                <w:szCs w:val="20"/>
                <w:lang w:val="en-US"/>
              </w:rPr>
              <w:t>C. punctatus</w:t>
            </w:r>
            <w:r w:rsidRPr="00A24F89">
              <w:rPr>
                <w:rFonts w:asciiTheme="majorBidi" w:eastAsia="Calibri" w:hAnsiTheme="majorBidi" w:cstheme="majorBidi"/>
                <w:sz w:val="20"/>
                <w:szCs w:val="20"/>
                <w:lang w:val="en-US"/>
              </w:rPr>
              <w:t xml:space="preserve"> </w:t>
            </w:r>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-Exposition of 30 fish to subtoxic concentrations of fenitrothion (1.5 ppm) or carbofuran (5 ppm)</w:t>
            </w:r>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 xml:space="preserve">-At least, six specimens of fish remaining with the two pesticides, each belonging to experimental and control groups, were collected at 30-day intervals for 120 days. </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Protein-bound iodine (PBI)</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 xml:space="preserve">- At D30, PBI levels in treated and control fish did not vary significantly </w:t>
            </w:r>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-At D60, PBI levels were lower in fish treated with fenitrothion</w:t>
            </w:r>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-At D90, PBI levels of all the treated fish were lower</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Exposure to fenitrothion leads to a decrease in plasma PBI levels due to atrophy of the thyroid follicles which limits the synthesis and/or release of thyroid hormones</w:t>
            </w:r>
          </w:p>
        </w:tc>
      </w:tr>
      <w:tr w:rsidR="00A24F89" w:rsidRPr="00ED5856" w:rsidTr="004901AA">
        <w:trPr>
          <w:trHeight w:val="340"/>
        </w:trPr>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b/>
                <w:bCs/>
                <w:sz w:val="20"/>
                <w:szCs w:val="20"/>
              </w:rPr>
            </w:pPr>
            <w:r w:rsidRPr="00A24F89">
              <w:rPr>
                <w:rFonts w:asciiTheme="majorBidi" w:eastAsia="Calibri" w:hAnsiTheme="majorBidi" w:cstheme="majorBidi"/>
                <w:b/>
                <w:bCs/>
                <w:sz w:val="20"/>
                <w:szCs w:val="20"/>
              </w:rPr>
              <w:t>[7]</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 xml:space="preserve">-Collect of females of </w:t>
            </w:r>
            <w:r w:rsidRPr="00A24F89">
              <w:rPr>
                <w:rFonts w:asciiTheme="majorBidi" w:eastAsia="Calibri" w:hAnsiTheme="majorBidi" w:cstheme="majorBidi"/>
                <w:i/>
                <w:iCs/>
                <w:sz w:val="20"/>
                <w:szCs w:val="20"/>
                <w:lang w:val="en-US"/>
              </w:rPr>
              <w:t xml:space="preserve">H. </w:t>
            </w:r>
            <w:proofErr w:type="spellStart"/>
            <w:r w:rsidRPr="00A24F89">
              <w:rPr>
                <w:rFonts w:asciiTheme="majorBidi" w:eastAsia="Calibri" w:hAnsiTheme="majorBidi" w:cstheme="majorBidi"/>
                <w:i/>
                <w:iCs/>
                <w:sz w:val="20"/>
                <w:szCs w:val="20"/>
                <w:lang w:val="en-US"/>
              </w:rPr>
              <w:t>fossilis</w:t>
            </w:r>
            <w:proofErr w:type="spellEnd"/>
            <w:r w:rsidRPr="00A24F89">
              <w:rPr>
                <w:rFonts w:asciiTheme="majorBidi" w:eastAsia="Calibri" w:hAnsiTheme="majorBidi" w:cstheme="majorBidi"/>
                <w:sz w:val="20"/>
                <w:szCs w:val="20"/>
                <w:lang w:val="en-US"/>
              </w:rPr>
              <w:t xml:space="preserve"> during </w:t>
            </w:r>
            <w:proofErr w:type="spellStart"/>
            <w:r w:rsidRPr="00A24F89">
              <w:rPr>
                <w:rFonts w:asciiTheme="majorBidi" w:eastAsia="Calibri" w:hAnsiTheme="majorBidi" w:cstheme="majorBidi"/>
                <w:sz w:val="20"/>
                <w:szCs w:val="20"/>
                <w:lang w:val="en-US"/>
              </w:rPr>
              <w:t>prespawning</w:t>
            </w:r>
            <w:proofErr w:type="spellEnd"/>
            <w:r w:rsidRPr="00A24F89">
              <w:rPr>
                <w:rFonts w:asciiTheme="majorBidi" w:eastAsia="Calibri" w:hAnsiTheme="majorBidi" w:cstheme="majorBidi"/>
                <w:sz w:val="20"/>
                <w:szCs w:val="20"/>
                <w:lang w:val="en-US"/>
              </w:rPr>
              <w:t xml:space="preserve"> phase</w:t>
            </w:r>
          </w:p>
          <w:p w:rsidR="00616635" w:rsidRPr="00A24F89" w:rsidRDefault="00616635" w:rsidP="00A24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-Division of the fish into 5 lots of 5 fish each. 4 lots were exposed for 28 days to 2 different sub-lethal concentrations of pesticides (malathion, 10 and 20 ppm; hexachlorocyclohexane (HCH), 8 and 16 ppm) separately, and the fifth lot in ordinary tap water was used as control</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rPr>
            </w:pPr>
            <w:r w:rsidRPr="00A24F89">
              <w:rPr>
                <w:rFonts w:asciiTheme="majorBidi" w:eastAsia="Calibri" w:hAnsiTheme="majorBidi" w:cstheme="majorBidi"/>
                <w:sz w:val="20"/>
                <w:szCs w:val="20"/>
              </w:rPr>
              <w:t>T3, T4, T3/T4 ratio</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-Decrease in plasma T4 level within 4 weeks of exposure to malathion (10 and 20 ppm)</w:t>
            </w:r>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 xml:space="preserve">-Increase in the plasma level of T4 induced by high concentrations of HCH (16 ppm) </w:t>
            </w:r>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-Reducing of plasma T3 and T3/T4 ratio by exposure to HCH but increased  by exposure to malathion</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-HCH probably acts directly on the thyroid gland, reducing the synthesis and release of thyroid hormones.</w:t>
            </w:r>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 xml:space="preserve">-Malathion appears to increase the plasma level of T3 either by stimulating the </w:t>
            </w:r>
            <w:proofErr w:type="spellStart"/>
            <w:r w:rsidRPr="00A24F89">
              <w:rPr>
                <w:rFonts w:asciiTheme="majorBidi" w:eastAsia="Calibri" w:hAnsiTheme="majorBidi" w:cstheme="majorBidi"/>
                <w:sz w:val="20"/>
                <w:szCs w:val="20"/>
                <w:lang w:val="en-US"/>
              </w:rPr>
              <w:t>extrathyroid</w:t>
            </w:r>
            <w:proofErr w:type="spellEnd"/>
            <w:r w:rsidRPr="00A24F89">
              <w:rPr>
                <w:rFonts w:asciiTheme="majorBidi" w:eastAsia="Calibri" w:hAnsiTheme="majorBidi" w:cstheme="majorBidi"/>
                <w:sz w:val="20"/>
                <w:szCs w:val="20"/>
                <w:lang w:val="en-US"/>
              </w:rPr>
              <w:t xml:space="preserve"> conversion of T4 to T3, or by reducing the excretion of T3</w:t>
            </w:r>
          </w:p>
        </w:tc>
      </w:tr>
      <w:tr w:rsidR="00A24F89" w:rsidRPr="00ED5856" w:rsidTr="004901AA">
        <w:trPr>
          <w:trHeight w:val="340"/>
        </w:trPr>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b/>
                <w:bCs/>
                <w:sz w:val="20"/>
                <w:szCs w:val="20"/>
              </w:rPr>
            </w:pPr>
            <w:r w:rsidRPr="00A24F89">
              <w:rPr>
                <w:rFonts w:asciiTheme="majorBidi" w:eastAsia="Calibri" w:hAnsiTheme="majorBidi" w:cstheme="majorBidi"/>
                <w:b/>
                <w:bCs/>
                <w:sz w:val="20"/>
                <w:szCs w:val="20"/>
              </w:rPr>
              <w:t>[8]</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 xml:space="preserve">Exposition of acclimatized </w:t>
            </w:r>
            <w:proofErr w:type="spellStart"/>
            <w:r w:rsidRPr="00A24F89">
              <w:rPr>
                <w:rFonts w:asciiTheme="majorBidi" w:eastAsia="Calibri" w:hAnsiTheme="majorBidi" w:cstheme="majorBidi"/>
                <w:i/>
                <w:iCs/>
                <w:sz w:val="20"/>
                <w:szCs w:val="20"/>
                <w:lang w:val="en-US"/>
              </w:rPr>
              <w:t>Clarias</w:t>
            </w:r>
            <w:proofErr w:type="spellEnd"/>
            <w:r w:rsidRPr="00A24F89">
              <w:rPr>
                <w:rFonts w:asciiTheme="majorBidi" w:eastAsia="Calibri" w:hAnsiTheme="majorBidi" w:cstheme="majorBidi"/>
                <w:i/>
                <w:iCs/>
                <w:sz w:val="20"/>
                <w:szCs w:val="20"/>
                <w:lang w:val="en-US"/>
              </w:rPr>
              <w:t xml:space="preserve"> </w:t>
            </w:r>
            <w:proofErr w:type="spellStart"/>
            <w:r w:rsidRPr="00A24F89">
              <w:rPr>
                <w:rFonts w:asciiTheme="majorBidi" w:eastAsia="Calibri" w:hAnsiTheme="majorBidi" w:cstheme="majorBidi"/>
                <w:i/>
                <w:iCs/>
                <w:sz w:val="20"/>
                <w:szCs w:val="20"/>
                <w:lang w:val="en-US"/>
              </w:rPr>
              <w:t>batrachus</w:t>
            </w:r>
            <w:proofErr w:type="spellEnd"/>
            <w:r w:rsidRPr="00A24F89">
              <w:rPr>
                <w:rFonts w:asciiTheme="majorBidi" w:eastAsia="Calibri" w:hAnsiTheme="majorBidi" w:cstheme="majorBidi"/>
                <w:sz w:val="20"/>
                <w:szCs w:val="20"/>
                <w:lang w:val="en-US"/>
              </w:rPr>
              <w:t xml:space="preserve"> females to sublethal concentrations of malathion (0.007 ml/L) for 96 hours and (0.0035 ml/L) for 16 days during the </w:t>
            </w:r>
            <w:proofErr w:type="spellStart"/>
            <w:r w:rsidRPr="00A24F89">
              <w:rPr>
                <w:rFonts w:asciiTheme="majorBidi" w:eastAsia="Calibri" w:hAnsiTheme="majorBidi" w:cstheme="majorBidi"/>
                <w:sz w:val="20"/>
                <w:szCs w:val="20"/>
                <w:lang w:val="en-US"/>
              </w:rPr>
              <w:t>prespawning</w:t>
            </w:r>
            <w:proofErr w:type="spellEnd"/>
            <w:r w:rsidRPr="00A24F89">
              <w:rPr>
                <w:rFonts w:asciiTheme="majorBidi" w:eastAsia="Calibri" w:hAnsiTheme="majorBidi" w:cstheme="majorBidi"/>
                <w:sz w:val="20"/>
                <w:szCs w:val="20"/>
                <w:lang w:val="en-US"/>
              </w:rPr>
              <w:t xml:space="preserve"> and spawning phases of its annual reproductive cycle</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rPr>
            </w:pPr>
            <w:r w:rsidRPr="00A24F89">
              <w:rPr>
                <w:rFonts w:asciiTheme="majorBidi" w:eastAsia="Calibri" w:hAnsiTheme="majorBidi" w:cstheme="majorBidi"/>
                <w:sz w:val="20"/>
                <w:szCs w:val="20"/>
              </w:rPr>
              <w:t xml:space="preserve">T3, T4, T3/T4 ratio, </w:t>
            </w:r>
            <w:proofErr w:type="spellStart"/>
            <w:r w:rsidRPr="00A24F89">
              <w:rPr>
                <w:rFonts w:asciiTheme="majorBidi" w:eastAsia="Calibri" w:hAnsiTheme="majorBidi" w:cstheme="majorBidi"/>
                <w:sz w:val="20"/>
                <w:szCs w:val="20"/>
              </w:rPr>
              <w:t>peroxidase</w:t>
            </w:r>
            <w:proofErr w:type="spellEnd"/>
            <w:r w:rsidRPr="00A24F89">
              <w:rPr>
                <w:rFonts w:asciiTheme="majorBidi" w:eastAsia="Calibri" w:hAnsiTheme="majorBidi" w:cstheme="majorBidi"/>
                <w:sz w:val="20"/>
                <w:szCs w:val="20"/>
              </w:rPr>
              <w:t xml:space="preserve"> </w:t>
            </w:r>
            <w:proofErr w:type="spellStart"/>
            <w:r w:rsidRPr="00A24F89">
              <w:rPr>
                <w:rFonts w:asciiTheme="majorBidi" w:eastAsia="Calibri" w:hAnsiTheme="majorBidi" w:cstheme="majorBidi"/>
                <w:sz w:val="20"/>
                <w:szCs w:val="20"/>
              </w:rPr>
              <w:t>activity</w:t>
            </w:r>
            <w:proofErr w:type="spellEnd"/>
            <w:r w:rsidRPr="00A24F89">
              <w:rPr>
                <w:rFonts w:asciiTheme="majorBidi" w:eastAsia="Calibri" w:hAnsiTheme="majorBidi" w:cstheme="majorBidi"/>
                <w:sz w:val="20"/>
                <w:szCs w:val="20"/>
              </w:rPr>
              <w:t xml:space="preserve">, </w:t>
            </w:r>
            <w:proofErr w:type="spellStart"/>
            <w:r w:rsidRPr="00A24F89">
              <w:rPr>
                <w:rFonts w:asciiTheme="majorBidi" w:eastAsia="Calibri" w:hAnsiTheme="majorBidi" w:cstheme="majorBidi"/>
                <w:sz w:val="20"/>
                <w:szCs w:val="20"/>
              </w:rPr>
              <w:t>extrathyroidal</w:t>
            </w:r>
            <w:proofErr w:type="spellEnd"/>
            <w:r w:rsidRPr="00A24F89">
              <w:rPr>
                <w:rFonts w:asciiTheme="majorBidi" w:eastAsia="Calibri" w:hAnsiTheme="majorBidi" w:cstheme="majorBidi"/>
                <w:sz w:val="20"/>
                <w:szCs w:val="20"/>
              </w:rPr>
              <w:t xml:space="preserve"> conversion of T4 to T3</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u w:val="single"/>
                <w:lang w:val="en-US"/>
              </w:rPr>
            </w:pPr>
            <w:r w:rsidRPr="00A24F89">
              <w:rPr>
                <w:rFonts w:asciiTheme="majorBidi" w:eastAsia="Calibri" w:hAnsiTheme="majorBidi" w:cstheme="majorBidi"/>
                <w:sz w:val="20"/>
                <w:szCs w:val="20"/>
                <w:u w:val="single"/>
                <w:lang w:val="en-US"/>
              </w:rPr>
              <w:t>At H96 (during the 2 phases):</w:t>
            </w:r>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 xml:space="preserve">-Lower circulating T3 levels and the T3/T4 ratio </w:t>
            </w:r>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-In the pharyngeal thyroid, T4 and peroxidase were high ; T3 and the T3/T4 ratio decreased.</w:t>
            </w:r>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-In the posterior kidney, all parameters were reduced</w:t>
            </w:r>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 xml:space="preserve">-Inhibition of the extrathyroidal </w:t>
            </w:r>
            <w:r w:rsidRPr="00A24F89">
              <w:rPr>
                <w:rFonts w:asciiTheme="majorBidi" w:eastAsia="Calibri" w:hAnsiTheme="majorBidi" w:cstheme="majorBidi"/>
                <w:sz w:val="20"/>
                <w:szCs w:val="20"/>
                <w:lang w:val="en-US"/>
              </w:rPr>
              <w:lastRenderedPageBreak/>
              <w:t>conversion of T4 to T3</w:t>
            </w:r>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u w:val="single"/>
                <w:lang w:val="en-US"/>
              </w:rPr>
              <w:t>At D16 (</w:t>
            </w:r>
            <w:proofErr w:type="spellStart"/>
            <w:r w:rsidRPr="00A24F89">
              <w:rPr>
                <w:rFonts w:asciiTheme="majorBidi" w:eastAsia="Calibri" w:hAnsiTheme="majorBidi" w:cstheme="majorBidi"/>
                <w:sz w:val="20"/>
                <w:szCs w:val="20"/>
                <w:u w:val="single"/>
                <w:lang w:val="en-US"/>
              </w:rPr>
              <w:t>prespawning</w:t>
            </w:r>
            <w:proofErr w:type="spellEnd"/>
            <w:r w:rsidRPr="00A24F89">
              <w:rPr>
                <w:rFonts w:asciiTheme="majorBidi" w:eastAsia="Calibri" w:hAnsiTheme="majorBidi" w:cstheme="majorBidi"/>
                <w:sz w:val="20"/>
                <w:szCs w:val="20"/>
                <w:u w:val="single"/>
                <w:lang w:val="en-US"/>
              </w:rPr>
              <w:t xml:space="preserve"> phase):</w:t>
            </w:r>
            <w:r w:rsidRPr="00A24F89">
              <w:rPr>
                <w:rFonts w:asciiTheme="majorBidi" w:eastAsia="Calibri" w:hAnsiTheme="majorBidi" w:cstheme="majorBidi"/>
                <w:sz w:val="20"/>
                <w:szCs w:val="20"/>
                <w:lang w:val="en-US"/>
              </w:rPr>
              <w:t xml:space="preserve"> decrease in T4 and peroxidase in the pharyngeal thyroid with increase in T3 and the T3/T4 ratio</w:t>
            </w:r>
          </w:p>
          <w:p w:rsidR="00616635" w:rsidRPr="00A24F89" w:rsidRDefault="00616635" w:rsidP="00A24F89">
            <w:pPr>
              <w:rPr>
                <w:rFonts w:asciiTheme="majorBidi" w:eastAsia="Calibri" w:hAnsiTheme="majorBidi" w:cstheme="majorBidi"/>
                <w:sz w:val="20"/>
                <w:szCs w:val="20"/>
                <w:u w:val="single"/>
                <w:lang w:val="en-US"/>
              </w:rPr>
            </w:pPr>
            <w:r w:rsidRPr="00A24F89">
              <w:rPr>
                <w:rFonts w:asciiTheme="majorBidi" w:eastAsia="Calibri" w:hAnsiTheme="majorBidi" w:cstheme="majorBidi"/>
                <w:sz w:val="20"/>
                <w:szCs w:val="20"/>
                <w:u w:val="single"/>
                <w:lang w:val="en-US"/>
              </w:rPr>
              <w:t>At D16 (spawning phase):</w:t>
            </w:r>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-Decrease in serum T4 without affecting T3 (increase in the T3/T4 ratio)</w:t>
            </w:r>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-In the posterior kidney: significant reduction in T4, T3 and peroxidase and increase in the T3/T4 ratio</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lastRenderedPageBreak/>
              <w:t>-Malathion inhibits the secretion of T4 in the kidney but increases its synthesis in the pharyngeal thyroid</w:t>
            </w:r>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 xml:space="preserve">-Malathion blocks the </w:t>
            </w:r>
            <w:proofErr w:type="spellStart"/>
            <w:r w:rsidRPr="00A24F89">
              <w:rPr>
                <w:rFonts w:asciiTheme="majorBidi" w:eastAsia="Calibri" w:hAnsiTheme="majorBidi" w:cstheme="majorBidi"/>
                <w:sz w:val="20"/>
                <w:szCs w:val="20"/>
                <w:lang w:val="en-US"/>
              </w:rPr>
              <w:t>extrathyroid</w:t>
            </w:r>
            <w:proofErr w:type="spellEnd"/>
            <w:r w:rsidRPr="00A24F89">
              <w:rPr>
                <w:rFonts w:asciiTheme="majorBidi" w:eastAsia="Calibri" w:hAnsiTheme="majorBidi" w:cstheme="majorBidi"/>
                <w:sz w:val="20"/>
                <w:szCs w:val="20"/>
                <w:lang w:val="en-US"/>
              </w:rPr>
              <w:t xml:space="preserve"> conversion of T4 to T3</w:t>
            </w:r>
          </w:p>
        </w:tc>
      </w:tr>
      <w:tr w:rsidR="00A24F89" w:rsidRPr="00ED5856" w:rsidTr="004901AA">
        <w:trPr>
          <w:trHeight w:val="340"/>
        </w:trPr>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b/>
                <w:bCs/>
                <w:sz w:val="20"/>
                <w:szCs w:val="20"/>
              </w:rPr>
            </w:pPr>
            <w:r w:rsidRPr="00A24F89">
              <w:rPr>
                <w:rFonts w:asciiTheme="majorBidi" w:eastAsia="Calibri" w:hAnsiTheme="majorBidi" w:cstheme="majorBidi"/>
                <w:b/>
                <w:bCs/>
                <w:sz w:val="20"/>
                <w:szCs w:val="20"/>
              </w:rPr>
              <w:t>[9]</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 xml:space="preserve">-Division of 32 male day-old chicks into 4 groups of 8 each </w:t>
            </w:r>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-Oral administration to group 2, 3 and 4 of dimethoate at doses of 2, 4 and 8 mg/Kg/day for 4 weeks. Group 1 served as a control</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rPr>
            </w:pPr>
            <w:r w:rsidRPr="00A24F89">
              <w:rPr>
                <w:rFonts w:asciiTheme="majorBidi" w:eastAsia="Calibri" w:hAnsiTheme="majorBidi" w:cstheme="majorBidi"/>
                <w:sz w:val="20"/>
                <w:szCs w:val="20"/>
              </w:rPr>
              <w:t>-T3, T4</w:t>
            </w:r>
          </w:p>
          <w:p w:rsidR="00616635" w:rsidRPr="00A24F89" w:rsidRDefault="00616635" w:rsidP="00A24F89">
            <w:pPr>
              <w:rPr>
                <w:rFonts w:asciiTheme="majorBidi" w:eastAsia="Calibri" w:hAnsiTheme="majorBidi" w:cstheme="majorBidi"/>
                <w:sz w:val="20"/>
                <w:szCs w:val="20"/>
              </w:rPr>
            </w:pPr>
            <w:r w:rsidRPr="00A24F89">
              <w:rPr>
                <w:rFonts w:asciiTheme="majorBidi" w:eastAsia="Calibri" w:hAnsiTheme="majorBidi" w:cstheme="majorBidi"/>
                <w:sz w:val="20"/>
                <w:szCs w:val="20"/>
              </w:rPr>
              <w:t>-</w:t>
            </w:r>
            <w:proofErr w:type="spellStart"/>
            <w:r w:rsidRPr="00A24F89">
              <w:rPr>
                <w:rFonts w:asciiTheme="majorBidi" w:eastAsia="Calibri" w:hAnsiTheme="majorBidi" w:cstheme="majorBidi"/>
                <w:sz w:val="20"/>
                <w:szCs w:val="20"/>
              </w:rPr>
              <w:t>Iodothyronine</w:t>
            </w:r>
            <w:proofErr w:type="spellEnd"/>
            <w:r w:rsidRPr="00A24F89">
              <w:rPr>
                <w:rFonts w:asciiTheme="majorBidi" w:eastAsia="Calibri" w:hAnsiTheme="majorBidi" w:cstheme="majorBidi"/>
                <w:sz w:val="20"/>
                <w:szCs w:val="20"/>
              </w:rPr>
              <w:t xml:space="preserve"> 5’-monodeiodinase type 1 (D1) </w:t>
            </w:r>
            <w:proofErr w:type="spellStart"/>
            <w:r w:rsidRPr="00A24F89">
              <w:rPr>
                <w:rFonts w:asciiTheme="majorBidi" w:eastAsia="Calibri" w:hAnsiTheme="majorBidi" w:cstheme="majorBidi"/>
                <w:sz w:val="20"/>
                <w:szCs w:val="20"/>
              </w:rPr>
              <w:t>activity</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-Significant decrease in serum T4 in all treated groups</w:t>
            </w:r>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-Significant decrease in serum T3 in the 2 groups receiving 4 and 8 mg/Kg</w:t>
            </w:r>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-Significant decrease in 5'-D activity in the 2 groups receiving the highest doses of pesticides</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-Dimethoate exerts a thyroid inhibiting action even at low doses</w:t>
            </w:r>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-Dimethoate inhibits the synthesis and/or release of T4 at the glandular level</w:t>
            </w:r>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-Dimethoate inhibits the peripheral conversion of T4 to T3</w:t>
            </w:r>
          </w:p>
        </w:tc>
      </w:tr>
      <w:tr w:rsidR="00A24F89" w:rsidRPr="00ED5856" w:rsidTr="004901AA">
        <w:trPr>
          <w:trHeight w:val="340"/>
        </w:trPr>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b/>
                <w:bCs/>
                <w:sz w:val="20"/>
                <w:szCs w:val="20"/>
              </w:rPr>
            </w:pPr>
            <w:r w:rsidRPr="00A24F89">
              <w:rPr>
                <w:rFonts w:asciiTheme="majorBidi" w:eastAsia="Calibri" w:hAnsiTheme="majorBidi" w:cstheme="majorBidi"/>
                <w:b/>
                <w:bCs/>
                <w:sz w:val="20"/>
                <w:szCs w:val="20"/>
              </w:rPr>
              <w:t>[10]</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-Random division of 32 adult male Swiss mice in 4 groups of 8 each</w:t>
            </w:r>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-Intraperitoneal administration to group 2, 3 and 4 of dimethoate at doses of 2, 4 and 8 mg/Kg, respectively, for 30 consecutive days. Group 1 served as control</w:t>
            </w:r>
          </w:p>
        </w:tc>
        <w:tc>
          <w:tcPr>
            <w:tcW w:w="0" w:type="auto"/>
            <w:tcBorders>
              <w:top w:val="single" w:sz="4" w:space="0" w:color="auto"/>
              <w:left w:val="single" w:sz="4" w:space="0" w:color="auto"/>
              <w:bottom w:val="single" w:sz="4" w:space="0" w:color="auto"/>
              <w:right w:val="single" w:sz="4" w:space="0" w:color="auto"/>
            </w:tcBorders>
            <w:hideMark/>
          </w:tcPr>
          <w:p w:rsidR="00ED5856" w:rsidRPr="00ED5856" w:rsidRDefault="00ED5856" w:rsidP="00ED5856">
            <w:pPr>
              <w:rPr>
                <w:rFonts w:asciiTheme="majorBidi" w:eastAsia="Calibri" w:hAnsiTheme="majorBidi" w:cstheme="majorBidi"/>
                <w:sz w:val="20"/>
                <w:szCs w:val="20"/>
                <w:lang w:val="en-US"/>
              </w:rPr>
            </w:pPr>
            <w:r w:rsidRPr="00ED5856">
              <w:rPr>
                <w:rFonts w:asciiTheme="majorBidi" w:eastAsia="Calibri" w:hAnsiTheme="majorBidi" w:cstheme="majorBidi"/>
                <w:sz w:val="20"/>
                <w:szCs w:val="20"/>
                <w:lang w:val="en-US"/>
              </w:rPr>
              <w:t>-Total T3 (TT3), Total T4 (TT4), Thyroid Stimulating</w:t>
            </w:r>
          </w:p>
          <w:p w:rsidR="00ED5856" w:rsidRPr="00ED5856" w:rsidRDefault="00ED5856" w:rsidP="00ED5856">
            <w:pPr>
              <w:rPr>
                <w:rFonts w:asciiTheme="majorBidi" w:eastAsia="Calibri" w:hAnsiTheme="majorBidi" w:cstheme="majorBidi"/>
                <w:sz w:val="20"/>
                <w:szCs w:val="20"/>
                <w:lang w:val="en-US"/>
              </w:rPr>
            </w:pPr>
            <w:r w:rsidRPr="00ED5856">
              <w:rPr>
                <w:rFonts w:asciiTheme="majorBidi" w:eastAsia="Calibri" w:hAnsiTheme="majorBidi" w:cstheme="majorBidi"/>
                <w:sz w:val="20"/>
                <w:szCs w:val="20"/>
                <w:lang w:val="en-US"/>
              </w:rPr>
              <w:t>Hormone (TSH)</w:t>
            </w:r>
          </w:p>
          <w:p w:rsidR="00616635" w:rsidRPr="00A24F89" w:rsidRDefault="00ED5856" w:rsidP="00ED5856">
            <w:pPr>
              <w:rPr>
                <w:rFonts w:asciiTheme="majorBidi" w:eastAsia="Calibri" w:hAnsiTheme="majorBidi" w:cstheme="majorBidi"/>
                <w:sz w:val="20"/>
                <w:szCs w:val="20"/>
                <w:lang w:val="en-US"/>
              </w:rPr>
            </w:pPr>
            <w:r w:rsidRPr="00ED5856">
              <w:rPr>
                <w:rFonts w:asciiTheme="majorBidi" w:eastAsia="Calibri" w:hAnsiTheme="majorBidi" w:cstheme="majorBidi"/>
                <w:sz w:val="20"/>
                <w:szCs w:val="20"/>
                <w:lang w:val="en-US"/>
              </w:rPr>
              <w:t>-Iodothyronine 5’-monodeiodinase type 1 (D1) activity</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-Significant decrease in TT3</w:t>
            </w:r>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-Increase TT4 in groups treated at medium and high doses</w:t>
            </w:r>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-Decreased hepatic 5'-DI activity by the two higher doses of dimethoate</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 xml:space="preserve">Dimethoate-induced alterations in thyroid function are not mediated by the hypothalamus-pituitary-thyroid (HPT) axis, but by changes in the </w:t>
            </w:r>
            <w:proofErr w:type="spellStart"/>
            <w:r w:rsidRPr="00A24F89">
              <w:rPr>
                <w:rFonts w:asciiTheme="majorBidi" w:eastAsia="Calibri" w:hAnsiTheme="majorBidi" w:cstheme="majorBidi"/>
                <w:sz w:val="20"/>
                <w:szCs w:val="20"/>
                <w:lang w:val="en-US"/>
              </w:rPr>
              <w:t>extrathyroid</w:t>
            </w:r>
            <w:proofErr w:type="spellEnd"/>
            <w:r w:rsidRPr="00A24F89">
              <w:rPr>
                <w:rFonts w:asciiTheme="majorBidi" w:eastAsia="Calibri" w:hAnsiTheme="majorBidi" w:cstheme="majorBidi"/>
                <w:sz w:val="20"/>
                <w:szCs w:val="20"/>
                <w:lang w:val="en-US"/>
              </w:rPr>
              <w:t xml:space="preserve"> conversion of T4 to T3</w:t>
            </w:r>
          </w:p>
        </w:tc>
      </w:tr>
      <w:tr w:rsidR="00A24F89" w:rsidRPr="00ED5856" w:rsidTr="004901AA">
        <w:trPr>
          <w:trHeight w:val="340"/>
        </w:trPr>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b/>
                <w:bCs/>
                <w:sz w:val="20"/>
                <w:szCs w:val="20"/>
              </w:rPr>
            </w:pPr>
            <w:r w:rsidRPr="00A24F89">
              <w:rPr>
                <w:rFonts w:asciiTheme="majorBidi" w:eastAsia="Calibri" w:hAnsiTheme="majorBidi" w:cstheme="majorBidi"/>
                <w:b/>
                <w:bCs/>
                <w:sz w:val="20"/>
                <w:szCs w:val="20"/>
              </w:rPr>
              <w:t>[11]</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Oral administration to 6 groups of 8 ewes, of empty gelatin capsules or capsules containing chlorpyriphos, trifluralin, lindane or pentachlorophenol twice a week for 43 days. Dimethoate, carbofuran, 2,4-dichlorophenoxyacetic acid or triallate were administered 3 times per week</w:t>
            </w:r>
          </w:p>
        </w:tc>
        <w:tc>
          <w:tcPr>
            <w:tcW w:w="0" w:type="auto"/>
            <w:tcBorders>
              <w:top w:val="single" w:sz="4" w:space="0" w:color="auto"/>
              <w:left w:val="single" w:sz="4" w:space="0" w:color="auto"/>
              <w:bottom w:val="single" w:sz="4" w:space="0" w:color="auto"/>
              <w:right w:val="single" w:sz="4" w:space="0" w:color="auto"/>
            </w:tcBorders>
            <w:hideMark/>
          </w:tcPr>
          <w:p w:rsidR="00616635" w:rsidRPr="00ED5856" w:rsidRDefault="00ED5856" w:rsidP="00A24F89">
            <w:pPr>
              <w:rPr>
                <w:rFonts w:asciiTheme="majorBidi" w:eastAsia="Calibri" w:hAnsiTheme="majorBidi" w:cstheme="majorBidi"/>
                <w:sz w:val="20"/>
                <w:szCs w:val="20"/>
                <w:lang w:val="en-GB"/>
              </w:rPr>
            </w:pPr>
            <w:r w:rsidRPr="00EA62D1">
              <w:rPr>
                <w:rFonts w:asciiTheme="majorBidi" w:eastAsia="Calibri" w:hAnsiTheme="majorBidi" w:cstheme="majorBidi"/>
                <w:sz w:val="20"/>
                <w:szCs w:val="20"/>
                <w:lang w:val="en-GB"/>
              </w:rPr>
              <w:t>Follicle Stimulating Hormone (FSH),</w:t>
            </w:r>
            <w:r>
              <w:rPr>
                <w:rFonts w:asciiTheme="majorBidi" w:eastAsia="Calibri" w:hAnsiTheme="majorBidi" w:cstheme="majorBidi"/>
                <w:sz w:val="20"/>
                <w:szCs w:val="20"/>
                <w:lang w:val="en-GB"/>
              </w:rPr>
              <w:t xml:space="preserve"> </w:t>
            </w:r>
            <w:r w:rsidRPr="00EA62D1">
              <w:rPr>
                <w:rFonts w:asciiTheme="majorBidi" w:eastAsia="Calibri" w:hAnsiTheme="majorBidi" w:cstheme="majorBidi"/>
                <w:sz w:val="20"/>
                <w:szCs w:val="20"/>
                <w:lang w:val="en-GB"/>
              </w:rPr>
              <w:t>Luteinizing Hormone</w:t>
            </w:r>
            <w:r>
              <w:rPr>
                <w:rFonts w:asciiTheme="majorBidi" w:eastAsia="Calibri" w:hAnsiTheme="majorBidi" w:cstheme="majorBidi"/>
                <w:sz w:val="20"/>
                <w:szCs w:val="20"/>
                <w:lang w:val="en-GB"/>
              </w:rPr>
              <w:t xml:space="preserve"> (</w:t>
            </w:r>
            <w:r w:rsidRPr="00EA62D1">
              <w:rPr>
                <w:rFonts w:asciiTheme="majorBidi" w:eastAsia="Calibri" w:hAnsiTheme="majorBidi" w:cstheme="majorBidi"/>
                <w:sz w:val="20"/>
                <w:szCs w:val="20"/>
                <w:lang w:val="en-GB"/>
              </w:rPr>
              <w:t>LH</w:t>
            </w:r>
            <w:r>
              <w:rPr>
                <w:rFonts w:asciiTheme="majorBidi" w:eastAsia="Calibri" w:hAnsiTheme="majorBidi" w:cstheme="majorBidi"/>
                <w:sz w:val="20"/>
                <w:szCs w:val="20"/>
                <w:lang w:val="en-GB"/>
              </w:rPr>
              <w:t>)</w:t>
            </w:r>
            <w:r w:rsidRPr="00EA62D1">
              <w:rPr>
                <w:rFonts w:asciiTheme="majorBidi" w:eastAsia="Calibri" w:hAnsiTheme="majorBidi" w:cstheme="majorBidi"/>
                <w:sz w:val="20"/>
                <w:szCs w:val="20"/>
                <w:lang w:val="en-GB"/>
              </w:rPr>
              <w:t xml:space="preserve">, progesterone, </w:t>
            </w:r>
            <w:proofErr w:type="spellStart"/>
            <w:r w:rsidRPr="00EA62D1">
              <w:rPr>
                <w:rFonts w:asciiTheme="majorBidi" w:eastAsia="Calibri" w:hAnsiTheme="majorBidi" w:cstheme="majorBidi"/>
                <w:sz w:val="20"/>
                <w:szCs w:val="20"/>
                <w:lang w:val="en-GB"/>
              </w:rPr>
              <w:t>estradiol</w:t>
            </w:r>
            <w:proofErr w:type="spellEnd"/>
            <w:r w:rsidRPr="00EA62D1">
              <w:rPr>
                <w:rFonts w:asciiTheme="majorBidi" w:eastAsia="Calibri" w:hAnsiTheme="majorBidi" w:cstheme="majorBidi"/>
                <w:sz w:val="20"/>
                <w:szCs w:val="20"/>
                <w:lang w:val="en-GB"/>
              </w:rPr>
              <w:t>, T4, cortisol, insulin</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OPs have resulted in a marked decrease in T4 concentrations</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Several pesticides may influence serum levels of reproductive and metabolic hormones, especially T4</w:t>
            </w:r>
          </w:p>
        </w:tc>
      </w:tr>
      <w:tr w:rsidR="00A24F89" w:rsidRPr="00ED5856" w:rsidTr="004901AA">
        <w:trPr>
          <w:trHeight w:val="340"/>
        </w:trPr>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b/>
                <w:bCs/>
                <w:sz w:val="20"/>
                <w:szCs w:val="20"/>
              </w:rPr>
            </w:pPr>
            <w:r w:rsidRPr="00A24F89">
              <w:rPr>
                <w:rFonts w:asciiTheme="majorBidi" w:eastAsia="Calibri" w:hAnsiTheme="majorBidi" w:cstheme="majorBidi"/>
                <w:b/>
                <w:bCs/>
                <w:sz w:val="20"/>
                <w:szCs w:val="20"/>
              </w:rPr>
              <w:lastRenderedPageBreak/>
              <w:t>[12]</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The litters of 20 rats were reduced to 8 pups each at birth</w:t>
            </w:r>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Lactating rats were divided into 2 groups of 10 each:</w:t>
            </w:r>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-G1: control group</w:t>
            </w:r>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-G2: treated with dimethoate (40 mg/Kg) until D10 post-delivery</w:t>
            </w:r>
          </w:p>
        </w:tc>
        <w:tc>
          <w:tcPr>
            <w:tcW w:w="0" w:type="auto"/>
            <w:tcBorders>
              <w:top w:val="single" w:sz="4" w:space="0" w:color="auto"/>
              <w:left w:val="single" w:sz="4" w:space="0" w:color="auto"/>
              <w:bottom w:val="single" w:sz="4" w:space="0" w:color="auto"/>
              <w:right w:val="single" w:sz="4" w:space="0" w:color="auto"/>
            </w:tcBorders>
            <w:hideMark/>
          </w:tcPr>
          <w:p w:rsidR="00616635" w:rsidRPr="00ED5856" w:rsidRDefault="00ED5856" w:rsidP="00A24F89">
            <w:pPr>
              <w:rPr>
                <w:rFonts w:asciiTheme="majorBidi" w:eastAsia="Calibri" w:hAnsiTheme="majorBidi" w:cstheme="majorBidi"/>
                <w:sz w:val="20"/>
                <w:szCs w:val="20"/>
                <w:lang w:val="en-GB"/>
              </w:rPr>
            </w:pPr>
            <w:r w:rsidRPr="008E7B74">
              <w:rPr>
                <w:rFonts w:asciiTheme="majorBidi" w:eastAsia="Calibri" w:hAnsiTheme="majorBidi" w:cstheme="majorBidi"/>
                <w:sz w:val="20"/>
                <w:szCs w:val="20"/>
                <w:lang w:val="en-GB"/>
              </w:rPr>
              <w:t>Free T3 (FT3), Free T4 (FT4), TSH</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-Reduction in the body weight of young exposed rats, attributed to a deficiency in TH</w:t>
            </w:r>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-Decrease in plasma FT4, FT3 and thyroid iodine and increase in TSH in mothers and their offspring</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Dimethoate can reduce thyroid secretion activity in lactating rats and may even slow body growth</w:t>
            </w:r>
          </w:p>
        </w:tc>
      </w:tr>
      <w:tr w:rsidR="00A24F89" w:rsidRPr="00ED5856" w:rsidTr="004901AA">
        <w:trPr>
          <w:trHeight w:val="340"/>
        </w:trPr>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b/>
                <w:bCs/>
                <w:sz w:val="20"/>
                <w:szCs w:val="20"/>
              </w:rPr>
            </w:pPr>
            <w:r w:rsidRPr="00A24F89">
              <w:rPr>
                <w:rFonts w:asciiTheme="majorBidi" w:eastAsia="Calibri" w:hAnsiTheme="majorBidi" w:cstheme="majorBidi"/>
                <w:b/>
                <w:bCs/>
                <w:sz w:val="20"/>
                <w:szCs w:val="20"/>
              </w:rPr>
              <w:t>[13]</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 xml:space="preserve">-Exposition of 20 fish to sublethal concentrations of </w:t>
            </w:r>
            <w:proofErr w:type="spellStart"/>
            <w:r w:rsidRPr="00A24F89">
              <w:rPr>
                <w:rFonts w:asciiTheme="majorBidi" w:eastAsia="Calibri" w:hAnsiTheme="majorBidi" w:cstheme="majorBidi"/>
                <w:sz w:val="20"/>
                <w:szCs w:val="20"/>
                <w:lang w:val="en-US"/>
              </w:rPr>
              <w:t>dimecron</w:t>
            </w:r>
            <w:proofErr w:type="spellEnd"/>
            <w:r w:rsidRPr="00A24F89">
              <w:rPr>
                <w:rFonts w:asciiTheme="majorBidi" w:eastAsia="Calibri" w:hAnsiTheme="majorBidi" w:cstheme="majorBidi"/>
                <w:sz w:val="20"/>
                <w:szCs w:val="20"/>
                <w:lang w:val="en-US"/>
              </w:rPr>
              <w:t xml:space="preserve"> in separate tanks containing 200 L of pesticide water. A control group was also kept in similar tanks containing pesticide-free water</w:t>
            </w:r>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-6 surviving fish from each of the control and the experimental tanks were used for the survey</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rPr>
            </w:pPr>
            <w:r w:rsidRPr="00A24F89">
              <w:rPr>
                <w:rFonts w:asciiTheme="majorBidi" w:eastAsia="Calibri" w:hAnsiTheme="majorBidi" w:cstheme="majorBidi"/>
                <w:sz w:val="20"/>
                <w:szCs w:val="20"/>
              </w:rPr>
              <w:t xml:space="preserve">T3, T4, cortisol, </w:t>
            </w:r>
            <w:proofErr w:type="spellStart"/>
            <w:r w:rsidRPr="00A24F89">
              <w:rPr>
                <w:rFonts w:asciiTheme="majorBidi" w:eastAsia="Calibri" w:hAnsiTheme="majorBidi" w:cstheme="majorBidi"/>
                <w:sz w:val="20"/>
                <w:szCs w:val="20"/>
              </w:rPr>
              <w:t>prolactin</w:t>
            </w:r>
            <w:proofErr w:type="spellEnd"/>
            <w:r w:rsidRPr="00A24F89">
              <w:rPr>
                <w:rFonts w:asciiTheme="majorBidi" w:eastAsia="Calibri" w:hAnsiTheme="majorBidi" w:cstheme="majorBidi"/>
                <w:sz w:val="20"/>
                <w:szCs w:val="20"/>
              </w:rPr>
              <w:t xml:space="preserve">, </w:t>
            </w:r>
            <w:proofErr w:type="spellStart"/>
            <w:r w:rsidRPr="00A24F89">
              <w:rPr>
                <w:rFonts w:asciiTheme="majorBidi" w:eastAsia="Calibri" w:hAnsiTheme="majorBidi" w:cstheme="majorBidi"/>
                <w:sz w:val="20"/>
                <w:szCs w:val="20"/>
              </w:rPr>
              <w:t>insulin</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-Significant reduction in T3 during the different exposure periods</w:t>
            </w:r>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-Significant increase of T4 at H6 and D5</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Fish adaptively maintain a likely low metabolic rate, as indicated by reduced levels of thyroid hormone (T3), which could be considered beneficial for fish to indirectly reduce the toxic impact of the pesticide</w:t>
            </w:r>
          </w:p>
        </w:tc>
      </w:tr>
      <w:tr w:rsidR="00A24F89" w:rsidRPr="00ED5856" w:rsidTr="004901AA">
        <w:trPr>
          <w:trHeight w:val="340"/>
        </w:trPr>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b/>
                <w:bCs/>
                <w:sz w:val="20"/>
                <w:szCs w:val="20"/>
              </w:rPr>
            </w:pPr>
            <w:r w:rsidRPr="00A24F89">
              <w:rPr>
                <w:rFonts w:asciiTheme="majorBidi" w:eastAsia="Calibri" w:hAnsiTheme="majorBidi" w:cstheme="majorBidi"/>
                <w:b/>
                <w:bCs/>
                <w:sz w:val="20"/>
                <w:szCs w:val="20"/>
              </w:rPr>
              <w:t>[14]</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Bidi" w:hAnsiTheme="majorBidi" w:cstheme="majorBidi"/>
                <w:sz w:val="20"/>
                <w:szCs w:val="20"/>
                <w:lang w:val="en-US" w:eastAsia="fr-FR"/>
              </w:rPr>
            </w:pPr>
            <w:r w:rsidRPr="00A24F89">
              <w:rPr>
                <w:rFonts w:asciiTheme="majorBidi" w:hAnsiTheme="majorBidi" w:cstheme="majorBidi"/>
                <w:sz w:val="20"/>
                <w:szCs w:val="20"/>
                <w:lang w:val="en-US" w:eastAsia="fr-FR"/>
              </w:rPr>
              <w:t>Division of 7-week-old Sprague-Dawley rats into 4 groups of 12 each, receiving chlorpyriphos-methyl (CPM) at 0, 1, 10 or 100 mg/Kg/day</w:t>
            </w:r>
          </w:p>
          <w:p w:rsidR="00616635" w:rsidRPr="00A24F89" w:rsidRDefault="00616635" w:rsidP="00A24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Bidi" w:hAnsiTheme="majorBidi" w:cstheme="majorBidi"/>
                <w:sz w:val="20"/>
                <w:szCs w:val="20"/>
                <w:lang w:val="en-US" w:eastAsia="fr-FR"/>
              </w:rPr>
            </w:pPr>
            <w:r w:rsidRPr="00A24F89">
              <w:rPr>
                <w:rFonts w:asciiTheme="majorBidi" w:hAnsiTheme="majorBidi" w:cstheme="majorBidi"/>
                <w:sz w:val="20"/>
                <w:szCs w:val="20"/>
                <w:lang w:val="en-US" w:eastAsia="fr-FR"/>
              </w:rPr>
              <w:t>Treatment of parental rats for 2 weeks of pre-breeding and for a maximum of 2 weeks of breeding. Then, exposure of the male rats for an additional 3 weeks and the female rats for an additional 6 weeks of gestation and lactation</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rPr>
            </w:pPr>
            <w:r w:rsidRPr="00A24F89">
              <w:rPr>
                <w:rFonts w:asciiTheme="majorBidi" w:eastAsia="Calibri" w:hAnsiTheme="majorBidi" w:cstheme="majorBidi"/>
                <w:sz w:val="20"/>
                <w:szCs w:val="20"/>
              </w:rPr>
              <w:t>-T3, T4, TSH</w:t>
            </w:r>
          </w:p>
          <w:p w:rsidR="00616635" w:rsidRPr="00A24F89" w:rsidRDefault="00616635" w:rsidP="00A24F89">
            <w:pPr>
              <w:rPr>
                <w:rFonts w:asciiTheme="majorBidi" w:eastAsia="Calibri" w:hAnsiTheme="majorBidi" w:cstheme="majorBidi"/>
                <w:sz w:val="20"/>
                <w:szCs w:val="20"/>
              </w:rPr>
            </w:pPr>
            <w:r w:rsidRPr="00A24F89">
              <w:rPr>
                <w:rFonts w:asciiTheme="majorBidi" w:eastAsia="Calibri" w:hAnsiTheme="majorBidi" w:cstheme="majorBidi"/>
                <w:sz w:val="20"/>
                <w:szCs w:val="20"/>
              </w:rPr>
              <w:t xml:space="preserve">-Estradiol, </w:t>
            </w:r>
            <w:proofErr w:type="spellStart"/>
            <w:r w:rsidRPr="00A24F89">
              <w:rPr>
                <w:rFonts w:asciiTheme="majorBidi" w:eastAsia="Calibri" w:hAnsiTheme="majorBidi" w:cstheme="majorBidi"/>
                <w:sz w:val="20"/>
                <w:szCs w:val="20"/>
              </w:rPr>
              <w:t>testosterone</w:t>
            </w:r>
            <w:proofErr w:type="spellEnd"/>
            <w:r w:rsidRPr="00A24F89">
              <w:rPr>
                <w:rFonts w:asciiTheme="majorBidi" w:eastAsia="Calibri" w:hAnsiTheme="majorBidi" w:cstheme="majorBidi"/>
                <w:sz w:val="20"/>
                <w:szCs w:val="20"/>
              </w:rPr>
              <w:t xml:space="preserve">, </w:t>
            </w:r>
            <w:proofErr w:type="spellStart"/>
            <w:r w:rsidRPr="00A24F89">
              <w:rPr>
                <w:rFonts w:asciiTheme="majorBidi" w:eastAsia="Calibri" w:hAnsiTheme="majorBidi" w:cstheme="majorBidi"/>
                <w:sz w:val="20"/>
                <w:szCs w:val="20"/>
              </w:rPr>
              <w:t>corticosterone</w:t>
            </w:r>
            <w:proofErr w:type="spellEnd"/>
            <w:r w:rsidRPr="00A24F89">
              <w:rPr>
                <w:rFonts w:asciiTheme="majorBidi" w:eastAsia="Calibri" w:hAnsiTheme="majorBidi" w:cstheme="majorBidi"/>
                <w:sz w:val="20"/>
                <w:szCs w:val="20"/>
              </w:rPr>
              <w:t xml:space="preserve">, </w:t>
            </w:r>
            <w:proofErr w:type="spellStart"/>
            <w:r w:rsidRPr="00A24F89">
              <w:rPr>
                <w:rFonts w:asciiTheme="majorBidi" w:eastAsia="Calibri" w:hAnsiTheme="majorBidi" w:cstheme="majorBidi"/>
                <w:sz w:val="20"/>
                <w:szCs w:val="20"/>
              </w:rPr>
              <w:t>cholesterol</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trike/>
                <w:sz w:val="20"/>
                <w:szCs w:val="20"/>
                <w:lang w:val="en-US"/>
              </w:rPr>
            </w:pPr>
            <w:r w:rsidRPr="00A24F89">
              <w:rPr>
                <w:rFonts w:asciiTheme="majorBidi" w:eastAsia="Calibri" w:hAnsiTheme="majorBidi" w:cstheme="majorBidi"/>
                <w:sz w:val="20"/>
                <w:szCs w:val="20"/>
                <w:lang w:val="en-US"/>
              </w:rPr>
              <w:t>Serum T4 and T3 levels were significantly lower while TSH was higher in female and male F1 rats treated with CPM</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 xml:space="preserve">CPM induces an anti-androgenic effect and hypothyroidism after long-term exposure </w:t>
            </w:r>
            <w:r w:rsidRPr="00A24F89">
              <w:rPr>
                <w:rFonts w:asciiTheme="majorBidi" w:eastAsia="Calibri" w:hAnsiTheme="majorBidi" w:cstheme="majorBidi"/>
                <w:i/>
                <w:iCs/>
                <w:sz w:val="20"/>
                <w:szCs w:val="20"/>
                <w:lang w:val="en-US"/>
              </w:rPr>
              <w:t>in utero</w:t>
            </w:r>
            <w:r w:rsidRPr="00A24F89">
              <w:rPr>
                <w:rFonts w:asciiTheme="majorBidi" w:eastAsia="Calibri" w:hAnsiTheme="majorBidi" w:cstheme="majorBidi"/>
                <w:sz w:val="20"/>
                <w:szCs w:val="20"/>
                <w:lang w:val="en-US"/>
              </w:rPr>
              <w:t xml:space="preserve"> via the sexual maturation of rats</w:t>
            </w:r>
          </w:p>
        </w:tc>
      </w:tr>
      <w:tr w:rsidR="00A24F89" w:rsidRPr="00ED5856" w:rsidTr="004901AA">
        <w:trPr>
          <w:trHeight w:val="340"/>
        </w:trPr>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b/>
                <w:bCs/>
                <w:sz w:val="20"/>
                <w:szCs w:val="20"/>
              </w:rPr>
            </w:pPr>
            <w:r w:rsidRPr="00A24F89">
              <w:rPr>
                <w:rFonts w:asciiTheme="majorBidi" w:eastAsia="Calibri" w:hAnsiTheme="majorBidi" w:cstheme="majorBidi"/>
                <w:b/>
                <w:bCs/>
                <w:sz w:val="20"/>
                <w:szCs w:val="20"/>
              </w:rPr>
              <w:t>[15]</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Division of 34 male albino rats into 4 groups:</w:t>
            </w:r>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 xml:space="preserve">G1 (10): 30 mg/Kg </w:t>
            </w:r>
            <w:proofErr w:type="spellStart"/>
            <w:r w:rsidRPr="00A24F89">
              <w:rPr>
                <w:rFonts w:asciiTheme="majorBidi" w:eastAsia="Calibri" w:hAnsiTheme="majorBidi" w:cstheme="majorBidi"/>
                <w:sz w:val="20"/>
                <w:szCs w:val="20"/>
                <w:lang w:val="en-US"/>
              </w:rPr>
              <w:t>Methamidophos</w:t>
            </w:r>
            <w:proofErr w:type="spellEnd"/>
            <w:r w:rsidRPr="00A24F89">
              <w:rPr>
                <w:rFonts w:asciiTheme="majorBidi" w:eastAsia="Calibri" w:hAnsiTheme="majorBidi" w:cstheme="majorBidi"/>
                <w:sz w:val="20"/>
                <w:szCs w:val="20"/>
                <w:lang w:val="en-US"/>
              </w:rPr>
              <w:t xml:space="preserve"> (lethal dose) / G2 (7): </w:t>
            </w:r>
            <w:proofErr w:type="spellStart"/>
            <w:r w:rsidRPr="00A24F89">
              <w:rPr>
                <w:rFonts w:asciiTheme="majorBidi" w:eastAsia="Calibri" w:hAnsiTheme="majorBidi" w:cstheme="majorBidi"/>
                <w:sz w:val="20"/>
                <w:szCs w:val="20"/>
                <w:lang w:val="en-US"/>
              </w:rPr>
              <w:t>NaCl</w:t>
            </w:r>
            <w:proofErr w:type="spellEnd"/>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 xml:space="preserve">G3 (10): 30 mg/Kg </w:t>
            </w:r>
            <w:proofErr w:type="spellStart"/>
            <w:r w:rsidRPr="00A24F89">
              <w:rPr>
                <w:rFonts w:asciiTheme="majorBidi" w:eastAsia="Calibri" w:hAnsiTheme="majorBidi" w:cstheme="majorBidi"/>
                <w:sz w:val="20"/>
                <w:szCs w:val="20"/>
                <w:lang w:val="en-US"/>
              </w:rPr>
              <w:t>methamidophos</w:t>
            </w:r>
            <w:proofErr w:type="spellEnd"/>
            <w:r w:rsidRPr="00A24F89">
              <w:rPr>
                <w:rFonts w:asciiTheme="majorBidi" w:eastAsia="Calibri" w:hAnsiTheme="majorBidi" w:cstheme="majorBidi"/>
                <w:sz w:val="20"/>
                <w:szCs w:val="20"/>
                <w:lang w:val="en-US"/>
              </w:rPr>
              <w:t xml:space="preserve"> then 40 mg pralidoxime and atropine to suppress cholinergic signs / G4 (7): </w:t>
            </w:r>
            <w:proofErr w:type="spellStart"/>
            <w:r w:rsidRPr="00A24F89">
              <w:rPr>
                <w:rFonts w:asciiTheme="majorBidi" w:eastAsia="Calibri" w:hAnsiTheme="majorBidi" w:cstheme="majorBidi"/>
                <w:sz w:val="20"/>
                <w:szCs w:val="20"/>
                <w:lang w:val="en-US"/>
              </w:rPr>
              <w:t>NaCl</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rPr>
            </w:pPr>
            <w:r w:rsidRPr="00A24F89">
              <w:rPr>
                <w:rFonts w:asciiTheme="majorBidi" w:eastAsia="Calibri" w:hAnsiTheme="majorBidi" w:cstheme="majorBidi"/>
                <w:sz w:val="20"/>
                <w:szCs w:val="20"/>
              </w:rPr>
              <w:t>T3, T4, TSH</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G1/G2: decrease in rate of T3, T4, TSH in G1</w:t>
            </w:r>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G3/G4: decrease in rate of T3, T4 and increase in rate of TSH in G3</w:t>
            </w:r>
          </w:p>
          <w:p w:rsidR="00616635" w:rsidRPr="00A24F89" w:rsidRDefault="00616635" w:rsidP="00A24F89">
            <w:pPr>
              <w:rPr>
                <w:rFonts w:asciiTheme="majorBidi" w:eastAsia="Calibri" w:hAnsiTheme="majorBidi" w:cstheme="majorBidi"/>
                <w:sz w:val="20"/>
                <w:szCs w:val="20"/>
              </w:rPr>
            </w:pPr>
            <w:r w:rsidRPr="00A24F89">
              <w:rPr>
                <w:rFonts w:asciiTheme="majorBidi" w:eastAsia="Calibri" w:hAnsiTheme="majorBidi" w:cstheme="majorBidi"/>
                <w:sz w:val="20"/>
                <w:szCs w:val="20"/>
                <w:lang w:val="en-US"/>
              </w:rPr>
              <w:t>G1/G3: the rate of T4 was low in G1 and the level T3 was higher in G3. TSH level increased in G3 after treatment</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 xml:space="preserve">Acute exposure to </w:t>
            </w:r>
            <w:proofErr w:type="spellStart"/>
            <w:r w:rsidRPr="00A24F89">
              <w:rPr>
                <w:rFonts w:asciiTheme="majorBidi" w:eastAsia="Calibri" w:hAnsiTheme="majorBidi" w:cstheme="majorBidi"/>
                <w:sz w:val="20"/>
                <w:szCs w:val="20"/>
                <w:lang w:val="en-US"/>
              </w:rPr>
              <w:t>Methamidophos</w:t>
            </w:r>
            <w:proofErr w:type="spellEnd"/>
            <w:r w:rsidRPr="00A24F89">
              <w:rPr>
                <w:rFonts w:asciiTheme="majorBidi" w:eastAsia="Calibri" w:hAnsiTheme="majorBidi" w:cstheme="majorBidi"/>
                <w:sz w:val="20"/>
                <w:szCs w:val="20"/>
                <w:lang w:val="en-US"/>
              </w:rPr>
              <w:t xml:space="preserve"> may cause a  hypothyroidism syndrome</w:t>
            </w:r>
          </w:p>
        </w:tc>
      </w:tr>
      <w:tr w:rsidR="00A24F89" w:rsidRPr="00ED5856" w:rsidTr="004901AA">
        <w:trPr>
          <w:trHeight w:val="340"/>
        </w:trPr>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b/>
                <w:bCs/>
                <w:sz w:val="20"/>
                <w:szCs w:val="20"/>
              </w:rPr>
            </w:pPr>
            <w:r w:rsidRPr="00A24F89">
              <w:rPr>
                <w:rFonts w:asciiTheme="majorBidi" w:eastAsia="Calibri" w:hAnsiTheme="majorBidi" w:cstheme="majorBidi"/>
                <w:b/>
                <w:bCs/>
                <w:sz w:val="20"/>
                <w:szCs w:val="20"/>
              </w:rPr>
              <w:t>[16]</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-Pregnant dams were treated with 0, 3, 6 mg/Kg/day of CPF on gestational days 15-18</w:t>
            </w:r>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 xml:space="preserve">-After delivery, pups were treated subcutaneously on postnatal days (PND) 11-14 </w:t>
            </w:r>
            <w:r w:rsidRPr="00A24F89">
              <w:rPr>
                <w:rFonts w:asciiTheme="majorBidi" w:eastAsia="Calibri" w:hAnsiTheme="majorBidi" w:cstheme="majorBidi"/>
                <w:sz w:val="20"/>
                <w:szCs w:val="20"/>
                <w:lang w:val="en-US"/>
              </w:rPr>
              <w:lastRenderedPageBreak/>
              <w:t>with: 0, 1, 3 mg/Kg/day of CPF</w:t>
            </w:r>
          </w:p>
        </w:tc>
        <w:tc>
          <w:tcPr>
            <w:tcW w:w="0" w:type="auto"/>
            <w:tcBorders>
              <w:top w:val="single" w:sz="4" w:space="0" w:color="auto"/>
              <w:left w:val="single" w:sz="4" w:space="0" w:color="auto"/>
              <w:bottom w:val="single" w:sz="4" w:space="0" w:color="auto"/>
              <w:right w:val="single" w:sz="4" w:space="0" w:color="auto"/>
            </w:tcBorders>
          </w:tcPr>
          <w:p w:rsidR="00ED5856" w:rsidRPr="00ED5856" w:rsidRDefault="00ED5856" w:rsidP="00ED5856">
            <w:pPr>
              <w:rPr>
                <w:rFonts w:asciiTheme="majorBidi" w:eastAsia="Calibri" w:hAnsiTheme="majorBidi" w:cstheme="majorBidi"/>
                <w:sz w:val="20"/>
                <w:szCs w:val="20"/>
              </w:rPr>
            </w:pPr>
            <w:r w:rsidRPr="00ED5856">
              <w:rPr>
                <w:rFonts w:asciiTheme="majorBidi" w:eastAsia="Calibri" w:hAnsiTheme="majorBidi" w:cstheme="majorBidi"/>
                <w:sz w:val="20"/>
                <w:szCs w:val="20"/>
              </w:rPr>
              <w:lastRenderedPageBreak/>
              <w:t>-T3, T4</w:t>
            </w:r>
          </w:p>
          <w:p w:rsidR="00616635" w:rsidRPr="00A24F89" w:rsidRDefault="00ED5856" w:rsidP="00ED5856">
            <w:pPr>
              <w:rPr>
                <w:rFonts w:asciiTheme="majorBidi" w:eastAsia="Calibri" w:hAnsiTheme="majorBidi" w:cstheme="majorBidi"/>
                <w:sz w:val="20"/>
                <w:szCs w:val="20"/>
              </w:rPr>
            </w:pPr>
            <w:r w:rsidRPr="00ED5856">
              <w:rPr>
                <w:rFonts w:asciiTheme="majorBidi" w:eastAsia="Calibri" w:hAnsiTheme="majorBidi" w:cstheme="majorBidi"/>
                <w:sz w:val="20"/>
                <w:szCs w:val="20"/>
              </w:rPr>
              <w:t>-</w:t>
            </w:r>
            <w:proofErr w:type="spellStart"/>
            <w:r w:rsidRPr="00ED5856">
              <w:rPr>
                <w:rFonts w:asciiTheme="majorBidi" w:eastAsia="Calibri" w:hAnsiTheme="majorBidi" w:cstheme="majorBidi"/>
                <w:sz w:val="20"/>
                <w:szCs w:val="20"/>
              </w:rPr>
              <w:t>Acetylcholinesterase</w:t>
            </w:r>
            <w:proofErr w:type="spellEnd"/>
            <w:r w:rsidRPr="00ED5856">
              <w:rPr>
                <w:rFonts w:asciiTheme="majorBidi" w:eastAsia="Calibri" w:hAnsiTheme="majorBidi" w:cstheme="majorBidi"/>
                <w:sz w:val="20"/>
                <w:szCs w:val="20"/>
              </w:rPr>
              <w:t xml:space="preserve"> (</w:t>
            </w:r>
            <w:proofErr w:type="spellStart"/>
            <w:r w:rsidRPr="00ED5856">
              <w:rPr>
                <w:rFonts w:asciiTheme="majorBidi" w:eastAsia="Calibri" w:hAnsiTheme="majorBidi" w:cstheme="majorBidi"/>
                <w:sz w:val="20"/>
                <w:szCs w:val="20"/>
              </w:rPr>
              <w:t>AChE</w:t>
            </w:r>
            <w:proofErr w:type="spellEnd"/>
            <w:r w:rsidRPr="00ED5856">
              <w:rPr>
                <w:rFonts w:asciiTheme="majorBidi" w:eastAsia="Calibri" w:hAnsiTheme="majorBidi" w:cstheme="majorBidi"/>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-In dams at 6 mg/Kg : decreased T4 levels and increased cell height in thyroid</w:t>
            </w:r>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 xml:space="preserve">-In pups : short-term and long-term morphological </w:t>
            </w:r>
            <w:r w:rsidRPr="00A24F89">
              <w:rPr>
                <w:rFonts w:asciiTheme="majorBidi" w:eastAsia="Calibri" w:hAnsiTheme="majorBidi" w:cstheme="majorBidi"/>
                <w:sz w:val="20"/>
                <w:szCs w:val="20"/>
                <w:lang w:val="en-US"/>
              </w:rPr>
              <w:lastRenderedPageBreak/>
              <w:t>modifications and biochemical alterations (reduced serum T4 levels) at PND 150 with an apparent higher vulnerability of males</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lastRenderedPageBreak/>
              <w:t xml:space="preserve">CPF exposure at dose levels not inducing brain </w:t>
            </w:r>
            <w:proofErr w:type="spellStart"/>
            <w:r w:rsidRPr="00A24F89">
              <w:rPr>
                <w:rFonts w:asciiTheme="majorBidi" w:eastAsia="Calibri" w:hAnsiTheme="majorBidi" w:cstheme="majorBidi"/>
                <w:sz w:val="20"/>
                <w:szCs w:val="20"/>
                <w:lang w:val="en-US"/>
              </w:rPr>
              <w:t>AChE</w:t>
            </w:r>
            <w:proofErr w:type="spellEnd"/>
            <w:r w:rsidRPr="00A24F89">
              <w:rPr>
                <w:rFonts w:asciiTheme="majorBidi" w:eastAsia="Calibri" w:hAnsiTheme="majorBidi" w:cstheme="majorBidi"/>
                <w:sz w:val="20"/>
                <w:szCs w:val="20"/>
                <w:lang w:val="en-US"/>
              </w:rPr>
              <w:t xml:space="preserve"> inhibition causes thyroid alterations in dams mice and pups</w:t>
            </w:r>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 xml:space="preserve">Thyroid may be a </w:t>
            </w:r>
            <w:r w:rsidRPr="00A24F89">
              <w:rPr>
                <w:rFonts w:asciiTheme="majorBidi" w:eastAsia="Calibri" w:hAnsiTheme="majorBidi" w:cstheme="majorBidi"/>
                <w:sz w:val="20"/>
                <w:szCs w:val="20"/>
                <w:lang w:val="en-US"/>
              </w:rPr>
              <w:lastRenderedPageBreak/>
              <w:t>sensitive target to CPF developmental exposure possibly leading to long-term effects on thyroid function</w:t>
            </w:r>
          </w:p>
        </w:tc>
      </w:tr>
      <w:tr w:rsidR="00A24F89" w:rsidRPr="00ED5856" w:rsidTr="004901AA">
        <w:trPr>
          <w:trHeight w:val="340"/>
        </w:trPr>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b/>
                <w:bCs/>
                <w:sz w:val="20"/>
                <w:szCs w:val="20"/>
              </w:rPr>
            </w:pPr>
            <w:r w:rsidRPr="00A24F89">
              <w:rPr>
                <w:rFonts w:asciiTheme="majorBidi" w:eastAsia="Calibri" w:hAnsiTheme="majorBidi" w:cstheme="majorBidi"/>
                <w:b/>
                <w:bCs/>
                <w:sz w:val="20"/>
                <w:szCs w:val="20"/>
              </w:rPr>
              <w:lastRenderedPageBreak/>
              <w:t>[17]</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
              </w:rPr>
            </w:pPr>
            <w:r w:rsidRPr="00A24F89">
              <w:rPr>
                <w:rFonts w:asciiTheme="majorBidi" w:eastAsia="Calibri" w:hAnsiTheme="majorBidi" w:cstheme="majorBidi"/>
                <w:sz w:val="20"/>
                <w:szCs w:val="20"/>
                <w:lang w:val="en"/>
              </w:rPr>
              <w:t>-Male mice are moved into female cages to mate. The mating day has been designated as D0.5 gestation</w:t>
            </w:r>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
              </w:rPr>
              <w:t>-Between gestation days, the mice were injected subcutaneously with 0, 1 or 5 mg/Kg of CPF</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TT3, TT4, Free Thyroxine Index (FTI)</w:t>
            </w:r>
          </w:p>
        </w:tc>
        <w:tc>
          <w:tcPr>
            <w:tcW w:w="0" w:type="auto"/>
            <w:tcBorders>
              <w:top w:val="single" w:sz="4" w:space="0" w:color="auto"/>
              <w:left w:val="single" w:sz="4" w:space="0" w:color="auto"/>
              <w:bottom w:val="single" w:sz="4" w:space="0" w:color="auto"/>
              <w:right w:val="single" w:sz="4" w:space="0" w:color="auto"/>
            </w:tcBorders>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FTI increased significantly in females, but not males</w:t>
            </w:r>
          </w:p>
          <w:p w:rsidR="00616635" w:rsidRPr="00A24F89" w:rsidRDefault="00616635" w:rsidP="00A24F89">
            <w:pPr>
              <w:rPr>
                <w:rFonts w:asciiTheme="majorBidi" w:eastAsia="Calibri" w:hAnsiTheme="majorBidi" w:cstheme="majorBidi"/>
                <w:sz w:val="20"/>
                <w:szCs w:val="20"/>
                <w:lang w:val="en-US"/>
              </w:rPr>
            </w:pP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Prenatal exposure to low doses of CPF causes persistent behavioral and hormonal changes in adulthood with sexual selectivity, with females more affected</w:t>
            </w:r>
          </w:p>
        </w:tc>
      </w:tr>
      <w:tr w:rsidR="00A24F89" w:rsidRPr="00ED5856" w:rsidTr="004901AA">
        <w:trPr>
          <w:trHeight w:val="340"/>
        </w:trPr>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b/>
                <w:bCs/>
                <w:sz w:val="20"/>
                <w:szCs w:val="20"/>
              </w:rPr>
            </w:pPr>
            <w:r w:rsidRPr="00A24F89">
              <w:rPr>
                <w:rFonts w:asciiTheme="majorBidi" w:eastAsia="Calibri" w:hAnsiTheme="majorBidi" w:cstheme="majorBidi"/>
                <w:b/>
                <w:bCs/>
                <w:sz w:val="20"/>
                <w:szCs w:val="20"/>
              </w:rPr>
              <w:t>[18]</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 xml:space="preserve">CPF was given to developing rats on gestational days 17-20 or postnatal days 1-4, regimens that produce distinctly different, sex-selective effects on neurobehavioral performance </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rPr>
            </w:pPr>
            <w:r w:rsidRPr="00A24F89">
              <w:rPr>
                <w:rFonts w:asciiTheme="majorBidi" w:eastAsia="Calibri" w:hAnsiTheme="majorBidi" w:cstheme="majorBidi"/>
                <w:sz w:val="20"/>
                <w:szCs w:val="20"/>
              </w:rPr>
              <w:t>T3, T4</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Prenatal regimen produced a significant reduction in brain thyroxine levels from juvenile stages through adulthood</w:t>
            </w:r>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Postnatal exposure produced a transient elevation in young adulthood</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Although CPF may alter brain thyroid hormone levels, the effect is small, and any potential contribution to neurobehavioral abnormalities remains to be proven</w:t>
            </w:r>
          </w:p>
        </w:tc>
      </w:tr>
      <w:tr w:rsidR="00A24F89" w:rsidRPr="00ED5856" w:rsidTr="004901AA">
        <w:trPr>
          <w:trHeight w:val="340"/>
        </w:trPr>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b/>
                <w:bCs/>
                <w:sz w:val="20"/>
                <w:szCs w:val="20"/>
              </w:rPr>
            </w:pPr>
            <w:r w:rsidRPr="00A24F89">
              <w:rPr>
                <w:rFonts w:asciiTheme="majorBidi" w:eastAsia="Calibri" w:hAnsiTheme="majorBidi" w:cstheme="majorBidi"/>
                <w:b/>
                <w:bCs/>
                <w:sz w:val="20"/>
                <w:szCs w:val="20"/>
              </w:rPr>
              <w:t>[19]</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Male goldfish (</w:t>
            </w:r>
            <w:proofErr w:type="spellStart"/>
            <w:r w:rsidRPr="00A24F89">
              <w:rPr>
                <w:rFonts w:asciiTheme="majorBidi" w:eastAsia="Calibri" w:hAnsiTheme="majorBidi" w:cstheme="majorBidi"/>
                <w:i/>
                <w:iCs/>
                <w:sz w:val="20"/>
                <w:szCs w:val="20"/>
                <w:lang w:val="en-US"/>
              </w:rPr>
              <w:t>Carassius</w:t>
            </w:r>
            <w:proofErr w:type="spellEnd"/>
            <w:r w:rsidRPr="00A24F89">
              <w:rPr>
                <w:rFonts w:asciiTheme="majorBidi" w:eastAsia="Calibri" w:hAnsiTheme="majorBidi" w:cstheme="majorBidi"/>
                <w:i/>
                <w:iCs/>
                <w:sz w:val="20"/>
                <w:szCs w:val="20"/>
                <w:lang w:val="en-US"/>
              </w:rPr>
              <w:t xml:space="preserve"> auratus</w:t>
            </w:r>
            <w:r w:rsidRPr="00A24F89">
              <w:rPr>
                <w:rFonts w:asciiTheme="majorBidi" w:eastAsia="Calibri" w:hAnsiTheme="majorBidi" w:cstheme="majorBidi"/>
                <w:sz w:val="20"/>
                <w:szCs w:val="20"/>
                <w:lang w:val="en-US"/>
              </w:rPr>
              <w:t xml:space="preserve">) exposed to 0.01, 0.10, and 1.00 mg/L of 40% </w:t>
            </w:r>
            <w:proofErr w:type="spellStart"/>
            <w:r w:rsidRPr="00A24F89">
              <w:rPr>
                <w:rFonts w:asciiTheme="majorBidi" w:eastAsia="Calibri" w:hAnsiTheme="majorBidi" w:cstheme="majorBidi"/>
                <w:sz w:val="20"/>
                <w:szCs w:val="20"/>
                <w:lang w:val="en-US"/>
              </w:rPr>
              <w:t>monocrotophos</w:t>
            </w:r>
            <w:proofErr w:type="spellEnd"/>
            <w:r w:rsidRPr="00A24F89">
              <w:rPr>
                <w:rFonts w:asciiTheme="majorBidi" w:eastAsia="Calibri" w:hAnsiTheme="majorBidi" w:cstheme="majorBidi"/>
                <w:sz w:val="20"/>
                <w:szCs w:val="20"/>
                <w:lang w:val="en-US"/>
              </w:rPr>
              <w:t xml:space="preserve"> (MCP)</w:t>
            </w:r>
          </w:p>
        </w:tc>
        <w:tc>
          <w:tcPr>
            <w:tcW w:w="0" w:type="auto"/>
            <w:tcBorders>
              <w:top w:val="single" w:sz="4" w:space="0" w:color="auto"/>
              <w:left w:val="single" w:sz="4" w:space="0" w:color="auto"/>
              <w:bottom w:val="single" w:sz="4" w:space="0" w:color="auto"/>
              <w:right w:val="single" w:sz="4" w:space="0" w:color="auto"/>
            </w:tcBorders>
            <w:hideMark/>
          </w:tcPr>
          <w:p w:rsidR="00ED5856" w:rsidRPr="001E08B0" w:rsidRDefault="00ED5856" w:rsidP="00ED5856">
            <w:pPr>
              <w:rPr>
                <w:rFonts w:asciiTheme="majorBidi" w:eastAsia="Calibri" w:hAnsiTheme="majorBidi" w:cstheme="majorBidi"/>
                <w:sz w:val="20"/>
                <w:szCs w:val="20"/>
                <w:lang w:val="en-US"/>
              </w:rPr>
            </w:pPr>
            <w:r w:rsidRPr="001E08B0">
              <w:rPr>
                <w:rFonts w:asciiTheme="majorBidi" w:eastAsia="Calibri" w:hAnsiTheme="majorBidi" w:cstheme="majorBidi"/>
                <w:sz w:val="20"/>
                <w:szCs w:val="20"/>
                <w:lang w:val="en-US"/>
              </w:rPr>
              <w:t>-TT3, TT4, FT3, FT4</w:t>
            </w:r>
          </w:p>
          <w:p w:rsidR="00ED5856" w:rsidRPr="001E08B0" w:rsidRDefault="00ED5856" w:rsidP="00ED5856">
            <w:pPr>
              <w:rPr>
                <w:rFonts w:asciiTheme="majorBidi" w:eastAsia="Calibri" w:hAnsiTheme="majorBidi" w:cstheme="majorBidi"/>
                <w:sz w:val="20"/>
                <w:szCs w:val="20"/>
                <w:lang w:val="en-US"/>
              </w:rPr>
            </w:pPr>
            <w:r w:rsidRPr="001E08B0">
              <w:rPr>
                <w:rFonts w:asciiTheme="majorBidi" w:eastAsia="Calibri" w:hAnsiTheme="majorBidi" w:cstheme="majorBidi"/>
                <w:sz w:val="20"/>
                <w:szCs w:val="20"/>
                <w:lang w:val="en-US"/>
              </w:rPr>
              <w:t>-mRNA expression</w:t>
            </w:r>
          </w:p>
          <w:p w:rsidR="00616635" w:rsidRPr="00A24F89" w:rsidRDefault="00ED5856" w:rsidP="00ED5856">
            <w:pPr>
              <w:rPr>
                <w:rFonts w:asciiTheme="majorBidi" w:eastAsia="Calibri" w:hAnsiTheme="majorBidi" w:cstheme="majorBidi"/>
                <w:sz w:val="20"/>
                <w:szCs w:val="20"/>
                <w:lang w:val="en-US"/>
              </w:rPr>
            </w:pPr>
            <w:r w:rsidRPr="001E08B0">
              <w:rPr>
                <w:rFonts w:asciiTheme="majorBidi" w:eastAsia="Calibri" w:hAnsiTheme="majorBidi" w:cstheme="majorBidi"/>
                <w:sz w:val="20"/>
                <w:szCs w:val="20"/>
                <w:lang w:val="en-US"/>
              </w:rPr>
              <w:t xml:space="preserve">of indices involved in the </w:t>
            </w:r>
            <w:r w:rsidRPr="00C865F7">
              <w:rPr>
                <w:rFonts w:asciiTheme="majorBidi" w:eastAsia="Calibri" w:hAnsiTheme="majorBidi" w:cstheme="majorBidi"/>
                <w:sz w:val="20"/>
                <w:szCs w:val="20"/>
                <w:lang w:val="en-US"/>
              </w:rPr>
              <w:t>hypothalamic–pituitary–thyroid axis</w:t>
            </w:r>
            <w:r>
              <w:rPr>
                <w:rFonts w:asciiTheme="majorBidi" w:eastAsia="Calibri" w:hAnsiTheme="majorBidi" w:cstheme="majorBidi"/>
                <w:sz w:val="20"/>
                <w:szCs w:val="20"/>
                <w:lang w:val="en-US"/>
              </w:rPr>
              <w:t xml:space="preserve"> (</w:t>
            </w:r>
            <w:r w:rsidRPr="001E08B0">
              <w:rPr>
                <w:rFonts w:asciiTheme="majorBidi" w:eastAsia="Calibri" w:hAnsiTheme="majorBidi" w:cstheme="majorBidi"/>
                <w:sz w:val="20"/>
                <w:szCs w:val="20"/>
                <w:lang w:val="en-US"/>
              </w:rPr>
              <w:t>HPT axis</w:t>
            </w:r>
            <w:r>
              <w:rPr>
                <w:rFonts w:asciiTheme="majorBidi" w:eastAsia="Calibri" w:hAnsiTheme="majorBidi" w:cstheme="majorBidi"/>
                <w:sz w:val="20"/>
                <w:szCs w:val="20"/>
                <w:lang w:val="en-US"/>
              </w:rPr>
              <w:t>)</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-Decrease of plasma TT3 levels and TT3 to TT4 ratios, without effect on plasma TT4 levels</w:t>
            </w:r>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-Profiles of the changes in the relative abundance of deiodinase (D1, D2 and D3) transcripts in liver, brain and kidneys</w:t>
            </w:r>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-Increase in the metabolism of T3, expressed as highly elevated hepatic D1 and D3 mRNA levels</w:t>
            </w:r>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-Decrease in plasma FT3 levels correlated with modulation of hepatic transthyretin mRNA expression</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The MCP exhibited thyroid-disrupting effects via interference with the HPT axis at multiple potential sites</w:t>
            </w:r>
          </w:p>
        </w:tc>
      </w:tr>
      <w:tr w:rsidR="00A24F89" w:rsidRPr="00ED5856" w:rsidTr="004901AA">
        <w:trPr>
          <w:trHeight w:val="340"/>
        </w:trPr>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b/>
                <w:bCs/>
                <w:sz w:val="20"/>
                <w:szCs w:val="20"/>
              </w:rPr>
            </w:pPr>
            <w:r w:rsidRPr="00A24F89">
              <w:rPr>
                <w:rFonts w:asciiTheme="majorBidi" w:eastAsia="Calibri" w:hAnsiTheme="majorBidi" w:cstheme="majorBidi"/>
                <w:b/>
                <w:bCs/>
                <w:sz w:val="20"/>
                <w:szCs w:val="20"/>
              </w:rPr>
              <w:t>[20]</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Female goldfish (</w:t>
            </w:r>
            <w:proofErr w:type="spellStart"/>
            <w:r w:rsidRPr="00A24F89">
              <w:rPr>
                <w:rFonts w:asciiTheme="majorBidi" w:eastAsia="Calibri" w:hAnsiTheme="majorBidi" w:cstheme="majorBidi"/>
                <w:i/>
                <w:iCs/>
                <w:sz w:val="20"/>
                <w:szCs w:val="20"/>
                <w:lang w:val="en-US"/>
              </w:rPr>
              <w:t>Carassius</w:t>
            </w:r>
            <w:proofErr w:type="spellEnd"/>
            <w:r w:rsidRPr="00A24F89">
              <w:rPr>
                <w:rFonts w:asciiTheme="majorBidi" w:eastAsia="Calibri" w:hAnsiTheme="majorBidi" w:cstheme="majorBidi"/>
                <w:i/>
                <w:iCs/>
                <w:sz w:val="20"/>
                <w:szCs w:val="20"/>
                <w:lang w:val="en-US"/>
              </w:rPr>
              <w:t xml:space="preserve"> auratus</w:t>
            </w:r>
            <w:r w:rsidRPr="00A24F89">
              <w:rPr>
                <w:rFonts w:asciiTheme="majorBidi" w:eastAsia="Calibri" w:hAnsiTheme="majorBidi" w:cstheme="majorBidi"/>
                <w:sz w:val="20"/>
                <w:szCs w:val="20"/>
                <w:lang w:val="en-US"/>
              </w:rPr>
              <w:t>) exposed to 0.01, 0.10, and 1 mg/L of 40% MCP for 21 days in a semi-static exposure system</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-TT3, TT4, TT3/TT4 ratio, TSH</w:t>
            </w:r>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 xml:space="preserve">-Expression profiles of HPT axis-responsive genes, including </w:t>
            </w:r>
            <w:r w:rsidRPr="00A24F89">
              <w:rPr>
                <w:rFonts w:asciiTheme="majorBidi" w:eastAsia="Calibri" w:hAnsiTheme="majorBidi" w:cstheme="majorBidi"/>
                <w:sz w:val="20"/>
                <w:szCs w:val="20"/>
                <w:lang w:val="en-US"/>
              </w:rPr>
              <w:lastRenderedPageBreak/>
              <w:t>transthyretin (TTR), deiodinases (d1, d2, and d3), TSHB, thyrotropin releasing hormone (TRH), and corticotrophin-releasing hormone (CRH)</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lastRenderedPageBreak/>
              <w:t xml:space="preserve">-Decrease of plasma levels of TT3 and ratio TT3/TT4, partly attributed to an increase in the </w:t>
            </w:r>
            <w:r w:rsidRPr="00A24F89">
              <w:rPr>
                <w:rFonts w:asciiTheme="majorBidi" w:eastAsia="Calibri" w:hAnsiTheme="majorBidi" w:cstheme="majorBidi"/>
                <w:sz w:val="20"/>
                <w:szCs w:val="20"/>
                <w:lang w:val="en-US"/>
              </w:rPr>
              <w:lastRenderedPageBreak/>
              <w:t>metabolism of T3 in the liver (elevated hepatic d1 and d3 mRNA levels in the MCP treatment groups)</w:t>
            </w:r>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-Upregulation of TTR mRNA</w:t>
            </w:r>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-The TSH levels were lower in females exposed to 0.01 and 0.10 mg/L MCP, whereas the up-regulation of TSHB mRNA levels was compensated by the decreased plasma TT3 levels</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lastRenderedPageBreak/>
              <w:t xml:space="preserve">The MCP have the potential to influence several pathways of HPT axis homeostasis in </w:t>
            </w:r>
            <w:r w:rsidRPr="00A24F89">
              <w:rPr>
                <w:rFonts w:asciiTheme="majorBidi" w:eastAsia="Calibri" w:hAnsiTheme="majorBidi" w:cstheme="majorBidi"/>
                <w:sz w:val="20"/>
                <w:szCs w:val="20"/>
                <w:lang w:val="en-US"/>
              </w:rPr>
              <w:lastRenderedPageBreak/>
              <w:t>female goldfish</w:t>
            </w:r>
          </w:p>
        </w:tc>
      </w:tr>
      <w:tr w:rsidR="00A24F89" w:rsidRPr="00ED5856" w:rsidTr="004901AA">
        <w:trPr>
          <w:trHeight w:val="340"/>
        </w:trPr>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b/>
                <w:bCs/>
                <w:sz w:val="20"/>
                <w:szCs w:val="20"/>
              </w:rPr>
            </w:pPr>
            <w:r w:rsidRPr="00A24F89">
              <w:rPr>
                <w:rFonts w:asciiTheme="majorBidi" w:eastAsia="Calibri" w:hAnsiTheme="majorBidi" w:cstheme="majorBidi"/>
                <w:b/>
                <w:bCs/>
                <w:sz w:val="20"/>
                <w:szCs w:val="20"/>
              </w:rPr>
              <w:lastRenderedPageBreak/>
              <w:t>[21]</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Male goldfish (</w:t>
            </w:r>
            <w:proofErr w:type="spellStart"/>
            <w:r w:rsidRPr="00A24F89">
              <w:rPr>
                <w:rFonts w:asciiTheme="majorBidi" w:eastAsia="Calibri" w:hAnsiTheme="majorBidi" w:cstheme="majorBidi"/>
                <w:i/>
                <w:iCs/>
                <w:sz w:val="20"/>
                <w:szCs w:val="20"/>
                <w:lang w:val="en-US"/>
              </w:rPr>
              <w:t>Carassius</w:t>
            </w:r>
            <w:proofErr w:type="spellEnd"/>
            <w:r w:rsidRPr="00A24F89">
              <w:rPr>
                <w:rFonts w:asciiTheme="majorBidi" w:eastAsia="Calibri" w:hAnsiTheme="majorBidi" w:cstheme="majorBidi"/>
                <w:i/>
                <w:iCs/>
                <w:sz w:val="20"/>
                <w:szCs w:val="20"/>
                <w:lang w:val="en-US"/>
              </w:rPr>
              <w:t xml:space="preserve"> auratus</w:t>
            </w:r>
            <w:r w:rsidRPr="00A24F89">
              <w:rPr>
                <w:rFonts w:asciiTheme="majorBidi" w:eastAsia="Calibri" w:hAnsiTheme="majorBidi" w:cstheme="majorBidi"/>
                <w:sz w:val="20"/>
                <w:szCs w:val="20"/>
                <w:lang w:val="en-US"/>
              </w:rPr>
              <w:t xml:space="preserve">) exposed to 0, 4, 40, and 400 </w:t>
            </w:r>
            <w:r w:rsidRPr="00A24F89">
              <w:rPr>
                <w:rFonts w:asciiTheme="majorBidi" w:eastAsia="Calibri" w:hAnsiTheme="majorBidi" w:cstheme="majorBidi"/>
                <w:sz w:val="20"/>
                <w:szCs w:val="20"/>
              </w:rPr>
              <w:t>μ</w:t>
            </w:r>
            <w:r w:rsidRPr="00A24F89">
              <w:rPr>
                <w:rFonts w:asciiTheme="majorBidi" w:eastAsia="Calibri" w:hAnsiTheme="majorBidi" w:cstheme="majorBidi"/>
                <w:sz w:val="20"/>
                <w:szCs w:val="20"/>
                <w:lang w:val="en-US"/>
              </w:rPr>
              <w:t>g/L MCP for 2, 4, 8, and 12 days</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rPr>
            </w:pPr>
            <w:r w:rsidRPr="00A24F89">
              <w:rPr>
                <w:rFonts w:asciiTheme="majorBidi" w:eastAsia="Calibri" w:hAnsiTheme="majorBidi" w:cstheme="majorBidi"/>
                <w:sz w:val="20"/>
                <w:szCs w:val="20"/>
              </w:rPr>
              <w:t>-T3, T4</w:t>
            </w:r>
          </w:p>
          <w:p w:rsidR="00616635" w:rsidRPr="00A24F89" w:rsidRDefault="00616635" w:rsidP="00A24F89">
            <w:pPr>
              <w:rPr>
                <w:rFonts w:asciiTheme="majorBidi" w:eastAsia="Calibri" w:hAnsiTheme="majorBidi" w:cstheme="majorBidi"/>
                <w:sz w:val="20"/>
                <w:szCs w:val="20"/>
              </w:rPr>
            </w:pPr>
            <w:r w:rsidRPr="00A24F89">
              <w:rPr>
                <w:rFonts w:asciiTheme="majorBidi" w:eastAsia="Calibri" w:hAnsiTheme="majorBidi" w:cstheme="majorBidi"/>
                <w:sz w:val="20"/>
                <w:szCs w:val="20"/>
              </w:rPr>
              <w:t xml:space="preserve">-17β-estradiol (E2), </w:t>
            </w:r>
            <w:proofErr w:type="spellStart"/>
            <w:r w:rsidRPr="00A24F89">
              <w:rPr>
                <w:rFonts w:asciiTheme="majorBidi" w:eastAsia="Calibri" w:hAnsiTheme="majorBidi" w:cstheme="majorBidi"/>
                <w:sz w:val="20"/>
                <w:szCs w:val="20"/>
              </w:rPr>
              <w:t>testosterone</w:t>
            </w:r>
            <w:proofErr w:type="spellEnd"/>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-Transcription profiles of the HPG and HPT genes</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-The MCP-induced plasma 17β-estradiol (E2) levels were most associated with alteration of cyp19a transcription, which was also a potential point indirectly modulated by the MCP-altered thyroid hormones status</w:t>
            </w:r>
          </w:p>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 xml:space="preserve">-The disruption of TH pathways was most related with the effect of MCP on regulation of the hypothalamic-pituitary hormones involved in the thyroid system, and the increased E2 levels might enhance the impact of MCP on HPT axis by modulating hepatic deiodinase expression </w:t>
            </w:r>
          </w:p>
        </w:tc>
        <w:tc>
          <w:tcPr>
            <w:tcW w:w="0" w:type="auto"/>
            <w:tcBorders>
              <w:top w:val="single" w:sz="4" w:space="0" w:color="auto"/>
              <w:left w:val="single" w:sz="4" w:space="0" w:color="auto"/>
              <w:bottom w:val="single" w:sz="4" w:space="0" w:color="auto"/>
              <w:right w:val="single" w:sz="4" w:space="0" w:color="auto"/>
            </w:tcBorders>
            <w:hideMark/>
          </w:tcPr>
          <w:p w:rsidR="00616635" w:rsidRPr="00A24F89" w:rsidRDefault="00616635" w:rsidP="00A24F89">
            <w:pPr>
              <w:rPr>
                <w:rFonts w:asciiTheme="majorBidi" w:eastAsia="Calibri" w:hAnsiTheme="majorBidi" w:cstheme="majorBidi"/>
                <w:sz w:val="20"/>
                <w:szCs w:val="20"/>
                <w:lang w:val="en-US"/>
              </w:rPr>
            </w:pPr>
            <w:r w:rsidRPr="00A24F89">
              <w:rPr>
                <w:rFonts w:asciiTheme="majorBidi" w:eastAsia="Calibri" w:hAnsiTheme="majorBidi" w:cstheme="majorBidi"/>
                <w:sz w:val="20"/>
                <w:szCs w:val="20"/>
                <w:lang w:val="en-US"/>
              </w:rPr>
              <w:t xml:space="preserve">These finding gave a whole view of the regulations, especially on the cross-talk between sex hormone and thyroid hormone pathways upon exposure to chemicals with unknown direct target </w:t>
            </w:r>
            <w:r w:rsidRPr="00A24F89">
              <w:rPr>
                <w:rFonts w:asciiTheme="majorBidi" w:eastAsia="Calibri" w:hAnsiTheme="majorBidi" w:cstheme="majorBidi"/>
                <w:i/>
                <w:iCs/>
                <w:sz w:val="20"/>
                <w:szCs w:val="20"/>
                <w:lang w:val="en-US"/>
              </w:rPr>
              <w:t>in vivo</w:t>
            </w:r>
          </w:p>
        </w:tc>
      </w:tr>
    </w:tbl>
    <w:p w:rsidR="00616635" w:rsidRPr="00616635" w:rsidRDefault="00616635" w:rsidP="00616635">
      <w:pPr>
        <w:pStyle w:val="Els-body-text"/>
        <w:spacing w:before="100" w:beforeAutospacing="1" w:after="100" w:afterAutospacing="1"/>
        <w:rPr>
          <w:sz w:val="20"/>
        </w:rPr>
      </w:pPr>
      <w:r w:rsidRPr="00616635">
        <w:rPr>
          <w:b/>
          <w:bCs/>
          <w:sz w:val="20"/>
        </w:rPr>
        <w:t>Table 2.</w:t>
      </w:r>
      <w:r w:rsidRPr="00616635">
        <w:rPr>
          <w:sz w:val="20"/>
        </w:rPr>
        <w:t xml:space="preserve"> Summary table of studies in humans analyzing the OP-thyroid disruption relationship.</w:t>
      </w:r>
    </w:p>
    <w:tbl>
      <w:tblPr>
        <w:tblStyle w:val="Grilledutableau"/>
        <w:tblW w:w="0" w:type="auto"/>
        <w:tblLook w:val="04A0" w:firstRow="1" w:lastRow="0" w:firstColumn="1" w:lastColumn="0" w:noHBand="0" w:noVBand="1"/>
      </w:tblPr>
      <w:tblGrid>
        <w:gridCol w:w="717"/>
        <w:gridCol w:w="1715"/>
        <w:gridCol w:w="3101"/>
        <w:gridCol w:w="2286"/>
        <w:gridCol w:w="1757"/>
      </w:tblGrid>
      <w:tr w:rsidR="00A24F89" w:rsidRPr="00A24F89" w:rsidTr="004901AA">
        <w:trPr>
          <w:trHeight w:val="340"/>
        </w:trPr>
        <w:tc>
          <w:tcPr>
            <w:tcW w:w="0" w:type="auto"/>
            <w:vAlign w:val="center"/>
          </w:tcPr>
          <w:p w:rsidR="00616635" w:rsidRPr="00A24F89" w:rsidRDefault="00616635" w:rsidP="00A24F89">
            <w:pPr>
              <w:jc w:val="center"/>
              <w:rPr>
                <w:rFonts w:eastAsia="Calibri"/>
                <w:b/>
                <w:bCs/>
              </w:rPr>
            </w:pPr>
            <w:proofErr w:type="spellStart"/>
            <w:r w:rsidRPr="00A24F89">
              <w:rPr>
                <w:rFonts w:eastAsia="Calibri"/>
                <w:b/>
                <w:bCs/>
              </w:rPr>
              <w:t>Study</w:t>
            </w:r>
            <w:proofErr w:type="spellEnd"/>
          </w:p>
        </w:tc>
        <w:tc>
          <w:tcPr>
            <w:tcW w:w="0" w:type="auto"/>
            <w:vAlign w:val="center"/>
          </w:tcPr>
          <w:p w:rsidR="00616635" w:rsidRPr="00A24F89" w:rsidRDefault="00616635" w:rsidP="00A24F89">
            <w:pPr>
              <w:jc w:val="center"/>
              <w:rPr>
                <w:rFonts w:eastAsia="Calibri"/>
                <w:b/>
                <w:bCs/>
              </w:rPr>
            </w:pPr>
            <w:proofErr w:type="spellStart"/>
            <w:r w:rsidRPr="00A24F89">
              <w:rPr>
                <w:rFonts w:eastAsia="Calibri"/>
                <w:b/>
                <w:bCs/>
              </w:rPr>
              <w:t>Methodology</w:t>
            </w:r>
            <w:proofErr w:type="spellEnd"/>
          </w:p>
        </w:tc>
        <w:tc>
          <w:tcPr>
            <w:tcW w:w="0" w:type="auto"/>
            <w:vAlign w:val="center"/>
          </w:tcPr>
          <w:p w:rsidR="00616635" w:rsidRPr="00A24F89" w:rsidRDefault="00616635" w:rsidP="00A24F89">
            <w:pPr>
              <w:jc w:val="center"/>
              <w:rPr>
                <w:rFonts w:eastAsia="Calibri"/>
                <w:b/>
                <w:bCs/>
              </w:rPr>
            </w:pPr>
            <w:proofErr w:type="spellStart"/>
            <w:r w:rsidRPr="00A24F89">
              <w:rPr>
                <w:rFonts w:eastAsia="Calibri"/>
                <w:b/>
                <w:bCs/>
              </w:rPr>
              <w:t>Assessment</w:t>
            </w:r>
            <w:proofErr w:type="spellEnd"/>
            <w:r w:rsidRPr="00A24F89">
              <w:rPr>
                <w:rFonts w:eastAsia="Calibri"/>
                <w:b/>
                <w:bCs/>
              </w:rPr>
              <w:t xml:space="preserve"> </w:t>
            </w:r>
            <w:proofErr w:type="spellStart"/>
            <w:r w:rsidRPr="00A24F89">
              <w:rPr>
                <w:rFonts w:eastAsia="Calibri"/>
                <w:b/>
                <w:bCs/>
              </w:rPr>
              <w:t>parameters</w:t>
            </w:r>
            <w:proofErr w:type="spellEnd"/>
          </w:p>
        </w:tc>
        <w:tc>
          <w:tcPr>
            <w:tcW w:w="0" w:type="auto"/>
            <w:vAlign w:val="center"/>
          </w:tcPr>
          <w:p w:rsidR="00616635" w:rsidRPr="00A24F89" w:rsidRDefault="00616635" w:rsidP="00A24F89">
            <w:pPr>
              <w:jc w:val="center"/>
              <w:rPr>
                <w:rFonts w:eastAsia="Calibri"/>
                <w:b/>
                <w:bCs/>
              </w:rPr>
            </w:pPr>
            <w:proofErr w:type="spellStart"/>
            <w:r w:rsidRPr="00A24F89">
              <w:rPr>
                <w:rFonts w:eastAsia="Calibri"/>
                <w:b/>
                <w:bCs/>
              </w:rPr>
              <w:t>Results</w:t>
            </w:r>
            <w:proofErr w:type="spellEnd"/>
          </w:p>
        </w:tc>
        <w:tc>
          <w:tcPr>
            <w:tcW w:w="0" w:type="auto"/>
            <w:vAlign w:val="center"/>
          </w:tcPr>
          <w:p w:rsidR="00616635" w:rsidRPr="00A24F89" w:rsidRDefault="00616635" w:rsidP="00A24F89">
            <w:pPr>
              <w:jc w:val="center"/>
              <w:rPr>
                <w:rFonts w:eastAsia="Calibri"/>
                <w:b/>
                <w:bCs/>
              </w:rPr>
            </w:pPr>
            <w:r w:rsidRPr="00A24F89">
              <w:rPr>
                <w:rFonts w:eastAsia="Calibri"/>
                <w:b/>
                <w:bCs/>
              </w:rPr>
              <w:t>Conclusion</w:t>
            </w:r>
          </w:p>
        </w:tc>
      </w:tr>
      <w:tr w:rsidR="00A24F89" w:rsidRPr="00ED5856" w:rsidTr="004901AA">
        <w:trPr>
          <w:trHeight w:val="340"/>
        </w:trPr>
        <w:tc>
          <w:tcPr>
            <w:tcW w:w="0" w:type="auto"/>
          </w:tcPr>
          <w:p w:rsidR="00616635" w:rsidRPr="00A24F89" w:rsidRDefault="00616635" w:rsidP="00A24F89">
            <w:pPr>
              <w:rPr>
                <w:rFonts w:eastAsia="Calibri"/>
                <w:b/>
                <w:bCs/>
              </w:rPr>
            </w:pPr>
            <w:r w:rsidRPr="00A24F89">
              <w:rPr>
                <w:rFonts w:eastAsia="Calibri"/>
                <w:b/>
                <w:bCs/>
              </w:rPr>
              <w:t>[22]</w:t>
            </w:r>
          </w:p>
        </w:tc>
        <w:tc>
          <w:tcPr>
            <w:tcW w:w="0" w:type="auto"/>
          </w:tcPr>
          <w:p w:rsidR="00616635" w:rsidRPr="00A24F89" w:rsidRDefault="00616635" w:rsidP="00A24F89">
            <w:pPr>
              <w:rPr>
                <w:rFonts w:eastAsia="Calibri"/>
                <w:lang w:val="en-US"/>
              </w:rPr>
            </w:pPr>
            <w:r w:rsidRPr="00A24F89">
              <w:rPr>
                <w:rFonts w:eastAsia="Calibri"/>
                <w:lang w:val="en-US"/>
              </w:rPr>
              <w:t xml:space="preserve">322 married men under investigation for infertility or sterility recruited </w:t>
            </w:r>
            <w:r w:rsidRPr="00A24F89">
              <w:rPr>
                <w:rFonts w:eastAsia="Calibri"/>
                <w:lang w:val="en-US"/>
              </w:rPr>
              <w:lastRenderedPageBreak/>
              <w:t>from January 2000 to April 2003</w:t>
            </w:r>
          </w:p>
        </w:tc>
        <w:tc>
          <w:tcPr>
            <w:tcW w:w="0" w:type="auto"/>
          </w:tcPr>
          <w:p w:rsidR="00616635" w:rsidRPr="00A24F89" w:rsidRDefault="00616635" w:rsidP="00A24F89">
            <w:pPr>
              <w:rPr>
                <w:rFonts w:eastAsia="Calibri"/>
                <w:lang w:val="en-US"/>
              </w:rPr>
            </w:pPr>
            <w:r w:rsidRPr="00A24F89">
              <w:rPr>
                <w:rFonts w:eastAsia="Calibri"/>
                <w:lang w:val="en-US"/>
              </w:rPr>
              <w:lastRenderedPageBreak/>
              <w:t>-TT3, FT4, TSH</w:t>
            </w:r>
          </w:p>
          <w:p w:rsidR="00616635" w:rsidRPr="00A24F89" w:rsidRDefault="00616635" w:rsidP="00A24F89">
            <w:pPr>
              <w:rPr>
                <w:rFonts w:eastAsia="Calibri"/>
                <w:lang w:val="en-US"/>
              </w:rPr>
            </w:pPr>
            <w:r w:rsidRPr="00A24F89">
              <w:rPr>
                <w:rFonts w:eastAsia="Calibri"/>
                <w:lang w:val="en-US"/>
              </w:rPr>
              <w:t xml:space="preserve">-Urinary 3,5,6-trichloro-2-pyridinol </w:t>
            </w:r>
            <w:proofErr w:type="spellStart"/>
            <w:r w:rsidRPr="00A24F89">
              <w:rPr>
                <w:rFonts w:eastAsia="Calibri"/>
                <w:lang w:val="en-US"/>
              </w:rPr>
              <w:t>TCPy</w:t>
            </w:r>
            <w:proofErr w:type="spellEnd"/>
            <w:r w:rsidRPr="00A24F89">
              <w:rPr>
                <w:rFonts w:eastAsia="Calibri"/>
                <w:lang w:val="en-US"/>
              </w:rPr>
              <w:t xml:space="preserve"> (metabolite of chlorpyrifos and chlorpyrifos-methyl)</w:t>
            </w:r>
          </w:p>
          <w:p w:rsidR="00616635" w:rsidRPr="00A24F89" w:rsidRDefault="00616635" w:rsidP="00A24F89">
            <w:pPr>
              <w:rPr>
                <w:rFonts w:eastAsia="Calibri"/>
                <w:lang w:val="en-US"/>
              </w:rPr>
            </w:pPr>
            <w:r w:rsidRPr="00A24F89">
              <w:rPr>
                <w:rFonts w:eastAsia="Calibri"/>
                <w:lang w:val="en-US"/>
              </w:rPr>
              <w:t xml:space="preserve">-Urinary 1-napththol 1N </w:t>
            </w:r>
            <w:r w:rsidRPr="00A24F89">
              <w:rPr>
                <w:rFonts w:eastAsia="Calibri"/>
                <w:lang w:val="en-US"/>
              </w:rPr>
              <w:lastRenderedPageBreak/>
              <w:t>(metabolite of carbaryl and naphthalene)</w:t>
            </w:r>
          </w:p>
        </w:tc>
        <w:tc>
          <w:tcPr>
            <w:tcW w:w="0" w:type="auto"/>
          </w:tcPr>
          <w:p w:rsidR="00616635" w:rsidRPr="00A24F89" w:rsidRDefault="00616635" w:rsidP="00A24F89">
            <w:pPr>
              <w:rPr>
                <w:rFonts w:eastAsia="Calibri"/>
                <w:lang w:val="en-US"/>
              </w:rPr>
            </w:pPr>
            <w:r w:rsidRPr="00A24F89">
              <w:rPr>
                <w:rFonts w:eastAsia="Calibri"/>
                <w:lang w:val="en-US"/>
              </w:rPr>
              <w:lastRenderedPageBreak/>
              <w:t xml:space="preserve">-Association between </w:t>
            </w:r>
            <w:proofErr w:type="spellStart"/>
            <w:r w:rsidRPr="00A24F89">
              <w:rPr>
                <w:rFonts w:eastAsia="Calibri"/>
                <w:lang w:val="en-US"/>
              </w:rPr>
              <w:t>TCPy</w:t>
            </w:r>
            <w:proofErr w:type="spellEnd"/>
            <w:r w:rsidRPr="00A24F89">
              <w:rPr>
                <w:rFonts w:eastAsia="Calibri"/>
                <w:lang w:val="en-US"/>
              </w:rPr>
              <w:t xml:space="preserve"> and TSH</w:t>
            </w:r>
          </w:p>
          <w:p w:rsidR="00616635" w:rsidRPr="00A24F89" w:rsidRDefault="00616635" w:rsidP="00A24F89">
            <w:pPr>
              <w:rPr>
                <w:rFonts w:eastAsia="Calibri"/>
                <w:lang w:val="en-US"/>
              </w:rPr>
            </w:pPr>
            <w:r w:rsidRPr="00A24F89">
              <w:rPr>
                <w:rFonts w:eastAsia="Calibri"/>
                <w:lang w:val="en-US"/>
              </w:rPr>
              <w:t xml:space="preserve">-Suggestive inverse association between </w:t>
            </w:r>
            <w:proofErr w:type="spellStart"/>
            <w:r w:rsidRPr="00A24F89">
              <w:rPr>
                <w:rFonts w:eastAsia="Calibri"/>
                <w:lang w:val="en-US"/>
              </w:rPr>
              <w:t>TCPy</w:t>
            </w:r>
            <w:proofErr w:type="spellEnd"/>
            <w:r w:rsidRPr="00A24F89">
              <w:rPr>
                <w:rFonts w:eastAsia="Calibri"/>
                <w:lang w:val="en-US"/>
              </w:rPr>
              <w:t xml:space="preserve"> and FT4</w:t>
            </w:r>
          </w:p>
          <w:p w:rsidR="00616635" w:rsidRPr="00A24F89" w:rsidRDefault="00616635" w:rsidP="00A24F89">
            <w:pPr>
              <w:rPr>
                <w:rFonts w:eastAsia="Calibri"/>
                <w:lang w:val="en-US"/>
              </w:rPr>
            </w:pPr>
            <w:r w:rsidRPr="00A24F89">
              <w:rPr>
                <w:rFonts w:eastAsia="Calibri"/>
                <w:lang w:val="en-US"/>
              </w:rPr>
              <w:lastRenderedPageBreak/>
              <w:t>-No associations between 1N and thyroid hormones</w:t>
            </w:r>
          </w:p>
        </w:tc>
        <w:tc>
          <w:tcPr>
            <w:tcW w:w="0" w:type="auto"/>
          </w:tcPr>
          <w:p w:rsidR="00616635" w:rsidRPr="00A24F89" w:rsidRDefault="00616635" w:rsidP="00A24F89">
            <w:pPr>
              <w:rPr>
                <w:rFonts w:eastAsia="Calibri"/>
                <w:lang w:val="en-US"/>
              </w:rPr>
            </w:pPr>
            <w:r w:rsidRPr="00A24F89">
              <w:rPr>
                <w:rFonts w:eastAsia="Calibri"/>
                <w:lang w:val="en-US"/>
              </w:rPr>
              <w:lastRenderedPageBreak/>
              <w:t xml:space="preserve">Environmental exposure to chlorpyrifos, chlorpyrifos-methyl, or its </w:t>
            </w:r>
            <w:r w:rsidRPr="00A24F89">
              <w:rPr>
                <w:rFonts w:eastAsia="Calibri"/>
                <w:lang w:val="en-US"/>
              </w:rPr>
              <w:lastRenderedPageBreak/>
              <w:t xml:space="preserve">metabolite </w:t>
            </w:r>
            <w:proofErr w:type="spellStart"/>
            <w:r w:rsidRPr="00A24F89">
              <w:rPr>
                <w:rFonts w:eastAsia="Calibri"/>
                <w:lang w:val="en-US"/>
              </w:rPr>
              <w:t>TCPy</w:t>
            </w:r>
            <w:proofErr w:type="spellEnd"/>
            <w:r w:rsidRPr="00A24F89">
              <w:rPr>
                <w:rFonts w:eastAsia="Calibri"/>
                <w:lang w:val="en-US"/>
              </w:rPr>
              <w:t xml:space="preserve"> may alter thyroid function in human males</w:t>
            </w:r>
          </w:p>
        </w:tc>
      </w:tr>
      <w:tr w:rsidR="00A24F89" w:rsidRPr="00ED5856" w:rsidTr="004901AA">
        <w:trPr>
          <w:trHeight w:val="340"/>
        </w:trPr>
        <w:tc>
          <w:tcPr>
            <w:tcW w:w="0" w:type="auto"/>
          </w:tcPr>
          <w:p w:rsidR="00616635" w:rsidRPr="00A24F89" w:rsidRDefault="00616635" w:rsidP="00A24F89">
            <w:pPr>
              <w:rPr>
                <w:rFonts w:eastAsia="Calibri"/>
                <w:b/>
                <w:bCs/>
              </w:rPr>
            </w:pPr>
            <w:r w:rsidRPr="00A24F89">
              <w:rPr>
                <w:rFonts w:eastAsia="Calibri"/>
                <w:b/>
                <w:bCs/>
              </w:rPr>
              <w:lastRenderedPageBreak/>
              <w:t>[23]</w:t>
            </w:r>
          </w:p>
        </w:tc>
        <w:tc>
          <w:tcPr>
            <w:tcW w:w="0" w:type="auto"/>
          </w:tcPr>
          <w:p w:rsidR="00616635" w:rsidRPr="00A24F89" w:rsidRDefault="00616635" w:rsidP="00A24F89">
            <w:pPr>
              <w:rPr>
                <w:rFonts w:eastAsia="Calibri"/>
                <w:lang w:val="en-US"/>
              </w:rPr>
            </w:pPr>
            <w:r w:rsidRPr="00A24F89">
              <w:rPr>
                <w:rFonts w:eastAsia="Calibri"/>
                <w:lang w:val="en-US"/>
              </w:rPr>
              <w:t>136 male subjects occupationally exposed to OPs, during two agricultural periods (rainy season and dry season)</w:t>
            </w:r>
          </w:p>
        </w:tc>
        <w:tc>
          <w:tcPr>
            <w:tcW w:w="0" w:type="auto"/>
          </w:tcPr>
          <w:p w:rsidR="00BC2ACF" w:rsidRPr="004E41AA" w:rsidRDefault="00BC2ACF" w:rsidP="00BC2ACF">
            <w:pPr>
              <w:rPr>
                <w:rFonts w:eastAsia="Calibri"/>
                <w:lang w:val="en-US"/>
              </w:rPr>
            </w:pPr>
            <w:r w:rsidRPr="004E41AA">
              <w:rPr>
                <w:rFonts w:eastAsia="Calibri"/>
                <w:lang w:val="en-US"/>
              </w:rPr>
              <w:t>-TT3, TT4, TSH</w:t>
            </w:r>
          </w:p>
          <w:p w:rsidR="00BC2ACF" w:rsidRPr="004E41AA" w:rsidRDefault="00BC2ACF" w:rsidP="00BC2ACF">
            <w:pPr>
              <w:rPr>
                <w:rFonts w:eastAsia="Calibri"/>
                <w:lang w:val="en-US"/>
              </w:rPr>
            </w:pPr>
            <w:r w:rsidRPr="004E41AA">
              <w:rPr>
                <w:rFonts w:eastAsia="Calibri"/>
                <w:lang w:val="en-US"/>
              </w:rPr>
              <w:t>-</w:t>
            </w:r>
            <w:proofErr w:type="spellStart"/>
            <w:r>
              <w:rPr>
                <w:rFonts w:eastAsia="Calibri"/>
                <w:lang w:val="en-US"/>
              </w:rPr>
              <w:t>D</w:t>
            </w:r>
            <w:r w:rsidRPr="009269D1">
              <w:rPr>
                <w:rFonts w:eastAsia="Calibri"/>
                <w:lang w:val="en-US"/>
              </w:rPr>
              <w:t>ialkylphosphate</w:t>
            </w:r>
            <w:proofErr w:type="spellEnd"/>
            <w:r>
              <w:rPr>
                <w:rFonts w:eastAsia="Calibri"/>
                <w:lang w:val="en-US"/>
              </w:rPr>
              <w:t xml:space="preserve"> (</w:t>
            </w:r>
            <w:r w:rsidRPr="004E41AA">
              <w:rPr>
                <w:rFonts w:eastAsia="Calibri"/>
                <w:lang w:val="en-US"/>
              </w:rPr>
              <w:t>DAP</w:t>
            </w:r>
            <w:r>
              <w:rPr>
                <w:rFonts w:eastAsia="Calibri"/>
                <w:lang w:val="en-US"/>
              </w:rPr>
              <w:t>)</w:t>
            </w:r>
            <w:r w:rsidRPr="004E41AA">
              <w:rPr>
                <w:rFonts w:eastAsia="Calibri"/>
                <w:lang w:val="en-US"/>
              </w:rPr>
              <w:t xml:space="preserve"> </w:t>
            </w:r>
          </w:p>
          <w:p w:rsidR="00BC2ACF" w:rsidRPr="004E41AA" w:rsidRDefault="00BC2ACF" w:rsidP="00BC2ACF">
            <w:pPr>
              <w:rPr>
                <w:rFonts w:eastAsia="Calibri"/>
                <w:lang w:val="en-US"/>
              </w:rPr>
            </w:pPr>
            <w:r w:rsidRPr="004E41AA">
              <w:rPr>
                <w:rFonts w:eastAsia="Calibri"/>
                <w:lang w:val="en-US"/>
              </w:rPr>
              <w:t xml:space="preserve">-Serum </w:t>
            </w:r>
            <w:proofErr w:type="spellStart"/>
            <w:r w:rsidRPr="004E41AA">
              <w:rPr>
                <w:rFonts w:eastAsia="Calibri"/>
                <w:lang w:val="en-US"/>
              </w:rPr>
              <w:t>p,p</w:t>
            </w:r>
            <w:proofErr w:type="spellEnd"/>
            <w:r w:rsidRPr="004E41AA">
              <w:rPr>
                <w:rFonts w:eastAsia="Calibri"/>
                <w:lang w:val="en-US"/>
              </w:rPr>
              <w:t xml:space="preserve">′- </w:t>
            </w:r>
            <w:proofErr w:type="spellStart"/>
            <w:r w:rsidRPr="004E41AA">
              <w:rPr>
                <w:rFonts w:eastAsia="Calibri"/>
                <w:lang w:val="en-US"/>
              </w:rPr>
              <w:t>dichlorodiphenyldichloroethylene</w:t>
            </w:r>
            <w:proofErr w:type="spellEnd"/>
            <w:r w:rsidRPr="004E41AA">
              <w:rPr>
                <w:rFonts w:eastAsia="Calibri"/>
                <w:lang w:val="en-US"/>
              </w:rPr>
              <w:t xml:space="preserve"> (</w:t>
            </w:r>
            <w:proofErr w:type="spellStart"/>
            <w:r w:rsidRPr="004E41AA">
              <w:rPr>
                <w:rFonts w:eastAsia="Calibri"/>
                <w:lang w:val="en-US"/>
              </w:rPr>
              <w:t>p,p</w:t>
            </w:r>
            <w:proofErr w:type="spellEnd"/>
            <w:r w:rsidRPr="004E41AA">
              <w:rPr>
                <w:rFonts w:eastAsia="Calibri"/>
                <w:lang w:val="en-US"/>
              </w:rPr>
              <w:t>′-DDE)</w:t>
            </w:r>
          </w:p>
          <w:p w:rsidR="00616635" w:rsidRPr="00A24F89" w:rsidRDefault="00BC2ACF" w:rsidP="00BC2ACF">
            <w:pPr>
              <w:rPr>
                <w:rFonts w:eastAsia="Calibri"/>
              </w:rPr>
            </w:pPr>
            <w:r w:rsidRPr="004E41AA">
              <w:rPr>
                <w:rFonts w:eastAsia="Calibri"/>
              </w:rPr>
              <w:t>-</w:t>
            </w:r>
            <w:proofErr w:type="spellStart"/>
            <w:r w:rsidRPr="004E41AA">
              <w:rPr>
                <w:rFonts w:eastAsia="Calibri"/>
              </w:rPr>
              <w:t>Serum</w:t>
            </w:r>
            <w:proofErr w:type="spellEnd"/>
            <w:r w:rsidRPr="004E41AA">
              <w:rPr>
                <w:rFonts w:eastAsia="Calibri"/>
              </w:rPr>
              <w:t xml:space="preserve"> paraoxonas-1 (PON1) </w:t>
            </w:r>
            <w:proofErr w:type="spellStart"/>
            <w:r w:rsidRPr="004E41AA">
              <w:rPr>
                <w:rFonts w:eastAsia="Calibri"/>
              </w:rPr>
              <w:t>activity</w:t>
            </w:r>
            <w:proofErr w:type="spellEnd"/>
          </w:p>
        </w:tc>
        <w:tc>
          <w:tcPr>
            <w:tcW w:w="0" w:type="auto"/>
          </w:tcPr>
          <w:p w:rsidR="00616635" w:rsidRPr="00A24F89" w:rsidRDefault="00616635" w:rsidP="00A24F89">
            <w:pPr>
              <w:rPr>
                <w:rFonts w:eastAsia="Calibri"/>
                <w:lang w:val="en-US"/>
              </w:rPr>
            </w:pPr>
            <w:r w:rsidRPr="00A24F89">
              <w:rPr>
                <w:rFonts w:eastAsia="Calibri"/>
                <w:lang w:val="en-US"/>
              </w:rPr>
              <w:t xml:space="preserve">Association between the increase of total </w:t>
            </w:r>
            <w:proofErr w:type="spellStart"/>
            <w:r w:rsidRPr="00A24F89">
              <w:rPr>
                <w:rFonts w:eastAsia="Calibri"/>
                <w:lang w:val="en-US"/>
              </w:rPr>
              <w:t>dimethylphosphate</w:t>
            </w:r>
            <w:proofErr w:type="spellEnd"/>
            <w:r w:rsidRPr="00A24F89">
              <w:rPr>
                <w:rFonts w:eastAsia="Calibri"/>
                <w:lang w:val="en-US"/>
              </w:rPr>
              <w:t xml:space="preserve"> levels (</w:t>
            </w:r>
            <w:r w:rsidRPr="00A24F89">
              <w:rPr>
                <w:rFonts w:eastAsia="Calibri"/>
              </w:rPr>
              <w:t>Σ</w:t>
            </w:r>
            <w:r w:rsidRPr="00A24F89">
              <w:rPr>
                <w:rFonts w:eastAsia="Calibri"/>
                <w:lang w:val="en-US"/>
              </w:rPr>
              <w:t>DMP) in the urine and the increase of both TSH and T4 hormones in serum on one side, and the decrease in TT3 serum levels in the other side</w:t>
            </w:r>
          </w:p>
        </w:tc>
        <w:tc>
          <w:tcPr>
            <w:tcW w:w="0" w:type="auto"/>
          </w:tcPr>
          <w:p w:rsidR="00616635" w:rsidRPr="00A24F89" w:rsidRDefault="00616635" w:rsidP="00A24F89">
            <w:pPr>
              <w:rPr>
                <w:rFonts w:eastAsia="Calibri"/>
                <w:lang w:val="en-US"/>
              </w:rPr>
            </w:pPr>
            <w:r w:rsidRPr="00A24F89">
              <w:rPr>
                <w:rFonts w:eastAsia="Calibri"/>
                <w:lang w:val="en-US"/>
              </w:rPr>
              <w:t>Exposure to OPs may increase TSH and T4 serum level's and decrease T3 serum level's, so they may act as endocrine disruptors in humans</w:t>
            </w:r>
          </w:p>
        </w:tc>
      </w:tr>
      <w:tr w:rsidR="00A24F89" w:rsidRPr="00ED5856" w:rsidTr="004901AA">
        <w:trPr>
          <w:trHeight w:val="340"/>
        </w:trPr>
        <w:tc>
          <w:tcPr>
            <w:tcW w:w="0" w:type="auto"/>
          </w:tcPr>
          <w:p w:rsidR="00616635" w:rsidRPr="00A24F89" w:rsidRDefault="00616635" w:rsidP="00A24F89">
            <w:pPr>
              <w:rPr>
                <w:rFonts w:eastAsia="Calibri"/>
                <w:b/>
                <w:bCs/>
              </w:rPr>
            </w:pPr>
            <w:r w:rsidRPr="00A24F89">
              <w:rPr>
                <w:rFonts w:eastAsia="Calibri"/>
                <w:b/>
                <w:bCs/>
              </w:rPr>
              <w:t>[24]</w:t>
            </w:r>
          </w:p>
        </w:tc>
        <w:tc>
          <w:tcPr>
            <w:tcW w:w="0" w:type="auto"/>
          </w:tcPr>
          <w:p w:rsidR="00616635" w:rsidRPr="00A24F89" w:rsidRDefault="00616635" w:rsidP="00A24F89">
            <w:pPr>
              <w:rPr>
                <w:rFonts w:eastAsia="Calibri"/>
                <w:lang w:val="en-US"/>
              </w:rPr>
            </w:pPr>
            <w:r w:rsidRPr="00A24F89">
              <w:rPr>
                <w:rFonts w:eastAsia="Calibri"/>
                <w:lang w:val="en-US"/>
              </w:rPr>
              <w:t>Data of 3249 individuals aged 12 years and over, from the U.S. National Health and Nutrition Examination Surveys (NHANES)</w:t>
            </w:r>
          </w:p>
        </w:tc>
        <w:tc>
          <w:tcPr>
            <w:tcW w:w="0" w:type="auto"/>
          </w:tcPr>
          <w:p w:rsidR="00616635" w:rsidRPr="00A24F89" w:rsidRDefault="00616635" w:rsidP="00A24F89">
            <w:pPr>
              <w:rPr>
                <w:rFonts w:eastAsia="Calibri"/>
              </w:rPr>
            </w:pPr>
            <w:r w:rsidRPr="00A24F89">
              <w:rPr>
                <w:rFonts w:eastAsia="Calibri"/>
              </w:rPr>
              <w:t>-TT4, TSH</w:t>
            </w:r>
          </w:p>
          <w:p w:rsidR="00616635" w:rsidRPr="00A24F89" w:rsidRDefault="00616635" w:rsidP="00A24F89">
            <w:pPr>
              <w:rPr>
                <w:rFonts w:eastAsia="Calibri"/>
              </w:rPr>
            </w:pPr>
            <w:r w:rsidRPr="00A24F89">
              <w:rPr>
                <w:rFonts w:eastAsia="Calibri"/>
              </w:rPr>
              <w:t>-</w:t>
            </w:r>
            <w:proofErr w:type="spellStart"/>
            <w:r w:rsidRPr="00A24F89">
              <w:rPr>
                <w:rFonts w:eastAsia="Calibri"/>
              </w:rPr>
              <w:t>Urinary</w:t>
            </w:r>
            <w:proofErr w:type="spellEnd"/>
            <w:r w:rsidRPr="00A24F89">
              <w:rPr>
                <w:rFonts w:eastAsia="Calibri"/>
              </w:rPr>
              <w:t xml:space="preserve"> </w:t>
            </w:r>
            <w:proofErr w:type="spellStart"/>
            <w:r w:rsidRPr="00A24F89">
              <w:rPr>
                <w:rFonts w:eastAsia="Calibri"/>
              </w:rPr>
              <w:t>TCPy</w:t>
            </w:r>
            <w:proofErr w:type="spellEnd"/>
            <w:r w:rsidRPr="00A24F89">
              <w:rPr>
                <w:rFonts w:eastAsia="Calibri"/>
              </w:rPr>
              <w:t xml:space="preserve"> </w:t>
            </w:r>
          </w:p>
        </w:tc>
        <w:tc>
          <w:tcPr>
            <w:tcW w:w="0" w:type="auto"/>
          </w:tcPr>
          <w:p w:rsidR="00616635" w:rsidRPr="00A24F89" w:rsidRDefault="00616635" w:rsidP="00A24F89">
            <w:pPr>
              <w:rPr>
                <w:rFonts w:eastAsia="Calibri"/>
                <w:lang w:val="en"/>
              </w:rPr>
            </w:pPr>
            <w:r w:rsidRPr="00A24F89">
              <w:rPr>
                <w:rFonts w:eastAsia="Calibri"/>
                <w:lang w:val="en"/>
              </w:rPr>
              <w:t xml:space="preserve">-Association between </w:t>
            </w:r>
            <w:proofErr w:type="spellStart"/>
            <w:r w:rsidRPr="00A24F89">
              <w:rPr>
                <w:rFonts w:eastAsia="Calibri"/>
                <w:lang w:val="en"/>
              </w:rPr>
              <w:t>TCPy</w:t>
            </w:r>
            <w:proofErr w:type="spellEnd"/>
            <w:r w:rsidRPr="00A24F89">
              <w:rPr>
                <w:rFonts w:eastAsia="Calibri"/>
                <w:lang w:val="en"/>
              </w:rPr>
              <w:t xml:space="preserve"> and higher T4 in men aged 12 to less than 18 years and 18 to less than 40 years</w:t>
            </w:r>
          </w:p>
          <w:p w:rsidR="00616635" w:rsidRPr="00A24F89" w:rsidRDefault="00616635" w:rsidP="00A24F89">
            <w:pPr>
              <w:rPr>
                <w:rFonts w:eastAsia="Calibri"/>
                <w:lang w:val="en"/>
              </w:rPr>
            </w:pPr>
            <w:r w:rsidRPr="00A24F89">
              <w:rPr>
                <w:rFonts w:eastAsia="Calibri"/>
                <w:lang w:val="en"/>
              </w:rPr>
              <w:t xml:space="preserve">-Association between </w:t>
            </w:r>
            <w:proofErr w:type="spellStart"/>
            <w:r w:rsidRPr="00A24F89">
              <w:rPr>
                <w:rFonts w:eastAsia="Calibri"/>
                <w:lang w:val="en"/>
              </w:rPr>
              <w:t>TCPy</w:t>
            </w:r>
            <w:proofErr w:type="spellEnd"/>
            <w:r w:rsidRPr="00A24F89">
              <w:rPr>
                <w:rFonts w:eastAsia="Calibri"/>
                <w:lang w:val="en"/>
              </w:rPr>
              <w:t xml:space="preserve"> and lower TSH in men aged 18 to 40</w:t>
            </w:r>
          </w:p>
          <w:p w:rsidR="00616635" w:rsidRPr="00A24F89" w:rsidRDefault="00616635" w:rsidP="00A24F89">
            <w:pPr>
              <w:rPr>
                <w:rFonts w:eastAsia="Calibri"/>
                <w:lang w:val="en-US"/>
              </w:rPr>
            </w:pPr>
            <w:r w:rsidRPr="00A24F89">
              <w:rPr>
                <w:rFonts w:eastAsia="Calibri"/>
                <w:lang w:val="en-US"/>
              </w:rPr>
              <w:t>-Contradictory associations for TSH in men and women aged &gt; 60 years</w:t>
            </w:r>
          </w:p>
        </w:tc>
        <w:tc>
          <w:tcPr>
            <w:tcW w:w="0" w:type="auto"/>
          </w:tcPr>
          <w:p w:rsidR="00616635" w:rsidRPr="00A24F89" w:rsidRDefault="00616635" w:rsidP="00A24F89">
            <w:pPr>
              <w:rPr>
                <w:rFonts w:eastAsia="Calibri"/>
                <w:lang w:val="en-US"/>
              </w:rPr>
            </w:pPr>
            <w:r w:rsidRPr="00A24F89">
              <w:rPr>
                <w:rFonts w:eastAsia="Calibri"/>
                <w:lang w:val="en-US"/>
              </w:rPr>
              <w:t>Exposure to certain OPs or their metabolites may disrupt the HPT axis</w:t>
            </w:r>
          </w:p>
        </w:tc>
      </w:tr>
      <w:tr w:rsidR="00A24F89" w:rsidRPr="00ED5856" w:rsidTr="004901AA">
        <w:trPr>
          <w:trHeight w:val="340"/>
        </w:trPr>
        <w:tc>
          <w:tcPr>
            <w:tcW w:w="0" w:type="auto"/>
          </w:tcPr>
          <w:p w:rsidR="00616635" w:rsidRPr="00A24F89" w:rsidRDefault="00616635" w:rsidP="00A24F89">
            <w:pPr>
              <w:rPr>
                <w:rFonts w:eastAsia="Calibri"/>
                <w:b/>
                <w:bCs/>
              </w:rPr>
            </w:pPr>
            <w:r w:rsidRPr="00A24F89">
              <w:rPr>
                <w:rFonts w:eastAsia="Calibri"/>
                <w:b/>
                <w:bCs/>
              </w:rPr>
              <w:t>[25]</w:t>
            </w:r>
          </w:p>
        </w:tc>
        <w:tc>
          <w:tcPr>
            <w:tcW w:w="0" w:type="auto"/>
          </w:tcPr>
          <w:p w:rsidR="00616635" w:rsidRPr="00A24F89" w:rsidRDefault="00616635" w:rsidP="00A24F89">
            <w:pPr>
              <w:rPr>
                <w:rFonts w:eastAsia="Calibri"/>
                <w:lang w:val="en-US"/>
              </w:rPr>
            </w:pPr>
            <w:r w:rsidRPr="00A24F89">
              <w:rPr>
                <w:rFonts w:eastAsia="Calibri"/>
                <w:lang w:val="en-US"/>
              </w:rPr>
              <w:t>637 pregnant women enrolled from April 2011 to December 2013</w:t>
            </w:r>
          </w:p>
        </w:tc>
        <w:tc>
          <w:tcPr>
            <w:tcW w:w="0" w:type="auto"/>
          </w:tcPr>
          <w:p w:rsidR="00616635" w:rsidRPr="00A24F89" w:rsidRDefault="00616635" w:rsidP="00A24F89">
            <w:pPr>
              <w:rPr>
                <w:rFonts w:eastAsia="Calibri"/>
                <w:lang w:val="en-US"/>
              </w:rPr>
            </w:pPr>
            <w:r w:rsidRPr="00A24F89">
              <w:rPr>
                <w:rFonts w:eastAsia="Calibri"/>
                <w:lang w:val="en-US"/>
              </w:rPr>
              <w:t>-TSH, TT3, TT4, FT3, FT4</w:t>
            </w:r>
          </w:p>
          <w:p w:rsidR="00616635" w:rsidRPr="00A24F89" w:rsidRDefault="00616635" w:rsidP="00A24F89">
            <w:pPr>
              <w:rPr>
                <w:rFonts w:eastAsia="Calibri"/>
                <w:lang w:val="en-US"/>
              </w:rPr>
            </w:pPr>
            <w:r w:rsidRPr="00A24F89">
              <w:rPr>
                <w:rFonts w:eastAsia="Calibri"/>
                <w:lang w:val="en-US"/>
              </w:rPr>
              <w:t>-DAP</w:t>
            </w:r>
          </w:p>
        </w:tc>
        <w:tc>
          <w:tcPr>
            <w:tcW w:w="0" w:type="auto"/>
          </w:tcPr>
          <w:p w:rsidR="00616635" w:rsidRPr="00A24F89" w:rsidRDefault="00616635" w:rsidP="00A24F89">
            <w:pPr>
              <w:rPr>
                <w:rFonts w:eastAsia="Calibri"/>
                <w:lang w:val="en-US"/>
              </w:rPr>
            </w:pPr>
            <w:r w:rsidRPr="00A24F89">
              <w:rPr>
                <w:rFonts w:eastAsia="Calibri"/>
                <w:lang w:val="en-US"/>
              </w:rPr>
              <w:t>Positive association between urinary DAP with FT4 levels and negative with TSH</w:t>
            </w:r>
          </w:p>
        </w:tc>
        <w:tc>
          <w:tcPr>
            <w:tcW w:w="0" w:type="auto"/>
          </w:tcPr>
          <w:p w:rsidR="00616635" w:rsidRPr="00A24F89" w:rsidRDefault="00616635" w:rsidP="00A24F89">
            <w:pPr>
              <w:rPr>
                <w:rFonts w:eastAsia="Calibri"/>
                <w:lang w:val="en-US"/>
              </w:rPr>
            </w:pPr>
            <w:r w:rsidRPr="00A24F89">
              <w:rPr>
                <w:rFonts w:eastAsia="Calibri"/>
                <w:lang w:val="en-US"/>
              </w:rPr>
              <w:t>Exposure to OPs may change the thyroid function in pregnant women</w:t>
            </w:r>
          </w:p>
        </w:tc>
      </w:tr>
    </w:tbl>
    <w:p w:rsidR="00616635" w:rsidRPr="00616635" w:rsidRDefault="00616635" w:rsidP="00616635">
      <w:pPr>
        <w:pStyle w:val="Els-body-text"/>
        <w:spacing w:before="100" w:beforeAutospacing="1" w:after="100" w:afterAutospacing="1" w:line="240" w:lineRule="auto"/>
        <w:rPr>
          <w:sz w:val="20"/>
        </w:rPr>
      </w:pPr>
      <w:r w:rsidRPr="00616635">
        <w:rPr>
          <w:b/>
          <w:bCs/>
          <w:sz w:val="20"/>
        </w:rPr>
        <w:t>Table 3.</w:t>
      </w:r>
      <w:r w:rsidRPr="00616635">
        <w:rPr>
          <w:sz w:val="20"/>
        </w:rPr>
        <w:t xml:space="preserve"> Summary table of </w:t>
      </w:r>
      <w:r w:rsidRPr="00616635">
        <w:rPr>
          <w:i/>
          <w:iCs/>
          <w:sz w:val="20"/>
        </w:rPr>
        <w:t>in vitro</w:t>
      </w:r>
      <w:r w:rsidRPr="00616635">
        <w:rPr>
          <w:sz w:val="20"/>
        </w:rPr>
        <w:t xml:space="preserve"> studies analyzing the OP-thyroid disruption relationship.</w:t>
      </w:r>
    </w:p>
    <w:tbl>
      <w:tblPr>
        <w:tblStyle w:val="Grilledutableau"/>
        <w:tblW w:w="0" w:type="auto"/>
        <w:tblLook w:val="04A0" w:firstRow="1" w:lastRow="0" w:firstColumn="1" w:lastColumn="0" w:noHBand="0" w:noVBand="1"/>
      </w:tblPr>
      <w:tblGrid>
        <w:gridCol w:w="717"/>
        <w:gridCol w:w="3360"/>
        <w:gridCol w:w="1276"/>
        <w:gridCol w:w="2202"/>
        <w:gridCol w:w="2021"/>
      </w:tblGrid>
      <w:tr w:rsidR="00A24F89" w:rsidRPr="00A24F89" w:rsidTr="00A24F89">
        <w:trPr>
          <w:trHeight w:val="340"/>
        </w:trPr>
        <w:tc>
          <w:tcPr>
            <w:tcW w:w="0" w:type="auto"/>
            <w:vAlign w:val="center"/>
          </w:tcPr>
          <w:p w:rsidR="00616635" w:rsidRPr="00A24F89" w:rsidRDefault="00616635" w:rsidP="00A24F89">
            <w:pPr>
              <w:jc w:val="center"/>
              <w:rPr>
                <w:rFonts w:eastAsia="Calibri"/>
                <w:b/>
                <w:bCs/>
              </w:rPr>
            </w:pPr>
            <w:proofErr w:type="spellStart"/>
            <w:r w:rsidRPr="00A24F89">
              <w:rPr>
                <w:rFonts w:eastAsia="Calibri"/>
                <w:b/>
                <w:bCs/>
              </w:rPr>
              <w:t>Study</w:t>
            </w:r>
            <w:proofErr w:type="spellEnd"/>
          </w:p>
        </w:tc>
        <w:tc>
          <w:tcPr>
            <w:tcW w:w="3360" w:type="dxa"/>
            <w:vAlign w:val="center"/>
          </w:tcPr>
          <w:p w:rsidR="00616635" w:rsidRPr="00A24F89" w:rsidRDefault="00616635" w:rsidP="00A24F89">
            <w:pPr>
              <w:jc w:val="center"/>
              <w:rPr>
                <w:rFonts w:eastAsia="Calibri"/>
                <w:b/>
                <w:bCs/>
              </w:rPr>
            </w:pPr>
            <w:proofErr w:type="spellStart"/>
            <w:r w:rsidRPr="00A24F89">
              <w:rPr>
                <w:rFonts w:eastAsia="Calibri"/>
                <w:b/>
                <w:bCs/>
              </w:rPr>
              <w:t>Methodology</w:t>
            </w:r>
            <w:proofErr w:type="spellEnd"/>
          </w:p>
        </w:tc>
        <w:tc>
          <w:tcPr>
            <w:tcW w:w="1276" w:type="dxa"/>
            <w:vAlign w:val="center"/>
          </w:tcPr>
          <w:p w:rsidR="00616635" w:rsidRPr="00A24F89" w:rsidRDefault="00616635" w:rsidP="00A24F89">
            <w:pPr>
              <w:jc w:val="center"/>
              <w:rPr>
                <w:rFonts w:eastAsia="Calibri"/>
                <w:b/>
                <w:bCs/>
              </w:rPr>
            </w:pPr>
            <w:proofErr w:type="spellStart"/>
            <w:r w:rsidRPr="00A24F89">
              <w:rPr>
                <w:rFonts w:eastAsia="Calibri"/>
                <w:b/>
                <w:bCs/>
              </w:rPr>
              <w:t>Assessment</w:t>
            </w:r>
            <w:proofErr w:type="spellEnd"/>
            <w:r w:rsidRPr="00A24F89">
              <w:rPr>
                <w:rFonts w:eastAsia="Calibri"/>
                <w:b/>
                <w:bCs/>
              </w:rPr>
              <w:t xml:space="preserve"> </w:t>
            </w:r>
            <w:proofErr w:type="spellStart"/>
            <w:r w:rsidRPr="00A24F89">
              <w:rPr>
                <w:rFonts w:eastAsia="Calibri"/>
                <w:b/>
                <w:bCs/>
              </w:rPr>
              <w:t>parameters</w:t>
            </w:r>
            <w:proofErr w:type="spellEnd"/>
          </w:p>
        </w:tc>
        <w:tc>
          <w:tcPr>
            <w:tcW w:w="2202" w:type="dxa"/>
            <w:vAlign w:val="center"/>
          </w:tcPr>
          <w:p w:rsidR="00616635" w:rsidRPr="00A24F89" w:rsidRDefault="00616635" w:rsidP="00A24F89">
            <w:pPr>
              <w:jc w:val="center"/>
              <w:rPr>
                <w:rFonts w:eastAsia="Calibri"/>
                <w:b/>
                <w:bCs/>
              </w:rPr>
            </w:pPr>
            <w:proofErr w:type="spellStart"/>
            <w:r w:rsidRPr="00A24F89">
              <w:rPr>
                <w:rFonts w:eastAsia="Calibri"/>
                <w:b/>
                <w:bCs/>
              </w:rPr>
              <w:t>Results</w:t>
            </w:r>
            <w:proofErr w:type="spellEnd"/>
          </w:p>
        </w:tc>
        <w:tc>
          <w:tcPr>
            <w:tcW w:w="0" w:type="auto"/>
            <w:vAlign w:val="center"/>
          </w:tcPr>
          <w:p w:rsidR="00616635" w:rsidRPr="00A24F89" w:rsidRDefault="00616635" w:rsidP="00A24F89">
            <w:pPr>
              <w:jc w:val="center"/>
              <w:rPr>
                <w:rFonts w:eastAsia="Calibri"/>
                <w:b/>
                <w:bCs/>
              </w:rPr>
            </w:pPr>
            <w:r w:rsidRPr="00A24F89">
              <w:rPr>
                <w:rFonts w:eastAsia="Calibri"/>
                <w:b/>
                <w:bCs/>
              </w:rPr>
              <w:t>Conclusion</w:t>
            </w:r>
          </w:p>
        </w:tc>
      </w:tr>
      <w:tr w:rsidR="00A24F89" w:rsidRPr="00ED5856" w:rsidTr="00A24F89">
        <w:trPr>
          <w:trHeight w:val="340"/>
        </w:trPr>
        <w:tc>
          <w:tcPr>
            <w:tcW w:w="0" w:type="auto"/>
          </w:tcPr>
          <w:p w:rsidR="00616635" w:rsidRPr="00A24F89" w:rsidRDefault="00616635" w:rsidP="00A24F89">
            <w:pPr>
              <w:rPr>
                <w:rFonts w:eastAsia="Calibri"/>
                <w:b/>
                <w:bCs/>
              </w:rPr>
            </w:pPr>
            <w:r w:rsidRPr="00A24F89">
              <w:rPr>
                <w:rFonts w:eastAsia="Calibri"/>
                <w:b/>
                <w:bCs/>
              </w:rPr>
              <w:t>[26]</w:t>
            </w:r>
          </w:p>
        </w:tc>
        <w:tc>
          <w:tcPr>
            <w:tcW w:w="3360" w:type="dxa"/>
          </w:tcPr>
          <w:p w:rsidR="00616635" w:rsidRPr="00A24F89" w:rsidRDefault="00616635" w:rsidP="00A24F89">
            <w:pPr>
              <w:rPr>
                <w:rFonts w:eastAsia="Calibri"/>
                <w:lang w:val="en"/>
              </w:rPr>
            </w:pPr>
            <w:r w:rsidRPr="00A24F89">
              <w:rPr>
                <w:rFonts w:eastAsia="Calibri"/>
                <w:lang w:val="en"/>
              </w:rPr>
              <w:t>-Assessment of the effect on thyroid hormone (TH) function and aryl hydrocarbon receptor (</w:t>
            </w:r>
            <w:proofErr w:type="spellStart"/>
            <w:r w:rsidRPr="00A24F89">
              <w:rPr>
                <w:rFonts w:eastAsia="Calibri"/>
                <w:lang w:val="en"/>
              </w:rPr>
              <w:t>AhR</w:t>
            </w:r>
            <w:proofErr w:type="spellEnd"/>
            <w:r w:rsidRPr="00A24F89">
              <w:rPr>
                <w:rFonts w:eastAsia="Calibri"/>
                <w:lang w:val="en"/>
              </w:rPr>
              <w:t xml:space="preserve">) </w:t>
            </w:r>
            <w:proofErr w:type="spellStart"/>
            <w:r w:rsidRPr="00A24F89">
              <w:rPr>
                <w:rFonts w:eastAsia="Calibri"/>
                <w:lang w:val="en"/>
              </w:rPr>
              <w:t>transactivity</w:t>
            </w:r>
            <w:proofErr w:type="spellEnd"/>
          </w:p>
          <w:p w:rsidR="00616635" w:rsidRPr="00A24F89" w:rsidRDefault="00616635" w:rsidP="00A24F89">
            <w:pPr>
              <w:rPr>
                <w:rFonts w:eastAsia="Calibri"/>
                <w:lang w:val="en"/>
              </w:rPr>
            </w:pPr>
            <w:r w:rsidRPr="00A24F89">
              <w:rPr>
                <w:rFonts w:eastAsia="Calibri"/>
                <w:lang w:val="en"/>
              </w:rPr>
              <w:t xml:space="preserve">-Analyze of 13 pesticides in cell culture: 2-methyl-4-chlorophenoxyacetic acid, terbuthylazine, </w:t>
            </w:r>
            <w:proofErr w:type="spellStart"/>
            <w:r w:rsidRPr="00A24F89">
              <w:rPr>
                <w:rFonts w:eastAsia="Calibri"/>
                <w:lang w:val="en"/>
              </w:rPr>
              <w:t>iodosulfuron</w:t>
            </w:r>
            <w:proofErr w:type="spellEnd"/>
            <w:r w:rsidRPr="00A24F89">
              <w:rPr>
                <w:rFonts w:eastAsia="Calibri"/>
                <w:lang w:val="en"/>
              </w:rPr>
              <w:t xml:space="preserve">-methyl-sodium, </w:t>
            </w:r>
            <w:proofErr w:type="spellStart"/>
            <w:r w:rsidRPr="00A24F89">
              <w:rPr>
                <w:rFonts w:eastAsia="Calibri"/>
                <w:lang w:val="en"/>
              </w:rPr>
              <w:t>mesosulfuron</w:t>
            </w:r>
            <w:proofErr w:type="spellEnd"/>
            <w:r w:rsidRPr="00A24F89">
              <w:rPr>
                <w:rFonts w:eastAsia="Calibri"/>
                <w:lang w:val="en"/>
              </w:rPr>
              <w:t xml:space="preserve">-methyl, </w:t>
            </w:r>
            <w:proofErr w:type="spellStart"/>
            <w:r w:rsidRPr="00A24F89">
              <w:rPr>
                <w:rFonts w:eastAsia="Calibri"/>
                <w:lang w:val="en"/>
              </w:rPr>
              <w:t>metsulfuron</w:t>
            </w:r>
            <w:proofErr w:type="spellEnd"/>
            <w:r w:rsidRPr="00A24F89">
              <w:rPr>
                <w:rFonts w:eastAsia="Calibri"/>
                <w:lang w:val="en"/>
              </w:rPr>
              <w:t xml:space="preserve">-methyl, </w:t>
            </w:r>
            <w:proofErr w:type="spellStart"/>
            <w:r w:rsidRPr="00A24F89">
              <w:rPr>
                <w:rFonts w:eastAsia="Calibri"/>
                <w:lang w:val="en"/>
              </w:rPr>
              <w:t>chlormequat</w:t>
            </w:r>
            <w:proofErr w:type="spellEnd"/>
            <w:r w:rsidRPr="00A24F89">
              <w:rPr>
                <w:rFonts w:eastAsia="Calibri"/>
                <w:lang w:val="en"/>
              </w:rPr>
              <w:t xml:space="preserve"> chloride, bitertanol, propiconazole, </w:t>
            </w:r>
            <w:proofErr w:type="spellStart"/>
            <w:r w:rsidRPr="00A24F89">
              <w:rPr>
                <w:rFonts w:eastAsia="Calibri"/>
                <w:lang w:val="en"/>
              </w:rPr>
              <w:t>prothioconazole</w:t>
            </w:r>
            <w:proofErr w:type="spellEnd"/>
            <w:r w:rsidRPr="00A24F89">
              <w:rPr>
                <w:rFonts w:eastAsia="Calibri"/>
                <w:lang w:val="en"/>
              </w:rPr>
              <w:t>, mancozeb and its metabolite ethylene thiourea, cypermethrin, tau-fluvalinate and malathion</w:t>
            </w:r>
          </w:p>
        </w:tc>
        <w:tc>
          <w:tcPr>
            <w:tcW w:w="1276" w:type="dxa"/>
          </w:tcPr>
          <w:p w:rsidR="00616635" w:rsidRPr="00A24F89" w:rsidRDefault="00616635" w:rsidP="00A24F89">
            <w:pPr>
              <w:rPr>
                <w:rFonts w:eastAsia="Calibri"/>
                <w:lang w:val="en-US"/>
              </w:rPr>
            </w:pPr>
            <w:r w:rsidRPr="00A24F89">
              <w:rPr>
                <w:rFonts w:eastAsia="Calibri"/>
                <w:lang w:val="en-US"/>
              </w:rPr>
              <w:t>-GH3 cell proliferation assay (T-screen)</w:t>
            </w:r>
          </w:p>
          <w:p w:rsidR="00616635" w:rsidRPr="00A24F89" w:rsidRDefault="00616635" w:rsidP="00A24F89">
            <w:pPr>
              <w:rPr>
                <w:rFonts w:eastAsia="Calibri"/>
                <w:lang w:val="en-US"/>
              </w:rPr>
            </w:pPr>
            <w:r w:rsidRPr="00A24F89">
              <w:rPr>
                <w:rFonts w:eastAsia="Calibri"/>
                <w:lang w:val="en-US"/>
              </w:rPr>
              <w:t>-</w:t>
            </w:r>
            <w:proofErr w:type="spellStart"/>
            <w:r w:rsidRPr="00A24F89">
              <w:rPr>
                <w:rFonts w:eastAsia="Calibri"/>
                <w:lang w:val="en-US"/>
              </w:rPr>
              <w:t>AhR</w:t>
            </w:r>
            <w:proofErr w:type="spellEnd"/>
            <w:r w:rsidRPr="00A24F89">
              <w:rPr>
                <w:rFonts w:eastAsia="Calibri"/>
                <w:lang w:val="en-US"/>
              </w:rPr>
              <w:t xml:space="preserve"> responsive luciferase reporter gene bioassay</w:t>
            </w:r>
          </w:p>
        </w:tc>
        <w:tc>
          <w:tcPr>
            <w:tcW w:w="2202" w:type="dxa"/>
          </w:tcPr>
          <w:p w:rsidR="00616635" w:rsidRPr="00A24F89" w:rsidRDefault="00616635" w:rsidP="00A24F89">
            <w:pPr>
              <w:rPr>
                <w:rFonts w:eastAsia="Calibri"/>
                <w:lang w:val="en-US"/>
              </w:rPr>
            </w:pPr>
            <w:r w:rsidRPr="00A24F89">
              <w:rPr>
                <w:rFonts w:eastAsia="Calibri"/>
                <w:lang w:val="en-US"/>
              </w:rPr>
              <w:t>Malathion significantly stimulated the growth of GH3 cells compared to the maximum response induced by T3</w:t>
            </w:r>
          </w:p>
        </w:tc>
        <w:tc>
          <w:tcPr>
            <w:tcW w:w="0" w:type="auto"/>
          </w:tcPr>
          <w:p w:rsidR="00616635" w:rsidRPr="00A24F89" w:rsidRDefault="00616635" w:rsidP="00A24F89">
            <w:pPr>
              <w:rPr>
                <w:rFonts w:eastAsia="Calibri"/>
                <w:lang w:val="en-US"/>
              </w:rPr>
            </w:pPr>
            <w:r w:rsidRPr="00A24F89">
              <w:rPr>
                <w:rFonts w:eastAsia="Calibri"/>
                <w:lang w:val="en-US"/>
              </w:rPr>
              <w:t xml:space="preserve">Pesticides tested can interfere with TH signaling and </w:t>
            </w:r>
            <w:proofErr w:type="spellStart"/>
            <w:r w:rsidRPr="00A24F89">
              <w:rPr>
                <w:rFonts w:eastAsia="Calibri"/>
                <w:lang w:val="en-US"/>
              </w:rPr>
              <w:t>AhR</w:t>
            </w:r>
            <w:proofErr w:type="spellEnd"/>
            <w:r w:rsidRPr="00A24F89">
              <w:rPr>
                <w:rFonts w:eastAsia="Calibri"/>
                <w:lang w:val="en-US"/>
              </w:rPr>
              <w:t xml:space="preserve"> function </w:t>
            </w:r>
            <w:r w:rsidRPr="00A24F89">
              <w:rPr>
                <w:rFonts w:eastAsia="Calibri"/>
                <w:i/>
                <w:iCs/>
                <w:lang w:val="en-US"/>
              </w:rPr>
              <w:t>in vitro</w:t>
            </w:r>
            <w:r w:rsidRPr="00A24F89">
              <w:rPr>
                <w:rFonts w:eastAsia="Calibri"/>
                <w:lang w:val="en-US"/>
              </w:rPr>
              <w:t xml:space="preserve"> and could cause endocrine disruption</w:t>
            </w:r>
          </w:p>
        </w:tc>
      </w:tr>
      <w:tr w:rsidR="00A24F89" w:rsidRPr="00ED5856" w:rsidTr="00A24F89">
        <w:trPr>
          <w:trHeight w:val="340"/>
        </w:trPr>
        <w:tc>
          <w:tcPr>
            <w:tcW w:w="0" w:type="auto"/>
          </w:tcPr>
          <w:p w:rsidR="00616635" w:rsidRPr="00A24F89" w:rsidRDefault="00616635" w:rsidP="00A24F89">
            <w:pPr>
              <w:rPr>
                <w:rFonts w:eastAsia="Calibri"/>
                <w:b/>
                <w:bCs/>
              </w:rPr>
            </w:pPr>
            <w:r w:rsidRPr="00A24F89">
              <w:rPr>
                <w:rFonts w:eastAsia="Calibri"/>
                <w:b/>
                <w:bCs/>
              </w:rPr>
              <w:t>[27]</w:t>
            </w:r>
          </w:p>
        </w:tc>
        <w:tc>
          <w:tcPr>
            <w:tcW w:w="3360" w:type="dxa"/>
          </w:tcPr>
          <w:p w:rsidR="00616635" w:rsidRPr="00A24F89" w:rsidRDefault="00616635" w:rsidP="00A24F89">
            <w:pPr>
              <w:rPr>
                <w:rFonts w:eastAsia="Calibri"/>
                <w:lang w:val="en-US"/>
              </w:rPr>
            </w:pPr>
            <w:r w:rsidRPr="00A24F89">
              <w:rPr>
                <w:rFonts w:eastAsia="Calibri"/>
                <w:i/>
                <w:iCs/>
                <w:lang w:val="en-US"/>
              </w:rPr>
              <w:t>In vitro</w:t>
            </w:r>
            <w:r w:rsidRPr="00A24F89">
              <w:rPr>
                <w:rFonts w:eastAsia="Calibri"/>
                <w:lang w:val="en-US"/>
              </w:rPr>
              <w:t xml:space="preserve"> toxicogenomic experiments, generating data verified </w:t>
            </w:r>
            <w:r w:rsidRPr="00A24F89">
              <w:rPr>
                <w:rFonts w:eastAsia="Calibri"/>
                <w:i/>
                <w:iCs/>
                <w:lang w:val="en-US"/>
              </w:rPr>
              <w:t>in vivo</w:t>
            </w:r>
            <w:r w:rsidRPr="00A24F89">
              <w:rPr>
                <w:rFonts w:eastAsia="Calibri"/>
                <w:lang w:val="en-US"/>
              </w:rPr>
              <w:t>:</w:t>
            </w:r>
          </w:p>
          <w:p w:rsidR="00616635" w:rsidRPr="00A24F89" w:rsidRDefault="00616635" w:rsidP="00A24F89">
            <w:pPr>
              <w:rPr>
                <w:rFonts w:eastAsia="Calibri"/>
                <w:lang w:val="en"/>
              </w:rPr>
            </w:pPr>
            <w:r w:rsidRPr="00A24F89">
              <w:rPr>
                <w:rFonts w:eastAsia="Calibri"/>
                <w:lang w:val="en"/>
              </w:rPr>
              <w:t xml:space="preserve">-Exposition of PCCl3 cells (immortalized rat thyrocytes) for one </w:t>
            </w:r>
            <w:r w:rsidRPr="00A24F89">
              <w:rPr>
                <w:rFonts w:eastAsia="Calibri"/>
                <w:lang w:val="en"/>
              </w:rPr>
              <w:lastRenderedPageBreak/>
              <w:t>week to different doses of ethylene-thiourea (ETU) and chlorpyriphos (CPF) and to their combination</w:t>
            </w:r>
          </w:p>
          <w:p w:rsidR="00616635" w:rsidRPr="00A24F89" w:rsidRDefault="00616635" w:rsidP="00A24F89">
            <w:pPr>
              <w:rPr>
                <w:rFonts w:eastAsia="Calibri"/>
                <w:lang w:val="en-US"/>
              </w:rPr>
            </w:pPr>
            <w:r w:rsidRPr="00A24F89">
              <w:rPr>
                <w:rFonts w:eastAsia="Calibri"/>
                <w:lang w:val="en-US"/>
              </w:rPr>
              <w:t xml:space="preserve">-Exposition of mice from conception (GD 0) to </w:t>
            </w:r>
            <w:r w:rsidRPr="00A24F89">
              <w:rPr>
                <w:rFonts w:eastAsia="Calibri"/>
                <w:lang w:val="en"/>
              </w:rPr>
              <w:t>CPF</w:t>
            </w:r>
            <w:r w:rsidRPr="00A24F89">
              <w:rPr>
                <w:rFonts w:eastAsia="Calibri"/>
                <w:lang w:val="en-US"/>
              </w:rPr>
              <w:t xml:space="preserve"> and ETU (0.1, 1 and 10 mg/kg/day) and their combination. Molecular and phenotypic thyroid damage were analyzed</w:t>
            </w:r>
          </w:p>
        </w:tc>
        <w:tc>
          <w:tcPr>
            <w:tcW w:w="1276" w:type="dxa"/>
          </w:tcPr>
          <w:p w:rsidR="00616635" w:rsidRPr="00A24F89" w:rsidRDefault="00616635" w:rsidP="00A24F89">
            <w:pPr>
              <w:rPr>
                <w:rFonts w:eastAsia="Calibri"/>
                <w:lang w:val="en-US"/>
              </w:rPr>
            </w:pPr>
            <w:r w:rsidRPr="00A24F89">
              <w:rPr>
                <w:rFonts w:eastAsia="Calibri"/>
                <w:lang w:val="en-US"/>
              </w:rPr>
              <w:lastRenderedPageBreak/>
              <w:t>-High-throughput RNA-sequencing</w:t>
            </w:r>
          </w:p>
          <w:p w:rsidR="00616635" w:rsidRPr="00A24F89" w:rsidRDefault="00616635" w:rsidP="00A24F89">
            <w:pPr>
              <w:rPr>
                <w:rFonts w:eastAsia="Calibri"/>
                <w:lang w:val="en-US"/>
              </w:rPr>
            </w:pPr>
            <w:r w:rsidRPr="00A24F89">
              <w:rPr>
                <w:rFonts w:eastAsia="Calibri"/>
                <w:lang w:val="en-US"/>
              </w:rPr>
              <w:lastRenderedPageBreak/>
              <w:t>(</w:t>
            </w:r>
            <w:proofErr w:type="spellStart"/>
            <w:r w:rsidRPr="00A24F89">
              <w:rPr>
                <w:rFonts w:eastAsia="Calibri"/>
                <w:lang w:val="en-US"/>
              </w:rPr>
              <w:t>RNAseq</w:t>
            </w:r>
            <w:proofErr w:type="spellEnd"/>
            <w:r w:rsidRPr="00A24F89">
              <w:rPr>
                <w:rFonts w:eastAsia="Calibri"/>
                <w:lang w:val="en-US"/>
              </w:rPr>
              <w:t>) data analysis</w:t>
            </w:r>
          </w:p>
          <w:p w:rsidR="00616635" w:rsidRPr="00A24F89" w:rsidRDefault="00616635" w:rsidP="00A24F89">
            <w:pPr>
              <w:rPr>
                <w:rFonts w:eastAsia="Calibri"/>
                <w:lang w:val="en-US"/>
              </w:rPr>
            </w:pPr>
            <w:r w:rsidRPr="00A24F89">
              <w:rPr>
                <w:rFonts w:eastAsia="Calibri"/>
                <w:lang w:val="en-US"/>
              </w:rPr>
              <w:t>-Ingenuity Pathway Analysis</w:t>
            </w:r>
          </w:p>
          <w:p w:rsidR="00616635" w:rsidRPr="00A24F89" w:rsidRDefault="00616635" w:rsidP="00A24F89">
            <w:pPr>
              <w:rPr>
                <w:rFonts w:eastAsia="Calibri"/>
                <w:lang w:val="en-US"/>
              </w:rPr>
            </w:pPr>
            <w:r w:rsidRPr="00A24F89">
              <w:rPr>
                <w:rFonts w:eastAsia="Calibri"/>
                <w:lang w:val="en-US"/>
              </w:rPr>
              <w:t>(IPA)</w:t>
            </w:r>
          </w:p>
          <w:p w:rsidR="00616635" w:rsidRPr="00A24F89" w:rsidRDefault="00616635" w:rsidP="00A24F89">
            <w:pPr>
              <w:rPr>
                <w:rFonts w:eastAsia="Calibri"/>
                <w:lang w:val="en-US"/>
              </w:rPr>
            </w:pPr>
            <w:r w:rsidRPr="00A24F89">
              <w:rPr>
                <w:rFonts w:eastAsia="Calibri"/>
                <w:lang w:val="en-US"/>
              </w:rPr>
              <w:t>-FT4</w:t>
            </w:r>
          </w:p>
        </w:tc>
        <w:tc>
          <w:tcPr>
            <w:tcW w:w="2202" w:type="dxa"/>
          </w:tcPr>
          <w:p w:rsidR="00616635" w:rsidRPr="00A24F89" w:rsidRDefault="00616635" w:rsidP="00A24F89">
            <w:pPr>
              <w:rPr>
                <w:rFonts w:eastAsia="Calibri"/>
                <w:lang w:val="en-US"/>
              </w:rPr>
            </w:pPr>
            <w:r w:rsidRPr="00A24F89">
              <w:rPr>
                <w:rFonts w:eastAsia="Calibri"/>
                <w:i/>
                <w:iCs/>
                <w:lang w:val="en-US"/>
              </w:rPr>
              <w:lastRenderedPageBreak/>
              <w:t>In vitro</w:t>
            </w:r>
            <w:r w:rsidRPr="00A24F89">
              <w:rPr>
                <w:rFonts w:eastAsia="Calibri"/>
                <w:lang w:val="en-US"/>
              </w:rPr>
              <w:t xml:space="preserve"> data revealed specific and common genes / mechanisms of toxicity, controlling the </w:t>
            </w:r>
            <w:r w:rsidRPr="00A24F89">
              <w:rPr>
                <w:rFonts w:eastAsia="Calibri"/>
                <w:lang w:val="en-US"/>
              </w:rPr>
              <w:lastRenderedPageBreak/>
              <w:t xml:space="preserve">proliferation and survival of thyrocytes. These results were confirmed phenotypically </w:t>
            </w:r>
            <w:r w:rsidRPr="00A24F89">
              <w:rPr>
                <w:rFonts w:eastAsia="Calibri"/>
                <w:i/>
                <w:iCs/>
                <w:lang w:val="en-US"/>
              </w:rPr>
              <w:t>in vivo</w:t>
            </w:r>
            <w:r w:rsidRPr="00A24F89">
              <w:rPr>
                <w:rFonts w:eastAsia="Calibri"/>
                <w:lang w:val="en-US"/>
              </w:rPr>
              <w:t xml:space="preserve"> by the reduction of the circulating T4 hormone after long exposure</w:t>
            </w:r>
          </w:p>
        </w:tc>
        <w:tc>
          <w:tcPr>
            <w:tcW w:w="0" w:type="auto"/>
          </w:tcPr>
          <w:p w:rsidR="00616635" w:rsidRPr="00A24F89" w:rsidRDefault="00616635" w:rsidP="00A24F89">
            <w:pPr>
              <w:rPr>
                <w:rFonts w:eastAsia="Calibri"/>
                <w:lang w:val="en-US"/>
              </w:rPr>
            </w:pPr>
            <w:r w:rsidRPr="00A24F89">
              <w:rPr>
                <w:rFonts w:eastAsia="Calibri"/>
                <w:i/>
                <w:iCs/>
                <w:lang w:val="en-US"/>
              </w:rPr>
              <w:lastRenderedPageBreak/>
              <w:t>In vitro</w:t>
            </w:r>
            <w:r w:rsidRPr="00A24F89">
              <w:rPr>
                <w:rFonts w:eastAsia="Calibri"/>
                <w:lang w:val="en-US"/>
              </w:rPr>
              <w:t xml:space="preserve"> </w:t>
            </w:r>
            <w:proofErr w:type="spellStart"/>
            <w:r w:rsidRPr="00A24F89">
              <w:rPr>
                <w:rFonts w:eastAsia="Calibri"/>
                <w:lang w:val="en-US"/>
              </w:rPr>
              <w:t>toxicogenomics</w:t>
            </w:r>
            <w:proofErr w:type="spellEnd"/>
            <w:r w:rsidRPr="00A24F89">
              <w:rPr>
                <w:rFonts w:eastAsia="Calibri"/>
                <w:lang w:val="en-US"/>
              </w:rPr>
              <w:t xml:space="preserve"> is a powerful tool in predicting adverse </w:t>
            </w:r>
            <w:r w:rsidRPr="00A24F89">
              <w:rPr>
                <w:rFonts w:eastAsia="Calibri"/>
                <w:lang w:val="en-US"/>
              </w:rPr>
              <w:lastRenderedPageBreak/>
              <w:t xml:space="preserve">effects </w:t>
            </w:r>
            <w:r w:rsidRPr="00A24F89">
              <w:rPr>
                <w:rFonts w:eastAsia="Calibri"/>
                <w:i/>
                <w:iCs/>
                <w:lang w:val="en-US"/>
              </w:rPr>
              <w:t>in vivo</w:t>
            </w:r>
            <w:r w:rsidRPr="00A24F89">
              <w:rPr>
                <w:rFonts w:eastAsia="Calibri"/>
                <w:lang w:val="en-US"/>
              </w:rPr>
              <w:t>, although not fully recapitulating the biocomplexity of a living animal.</w:t>
            </w:r>
          </w:p>
        </w:tc>
      </w:tr>
    </w:tbl>
    <w:p w:rsidR="00A24F89" w:rsidRDefault="00A24F89" w:rsidP="00616635">
      <w:pPr>
        <w:pStyle w:val="Els-body-text"/>
        <w:spacing w:before="100" w:beforeAutospacing="1" w:after="100" w:afterAutospacing="1" w:line="240" w:lineRule="auto"/>
        <w:rPr>
          <w:b/>
          <w:bCs/>
          <w:sz w:val="20"/>
          <w:lang w:val="en-GB"/>
        </w:rPr>
      </w:pPr>
    </w:p>
    <w:p w:rsidR="00A24F89" w:rsidRDefault="00A24F89" w:rsidP="00616635">
      <w:pPr>
        <w:pStyle w:val="Els-body-text"/>
        <w:spacing w:before="100" w:beforeAutospacing="1" w:after="100" w:afterAutospacing="1" w:line="240" w:lineRule="auto"/>
        <w:rPr>
          <w:b/>
          <w:bCs/>
          <w:sz w:val="20"/>
          <w:lang w:val="en-GB"/>
        </w:rPr>
        <w:sectPr w:rsidR="00A24F89" w:rsidSect="00A24F89">
          <w:type w:val="continuous"/>
          <w:pgSz w:w="12240" w:h="15840"/>
          <w:pgMar w:top="1440" w:right="1440" w:bottom="1440" w:left="1440" w:header="720" w:footer="861" w:gutter="0"/>
          <w:cols w:space="720"/>
          <w:titlePg/>
          <w:docGrid w:linePitch="360"/>
        </w:sectPr>
      </w:pPr>
    </w:p>
    <w:p w:rsidR="00012625" w:rsidRPr="00616635" w:rsidRDefault="007D6C13" w:rsidP="00616635">
      <w:pPr>
        <w:pStyle w:val="Els-body-text"/>
        <w:spacing w:before="100" w:beforeAutospacing="1" w:after="100" w:afterAutospacing="1" w:line="240" w:lineRule="auto"/>
        <w:rPr>
          <w:b/>
          <w:bCs/>
          <w:sz w:val="20"/>
          <w:lang w:val="en-GB"/>
        </w:rPr>
      </w:pPr>
      <w:r>
        <w:rPr>
          <w:b/>
          <w:bCs/>
          <w:sz w:val="20"/>
          <w:lang w:val="en-GB"/>
        </w:rPr>
        <w:t>Discussion</w:t>
      </w:r>
    </w:p>
    <w:p w:rsidR="00012625" w:rsidRPr="00616635" w:rsidRDefault="00CD3515" w:rsidP="009F3FB5">
      <w:pPr>
        <w:pStyle w:val="Els-body-text"/>
        <w:spacing w:before="100" w:beforeAutospacing="1" w:after="100" w:afterAutospacing="1" w:line="240" w:lineRule="auto"/>
        <w:rPr>
          <w:b/>
          <w:bCs/>
          <w:sz w:val="20"/>
          <w:lang w:val="en-GB"/>
        </w:rPr>
      </w:pPr>
      <w:r w:rsidRPr="00616635">
        <w:rPr>
          <w:b/>
          <w:bCs/>
          <w:i/>
          <w:iCs/>
          <w:sz w:val="20"/>
          <w:lang w:val="en-GB"/>
        </w:rPr>
        <w:t>In vivo </w:t>
      </w:r>
      <w:r w:rsidRPr="001924EF">
        <w:rPr>
          <w:b/>
          <w:bCs/>
          <w:sz w:val="20"/>
          <w:lang w:val="en-GB"/>
        </w:rPr>
        <w:t>studies</w:t>
      </w:r>
    </w:p>
    <w:p w:rsidR="00616635" w:rsidRPr="00616635" w:rsidRDefault="00616635" w:rsidP="00616635">
      <w:pPr>
        <w:pStyle w:val="Els-body-text"/>
        <w:spacing w:before="100" w:beforeAutospacing="1" w:after="100" w:afterAutospacing="1" w:line="240" w:lineRule="auto"/>
        <w:rPr>
          <w:sz w:val="20"/>
        </w:rPr>
      </w:pPr>
      <w:r w:rsidRPr="00616635">
        <w:rPr>
          <w:sz w:val="20"/>
        </w:rPr>
        <w:t xml:space="preserve">Sixteen </w:t>
      </w:r>
      <w:r w:rsidRPr="00616635">
        <w:rPr>
          <w:i/>
          <w:iCs/>
          <w:sz w:val="20"/>
        </w:rPr>
        <w:t>in vivo</w:t>
      </w:r>
      <w:r w:rsidRPr="00616635">
        <w:rPr>
          <w:sz w:val="20"/>
        </w:rPr>
        <w:t xml:space="preserve"> studies were eligible for inclusion in this review. All these studies are randomized and discuss changes in thyroid function induced by exposure to OPs.</w:t>
      </w:r>
    </w:p>
    <w:p w:rsidR="00616635" w:rsidRPr="00616635" w:rsidRDefault="00616635" w:rsidP="00F6252D">
      <w:pPr>
        <w:pStyle w:val="Els-body-text"/>
        <w:spacing w:before="100" w:beforeAutospacing="1" w:after="100" w:afterAutospacing="1" w:line="240" w:lineRule="auto"/>
        <w:rPr>
          <w:sz w:val="20"/>
        </w:rPr>
      </w:pPr>
      <w:r w:rsidRPr="00616635">
        <w:rPr>
          <w:sz w:val="20"/>
        </w:rPr>
        <w:t xml:space="preserve">With regard to test protocols, excepting the studies by </w:t>
      </w:r>
      <w:proofErr w:type="spellStart"/>
      <w:r w:rsidR="00F6252D" w:rsidRPr="00F6252D">
        <w:rPr>
          <w:b/>
          <w:bCs/>
          <w:sz w:val="20"/>
          <w:lang w:val="en-GB"/>
        </w:rPr>
        <w:t>Maiti</w:t>
      </w:r>
      <w:proofErr w:type="spellEnd"/>
      <w:r w:rsidR="00F6252D" w:rsidRPr="00F6252D">
        <w:rPr>
          <w:b/>
          <w:bCs/>
          <w:sz w:val="20"/>
          <w:lang w:val="en-GB"/>
        </w:rPr>
        <w:t xml:space="preserve"> et al. [9] </w:t>
      </w:r>
      <w:r w:rsidR="00F6252D" w:rsidRPr="000B6898">
        <w:rPr>
          <w:sz w:val="20"/>
          <w:lang w:val="en-GB"/>
        </w:rPr>
        <w:t>and</w:t>
      </w:r>
      <w:r w:rsidR="00F6252D" w:rsidRPr="00F6252D">
        <w:rPr>
          <w:b/>
          <w:bCs/>
          <w:sz w:val="20"/>
          <w:lang w:val="en-GB"/>
        </w:rPr>
        <w:t xml:space="preserve"> Rawlings et al. [11]</w:t>
      </w:r>
      <w:r w:rsidR="00F6252D">
        <w:rPr>
          <w:b/>
          <w:bCs/>
          <w:sz w:val="20"/>
          <w:lang w:val="en-GB"/>
        </w:rPr>
        <w:t xml:space="preserve"> </w:t>
      </w:r>
      <w:r w:rsidRPr="00616635">
        <w:rPr>
          <w:sz w:val="20"/>
        </w:rPr>
        <w:t>conducted on chicks and sheep respectively, the other experiments mainly focused on fish and rodents for several reasons. For fish, the main non-target species that has economic importance, the corollary problem of the effect of water pollution on fish has lead researchers to elucidate the impacts of various pesticides on different fish species.</w:t>
      </w:r>
    </w:p>
    <w:p w:rsidR="00616635" w:rsidRPr="00616635" w:rsidRDefault="00616635" w:rsidP="00616635">
      <w:pPr>
        <w:pStyle w:val="Els-body-text"/>
        <w:spacing w:before="100" w:beforeAutospacing="1" w:after="100" w:afterAutospacing="1" w:line="240" w:lineRule="auto"/>
        <w:rPr>
          <w:sz w:val="20"/>
        </w:rPr>
      </w:pPr>
      <w:r w:rsidRPr="00616635">
        <w:rPr>
          <w:sz w:val="20"/>
        </w:rPr>
        <w:t xml:space="preserve">Concerning the order of rodents, which is the cornerstone of research devoted to human pathologies, the studies included in our review used rats and mice, in mature or just postnatal age, males and females. The latter are used in particular for the study of the </w:t>
      </w:r>
      <w:r w:rsidRPr="00616635">
        <w:rPr>
          <w:i/>
          <w:iCs/>
          <w:sz w:val="20"/>
        </w:rPr>
        <w:t>in utero</w:t>
      </w:r>
      <w:r w:rsidRPr="00616635">
        <w:rPr>
          <w:sz w:val="20"/>
        </w:rPr>
        <w:t xml:space="preserve"> effect.</w:t>
      </w:r>
    </w:p>
    <w:p w:rsidR="00616635" w:rsidRPr="00616635" w:rsidRDefault="00616635" w:rsidP="00616635">
      <w:pPr>
        <w:pStyle w:val="Els-body-text"/>
        <w:spacing w:before="100" w:beforeAutospacing="1" w:after="100" w:afterAutospacing="1" w:line="240" w:lineRule="auto"/>
        <w:rPr>
          <w:sz w:val="20"/>
        </w:rPr>
      </w:pPr>
      <w:r w:rsidRPr="00616635">
        <w:rPr>
          <w:sz w:val="20"/>
        </w:rPr>
        <w:t xml:space="preserve">Several OPs were used in the trials: malathion, </w:t>
      </w:r>
      <w:proofErr w:type="spellStart"/>
      <w:r w:rsidRPr="00616635">
        <w:rPr>
          <w:sz w:val="20"/>
        </w:rPr>
        <w:t>methamidophos</w:t>
      </w:r>
      <w:proofErr w:type="spellEnd"/>
      <w:r w:rsidRPr="00616635">
        <w:rPr>
          <w:sz w:val="20"/>
        </w:rPr>
        <w:t xml:space="preserve">, </w:t>
      </w:r>
      <w:proofErr w:type="spellStart"/>
      <w:r w:rsidRPr="00616635">
        <w:rPr>
          <w:sz w:val="20"/>
        </w:rPr>
        <w:t>monocrotophos</w:t>
      </w:r>
      <w:proofErr w:type="spellEnd"/>
      <w:r w:rsidRPr="00616635">
        <w:rPr>
          <w:sz w:val="20"/>
        </w:rPr>
        <w:t xml:space="preserve">, chlorpyriphos, dimethoate, fenitrothion, </w:t>
      </w:r>
      <w:proofErr w:type="spellStart"/>
      <w:r w:rsidRPr="00616635">
        <w:rPr>
          <w:sz w:val="20"/>
        </w:rPr>
        <w:t>phosphamidon</w:t>
      </w:r>
      <w:proofErr w:type="spellEnd"/>
      <w:r w:rsidRPr="00616635">
        <w:rPr>
          <w:sz w:val="20"/>
        </w:rPr>
        <w:t>. Their choice, among other OPs, in the study of the disruptive effect of thyroid function seems to be related to their wide commercialization and use.</w:t>
      </w:r>
    </w:p>
    <w:p w:rsidR="00616635" w:rsidRPr="00616635" w:rsidRDefault="00616635" w:rsidP="00616635">
      <w:pPr>
        <w:pStyle w:val="Els-body-text"/>
        <w:spacing w:before="100" w:beforeAutospacing="1" w:after="100" w:afterAutospacing="1" w:line="240" w:lineRule="auto"/>
        <w:rPr>
          <w:sz w:val="20"/>
        </w:rPr>
      </w:pPr>
      <w:r w:rsidRPr="00616635">
        <w:rPr>
          <w:sz w:val="20"/>
        </w:rPr>
        <w:t>Some studies have focused exclusively on OPs (a single molecule or two associated molecules) while others on mixtures of OPs with other types of pesticides such as lindane, pentachlorophenol, carbofuran, triallate, trifluralin, 2,4-D.</w:t>
      </w:r>
    </w:p>
    <w:p w:rsidR="00616635" w:rsidRPr="00616635" w:rsidRDefault="00616635" w:rsidP="00616635">
      <w:pPr>
        <w:pStyle w:val="Els-body-text"/>
        <w:spacing w:before="100" w:beforeAutospacing="1" w:after="100" w:afterAutospacing="1" w:line="240" w:lineRule="auto"/>
        <w:rPr>
          <w:sz w:val="20"/>
        </w:rPr>
      </w:pPr>
      <w:r w:rsidRPr="00616635">
        <w:rPr>
          <w:sz w:val="20"/>
        </w:rPr>
        <w:t xml:space="preserve">The route of administration of the pesticides studied differs from study to another; oral, intraperitoneal and subcutaneous routes have been </w:t>
      </w:r>
      <w:r w:rsidRPr="00616635">
        <w:rPr>
          <w:sz w:val="20"/>
        </w:rPr>
        <w:t xml:space="preserve">described. It seems that the choice of the route of administration depends essentially on the product studied. The example of Chlorpyriphos which is administered orally because it is moderately toxic by this route, and severely toxic by the dermal route in rats </w:t>
      </w:r>
      <w:r w:rsidRPr="00616635">
        <w:rPr>
          <w:b/>
          <w:bCs/>
          <w:sz w:val="20"/>
        </w:rPr>
        <w:t>[28]</w:t>
      </w:r>
      <w:r w:rsidRPr="00616635">
        <w:rPr>
          <w:sz w:val="20"/>
        </w:rPr>
        <w:t>.</w:t>
      </w:r>
    </w:p>
    <w:p w:rsidR="00616635" w:rsidRPr="00616635" w:rsidRDefault="00616635" w:rsidP="00616635">
      <w:pPr>
        <w:pStyle w:val="Els-body-text"/>
        <w:spacing w:before="100" w:beforeAutospacing="1" w:after="100" w:afterAutospacing="1" w:line="240" w:lineRule="auto"/>
        <w:rPr>
          <w:sz w:val="20"/>
        </w:rPr>
      </w:pPr>
      <w:r w:rsidRPr="00616635">
        <w:rPr>
          <w:sz w:val="20"/>
        </w:rPr>
        <w:t xml:space="preserve">An adjuvant has been used in some studies for the administration of the pesticide: peanut oil for Chlorpyriphos </w:t>
      </w:r>
      <w:r w:rsidRPr="00616635">
        <w:rPr>
          <w:i/>
          <w:iCs/>
          <w:sz w:val="20"/>
        </w:rPr>
        <w:t xml:space="preserve">per </w:t>
      </w:r>
      <w:proofErr w:type="spellStart"/>
      <w:r w:rsidRPr="00616635">
        <w:rPr>
          <w:i/>
          <w:iCs/>
          <w:sz w:val="20"/>
        </w:rPr>
        <w:t>os</w:t>
      </w:r>
      <w:proofErr w:type="spellEnd"/>
      <w:r w:rsidRPr="00616635">
        <w:rPr>
          <w:sz w:val="20"/>
        </w:rPr>
        <w:t xml:space="preserve"> and </w:t>
      </w:r>
      <w:proofErr w:type="spellStart"/>
      <w:r w:rsidRPr="00616635">
        <w:rPr>
          <w:sz w:val="20"/>
        </w:rPr>
        <w:t>Dimethylsulfoxide</w:t>
      </w:r>
      <w:proofErr w:type="spellEnd"/>
      <w:r w:rsidRPr="00616635">
        <w:rPr>
          <w:sz w:val="20"/>
        </w:rPr>
        <w:t xml:space="preserve"> (DMSO) for the same pesticide by subcutaneous route. Peanut oil is a vegetable oil used for its neutral taste and its ability to increase the absorption of xenobiotics, while DMSO is an organic solvent used to promote the transport of xenobiotic in cells and also for its anesthetic and antibacterial properties. </w:t>
      </w:r>
    </w:p>
    <w:p w:rsidR="00616635" w:rsidRPr="00616635" w:rsidRDefault="00616635" w:rsidP="00616635">
      <w:pPr>
        <w:pStyle w:val="Els-body-text"/>
        <w:spacing w:before="100" w:beforeAutospacing="1" w:after="100" w:afterAutospacing="1" w:line="240" w:lineRule="auto"/>
        <w:rPr>
          <w:sz w:val="20"/>
          <w:lang w:val="en-GB"/>
        </w:rPr>
      </w:pPr>
      <w:r w:rsidRPr="00616635">
        <w:rPr>
          <w:sz w:val="20"/>
        </w:rPr>
        <w:t xml:space="preserve">The animals were exposed to pesticides either acutely or chronically. The first situation undoubtedly leads us to review conventional toxicology approaches such as "the dose makes the poison". On these bases, it would be difficult to predict the effects of low doses from the effects observed at high doses. One might even expect that at low doses the effects will be more pronounced than at high doses by giving non-monotonic dose-response curves (NMDRC), a model known for several other endocrine disruptors as well as for hormones </w:t>
      </w:r>
      <w:r w:rsidRPr="00616635">
        <w:rPr>
          <w:b/>
          <w:bCs/>
          <w:sz w:val="20"/>
        </w:rPr>
        <w:t>[29]</w:t>
      </w:r>
      <w:r w:rsidRPr="00616635">
        <w:rPr>
          <w:sz w:val="20"/>
        </w:rPr>
        <w:t>.</w:t>
      </w:r>
    </w:p>
    <w:p w:rsidR="00616635" w:rsidRPr="00616635" w:rsidRDefault="00616635" w:rsidP="00616635">
      <w:pPr>
        <w:pStyle w:val="Els-body-text"/>
        <w:spacing w:before="100" w:beforeAutospacing="1" w:after="100" w:afterAutospacing="1" w:line="240" w:lineRule="auto"/>
        <w:rPr>
          <w:sz w:val="20"/>
        </w:rPr>
      </w:pPr>
      <w:r w:rsidRPr="00616635">
        <w:rPr>
          <w:sz w:val="20"/>
        </w:rPr>
        <w:t xml:space="preserve">The administration of pesticides was carried out at doses calculated according to the weight of the animals, over a period of a few days or even a month to reproduce chronic exposure. However, in the study conducted by </w:t>
      </w:r>
      <w:proofErr w:type="spellStart"/>
      <w:r w:rsidRPr="00616635">
        <w:rPr>
          <w:b/>
          <w:bCs/>
          <w:sz w:val="20"/>
        </w:rPr>
        <w:t>Satar</w:t>
      </w:r>
      <w:proofErr w:type="spellEnd"/>
      <w:r w:rsidRPr="00616635">
        <w:rPr>
          <w:b/>
          <w:bCs/>
          <w:sz w:val="20"/>
        </w:rPr>
        <w:t xml:space="preserve"> et al.</w:t>
      </w:r>
      <w:r w:rsidR="00F6252D" w:rsidRPr="00F6252D">
        <w:t xml:space="preserve"> </w:t>
      </w:r>
      <w:r w:rsidR="00F6252D" w:rsidRPr="00F6252D">
        <w:rPr>
          <w:b/>
          <w:bCs/>
          <w:sz w:val="20"/>
        </w:rPr>
        <w:t>[15]</w:t>
      </w:r>
      <w:r w:rsidRPr="00616635">
        <w:rPr>
          <w:sz w:val="20"/>
        </w:rPr>
        <w:t xml:space="preserve">, endocrine disruption was assessed after acute exposure to a lethal dose of </w:t>
      </w:r>
      <w:proofErr w:type="spellStart"/>
      <w:r w:rsidRPr="00616635">
        <w:rPr>
          <w:sz w:val="20"/>
        </w:rPr>
        <w:t>metamidophos</w:t>
      </w:r>
      <w:proofErr w:type="spellEnd"/>
      <w:r w:rsidRPr="00616635">
        <w:rPr>
          <w:sz w:val="20"/>
        </w:rPr>
        <w:t xml:space="preserve"> to rats, followed by antidotal treatment with pralidoxime and atropine.</w:t>
      </w:r>
    </w:p>
    <w:p w:rsidR="00616635" w:rsidRPr="00616635" w:rsidRDefault="00616635" w:rsidP="00616635">
      <w:pPr>
        <w:pStyle w:val="Els-body-text"/>
        <w:spacing w:before="100" w:beforeAutospacing="1" w:after="100" w:afterAutospacing="1" w:line="240" w:lineRule="auto"/>
        <w:rPr>
          <w:sz w:val="20"/>
        </w:rPr>
      </w:pPr>
      <w:r w:rsidRPr="00616635">
        <w:rPr>
          <w:sz w:val="20"/>
        </w:rPr>
        <w:t>A control group was used in all studies (thus referred to as exposed/not exposed), which gives more credibility to the results obtained.</w:t>
      </w:r>
    </w:p>
    <w:p w:rsidR="00616635" w:rsidRPr="00616635" w:rsidRDefault="00616635" w:rsidP="00F6252D">
      <w:pPr>
        <w:pStyle w:val="Els-body-text"/>
        <w:spacing w:before="100" w:beforeAutospacing="1" w:after="100" w:afterAutospacing="1" w:line="240" w:lineRule="auto"/>
        <w:rPr>
          <w:sz w:val="20"/>
        </w:rPr>
      </w:pPr>
      <w:r w:rsidRPr="00616635">
        <w:rPr>
          <w:sz w:val="20"/>
        </w:rPr>
        <w:lastRenderedPageBreak/>
        <w:t xml:space="preserve">Regarding the parameters for assessing thyroid disruption, thyroid hormones (T3, T4) and TSH, the best markers for monitoring thyroid function, were measured in almost all studies (15/16). Some studies take, in addition, as an identifying factor for thyroid dysfunction, the activity of iodothyronine deiodinases type 1 (D1), 2 (D2) and 3 (D3), the mRNA expression of indices involved in the HPT axis, the thyrotropin releasing hormone (TRH), etc. Otherwise, in the </w:t>
      </w:r>
      <w:r w:rsidRPr="00616635">
        <w:rPr>
          <w:b/>
          <w:bCs/>
          <w:sz w:val="20"/>
        </w:rPr>
        <w:t>Saxena and Mani</w:t>
      </w:r>
      <w:r w:rsidRPr="00616635">
        <w:rPr>
          <w:sz w:val="20"/>
        </w:rPr>
        <w:t xml:space="preserve"> study</w:t>
      </w:r>
      <w:r w:rsidR="00F6252D">
        <w:rPr>
          <w:sz w:val="20"/>
        </w:rPr>
        <w:t xml:space="preserve"> </w:t>
      </w:r>
      <w:r w:rsidR="00F6252D" w:rsidRPr="00F6252D">
        <w:rPr>
          <w:b/>
          <w:bCs/>
          <w:sz w:val="20"/>
        </w:rPr>
        <w:t>[6]</w:t>
      </w:r>
      <w:r w:rsidR="00F6252D" w:rsidRPr="00F6252D">
        <w:rPr>
          <w:sz w:val="20"/>
        </w:rPr>
        <w:t xml:space="preserve">, </w:t>
      </w:r>
      <w:r w:rsidRPr="00616635">
        <w:rPr>
          <w:sz w:val="20"/>
        </w:rPr>
        <w:t>only the level of protein-bound iodine was explored.</w:t>
      </w:r>
    </w:p>
    <w:p w:rsidR="00616635" w:rsidRPr="00616635" w:rsidRDefault="00616635" w:rsidP="00616635">
      <w:pPr>
        <w:pStyle w:val="Els-body-text"/>
        <w:spacing w:before="100" w:beforeAutospacing="1" w:after="100" w:afterAutospacing="1" w:line="240" w:lineRule="auto"/>
        <w:rPr>
          <w:sz w:val="20"/>
        </w:rPr>
      </w:pPr>
      <w:r w:rsidRPr="00616635">
        <w:rPr>
          <w:sz w:val="20"/>
        </w:rPr>
        <w:t>Concerning the results of the studies, only one finding stands out, that of the alteration of thyroid function with, in almost all studies, a decrease in T3 and T4 hormones and an increase in TSH, indicating hypothyroidism. This reinforces the hypothesis that OPs are likely to have, in the short and long term, an endocrine disrupting effect, among others, on the thyroid gland.</w:t>
      </w:r>
    </w:p>
    <w:p w:rsidR="00616635" w:rsidRPr="00616635" w:rsidRDefault="00616635" w:rsidP="00616635">
      <w:pPr>
        <w:pStyle w:val="Els-body-text"/>
        <w:spacing w:before="100" w:beforeAutospacing="1" w:after="100" w:afterAutospacing="1" w:line="240" w:lineRule="auto"/>
        <w:rPr>
          <w:sz w:val="20"/>
        </w:rPr>
      </w:pPr>
      <w:r w:rsidRPr="00616635">
        <w:rPr>
          <w:sz w:val="20"/>
        </w:rPr>
        <w:t>However, even if animal trials are much less time-consuming and their results may be relevant to humans, they should be supported by other trials and epidemiological studies in different categories of populations, taking into account all aspects of exposure to these toxic substances.</w:t>
      </w:r>
    </w:p>
    <w:p w:rsidR="00012625" w:rsidRPr="00616635" w:rsidRDefault="00CD3515" w:rsidP="00616635">
      <w:pPr>
        <w:pStyle w:val="Els-body-text"/>
        <w:spacing w:before="100" w:beforeAutospacing="1" w:after="100" w:afterAutospacing="1" w:line="240" w:lineRule="auto"/>
        <w:rPr>
          <w:b/>
          <w:bCs/>
          <w:sz w:val="20"/>
          <w:lang w:val="en-GB"/>
        </w:rPr>
      </w:pPr>
      <w:r w:rsidRPr="00616635">
        <w:rPr>
          <w:b/>
          <w:bCs/>
          <w:sz w:val="20"/>
          <w:lang w:val="en-GB"/>
        </w:rPr>
        <w:t>Studies in humans</w:t>
      </w:r>
    </w:p>
    <w:p w:rsidR="00616635" w:rsidRPr="00616635" w:rsidRDefault="00616635" w:rsidP="00616635">
      <w:pPr>
        <w:pStyle w:val="Els-body-text"/>
        <w:spacing w:before="100" w:beforeAutospacing="1" w:after="100" w:afterAutospacing="1" w:line="240" w:lineRule="auto"/>
        <w:rPr>
          <w:sz w:val="20"/>
        </w:rPr>
      </w:pPr>
      <w:r w:rsidRPr="00616635">
        <w:rPr>
          <w:sz w:val="20"/>
        </w:rPr>
        <w:t>The literature search for studies carried out on populations exposed to OPs, in search of a consequent thyroid disruption, is not very fruitful. Only four studies were selected for this work since they specifically discuss the issue. In fact, scientific knowledge on this subject is constantly increasing in recent years and will never be sufficient given the specificity of one or the other study as regards the population studied, the context of exposure, the molecule involved, the explored gland, etc. Indeed, many studies have not been included in our review since they study endocrine disrupting chemicals except OPs, and the disruption of other glands in the body and hormonal profiles except the thyroid gland.</w:t>
      </w:r>
    </w:p>
    <w:p w:rsidR="00616635" w:rsidRPr="00616635" w:rsidRDefault="00F6252D" w:rsidP="00F6252D">
      <w:pPr>
        <w:pStyle w:val="Els-body-text"/>
        <w:spacing w:before="100" w:beforeAutospacing="1" w:after="100" w:afterAutospacing="1" w:line="240" w:lineRule="auto"/>
        <w:rPr>
          <w:sz w:val="20"/>
        </w:rPr>
      </w:pPr>
      <w:r w:rsidRPr="00F6252D">
        <w:rPr>
          <w:sz w:val="20"/>
          <w:lang w:val="en-GB"/>
        </w:rPr>
        <w:t xml:space="preserve">The studies selected were carried out in occupationally exposed populations, namely floriculture workers in the </w:t>
      </w:r>
      <w:proofErr w:type="spellStart"/>
      <w:r w:rsidRPr="00F6252D">
        <w:rPr>
          <w:b/>
          <w:bCs/>
          <w:sz w:val="20"/>
          <w:lang w:val="en-GB"/>
        </w:rPr>
        <w:t>Lacasaña</w:t>
      </w:r>
      <w:proofErr w:type="spellEnd"/>
      <w:r w:rsidRPr="00F6252D">
        <w:rPr>
          <w:b/>
          <w:bCs/>
          <w:sz w:val="20"/>
          <w:lang w:val="en-GB"/>
        </w:rPr>
        <w:t xml:space="preserve"> et al.</w:t>
      </w:r>
      <w:r w:rsidRPr="00F6252D">
        <w:rPr>
          <w:sz w:val="20"/>
          <w:lang w:val="en-GB"/>
        </w:rPr>
        <w:t xml:space="preserve"> study </w:t>
      </w:r>
      <w:r w:rsidRPr="00F6252D">
        <w:rPr>
          <w:b/>
          <w:bCs/>
          <w:sz w:val="20"/>
          <w:lang w:val="en-GB"/>
        </w:rPr>
        <w:t>[23]</w:t>
      </w:r>
      <w:r w:rsidRPr="00F6252D">
        <w:rPr>
          <w:sz w:val="20"/>
          <w:lang w:val="en-GB"/>
        </w:rPr>
        <w:t xml:space="preserve">, as part of an etiological diagnosis of sub-infertility or sterility as in the </w:t>
      </w:r>
      <w:r w:rsidRPr="00F6252D">
        <w:rPr>
          <w:b/>
          <w:bCs/>
          <w:sz w:val="20"/>
          <w:lang w:val="en-GB"/>
        </w:rPr>
        <w:t>Meeker et al.</w:t>
      </w:r>
      <w:r w:rsidRPr="00F6252D">
        <w:rPr>
          <w:sz w:val="20"/>
          <w:lang w:val="en-GB"/>
        </w:rPr>
        <w:t xml:space="preserve"> study </w:t>
      </w:r>
      <w:r w:rsidRPr="00F6252D">
        <w:rPr>
          <w:b/>
          <w:bCs/>
          <w:sz w:val="20"/>
          <w:lang w:val="en-GB"/>
        </w:rPr>
        <w:t>[22]</w:t>
      </w:r>
      <w:r w:rsidRPr="00F6252D">
        <w:rPr>
          <w:sz w:val="20"/>
          <w:lang w:val="en-GB"/>
        </w:rPr>
        <w:t xml:space="preserve">, in pregnant women in the work by </w:t>
      </w:r>
      <w:r w:rsidRPr="00F6252D">
        <w:rPr>
          <w:b/>
          <w:bCs/>
          <w:sz w:val="20"/>
          <w:lang w:val="en-GB"/>
        </w:rPr>
        <w:t>Wang et al.</w:t>
      </w:r>
      <w:r w:rsidRPr="00F6252D">
        <w:rPr>
          <w:sz w:val="20"/>
          <w:lang w:val="en-GB"/>
        </w:rPr>
        <w:t xml:space="preserve"> </w:t>
      </w:r>
      <w:r w:rsidRPr="00F6252D">
        <w:rPr>
          <w:b/>
          <w:bCs/>
          <w:sz w:val="20"/>
          <w:lang w:val="en-GB"/>
        </w:rPr>
        <w:t xml:space="preserve">[25] </w:t>
      </w:r>
      <w:r w:rsidRPr="00F6252D">
        <w:rPr>
          <w:sz w:val="20"/>
          <w:lang w:val="en-GB"/>
        </w:rPr>
        <w:t xml:space="preserve">or in the general population in the study by </w:t>
      </w:r>
      <w:r w:rsidRPr="00F6252D">
        <w:rPr>
          <w:b/>
          <w:bCs/>
          <w:sz w:val="20"/>
          <w:lang w:val="en-GB"/>
        </w:rPr>
        <w:t>Fortenberry et al. [24]</w:t>
      </w:r>
      <w:r w:rsidRPr="00F6252D">
        <w:rPr>
          <w:sz w:val="20"/>
          <w:lang w:val="en-GB"/>
        </w:rPr>
        <w:t>. That said, the problem</w:t>
      </w:r>
      <w:r w:rsidR="00616635" w:rsidRPr="00616635">
        <w:rPr>
          <w:sz w:val="20"/>
        </w:rPr>
        <w:t xml:space="preserve"> of endocrine disruptors is ubiquitous; exposure to these </w:t>
      </w:r>
      <w:r w:rsidR="00616635" w:rsidRPr="00616635">
        <w:rPr>
          <w:sz w:val="20"/>
        </w:rPr>
        <w:t>products occurs at home, in the office, on the farm, in the air we breathe, in the water and food we eat.</w:t>
      </w:r>
    </w:p>
    <w:p w:rsidR="00616635" w:rsidRPr="00F6252D" w:rsidRDefault="00F6252D" w:rsidP="00616635">
      <w:pPr>
        <w:pStyle w:val="Els-body-text"/>
        <w:spacing w:before="100" w:beforeAutospacing="1" w:after="100" w:afterAutospacing="1" w:line="240" w:lineRule="auto"/>
        <w:rPr>
          <w:sz w:val="20"/>
        </w:rPr>
      </w:pPr>
      <w:r w:rsidRPr="00F6252D">
        <w:rPr>
          <w:rFonts w:eastAsia="Calibri"/>
          <w:b/>
          <w:bCs/>
          <w:sz w:val="20"/>
        </w:rPr>
        <w:t>Meeker et al.</w:t>
      </w:r>
      <w:r w:rsidRPr="00F6252D">
        <w:rPr>
          <w:rFonts w:eastAsia="Calibri"/>
          <w:sz w:val="20"/>
        </w:rPr>
        <w:t xml:space="preserve"> and </w:t>
      </w:r>
      <w:proofErr w:type="spellStart"/>
      <w:r w:rsidRPr="00F6252D">
        <w:rPr>
          <w:rFonts w:eastAsia="Calibri"/>
          <w:b/>
          <w:bCs/>
          <w:sz w:val="20"/>
        </w:rPr>
        <w:t>Lacasaña</w:t>
      </w:r>
      <w:proofErr w:type="spellEnd"/>
      <w:r w:rsidRPr="00F6252D">
        <w:rPr>
          <w:rFonts w:eastAsia="Calibri"/>
          <w:b/>
          <w:bCs/>
          <w:sz w:val="20"/>
        </w:rPr>
        <w:t xml:space="preserve"> et al.</w:t>
      </w:r>
      <w:r w:rsidRPr="00F6252D">
        <w:rPr>
          <w:rFonts w:eastAsia="Calibri"/>
          <w:sz w:val="20"/>
        </w:rPr>
        <w:t xml:space="preserve"> studies </w:t>
      </w:r>
      <w:r w:rsidRPr="00F6252D">
        <w:rPr>
          <w:rFonts w:eastAsia="Calibri"/>
          <w:b/>
          <w:bCs/>
          <w:sz w:val="20"/>
        </w:rPr>
        <w:t xml:space="preserve">[22,23] </w:t>
      </w:r>
      <w:r w:rsidRPr="00F6252D">
        <w:rPr>
          <w:rFonts w:eastAsia="Calibri"/>
          <w:sz w:val="20"/>
        </w:rPr>
        <w:t xml:space="preserve">concerned only the male sex (men investigated for infertility or sterility, workers men occupationally exposed). </w:t>
      </w:r>
      <w:r w:rsidRPr="00F6252D">
        <w:rPr>
          <w:rFonts w:eastAsia="Calibri"/>
          <w:b/>
          <w:bCs/>
          <w:sz w:val="20"/>
        </w:rPr>
        <w:t>Wang et al.</w:t>
      </w:r>
      <w:r w:rsidRPr="00F6252D">
        <w:rPr>
          <w:rFonts w:eastAsia="Calibri"/>
          <w:sz w:val="20"/>
        </w:rPr>
        <w:t xml:space="preserve"> </w:t>
      </w:r>
      <w:r w:rsidRPr="00F6252D">
        <w:rPr>
          <w:rFonts w:eastAsia="Calibri"/>
          <w:b/>
          <w:bCs/>
          <w:sz w:val="20"/>
        </w:rPr>
        <w:t xml:space="preserve">[25] </w:t>
      </w:r>
      <w:r w:rsidRPr="00F6252D">
        <w:rPr>
          <w:rFonts w:eastAsia="Calibri"/>
          <w:sz w:val="20"/>
        </w:rPr>
        <w:t>studied the issue in pregnant women.</w:t>
      </w:r>
    </w:p>
    <w:p w:rsidR="00616635" w:rsidRPr="00616635" w:rsidRDefault="00616635" w:rsidP="00616635">
      <w:pPr>
        <w:pStyle w:val="Els-body-text"/>
        <w:spacing w:before="100" w:beforeAutospacing="1" w:after="100" w:afterAutospacing="1" w:line="240" w:lineRule="auto"/>
        <w:rPr>
          <w:sz w:val="20"/>
        </w:rPr>
      </w:pPr>
      <w:r w:rsidRPr="00616635">
        <w:rPr>
          <w:sz w:val="20"/>
        </w:rPr>
        <w:t xml:space="preserve">These are longitudinal studies that assess the problem over a long period of time. The duration of studies is of the order of several years (3 to 4 years). In addition, </w:t>
      </w:r>
      <w:proofErr w:type="spellStart"/>
      <w:r w:rsidRPr="00616635">
        <w:rPr>
          <w:b/>
          <w:bCs/>
          <w:sz w:val="20"/>
        </w:rPr>
        <w:t>Lacasaña</w:t>
      </w:r>
      <w:proofErr w:type="spellEnd"/>
      <w:r w:rsidRPr="00616635">
        <w:rPr>
          <w:b/>
          <w:bCs/>
          <w:sz w:val="20"/>
        </w:rPr>
        <w:t xml:space="preserve"> et al.</w:t>
      </w:r>
      <w:r w:rsidRPr="00616635">
        <w:rPr>
          <w:sz w:val="20"/>
        </w:rPr>
        <w:t xml:space="preserve"> study </w:t>
      </w:r>
      <w:r w:rsidR="00F6252D" w:rsidRPr="00F6252D">
        <w:rPr>
          <w:b/>
          <w:bCs/>
          <w:sz w:val="20"/>
        </w:rPr>
        <w:t>[23]</w:t>
      </w:r>
      <w:r w:rsidR="00F6252D" w:rsidRPr="00F6252D">
        <w:rPr>
          <w:sz w:val="20"/>
        </w:rPr>
        <w:t xml:space="preserve"> </w:t>
      </w:r>
      <w:r w:rsidRPr="00616635">
        <w:rPr>
          <w:sz w:val="20"/>
        </w:rPr>
        <w:t>compared the exposure of the same workers between two agricultural periods, the rainy season when pesticides are used heavily, and the dry season, a period of low pesticide application.</w:t>
      </w:r>
    </w:p>
    <w:p w:rsidR="00616635" w:rsidRPr="00F6252D" w:rsidRDefault="00F6252D" w:rsidP="00F6252D">
      <w:pPr>
        <w:pStyle w:val="Els-body-text"/>
        <w:spacing w:before="100" w:beforeAutospacing="1" w:after="100" w:afterAutospacing="1" w:line="240" w:lineRule="auto"/>
        <w:rPr>
          <w:sz w:val="20"/>
          <w:lang w:val="en-GB"/>
        </w:rPr>
      </w:pPr>
      <w:r w:rsidRPr="00F6252D">
        <w:rPr>
          <w:sz w:val="20"/>
          <w:lang w:val="en-GB"/>
        </w:rPr>
        <w:t xml:space="preserve">The samples are considered representative given their size: 3249 subjects in the </w:t>
      </w:r>
      <w:r w:rsidRPr="00F6252D">
        <w:rPr>
          <w:b/>
          <w:bCs/>
          <w:sz w:val="20"/>
          <w:lang w:val="en-GB"/>
        </w:rPr>
        <w:t>Fortenberry et al.</w:t>
      </w:r>
      <w:r w:rsidRPr="00F6252D">
        <w:rPr>
          <w:sz w:val="20"/>
          <w:lang w:val="en-GB"/>
        </w:rPr>
        <w:t xml:space="preserve"> study </w:t>
      </w:r>
      <w:r w:rsidRPr="00F6252D">
        <w:rPr>
          <w:b/>
          <w:bCs/>
          <w:sz w:val="20"/>
          <w:lang w:val="en-GB"/>
        </w:rPr>
        <w:t>[24]</w:t>
      </w:r>
      <w:r w:rsidRPr="00F6252D">
        <w:rPr>
          <w:sz w:val="20"/>
          <w:lang w:val="en-GB"/>
        </w:rPr>
        <w:t xml:space="preserve">, 322 men in the </w:t>
      </w:r>
      <w:r w:rsidRPr="00F6252D">
        <w:rPr>
          <w:b/>
          <w:bCs/>
          <w:sz w:val="20"/>
          <w:lang w:val="en-GB"/>
        </w:rPr>
        <w:t>Meeker et al.</w:t>
      </w:r>
      <w:r w:rsidRPr="00F6252D">
        <w:rPr>
          <w:sz w:val="20"/>
          <w:lang w:val="en-GB"/>
        </w:rPr>
        <w:t xml:space="preserve"> study </w:t>
      </w:r>
      <w:r w:rsidRPr="00F6252D">
        <w:rPr>
          <w:b/>
          <w:bCs/>
          <w:sz w:val="20"/>
          <w:lang w:val="en-GB"/>
        </w:rPr>
        <w:t>[22]</w:t>
      </w:r>
      <w:r w:rsidRPr="00F6252D">
        <w:rPr>
          <w:sz w:val="20"/>
          <w:lang w:val="en-GB"/>
        </w:rPr>
        <w:t xml:space="preserve">, 136 in the </w:t>
      </w:r>
      <w:proofErr w:type="spellStart"/>
      <w:r w:rsidRPr="00F6252D">
        <w:rPr>
          <w:b/>
          <w:bCs/>
          <w:sz w:val="20"/>
          <w:lang w:val="en-GB"/>
        </w:rPr>
        <w:t>Lacasaña</w:t>
      </w:r>
      <w:proofErr w:type="spellEnd"/>
      <w:r w:rsidRPr="00F6252D">
        <w:rPr>
          <w:b/>
          <w:bCs/>
          <w:sz w:val="20"/>
          <w:lang w:val="en-GB"/>
        </w:rPr>
        <w:t xml:space="preserve"> et al.</w:t>
      </w:r>
      <w:r w:rsidRPr="00F6252D">
        <w:rPr>
          <w:sz w:val="20"/>
          <w:lang w:val="en-GB"/>
        </w:rPr>
        <w:t xml:space="preserve"> study </w:t>
      </w:r>
      <w:r w:rsidRPr="00F6252D">
        <w:rPr>
          <w:b/>
          <w:bCs/>
          <w:sz w:val="20"/>
          <w:lang w:val="en-GB"/>
        </w:rPr>
        <w:t xml:space="preserve">[23] </w:t>
      </w:r>
      <w:r w:rsidRPr="00F6252D">
        <w:rPr>
          <w:sz w:val="20"/>
          <w:lang w:val="en-GB"/>
        </w:rPr>
        <w:t xml:space="preserve">and 325 pregnant women in the </w:t>
      </w:r>
      <w:r w:rsidRPr="00F6252D">
        <w:rPr>
          <w:b/>
          <w:bCs/>
          <w:sz w:val="20"/>
          <w:lang w:val="en-GB"/>
        </w:rPr>
        <w:t>Wang et al.</w:t>
      </w:r>
      <w:r w:rsidRPr="00F6252D">
        <w:rPr>
          <w:sz w:val="20"/>
          <w:lang w:val="en-GB"/>
        </w:rPr>
        <w:t xml:space="preserve"> study </w:t>
      </w:r>
      <w:r w:rsidRPr="00F6252D">
        <w:rPr>
          <w:b/>
          <w:bCs/>
          <w:sz w:val="20"/>
          <w:lang w:val="en-GB"/>
        </w:rPr>
        <w:t>[25]</w:t>
      </w:r>
      <w:r w:rsidRPr="00F6252D">
        <w:rPr>
          <w:sz w:val="20"/>
          <w:lang w:val="en-GB"/>
        </w:rPr>
        <w:t>.</w:t>
      </w:r>
    </w:p>
    <w:p w:rsidR="00616635" w:rsidRPr="00616635" w:rsidRDefault="00067CC4" w:rsidP="00852492">
      <w:pPr>
        <w:pStyle w:val="Els-body-text"/>
        <w:spacing w:before="100" w:beforeAutospacing="1" w:after="100" w:afterAutospacing="1" w:line="240" w:lineRule="auto"/>
        <w:rPr>
          <w:sz w:val="20"/>
        </w:rPr>
      </w:pPr>
      <w:r w:rsidRPr="00067CC4">
        <w:rPr>
          <w:sz w:val="20"/>
          <w:lang w:val="en-GB"/>
        </w:rPr>
        <w:t xml:space="preserve">To study the pesticide-endocrine disruption relationship, the authors used measurement tools to assess the intensity of exposure to OPs and to measure the degree of thyroid disruption. For the exposure assessment, </w:t>
      </w:r>
      <w:r w:rsidRPr="00067CC4">
        <w:rPr>
          <w:b/>
          <w:bCs/>
          <w:sz w:val="20"/>
          <w:lang w:val="en-GB"/>
        </w:rPr>
        <w:t>Meeker et al.</w:t>
      </w:r>
      <w:r w:rsidRPr="00067CC4">
        <w:rPr>
          <w:sz w:val="20"/>
          <w:lang w:val="en-GB"/>
        </w:rPr>
        <w:t xml:space="preserve"> </w:t>
      </w:r>
      <w:r w:rsidRPr="00067CC4">
        <w:rPr>
          <w:b/>
          <w:bCs/>
          <w:sz w:val="20"/>
          <w:lang w:val="en-GB"/>
        </w:rPr>
        <w:t xml:space="preserve">[22] </w:t>
      </w:r>
      <w:r w:rsidRPr="00067CC4">
        <w:rPr>
          <w:sz w:val="20"/>
          <w:lang w:val="en-GB"/>
        </w:rPr>
        <w:t xml:space="preserve">and </w:t>
      </w:r>
      <w:r w:rsidRPr="00067CC4">
        <w:rPr>
          <w:b/>
          <w:bCs/>
          <w:sz w:val="20"/>
          <w:lang w:val="en-GB"/>
        </w:rPr>
        <w:t>Fortenberry et al.</w:t>
      </w:r>
      <w:r w:rsidRPr="00067CC4">
        <w:rPr>
          <w:sz w:val="20"/>
          <w:lang w:val="en-GB"/>
        </w:rPr>
        <w:t xml:space="preserve"> </w:t>
      </w:r>
      <w:r w:rsidRPr="00067CC4">
        <w:rPr>
          <w:b/>
          <w:bCs/>
          <w:sz w:val="20"/>
          <w:lang w:val="en-GB"/>
        </w:rPr>
        <w:t xml:space="preserve">[24] </w:t>
      </w:r>
      <w:r w:rsidRPr="00067CC4">
        <w:rPr>
          <w:sz w:val="20"/>
          <w:lang w:val="en-GB"/>
        </w:rPr>
        <w:t>used 3,5,6-trichloro-2-pyridinol (</w:t>
      </w:r>
      <w:proofErr w:type="spellStart"/>
      <w:r w:rsidRPr="00067CC4">
        <w:rPr>
          <w:sz w:val="20"/>
          <w:lang w:val="en-GB"/>
        </w:rPr>
        <w:t>TCPy</w:t>
      </w:r>
      <w:proofErr w:type="spellEnd"/>
      <w:r w:rsidRPr="00067CC4">
        <w:rPr>
          <w:sz w:val="20"/>
          <w:lang w:val="en-GB"/>
        </w:rPr>
        <w:t xml:space="preserve">), metabolite of chlorpyriphos and chlorpyriphos-methyl, while </w:t>
      </w:r>
      <w:proofErr w:type="spellStart"/>
      <w:r w:rsidRPr="00067CC4">
        <w:rPr>
          <w:b/>
          <w:bCs/>
          <w:sz w:val="20"/>
          <w:lang w:val="en-GB"/>
        </w:rPr>
        <w:t>Lacasaña</w:t>
      </w:r>
      <w:proofErr w:type="spellEnd"/>
      <w:r w:rsidRPr="00067CC4">
        <w:rPr>
          <w:b/>
          <w:bCs/>
          <w:sz w:val="20"/>
          <w:lang w:val="en-GB"/>
        </w:rPr>
        <w:t xml:space="preserve"> et al.</w:t>
      </w:r>
      <w:r w:rsidRPr="00067CC4">
        <w:rPr>
          <w:sz w:val="20"/>
          <w:lang w:val="en-GB"/>
        </w:rPr>
        <w:t xml:space="preserve"> </w:t>
      </w:r>
      <w:r w:rsidRPr="00067CC4">
        <w:rPr>
          <w:b/>
          <w:bCs/>
          <w:sz w:val="20"/>
          <w:lang w:val="en-GB"/>
        </w:rPr>
        <w:t xml:space="preserve">[23] </w:t>
      </w:r>
      <w:r w:rsidRPr="00067CC4">
        <w:rPr>
          <w:sz w:val="20"/>
          <w:lang w:val="en-GB"/>
        </w:rPr>
        <w:t xml:space="preserve">and </w:t>
      </w:r>
      <w:r w:rsidRPr="00067CC4">
        <w:rPr>
          <w:b/>
          <w:bCs/>
          <w:sz w:val="20"/>
          <w:lang w:val="en-GB"/>
        </w:rPr>
        <w:t>Wang et al.</w:t>
      </w:r>
      <w:r w:rsidRPr="00067CC4">
        <w:rPr>
          <w:sz w:val="20"/>
          <w:lang w:val="en-GB"/>
        </w:rPr>
        <w:t xml:space="preserve"> </w:t>
      </w:r>
      <w:r w:rsidRPr="00067CC4">
        <w:rPr>
          <w:b/>
          <w:bCs/>
          <w:sz w:val="20"/>
          <w:lang w:val="en-GB"/>
        </w:rPr>
        <w:t xml:space="preserve">[25] </w:t>
      </w:r>
      <w:r w:rsidRPr="00067CC4">
        <w:rPr>
          <w:sz w:val="20"/>
          <w:lang w:val="en-GB"/>
        </w:rPr>
        <w:t xml:space="preserve">measured </w:t>
      </w:r>
      <w:proofErr w:type="spellStart"/>
      <w:r w:rsidRPr="00067CC4">
        <w:rPr>
          <w:sz w:val="20"/>
          <w:lang w:val="en-GB"/>
        </w:rPr>
        <w:t>dialkylphosphates</w:t>
      </w:r>
      <w:proofErr w:type="spellEnd"/>
      <w:r w:rsidRPr="00067CC4">
        <w:rPr>
          <w:sz w:val="20"/>
          <w:lang w:val="en-GB"/>
        </w:rPr>
        <w:t xml:space="preserve"> (DAP), common metabolites of OPs. In addition to </w:t>
      </w:r>
      <w:proofErr w:type="spellStart"/>
      <w:r w:rsidRPr="00067CC4">
        <w:rPr>
          <w:sz w:val="20"/>
          <w:lang w:val="en-GB"/>
        </w:rPr>
        <w:t>TCPy</w:t>
      </w:r>
      <w:proofErr w:type="spellEnd"/>
      <w:r w:rsidRPr="00067CC4">
        <w:rPr>
          <w:sz w:val="20"/>
          <w:lang w:val="en-GB"/>
        </w:rPr>
        <w:t xml:space="preserve">, </w:t>
      </w:r>
      <w:r w:rsidRPr="00067CC4">
        <w:rPr>
          <w:b/>
          <w:bCs/>
          <w:sz w:val="20"/>
          <w:lang w:val="en-GB"/>
        </w:rPr>
        <w:t>Meeker et al.</w:t>
      </w:r>
      <w:r w:rsidRPr="00067CC4">
        <w:rPr>
          <w:sz w:val="20"/>
          <w:lang w:val="en-GB"/>
        </w:rPr>
        <w:t xml:space="preserve"> </w:t>
      </w:r>
      <w:r w:rsidRPr="00067CC4">
        <w:rPr>
          <w:b/>
          <w:bCs/>
          <w:sz w:val="20"/>
          <w:lang w:val="en-GB"/>
        </w:rPr>
        <w:t xml:space="preserve">[22] </w:t>
      </w:r>
      <w:r w:rsidRPr="00067CC4">
        <w:rPr>
          <w:sz w:val="20"/>
          <w:lang w:val="en-GB"/>
        </w:rPr>
        <w:t xml:space="preserve">measured the carbaryl metabolite 1-naphthol (1N) and, in addition to DAP, </w:t>
      </w:r>
      <w:proofErr w:type="spellStart"/>
      <w:r w:rsidRPr="00067CC4">
        <w:rPr>
          <w:b/>
          <w:bCs/>
          <w:sz w:val="20"/>
          <w:lang w:val="en-GB"/>
        </w:rPr>
        <w:t>Lacasaña</w:t>
      </w:r>
      <w:proofErr w:type="spellEnd"/>
      <w:r w:rsidRPr="00067CC4">
        <w:rPr>
          <w:b/>
          <w:bCs/>
          <w:sz w:val="20"/>
          <w:lang w:val="en-GB"/>
        </w:rPr>
        <w:t xml:space="preserve"> et al.</w:t>
      </w:r>
      <w:r w:rsidRPr="00067CC4">
        <w:rPr>
          <w:sz w:val="20"/>
          <w:lang w:val="en-GB"/>
        </w:rPr>
        <w:t xml:space="preserve"> </w:t>
      </w:r>
      <w:r w:rsidRPr="00067CC4">
        <w:rPr>
          <w:b/>
          <w:bCs/>
          <w:sz w:val="20"/>
          <w:lang w:val="en-GB"/>
        </w:rPr>
        <w:t xml:space="preserve">[23] </w:t>
      </w:r>
      <w:r w:rsidRPr="00067CC4">
        <w:rPr>
          <w:sz w:val="20"/>
          <w:lang w:val="en-GB"/>
        </w:rPr>
        <w:t xml:space="preserve">measured the serum enzymatic activity of paraoxonase-1 (PON1) and p, p′- </w:t>
      </w:r>
      <w:proofErr w:type="spellStart"/>
      <w:r w:rsidRPr="00067CC4">
        <w:rPr>
          <w:sz w:val="20"/>
          <w:lang w:val="en-GB"/>
        </w:rPr>
        <w:t>dichlorodiphenyldichloroethylene</w:t>
      </w:r>
      <w:proofErr w:type="spellEnd"/>
      <w:r w:rsidRPr="00067CC4">
        <w:rPr>
          <w:sz w:val="20"/>
          <w:lang w:val="en-GB"/>
        </w:rPr>
        <w:t xml:space="preserve"> (p, p'-DDE), the main metabolite of DDT.</w:t>
      </w:r>
      <w:r w:rsidR="00852492">
        <w:rPr>
          <w:sz w:val="20"/>
          <w:lang w:val="en-GB"/>
        </w:rPr>
        <w:t xml:space="preserve"> </w:t>
      </w:r>
      <w:r w:rsidR="00616635" w:rsidRPr="00616635">
        <w:rPr>
          <w:sz w:val="20"/>
        </w:rPr>
        <w:t>These parameters are potential confounders for the assessment of thyroid disruption. For the evaluation of the disruption of the thyroid function, the authors used the assay of thyroid hormones (T3, T4, TSH).</w:t>
      </w:r>
    </w:p>
    <w:p w:rsidR="00616635" w:rsidRPr="00616635" w:rsidRDefault="00EC2447" w:rsidP="00EC2447">
      <w:pPr>
        <w:pStyle w:val="Els-body-text"/>
        <w:spacing w:before="100" w:beforeAutospacing="1" w:after="100" w:afterAutospacing="1" w:line="240" w:lineRule="auto"/>
        <w:rPr>
          <w:sz w:val="20"/>
        </w:rPr>
      </w:pPr>
      <w:r w:rsidRPr="00EC2447">
        <w:rPr>
          <w:sz w:val="20"/>
          <w:lang w:val="en-GB"/>
        </w:rPr>
        <w:t xml:space="preserve">The conclusions of these studies are quite disparate. </w:t>
      </w:r>
      <w:r w:rsidRPr="00EC2447">
        <w:rPr>
          <w:b/>
          <w:bCs/>
          <w:sz w:val="20"/>
          <w:lang w:val="en-GB"/>
        </w:rPr>
        <w:t>Meeker et al.</w:t>
      </w:r>
      <w:r w:rsidRPr="00EC2447">
        <w:rPr>
          <w:sz w:val="20"/>
          <w:lang w:val="en-GB"/>
        </w:rPr>
        <w:t xml:space="preserve"> </w:t>
      </w:r>
      <w:r w:rsidRPr="00EC2447">
        <w:rPr>
          <w:b/>
          <w:bCs/>
          <w:sz w:val="20"/>
          <w:lang w:val="en-GB"/>
        </w:rPr>
        <w:t xml:space="preserve">[22] </w:t>
      </w:r>
      <w:r w:rsidRPr="00EC2447">
        <w:rPr>
          <w:sz w:val="20"/>
          <w:lang w:val="en-GB"/>
        </w:rPr>
        <w:t xml:space="preserve">describe an increase in TSH levels with a decrease in T4 levels linked to an increase in the levels of the metabolite </w:t>
      </w:r>
      <w:proofErr w:type="spellStart"/>
      <w:r w:rsidRPr="00EC2447">
        <w:rPr>
          <w:sz w:val="20"/>
          <w:lang w:val="en-GB"/>
        </w:rPr>
        <w:t>TCPy</w:t>
      </w:r>
      <w:proofErr w:type="spellEnd"/>
      <w:r w:rsidRPr="00EC2447">
        <w:rPr>
          <w:sz w:val="20"/>
          <w:lang w:val="en-GB"/>
        </w:rPr>
        <w:t xml:space="preserve">. </w:t>
      </w:r>
      <w:r w:rsidRPr="001D0B3C">
        <w:rPr>
          <w:sz w:val="20"/>
          <w:lang w:val="en-GB"/>
        </w:rPr>
        <w:t xml:space="preserve">Environmental exposure to chlorpyriphos, chlorpyriphos-methyl could thus be associated with hypothyroidism in men. </w:t>
      </w:r>
      <w:proofErr w:type="spellStart"/>
      <w:r w:rsidRPr="001D0B3C">
        <w:rPr>
          <w:b/>
          <w:bCs/>
          <w:sz w:val="20"/>
          <w:lang w:val="en-GB"/>
        </w:rPr>
        <w:t>Lacasaña</w:t>
      </w:r>
      <w:proofErr w:type="spellEnd"/>
      <w:r w:rsidRPr="001D0B3C">
        <w:rPr>
          <w:b/>
          <w:bCs/>
          <w:sz w:val="20"/>
          <w:lang w:val="en-GB"/>
        </w:rPr>
        <w:t xml:space="preserve"> et al.</w:t>
      </w:r>
      <w:r w:rsidRPr="001D0B3C">
        <w:rPr>
          <w:sz w:val="20"/>
          <w:lang w:val="en-GB"/>
        </w:rPr>
        <w:t xml:space="preserve"> </w:t>
      </w:r>
      <w:r w:rsidRPr="001D0B3C">
        <w:rPr>
          <w:b/>
          <w:bCs/>
          <w:sz w:val="20"/>
          <w:lang w:val="en-GB"/>
        </w:rPr>
        <w:t xml:space="preserve">[23] </w:t>
      </w:r>
      <w:r w:rsidRPr="001D0B3C">
        <w:rPr>
          <w:sz w:val="20"/>
          <w:lang w:val="en-GB"/>
        </w:rPr>
        <w:t xml:space="preserve">report an association between an increase in total </w:t>
      </w:r>
      <w:proofErr w:type="spellStart"/>
      <w:r w:rsidRPr="001D0B3C">
        <w:rPr>
          <w:sz w:val="20"/>
          <w:lang w:val="en-GB"/>
        </w:rPr>
        <w:t>dimethylphosphate</w:t>
      </w:r>
      <w:proofErr w:type="spellEnd"/>
      <w:r w:rsidRPr="001D0B3C">
        <w:rPr>
          <w:sz w:val="20"/>
          <w:lang w:val="en-GB"/>
        </w:rPr>
        <w:t xml:space="preserve"> </w:t>
      </w:r>
      <w:r w:rsidR="00616635" w:rsidRPr="00616635">
        <w:rPr>
          <w:sz w:val="20"/>
        </w:rPr>
        <w:t xml:space="preserve">(ΣDMP) levels in urine and an </w:t>
      </w:r>
      <w:r w:rsidR="00616635" w:rsidRPr="00616635">
        <w:rPr>
          <w:sz w:val="20"/>
        </w:rPr>
        <w:lastRenderedPageBreak/>
        <w:t>increase in TSH and T4 hormones in serum on the one hand, and a decrease in serum T3 levels on the other.</w:t>
      </w:r>
    </w:p>
    <w:p w:rsidR="00616635" w:rsidRPr="00616635" w:rsidRDefault="001D0B3C" w:rsidP="00616635">
      <w:pPr>
        <w:pStyle w:val="Els-body-text"/>
        <w:spacing w:before="100" w:beforeAutospacing="1" w:after="100" w:afterAutospacing="1" w:line="240" w:lineRule="auto"/>
        <w:rPr>
          <w:sz w:val="20"/>
        </w:rPr>
      </w:pPr>
      <w:r w:rsidRPr="001D0B3C">
        <w:rPr>
          <w:rFonts w:eastAsia="Calibri"/>
          <w:b/>
          <w:bCs/>
          <w:sz w:val="20"/>
        </w:rPr>
        <w:t>Wang et al.</w:t>
      </w:r>
      <w:r w:rsidRPr="001D0B3C">
        <w:rPr>
          <w:rFonts w:eastAsia="Calibri"/>
          <w:sz w:val="20"/>
        </w:rPr>
        <w:t xml:space="preserve"> </w:t>
      </w:r>
      <w:r w:rsidRPr="001D0B3C">
        <w:rPr>
          <w:rFonts w:eastAsia="Calibri"/>
          <w:b/>
          <w:bCs/>
          <w:sz w:val="20"/>
        </w:rPr>
        <w:t xml:space="preserve">[25] </w:t>
      </w:r>
      <w:r w:rsidRPr="001D0B3C">
        <w:rPr>
          <w:rFonts w:eastAsia="Calibri"/>
          <w:sz w:val="20"/>
        </w:rPr>
        <w:t xml:space="preserve">describe a positive association of urinary DAP levels with free T4 levels and a negative association with TSH levels. The results of </w:t>
      </w:r>
      <w:r w:rsidRPr="001D0B3C">
        <w:rPr>
          <w:rFonts w:eastAsia="Calibri"/>
          <w:b/>
          <w:bCs/>
          <w:sz w:val="20"/>
        </w:rPr>
        <w:t>Fortenberry et al.</w:t>
      </w:r>
      <w:r w:rsidRPr="001D0B3C">
        <w:rPr>
          <w:rFonts w:eastAsia="Calibri"/>
          <w:sz w:val="20"/>
        </w:rPr>
        <w:t xml:space="preserve"> </w:t>
      </w:r>
      <w:r w:rsidRPr="001D0B3C">
        <w:rPr>
          <w:rFonts w:eastAsia="Calibri"/>
          <w:b/>
          <w:bCs/>
          <w:sz w:val="20"/>
        </w:rPr>
        <w:t xml:space="preserve">[24] </w:t>
      </w:r>
      <w:r w:rsidR="00616635" w:rsidRPr="001D0B3C">
        <w:rPr>
          <w:sz w:val="20"/>
        </w:rPr>
        <w:t>goes in the same direction since exposure to OPs</w:t>
      </w:r>
      <w:r w:rsidR="00616635" w:rsidRPr="00616635">
        <w:rPr>
          <w:sz w:val="20"/>
        </w:rPr>
        <w:t xml:space="preserve"> (chlorpyriphos and chlorpyriphos-methyl) was responsible for a significant increase in T4 levels and a decrease in TSH levels.</w:t>
      </w:r>
    </w:p>
    <w:p w:rsidR="00616635" w:rsidRPr="00616635" w:rsidRDefault="00616635" w:rsidP="00616635">
      <w:pPr>
        <w:pStyle w:val="Els-body-text"/>
        <w:spacing w:before="100" w:beforeAutospacing="1" w:after="100" w:afterAutospacing="1" w:line="240" w:lineRule="auto"/>
        <w:rPr>
          <w:sz w:val="20"/>
        </w:rPr>
      </w:pPr>
      <w:r w:rsidRPr="00616635">
        <w:rPr>
          <w:sz w:val="20"/>
        </w:rPr>
        <w:t xml:space="preserve">These data imply that the epidemiological literature emphasizing </w:t>
      </w:r>
      <w:proofErr w:type="spellStart"/>
      <w:r w:rsidRPr="00616635">
        <w:rPr>
          <w:sz w:val="20"/>
        </w:rPr>
        <w:t>dysthyroidism</w:t>
      </w:r>
      <w:proofErr w:type="spellEnd"/>
      <w:r w:rsidRPr="00616635">
        <w:rPr>
          <w:sz w:val="20"/>
        </w:rPr>
        <w:t xml:space="preserve"> associated with exposure to OPs is still poor, despite the evidence provided by animal studies. Contrary to the latter, the conclusions of studies in humans are divergent as to the direction of the disruption but converge with the </w:t>
      </w:r>
      <w:r w:rsidRPr="00616635">
        <w:rPr>
          <w:i/>
          <w:iCs/>
          <w:sz w:val="20"/>
        </w:rPr>
        <w:t>in vivo</w:t>
      </w:r>
      <w:r w:rsidRPr="00616635">
        <w:rPr>
          <w:sz w:val="20"/>
        </w:rPr>
        <w:t xml:space="preserve"> tests on the presence of a disruption in thyroid hormones.</w:t>
      </w:r>
    </w:p>
    <w:p w:rsidR="00012625" w:rsidRPr="00616635" w:rsidRDefault="00CD3515" w:rsidP="00616635">
      <w:pPr>
        <w:pStyle w:val="Els-body-text"/>
        <w:spacing w:before="100" w:beforeAutospacing="1" w:after="100" w:afterAutospacing="1" w:line="240" w:lineRule="auto"/>
        <w:rPr>
          <w:b/>
          <w:bCs/>
          <w:sz w:val="20"/>
          <w:lang w:val="en-GB"/>
        </w:rPr>
      </w:pPr>
      <w:r w:rsidRPr="00616635">
        <w:rPr>
          <w:b/>
          <w:bCs/>
          <w:i/>
          <w:iCs/>
          <w:sz w:val="20"/>
          <w:lang w:val="en-GB"/>
        </w:rPr>
        <w:t>In vitro</w:t>
      </w:r>
      <w:r w:rsidRPr="00616635">
        <w:rPr>
          <w:b/>
          <w:bCs/>
          <w:sz w:val="20"/>
          <w:lang w:val="en-GB"/>
        </w:rPr>
        <w:t> studies</w:t>
      </w:r>
    </w:p>
    <w:p w:rsidR="00616635" w:rsidRPr="00616635" w:rsidRDefault="00616635" w:rsidP="00616635">
      <w:pPr>
        <w:pStyle w:val="Els-body-text"/>
        <w:spacing w:before="100" w:beforeAutospacing="1" w:after="100" w:afterAutospacing="1" w:line="240" w:lineRule="auto"/>
        <w:rPr>
          <w:sz w:val="20"/>
        </w:rPr>
      </w:pPr>
      <w:r w:rsidRPr="00616635">
        <w:rPr>
          <w:sz w:val="20"/>
        </w:rPr>
        <w:t xml:space="preserve">Similar to studies in humans, there are few studies on the relationship between exposure to OPs and a consequent thyroid disruption </w:t>
      </w:r>
      <w:r w:rsidRPr="00616635">
        <w:rPr>
          <w:i/>
          <w:iCs/>
          <w:sz w:val="20"/>
        </w:rPr>
        <w:t>in vitro</w:t>
      </w:r>
      <w:r w:rsidRPr="00616635">
        <w:rPr>
          <w:sz w:val="20"/>
        </w:rPr>
        <w:t>. Only two studies seem to answer the question.</w:t>
      </w:r>
    </w:p>
    <w:p w:rsidR="00616635" w:rsidRPr="00AC7F88" w:rsidRDefault="00AC7F88" w:rsidP="00AC7F88">
      <w:pPr>
        <w:pStyle w:val="Els-body-text"/>
        <w:spacing w:before="100" w:beforeAutospacing="1" w:after="100" w:afterAutospacing="1" w:line="240" w:lineRule="auto"/>
        <w:rPr>
          <w:sz w:val="20"/>
          <w:lang w:val="en-GB"/>
        </w:rPr>
      </w:pPr>
      <w:r w:rsidRPr="00AC7F88">
        <w:rPr>
          <w:sz w:val="20"/>
          <w:lang w:val="en-GB"/>
        </w:rPr>
        <w:t xml:space="preserve">Both studies were not specifically conducted for OPs; </w:t>
      </w:r>
      <w:proofErr w:type="spellStart"/>
      <w:r w:rsidRPr="00AC7F88">
        <w:rPr>
          <w:b/>
          <w:bCs/>
          <w:sz w:val="20"/>
          <w:lang w:val="en-GB"/>
        </w:rPr>
        <w:t>Ghisari</w:t>
      </w:r>
      <w:proofErr w:type="spellEnd"/>
      <w:r w:rsidRPr="00AC7F88">
        <w:rPr>
          <w:b/>
          <w:bCs/>
          <w:sz w:val="20"/>
          <w:lang w:val="en-GB"/>
        </w:rPr>
        <w:t xml:space="preserve"> et al.</w:t>
      </w:r>
      <w:r w:rsidRPr="00AC7F88">
        <w:rPr>
          <w:sz w:val="20"/>
          <w:lang w:val="en-GB"/>
        </w:rPr>
        <w:t xml:space="preserve"> study </w:t>
      </w:r>
      <w:r w:rsidRPr="00AC7F88">
        <w:rPr>
          <w:b/>
          <w:bCs/>
          <w:sz w:val="20"/>
          <w:lang w:val="en-GB"/>
        </w:rPr>
        <w:t xml:space="preserve">[26] </w:t>
      </w:r>
      <w:proofErr w:type="spellStart"/>
      <w:r w:rsidRPr="00AC7F88">
        <w:rPr>
          <w:sz w:val="20"/>
          <w:lang w:val="en-GB"/>
        </w:rPr>
        <w:t>analyzed</w:t>
      </w:r>
      <w:proofErr w:type="spellEnd"/>
      <w:r w:rsidRPr="00AC7F88">
        <w:rPr>
          <w:sz w:val="20"/>
          <w:lang w:val="en-GB"/>
        </w:rPr>
        <w:t xml:space="preserve"> the action of thirteen pesticides of different classes, including malathion, and that of </w:t>
      </w:r>
      <w:proofErr w:type="spellStart"/>
      <w:r w:rsidRPr="00AC7F88">
        <w:rPr>
          <w:b/>
          <w:bCs/>
          <w:sz w:val="20"/>
          <w:lang w:val="en-GB"/>
        </w:rPr>
        <w:t>Porreca</w:t>
      </w:r>
      <w:proofErr w:type="spellEnd"/>
      <w:r w:rsidRPr="00AC7F88">
        <w:rPr>
          <w:b/>
          <w:bCs/>
          <w:sz w:val="20"/>
          <w:lang w:val="en-GB"/>
        </w:rPr>
        <w:t xml:space="preserve"> et al.</w:t>
      </w:r>
      <w:r w:rsidRPr="00AC7F88">
        <w:rPr>
          <w:sz w:val="20"/>
          <w:lang w:val="en-GB"/>
        </w:rPr>
        <w:t xml:space="preserve"> </w:t>
      </w:r>
      <w:r w:rsidRPr="00AC7F88">
        <w:rPr>
          <w:b/>
          <w:bCs/>
          <w:sz w:val="20"/>
          <w:lang w:val="en-GB"/>
        </w:rPr>
        <w:t xml:space="preserve">[27] </w:t>
      </w:r>
      <w:r w:rsidRPr="00AC7F88">
        <w:rPr>
          <w:sz w:val="20"/>
          <w:lang w:val="en-GB"/>
        </w:rPr>
        <w:t>investigated the effect of ethylene thiourea in parallel with that of chlorpyriphos.</w:t>
      </w:r>
    </w:p>
    <w:p w:rsidR="00616635" w:rsidRPr="001011B1" w:rsidRDefault="001011B1" w:rsidP="001011B1">
      <w:pPr>
        <w:pStyle w:val="Els-body-text"/>
        <w:spacing w:before="100" w:beforeAutospacing="1" w:after="100" w:afterAutospacing="1" w:line="240" w:lineRule="auto"/>
        <w:rPr>
          <w:sz w:val="20"/>
          <w:lang w:val="en-GB"/>
        </w:rPr>
      </w:pPr>
      <w:r w:rsidRPr="001011B1">
        <w:rPr>
          <w:sz w:val="20"/>
          <w:lang w:val="en-GB"/>
        </w:rPr>
        <w:t xml:space="preserve">Cultures were carried out on different cell lines. GH3 cells from rat </w:t>
      </w:r>
      <w:proofErr w:type="spellStart"/>
      <w:r w:rsidRPr="001011B1">
        <w:rPr>
          <w:sz w:val="20"/>
          <w:lang w:val="en-GB"/>
        </w:rPr>
        <w:t>somatotropic</w:t>
      </w:r>
      <w:proofErr w:type="spellEnd"/>
      <w:r w:rsidRPr="001011B1">
        <w:rPr>
          <w:sz w:val="20"/>
          <w:lang w:val="en-GB"/>
        </w:rPr>
        <w:t xml:space="preserve"> pituitary </w:t>
      </w:r>
      <w:proofErr w:type="spellStart"/>
      <w:r w:rsidRPr="001011B1">
        <w:rPr>
          <w:sz w:val="20"/>
          <w:lang w:val="en-GB"/>
        </w:rPr>
        <w:t>tumor</w:t>
      </w:r>
      <w:proofErr w:type="spellEnd"/>
      <w:r w:rsidRPr="001011B1">
        <w:rPr>
          <w:sz w:val="20"/>
          <w:lang w:val="en-GB"/>
        </w:rPr>
        <w:t xml:space="preserve"> were used in the </w:t>
      </w:r>
      <w:proofErr w:type="spellStart"/>
      <w:r w:rsidRPr="001011B1">
        <w:rPr>
          <w:b/>
          <w:bCs/>
          <w:sz w:val="20"/>
          <w:lang w:val="en-GB"/>
        </w:rPr>
        <w:t>Ghisari</w:t>
      </w:r>
      <w:proofErr w:type="spellEnd"/>
      <w:r w:rsidRPr="001011B1">
        <w:rPr>
          <w:b/>
          <w:bCs/>
          <w:sz w:val="20"/>
          <w:lang w:val="en-GB"/>
        </w:rPr>
        <w:t xml:space="preserve"> et al.</w:t>
      </w:r>
      <w:r w:rsidRPr="001011B1">
        <w:rPr>
          <w:sz w:val="20"/>
          <w:lang w:val="en-GB"/>
        </w:rPr>
        <w:t xml:space="preserve"> </w:t>
      </w:r>
      <w:r w:rsidRPr="001011B1">
        <w:rPr>
          <w:b/>
          <w:bCs/>
          <w:sz w:val="20"/>
          <w:lang w:val="en-GB"/>
        </w:rPr>
        <w:t xml:space="preserve">[26] </w:t>
      </w:r>
      <w:r w:rsidRPr="001011B1">
        <w:rPr>
          <w:sz w:val="20"/>
          <w:lang w:val="en-GB"/>
        </w:rPr>
        <w:t xml:space="preserve">experiment and PCCl3 cells, which are immortalized thyrocytes from rats, in </w:t>
      </w:r>
      <w:proofErr w:type="spellStart"/>
      <w:r w:rsidRPr="001011B1">
        <w:rPr>
          <w:b/>
          <w:bCs/>
          <w:sz w:val="20"/>
          <w:lang w:val="en-GB"/>
        </w:rPr>
        <w:t>Porreca</w:t>
      </w:r>
      <w:proofErr w:type="spellEnd"/>
      <w:r w:rsidRPr="001011B1">
        <w:rPr>
          <w:b/>
          <w:bCs/>
          <w:sz w:val="20"/>
          <w:lang w:val="en-GB"/>
        </w:rPr>
        <w:t xml:space="preserve"> et al.</w:t>
      </w:r>
      <w:r w:rsidRPr="001011B1">
        <w:rPr>
          <w:sz w:val="20"/>
          <w:lang w:val="en-GB"/>
        </w:rPr>
        <w:t xml:space="preserve"> work </w:t>
      </w:r>
      <w:r w:rsidRPr="001011B1">
        <w:rPr>
          <w:b/>
          <w:bCs/>
          <w:sz w:val="20"/>
          <w:lang w:val="en-GB"/>
        </w:rPr>
        <w:t>[27]</w:t>
      </w:r>
      <w:r w:rsidRPr="001011B1">
        <w:rPr>
          <w:sz w:val="20"/>
          <w:lang w:val="en-GB"/>
        </w:rPr>
        <w:t>.</w:t>
      </w:r>
    </w:p>
    <w:p w:rsidR="00616635" w:rsidRPr="00616635" w:rsidRDefault="008515D4" w:rsidP="008515D4">
      <w:pPr>
        <w:pStyle w:val="Els-body-text"/>
        <w:spacing w:before="100" w:beforeAutospacing="1" w:after="100" w:afterAutospacing="1" w:line="240" w:lineRule="auto"/>
        <w:rPr>
          <w:sz w:val="20"/>
        </w:rPr>
      </w:pPr>
      <w:r w:rsidRPr="008515D4">
        <w:rPr>
          <w:sz w:val="20"/>
          <w:lang w:val="en-GB"/>
        </w:rPr>
        <w:t xml:space="preserve">The evaluation parameters for the two studies are distinct: GH3 cell proliferation assay and biological test of the </w:t>
      </w:r>
      <w:proofErr w:type="spellStart"/>
      <w:r w:rsidRPr="008515D4">
        <w:rPr>
          <w:sz w:val="20"/>
          <w:lang w:val="en-GB"/>
        </w:rPr>
        <w:t>AhR</w:t>
      </w:r>
      <w:proofErr w:type="spellEnd"/>
      <w:r w:rsidRPr="008515D4">
        <w:rPr>
          <w:sz w:val="20"/>
          <w:lang w:val="en-GB"/>
        </w:rPr>
        <w:t xml:space="preserve">-sensitive luciferase reporter gene for the study of </w:t>
      </w:r>
      <w:proofErr w:type="spellStart"/>
      <w:r w:rsidRPr="008515D4">
        <w:rPr>
          <w:b/>
          <w:bCs/>
          <w:sz w:val="20"/>
          <w:lang w:val="en-GB"/>
        </w:rPr>
        <w:t>Ghisari</w:t>
      </w:r>
      <w:proofErr w:type="spellEnd"/>
      <w:r w:rsidRPr="008515D4">
        <w:rPr>
          <w:b/>
          <w:bCs/>
          <w:sz w:val="20"/>
          <w:lang w:val="en-GB"/>
        </w:rPr>
        <w:t xml:space="preserve"> et al. [26]</w:t>
      </w:r>
      <w:r w:rsidRPr="008515D4">
        <w:rPr>
          <w:sz w:val="20"/>
          <w:lang w:val="en-GB"/>
        </w:rPr>
        <w:t>, and analysis flow of high RNA sequencing data (</w:t>
      </w:r>
      <w:proofErr w:type="spellStart"/>
      <w:r w:rsidRPr="008515D4">
        <w:rPr>
          <w:sz w:val="20"/>
          <w:lang w:val="en-GB"/>
        </w:rPr>
        <w:t>RNAseq</w:t>
      </w:r>
      <w:proofErr w:type="spellEnd"/>
      <w:r w:rsidRPr="008515D4">
        <w:rPr>
          <w:sz w:val="20"/>
          <w:lang w:val="en-GB"/>
        </w:rPr>
        <w:t xml:space="preserve">) and analysis of ingenuity pathways (IPA) for the study of </w:t>
      </w:r>
      <w:proofErr w:type="spellStart"/>
      <w:r w:rsidRPr="008515D4">
        <w:rPr>
          <w:b/>
          <w:bCs/>
          <w:sz w:val="20"/>
          <w:lang w:val="en-GB"/>
        </w:rPr>
        <w:t>Porreca</w:t>
      </w:r>
      <w:proofErr w:type="spellEnd"/>
      <w:r w:rsidRPr="008515D4">
        <w:rPr>
          <w:b/>
          <w:bCs/>
          <w:sz w:val="20"/>
          <w:lang w:val="en-GB"/>
        </w:rPr>
        <w:t xml:space="preserve"> et al. </w:t>
      </w:r>
      <w:r w:rsidRPr="008515D4">
        <w:rPr>
          <w:b/>
          <w:bCs/>
          <w:sz w:val="20"/>
          <w:lang w:val="fr-FR"/>
        </w:rPr>
        <w:t>[27]</w:t>
      </w:r>
      <w:r w:rsidRPr="008515D4">
        <w:rPr>
          <w:sz w:val="20"/>
          <w:lang w:val="fr-FR"/>
        </w:rPr>
        <w:t>.</w:t>
      </w:r>
    </w:p>
    <w:p w:rsidR="00616635" w:rsidRDefault="00616635" w:rsidP="00616635">
      <w:pPr>
        <w:pStyle w:val="Els-body-text"/>
        <w:spacing w:before="100" w:beforeAutospacing="1" w:after="100" w:afterAutospacing="1" w:line="240" w:lineRule="auto"/>
        <w:rPr>
          <w:sz w:val="20"/>
        </w:rPr>
      </w:pPr>
      <w:r w:rsidRPr="00616635">
        <w:rPr>
          <w:sz w:val="20"/>
        </w:rPr>
        <w:t xml:space="preserve">Although the diagnostic tools were different for both studies, either in cell lines or explored parameters, thyroid dysfunction was induced by the </w:t>
      </w:r>
      <w:r w:rsidRPr="00616635">
        <w:rPr>
          <w:sz w:val="20"/>
        </w:rPr>
        <w:t xml:space="preserve">OPs in the two cases. Thus, </w:t>
      </w:r>
      <w:r w:rsidRPr="00616635">
        <w:rPr>
          <w:i/>
          <w:iCs/>
          <w:sz w:val="20"/>
        </w:rPr>
        <w:t>in vitro</w:t>
      </w:r>
      <w:r w:rsidRPr="00616635">
        <w:rPr>
          <w:sz w:val="20"/>
        </w:rPr>
        <w:t xml:space="preserve"> studies are a powerful tool for predicting adverse effects </w:t>
      </w:r>
      <w:r w:rsidRPr="00616635">
        <w:rPr>
          <w:i/>
          <w:iCs/>
          <w:sz w:val="20"/>
        </w:rPr>
        <w:t>in vivo</w:t>
      </w:r>
      <w:r w:rsidRPr="00616635">
        <w:rPr>
          <w:sz w:val="20"/>
        </w:rPr>
        <w:t xml:space="preserve"> although they do not fully summarize the biocomplexity of an animal. In addition, </w:t>
      </w:r>
      <w:r w:rsidRPr="00616635">
        <w:rPr>
          <w:i/>
          <w:iCs/>
          <w:sz w:val="20"/>
        </w:rPr>
        <w:t>in vitro</w:t>
      </w:r>
      <w:r w:rsidRPr="00616635">
        <w:rPr>
          <w:sz w:val="20"/>
        </w:rPr>
        <w:t xml:space="preserve"> prediction of unexpected results could allow better planning of </w:t>
      </w:r>
      <w:r w:rsidRPr="00616635">
        <w:rPr>
          <w:i/>
          <w:iCs/>
          <w:sz w:val="20"/>
        </w:rPr>
        <w:t>in vivo</w:t>
      </w:r>
      <w:r w:rsidRPr="00616635">
        <w:rPr>
          <w:sz w:val="20"/>
        </w:rPr>
        <w:t xml:space="preserve"> experiments.</w:t>
      </w:r>
    </w:p>
    <w:p w:rsidR="001924EF" w:rsidRDefault="001924EF" w:rsidP="00616635">
      <w:pPr>
        <w:pStyle w:val="Els-body-text"/>
        <w:spacing w:before="100" w:beforeAutospacing="1" w:after="100" w:afterAutospacing="1" w:line="240" w:lineRule="auto"/>
        <w:rPr>
          <w:sz w:val="20"/>
        </w:rPr>
      </w:pPr>
    </w:p>
    <w:p w:rsidR="001924EF" w:rsidRPr="00616635" w:rsidRDefault="001924EF" w:rsidP="00616635">
      <w:pPr>
        <w:pStyle w:val="Els-body-text"/>
        <w:spacing w:before="100" w:beforeAutospacing="1" w:after="100" w:afterAutospacing="1" w:line="240" w:lineRule="auto"/>
        <w:rPr>
          <w:sz w:val="20"/>
        </w:rPr>
      </w:pPr>
    </w:p>
    <w:p w:rsidR="00012625" w:rsidRPr="00616635" w:rsidRDefault="00CD3515" w:rsidP="00616635">
      <w:pPr>
        <w:pStyle w:val="Els-body-text"/>
        <w:spacing w:before="100" w:beforeAutospacing="1" w:after="100" w:afterAutospacing="1" w:line="240" w:lineRule="auto"/>
        <w:rPr>
          <w:b/>
          <w:bCs/>
          <w:sz w:val="20"/>
          <w:lang w:val="en-GB"/>
        </w:rPr>
      </w:pPr>
      <w:r w:rsidRPr="00616635">
        <w:rPr>
          <w:b/>
          <w:bCs/>
          <w:sz w:val="20"/>
          <w:lang w:val="en-GB"/>
        </w:rPr>
        <w:t>Conclusion</w:t>
      </w:r>
    </w:p>
    <w:p w:rsidR="00616635" w:rsidRPr="00616635" w:rsidRDefault="00616635" w:rsidP="00616635">
      <w:pPr>
        <w:pStyle w:val="Els-body-text"/>
        <w:spacing w:before="100" w:beforeAutospacing="1" w:after="100" w:afterAutospacing="1" w:line="240" w:lineRule="auto"/>
        <w:rPr>
          <w:sz w:val="20"/>
        </w:rPr>
      </w:pPr>
      <w:r w:rsidRPr="00616635">
        <w:rPr>
          <w:sz w:val="20"/>
        </w:rPr>
        <w:t>The first observation to make is the bibliographic void concerning the study of the association between exposure to OPs and disruption of the thyroid function, without minimizing the interest in all endocrine disruptors and their effects on health. Whether in animals or humans, studies remain insufficient since they are limited to a route of administration, a molecule or a mixture of products containing OPs as well as other classes of pesticides (co- exposures), a very precise population and therefore a well-defined exposure context, an exposure during a very precise period of life (</w:t>
      </w:r>
      <w:r w:rsidRPr="00616635">
        <w:rPr>
          <w:i/>
          <w:iCs/>
          <w:sz w:val="20"/>
        </w:rPr>
        <w:t>in utero</w:t>
      </w:r>
      <w:r w:rsidRPr="00616635">
        <w:rPr>
          <w:sz w:val="20"/>
        </w:rPr>
        <w:t xml:space="preserve"> looking for a problem of fetal development or adulthood…) etc. The literature will therefore remain eager for any other study to expand the database on this subject and in particular, to explain the mechanisms of this effect which remain poorly understood since the dose-effect relationship seems non-monotonous.</w:t>
      </w:r>
    </w:p>
    <w:p w:rsidR="00616635" w:rsidRPr="00616635" w:rsidRDefault="00616635" w:rsidP="00616635">
      <w:pPr>
        <w:pStyle w:val="Els-body-text"/>
        <w:spacing w:before="100" w:beforeAutospacing="1" w:after="100" w:afterAutospacing="1" w:line="240" w:lineRule="auto"/>
        <w:rPr>
          <w:sz w:val="20"/>
        </w:rPr>
      </w:pPr>
      <w:r w:rsidRPr="00616635">
        <w:rPr>
          <w:sz w:val="20"/>
        </w:rPr>
        <w:t>If animal tests were unanimous that OPs would cause hypothyroidism, the conclusions of studies in humans have remained less pronounced and disparate although they all fall back on the existence of a disruptive effect on the thyroid. More clinical and empirical studies are then needed to support more specific conclusions, explain the mechanisms of action and explore the clinical significance of these alterations in thyroid function. In addition, a standardized methodology is necessary to allow the comparison of the results of several studies.</w:t>
      </w:r>
    </w:p>
    <w:p w:rsidR="006B44AD" w:rsidRDefault="004F5FB6" w:rsidP="007D6C13">
      <w:pPr>
        <w:pStyle w:val="Els-1storder-head"/>
        <w:numPr>
          <w:ilvl w:val="0"/>
          <w:numId w:val="0"/>
        </w:numPr>
        <w:spacing w:before="100" w:beforeAutospacing="1" w:after="100" w:afterAutospacing="1" w:line="240" w:lineRule="auto"/>
        <w:jc w:val="both"/>
        <w:rPr>
          <w:sz w:val="20"/>
        </w:rPr>
      </w:pPr>
      <w:r>
        <w:rPr>
          <w:sz w:val="20"/>
        </w:rPr>
        <w:t>Conflicts of interest</w:t>
      </w:r>
    </w:p>
    <w:p w:rsidR="004F5FB6" w:rsidRPr="006B44AD" w:rsidRDefault="004F5FB6" w:rsidP="007D6C13">
      <w:pPr>
        <w:pStyle w:val="Els-1storder-head"/>
        <w:numPr>
          <w:ilvl w:val="0"/>
          <w:numId w:val="0"/>
        </w:numPr>
        <w:spacing w:before="100" w:beforeAutospacing="1" w:after="100" w:afterAutospacing="1" w:line="240" w:lineRule="auto"/>
        <w:jc w:val="both"/>
        <w:rPr>
          <w:sz w:val="20"/>
        </w:rPr>
      </w:pPr>
      <w:r w:rsidRPr="007F637F">
        <w:rPr>
          <w:b w:val="0"/>
          <w:sz w:val="20"/>
        </w:rPr>
        <w:t>Authors do not d</w:t>
      </w:r>
      <w:r w:rsidR="006B44AD">
        <w:rPr>
          <w:b w:val="0"/>
          <w:sz w:val="20"/>
        </w:rPr>
        <w:t>eclare any conflict of interest</w:t>
      </w:r>
      <w:r w:rsidRPr="007F637F">
        <w:rPr>
          <w:b w:val="0"/>
          <w:sz w:val="20"/>
        </w:rPr>
        <w:t xml:space="preserve">. </w:t>
      </w:r>
    </w:p>
    <w:p w:rsidR="004F5FB6" w:rsidRPr="00C62E2E" w:rsidRDefault="004F5FB6" w:rsidP="007D6C13">
      <w:pPr>
        <w:pStyle w:val="Els-body-text"/>
        <w:spacing w:line="240" w:lineRule="auto"/>
        <w:ind w:firstLine="0"/>
      </w:pPr>
    </w:p>
    <w:p w:rsidR="004F5FB6" w:rsidRPr="00EA0D0B" w:rsidRDefault="004F5FB6" w:rsidP="004F5FB6">
      <w:pPr>
        <w:pStyle w:val="Els-1storder-head"/>
        <w:numPr>
          <w:ilvl w:val="0"/>
          <w:numId w:val="0"/>
        </w:numPr>
        <w:spacing w:before="100" w:beforeAutospacing="1" w:after="100" w:afterAutospacing="1" w:line="240" w:lineRule="auto"/>
        <w:jc w:val="both"/>
        <w:rPr>
          <w:sz w:val="20"/>
        </w:rPr>
      </w:pPr>
      <w:r w:rsidRPr="00EA0D0B">
        <w:rPr>
          <w:sz w:val="20"/>
        </w:rPr>
        <w:lastRenderedPageBreak/>
        <w:t>References.</w:t>
      </w:r>
    </w:p>
    <w:p w:rsidR="00616635" w:rsidRPr="00616635" w:rsidRDefault="00616635" w:rsidP="00616635">
      <w:pPr>
        <w:pStyle w:val="Els-body-text"/>
        <w:numPr>
          <w:ilvl w:val="0"/>
          <w:numId w:val="28"/>
        </w:numPr>
        <w:rPr>
          <w:rFonts w:eastAsia="TeXGyreAdventor"/>
          <w:sz w:val="20"/>
          <w:lang w:val="fr-FR"/>
        </w:rPr>
      </w:pPr>
      <w:proofErr w:type="spellStart"/>
      <w:r w:rsidRPr="00616635">
        <w:rPr>
          <w:rFonts w:eastAsia="TeXGyreAdventor"/>
          <w:sz w:val="20"/>
          <w:lang w:val="fr-FR"/>
        </w:rPr>
        <w:t>Espiard</w:t>
      </w:r>
      <w:proofErr w:type="spellEnd"/>
      <w:r w:rsidRPr="00616635">
        <w:rPr>
          <w:rFonts w:eastAsia="TeXGyreAdventor"/>
          <w:sz w:val="20"/>
          <w:lang w:val="fr-FR"/>
        </w:rPr>
        <w:t xml:space="preserve"> S., </w:t>
      </w:r>
      <w:proofErr w:type="spellStart"/>
      <w:r w:rsidRPr="00616635">
        <w:rPr>
          <w:rFonts w:eastAsia="TeXGyreAdventor"/>
          <w:sz w:val="20"/>
          <w:lang w:val="fr-FR"/>
        </w:rPr>
        <w:t>Vlaeminck-Guillem</w:t>
      </w:r>
      <w:proofErr w:type="spellEnd"/>
      <w:r w:rsidRPr="00616635">
        <w:rPr>
          <w:rFonts w:eastAsia="TeXGyreAdventor"/>
          <w:sz w:val="20"/>
          <w:lang w:val="fr-FR"/>
        </w:rPr>
        <w:t xml:space="preserve"> V. Structure et physiologie de la thyroïde. EMC - Endocrinologie-Nutrition 2019;16(4):1-17 [Article 10-002-B-10]. </w:t>
      </w:r>
    </w:p>
    <w:p w:rsidR="00616635" w:rsidRPr="00616635" w:rsidRDefault="00616635" w:rsidP="00616635">
      <w:pPr>
        <w:pStyle w:val="Els-body-text"/>
        <w:numPr>
          <w:ilvl w:val="0"/>
          <w:numId w:val="28"/>
        </w:numPr>
        <w:rPr>
          <w:rFonts w:eastAsia="TeXGyreAdventor"/>
          <w:sz w:val="20"/>
          <w:lang w:val="fr-FR"/>
        </w:rPr>
      </w:pPr>
      <w:proofErr w:type="spellStart"/>
      <w:r w:rsidRPr="00616635">
        <w:rPr>
          <w:rFonts w:eastAsia="TeXGyreAdventor"/>
          <w:sz w:val="20"/>
          <w:lang w:val="fr-FR"/>
        </w:rPr>
        <w:t>Brucker</w:t>
      </w:r>
      <w:proofErr w:type="spellEnd"/>
      <w:r w:rsidRPr="00616635">
        <w:rPr>
          <w:rFonts w:eastAsia="TeXGyreAdventor"/>
          <w:sz w:val="20"/>
          <w:lang w:val="fr-FR"/>
        </w:rPr>
        <w:t xml:space="preserve">-Davis F., </w:t>
      </w:r>
      <w:proofErr w:type="spellStart"/>
      <w:r w:rsidRPr="00616635">
        <w:rPr>
          <w:rFonts w:eastAsia="TeXGyreAdventor"/>
          <w:sz w:val="20"/>
          <w:lang w:val="fr-FR"/>
        </w:rPr>
        <w:t>Hiéronimus</w:t>
      </w:r>
      <w:proofErr w:type="spellEnd"/>
      <w:r w:rsidRPr="00616635">
        <w:rPr>
          <w:rFonts w:eastAsia="TeXGyreAdventor"/>
          <w:sz w:val="20"/>
          <w:lang w:val="fr-FR"/>
        </w:rPr>
        <w:t xml:space="preserve"> S., </w:t>
      </w:r>
      <w:proofErr w:type="spellStart"/>
      <w:r w:rsidRPr="00616635">
        <w:rPr>
          <w:rFonts w:eastAsia="TeXGyreAdventor"/>
          <w:sz w:val="20"/>
          <w:lang w:val="fr-FR"/>
        </w:rPr>
        <w:t>Fénichel</w:t>
      </w:r>
      <w:proofErr w:type="spellEnd"/>
      <w:r w:rsidRPr="00616635">
        <w:rPr>
          <w:rFonts w:eastAsia="TeXGyreAdventor"/>
          <w:sz w:val="20"/>
          <w:lang w:val="fr-FR"/>
        </w:rPr>
        <w:t xml:space="preserve"> P. Thyroïde et environnement. La Presse Médicale. 2016;45(1):78–87. </w:t>
      </w:r>
    </w:p>
    <w:p w:rsidR="00616635" w:rsidRPr="00616635" w:rsidRDefault="00616635" w:rsidP="00616635">
      <w:pPr>
        <w:pStyle w:val="Els-body-text"/>
        <w:numPr>
          <w:ilvl w:val="0"/>
          <w:numId w:val="28"/>
        </w:numPr>
        <w:rPr>
          <w:rFonts w:eastAsia="TeXGyreAdventor"/>
          <w:sz w:val="20"/>
          <w:lang w:val="fr-FR"/>
        </w:rPr>
      </w:pPr>
      <w:r w:rsidRPr="00616635">
        <w:rPr>
          <w:rFonts w:eastAsia="TeXGyreAdventor"/>
          <w:sz w:val="20"/>
          <w:lang w:val="fr-FR"/>
        </w:rPr>
        <w:t xml:space="preserve">Fini J.-B., </w:t>
      </w:r>
      <w:proofErr w:type="spellStart"/>
      <w:r w:rsidRPr="00616635">
        <w:rPr>
          <w:rFonts w:eastAsia="TeXGyreAdventor"/>
          <w:sz w:val="20"/>
          <w:lang w:val="fr-FR"/>
        </w:rPr>
        <w:t>Demeneix</w:t>
      </w:r>
      <w:proofErr w:type="spellEnd"/>
      <w:r w:rsidRPr="00616635">
        <w:rPr>
          <w:rFonts w:eastAsia="TeXGyreAdventor"/>
          <w:sz w:val="20"/>
          <w:lang w:val="fr-FR"/>
        </w:rPr>
        <w:t xml:space="preserve"> B. Les perturbateurs thyroïdiens et leurs conséquences sur le développement cérébral. Biologie Aujourd’hui. 2019;213(1-2):17–26.</w:t>
      </w:r>
    </w:p>
    <w:p w:rsidR="00616635" w:rsidRPr="00616635" w:rsidRDefault="00616635" w:rsidP="00616635">
      <w:pPr>
        <w:pStyle w:val="Els-body-text"/>
        <w:numPr>
          <w:ilvl w:val="0"/>
          <w:numId w:val="28"/>
        </w:numPr>
        <w:rPr>
          <w:rFonts w:eastAsia="TeXGyreAdventor"/>
          <w:sz w:val="20"/>
          <w:lang w:val="fr-FR"/>
        </w:rPr>
      </w:pPr>
      <w:proofErr w:type="spellStart"/>
      <w:r w:rsidRPr="00616635">
        <w:rPr>
          <w:rFonts w:eastAsia="TeXGyreAdventor"/>
          <w:sz w:val="20"/>
          <w:lang w:val="fr-FR"/>
        </w:rPr>
        <w:t>Testud</w:t>
      </w:r>
      <w:proofErr w:type="spellEnd"/>
      <w:r w:rsidRPr="00616635">
        <w:rPr>
          <w:rFonts w:eastAsia="TeXGyreAdventor"/>
          <w:sz w:val="20"/>
          <w:lang w:val="fr-FR"/>
        </w:rPr>
        <w:t xml:space="preserve"> F., </w:t>
      </w:r>
      <w:proofErr w:type="spellStart"/>
      <w:r w:rsidRPr="00616635">
        <w:rPr>
          <w:rFonts w:eastAsia="TeXGyreAdventor"/>
          <w:sz w:val="20"/>
          <w:lang w:val="fr-FR"/>
        </w:rPr>
        <w:t>Grillet</w:t>
      </w:r>
      <w:proofErr w:type="spellEnd"/>
      <w:r w:rsidRPr="00616635">
        <w:rPr>
          <w:rFonts w:eastAsia="TeXGyreAdventor"/>
          <w:sz w:val="20"/>
          <w:lang w:val="fr-FR"/>
        </w:rPr>
        <w:t xml:space="preserve"> J-P. Insecticides organophosphorés, carbamates, </w:t>
      </w:r>
      <w:proofErr w:type="spellStart"/>
      <w:r w:rsidRPr="00616635">
        <w:rPr>
          <w:rFonts w:eastAsia="TeXGyreAdventor"/>
          <w:sz w:val="20"/>
          <w:lang w:val="fr-FR"/>
        </w:rPr>
        <w:t>pyréthrinoïdes</w:t>
      </w:r>
      <w:proofErr w:type="spellEnd"/>
      <w:r w:rsidRPr="00616635">
        <w:rPr>
          <w:rFonts w:eastAsia="TeXGyreAdventor"/>
          <w:sz w:val="20"/>
          <w:lang w:val="fr-FR"/>
        </w:rPr>
        <w:t xml:space="preserve"> de synthèse et divers. </w:t>
      </w:r>
      <w:proofErr w:type="spellStart"/>
      <w:r w:rsidRPr="00616635">
        <w:rPr>
          <w:rFonts w:eastAsia="TeXGyreAdventor"/>
          <w:sz w:val="20"/>
          <w:lang w:val="fr-FR"/>
        </w:rPr>
        <w:t>Encycl</w:t>
      </w:r>
      <w:proofErr w:type="spellEnd"/>
      <w:r w:rsidRPr="00616635">
        <w:rPr>
          <w:rFonts w:eastAsia="TeXGyreAdventor"/>
          <w:sz w:val="20"/>
          <w:lang w:val="fr-FR"/>
        </w:rPr>
        <w:t xml:space="preserve"> </w:t>
      </w:r>
      <w:proofErr w:type="spellStart"/>
      <w:r w:rsidRPr="00616635">
        <w:rPr>
          <w:rFonts w:eastAsia="TeXGyreAdventor"/>
          <w:sz w:val="20"/>
          <w:lang w:val="fr-FR"/>
        </w:rPr>
        <w:t>Méd</w:t>
      </w:r>
      <w:proofErr w:type="spellEnd"/>
      <w:r w:rsidRPr="00616635">
        <w:rPr>
          <w:rFonts w:eastAsia="TeXGyreAdventor"/>
          <w:sz w:val="20"/>
          <w:lang w:val="fr-FR"/>
        </w:rPr>
        <w:t xml:space="preserve"> </w:t>
      </w:r>
      <w:proofErr w:type="spellStart"/>
      <w:r w:rsidRPr="00616635">
        <w:rPr>
          <w:rFonts w:eastAsia="TeXGyreAdventor"/>
          <w:sz w:val="20"/>
          <w:lang w:val="fr-FR"/>
        </w:rPr>
        <w:t>Chir</w:t>
      </w:r>
      <w:proofErr w:type="spellEnd"/>
      <w:r w:rsidRPr="00616635">
        <w:rPr>
          <w:rFonts w:eastAsia="TeXGyreAdventor"/>
          <w:sz w:val="20"/>
          <w:lang w:val="fr-FR"/>
        </w:rPr>
        <w:t>. 2007; (16) : 059-C-10.</w:t>
      </w:r>
    </w:p>
    <w:p w:rsidR="00616635" w:rsidRPr="00616635" w:rsidRDefault="00616635" w:rsidP="00616635">
      <w:pPr>
        <w:pStyle w:val="Els-body-text"/>
        <w:numPr>
          <w:ilvl w:val="0"/>
          <w:numId w:val="28"/>
        </w:numPr>
        <w:rPr>
          <w:rFonts w:eastAsia="TeXGyreAdventor"/>
          <w:sz w:val="20"/>
          <w:lang w:val="fr-FR"/>
        </w:rPr>
      </w:pPr>
      <w:proofErr w:type="spellStart"/>
      <w:r w:rsidRPr="00616635">
        <w:rPr>
          <w:rFonts w:eastAsia="TeXGyreAdventor"/>
          <w:sz w:val="20"/>
          <w:lang w:val="fr-FR"/>
        </w:rPr>
        <w:t>Baldi</w:t>
      </w:r>
      <w:proofErr w:type="spellEnd"/>
      <w:r w:rsidRPr="00616635">
        <w:rPr>
          <w:rFonts w:eastAsia="TeXGyreAdventor"/>
          <w:sz w:val="20"/>
          <w:lang w:val="fr-FR"/>
        </w:rPr>
        <w:t xml:space="preserve"> I., Cordier S., </w:t>
      </w:r>
      <w:proofErr w:type="spellStart"/>
      <w:r w:rsidRPr="00616635">
        <w:rPr>
          <w:rFonts w:eastAsia="TeXGyreAdventor"/>
          <w:sz w:val="20"/>
          <w:lang w:val="fr-FR"/>
        </w:rPr>
        <w:t>Coumoul</w:t>
      </w:r>
      <w:proofErr w:type="spellEnd"/>
      <w:r w:rsidRPr="00616635">
        <w:rPr>
          <w:rFonts w:eastAsia="TeXGyreAdventor"/>
          <w:sz w:val="20"/>
          <w:lang w:val="fr-FR"/>
        </w:rPr>
        <w:t xml:space="preserve"> X., Elbaz A., </w:t>
      </w:r>
      <w:proofErr w:type="spellStart"/>
      <w:r w:rsidRPr="00616635">
        <w:rPr>
          <w:rFonts w:eastAsia="TeXGyreAdventor"/>
          <w:sz w:val="20"/>
          <w:lang w:val="fr-FR"/>
        </w:rPr>
        <w:t>Gamet-Payrastre</w:t>
      </w:r>
      <w:proofErr w:type="spellEnd"/>
      <w:r w:rsidRPr="00616635">
        <w:rPr>
          <w:rFonts w:eastAsia="TeXGyreAdventor"/>
          <w:sz w:val="20"/>
          <w:lang w:val="fr-FR"/>
        </w:rPr>
        <w:t xml:space="preserve"> L., </w:t>
      </w:r>
      <w:proofErr w:type="spellStart"/>
      <w:r w:rsidRPr="00616635">
        <w:rPr>
          <w:rFonts w:eastAsia="TeXGyreAdventor"/>
          <w:sz w:val="20"/>
          <w:lang w:val="fr-FR"/>
        </w:rPr>
        <w:t>Lebailly</w:t>
      </w:r>
      <w:proofErr w:type="spellEnd"/>
      <w:r w:rsidRPr="00616635">
        <w:rPr>
          <w:rFonts w:eastAsia="TeXGyreAdventor"/>
          <w:sz w:val="20"/>
          <w:lang w:val="fr-FR"/>
        </w:rPr>
        <w:t xml:space="preserve"> P., </w:t>
      </w:r>
      <w:proofErr w:type="spellStart"/>
      <w:r w:rsidRPr="00616635">
        <w:rPr>
          <w:rFonts w:eastAsia="TeXGyreAdventor"/>
          <w:sz w:val="20"/>
          <w:lang w:val="fr-FR"/>
        </w:rPr>
        <w:t>Multigner</w:t>
      </w:r>
      <w:proofErr w:type="spellEnd"/>
      <w:r w:rsidRPr="00616635">
        <w:rPr>
          <w:rFonts w:eastAsia="TeXGyreAdventor"/>
          <w:sz w:val="20"/>
          <w:lang w:val="fr-FR"/>
        </w:rPr>
        <w:t xml:space="preserve"> L., </w:t>
      </w:r>
      <w:proofErr w:type="spellStart"/>
      <w:r w:rsidRPr="00616635">
        <w:rPr>
          <w:rFonts w:eastAsia="TeXGyreAdventor"/>
          <w:sz w:val="20"/>
          <w:lang w:val="fr-FR"/>
        </w:rPr>
        <w:t>Rahmani</w:t>
      </w:r>
      <w:proofErr w:type="spellEnd"/>
      <w:r w:rsidRPr="00616635">
        <w:rPr>
          <w:rFonts w:eastAsia="TeXGyreAdventor"/>
          <w:sz w:val="20"/>
          <w:lang w:val="fr-FR"/>
        </w:rPr>
        <w:t xml:space="preserve"> R., </w:t>
      </w:r>
      <w:proofErr w:type="spellStart"/>
      <w:r w:rsidRPr="00616635">
        <w:rPr>
          <w:rFonts w:eastAsia="TeXGyreAdventor"/>
          <w:sz w:val="20"/>
          <w:lang w:val="fr-FR"/>
        </w:rPr>
        <w:t>Spinosi</w:t>
      </w:r>
      <w:proofErr w:type="spellEnd"/>
      <w:r w:rsidRPr="00616635">
        <w:rPr>
          <w:rFonts w:eastAsia="TeXGyreAdventor"/>
          <w:sz w:val="20"/>
          <w:lang w:val="fr-FR"/>
        </w:rPr>
        <w:t xml:space="preserve"> J., Van Maele-Fabry G. Pesticides : Effets sur la santé. [Rapport de recherche] Institut national de la santé et de la recherche médicale (INSERM). 2013, Paris: Inserm: </w:t>
      </w:r>
      <w:proofErr w:type="spellStart"/>
      <w:r w:rsidRPr="00616635">
        <w:rPr>
          <w:rFonts w:eastAsia="TeXGyreAdventor"/>
          <w:sz w:val="20"/>
          <w:lang w:val="fr-FR"/>
        </w:rPr>
        <w:t>Editions</w:t>
      </w:r>
      <w:proofErr w:type="spellEnd"/>
      <w:r w:rsidRPr="00616635">
        <w:rPr>
          <w:rFonts w:eastAsia="TeXGyreAdventor"/>
          <w:sz w:val="20"/>
          <w:lang w:val="fr-FR"/>
        </w:rPr>
        <w:t xml:space="preserve"> EDP Sciences (ISSN : 1264-1782) / 1014 p. </w:t>
      </w:r>
    </w:p>
    <w:p w:rsidR="00616635" w:rsidRPr="00616635" w:rsidRDefault="00616635" w:rsidP="00616635">
      <w:pPr>
        <w:pStyle w:val="Els-body-text"/>
        <w:numPr>
          <w:ilvl w:val="0"/>
          <w:numId w:val="28"/>
        </w:numPr>
        <w:rPr>
          <w:rFonts w:eastAsia="TeXGyreAdventor"/>
          <w:sz w:val="20"/>
          <w:lang w:val="fr-FR"/>
        </w:rPr>
      </w:pPr>
      <w:r w:rsidRPr="00616635">
        <w:rPr>
          <w:rFonts w:eastAsia="TeXGyreAdventor"/>
          <w:sz w:val="20"/>
          <w:lang w:val="en-GB"/>
        </w:rPr>
        <w:t xml:space="preserve">Saxena P.K., Mani K. Protein-bound iodine levels in the blood plasma of freshwater teleost, </w:t>
      </w:r>
      <w:proofErr w:type="spellStart"/>
      <w:r w:rsidRPr="00616635">
        <w:rPr>
          <w:rFonts w:eastAsia="TeXGyreAdventor"/>
          <w:sz w:val="20"/>
          <w:lang w:val="en-GB"/>
        </w:rPr>
        <w:t>Channa</w:t>
      </w:r>
      <w:proofErr w:type="spellEnd"/>
      <w:r w:rsidRPr="00616635">
        <w:rPr>
          <w:rFonts w:eastAsia="TeXGyreAdventor"/>
          <w:sz w:val="20"/>
          <w:lang w:val="en-GB"/>
        </w:rPr>
        <w:t xml:space="preserve"> punctatus (Bl.) exposed to subtoxic pesticide concentrations. </w:t>
      </w:r>
      <w:proofErr w:type="spellStart"/>
      <w:r w:rsidRPr="00616635">
        <w:rPr>
          <w:rFonts w:eastAsia="TeXGyreAdventor"/>
          <w:sz w:val="20"/>
          <w:lang w:val="fr-FR"/>
        </w:rPr>
        <w:t>Toxicol</w:t>
      </w:r>
      <w:proofErr w:type="spellEnd"/>
      <w:r w:rsidRPr="00616635">
        <w:rPr>
          <w:rFonts w:eastAsia="TeXGyreAdventor"/>
          <w:sz w:val="20"/>
          <w:lang w:val="fr-FR"/>
        </w:rPr>
        <w:t xml:space="preserve"> </w:t>
      </w:r>
      <w:proofErr w:type="spellStart"/>
      <w:r w:rsidRPr="00616635">
        <w:rPr>
          <w:rFonts w:eastAsia="TeXGyreAdventor"/>
          <w:sz w:val="20"/>
          <w:lang w:val="fr-FR"/>
        </w:rPr>
        <w:t>Lett</w:t>
      </w:r>
      <w:proofErr w:type="spellEnd"/>
      <w:r w:rsidRPr="00616635">
        <w:rPr>
          <w:rFonts w:eastAsia="TeXGyreAdventor"/>
          <w:sz w:val="20"/>
          <w:lang w:val="fr-FR"/>
        </w:rPr>
        <w:t>. 1985;24(1):33-36.</w:t>
      </w:r>
    </w:p>
    <w:p w:rsidR="00616635" w:rsidRPr="00616635" w:rsidRDefault="00616635" w:rsidP="00616635">
      <w:pPr>
        <w:pStyle w:val="Els-body-text"/>
        <w:numPr>
          <w:ilvl w:val="0"/>
          <w:numId w:val="28"/>
        </w:numPr>
        <w:rPr>
          <w:rFonts w:eastAsia="TeXGyreAdventor"/>
          <w:sz w:val="20"/>
          <w:lang w:val="fr-FR"/>
        </w:rPr>
      </w:pPr>
      <w:r w:rsidRPr="00616635">
        <w:rPr>
          <w:rFonts w:eastAsia="TeXGyreAdventor"/>
          <w:sz w:val="20"/>
          <w:lang w:val="en-GB"/>
        </w:rPr>
        <w:t xml:space="preserve">Yadav A.K., Singh T.P. Effect of pesticide on circulating thyroid hormone levels in the freshwater catfish, </w:t>
      </w:r>
      <w:proofErr w:type="spellStart"/>
      <w:r w:rsidRPr="00616635">
        <w:rPr>
          <w:rFonts w:eastAsia="TeXGyreAdventor"/>
          <w:sz w:val="20"/>
          <w:lang w:val="en-GB"/>
        </w:rPr>
        <w:t>Heteropneustes</w:t>
      </w:r>
      <w:proofErr w:type="spellEnd"/>
      <w:r w:rsidRPr="00616635">
        <w:rPr>
          <w:rFonts w:eastAsia="TeXGyreAdventor"/>
          <w:sz w:val="20"/>
          <w:lang w:val="en-GB"/>
        </w:rPr>
        <w:t xml:space="preserve"> </w:t>
      </w:r>
      <w:proofErr w:type="spellStart"/>
      <w:r w:rsidRPr="00616635">
        <w:rPr>
          <w:rFonts w:eastAsia="TeXGyreAdventor"/>
          <w:sz w:val="20"/>
          <w:lang w:val="en-GB"/>
        </w:rPr>
        <w:t>fossilis</w:t>
      </w:r>
      <w:proofErr w:type="spellEnd"/>
      <w:r w:rsidRPr="00616635">
        <w:rPr>
          <w:rFonts w:eastAsia="TeXGyreAdventor"/>
          <w:sz w:val="20"/>
          <w:lang w:val="en-GB"/>
        </w:rPr>
        <w:t xml:space="preserve"> (Bloch). </w:t>
      </w:r>
      <w:r w:rsidRPr="00616635">
        <w:rPr>
          <w:rFonts w:eastAsia="TeXGyreAdventor"/>
          <w:sz w:val="20"/>
          <w:lang w:val="fr-FR"/>
        </w:rPr>
        <w:t xml:space="preserve">Environ </w:t>
      </w:r>
      <w:proofErr w:type="spellStart"/>
      <w:r w:rsidRPr="00616635">
        <w:rPr>
          <w:rFonts w:eastAsia="TeXGyreAdventor"/>
          <w:sz w:val="20"/>
          <w:lang w:val="fr-FR"/>
        </w:rPr>
        <w:t>Res</w:t>
      </w:r>
      <w:proofErr w:type="spellEnd"/>
      <w:r w:rsidRPr="00616635">
        <w:rPr>
          <w:rFonts w:eastAsia="TeXGyreAdventor"/>
          <w:sz w:val="20"/>
          <w:lang w:val="fr-FR"/>
        </w:rPr>
        <w:t>. 1986;39(1):136-142.</w:t>
      </w:r>
    </w:p>
    <w:p w:rsidR="00616635" w:rsidRPr="00616635" w:rsidRDefault="00616635" w:rsidP="00616635">
      <w:pPr>
        <w:pStyle w:val="Els-body-text"/>
        <w:numPr>
          <w:ilvl w:val="0"/>
          <w:numId w:val="28"/>
        </w:numPr>
        <w:rPr>
          <w:rFonts w:eastAsia="TeXGyreAdventor"/>
          <w:sz w:val="20"/>
          <w:lang w:val="fr-FR"/>
        </w:rPr>
      </w:pPr>
      <w:r w:rsidRPr="00616635">
        <w:rPr>
          <w:rFonts w:eastAsia="TeXGyreAdventor"/>
          <w:sz w:val="20"/>
          <w:lang w:val="en-GB"/>
        </w:rPr>
        <w:t xml:space="preserve">Sinha N., Lal B., Singh T.P. Thyroid physiology impairment by malathion in the freshwater catfish </w:t>
      </w:r>
      <w:proofErr w:type="spellStart"/>
      <w:r w:rsidRPr="00616635">
        <w:rPr>
          <w:rFonts w:eastAsia="TeXGyreAdventor"/>
          <w:sz w:val="20"/>
          <w:lang w:val="en-GB"/>
        </w:rPr>
        <w:t>Clarias</w:t>
      </w:r>
      <w:proofErr w:type="spellEnd"/>
      <w:r w:rsidRPr="00616635">
        <w:rPr>
          <w:rFonts w:eastAsia="TeXGyreAdventor"/>
          <w:sz w:val="20"/>
          <w:lang w:val="en-GB"/>
        </w:rPr>
        <w:t xml:space="preserve"> </w:t>
      </w:r>
      <w:proofErr w:type="spellStart"/>
      <w:r w:rsidRPr="00616635">
        <w:rPr>
          <w:rFonts w:eastAsia="TeXGyreAdventor"/>
          <w:sz w:val="20"/>
          <w:lang w:val="en-GB"/>
        </w:rPr>
        <w:t>batrachus</w:t>
      </w:r>
      <w:proofErr w:type="spellEnd"/>
      <w:r w:rsidRPr="00616635">
        <w:rPr>
          <w:rFonts w:eastAsia="TeXGyreAdventor"/>
          <w:sz w:val="20"/>
          <w:lang w:val="en-GB"/>
        </w:rPr>
        <w:t xml:space="preserve"> Ecotoxicology and Environmental Safety. </w:t>
      </w:r>
      <w:r w:rsidRPr="00616635">
        <w:rPr>
          <w:rFonts w:eastAsia="TeXGyreAdventor"/>
          <w:sz w:val="20"/>
          <w:lang w:val="fr-FR"/>
        </w:rPr>
        <w:t>1992;24(1):17-25.</w:t>
      </w:r>
    </w:p>
    <w:p w:rsidR="00616635" w:rsidRPr="00616635" w:rsidRDefault="00616635" w:rsidP="00616635">
      <w:pPr>
        <w:pStyle w:val="Els-body-text"/>
        <w:numPr>
          <w:ilvl w:val="0"/>
          <w:numId w:val="28"/>
        </w:numPr>
        <w:rPr>
          <w:rFonts w:eastAsia="TeXGyreAdventor"/>
          <w:sz w:val="20"/>
          <w:lang w:val="fr-FR"/>
        </w:rPr>
      </w:pPr>
      <w:proofErr w:type="spellStart"/>
      <w:r w:rsidRPr="00616635">
        <w:rPr>
          <w:rFonts w:eastAsia="TeXGyreAdventor"/>
          <w:sz w:val="20"/>
          <w:lang w:val="en-GB"/>
        </w:rPr>
        <w:t>Maiti</w:t>
      </w:r>
      <w:proofErr w:type="spellEnd"/>
      <w:r w:rsidRPr="00616635">
        <w:rPr>
          <w:rFonts w:eastAsia="TeXGyreAdventor"/>
          <w:sz w:val="20"/>
          <w:lang w:val="en-GB"/>
        </w:rPr>
        <w:t xml:space="preserve"> P.K., Gupta P., </w:t>
      </w:r>
      <w:proofErr w:type="spellStart"/>
      <w:r w:rsidRPr="00616635">
        <w:rPr>
          <w:rFonts w:eastAsia="TeXGyreAdventor"/>
          <w:sz w:val="20"/>
          <w:lang w:val="en-GB"/>
        </w:rPr>
        <w:t>Chaurasia</w:t>
      </w:r>
      <w:proofErr w:type="spellEnd"/>
      <w:r w:rsidRPr="00616635">
        <w:rPr>
          <w:rFonts w:eastAsia="TeXGyreAdventor"/>
          <w:sz w:val="20"/>
          <w:lang w:val="en-GB"/>
        </w:rPr>
        <w:t xml:space="preserve"> S.S., Kar A. Dimethoate induced lipid peroxidation and inhibition of type-I iodothyronine 5'-monodeiodinase activity in young cockerel. </w:t>
      </w:r>
      <w:r w:rsidRPr="00616635">
        <w:rPr>
          <w:rFonts w:eastAsia="TeXGyreAdventor"/>
          <w:sz w:val="20"/>
          <w:lang w:val="fr-FR"/>
        </w:rPr>
        <w:t xml:space="preserve">Bull Environ </w:t>
      </w:r>
      <w:proofErr w:type="spellStart"/>
      <w:r w:rsidRPr="00616635">
        <w:rPr>
          <w:rFonts w:eastAsia="TeXGyreAdventor"/>
          <w:sz w:val="20"/>
          <w:lang w:val="fr-FR"/>
        </w:rPr>
        <w:t>Contam</w:t>
      </w:r>
      <w:proofErr w:type="spellEnd"/>
      <w:r w:rsidRPr="00616635">
        <w:rPr>
          <w:rFonts w:eastAsia="TeXGyreAdventor"/>
          <w:sz w:val="20"/>
          <w:lang w:val="fr-FR"/>
        </w:rPr>
        <w:t xml:space="preserve"> </w:t>
      </w:r>
      <w:proofErr w:type="spellStart"/>
      <w:r w:rsidRPr="00616635">
        <w:rPr>
          <w:rFonts w:eastAsia="TeXGyreAdventor"/>
          <w:sz w:val="20"/>
          <w:lang w:val="fr-FR"/>
        </w:rPr>
        <w:t>Toxicol</w:t>
      </w:r>
      <w:proofErr w:type="spellEnd"/>
      <w:r w:rsidRPr="00616635">
        <w:rPr>
          <w:rFonts w:eastAsia="TeXGyreAdventor"/>
          <w:sz w:val="20"/>
          <w:lang w:val="fr-FR"/>
        </w:rPr>
        <w:t>. 1996;57(2):335-40.</w:t>
      </w:r>
    </w:p>
    <w:p w:rsidR="00616635" w:rsidRPr="00616635" w:rsidRDefault="00616635" w:rsidP="00616635">
      <w:pPr>
        <w:pStyle w:val="Els-body-text"/>
        <w:numPr>
          <w:ilvl w:val="0"/>
          <w:numId w:val="28"/>
        </w:numPr>
        <w:rPr>
          <w:rFonts w:eastAsia="TeXGyreAdventor"/>
          <w:sz w:val="20"/>
          <w:lang w:val="fr-FR"/>
        </w:rPr>
      </w:pPr>
      <w:proofErr w:type="spellStart"/>
      <w:r w:rsidRPr="00616635">
        <w:rPr>
          <w:rFonts w:eastAsia="TeXGyreAdventor"/>
          <w:sz w:val="20"/>
          <w:lang w:val="en-GB"/>
        </w:rPr>
        <w:t>Maiti</w:t>
      </w:r>
      <w:proofErr w:type="spellEnd"/>
      <w:r w:rsidRPr="00616635">
        <w:rPr>
          <w:rFonts w:eastAsia="TeXGyreAdventor"/>
          <w:sz w:val="20"/>
          <w:lang w:val="en-GB"/>
        </w:rPr>
        <w:t xml:space="preserve"> P.K., Kar A. Dimethoate inhibits extrathyroidal 5'-monodeiodination of thyroxine to 3,3',5-triiodothyronine in mice: the possible involvement of the lipid peroxidative process. </w:t>
      </w:r>
      <w:proofErr w:type="spellStart"/>
      <w:r w:rsidRPr="00616635">
        <w:rPr>
          <w:rFonts w:eastAsia="TeXGyreAdventor"/>
          <w:sz w:val="20"/>
          <w:lang w:val="fr-FR"/>
        </w:rPr>
        <w:t>Toxicol</w:t>
      </w:r>
      <w:proofErr w:type="spellEnd"/>
      <w:r w:rsidRPr="00616635">
        <w:rPr>
          <w:rFonts w:eastAsia="TeXGyreAdventor"/>
          <w:sz w:val="20"/>
          <w:lang w:val="fr-FR"/>
        </w:rPr>
        <w:t xml:space="preserve"> </w:t>
      </w:r>
      <w:proofErr w:type="spellStart"/>
      <w:r w:rsidRPr="00616635">
        <w:rPr>
          <w:rFonts w:eastAsia="TeXGyreAdventor"/>
          <w:sz w:val="20"/>
          <w:lang w:val="fr-FR"/>
        </w:rPr>
        <w:t>Lett</w:t>
      </w:r>
      <w:proofErr w:type="spellEnd"/>
      <w:r w:rsidRPr="00616635">
        <w:rPr>
          <w:rFonts w:eastAsia="TeXGyreAdventor"/>
          <w:sz w:val="20"/>
          <w:lang w:val="fr-FR"/>
        </w:rPr>
        <w:t>. 1997;91(1):1-6.</w:t>
      </w:r>
    </w:p>
    <w:p w:rsidR="00616635" w:rsidRPr="00616635" w:rsidRDefault="00616635" w:rsidP="00616635">
      <w:pPr>
        <w:pStyle w:val="Els-body-text"/>
        <w:numPr>
          <w:ilvl w:val="0"/>
          <w:numId w:val="28"/>
        </w:numPr>
        <w:rPr>
          <w:rFonts w:eastAsia="TeXGyreAdventor"/>
          <w:sz w:val="20"/>
          <w:lang w:val="fr-FR"/>
        </w:rPr>
      </w:pPr>
      <w:r w:rsidRPr="00616635">
        <w:rPr>
          <w:rFonts w:eastAsia="TeXGyreAdventor"/>
          <w:sz w:val="20"/>
          <w:lang w:val="en-GB"/>
        </w:rPr>
        <w:t xml:space="preserve">Rawlings N.C., Cook S.J., </w:t>
      </w:r>
      <w:proofErr w:type="spellStart"/>
      <w:r w:rsidRPr="00616635">
        <w:rPr>
          <w:rFonts w:eastAsia="TeXGyreAdventor"/>
          <w:sz w:val="20"/>
          <w:lang w:val="en-GB"/>
        </w:rPr>
        <w:t>Waldbillig</w:t>
      </w:r>
      <w:proofErr w:type="spellEnd"/>
      <w:r w:rsidRPr="00616635">
        <w:rPr>
          <w:rFonts w:eastAsia="TeXGyreAdventor"/>
          <w:sz w:val="20"/>
          <w:lang w:val="en-GB"/>
        </w:rPr>
        <w:t xml:space="preserve"> D. Effects of the pesticides carbofuran, chlorpyrifos, dimethoate, lindane, triallate, </w:t>
      </w:r>
      <w:r w:rsidRPr="00616635">
        <w:rPr>
          <w:rFonts w:eastAsia="TeXGyreAdventor"/>
          <w:sz w:val="20"/>
          <w:lang w:val="en-GB"/>
        </w:rPr>
        <w:t xml:space="preserve">trifluralin, 2,4-D, and pentachlorophenol on the metabolic endocrine and reproductive endocrine system in ewes. </w:t>
      </w:r>
      <w:r w:rsidRPr="00616635">
        <w:rPr>
          <w:rFonts w:eastAsia="TeXGyreAdventor"/>
          <w:sz w:val="20"/>
          <w:lang w:val="fr-FR"/>
        </w:rPr>
        <w:t xml:space="preserve">J </w:t>
      </w:r>
      <w:proofErr w:type="spellStart"/>
      <w:r w:rsidRPr="00616635">
        <w:rPr>
          <w:rFonts w:eastAsia="TeXGyreAdventor"/>
          <w:sz w:val="20"/>
          <w:lang w:val="fr-FR"/>
        </w:rPr>
        <w:t>Toxicol</w:t>
      </w:r>
      <w:proofErr w:type="spellEnd"/>
      <w:r w:rsidRPr="00616635">
        <w:rPr>
          <w:rFonts w:eastAsia="TeXGyreAdventor"/>
          <w:sz w:val="20"/>
          <w:lang w:val="fr-FR"/>
        </w:rPr>
        <w:t xml:space="preserve"> Environ </w:t>
      </w:r>
      <w:proofErr w:type="spellStart"/>
      <w:r w:rsidRPr="00616635">
        <w:rPr>
          <w:rFonts w:eastAsia="TeXGyreAdventor"/>
          <w:sz w:val="20"/>
          <w:lang w:val="fr-FR"/>
        </w:rPr>
        <w:t>Health</w:t>
      </w:r>
      <w:proofErr w:type="spellEnd"/>
      <w:r w:rsidRPr="00616635">
        <w:rPr>
          <w:rFonts w:eastAsia="TeXGyreAdventor"/>
          <w:sz w:val="20"/>
          <w:lang w:val="fr-FR"/>
        </w:rPr>
        <w:t xml:space="preserve"> A. 1998;54(1):21-36.</w:t>
      </w:r>
    </w:p>
    <w:p w:rsidR="00616635" w:rsidRPr="00616635" w:rsidRDefault="00616635" w:rsidP="00616635">
      <w:pPr>
        <w:pStyle w:val="Els-body-text"/>
        <w:numPr>
          <w:ilvl w:val="0"/>
          <w:numId w:val="28"/>
        </w:numPr>
        <w:rPr>
          <w:rFonts w:eastAsia="TeXGyreAdventor"/>
          <w:sz w:val="20"/>
          <w:lang w:val="fr-FR"/>
        </w:rPr>
      </w:pPr>
      <w:proofErr w:type="spellStart"/>
      <w:r w:rsidRPr="00616635">
        <w:rPr>
          <w:rFonts w:eastAsia="TeXGyreAdventor"/>
          <w:sz w:val="20"/>
          <w:lang w:val="en-GB"/>
        </w:rPr>
        <w:t>Mahjoubi-Samet</w:t>
      </w:r>
      <w:proofErr w:type="spellEnd"/>
      <w:r w:rsidRPr="00616635">
        <w:rPr>
          <w:rFonts w:eastAsia="TeXGyreAdventor"/>
          <w:sz w:val="20"/>
          <w:lang w:val="en-GB"/>
        </w:rPr>
        <w:t xml:space="preserve"> A., Hamadi F., </w:t>
      </w:r>
      <w:proofErr w:type="spellStart"/>
      <w:r w:rsidRPr="00616635">
        <w:rPr>
          <w:rFonts w:eastAsia="TeXGyreAdventor"/>
          <w:sz w:val="20"/>
          <w:lang w:val="en-GB"/>
        </w:rPr>
        <w:t>Soussia</w:t>
      </w:r>
      <w:proofErr w:type="spellEnd"/>
      <w:r w:rsidRPr="00616635">
        <w:rPr>
          <w:rFonts w:eastAsia="TeXGyreAdventor"/>
          <w:sz w:val="20"/>
          <w:lang w:val="en-GB"/>
        </w:rPr>
        <w:t xml:space="preserve"> L., </w:t>
      </w:r>
      <w:proofErr w:type="spellStart"/>
      <w:r w:rsidRPr="00616635">
        <w:rPr>
          <w:rFonts w:eastAsia="TeXGyreAdventor"/>
          <w:sz w:val="20"/>
          <w:lang w:val="en-GB"/>
        </w:rPr>
        <w:t>Fadhel</w:t>
      </w:r>
      <w:proofErr w:type="spellEnd"/>
      <w:r w:rsidRPr="00616635">
        <w:rPr>
          <w:rFonts w:eastAsia="TeXGyreAdventor"/>
          <w:sz w:val="20"/>
          <w:lang w:val="en-GB"/>
        </w:rPr>
        <w:t xml:space="preserve"> G., </w:t>
      </w:r>
      <w:proofErr w:type="spellStart"/>
      <w:r w:rsidRPr="00616635">
        <w:rPr>
          <w:rFonts w:eastAsia="TeXGyreAdventor"/>
          <w:sz w:val="20"/>
          <w:lang w:val="en-GB"/>
        </w:rPr>
        <w:t>Zeghal</w:t>
      </w:r>
      <w:proofErr w:type="spellEnd"/>
      <w:r w:rsidRPr="00616635">
        <w:rPr>
          <w:rFonts w:eastAsia="TeXGyreAdventor"/>
          <w:sz w:val="20"/>
          <w:lang w:val="en-GB"/>
        </w:rPr>
        <w:t xml:space="preserve"> N. Dimethoate effects on thyroid function in suckling rats. </w:t>
      </w:r>
      <w:r w:rsidRPr="00616635">
        <w:rPr>
          <w:rFonts w:eastAsia="TeXGyreAdventor"/>
          <w:sz w:val="20"/>
          <w:lang w:val="fr-FR"/>
        </w:rPr>
        <w:t xml:space="preserve">Ann </w:t>
      </w:r>
      <w:proofErr w:type="spellStart"/>
      <w:r w:rsidRPr="00616635">
        <w:rPr>
          <w:rFonts w:eastAsia="TeXGyreAdventor"/>
          <w:sz w:val="20"/>
          <w:lang w:val="fr-FR"/>
        </w:rPr>
        <w:t>Endocrinol</w:t>
      </w:r>
      <w:proofErr w:type="spellEnd"/>
      <w:r w:rsidRPr="00616635">
        <w:rPr>
          <w:rFonts w:eastAsia="TeXGyreAdventor"/>
          <w:sz w:val="20"/>
          <w:lang w:val="fr-FR"/>
        </w:rPr>
        <w:t xml:space="preserve"> (Paris). 2005;66(2Pt1):96-104.</w:t>
      </w:r>
    </w:p>
    <w:p w:rsidR="00616635" w:rsidRPr="00616635" w:rsidRDefault="00616635" w:rsidP="00616635">
      <w:pPr>
        <w:pStyle w:val="Els-body-text"/>
        <w:numPr>
          <w:ilvl w:val="0"/>
          <w:numId w:val="28"/>
        </w:numPr>
        <w:rPr>
          <w:rFonts w:eastAsia="TeXGyreAdventor"/>
          <w:sz w:val="20"/>
          <w:lang w:val="fr-FR"/>
        </w:rPr>
      </w:pPr>
      <w:proofErr w:type="spellStart"/>
      <w:r w:rsidRPr="00616635">
        <w:rPr>
          <w:rFonts w:eastAsia="TeXGyreAdventor"/>
          <w:sz w:val="20"/>
          <w:lang w:val="en-GB"/>
        </w:rPr>
        <w:t>Thangavel</w:t>
      </w:r>
      <w:proofErr w:type="spellEnd"/>
      <w:r w:rsidRPr="00616635">
        <w:rPr>
          <w:rFonts w:eastAsia="TeXGyreAdventor"/>
          <w:sz w:val="20"/>
          <w:lang w:val="en-GB"/>
        </w:rPr>
        <w:t xml:space="preserve"> P., </w:t>
      </w:r>
      <w:proofErr w:type="spellStart"/>
      <w:r w:rsidRPr="00616635">
        <w:rPr>
          <w:rFonts w:eastAsia="TeXGyreAdventor"/>
          <w:sz w:val="20"/>
          <w:lang w:val="en-GB"/>
        </w:rPr>
        <w:t>Sumathiral</w:t>
      </w:r>
      <w:proofErr w:type="spellEnd"/>
      <w:r w:rsidRPr="00616635">
        <w:rPr>
          <w:rFonts w:eastAsia="TeXGyreAdventor"/>
          <w:sz w:val="20"/>
          <w:lang w:val="en-GB"/>
        </w:rPr>
        <w:t xml:space="preserve"> K., Karthikeyan S., Ramaswamy M. Endocrine response of the freshwater teleost, </w:t>
      </w:r>
      <w:proofErr w:type="spellStart"/>
      <w:r w:rsidRPr="00616635">
        <w:rPr>
          <w:rFonts w:eastAsia="TeXGyreAdventor"/>
          <w:sz w:val="20"/>
          <w:lang w:val="en-GB"/>
        </w:rPr>
        <w:t>Sarotherodon</w:t>
      </w:r>
      <w:proofErr w:type="spellEnd"/>
      <w:r w:rsidRPr="00616635">
        <w:rPr>
          <w:rFonts w:eastAsia="TeXGyreAdventor"/>
          <w:sz w:val="20"/>
          <w:lang w:val="en-GB"/>
        </w:rPr>
        <w:t xml:space="preserve"> </w:t>
      </w:r>
      <w:proofErr w:type="spellStart"/>
      <w:r w:rsidRPr="00616635">
        <w:rPr>
          <w:rFonts w:eastAsia="TeXGyreAdventor"/>
          <w:sz w:val="20"/>
          <w:lang w:val="en-GB"/>
        </w:rPr>
        <w:t>mossambicus</w:t>
      </w:r>
      <w:proofErr w:type="spellEnd"/>
      <w:r w:rsidRPr="00616635">
        <w:rPr>
          <w:rFonts w:eastAsia="TeXGyreAdventor"/>
          <w:sz w:val="20"/>
          <w:lang w:val="en-GB"/>
        </w:rPr>
        <w:t xml:space="preserve"> (Peters) to </w:t>
      </w:r>
      <w:proofErr w:type="spellStart"/>
      <w:r w:rsidRPr="00616635">
        <w:rPr>
          <w:rFonts w:eastAsia="TeXGyreAdventor"/>
          <w:sz w:val="20"/>
          <w:lang w:val="en-GB"/>
        </w:rPr>
        <w:t>dimecron</w:t>
      </w:r>
      <w:proofErr w:type="spellEnd"/>
      <w:r w:rsidRPr="00616635">
        <w:rPr>
          <w:rFonts w:eastAsia="TeXGyreAdventor"/>
          <w:sz w:val="20"/>
          <w:lang w:val="en-GB"/>
        </w:rPr>
        <w:t xml:space="preserve"> exposure. </w:t>
      </w:r>
      <w:proofErr w:type="spellStart"/>
      <w:r w:rsidRPr="00616635">
        <w:rPr>
          <w:rFonts w:eastAsia="TeXGyreAdventor"/>
          <w:sz w:val="20"/>
          <w:lang w:val="fr-FR"/>
        </w:rPr>
        <w:t>Chemosphere</w:t>
      </w:r>
      <w:proofErr w:type="spellEnd"/>
      <w:r w:rsidRPr="00616635">
        <w:rPr>
          <w:rFonts w:eastAsia="TeXGyreAdventor"/>
          <w:sz w:val="20"/>
          <w:lang w:val="fr-FR"/>
        </w:rPr>
        <w:t>. 2005;61(8):1083-1092.</w:t>
      </w:r>
    </w:p>
    <w:p w:rsidR="00616635" w:rsidRPr="00616635" w:rsidRDefault="00616635" w:rsidP="00616635">
      <w:pPr>
        <w:pStyle w:val="Els-body-text"/>
        <w:numPr>
          <w:ilvl w:val="0"/>
          <w:numId w:val="28"/>
        </w:numPr>
        <w:rPr>
          <w:rFonts w:eastAsia="TeXGyreAdventor"/>
          <w:sz w:val="20"/>
          <w:lang w:val="fr-FR"/>
        </w:rPr>
      </w:pPr>
      <w:proofErr w:type="spellStart"/>
      <w:r w:rsidRPr="00616635">
        <w:rPr>
          <w:rFonts w:eastAsia="TeXGyreAdventor"/>
          <w:sz w:val="20"/>
          <w:lang w:val="en-GB"/>
        </w:rPr>
        <w:t>Jeong</w:t>
      </w:r>
      <w:proofErr w:type="spellEnd"/>
      <w:r w:rsidRPr="00616635">
        <w:rPr>
          <w:rFonts w:eastAsia="TeXGyreAdventor"/>
          <w:sz w:val="20"/>
          <w:lang w:val="en-GB"/>
        </w:rPr>
        <w:t xml:space="preserve"> S.H., Kim B.Y., Kang H.G., Ku H.O., Cho J.H. Effect of chlorpyrifos-methyl on steroid and thyroid hormones in rat F0- and F1-generations. </w:t>
      </w:r>
      <w:proofErr w:type="spellStart"/>
      <w:r w:rsidRPr="00616635">
        <w:rPr>
          <w:rFonts w:eastAsia="TeXGyreAdventor"/>
          <w:sz w:val="20"/>
          <w:lang w:val="fr-FR"/>
        </w:rPr>
        <w:t>Toxicology</w:t>
      </w:r>
      <w:proofErr w:type="spellEnd"/>
      <w:r w:rsidRPr="00616635">
        <w:rPr>
          <w:rFonts w:eastAsia="TeXGyreAdventor"/>
          <w:sz w:val="20"/>
          <w:lang w:val="fr-FR"/>
        </w:rPr>
        <w:t>. 2006;220(2-3):189-202.</w:t>
      </w:r>
    </w:p>
    <w:p w:rsidR="00616635" w:rsidRPr="00616635" w:rsidRDefault="00616635" w:rsidP="00616635">
      <w:pPr>
        <w:pStyle w:val="Els-body-text"/>
        <w:numPr>
          <w:ilvl w:val="0"/>
          <w:numId w:val="28"/>
        </w:numPr>
        <w:rPr>
          <w:rFonts w:eastAsia="TeXGyreAdventor"/>
          <w:sz w:val="20"/>
          <w:lang w:val="fr-FR"/>
        </w:rPr>
      </w:pPr>
      <w:proofErr w:type="spellStart"/>
      <w:r w:rsidRPr="00616635">
        <w:rPr>
          <w:rFonts w:eastAsia="TeXGyreAdventor"/>
          <w:sz w:val="20"/>
          <w:lang w:val="en-GB"/>
        </w:rPr>
        <w:t>Satar</w:t>
      </w:r>
      <w:proofErr w:type="spellEnd"/>
      <w:r w:rsidRPr="00616635">
        <w:rPr>
          <w:rFonts w:eastAsia="TeXGyreAdventor"/>
          <w:sz w:val="20"/>
          <w:lang w:val="en-GB"/>
        </w:rPr>
        <w:t xml:space="preserve"> S., </w:t>
      </w:r>
      <w:proofErr w:type="spellStart"/>
      <w:r w:rsidRPr="00616635">
        <w:rPr>
          <w:rFonts w:eastAsia="TeXGyreAdventor"/>
          <w:sz w:val="20"/>
          <w:lang w:val="en-GB"/>
        </w:rPr>
        <w:t>Satar</w:t>
      </w:r>
      <w:proofErr w:type="spellEnd"/>
      <w:r w:rsidRPr="00616635">
        <w:rPr>
          <w:rFonts w:eastAsia="TeXGyreAdventor"/>
          <w:sz w:val="20"/>
          <w:lang w:val="en-GB"/>
        </w:rPr>
        <w:t xml:space="preserve"> D., Sinan k., </w:t>
      </w:r>
      <w:proofErr w:type="spellStart"/>
      <w:r w:rsidRPr="00616635">
        <w:rPr>
          <w:rFonts w:eastAsia="TeXGyreAdventor"/>
          <w:sz w:val="20"/>
          <w:lang w:val="en-GB"/>
        </w:rPr>
        <w:t>Leventerle</w:t>
      </w:r>
      <w:proofErr w:type="spellEnd"/>
      <w:r w:rsidRPr="00616635">
        <w:rPr>
          <w:rFonts w:eastAsia="TeXGyreAdventor"/>
          <w:sz w:val="20"/>
          <w:lang w:val="en-GB"/>
        </w:rPr>
        <w:t xml:space="preserve"> H. Effects of acute organophosphate poisoning on thyroid hormones in rats. </w:t>
      </w:r>
      <w:proofErr w:type="spellStart"/>
      <w:r w:rsidRPr="00616635">
        <w:rPr>
          <w:rFonts w:eastAsia="TeXGyreAdventor"/>
          <w:sz w:val="20"/>
          <w:lang w:val="fr-FR"/>
        </w:rPr>
        <w:t>Toxicology</w:t>
      </w:r>
      <w:proofErr w:type="spellEnd"/>
      <w:r w:rsidRPr="00616635">
        <w:rPr>
          <w:rFonts w:eastAsia="TeXGyreAdventor"/>
          <w:sz w:val="20"/>
          <w:lang w:val="fr-FR"/>
        </w:rPr>
        <w:t xml:space="preserve"> </w:t>
      </w:r>
      <w:proofErr w:type="spellStart"/>
      <w:r w:rsidRPr="00616635">
        <w:rPr>
          <w:rFonts w:eastAsia="TeXGyreAdventor"/>
          <w:sz w:val="20"/>
          <w:lang w:val="fr-FR"/>
        </w:rPr>
        <w:t>Letters</w:t>
      </w:r>
      <w:proofErr w:type="spellEnd"/>
      <w:r w:rsidRPr="00616635">
        <w:rPr>
          <w:rFonts w:eastAsia="TeXGyreAdventor"/>
          <w:sz w:val="20"/>
          <w:lang w:val="fr-FR"/>
        </w:rPr>
        <w:t xml:space="preserve"> 164S (2006) S1–S324. </w:t>
      </w:r>
    </w:p>
    <w:p w:rsidR="00616635" w:rsidRPr="00616635" w:rsidRDefault="00616635" w:rsidP="00616635">
      <w:pPr>
        <w:pStyle w:val="Els-body-text"/>
        <w:numPr>
          <w:ilvl w:val="0"/>
          <w:numId w:val="28"/>
        </w:numPr>
        <w:rPr>
          <w:rFonts w:eastAsia="TeXGyreAdventor"/>
          <w:sz w:val="20"/>
          <w:lang w:val="fr-FR"/>
        </w:rPr>
      </w:pPr>
      <w:r w:rsidRPr="00616635">
        <w:rPr>
          <w:rFonts w:eastAsia="TeXGyreAdventor"/>
          <w:sz w:val="20"/>
          <w:lang w:val="en-GB"/>
        </w:rPr>
        <w:t xml:space="preserve">De Angelis S., </w:t>
      </w:r>
      <w:proofErr w:type="spellStart"/>
      <w:r w:rsidRPr="00616635">
        <w:rPr>
          <w:rFonts w:eastAsia="TeXGyreAdventor"/>
          <w:sz w:val="20"/>
          <w:lang w:val="en-GB"/>
        </w:rPr>
        <w:t>Tassinari</w:t>
      </w:r>
      <w:proofErr w:type="spellEnd"/>
      <w:r w:rsidRPr="00616635">
        <w:rPr>
          <w:rFonts w:eastAsia="TeXGyreAdventor"/>
          <w:sz w:val="20"/>
          <w:lang w:val="en-GB"/>
        </w:rPr>
        <w:t xml:space="preserve"> R., </w:t>
      </w:r>
      <w:proofErr w:type="spellStart"/>
      <w:r w:rsidRPr="00616635">
        <w:rPr>
          <w:rFonts w:eastAsia="TeXGyreAdventor"/>
          <w:sz w:val="20"/>
          <w:lang w:val="en-GB"/>
        </w:rPr>
        <w:t>Maranghi</w:t>
      </w:r>
      <w:proofErr w:type="spellEnd"/>
      <w:r w:rsidRPr="00616635">
        <w:rPr>
          <w:rFonts w:eastAsia="TeXGyreAdventor"/>
          <w:sz w:val="20"/>
          <w:lang w:val="en-GB"/>
        </w:rPr>
        <w:t xml:space="preserve"> F., </w:t>
      </w:r>
      <w:proofErr w:type="spellStart"/>
      <w:r w:rsidRPr="00616635">
        <w:rPr>
          <w:rFonts w:eastAsia="TeXGyreAdventor"/>
          <w:sz w:val="20"/>
          <w:lang w:val="en-GB"/>
        </w:rPr>
        <w:t>Eusepi</w:t>
      </w:r>
      <w:proofErr w:type="spellEnd"/>
      <w:r w:rsidRPr="00616635">
        <w:rPr>
          <w:rFonts w:eastAsia="TeXGyreAdventor"/>
          <w:sz w:val="20"/>
          <w:lang w:val="en-GB"/>
        </w:rPr>
        <w:t xml:space="preserve"> A., Di Virgilio A., </w:t>
      </w:r>
      <w:proofErr w:type="spellStart"/>
      <w:r w:rsidRPr="00616635">
        <w:rPr>
          <w:rFonts w:eastAsia="TeXGyreAdventor"/>
          <w:sz w:val="20"/>
          <w:lang w:val="en-GB"/>
        </w:rPr>
        <w:t>Chiarotti</w:t>
      </w:r>
      <w:proofErr w:type="spellEnd"/>
      <w:r w:rsidRPr="00616635">
        <w:rPr>
          <w:rFonts w:eastAsia="TeXGyreAdventor"/>
          <w:sz w:val="20"/>
          <w:lang w:val="en-GB"/>
        </w:rPr>
        <w:t xml:space="preserve"> F., </w:t>
      </w:r>
      <w:proofErr w:type="spellStart"/>
      <w:r w:rsidRPr="00616635">
        <w:rPr>
          <w:rFonts w:eastAsia="TeXGyreAdventor"/>
          <w:sz w:val="20"/>
          <w:lang w:val="en-GB"/>
        </w:rPr>
        <w:t>Ricceri</w:t>
      </w:r>
      <w:proofErr w:type="spellEnd"/>
      <w:r w:rsidRPr="00616635">
        <w:rPr>
          <w:rFonts w:eastAsia="TeXGyreAdventor"/>
          <w:sz w:val="20"/>
          <w:lang w:val="en-GB"/>
        </w:rPr>
        <w:t xml:space="preserve"> L., </w:t>
      </w:r>
      <w:proofErr w:type="spellStart"/>
      <w:r w:rsidRPr="00616635">
        <w:rPr>
          <w:rFonts w:eastAsia="TeXGyreAdventor"/>
          <w:sz w:val="20"/>
          <w:lang w:val="en-GB"/>
        </w:rPr>
        <w:t>Pesciolini</w:t>
      </w:r>
      <w:proofErr w:type="spellEnd"/>
      <w:r w:rsidRPr="00616635">
        <w:rPr>
          <w:rFonts w:eastAsia="TeXGyreAdventor"/>
          <w:sz w:val="20"/>
          <w:lang w:val="en-GB"/>
        </w:rPr>
        <w:t xml:space="preserve"> A.-V., </w:t>
      </w:r>
      <w:proofErr w:type="spellStart"/>
      <w:r w:rsidRPr="00616635">
        <w:rPr>
          <w:rFonts w:eastAsia="TeXGyreAdventor"/>
          <w:sz w:val="20"/>
          <w:lang w:val="en-GB"/>
        </w:rPr>
        <w:t>Gilardi</w:t>
      </w:r>
      <w:proofErr w:type="spellEnd"/>
      <w:r w:rsidRPr="00616635">
        <w:rPr>
          <w:rFonts w:eastAsia="TeXGyreAdventor"/>
          <w:sz w:val="20"/>
          <w:lang w:val="en-GB"/>
        </w:rPr>
        <w:t xml:space="preserve"> E., </w:t>
      </w:r>
      <w:proofErr w:type="spellStart"/>
      <w:r w:rsidRPr="00616635">
        <w:rPr>
          <w:rFonts w:eastAsia="TeXGyreAdventor"/>
          <w:sz w:val="20"/>
          <w:lang w:val="en-GB"/>
        </w:rPr>
        <w:t>Moracci</w:t>
      </w:r>
      <w:proofErr w:type="spellEnd"/>
      <w:r w:rsidRPr="00616635">
        <w:rPr>
          <w:rFonts w:eastAsia="TeXGyreAdventor"/>
          <w:sz w:val="20"/>
          <w:lang w:val="en-GB"/>
        </w:rPr>
        <w:t xml:space="preserve"> G., </w:t>
      </w:r>
      <w:proofErr w:type="spellStart"/>
      <w:r w:rsidRPr="00616635">
        <w:rPr>
          <w:rFonts w:eastAsia="TeXGyreAdventor"/>
          <w:sz w:val="20"/>
          <w:lang w:val="en-GB"/>
        </w:rPr>
        <w:t>Calamandrei</w:t>
      </w:r>
      <w:proofErr w:type="spellEnd"/>
      <w:r w:rsidRPr="00616635">
        <w:rPr>
          <w:rFonts w:eastAsia="TeXGyreAdventor"/>
          <w:sz w:val="20"/>
          <w:lang w:val="en-GB"/>
        </w:rPr>
        <w:t xml:space="preserve"> G., </w:t>
      </w:r>
      <w:proofErr w:type="spellStart"/>
      <w:r w:rsidRPr="00616635">
        <w:rPr>
          <w:rFonts w:eastAsia="TeXGyreAdventor"/>
          <w:sz w:val="20"/>
          <w:lang w:val="en-GB"/>
        </w:rPr>
        <w:t>Olivieri</w:t>
      </w:r>
      <w:proofErr w:type="spellEnd"/>
      <w:r w:rsidRPr="00616635">
        <w:rPr>
          <w:rFonts w:eastAsia="TeXGyreAdventor"/>
          <w:sz w:val="20"/>
          <w:lang w:val="en-GB"/>
        </w:rPr>
        <w:t xml:space="preserve"> A., </w:t>
      </w:r>
      <w:proofErr w:type="spellStart"/>
      <w:r w:rsidRPr="00616635">
        <w:rPr>
          <w:rFonts w:eastAsia="TeXGyreAdventor"/>
          <w:sz w:val="20"/>
          <w:lang w:val="en-GB"/>
        </w:rPr>
        <w:t>Mantovani</w:t>
      </w:r>
      <w:proofErr w:type="spellEnd"/>
      <w:r w:rsidRPr="00616635">
        <w:rPr>
          <w:rFonts w:eastAsia="TeXGyreAdventor"/>
          <w:sz w:val="20"/>
          <w:lang w:val="en-GB"/>
        </w:rPr>
        <w:t xml:space="preserve"> A. Developmental exposure to chlorpyrifos induces alterations in thyroid and thyroid hormone levels without other toxicity signs in Cd1 mice. </w:t>
      </w:r>
      <w:proofErr w:type="spellStart"/>
      <w:r w:rsidRPr="00616635">
        <w:rPr>
          <w:rFonts w:eastAsia="TeXGyreAdventor"/>
          <w:sz w:val="20"/>
          <w:lang w:val="fr-FR"/>
        </w:rPr>
        <w:t>Toxicological</w:t>
      </w:r>
      <w:proofErr w:type="spellEnd"/>
      <w:r w:rsidRPr="00616635">
        <w:rPr>
          <w:rFonts w:eastAsia="TeXGyreAdventor"/>
          <w:sz w:val="20"/>
          <w:lang w:val="fr-FR"/>
        </w:rPr>
        <w:t xml:space="preserve"> Sciences. 2009;108(2):311–319.</w:t>
      </w:r>
    </w:p>
    <w:p w:rsidR="00616635" w:rsidRPr="00616635" w:rsidRDefault="00616635" w:rsidP="00616635">
      <w:pPr>
        <w:pStyle w:val="Els-body-text"/>
        <w:numPr>
          <w:ilvl w:val="0"/>
          <w:numId w:val="28"/>
        </w:numPr>
        <w:rPr>
          <w:rFonts w:eastAsia="TeXGyreAdventor"/>
          <w:sz w:val="20"/>
          <w:lang w:val="fr-FR"/>
        </w:rPr>
      </w:pPr>
      <w:r w:rsidRPr="00616635">
        <w:rPr>
          <w:rFonts w:eastAsia="TeXGyreAdventor"/>
          <w:sz w:val="20"/>
          <w:lang w:val="en-GB"/>
        </w:rPr>
        <w:t xml:space="preserve">Haviland J.A., </w:t>
      </w:r>
      <w:proofErr w:type="spellStart"/>
      <w:r w:rsidRPr="00616635">
        <w:rPr>
          <w:rFonts w:eastAsia="TeXGyreAdventor"/>
          <w:sz w:val="20"/>
          <w:lang w:val="en-GB"/>
        </w:rPr>
        <w:t>Butz</w:t>
      </w:r>
      <w:proofErr w:type="spellEnd"/>
      <w:r w:rsidRPr="00616635">
        <w:rPr>
          <w:rFonts w:eastAsia="TeXGyreAdventor"/>
          <w:sz w:val="20"/>
          <w:lang w:val="en-GB"/>
        </w:rPr>
        <w:t xml:space="preserve"> D.E., Porter W.P. Long-term sex selective hormonal and </w:t>
      </w:r>
      <w:proofErr w:type="spellStart"/>
      <w:r w:rsidRPr="00616635">
        <w:rPr>
          <w:rFonts w:eastAsia="TeXGyreAdventor"/>
          <w:sz w:val="20"/>
          <w:lang w:val="en-GB"/>
        </w:rPr>
        <w:t>behavior</w:t>
      </w:r>
      <w:proofErr w:type="spellEnd"/>
      <w:r w:rsidRPr="00616635">
        <w:rPr>
          <w:rFonts w:eastAsia="TeXGyreAdventor"/>
          <w:sz w:val="20"/>
          <w:lang w:val="en-GB"/>
        </w:rPr>
        <w:t xml:space="preserve"> alterations in mice exposed to low doses of chlorpyrifos in utero. </w:t>
      </w:r>
      <w:r w:rsidRPr="00616635">
        <w:rPr>
          <w:rFonts w:eastAsia="TeXGyreAdventor"/>
          <w:sz w:val="20"/>
          <w:lang w:val="fr-FR"/>
        </w:rPr>
        <w:t>Toxicologie de la reproduction. 2010;29(1):74-79.</w:t>
      </w:r>
    </w:p>
    <w:p w:rsidR="00616635" w:rsidRPr="00616635" w:rsidRDefault="00616635" w:rsidP="00616635">
      <w:pPr>
        <w:pStyle w:val="Els-body-text"/>
        <w:numPr>
          <w:ilvl w:val="0"/>
          <w:numId w:val="28"/>
        </w:numPr>
        <w:rPr>
          <w:rFonts w:eastAsia="TeXGyreAdventor"/>
          <w:sz w:val="20"/>
          <w:lang w:val="fr-FR"/>
        </w:rPr>
      </w:pPr>
      <w:proofErr w:type="spellStart"/>
      <w:r w:rsidRPr="00616635">
        <w:rPr>
          <w:rFonts w:eastAsia="TeXGyreAdventor"/>
          <w:sz w:val="20"/>
          <w:lang w:val="en-GB"/>
        </w:rPr>
        <w:t>Slotkin</w:t>
      </w:r>
      <w:proofErr w:type="spellEnd"/>
      <w:r w:rsidRPr="00616635">
        <w:rPr>
          <w:rFonts w:eastAsia="TeXGyreAdventor"/>
          <w:sz w:val="20"/>
          <w:lang w:val="en-GB"/>
        </w:rPr>
        <w:t xml:space="preserve"> T.A., Cooper E.M., Stapleton H.M., Seidler F.J. Does thyroid disruption contribute to the developmental neurotoxicity of chlorpyrifos? </w:t>
      </w:r>
      <w:r w:rsidRPr="00616635">
        <w:rPr>
          <w:rFonts w:eastAsia="TeXGyreAdventor"/>
          <w:sz w:val="20"/>
          <w:lang w:val="fr-FR"/>
        </w:rPr>
        <w:t xml:space="preserve">Environ </w:t>
      </w:r>
      <w:proofErr w:type="spellStart"/>
      <w:r w:rsidRPr="00616635">
        <w:rPr>
          <w:rFonts w:eastAsia="TeXGyreAdventor"/>
          <w:sz w:val="20"/>
          <w:lang w:val="fr-FR"/>
        </w:rPr>
        <w:t>Toxicol</w:t>
      </w:r>
      <w:proofErr w:type="spellEnd"/>
      <w:r w:rsidRPr="00616635">
        <w:rPr>
          <w:rFonts w:eastAsia="TeXGyreAdventor"/>
          <w:sz w:val="20"/>
          <w:lang w:val="fr-FR"/>
        </w:rPr>
        <w:t xml:space="preserve"> </w:t>
      </w:r>
      <w:proofErr w:type="spellStart"/>
      <w:r w:rsidRPr="00616635">
        <w:rPr>
          <w:rFonts w:eastAsia="TeXGyreAdventor"/>
          <w:sz w:val="20"/>
          <w:lang w:val="fr-FR"/>
        </w:rPr>
        <w:t>Pharmacol</w:t>
      </w:r>
      <w:proofErr w:type="spellEnd"/>
      <w:r w:rsidRPr="00616635">
        <w:rPr>
          <w:rFonts w:eastAsia="TeXGyreAdventor"/>
          <w:sz w:val="20"/>
          <w:lang w:val="fr-FR"/>
        </w:rPr>
        <w:t>. 2013;36(2):284-287.</w:t>
      </w:r>
    </w:p>
    <w:p w:rsidR="00616635" w:rsidRPr="00616635" w:rsidRDefault="00616635" w:rsidP="00616635">
      <w:pPr>
        <w:pStyle w:val="Els-body-text"/>
        <w:numPr>
          <w:ilvl w:val="0"/>
          <w:numId w:val="28"/>
        </w:numPr>
        <w:rPr>
          <w:rFonts w:eastAsia="TeXGyreAdventor"/>
          <w:sz w:val="20"/>
          <w:lang w:val="fr-FR"/>
        </w:rPr>
      </w:pPr>
      <w:r w:rsidRPr="00616635">
        <w:rPr>
          <w:rFonts w:eastAsia="TeXGyreAdventor"/>
          <w:sz w:val="20"/>
          <w:lang w:val="en-GB"/>
        </w:rPr>
        <w:t xml:space="preserve">Zhang X., Tian H., Wang W., Ru S. Exposure to </w:t>
      </w:r>
      <w:proofErr w:type="spellStart"/>
      <w:r w:rsidRPr="00616635">
        <w:rPr>
          <w:rFonts w:eastAsia="TeXGyreAdventor"/>
          <w:sz w:val="20"/>
          <w:lang w:val="en-GB"/>
        </w:rPr>
        <w:t>monocrotophos</w:t>
      </w:r>
      <w:proofErr w:type="spellEnd"/>
      <w:r w:rsidRPr="00616635">
        <w:rPr>
          <w:rFonts w:eastAsia="TeXGyreAdventor"/>
          <w:sz w:val="20"/>
          <w:lang w:val="en-GB"/>
        </w:rPr>
        <w:t xml:space="preserve"> pesticide causes disruption of the hypothalamic-pituitary-thyroid axis in adult male goldfish (</w:t>
      </w:r>
      <w:proofErr w:type="spellStart"/>
      <w:r w:rsidRPr="00616635">
        <w:rPr>
          <w:rFonts w:eastAsia="TeXGyreAdventor"/>
          <w:sz w:val="20"/>
          <w:lang w:val="en-GB"/>
        </w:rPr>
        <w:t>Carassius</w:t>
      </w:r>
      <w:proofErr w:type="spellEnd"/>
      <w:r w:rsidRPr="00616635">
        <w:rPr>
          <w:rFonts w:eastAsia="TeXGyreAdventor"/>
          <w:sz w:val="20"/>
          <w:lang w:val="en-GB"/>
        </w:rPr>
        <w:t xml:space="preserve"> auratus). </w:t>
      </w:r>
      <w:proofErr w:type="spellStart"/>
      <w:r w:rsidRPr="00616635">
        <w:rPr>
          <w:rFonts w:eastAsia="TeXGyreAdventor"/>
          <w:sz w:val="20"/>
          <w:lang w:val="fr-FR"/>
        </w:rPr>
        <w:t>Gen</w:t>
      </w:r>
      <w:proofErr w:type="spellEnd"/>
      <w:r w:rsidRPr="00616635">
        <w:rPr>
          <w:rFonts w:eastAsia="TeXGyreAdventor"/>
          <w:sz w:val="20"/>
          <w:lang w:val="fr-FR"/>
        </w:rPr>
        <w:t xml:space="preserve"> </w:t>
      </w:r>
      <w:proofErr w:type="spellStart"/>
      <w:r w:rsidRPr="00616635">
        <w:rPr>
          <w:rFonts w:eastAsia="TeXGyreAdventor"/>
          <w:sz w:val="20"/>
          <w:lang w:val="fr-FR"/>
        </w:rPr>
        <w:t>Comp</w:t>
      </w:r>
      <w:proofErr w:type="spellEnd"/>
      <w:r w:rsidRPr="00616635">
        <w:rPr>
          <w:rFonts w:eastAsia="TeXGyreAdventor"/>
          <w:sz w:val="20"/>
          <w:lang w:val="fr-FR"/>
        </w:rPr>
        <w:t xml:space="preserve"> </w:t>
      </w:r>
      <w:proofErr w:type="spellStart"/>
      <w:r w:rsidRPr="00616635">
        <w:rPr>
          <w:rFonts w:eastAsia="TeXGyreAdventor"/>
          <w:sz w:val="20"/>
          <w:lang w:val="fr-FR"/>
        </w:rPr>
        <w:t>Endocrinol</w:t>
      </w:r>
      <w:proofErr w:type="spellEnd"/>
      <w:r w:rsidRPr="00616635">
        <w:rPr>
          <w:rFonts w:eastAsia="TeXGyreAdventor"/>
          <w:sz w:val="20"/>
          <w:lang w:val="fr-FR"/>
        </w:rPr>
        <w:t>. 2013;193:158-166.</w:t>
      </w:r>
    </w:p>
    <w:p w:rsidR="00616635" w:rsidRPr="00616635" w:rsidRDefault="00616635" w:rsidP="00616635">
      <w:pPr>
        <w:pStyle w:val="Els-body-text"/>
        <w:numPr>
          <w:ilvl w:val="0"/>
          <w:numId w:val="28"/>
        </w:numPr>
        <w:rPr>
          <w:rFonts w:eastAsia="TeXGyreAdventor"/>
          <w:sz w:val="20"/>
          <w:lang w:val="fr-FR"/>
        </w:rPr>
      </w:pPr>
      <w:r w:rsidRPr="00616635">
        <w:rPr>
          <w:rFonts w:eastAsia="TeXGyreAdventor"/>
          <w:sz w:val="20"/>
          <w:lang w:val="en-GB"/>
        </w:rPr>
        <w:t xml:space="preserve">Zhang X., Tian H., Wang W., Ru S. </w:t>
      </w:r>
      <w:proofErr w:type="spellStart"/>
      <w:r w:rsidRPr="00616635">
        <w:rPr>
          <w:rFonts w:eastAsia="TeXGyreAdventor"/>
          <w:sz w:val="20"/>
          <w:lang w:val="en-GB"/>
        </w:rPr>
        <w:t>Monocrotophos</w:t>
      </w:r>
      <w:proofErr w:type="spellEnd"/>
      <w:r w:rsidRPr="00616635">
        <w:rPr>
          <w:rFonts w:eastAsia="TeXGyreAdventor"/>
          <w:sz w:val="20"/>
          <w:lang w:val="en-GB"/>
        </w:rPr>
        <w:t xml:space="preserve"> pesticide decreases the plasma levels of total 3,3',5-triiodo-l-thyronine and alters the expression of genes associated with the thyroidal axis in female goldfish (</w:t>
      </w:r>
      <w:proofErr w:type="spellStart"/>
      <w:r w:rsidRPr="00616635">
        <w:rPr>
          <w:rFonts w:eastAsia="TeXGyreAdventor"/>
          <w:sz w:val="20"/>
          <w:lang w:val="en-GB"/>
        </w:rPr>
        <w:t>Carassius</w:t>
      </w:r>
      <w:proofErr w:type="spellEnd"/>
      <w:r w:rsidRPr="00616635">
        <w:rPr>
          <w:rFonts w:eastAsia="TeXGyreAdventor"/>
          <w:sz w:val="20"/>
          <w:lang w:val="en-GB"/>
        </w:rPr>
        <w:t xml:space="preserve"> auratus). </w:t>
      </w:r>
      <w:proofErr w:type="spellStart"/>
      <w:r w:rsidRPr="00616635">
        <w:rPr>
          <w:rFonts w:eastAsia="TeXGyreAdventor"/>
          <w:sz w:val="20"/>
          <w:lang w:val="fr-FR"/>
        </w:rPr>
        <w:t>PLoS</w:t>
      </w:r>
      <w:proofErr w:type="spellEnd"/>
      <w:r w:rsidRPr="00616635">
        <w:rPr>
          <w:rFonts w:eastAsia="TeXGyreAdventor"/>
          <w:sz w:val="20"/>
          <w:lang w:val="fr-FR"/>
        </w:rPr>
        <w:t xml:space="preserve"> One. 2014 30;9(9):1-9.</w:t>
      </w:r>
    </w:p>
    <w:p w:rsidR="00616635" w:rsidRPr="00616635" w:rsidRDefault="00616635" w:rsidP="00616635">
      <w:pPr>
        <w:pStyle w:val="Els-body-text"/>
        <w:numPr>
          <w:ilvl w:val="0"/>
          <w:numId w:val="28"/>
        </w:numPr>
        <w:rPr>
          <w:rFonts w:eastAsia="TeXGyreAdventor"/>
          <w:sz w:val="20"/>
          <w:lang w:val="fr-FR"/>
        </w:rPr>
      </w:pPr>
      <w:r w:rsidRPr="00616635">
        <w:rPr>
          <w:rFonts w:eastAsia="TeXGyreAdventor"/>
          <w:sz w:val="20"/>
          <w:lang w:val="en-GB"/>
        </w:rPr>
        <w:lastRenderedPageBreak/>
        <w:t xml:space="preserve">Zhang X., Liu W., Wang J., Tian H., Wang W., Ru S. Quantitative analysis of in vivo responses of reproductive and thyroid endpoints in male goldfish exposed to </w:t>
      </w:r>
      <w:proofErr w:type="spellStart"/>
      <w:r w:rsidRPr="00616635">
        <w:rPr>
          <w:rFonts w:eastAsia="TeXGyreAdventor"/>
          <w:sz w:val="20"/>
          <w:lang w:val="en-GB"/>
        </w:rPr>
        <w:t>monocrotophos</w:t>
      </w:r>
      <w:proofErr w:type="spellEnd"/>
      <w:r w:rsidRPr="00616635">
        <w:rPr>
          <w:rFonts w:eastAsia="TeXGyreAdventor"/>
          <w:sz w:val="20"/>
          <w:lang w:val="en-GB"/>
        </w:rPr>
        <w:t xml:space="preserve"> pesticide. </w:t>
      </w:r>
      <w:proofErr w:type="spellStart"/>
      <w:r w:rsidRPr="00616635">
        <w:rPr>
          <w:rFonts w:eastAsia="TeXGyreAdventor"/>
          <w:sz w:val="20"/>
          <w:lang w:val="fr-FR"/>
        </w:rPr>
        <w:t>Comp</w:t>
      </w:r>
      <w:proofErr w:type="spellEnd"/>
      <w:r w:rsidRPr="00616635">
        <w:rPr>
          <w:rFonts w:eastAsia="TeXGyreAdventor"/>
          <w:sz w:val="20"/>
          <w:lang w:val="fr-FR"/>
        </w:rPr>
        <w:t xml:space="preserve"> </w:t>
      </w:r>
      <w:proofErr w:type="spellStart"/>
      <w:r w:rsidRPr="00616635">
        <w:rPr>
          <w:rFonts w:eastAsia="TeXGyreAdventor"/>
          <w:sz w:val="20"/>
          <w:lang w:val="fr-FR"/>
        </w:rPr>
        <w:t>Biochem</w:t>
      </w:r>
      <w:proofErr w:type="spellEnd"/>
      <w:r w:rsidRPr="00616635">
        <w:rPr>
          <w:rFonts w:eastAsia="TeXGyreAdventor"/>
          <w:sz w:val="20"/>
          <w:lang w:val="fr-FR"/>
        </w:rPr>
        <w:t xml:space="preserve"> </w:t>
      </w:r>
      <w:proofErr w:type="spellStart"/>
      <w:r w:rsidRPr="00616635">
        <w:rPr>
          <w:rFonts w:eastAsia="TeXGyreAdventor"/>
          <w:sz w:val="20"/>
          <w:lang w:val="fr-FR"/>
        </w:rPr>
        <w:t>Physiol</w:t>
      </w:r>
      <w:proofErr w:type="spellEnd"/>
      <w:r w:rsidRPr="00616635">
        <w:rPr>
          <w:rFonts w:eastAsia="TeXGyreAdventor"/>
          <w:sz w:val="20"/>
          <w:lang w:val="fr-FR"/>
        </w:rPr>
        <w:t xml:space="preserve"> C </w:t>
      </w:r>
      <w:proofErr w:type="spellStart"/>
      <w:r w:rsidRPr="00616635">
        <w:rPr>
          <w:rFonts w:eastAsia="TeXGyreAdventor"/>
          <w:sz w:val="20"/>
          <w:lang w:val="fr-FR"/>
        </w:rPr>
        <w:t>Toxicol</w:t>
      </w:r>
      <w:proofErr w:type="spellEnd"/>
      <w:r w:rsidRPr="00616635">
        <w:rPr>
          <w:rFonts w:eastAsia="TeXGyreAdventor"/>
          <w:sz w:val="20"/>
          <w:lang w:val="fr-FR"/>
        </w:rPr>
        <w:t xml:space="preserve"> </w:t>
      </w:r>
      <w:proofErr w:type="spellStart"/>
      <w:r w:rsidRPr="00616635">
        <w:rPr>
          <w:rFonts w:eastAsia="TeXGyreAdventor"/>
          <w:sz w:val="20"/>
          <w:lang w:val="fr-FR"/>
        </w:rPr>
        <w:t>Pharmacol</w:t>
      </w:r>
      <w:proofErr w:type="spellEnd"/>
      <w:r w:rsidRPr="00616635">
        <w:rPr>
          <w:rFonts w:eastAsia="TeXGyreAdventor"/>
          <w:sz w:val="20"/>
          <w:lang w:val="fr-FR"/>
        </w:rPr>
        <w:t>. 2018;211:41-47.</w:t>
      </w:r>
    </w:p>
    <w:p w:rsidR="00616635" w:rsidRPr="00616635" w:rsidRDefault="00616635" w:rsidP="00616635">
      <w:pPr>
        <w:pStyle w:val="Els-body-text"/>
        <w:numPr>
          <w:ilvl w:val="0"/>
          <w:numId w:val="28"/>
        </w:numPr>
        <w:rPr>
          <w:rFonts w:eastAsia="TeXGyreAdventor"/>
          <w:sz w:val="20"/>
          <w:lang w:val="fr-FR"/>
        </w:rPr>
      </w:pPr>
      <w:r w:rsidRPr="00616635">
        <w:rPr>
          <w:rFonts w:eastAsia="TeXGyreAdventor"/>
          <w:sz w:val="20"/>
          <w:lang w:val="en-GB"/>
        </w:rPr>
        <w:t xml:space="preserve">Meeker J.D., Barr D.B., Hauser R.. Thyroid hormones in relation to urinary metabolites of non-persistent insecticides in men of reproductive age. </w:t>
      </w:r>
      <w:r w:rsidRPr="00616635">
        <w:rPr>
          <w:rFonts w:eastAsia="TeXGyreAdventor"/>
          <w:sz w:val="20"/>
          <w:lang w:val="fr-FR"/>
        </w:rPr>
        <w:t xml:space="preserve">Reproductive </w:t>
      </w:r>
      <w:proofErr w:type="spellStart"/>
      <w:r w:rsidRPr="00616635">
        <w:rPr>
          <w:rFonts w:eastAsia="TeXGyreAdventor"/>
          <w:sz w:val="20"/>
          <w:lang w:val="fr-FR"/>
        </w:rPr>
        <w:t>Toxicology</w:t>
      </w:r>
      <w:proofErr w:type="spellEnd"/>
      <w:r w:rsidRPr="00616635">
        <w:rPr>
          <w:rFonts w:eastAsia="TeXGyreAdventor"/>
          <w:sz w:val="20"/>
          <w:lang w:val="fr-FR"/>
        </w:rPr>
        <w:t xml:space="preserve">. 2006;22:437-442. </w:t>
      </w:r>
    </w:p>
    <w:p w:rsidR="00616635" w:rsidRPr="00616635" w:rsidRDefault="00616635" w:rsidP="00616635">
      <w:pPr>
        <w:pStyle w:val="Els-body-text"/>
        <w:numPr>
          <w:ilvl w:val="0"/>
          <w:numId w:val="28"/>
        </w:numPr>
        <w:rPr>
          <w:rFonts w:eastAsia="TeXGyreAdventor"/>
          <w:sz w:val="20"/>
          <w:lang w:val="fr-FR"/>
        </w:rPr>
      </w:pPr>
      <w:proofErr w:type="spellStart"/>
      <w:r w:rsidRPr="00616635">
        <w:rPr>
          <w:rFonts w:eastAsia="TeXGyreAdventor"/>
          <w:sz w:val="20"/>
          <w:lang w:val="fr-FR"/>
        </w:rPr>
        <w:t>Lacasaña</w:t>
      </w:r>
      <w:proofErr w:type="spellEnd"/>
      <w:r w:rsidRPr="00616635">
        <w:rPr>
          <w:rFonts w:eastAsia="TeXGyreAdventor"/>
          <w:sz w:val="20"/>
          <w:lang w:val="fr-FR"/>
        </w:rPr>
        <w:t xml:space="preserve"> M., </w:t>
      </w:r>
      <w:proofErr w:type="spellStart"/>
      <w:r w:rsidRPr="00616635">
        <w:rPr>
          <w:rFonts w:eastAsia="TeXGyreAdventor"/>
          <w:sz w:val="20"/>
          <w:lang w:val="fr-FR"/>
        </w:rPr>
        <w:t>López</w:t>
      </w:r>
      <w:proofErr w:type="spellEnd"/>
      <w:r w:rsidRPr="00616635">
        <w:rPr>
          <w:rFonts w:eastAsia="TeXGyreAdventor"/>
          <w:sz w:val="20"/>
          <w:lang w:val="fr-FR"/>
        </w:rPr>
        <w:t xml:space="preserve">-Flores I., </w:t>
      </w:r>
      <w:proofErr w:type="spellStart"/>
      <w:r w:rsidRPr="00616635">
        <w:rPr>
          <w:rFonts w:eastAsia="TeXGyreAdventor"/>
          <w:sz w:val="20"/>
          <w:lang w:val="fr-FR"/>
        </w:rPr>
        <w:t>Rodríguez</w:t>
      </w:r>
      <w:proofErr w:type="spellEnd"/>
      <w:r w:rsidRPr="00616635">
        <w:rPr>
          <w:rFonts w:eastAsia="TeXGyreAdventor"/>
          <w:sz w:val="20"/>
          <w:lang w:val="fr-FR"/>
        </w:rPr>
        <w:t xml:space="preserve">-Barranco M., </w:t>
      </w:r>
      <w:proofErr w:type="spellStart"/>
      <w:r w:rsidRPr="00616635">
        <w:rPr>
          <w:rFonts w:eastAsia="TeXGyreAdventor"/>
          <w:sz w:val="20"/>
          <w:lang w:val="fr-FR"/>
        </w:rPr>
        <w:t>Aguilar-Garduño</w:t>
      </w:r>
      <w:proofErr w:type="spellEnd"/>
      <w:r w:rsidRPr="00616635">
        <w:rPr>
          <w:rFonts w:eastAsia="TeXGyreAdventor"/>
          <w:sz w:val="20"/>
          <w:lang w:val="fr-FR"/>
        </w:rPr>
        <w:t xml:space="preserve"> C., Blanco-</w:t>
      </w:r>
      <w:proofErr w:type="spellStart"/>
      <w:r w:rsidRPr="00616635">
        <w:rPr>
          <w:rFonts w:eastAsia="TeXGyreAdventor"/>
          <w:sz w:val="20"/>
          <w:lang w:val="fr-FR"/>
        </w:rPr>
        <w:t>Muñoz</w:t>
      </w:r>
      <w:proofErr w:type="spellEnd"/>
      <w:r w:rsidRPr="00616635">
        <w:rPr>
          <w:rFonts w:eastAsia="TeXGyreAdventor"/>
          <w:sz w:val="20"/>
          <w:lang w:val="fr-FR"/>
        </w:rPr>
        <w:t xml:space="preserve"> J., Pérez-</w:t>
      </w:r>
      <w:proofErr w:type="spellStart"/>
      <w:r w:rsidRPr="00616635">
        <w:rPr>
          <w:rFonts w:eastAsia="TeXGyreAdventor"/>
          <w:sz w:val="20"/>
          <w:lang w:val="fr-FR"/>
        </w:rPr>
        <w:t>Méndez</w:t>
      </w:r>
      <w:proofErr w:type="spellEnd"/>
      <w:r w:rsidRPr="00616635">
        <w:rPr>
          <w:rFonts w:eastAsia="TeXGyreAdventor"/>
          <w:sz w:val="20"/>
          <w:lang w:val="fr-FR"/>
        </w:rPr>
        <w:t xml:space="preserve"> O., </w:t>
      </w:r>
      <w:proofErr w:type="spellStart"/>
      <w:r w:rsidRPr="00616635">
        <w:rPr>
          <w:rFonts w:eastAsia="TeXGyreAdventor"/>
          <w:sz w:val="20"/>
          <w:lang w:val="fr-FR"/>
        </w:rPr>
        <w:t>Gamboa</w:t>
      </w:r>
      <w:proofErr w:type="spellEnd"/>
      <w:r w:rsidRPr="00616635">
        <w:rPr>
          <w:rFonts w:eastAsia="TeXGyreAdventor"/>
          <w:sz w:val="20"/>
          <w:lang w:val="fr-FR"/>
        </w:rPr>
        <w:t xml:space="preserve"> R., </w:t>
      </w:r>
      <w:proofErr w:type="spellStart"/>
      <w:r w:rsidRPr="00616635">
        <w:rPr>
          <w:rFonts w:eastAsia="TeXGyreAdventor"/>
          <w:sz w:val="20"/>
          <w:lang w:val="fr-FR"/>
        </w:rPr>
        <w:t>Bassol</w:t>
      </w:r>
      <w:proofErr w:type="spellEnd"/>
      <w:r w:rsidRPr="00616635">
        <w:rPr>
          <w:rFonts w:eastAsia="TeXGyreAdventor"/>
          <w:sz w:val="20"/>
          <w:lang w:val="fr-FR"/>
        </w:rPr>
        <w:t xml:space="preserve"> S., </w:t>
      </w:r>
      <w:proofErr w:type="spellStart"/>
      <w:r w:rsidRPr="00616635">
        <w:rPr>
          <w:rFonts w:eastAsia="TeXGyreAdventor"/>
          <w:sz w:val="20"/>
          <w:lang w:val="fr-FR"/>
        </w:rPr>
        <w:t>Cebrian</w:t>
      </w:r>
      <w:proofErr w:type="spellEnd"/>
      <w:r w:rsidRPr="00616635">
        <w:rPr>
          <w:rFonts w:eastAsia="TeXGyreAdventor"/>
          <w:sz w:val="20"/>
          <w:lang w:val="fr-FR"/>
        </w:rPr>
        <w:t xml:space="preserve"> M.E. Association </w:t>
      </w:r>
      <w:proofErr w:type="spellStart"/>
      <w:r w:rsidRPr="00616635">
        <w:rPr>
          <w:rFonts w:eastAsia="TeXGyreAdventor"/>
          <w:sz w:val="20"/>
          <w:lang w:val="fr-FR"/>
        </w:rPr>
        <w:t>between</w:t>
      </w:r>
      <w:proofErr w:type="spellEnd"/>
      <w:r w:rsidRPr="00616635">
        <w:rPr>
          <w:rFonts w:eastAsia="TeXGyreAdventor"/>
          <w:sz w:val="20"/>
          <w:lang w:val="fr-FR"/>
        </w:rPr>
        <w:t xml:space="preserve"> </w:t>
      </w:r>
      <w:proofErr w:type="spellStart"/>
      <w:r w:rsidRPr="00616635">
        <w:rPr>
          <w:rFonts w:eastAsia="TeXGyreAdventor"/>
          <w:sz w:val="20"/>
          <w:lang w:val="fr-FR"/>
        </w:rPr>
        <w:t>organophosphate</w:t>
      </w:r>
      <w:proofErr w:type="spellEnd"/>
      <w:r w:rsidRPr="00616635">
        <w:rPr>
          <w:rFonts w:eastAsia="TeXGyreAdventor"/>
          <w:sz w:val="20"/>
          <w:lang w:val="fr-FR"/>
        </w:rPr>
        <w:t xml:space="preserve"> pesticides </w:t>
      </w:r>
      <w:proofErr w:type="spellStart"/>
      <w:r w:rsidRPr="00616635">
        <w:rPr>
          <w:rFonts w:eastAsia="TeXGyreAdventor"/>
          <w:sz w:val="20"/>
          <w:lang w:val="fr-FR"/>
        </w:rPr>
        <w:t>exposure</w:t>
      </w:r>
      <w:proofErr w:type="spellEnd"/>
      <w:r w:rsidRPr="00616635">
        <w:rPr>
          <w:rFonts w:eastAsia="TeXGyreAdventor"/>
          <w:sz w:val="20"/>
          <w:lang w:val="fr-FR"/>
        </w:rPr>
        <w:t xml:space="preserve"> and </w:t>
      </w:r>
      <w:proofErr w:type="spellStart"/>
      <w:r w:rsidRPr="00616635">
        <w:rPr>
          <w:rFonts w:eastAsia="TeXGyreAdventor"/>
          <w:sz w:val="20"/>
          <w:lang w:val="fr-FR"/>
        </w:rPr>
        <w:t>thyroid</w:t>
      </w:r>
      <w:proofErr w:type="spellEnd"/>
      <w:r w:rsidRPr="00616635">
        <w:rPr>
          <w:rFonts w:eastAsia="TeXGyreAdventor"/>
          <w:sz w:val="20"/>
          <w:lang w:val="fr-FR"/>
        </w:rPr>
        <w:t xml:space="preserve"> hormones in floriculture </w:t>
      </w:r>
      <w:proofErr w:type="spellStart"/>
      <w:r w:rsidRPr="00616635">
        <w:rPr>
          <w:rFonts w:eastAsia="TeXGyreAdventor"/>
          <w:sz w:val="20"/>
          <w:lang w:val="fr-FR"/>
        </w:rPr>
        <w:t>workers</w:t>
      </w:r>
      <w:proofErr w:type="spellEnd"/>
      <w:r w:rsidRPr="00616635">
        <w:rPr>
          <w:rFonts w:eastAsia="TeXGyreAdventor"/>
          <w:sz w:val="20"/>
          <w:lang w:val="fr-FR"/>
        </w:rPr>
        <w:t xml:space="preserve">. </w:t>
      </w:r>
      <w:proofErr w:type="spellStart"/>
      <w:r w:rsidRPr="00616635">
        <w:rPr>
          <w:rFonts w:eastAsia="TeXGyreAdventor"/>
          <w:sz w:val="20"/>
          <w:lang w:val="fr-FR"/>
        </w:rPr>
        <w:t>Toxicology</w:t>
      </w:r>
      <w:proofErr w:type="spellEnd"/>
      <w:r w:rsidRPr="00616635">
        <w:rPr>
          <w:rFonts w:eastAsia="TeXGyreAdventor"/>
          <w:sz w:val="20"/>
          <w:lang w:val="fr-FR"/>
        </w:rPr>
        <w:t xml:space="preserve"> and </w:t>
      </w:r>
      <w:proofErr w:type="spellStart"/>
      <w:r w:rsidRPr="00616635">
        <w:rPr>
          <w:rFonts w:eastAsia="TeXGyreAdventor"/>
          <w:sz w:val="20"/>
          <w:lang w:val="fr-FR"/>
        </w:rPr>
        <w:t>Applied</w:t>
      </w:r>
      <w:proofErr w:type="spellEnd"/>
      <w:r w:rsidRPr="00616635">
        <w:rPr>
          <w:rFonts w:eastAsia="TeXGyreAdventor"/>
          <w:sz w:val="20"/>
          <w:lang w:val="fr-FR"/>
        </w:rPr>
        <w:t xml:space="preserve"> </w:t>
      </w:r>
      <w:proofErr w:type="spellStart"/>
      <w:r w:rsidRPr="00616635">
        <w:rPr>
          <w:rFonts w:eastAsia="TeXGyreAdventor"/>
          <w:sz w:val="20"/>
          <w:lang w:val="fr-FR"/>
        </w:rPr>
        <w:t>Pharmacology</w:t>
      </w:r>
      <w:proofErr w:type="spellEnd"/>
      <w:r w:rsidRPr="00616635">
        <w:rPr>
          <w:rFonts w:eastAsia="TeXGyreAdventor"/>
          <w:sz w:val="20"/>
          <w:lang w:val="fr-FR"/>
        </w:rPr>
        <w:t xml:space="preserve">. 2010 a;243:19–26. </w:t>
      </w:r>
    </w:p>
    <w:p w:rsidR="00616635" w:rsidRPr="00616635" w:rsidRDefault="00616635" w:rsidP="00616635">
      <w:pPr>
        <w:pStyle w:val="Els-body-text"/>
        <w:numPr>
          <w:ilvl w:val="0"/>
          <w:numId w:val="28"/>
        </w:numPr>
        <w:rPr>
          <w:rFonts w:eastAsia="TeXGyreAdventor"/>
          <w:sz w:val="20"/>
          <w:lang w:val="fr-FR"/>
        </w:rPr>
      </w:pPr>
      <w:r w:rsidRPr="00616635">
        <w:rPr>
          <w:rFonts w:eastAsia="TeXGyreAdventor"/>
          <w:sz w:val="20"/>
          <w:lang w:val="en-GB"/>
        </w:rPr>
        <w:t xml:space="preserve">Fortenberry G.Z., Hu H., </w:t>
      </w:r>
      <w:proofErr w:type="spellStart"/>
      <w:r w:rsidRPr="00616635">
        <w:rPr>
          <w:rFonts w:eastAsia="TeXGyreAdventor"/>
          <w:sz w:val="20"/>
          <w:lang w:val="en-GB"/>
        </w:rPr>
        <w:t>Turyk</w:t>
      </w:r>
      <w:proofErr w:type="spellEnd"/>
      <w:r w:rsidRPr="00616635">
        <w:rPr>
          <w:rFonts w:eastAsia="TeXGyreAdventor"/>
          <w:sz w:val="20"/>
          <w:lang w:val="en-GB"/>
        </w:rPr>
        <w:t xml:space="preserve"> M., Barr D.B., Meeker J.D. Association between urinary 3, 5, 6-trichloro-2-pyridinol, a metabolite of chlorpyrifos and chlorpyrifos-methyl, and serum T4 and TSH in NHANES 1999-2002. </w:t>
      </w:r>
      <w:proofErr w:type="spellStart"/>
      <w:r w:rsidRPr="00616635">
        <w:rPr>
          <w:rFonts w:eastAsia="TeXGyreAdventor"/>
          <w:sz w:val="20"/>
          <w:lang w:val="fr-FR"/>
        </w:rPr>
        <w:t>Sci</w:t>
      </w:r>
      <w:proofErr w:type="spellEnd"/>
      <w:r w:rsidRPr="00616635">
        <w:rPr>
          <w:rFonts w:eastAsia="TeXGyreAdventor"/>
          <w:sz w:val="20"/>
          <w:lang w:val="fr-FR"/>
        </w:rPr>
        <w:t xml:space="preserve"> Total Environ. 2012;424:351-355.</w:t>
      </w:r>
    </w:p>
    <w:p w:rsidR="00616635" w:rsidRPr="00616635" w:rsidRDefault="00616635" w:rsidP="00616635">
      <w:pPr>
        <w:pStyle w:val="Els-body-text"/>
        <w:numPr>
          <w:ilvl w:val="0"/>
          <w:numId w:val="28"/>
        </w:numPr>
        <w:rPr>
          <w:rFonts w:eastAsia="TeXGyreAdventor"/>
          <w:sz w:val="20"/>
          <w:lang w:val="fr-FR"/>
        </w:rPr>
      </w:pPr>
      <w:r w:rsidRPr="00616635">
        <w:rPr>
          <w:rFonts w:eastAsia="TeXGyreAdventor"/>
          <w:sz w:val="20"/>
          <w:lang w:val="en-GB"/>
        </w:rPr>
        <w:t xml:space="preserve">Wang Y., Chen L., Wang C., Hum Y., Gao Y., Zhou Y., Shi R., Zhang Y., </w:t>
      </w:r>
      <w:proofErr w:type="spellStart"/>
      <w:r w:rsidRPr="00616635">
        <w:rPr>
          <w:rFonts w:eastAsia="TeXGyreAdventor"/>
          <w:sz w:val="20"/>
          <w:lang w:val="en-GB"/>
        </w:rPr>
        <w:t>Kamijima</w:t>
      </w:r>
      <w:proofErr w:type="spellEnd"/>
      <w:r w:rsidRPr="00616635">
        <w:rPr>
          <w:rFonts w:eastAsia="TeXGyreAdventor"/>
          <w:sz w:val="20"/>
          <w:lang w:val="en-GB"/>
        </w:rPr>
        <w:t xml:space="preserve"> M., </w:t>
      </w:r>
      <w:proofErr w:type="spellStart"/>
      <w:r w:rsidRPr="00616635">
        <w:rPr>
          <w:rFonts w:eastAsia="TeXGyreAdventor"/>
          <w:sz w:val="20"/>
          <w:lang w:val="en-GB"/>
        </w:rPr>
        <w:t>Ueyama</w:t>
      </w:r>
      <w:proofErr w:type="spellEnd"/>
      <w:r w:rsidRPr="00616635">
        <w:rPr>
          <w:rFonts w:eastAsia="TeXGyreAdventor"/>
          <w:sz w:val="20"/>
          <w:lang w:val="en-GB"/>
        </w:rPr>
        <w:t xml:space="preserve"> J., Tian Y. Association Between Organophosphate Pesticide Exposure and Thyroid Hormones in Pregnant Women. </w:t>
      </w:r>
      <w:proofErr w:type="spellStart"/>
      <w:r w:rsidRPr="00616635">
        <w:rPr>
          <w:rFonts w:eastAsia="TeXGyreAdventor"/>
          <w:sz w:val="20"/>
          <w:lang w:val="fr-FR"/>
        </w:rPr>
        <w:t>Epidemiology</w:t>
      </w:r>
      <w:proofErr w:type="spellEnd"/>
      <w:r w:rsidRPr="00616635">
        <w:rPr>
          <w:rFonts w:eastAsia="TeXGyreAdventor"/>
          <w:sz w:val="20"/>
          <w:lang w:val="fr-FR"/>
        </w:rPr>
        <w:t>. 2017;28(</w:t>
      </w:r>
      <w:proofErr w:type="spellStart"/>
      <w:r w:rsidRPr="00616635">
        <w:rPr>
          <w:rFonts w:eastAsia="TeXGyreAdventor"/>
          <w:sz w:val="20"/>
          <w:lang w:val="fr-FR"/>
        </w:rPr>
        <w:t>Suppl</w:t>
      </w:r>
      <w:proofErr w:type="spellEnd"/>
      <w:r w:rsidRPr="00616635">
        <w:rPr>
          <w:rFonts w:eastAsia="TeXGyreAdventor"/>
          <w:sz w:val="20"/>
          <w:lang w:val="fr-FR"/>
        </w:rPr>
        <w:t xml:space="preserve"> 1):S35-S40.</w:t>
      </w:r>
    </w:p>
    <w:p w:rsidR="00616635" w:rsidRPr="00616635" w:rsidRDefault="00616635" w:rsidP="00616635">
      <w:pPr>
        <w:pStyle w:val="Els-body-text"/>
        <w:numPr>
          <w:ilvl w:val="0"/>
          <w:numId w:val="28"/>
        </w:numPr>
        <w:rPr>
          <w:rFonts w:eastAsia="TeXGyreAdventor"/>
          <w:sz w:val="20"/>
          <w:lang w:val="fr-FR"/>
        </w:rPr>
      </w:pPr>
      <w:proofErr w:type="spellStart"/>
      <w:r w:rsidRPr="00616635">
        <w:rPr>
          <w:rFonts w:eastAsia="TeXGyreAdventor"/>
          <w:sz w:val="20"/>
          <w:lang w:val="en-GB"/>
        </w:rPr>
        <w:t>Ghisari</w:t>
      </w:r>
      <w:proofErr w:type="spellEnd"/>
      <w:r w:rsidRPr="00616635">
        <w:rPr>
          <w:rFonts w:eastAsia="TeXGyreAdventor"/>
          <w:sz w:val="20"/>
          <w:lang w:val="en-GB"/>
        </w:rPr>
        <w:t xml:space="preserve"> M., Long M., </w:t>
      </w:r>
      <w:proofErr w:type="spellStart"/>
      <w:r w:rsidRPr="00616635">
        <w:rPr>
          <w:rFonts w:eastAsia="TeXGyreAdventor"/>
          <w:sz w:val="20"/>
          <w:lang w:val="en-GB"/>
        </w:rPr>
        <w:t>Tabbo</w:t>
      </w:r>
      <w:proofErr w:type="spellEnd"/>
      <w:r w:rsidRPr="00616635">
        <w:rPr>
          <w:rFonts w:eastAsia="TeXGyreAdventor"/>
          <w:sz w:val="20"/>
          <w:lang w:val="en-GB"/>
        </w:rPr>
        <w:t xml:space="preserve"> A., </w:t>
      </w:r>
      <w:proofErr w:type="spellStart"/>
      <w:r w:rsidRPr="00616635">
        <w:rPr>
          <w:rFonts w:eastAsia="TeXGyreAdventor"/>
          <w:sz w:val="20"/>
          <w:lang w:val="en-GB"/>
        </w:rPr>
        <w:t>Bonefeld-Jørgensen</w:t>
      </w:r>
      <w:proofErr w:type="spellEnd"/>
      <w:r w:rsidRPr="00616635">
        <w:rPr>
          <w:rFonts w:eastAsia="TeXGyreAdventor"/>
          <w:sz w:val="20"/>
          <w:lang w:val="en-GB"/>
        </w:rPr>
        <w:t xml:space="preserve"> E.C.. Effects of currently used pesticides and their mixtures on the function of thyroid hormone and aryl hydrocarbon receptor in cell culture Toxicology and Applied Pharmacology. </w:t>
      </w:r>
      <w:r w:rsidRPr="00616635">
        <w:rPr>
          <w:rFonts w:eastAsia="TeXGyreAdventor"/>
          <w:sz w:val="20"/>
          <w:lang w:val="fr-FR"/>
        </w:rPr>
        <w:t>2015;284(3):292-303.</w:t>
      </w:r>
    </w:p>
    <w:p w:rsidR="00616635" w:rsidRPr="00616635" w:rsidRDefault="00616635" w:rsidP="00616635">
      <w:pPr>
        <w:pStyle w:val="Els-body-text"/>
        <w:numPr>
          <w:ilvl w:val="0"/>
          <w:numId w:val="28"/>
        </w:numPr>
        <w:rPr>
          <w:rFonts w:eastAsia="TeXGyreAdventor"/>
          <w:sz w:val="20"/>
          <w:lang w:val="fr-FR"/>
        </w:rPr>
      </w:pPr>
      <w:proofErr w:type="spellStart"/>
      <w:r w:rsidRPr="00616635">
        <w:rPr>
          <w:rFonts w:eastAsia="TeXGyreAdventor"/>
          <w:sz w:val="20"/>
          <w:lang w:val="fr-FR"/>
        </w:rPr>
        <w:t>Porreca</w:t>
      </w:r>
      <w:proofErr w:type="spellEnd"/>
      <w:r w:rsidRPr="00616635">
        <w:rPr>
          <w:rFonts w:eastAsia="TeXGyreAdventor"/>
          <w:sz w:val="20"/>
          <w:lang w:val="fr-FR"/>
        </w:rPr>
        <w:t xml:space="preserve"> I., D'Angelo F., De </w:t>
      </w:r>
      <w:proofErr w:type="spellStart"/>
      <w:r w:rsidRPr="00616635">
        <w:rPr>
          <w:rFonts w:eastAsia="TeXGyreAdventor"/>
          <w:sz w:val="20"/>
          <w:lang w:val="fr-FR"/>
        </w:rPr>
        <w:t>Franceschi</w:t>
      </w:r>
      <w:proofErr w:type="spellEnd"/>
      <w:r w:rsidRPr="00616635">
        <w:rPr>
          <w:rFonts w:eastAsia="TeXGyreAdventor"/>
          <w:sz w:val="20"/>
          <w:lang w:val="fr-FR"/>
        </w:rPr>
        <w:t xml:space="preserve"> L., </w:t>
      </w:r>
      <w:proofErr w:type="spellStart"/>
      <w:r w:rsidRPr="00616635">
        <w:rPr>
          <w:rFonts w:eastAsia="TeXGyreAdventor"/>
          <w:sz w:val="20"/>
          <w:lang w:val="fr-FR"/>
        </w:rPr>
        <w:t>Mattè</w:t>
      </w:r>
      <w:proofErr w:type="spellEnd"/>
      <w:r w:rsidRPr="00616635">
        <w:rPr>
          <w:rFonts w:eastAsia="TeXGyreAdventor"/>
          <w:sz w:val="20"/>
          <w:lang w:val="fr-FR"/>
        </w:rPr>
        <w:t xml:space="preserve"> A., </w:t>
      </w:r>
      <w:proofErr w:type="spellStart"/>
      <w:r w:rsidRPr="00616635">
        <w:rPr>
          <w:rFonts w:eastAsia="TeXGyreAdventor"/>
          <w:sz w:val="20"/>
          <w:lang w:val="fr-FR"/>
        </w:rPr>
        <w:t>Ceccarelli</w:t>
      </w:r>
      <w:proofErr w:type="spellEnd"/>
      <w:r w:rsidRPr="00616635">
        <w:rPr>
          <w:rFonts w:eastAsia="TeXGyreAdventor"/>
          <w:sz w:val="20"/>
          <w:lang w:val="fr-FR"/>
        </w:rPr>
        <w:t xml:space="preserve"> M., </w:t>
      </w:r>
      <w:proofErr w:type="spellStart"/>
      <w:r w:rsidRPr="00616635">
        <w:rPr>
          <w:rFonts w:eastAsia="TeXGyreAdventor"/>
          <w:sz w:val="20"/>
          <w:lang w:val="fr-FR"/>
        </w:rPr>
        <w:t>Iolascon</w:t>
      </w:r>
      <w:proofErr w:type="spellEnd"/>
      <w:r w:rsidRPr="00616635">
        <w:rPr>
          <w:rFonts w:eastAsia="TeXGyreAdventor"/>
          <w:sz w:val="20"/>
          <w:lang w:val="fr-FR"/>
        </w:rPr>
        <w:t xml:space="preserve"> A., et al. </w:t>
      </w:r>
      <w:r w:rsidRPr="00616635">
        <w:rPr>
          <w:rFonts w:eastAsia="TeXGyreAdventor"/>
          <w:sz w:val="20"/>
          <w:lang w:val="en-GB"/>
        </w:rPr>
        <w:t xml:space="preserve">Pesticide </w:t>
      </w:r>
      <w:proofErr w:type="spellStart"/>
      <w:r w:rsidRPr="00616635">
        <w:rPr>
          <w:rFonts w:eastAsia="TeXGyreAdventor"/>
          <w:sz w:val="20"/>
          <w:lang w:val="en-GB"/>
        </w:rPr>
        <w:t>toxicogenomics</w:t>
      </w:r>
      <w:proofErr w:type="spellEnd"/>
      <w:r w:rsidRPr="00616635">
        <w:rPr>
          <w:rFonts w:eastAsia="TeXGyreAdventor"/>
          <w:sz w:val="20"/>
          <w:lang w:val="en-GB"/>
        </w:rPr>
        <w:t xml:space="preserve"> across scales: in vitro transcriptome predicts mechanisms and outcomes of exposure in vivo. </w:t>
      </w:r>
      <w:proofErr w:type="spellStart"/>
      <w:r w:rsidRPr="00616635">
        <w:rPr>
          <w:rFonts w:eastAsia="TeXGyreAdventor"/>
          <w:sz w:val="20"/>
          <w:lang w:val="fr-FR"/>
        </w:rPr>
        <w:t>Sci</w:t>
      </w:r>
      <w:proofErr w:type="spellEnd"/>
      <w:r w:rsidRPr="00616635">
        <w:rPr>
          <w:rFonts w:eastAsia="TeXGyreAdventor"/>
          <w:sz w:val="20"/>
          <w:lang w:val="fr-FR"/>
        </w:rPr>
        <w:t xml:space="preserve"> </w:t>
      </w:r>
      <w:proofErr w:type="spellStart"/>
      <w:r w:rsidRPr="00616635">
        <w:rPr>
          <w:rFonts w:eastAsia="TeXGyreAdventor"/>
          <w:sz w:val="20"/>
          <w:lang w:val="fr-FR"/>
        </w:rPr>
        <w:t>Rep</w:t>
      </w:r>
      <w:proofErr w:type="spellEnd"/>
      <w:r w:rsidRPr="00616635">
        <w:rPr>
          <w:rFonts w:eastAsia="TeXGyreAdventor"/>
          <w:sz w:val="20"/>
          <w:lang w:val="fr-FR"/>
        </w:rPr>
        <w:t>. 2016;6:38131.</w:t>
      </w:r>
    </w:p>
    <w:p w:rsidR="00616635" w:rsidRPr="00616635" w:rsidRDefault="00616635" w:rsidP="00616635">
      <w:pPr>
        <w:pStyle w:val="Els-body-text"/>
        <w:numPr>
          <w:ilvl w:val="0"/>
          <w:numId w:val="28"/>
        </w:numPr>
        <w:rPr>
          <w:rFonts w:eastAsia="TeXGyreAdventor"/>
          <w:sz w:val="20"/>
          <w:lang w:val="fr-FR"/>
        </w:rPr>
      </w:pPr>
      <w:proofErr w:type="spellStart"/>
      <w:r w:rsidRPr="00616635">
        <w:rPr>
          <w:rFonts w:eastAsia="TeXGyreAdventor"/>
          <w:sz w:val="20"/>
          <w:lang w:val="en-GB"/>
        </w:rPr>
        <w:t>Torka</w:t>
      </w:r>
      <w:proofErr w:type="spellEnd"/>
      <w:r w:rsidRPr="00616635">
        <w:rPr>
          <w:rFonts w:eastAsia="TeXGyreAdventor"/>
          <w:sz w:val="20"/>
          <w:lang w:val="en-GB"/>
        </w:rPr>
        <w:t xml:space="preserve"> S. Poet, Charles </w:t>
      </w:r>
      <w:proofErr w:type="spellStart"/>
      <w:r w:rsidRPr="00616635">
        <w:rPr>
          <w:rFonts w:eastAsia="TeXGyreAdventor"/>
          <w:sz w:val="20"/>
          <w:lang w:val="en-GB"/>
        </w:rPr>
        <w:t>Timchalk</w:t>
      </w:r>
      <w:proofErr w:type="spellEnd"/>
      <w:r w:rsidRPr="00616635">
        <w:rPr>
          <w:rFonts w:eastAsia="TeXGyreAdventor"/>
          <w:sz w:val="20"/>
          <w:lang w:val="en-GB"/>
        </w:rPr>
        <w:t xml:space="preserve">, Jon A. Hotchkiss &amp; Michael J. Bartels. Chlorpyrifos PBPK/PD model for multiple routes of exposure, </w:t>
      </w:r>
      <w:proofErr w:type="spellStart"/>
      <w:r w:rsidRPr="00616635">
        <w:rPr>
          <w:rFonts w:eastAsia="TeXGyreAdventor"/>
          <w:sz w:val="20"/>
          <w:lang w:val="en-GB"/>
        </w:rPr>
        <w:t>Xenobiotica</w:t>
      </w:r>
      <w:proofErr w:type="spellEnd"/>
      <w:r w:rsidRPr="00616635">
        <w:rPr>
          <w:rFonts w:eastAsia="TeXGyreAdventor"/>
          <w:sz w:val="20"/>
          <w:lang w:val="en-GB"/>
        </w:rPr>
        <w:t xml:space="preserve">. </w:t>
      </w:r>
      <w:r w:rsidRPr="00616635">
        <w:rPr>
          <w:rFonts w:eastAsia="TeXGyreAdventor"/>
          <w:sz w:val="20"/>
          <w:lang w:val="fr-FR"/>
        </w:rPr>
        <w:t>2014;44(10):868-881.</w:t>
      </w:r>
    </w:p>
    <w:p w:rsidR="00616635" w:rsidRPr="00357BDB" w:rsidRDefault="00616635" w:rsidP="00616635">
      <w:pPr>
        <w:pStyle w:val="Els-body-text"/>
        <w:numPr>
          <w:ilvl w:val="0"/>
          <w:numId w:val="28"/>
        </w:numPr>
        <w:rPr>
          <w:rFonts w:eastAsia="TeXGyreAdventor"/>
          <w:sz w:val="20"/>
          <w:lang w:val="en-GB"/>
        </w:rPr>
      </w:pPr>
      <w:proofErr w:type="spellStart"/>
      <w:r w:rsidRPr="00616635">
        <w:rPr>
          <w:rFonts w:eastAsia="TeXGyreAdventor"/>
          <w:sz w:val="20"/>
          <w:lang w:val="en-GB"/>
        </w:rPr>
        <w:t>Leemans</w:t>
      </w:r>
      <w:proofErr w:type="spellEnd"/>
      <w:r w:rsidRPr="00616635">
        <w:rPr>
          <w:rFonts w:eastAsia="TeXGyreAdventor"/>
          <w:sz w:val="20"/>
          <w:lang w:val="en-GB"/>
        </w:rPr>
        <w:t xml:space="preserve"> M., </w:t>
      </w:r>
      <w:proofErr w:type="spellStart"/>
      <w:r w:rsidRPr="00616635">
        <w:rPr>
          <w:rFonts w:eastAsia="TeXGyreAdventor"/>
          <w:sz w:val="20"/>
          <w:lang w:val="en-GB"/>
        </w:rPr>
        <w:t>Couderq</w:t>
      </w:r>
      <w:proofErr w:type="spellEnd"/>
      <w:r w:rsidRPr="00616635">
        <w:rPr>
          <w:rFonts w:eastAsia="TeXGyreAdventor"/>
          <w:sz w:val="20"/>
          <w:lang w:val="en-GB"/>
        </w:rPr>
        <w:t xml:space="preserve"> S., </w:t>
      </w:r>
      <w:proofErr w:type="spellStart"/>
      <w:r w:rsidRPr="00616635">
        <w:rPr>
          <w:rFonts w:eastAsia="TeXGyreAdventor"/>
          <w:sz w:val="20"/>
          <w:lang w:val="en-GB"/>
        </w:rPr>
        <w:t>Demeneix</w:t>
      </w:r>
      <w:proofErr w:type="spellEnd"/>
      <w:r w:rsidRPr="00616635">
        <w:rPr>
          <w:rFonts w:eastAsia="TeXGyreAdventor"/>
          <w:sz w:val="20"/>
          <w:lang w:val="en-GB"/>
        </w:rPr>
        <w:t xml:space="preserve"> B., </w:t>
      </w:r>
      <w:proofErr w:type="spellStart"/>
      <w:r w:rsidRPr="00616635">
        <w:rPr>
          <w:rFonts w:eastAsia="TeXGyreAdventor"/>
          <w:sz w:val="20"/>
          <w:lang w:val="en-GB"/>
        </w:rPr>
        <w:t>Fini</w:t>
      </w:r>
      <w:proofErr w:type="spellEnd"/>
      <w:r w:rsidRPr="00616635">
        <w:rPr>
          <w:rFonts w:eastAsia="TeXGyreAdventor"/>
          <w:sz w:val="20"/>
          <w:lang w:val="en-GB"/>
        </w:rPr>
        <w:t xml:space="preserve"> J.B. Pesticides with potential thyroid hormone-disrupting effects: a review of </w:t>
      </w:r>
      <w:proofErr w:type="spellStart"/>
      <w:r w:rsidRPr="00616635">
        <w:rPr>
          <w:rFonts w:eastAsia="TeXGyreAdventor"/>
          <w:sz w:val="20"/>
          <w:lang w:val="en-GB"/>
        </w:rPr>
        <w:t>r</w:t>
      </w:r>
      <w:r w:rsidR="00357BDB">
        <w:rPr>
          <w:rFonts w:eastAsia="TeXGyreAdventor"/>
          <w:sz w:val="20"/>
          <w:lang w:val="en-GB"/>
        </w:rPr>
        <w:t>m</w:t>
      </w:r>
      <w:r w:rsidRPr="00616635">
        <w:rPr>
          <w:rFonts w:eastAsia="TeXGyreAdventor"/>
          <w:sz w:val="20"/>
          <w:lang w:val="en-GB"/>
        </w:rPr>
        <w:t>ecent</w:t>
      </w:r>
      <w:proofErr w:type="spellEnd"/>
      <w:r w:rsidRPr="00616635">
        <w:rPr>
          <w:rFonts w:eastAsia="TeXGyreAdventor"/>
          <w:sz w:val="20"/>
          <w:lang w:val="en-GB"/>
        </w:rPr>
        <w:t xml:space="preserve"> data. </w:t>
      </w:r>
      <w:r w:rsidRPr="00357BDB">
        <w:rPr>
          <w:rFonts w:eastAsia="TeXGyreAdventor"/>
          <w:sz w:val="20"/>
          <w:lang w:val="en-GB"/>
        </w:rPr>
        <w:t>Front. Endocrinol. 2019;10:743.</w:t>
      </w:r>
    </w:p>
    <w:p w:rsidR="00B53818" w:rsidRPr="00357BDB" w:rsidRDefault="00B53818" w:rsidP="009F3FB5">
      <w:pPr>
        <w:pStyle w:val="Els-body-text"/>
        <w:spacing w:line="240" w:lineRule="auto"/>
        <w:ind w:left="360" w:firstLine="0"/>
        <w:rPr>
          <w:rFonts w:eastAsia="TeXGyreAdventor"/>
          <w:sz w:val="20"/>
          <w:lang w:val="en-GB"/>
        </w:rPr>
        <w:sectPr w:rsidR="00B53818" w:rsidRPr="00357BDB" w:rsidSect="002C5FD9">
          <w:type w:val="continuous"/>
          <w:pgSz w:w="12240" w:h="15840"/>
          <w:pgMar w:top="1440" w:right="1440" w:bottom="1440" w:left="1440" w:header="720" w:footer="861" w:gutter="0"/>
          <w:cols w:num="2" w:space="720"/>
          <w:titlePg/>
          <w:docGrid w:linePitch="360"/>
        </w:sectPr>
      </w:pPr>
    </w:p>
    <w:p w:rsidR="00C84931" w:rsidRPr="00357BDB" w:rsidRDefault="00C84931" w:rsidP="0048191E">
      <w:pPr>
        <w:pStyle w:val="Els-body-text"/>
        <w:spacing w:line="276" w:lineRule="auto"/>
        <w:ind w:firstLine="0"/>
        <w:rPr>
          <w:sz w:val="24"/>
          <w:szCs w:val="24"/>
          <w:lang w:val="en-GB"/>
        </w:rPr>
      </w:pPr>
    </w:p>
    <w:sectPr w:rsidR="00C84931" w:rsidRPr="00357BDB" w:rsidSect="00561B49">
      <w:headerReference w:type="default" r:id="rId14"/>
      <w:pgSz w:w="11910" w:h="16840"/>
      <w:pgMar w:top="680" w:right="1060" w:bottom="851" w:left="11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169F" w:rsidRDefault="0089169F" w:rsidP="00D05528">
      <w:r>
        <w:separator/>
      </w:r>
    </w:p>
  </w:endnote>
  <w:endnote w:type="continuationSeparator" w:id="0">
    <w:p w:rsidR="0089169F" w:rsidRDefault="0089169F" w:rsidP="00D05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eXGyreAdventor">
    <w:altName w:val="Times New Roman"/>
    <w:panose1 w:val="020B0604020202020204"/>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Bidi" w:hAnsiTheme="majorBidi" w:cstheme="majorBidi"/>
        <w:sz w:val="16"/>
        <w:szCs w:val="16"/>
      </w:rPr>
      <w:id w:val="6937718"/>
      <w:docPartObj>
        <w:docPartGallery w:val="Page Numbers (Bottom of Page)"/>
        <w:docPartUnique/>
      </w:docPartObj>
    </w:sdtPr>
    <w:sdtEndPr/>
    <w:sdtContent>
      <w:sdt>
        <w:sdtPr>
          <w:rPr>
            <w:rFonts w:asciiTheme="majorBidi" w:hAnsiTheme="majorBidi" w:cstheme="majorBidi"/>
            <w:sz w:val="16"/>
            <w:szCs w:val="16"/>
          </w:rPr>
          <w:id w:val="6937719"/>
          <w:docPartObj>
            <w:docPartGallery w:val="Page Numbers (Top of Page)"/>
            <w:docPartUnique/>
          </w:docPartObj>
        </w:sdtPr>
        <w:sdtEndPr/>
        <w:sdtContent>
          <w:p w:rsidR="004F5FB6" w:rsidRDefault="004F5FB6">
            <w:pPr>
              <w:pStyle w:val="Pieddepage"/>
              <w:jc w:val="center"/>
              <w:rPr>
                <w:rFonts w:asciiTheme="majorBidi" w:hAnsiTheme="majorBidi" w:cstheme="majorBidi"/>
                <w:sz w:val="16"/>
                <w:szCs w:val="16"/>
              </w:rPr>
            </w:pPr>
          </w:p>
          <w:p w:rsidR="004F5FB6" w:rsidRPr="00820252" w:rsidRDefault="004F5FB6">
            <w:pPr>
              <w:pStyle w:val="Pieddepage"/>
              <w:jc w:val="center"/>
              <w:rPr>
                <w:rFonts w:asciiTheme="majorBidi" w:hAnsiTheme="majorBidi" w:cstheme="majorBidi"/>
                <w:b/>
                <w:bCs/>
                <w:sz w:val="16"/>
                <w:szCs w:val="16"/>
              </w:rPr>
            </w:pPr>
          </w:p>
          <w:p w:rsidR="004F5FB6" w:rsidRPr="00820252" w:rsidRDefault="004F5FB6" w:rsidP="004F5FB6">
            <w:pPr>
              <w:pStyle w:val="Pieddepage"/>
              <w:jc w:val="right"/>
              <w:rPr>
                <w:rFonts w:asciiTheme="majorBidi" w:hAnsiTheme="majorBidi" w:cstheme="majorBidi"/>
                <w:sz w:val="16"/>
                <w:szCs w:val="16"/>
              </w:rPr>
            </w:pPr>
            <w:r w:rsidRPr="00820252">
              <w:rPr>
                <w:rFonts w:asciiTheme="majorBidi" w:hAnsiTheme="majorBidi" w:cstheme="majorBidi"/>
                <w:sz w:val="16"/>
                <w:szCs w:val="16"/>
              </w:rPr>
              <w:t xml:space="preserve">Page </w:t>
            </w:r>
            <w:r w:rsidRPr="00820252">
              <w:rPr>
                <w:rFonts w:asciiTheme="majorBidi" w:hAnsiTheme="majorBidi" w:cstheme="majorBidi"/>
                <w:b/>
                <w:bCs/>
                <w:sz w:val="16"/>
                <w:szCs w:val="16"/>
              </w:rPr>
              <w:fldChar w:fldCharType="begin"/>
            </w:r>
            <w:r w:rsidRPr="00820252">
              <w:rPr>
                <w:rFonts w:asciiTheme="majorBidi" w:hAnsiTheme="majorBidi" w:cstheme="majorBidi"/>
                <w:b/>
                <w:bCs/>
                <w:sz w:val="16"/>
                <w:szCs w:val="16"/>
              </w:rPr>
              <w:instrText xml:space="preserve"> PAGE </w:instrText>
            </w:r>
            <w:r w:rsidRPr="00820252">
              <w:rPr>
                <w:rFonts w:asciiTheme="majorBidi" w:hAnsiTheme="majorBidi" w:cstheme="majorBidi"/>
                <w:b/>
                <w:bCs/>
                <w:sz w:val="16"/>
                <w:szCs w:val="16"/>
              </w:rPr>
              <w:fldChar w:fldCharType="separate"/>
            </w:r>
            <w:r w:rsidR="00357BDB">
              <w:rPr>
                <w:rFonts w:asciiTheme="majorBidi" w:hAnsiTheme="majorBidi" w:cstheme="majorBidi"/>
                <w:b/>
                <w:bCs/>
                <w:noProof/>
                <w:sz w:val="16"/>
                <w:szCs w:val="16"/>
              </w:rPr>
              <w:t>15</w:t>
            </w:r>
            <w:r w:rsidRPr="00820252">
              <w:rPr>
                <w:rFonts w:asciiTheme="majorBidi" w:hAnsiTheme="majorBidi" w:cstheme="majorBidi"/>
                <w:b/>
                <w:bCs/>
                <w:sz w:val="16"/>
                <w:szCs w:val="16"/>
              </w:rPr>
              <w:fldChar w:fldCharType="end"/>
            </w:r>
            <w:r w:rsidRPr="00820252">
              <w:rPr>
                <w:rFonts w:asciiTheme="majorBidi" w:hAnsiTheme="majorBidi" w:cstheme="majorBidi"/>
                <w:sz w:val="16"/>
                <w:szCs w:val="16"/>
              </w:rPr>
              <w:t xml:space="preserve"> of </w:t>
            </w:r>
            <w:r w:rsidRPr="00820252">
              <w:rPr>
                <w:rFonts w:asciiTheme="majorBidi" w:hAnsiTheme="majorBidi" w:cstheme="majorBidi"/>
                <w:b/>
                <w:bCs/>
                <w:sz w:val="16"/>
                <w:szCs w:val="16"/>
              </w:rPr>
              <w:fldChar w:fldCharType="begin"/>
            </w:r>
            <w:r w:rsidRPr="00820252">
              <w:rPr>
                <w:rFonts w:asciiTheme="majorBidi" w:hAnsiTheme="majorBidi" w:cstheme="majorBidi"/>
                <w:b/>
                <w:bCs/>
                <w:sz w:val="16"/>
                <w:szCs w:val="16"/>
              </w:rPr>
              <w:instrText xml:space="preserve"> NUMPAGES  </w:instrText>
            </w:r>
            <w:r w:rsidRPr="00820252">
              <w:rPr>
                <w:rFonts w:asciiTheme="majorBidi" w:hAnsiTheme="majorBidi" w:cstheme="majorBidi"/>
                <w:b/>
                <w:bCs/>
                <w:sz w:val="16"/>
                <w:szCs w:val="16"/>
              </w:rPr>
              <w:fldChar w:fldCharType="separate"/>
            </w:r>
            <w:r w:rsidR="00357BDB">
              <w:rPr>
                <w:rFonts w:asciiTheme="majorBidi" w:hAnsiTheme="majorBidi" w:cstheme="majorBidi"/>
                <w:b/>
                <w:bCs/>
                <w:noProof/>
                <w:sz w:val="16"/>
                <w:szCs w:val="16"/>
              </w:rPr>
              <w:t>15</w:t>
            </w:r>
            <w:r w:rsidRPr="00820252">
              <w:rPr>
                <w:rFonts w:asciiTheme="majorBidi" w:hAnsiTheme="majorBidi" w:cstheme="majorBidi"/>
                <w:b/>
                <w:bCs/>
                <w:sz w:val="16"/>
                <w:szCs w:val="16"/>
              </w:rPr>
              <w:fldChar w:fldCharType="end"/>
            </w:r>
          </w:p>
        </w:sdtContent>
      </w:sdt>
    </w:sdtContent>
  </w:sdt>
  <w:p w:rsidR="004F5FB6" w:rsidRDefault="004F5FB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5FB6" w:rsidRDefault="004F5FB6" w:rsidP="004F5FB6">
    <w:pPr>
      <w:pStyle w:val="Pieddepage"/>
      <w:tabs>
        <w:tab w:val="center" w:pos="4961"/>
      </w:tabs>
      <w:rPr>
        <w:sz w:val="15"/>
        <w:szCs w:val="15"/>
      </w:rPr>
    </w:pPr>
  </w:p>
  <w:p w:rsidR="004F5FB6" w:rsidRPr="004F5FB6" w:rsidRDefault="004F5FB6" w:rsidP="004F5FB6">
    <w:pPr>
      <w:pStyle w:val="Pieddepage"/>
      <w:tabs>
        <w:tab w:val="center" w:pos="4961"/>
      </w:tabs>
      <w:rPr>
        <w:rFonts w:asciiTheme="majorBidi" w:hAnsiTheme="majorBidi" w:cstheme="majorBidi"/>
        <w:i/>
        <w:sz w:val="12"/>
        <w:szCs w:val="12"/>
        <w:lang w:val="en-AU"/>
      </w:rPr>
    </w:pPr>
    <w:r w:rsidRPr="00EA5E42">
      <w:rPr>
        <w:rFonts w:asciiTheme="majorBidi" w:hAnsiTheme="majorBidi" w:cstheme="majorBidi"/>
        <w:noProof/>
        <w:sz w:val="12"/>
        <w:szCs w:val="12"/>
        <w:lang w:eastAsia="fr-FR"/>
      </w:rPr>
      <w:drawing>
        <wp:anchor distT="0" distB="0" distL="114300" distR="114300" simplePos="0" relativeHeight="251700224" behindDoc="0" locked="0" layoutInCell="1" allowOverlap="1">
          <wp:simplePos x="0" y="0"/>
          <wp:positionH relativeFrom="margin">
            <wp:posOffset>23620</wp:posOffset>
          </wp:positionH>
          <wp:positionV relativeFrom="paragraph">
            <wp:posOffset>162660</wp:posOffset>
          </wp:positionV>
          <wp:extent cx="499925" cy="176110"/>
          <wp:effectExtent l="0" t="0" r="0" b="0"/>
          <wp:wrapNone/>
          <wp:docPr id="5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99925" cy="176110"/>
                  </a:xfrm>
                  <a:prstGeom prst="rect">
                    <a:avLst/>
                  </a:prstGeom>
                </pic:spPr>
              </pic:pic>
            </a:graphicData>
          </a:graphic>
        </wp:anchor>
      </w:drawing>
    </w:r>
    <w:r w:rsidRPr="004F5FB6">
      <w:rPr>
        <w:rFonts w:asciiTheme="majorBidi" w:hAnsiTheme="majorBidi" w:cstheme="majorBidi"/>
        <w:sz w:val="12"/>
        <w:szCs w:val="12"/>
        <w:lang w:val="en-AU"/>
      </w:rPr>
      <w:t>This work is licensed under a Creative Commons Attribution-</w:t>
    </w:r>
    <w:proofErr w:type="spellStart"/>
    <w:r w:rsidRPr="004F5FB6">
      <w:rPr>
        <w:rFonts w:asciiTheme="majorBidi" w:hAnsiTheme="majorBidi" w:cstheme="majorBidi"/>
        <w:sz w:val="12"/>
        <w:szCs w:val="12"/>
        <w:lang w:val="en-AU"/>
      </w:rPr>
      <w:t>NonCommercial</w:t>
    </w:r>
    <w:proofErr w:type="spellEnd"/>
    <w:r w:rsidRPr="004F5FB6">
      <w:rPr>
        <w:rFonts w:asciiTheme="majorBidi" w:hAnsiTheme="majorBidi" w:cstheme="majorBidi"/>
        <w:sz w:val="12"/>
        <w:szCs w:val="12"/>
        <w:lang w:val="en-AU"/>
      </w:rPr>
      <w:t xml:space="preserve"> 4.0 International License. </w:t>
    </w:r>
  </w:p>
  <w:sdt>
    <w:sdtPr>
      <w:rPr>
        <w:rFonts w:asciiTheme="majorBidi" w:hAnsiTheme="majorBidi" w:cstheme="majorBidi"/>
        <w:sz w:val="16"/>
        <w:szCs w:val="16"/>
      </w:rPr>
      <w:id w:val="6937720"/>
      <w:docPartObj>
        <w:docPartGallery w:val="Page Numbers (Bottom of Page)"/>
        <w:docPartUnique/>
      </w:docPartObj>
    </w:sdtPr>
    <w:sdtEndPr/>
    <w:sdtContent>
      <w:sdt>
        <w:sdtPr>
          <w:rPr>
            <w:rFonts w:asciiTheme="majorBidi" w:hAnsiTheme="majorBidi" w:cstheme="majorBidi"/>
            <w:sz w:val="16"/>
            <w:szCs w:val="16"/>
          </w:rPr>
          <w:id w:val="6937721"/>
          <w:docPartObj>
            <w:docPartGallery w:val="Page Numbers (Top of Page)"/>
            <w:docPartUnique/>
          </w:docPartObj>
        </w:sdtPr>
        <w:sdtEndPr/>
        <w:sdtContent>
          <w:p w:rsidR="004F5FB6" w:rsidRDefault="004F5FB6" w:rsidP="004F5FB6">
            <w:pPr>
              <w:pStyle w:val="Pieddepage"/>
              <w:jc w:val="center"/>
              <w:rPr>
                <w:rFonts w:asciiTheme="majorBidi" w:hAnsiTheme="majorBidi" w:cstheme="majorBidi"/>
                <w:sz w:val="16"/>
                <w:szCs w:val="16"/>
              </w:rPr>
            </w:pPr>
          </w:p>
          <w:p w:rsidR="004F5FB6" w:rsidRPr="00820252" w:rsidRDefault="004F5FB6" w:rsidP="004F5FB6">
            <w:pPr>
              <w:pStyle w:val="Pieddepage"/>
              <w:jc w:val="center"/>
              <w:rPr>
                <w:rFonts w:asciiTheme="majorBidi" w:hAnsiTheme="majorBidi" w:cstheme="majorBidi"/>
                <w:b/>
                <w:bCs/>
                <w:sz w:val="16"/>
                <w:szCs w:val="16"/>
              </w:rPr>
            </w:pPr>
          </w:p>
          <w:p w:rsidR="004F5FB6" w:rsidRPr="00820252" w:rsidRDefault="004F5FB6" w:rsidP="004F5FB6">
            <w:pPr>
              <w:pStyle w:val="Pieddepage"/>
              <w:jc w:val="right"/>
            </w:pPr>
            <w:r w:rsidRPr="00820252">
              <w:rPr>
                <w:rFonts w:asciiTheme="majorBidi" w:hAnsiTheme="majorBidi" w:cstheme="majorBidi"/>
                <w:sz w:val="16"/>
                <w:szCs w:val="16"/>
              </w:rPr>
              <w:t xml:space="preserve">Page </w:t>
            </w:r>
            <w:r w:rsidRPr="00820252">
              <w:rPr>
                <w:rFonts w:asciiTheme="majorBidi" w:hAnsiTheme="majorBidi" w:cstheme="majorBidi"/>
                <w:sz w:val="16"/>
                <w:szCs w:val="16"/>
              </w:rPr>
              <w:fldChar w:fldCharType="begin"/>
            </w:r>
            <w:r w:rsidRPr="00820252">
              <w:rPr>
                <w:rFonts w:asciiTheme="majorBidi" w:hAnsiTheme="majorBidi" w:cstheme="majorBidi"/>
                <w:sz w:val="16"/>
                <w:szCs w:val="16"/>
              </w:rPr>
              <w:instrText xml:space="preserve"> PAGE </w:instrText>
            </w:r>
            <w:r w:rsidRPr="00820252">
              <w:rPr>
                <w:rFonts w:asciiTheme="majorBidi" w:hAnsiTheme="majorBidi" w:cstheme="majorBidi"/>
                <w:sz w:val="16"/>
                <w:szCs w:val="16"/>
              </w:rPr>
              <w:fldChar w:fldCharType="separate"/>
            </w:r>
            <w:r w:rsidR="009E17BD">
              <w:rPr>
                <w:rFonts w:asciiTheme="majorBidi" w:hAnsiTheme="majorBidi" w:cstheme="majorBidi"/>
                <w:noProof/>
                <w:sz w:val="16"/>
                <w:szCs w:val="16"/>
              </w:rPr>
              <w:t>1</w:t>
            </w:r>
            <w:r w:rsidRPr="00820252">
              <w:rPr>
                <w:rFonts w:asciiTheme="majorBidi" w:hAnsiTheme="majorBidi" w:cstheme="majorBidi"/>
                <w:sz w:val="16"/>
                <w:szCs w:val="16"/>
              </w:rPr>
              <w:fldChar w:fldCharType="end"/>
            </w:r>
            <w:r w:rsidRPr="00820252">
              <w:rPr>
                <w:rFonts w:asciiTheme="majorBidi" w:hAnsiTheme="majorBidi" w:cstheme="majorBidi"/>
                <w:sz w:val="16"/>
                <w:szCs w:val="16"/>
              </w:rPr>
              <w:t xml:space="preserve"> of </w:t>
            </w:r>
            <w:r w:rsidRPr="00820252">
              <w:rPr>
                <w:rFonts w:asciiTheme="majorBidi" w:hAnsiTheme="majorBidi" w:cstheme="majorBidi"/>
                <w:sz w:val="16"/>
                <w:szCs w:val="16"/>
              </w:rPr>
              <w:fldChar w:fldCharType="begin"/>
            </w:r>
            <w:r w:rsidRPr="00820252">
              <w:rPr>
                <w:rFonts w:asciiTheme="majorBidi" w:hAnsiTheme="majorBidi" w:cstheme="majorBidi"/>
                <w:sz w:val="16"/>
                <w:szCs w:val="16"/>
              </w:rPr>
              <w:instrText xml:space="preserve"> NUMPAGES  </w:instrText>
            </w:r>
            <w:r w:rsidRPr="00820252">
              <w:rPr>
                <w:rFonts w:asciiTheme="majorBidi" w:hAnsiTheme="majorBidi" w:cstheme="majorBidi"/>
                <w:sz w:val="16"/>
                <w:szCs w:val="16"/>
              </w:rPr>
              <w:fldChar w:fldCharType="separate"/>
            </w:r>
            <w:r w:rsidR="009E17BD">
              <w:rPr>
                <w:rFonts w:asciiTheme="majorBidi" w:hAnsiTheme="majorBidi" w:cstheme="majorBidi"/>
                <w:noProof/>
                <w:sz w:val="16"/>
                <w:szCs w:val="16"/>
              </w:rPr>
              <w:t>1</w:t>
            </w:r>
            <w:r w:rsidRPr="00820252">
              <w:rPr>
                <w:rFonts w:asciiTheme="majorBidi" w:hAnsiTheme="majorBidi" w:cstheme="majorBidi"/>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169F" w:rsidRDefault="0089169F" w:rsidP="00D05528">
      <w:r>
        <w:separator/>
      </w:r>
    </w:p>
  </w:footnote>
  <w:footnote w:type="continuationSeparator" w:id="0">
    <w:p w:rsidR="0089169F" w:rsidRDefault="0089169F" w:rsidP="00D055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5FB6" w:rsidRPr="00333707" w:rsidRDefault="00333707" w:rsidP="00333707">
    <w:pPr>
      <w:pStyle w:val="En-tte"/>
      <w:jc w:val="both"/>
      <w:rPr>
        <w:rFonts w:asciiTheme="majorBidi" w:hAnsiTheme="majorBidi" w:cstheme="majorBidi"/>
        <w:sz w:val="18"/>
        <w:szCs w:val="18"/>
      </w:rPr>
    </w:pPr>
    <w:r>
      <w:rPr>
        <w:rFonts w:asciiTheme="majorBidi" w:hAnsiTheme="majorBidi" w:cstheme="majorBidi"/>
        <w:sz w:val="18"/>
        <w:szCs w:val="18"/>
      </w:rPr>
      <w:t xml:space="preserve">B. </w:t>
    </w:r>
    <w:proofErr w:type="spellStart"/>
    <w:r>
      <w:rPr>
        <w:rFonts w:asciiTheme="majorBidi" w:hAnsiTheme="majorBidi" w:cstheme="majorBidi"/>
        <w:sz w:val="18"/>
        <w:szCs w:val="18"/>
      </w:rPr>
      <w:t>Chefirat</w:t>
    </w:r>
    <w:proofErr w:type="spellEnd"/>
    <w:r w:rsidR="004F5FB6" w:rsidRPr="00333707">
      <w:rPr>
        <w:rFonts w:asciiTheme="majorBidi" w:hAnsiTheme="majorBidi" w:cstheme="majorBidi"/>
        <w:sz w:val="18"/>
        <w:szCs w:val="18"/>
      </w:rPr>
      <w:t xml:space="preserve"> </w:t>
    </w:r>
    <w:r w:rsidR="004F5FB6" w:rsidRPr="00333707">
      <w:rPr>
        <w:rFonts w:asciiTheme="majorBidi" w:hAnsiTheme="majorBidi" w:cstheme="majorBidi"/>
        <w:i/>
        <w:iCs/>
        <w:sz w:val="18"/>
        <w:szCs w:val="18"/>
      </w:rPr>
      <w:t>et al.</w:t>
    </w:r>
    <w:r>
      <w:rPr>
        <w:rFonts w:asciiTheme="majorBidi" w:hAnsiTheme="majorBidi" w:cstheme="majorBidi"/>
        <w:sz w:val="18"/>
        <w:szCs w:val="18"/>
      </w:rPr>
      <w:tab/>
    </w:r>
    <w:r>
      <w:rPr>
        <w:rFonts w:asciiTheme="majorBidi" w:hAnsiTheme="majorBidi" w:cstheme="majorBidi"/>
        <w:sz w:val="18"/>
        <w:szCs w:val="18"/>
      </w:rPr>
      <w:tab/>
    </w:r>
    <w:r w:rsidRPr="00333707">
      <w:rPr>
        <w:rFonts w:asciiTheme="majorBidi" w:hAnsiTheme="majorBidi" w:cstheme="majorBidi"/>
        <w:sz w:val="18"/>
        <w:szCs w:val="18"/>
      </w:rPr>
      <w:t xml:space="preserve">Do </w:t>
    </w:r>
    <w:proofErr w:type="spellStart"/>
    <w:r w:rsidRPr="00333707">
      <w:rPr>
        <w:rFonts w:asciiTheme="majorBidi" w:hAnsiTheme="majorBidi" w:cstheme="majorBidi"/>
        <w:sz w:val="18"/>
        <w:szCs w:val="18"/>
      </w:rPr>
      <w:t>organophosphate</w:t>
    </w:r>
    <w:proofErr w:type="spellEnd"/>
    <w:r w:rsidRPr="00333707">
      <w:rPr>
        <w:rFonts w:asciiTheme="majorBidi" w:hAnsiTheme="majorBidi" w:cstheme="majorBidi"/>
        <w:sz w:val="18"/>
        <w:szCs w:val="18"/>
      </w:rPr>
      <w:t xml:space="preserve"> pesticides cause </w:t>
    </w:r>
    <w:proofErr w:type="spellStart"/>
    <w:r w:rsidRPr="00333707">
      <w:rPr>
        <w:rFonts w:asciiTheme="majorBidi" w:hAnsiTheme="majorBidi" w:cstheme="majorBidi"/>
        <w:sz w:val="18"/>
        <w:szCs w:val="18"/>
      </w:rPr>
      <w:t>thyroid</w:t>
    </w:r>
    <w:proofErr w:type="spellEnd"/>
    <w:r w:rsidRPr="00333707">
      <w:rPr>
        <w:rFonts w:asciiTheme="majorBidi" w:hAnsiTheme="majorBidi" w:cstheme="majorBidi"/>
        <w:sz w:val="18"/>
        <w:szCs w:val="18"/>
      </w:rPr>
      <w:t xml:space="preserve"> disruption?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9579" w:type="dxa"/>
      <w:jc w:val="center"/>
      <w:tblBorders>
        <w:top w:val="none" w:sz="0" w:space="0" w:color="auto"/>
        <w:left w:val="none" w:sz="0" w:space="0" w:color="auto"/>
        <w:bottom w:val="single" w:sz="36" w:space="0" w:color="auto"/>
        <w:right w:val="none" w:sz="0" w:space="0" w:color="auto"/>
        <w:insideH w:val="none" w:sz="0" w:space="0" w:color="auto"/>
        <w:insideV w:val="none" w:sz="0" w:space="0" w:color="auto"/>
      </w:tblBorders>
      <w:shd w:val="pct10" w:color="F2F2F2" w:themeColor="background1" w:themeShade="F2" w:fill="auto"/>
      <w:tblLayout w:type="fixed"/>
      <w:tblLook w:val="04A0" w:firstRow="1" w:lastRow="0" w:firstColumn="1" w:lastColumn="0" w:noHBand="0" w:noVBand="1"/>
    </w:tblPr>
    <w:tblGrid>
      <w:gridCol w:w="1269"/>
      <w:gridCol w:w="6621"/>
      <w:gridCol w:w="1689"/>
    </w:tblGrid>
    <w:tr w:rsidR="004F5FB6" w:rsidTr="004F5FB6">
      <w:trPr>
        <w:trHeight w:val="50"/>
        <w:jc w:val="center"/>
      </w:trPr>
      <w:tc>
        <w:tcPr>
          <w:tcW w:w="1269" w:type="dxa"/>
          <w:tcBorders>
            <w:bottom w:val="single" w:sz="4" w:space="0" w:color="auto"/>
          </w:tcBorders>
          <w:shd w:val="pct10" w:color="F2F2F2" w:themeColor="background1" w:themeShade="F2" w:fill="auto"/>
          <w:vAlign w:val="bottom"/>
        </w:tcPr>
        <w:p w:rsidR="004F5FB6" w:rsidRDefault="004F5FB6" w:rsidP="004F5FB6">
          <w:pPr>
            <w:jc w:val="both"/>
          </w:pPr>
        </w:p>
      </w:tc>
      <w:tc>
        <w:tcPr>
          <w:tcW w:w="6621" w:type="dxa"/>
          <w:tcBorders>
            <w:bottom w:val="single" w:sz="4" w:space="0" w:color="auto"/>
          </w:tcBorders>
          <w:shd w:val="pct10" w:color="F2F2F2" w:themeColor="background1" w:themeShade="F2" w:fill="auto"/>
        </w:tcPr>
        <w:p w:rsidR="004F5FB6" w:rsidRPr="009D747E" w:rsidRDefault="004F5FB6" w:rsidP="004F5FB6">
          <w:pPr>
            <w:pStyle w:val="Running-head"/>
            <w:spacing w:after="240"/>
          </w:pPr>
          <w:r>
            <w:t xml:space="preserve">Algerian Journal of Health Sciences.Vol. XX Num. </w:t>
          </w:r>
          <w:r>
            <w:rPr>
              <w:iCs/>
              <w:szCs w:val="16"/>
            </w:rPr>
            <w:t>XX (Year</w:t>
          </w:r>
          <w:r w:rsidRPr="009D747E">
            <w:rPr>
              <w:iCs/>
              <w:szCs w:val="16"/>
            </w:rPr>
            <w:t>) 000–000</w:t>
          </w:r>
        </w:p>
      </w:tc>
      <w:tc>
        <w:tcPr>
          <w:tcW w:w="1689" w:type="dxa"/>
          <w:tcBorders>
            <w:bottom w:val="single" w:sz="4" w:space="0" w:color="auto"/>
          </w:tcBorders>
          <w:shd w:val="pct10" w:color="F2F2F2" w:themeColor="background1" w:themeShade="F2" w:fill="auto"/>
          <w:vAlign w:val="center"/>
        </w:tcPr>
        <w:p w:rsidR="004F5FB6" w:rsidRDefault="004F5FB6" w:rsidP="004F5FB6">
          <w:pPr>
            <w:pStyle w:val="En-tte"/>
            <w:tabs>
              <w:tab w:val="left" w:pos="6804"/>
            </w:tabs>
            <w:jc w:val="center"/>
          </w:pPr>
        </w:p>
      </w:tc>
    </w:tr>
    <w:tr w:rsidR="004F5FB6" w:rsidTr="004F5FB6">
      <w:trPr>
        <w:trHeight w:val="50"/>
        <w:jc w:val="center"/>
      </w:trPr>
      <w:tc>
        <w:tcPr>
          <w:tcW w:w="1269" w:type="dxa"/>
          <w:vMerge w:val="restart"/>
          <w:tcBorders>
            <w:top w:val="single" w:sz="4" w:space="0" w:color="auto"/>
          </w:tcBorders>
          <w:shd w:val="pct10" w:color="F2F2F2" w:themeColor="background1" w:themeShade="F2" w:fill="auto"/>
        </w:tcPr>
        <w:p w:rsidR="004F5FB6" w:rsidRPr="00056920" w:rsidRDefault="004F5FB6" w:rsidP="004F5FB6">
          <w:pPr>
            <w:contextualSpacing/>
            <w:rPr>
              <w:lang w:val="en-US"/>
            </w:rPr>
          </w:pPr>
          <w:r>
            <w:rPr>
              <w:noProof/>
              <w:lang w:eastAsia="fr-FR"/>
            </w:rPr>
            <w:drawing>
              <wp:anchor distT="0" distB="0" distL="114300" distR="114300" simplePos="0" relativeHeight="251701248" behindDoc="0" locked="0" layoutInCell="1" allowOverlap="1">
                <wp:simplePos x="0" y="0"/>
                <wp:positionH relativeFrom="column">
                  <wp:posOffset>23709</wp:posOffset>
                </wp:positionH>
                <wp:positionV relativeFrom="paragraph">
                  <wp:posOffset>126571</wp:posOffset>
                </wp:positionV>
                <wp:extent cx="662808" cy="605860"/>
                <wp:effectExtent l="19050" t="0" r="3942" b="0"/>
                <wp:wrapNone/>
                <wp:docPr id="53" name="Image 1" descr="C:\Users\BelkaInfo\Downloads\WhatsApp Image 2020-05-12 at 15.27.3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lkaInfo\Downloads\WhatsApp Image 2020-05-12 at 15.27.39.jpeg"/>
                        <pic:cNvPicPr>
                          <a:picLocks noChangeAspect="1" noChangeArrowheads="1"/>
                        </pic:cNvPicPr>
                      </pic:nvPicPr>
                      <pic:blipFill>
                        <a:blip r:embed="rId1"/>
                        <a:srcRect/>
                        <a:stretch>
                          <a:fillRect/>
                        </a:stretch>
                      </pic:blipFill>
                      <pic:spPr bwMode="auto">
                        <a:xfrm>
                          <a:off x="0" y="0"/>
                          <a:ext cx="662808" cy="605860"/>
                        </a:xfrm>
                        <a:prstGeom prst="rect">
                          <a:avLst/>
                        </a:prstGeom>
                        <a:noFill/>
                        <a:ln w="9525">
                          <a:noFill/>
                          <a:miter lim="800000"/>
                          <a:headEnd/>
                          <a:tailEnd/>
                        </a:ln>
                      </pic:spPr>
                    </pic:pic>
                  </a:graphicData>
                </a:graphic>
              </wp:anchor>
            </w:drawing>
          </w:r>
        </w:p>
      </w:tc>
      <w:tc>
        <w:tcPr>
          <w:tcW w:w="6621" w:type="dxa"/>
          <w:tcBorders>
            <w:top w:val="single" w:sz="4" w:space="0" w:color="auto"/>
          </w:tcBorders>
          <w:shd w:val="pct10" w:color="F2F2F2" w:themeColor="background1" w:themeShade="F2" w:fill="auto"/>
        </w:tcPr>
        <w:p w:rsidR="004F5FB6" w:rsidRPr="002E206D" w:rsidRDefault="004F5FB6" w:rsidP="004F5FB6">
          <w:pPr>
            <w:ind w:right="-2090"/>
            <w:contextualSpacing/>
          </w:pPr>
        </w:p>
      </w:tc>
      <w:tc>
        <w:tcPr>
          <w:tcW w:w="1689" w:type="dxa"/>
          <w:vMerge w:val="restart"/>
          <w:tcBorders>
            <w:top w:val="single" w:sz="4" w:space="0" w:color="auto"/>
            <w:bottom w:val="single" w:sz="36" w:space="0" w:color="auto"/>
          </w:tcBorders>
          <w:shd w:val="pct10" w:color="F2F2F2" w:themeColor="background1" w:themeShade="F2" w:fill="auto"/>
          <w:vAlign w:val="center"/>
        </w:tcPr>
        <w:p w:rsidR="004F5FB6" w:rsidRDefault="004F5FB6" w:rsidP="004F5FB6">
          <w:pPr>
            <w:pStyle w:val="En-tte"/>
            <w:tabs>
              <w:tab w:val="left" w:pos="6804"/>
            </w:tabs>
            <w:contextualSpacing/>
            <w:jc w:val="center"/>
          </w:pPr>
          <w:r>
            <w:rPr>
              <w:noProof/>
              <w:lang w:eastAsia="fr-FR"/>
            </w:rPr>
            <w:drawing>
              <wp:anchor distT="0" distB="0" distL="114300" distR="114300" simplePos="0" relativeHeight="251699200" behindDoc="0" locked="0" layoutInCell="1" allowOverlap="1">
                <wp:simplePos x="0" y="0"/>
                <wp:positionH relativeFrom="column">
                  <wp:posOffset>116205</wp:posOffset>
                </wp:positionH>
                <wp:positionV relativeFrom="paragraph">
                  <wp:posOffset>-68580</wp:posOffset>
                </wp:positionV>
                <wp:extent cx="889635" cy="838200"/>
                <wp:effectExtent l="0" t="0" r="5715" b="0"/>
                <wp:wrapNone/>
                <wp:docPr id="5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889635" cy="838200"/>
                        </a:xfrm>
                        <a:prstGeom prst="rect">
                          <a:avLst/>
                        </a:prstGeom>
                      </pic:spPr>
                    </pic:pic>
                  </a:graphicData>
                </a:graphic>
              </wp:anchor>
            </w:drawing>
          </w:r>
        </w:p>
      </w:tc>
    </w:tr>
    <w:tr w:rsidR="004F5FB6" w:rsidRPr="00972396" w:rsidTr="004F5FB6">
      <w:trPr>
        <w:trHeight w:val="50"/>
        <w:jc w:val="center"/>
      </w:trPr>
      <w:tc>
        <w:tcPr>
          <w:tcW w:w="1269" w:type="dxa"/>
          <w:vMerge/>
          <w:shd w:val="pct10" w:color="F2F2F2" w:themeColor="background1" w:themeShade="F2" w:fill="auto"/>
        </w:tcPr>
        <w:p w:rsidR="004F5FB6" w:rsidRDefault="004F5FB6" w:rsidP="004F5FB6">
          <w:pPr>
            <w:pStyle w:val="En-tte"/>
            <w:tabs>
              <w:tab w:val="left" w:pos="6804"/>
            </w:tabs>
          </w:pPr>
        </w:p>
      </w:tc>
      <w:tc>
        <w:tcPr>
          <w:tcW w:w="6621" w:type="dxa"/>
          <w:shd w:val="clear" w:color="auto" w:fill="C6D9F1" w:themeFill="text2" w:themeFillTint="33"/>
        </w:tcPr>
        <w:p w:rsidR="004F5FB6" w:rsidRPr="0058707B" w:rsidRDefault="004F5FB6" w:rsidP="004F5FB6">
          <w:pPr>
            <w:pStyle w:val="En-tte"/>
            <w:tabs>
              <w:tab w:val="center" w:pos="3329"/>
              <w:tab w:val="left" w:pos="5284"/>
            </w:tabs>
            <w:spacing w:line="220" w:lineRule="atLeast"/>
            <w:jc w:val="center"/>
            <w:rPr>
              <w:rFonts w:ascii="Arial" w:hAnsi="Arial" w:cs="Arial"/>
              <w:sz w:val="18"/>
              <w:szCs w:val="18"/>
            </w:rPr>
          </w:pPr>
          <w:proofErr w:type="spellStart"/>
          <w:r w:rsidRPr="0058707B">
            <w:rPr>
              <w:rFonts w:ascii="Arial" w:hAnsi="Arial" w:cs="Arial"/>
              <w:sz w:val="18"/>
              <w:szCs w:val="18"/>
            </w:rPr>
            <w:t>Available</w:t>
          </w:r>
          <w:proofErr w:type="spellEnd"/>
          <w:r w:rsidRPr="0058707B">
            <w:rPr>
              <w:rFonts w:ascii="Arial" w:hAnsi="Arial" w:cs="Arial"/>
              <w:sz w:val="18"/>
              <w:szCs w:val="18"/>
            </w:rPr>
            <w:t xml:space="preserve"> online</w:t>
          </w:r>
        </w:p>
        <w:p w:rsidR="004F5FB6" w:rsidRPr="0058707B" w:rsidRDefault="0089169F" w:rsidP="004F5FB6">
          <w:pPr>
            <w:pStyle w:val="En-tte"/>
            <w:tabs>
              <w:tab w:val="center" w:pos="3329"/>
              <w:tab w:val="left" w:pos="5284"/>
            </w:tabs>
            <w:spacing w:line="220" w:lineRule="atLeast"/>
            <w:jc w:val="center"/>
            <w:rPr>
              <w:sz w:val="18"/>
              <w:szCs w:val="18"/>
              <w:u w:val="single"/>
            </w:rPr>
          </w:pPr>
          <w:hyperlink r:id="rId3" w:history="1">
            <w:r w:rsidR="004F5FB6" w:rsidRPr="0058707B">
              <w:rPr>
                <w:rStyle w:val="Lienhypertexte"/>
                <w:rFonts w:ascii="Arial" w:hAnsi="Arial" w:cs="Arial"/>
                <w:color w:val="00B0F0"/>
                <w:sz w:val="18"/>
                <w:szCs w:val="18"/>
              </w:rPr>
              <w:t>https://www.atrss.dz/ajhs</w:t>
            </w:r>
          </w:hyperlink>
        </w:p>
        <w:p w:rsidR="004F5FB6" w:rsidRPr="0058707B" w:rsidRDefault="004F5FB6" w:rsidP="004F5FB6">
          <w:pPr>
            <w:pStyle w:val="En-tte"/>
            <w:tabs>
              <w:tab w:val="clear" w:pos="9360"/>
              <w:tab w:val="left" w:pos="5040"/>
            </w:tabs>
            <w:rPr>
              <w:rStyle w:val="Lienhypertexte"/>
              <w:rFonts w:ascii="Arial" w:hAnsi="Arial" w:cs="Arial"/>
              <w:i/>
              <w:iCs/>
              <w:color w:val="0000FF"/>
              <w:sz w:val="18"/>
            </w:rPr>
          </w:pPr>
          <w:r w:rsidRPr="0058707B">
            <w:rPr>
              <w:rStyle w:val="Lienhypertexte"/>
              <w:rFonts w:ascii="Arial" w:hAnsi="Arial" w:cs="Arial"/>
              <w:i/>
              <w:iCs/>
              <w:color w:val="0000FF"/>
              <w:sz w:val="18"/>
            </w:rPr>
            <w:tab/>
          </w:r>
          <w:r w:rsidRPr="0058707B">
            <w:rPr>
              <w:rStyle w:val="Lienhypertexte"/>
              <w:rFonts w:ascii="Arial" w:hAnsi="Arial" w:cs="Arial"/>
              <w:i/>
              <w:iCs/>
              <w:color w:val="0000FF"/>
              <w:sz w:val="18"/>
            </w:rPr>
            <w:tab/>
          </w:r>
          <w:r w:rsidRPr="0058707B">
            <w:rPr>
              <w:rStyle w:val="Lienhypertexte"/>
              <w:rFonts w:ascii="Arial" w:hAnsi="Arial" w:cs="Arial"/>
              <w:i/>
              <w:iCs/>
              <w:color w:val="0000FF"/>
              <w:sz w:val="18"/>
            </w:rPr>
            <w:tab/>
          </w:r>
        </w:p>
        <w:p w:rsidR="004F5FB6" w:rsidRPr="0058707B" w:rsidRDefault="004F5FB6" w:rsidP="004F5FB6">
          <w:pPr>
            <w:pStyle w:val="En-tte"/>
            <w:spacing w:line="220" w:lineRule="atLeast"/>
            <w:jc w:val="center"/>
            <w:rPr>
              <w:sz w:val="18"/>
              <w:szCs w:val="18"/>
            </w:rPr>
          </w:pPr>
        </w:p>
      </w:tc>
      <w:tc>
        <w:tcPr>
          <w:tcW w:w="1689" w:type="dxa"/>
          <w:vMerge/>
          <w:tcBorders>
            <w:bottom w:val="single" w:sz="36" w:space="0" w:color="auto"/>
          </w:tcBorders>
          <w:shd w:val="pct10" w:color="F2F2F2" w:themeColor="background1" w:themeShade="F2" w:fill="auto"/>
          <w:vAlign w:val="center"/>
        </w:tcPr>
        <w:p w:rsidR="004F5FB6" w:rsidRPr="0058707B" w:rsidRDefault="004F5FB6" w:rsidP="004F5FB6">
          <w:pPr>
            <w:pStyle w:val="En-tte"/>
            <w:tabs>
              <w:tab w:val="left" w:pos="6804"/>
            </w:tabs>
            <w:jc w:val="center"/>
          </w:pPr>
        </w:p>
      </w:tc>
    </w:tr>
    <w:tr w:rsidR="004F5FB6" w:rsidRPr="00972396" w:rsidTr="004F5FB6">
      <w:trPr>
        <w:trHeight w:val="20"/>
        <w:jc w:val="center"/>
      </w:trPr>
      <w:tc>
        <w:tcPr>
          <w:tcW w:w="1269" w:type="dxa"/>
          <w:vMerge/>
          <w:tcBorders>
            <w:bottom w:val="single" w:sz="36" w:space="0" w:color="auto"/>
          </w:tcBorders>
          <w:shd w:val="pct10" w:color="F2F2F2" w:themeColor="background1" w:themeShade="F2" w:fill="auto"/>
        </w:tcPr>
        <w:p w:rsidR="004F5FB6" w:rsidRPr="0058707B" w:rsidRDefault="004F5FB6" w:rsidP="004F5FB6">
          <w:pPr>
            <w:pStyle w:val="En-tte"/>
            <w:tabs>
              <w:tab w:val="left" w:pos="6804"/>
            </w:tabs>
          </w:pPr>
        </w:p>
      </w:tc>
      <w:tc>
        <w:tcPr>
          <w:tcW w:w="6621" w:type="dxa"/>
          <w:tcBorders>
            <w:bottom w:val="single" w:sz="36" w:space="0" w:color="auto"/>
          </w:tcBorders>
          <w:shd w:val="pct10" w:color="F2F2F2" w:themeColor="background1" w:themeShade="F2" w:fill="auto"/>
        </w:tcPr>
        <w:p w:rsidR="004F5FB6" w:rsidRPr="0058707B" w:rsidRDefault="004F5FB6" w:rsidP="004F5FB6"/>
      </w:tc>
      <w:tc>
        <w:tcPr>
          <w:tcW w:w="1689" w:type="dxa"/>
          <w:vMerge/>
          <w:tcBorders>
            <w:bottom w:val="single" w:sz="36" w:space="0" w:color="auto"/>
          </w:tcBorders>
          <w:shd w:val="pct10" w:color="F2F2F2" w:themeColor="background1" w:themeShade="F2" w:fill="auto"/>
          <w:vAlign w:val="center"/>
        </w:tcPr>
        <w:p w:rsidR="004F5FB6" w:rsidRPr="0058707B" w:rsidRDefault="004F5FB6" w:rsidP="004F5FB6">
          <w:pPr>
            <w:pStyle w:val="En-tte"/>
            <w:tabs>
              <w:tab w:val="left" w:pos="6804"/>
            </w:tabs>
            <w:jc w:val="center"/>
          </w:pPr>
        </w:p>
      </w:tc>
    </w:tr>
  </w:tbl>
  <w:p w:rsidR="004F5FB6" w:rsidRPr="0058707B" w:rsidRDefault="004F5FB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9579" w:type="dxa"/>
      <w:jc w:val="center"/>
      <w:tblBorders>
        <w:top w:val="none" w:sz="0" w:space="0" w:color="auto"/>
        <w:left w:val="none" w:sz="0" w:space="0" w:color="auto"/>
        <w:bottom w:val="single" w:sz="36" w:space="0" w:color="auto"/>
        <w:right w:val="none" w:sz="0" w:space="0" w:color="auto"/>
        <w:insideH w:val="none" w:sz="0" w:space="0" w:color="auto"/>
        <w:insideV w:val="none" w:sz="0" w:space="0" w:color="auto"/>
      </w:tblBorders>
      <w:shd w:val="pct10" w:color="F2F2F2" w:themeColor="background1" w:themeShade="F2" w:fill="auto"/>
      <w:tblLayout w:type="fixed"/>
      <w:tblLook w:val="04A0" w:firstRow="1" w:lastRow="0" w:firstColumn="1" w:lastColumn="0" w:noHBand="0" w:noVBand="1"/>
    </w:tblPr>
    <w:tblGrid>
      <w:gridCol w:w="1269"/>
      <w:gridCol w:w="6621"/>
      <w:gridCol w:w="1689"/>
    </w:tblGrid>
    <w:tr w:rsidR="004F5FB6" w:rsidTr="004F5FB6">
      <w:trPr>
        <w:trHeight w:val="50"/>
        <w:jc w:val="center"/>
      </w:trPr>
      <w:tc>
        <w:tcPr>
          <w:tcW w:w="1269" w:type="dxa"/>
          <w:tcBorders>
            <w:bottom w:val="single" w:sz="4" w:space="0" w:color="auto"/>
          </w:tcBorders>
          <w:shd w:val="pct10" w:color="F2F2F2" w:themeColor="background1" w:themeShade="F2" w:fill="auto"/>
          <w:vAlign w:val="bottom"/>
        </w:tcPr>
        <w:p w:rsidR="004F5FB6" w:rsidRDefault="004F5FB6" w:rsidP="004F5FB6">
          <w:pPr>
            <w:jc w:val="both"/>
          </w:pPr>
        </w:p>
      </w:tc>
      <w:tc>
        <w:tcPr>
          <w:tcW w:w="6621" w:type="dxa"/>
          <w:tcBorders>
            <w:bottom w:val="single" w:sz="4" w:space="0" w:color="auto"/>
          </w:tcBorders>
          <w:shd w:val="pct10" w:color="F2F2F2" w:themeColor="background1" w:themeShade="F2" w:fill="auto"/>
        </w:tcPr>
        <w:p w:rsidR="004F5FB6" w:rsidRPr="009D747E" w:rsidRDefault="004F5FB6" w:rsidP="004F5FB6">
          <w:pPr>
            <w:pStyle w:val="Running-head"/>
            <w:spacing w:after="240"/>
          </w:pPr>
          <w:r>
            <w:t xml:space="preserve">Algerian Journal of Health Sciences.Vol. XX Num. </w:t>
          </w:r>
          <w:r>
            <w:rPr>
              <w:iCs/>
              <w:szCs w:val="16"/>
            </w:rPr>
            <w:t>XX (year</w:t>
          </w:r>
          <w:r w:rsidRPr="009D747E">
            <w:rPr>
              <w:iCs/>
              <w:szCs w:val="16"/>
            </w:rPr>
            <w:t>) 000–000</w:t>
          </w:r>
        </w:p>
      </w:tc>
      <w:tc>
        <w:tcPr>
          <w:tcW w:w="1689" w:type="dxa"/>
          <w:tcBorders>
            <w:bottom w:val="single" w:sz="4" w:space="0" w:color="auto"/>
          </w:tcBorders>
          <w:shd w:val="pct10" w:color="F2F2F2" w:themeColor="background1" w:themeShade="F2" w:fill="auto"/>
          <w:vAlign w:val="center"/>
        </w:tcPr>
        <w:p w:rsidR="004F5FB6" w:rsidRDefault="004F5FB6" w:rsidP="004F5FB6">
          <w:pPr>
            <w:pStyle w:val="En-tte"/>
            <w:tabs>
              <w:tab w:val="left" w:pos="6804"/>
            </w:tabs>
            <w:jc w:val="center"/>
          </w:pPr>
        </w:p>
      </w:tc>
    </w:tr>
    <w:tr w:rsidR="004F5FB6" w:rsidTr="004F5FB6">
      <w:trPr>
        <w:trHeight w:val="50"/>
        <w:jc w:val="center"/>
      </w:trPr>
      <w:tc>
        <w:tcPr>
          <w:tcW w:w="1269" w:type="dxa"/>
          <w:vMerge w:val="restart"/>
          <w:tcBorders>
            <w:top w:val="single" w:sz="4" w:space="0" w:color="auto"/>
          </w:tcBorders>
          <w:shd w:val="pct10" w:color="F2F2F2" w:themeColor="background1" w:themeShade="F2" w:fill="auto"/>
        </w:tcPr>
        <w:p w:rsidR="004F5FB6" w:rsidRPr="00056920" w:rsidRDefault="004F5FB6" w:rsidP="004F5FB6">
          <w:pPr>
            <w:contextualSpacing/>
            <w:rPr>
              <w:lang w:val="en-US"/>
            </w:rPr>
          </w:pPr>
          <w:r>
            <w:rPr>
              <w:noProof/>
              <w:lang w:eastAsia="fr-FR"/>
            </w:rPr>
            <w:drawing>
              <wp:anchor distT="0" distB="0" distL="114300" distR="114300" simplePos="0" relativeHeight="251659264" behindDoc="0" locked="0" layoutInCell="1" allowOverlap="1" wp14:anchorId="1DE00197" wp14:editId="35A9CF87">
                <wp:simplePos x="0" y="0"/>
                <wp:positionH relativeFrom="column">
                  <wp:posOffset>22412</wp:posOffset>
                </wp:positionH>
                <wp:positionV relativeFrom="paragraph">
                  <wp:posOffset>113308</wp:posOffset>
                </wp:positionV>
                <wp:extent cx="668071" cy="602553"/>
                <wp:effectExtent l="19050" t="0" r="0" b="0"/>
                <wp:wrapNone/>
                <wp:docPr id="51" name="Image 1" descr="C:\Users\BelkaInfo\Downloads\WhatsApp Image 2020-05-12 at 15.27.3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lkaInfo\Downloads\WhatsApp Image 2020-05-12 at 15.27.39.jpeg"/>
                        <pic:cNvPicPr>
                          <a:picLocks noChangeAspect="1" noChangeArrowheads="1"/>
                        </pic:cNvPicPr>
                      </pic:nvPicPr>
                      <pic:blipFill>
                        <a:blip r:embed="rId1"/>
                        <a:srcRect/>
                        <a:stretch>
                          <a:fillRect/>
                        </a:stretch>
                      </pic:blipFill>
                      <pic:spPr bwMode="auto">
                        <a:xfrm>
                          <a:off x="0" y="0"/>
                          <a:ext cx="668071" cy="602553"/>
                        </a:xfrm>
                        <a:prstGeom prst="rect">
                          <a:avLst/>
                        </a:prstGeom>
                        <a:noFill/>
                        <a:ln w="9525">
                          <a:noFill/>
                          <a:miter lim="800000"/>
                          <a:headEnd/>
                          <a:tailEnd/>
                        </a:ln>
                      </pic:spPr>
                    </pic:pic>
                  </a:graphicData>
                </a:graphic>
              </wp:anchor>
            </w:drawing>
          </w:r>
        </w:p>
      </w:tc>
      <w:tc>
        <w:tcPr>
          <w:tcW w:w="6621" w:type="dxa"/>
          <w:tcBorders>
            <w:top w:val="single" w:sz="4" w:space="0" w:color="auto"/>
          </w:tcBorders>
          <w:shd w:val="pct10" w:color="F2F2F2" w:themeColor="background1" w:themeShade="F2" w:fill="auto"/>
        </w:tcPr>
        <w:p w:rsidR="004F5FB6" w:rsidRPr="002E206D" w:rsidRDefault="004F5FB6" w:rsidP="004F5FB6">
          <w:pPr>
            <w:ind w:right="-2090"/>
            <w:contextualSpacing/>
          </w:pPr>
        </w:p>
      </w:tc>
      <w:tc>
        <w:tcPr>
          <w:tcW w:w="1689" w:type="dxa"/>
          <w:vMerge w:val="restart"/>
          <w:tcBorders>
            <w:top w:val="single" w:sz="4" w:space="0" w:color="auto"/>
            <w:bottom w:val="single" w:sz="36" w:space="0" w:color="auto"/>
          </w:tcBorders>
          <w:shd w:val="pct10" w:color="F2F2F2" w:themeColor="background1" w:themeShade="F2" w:fill="auto"/>
          <w:vAlign w:val="center"/>
        </w:tcPr>
        <w:p w:rsidR="004F5FB6" w:rsidRDefault="004F5FB6" w:rsidP="004F5FB6">
          <w:pPr>
            <w:pStyle w:val="En-tte"/>
            <w:tabs>
              <w:tab w:val="left" w:pos="6804"/>
            </w:tabs>
            <w:contextualSpacing/>
            <w:jc w:val="center"/>
          </w:pPr>
          <w:r>
            <w:rPr>
              <w:noProof/>
              <w:lang w:eastAsia="fr-FR"/>
            </w:rPr>
            <w:drawing>
              <wp:anchor distT="0" distB="0" distL="114300" distR="114300" simplePos="0" relativeHeight="251657216" behindDoc="0" locked="0" layoutInCell="1" allowOverlap="1" wp14:anchorId="4E8B476F" wp14:editId="50403B8C">
                <wp:simplePos x="0" y="0"/>
                <wp:positionH relativeFrom="column">
                  <wp:posOffset>116205</wp:posOffset>
                </wp:positionH>
                <wp:positionV relativeFrom="paragraph">
                  <wp:posOffset>-68580</wp:posOffset>
                </wp:positionV>
                <wp:extent cx="889635" cy="838200"/>
                <wp:effectExtent l="0" t="0" r="5715" b="0"/>
                <wp:wrapNone/>
                <wp:docPr id="5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889635" cy="838200"/>
                        </a:xfrm>
                        <a:prstGeom prst="rect">
                          <a:avLst/>
                        </a:prstGeom>
                      </pic:spPr>
                    </pic:pic>
                  </a:graphicData>
                </a:graphic>
              </wp:anchor>
            </w:drawing>
          </w:r>
        </w:p>
      </w:tc>
    </w:tr>
    <w:tr w:rsidR="004F5FB6" w:rsidRPr="00A426BB" w:rsidTr="004F5FB6">
      <w:trPr>
        <w:trHeight w:val="50"/>
        <w:jc w:val="center"/>
      </w:trPr>
      <w:tc>
        <w:tcPr>
          <w:tcW w:w="1269" w:type="dxa"/>
          <w:vMerge/>
          <w:shd w:val="pct10" w:color="F2F2F2" w:themeColor="background1" w:themeShade="F2" w:fill="auto"/>
        </w:tcPr>
        <w:p w:rsidR="004F5FB6" w:rsidRDefault="004F5FB6" w:rsidP="004F5FB6">
          <w:pPr>
            <w:pStyle w:val="En-tte"/>
            <w:tabs>
              <w:tab w:val="left" w:pos="6804"/>
            </w:tabs>
          </w:pPr>
        </w:p>
      </w:tc>
      <w:tc>
        <w:tcPr>
          <w:tcW w:w="6621" w:type="dxa"/>
          <w:shd w:val="clear" w:color="auto" w:fill="C6D9F1" w:themeFill="text2" w:themeFillTint="33"/>
        </w:tcPr>
        <w:p w:rsidR="004F5FB6" w:rsidRPr="0058707B" w:rsidRDefault="004F5FB6" w:rsidP="004F5FB6">
          <w:pPr>
            <w:pStyle w:val="En-tte"/>
            <w:tabs>
              <w:tab w:val="center" w:pos="3329"/>
              <w:tab w:val="left" w:pos="5284"/>
            </w:tabs>
            <w:spacing w:line="220" w:lineRule="atLeast"/>
            <w:jc w:val="center"/>
            <w:rPr>
              <w:rFonts w:ascii="Arial" w:hAnsi="Arial" w:cs="Arial"/>
              <w:sz w:val="18"/>
              <w:szCs w:val="18"/>
            </w:rPr>
          </w:pPr>
          <w:proofErr w:type="spellStart"/>
          <w:r w:rsidRPr="0058707B">
            <w:rPr>
              <w:rFonts w:ascii="Arial" w:hAnsi="Arial" w:cs="Arial"/>
              <w:sz w:val="18"/>
              <w:szCs w:val="18"/>
            </w:rPr>
            <w:t>Available</w:t>
          </w:r>
          <w:proofErr w:type="spellEnd"/>
          <w:r w:rsidRPr="0058707B">
            <w:rPr>
              <w:rFonts w:ascii="Arial" w:hAnsi="Arial" w:cs="Arial"/>
              <w:sz w:val="18"/>
              <w:szCs w:val="18"/>
            </w:rPr>
            <w:t xml:space="preserve"> online</w:t>
          </w:r>
        </w:p>
        <w:p w:rsidR="004F5FB6" w:rsidRPr="0058707B" w:rsidRDefault="0089169F" w:rsidP="004F5FB6">
          <w:pPr>
            <w:pStyle w:val="En-tte"/>
            <w:tabs>
              <w:tab w:val="center" w:pos="3329"/>
              <w:tab w:val="left" w:pos="5284"/>
            </w:tabs>
            <w:spacing w:line="220" w:lineRule="atLeast"/>
            <w:jc w:val="center"/>
            <w:rPr>
              <w:sz w:val="18"/>
              <w:szCs w:val="18"/>
              <w:u w:val="single"/>
            </w:rPr>
          </w:pPr>
          <w:hyperlink r:id="rId3" w:history="1">
            <w:r w:rsidR="004F5FB6" w:rsidRPr="0058707B">
              <w:rPr>
                <w:rStyle w:val="Lienhypertexte"/>
                <w:rFonts w:ascii="Arial" w:hAnsi="Arial" w:cs="Arial"/>
                <w:color w:val="00B0F0"/>
                <w:sz w:val="18"/>
                <w:szCs w:val="18"/>
              </w:rPr>
              <w:t>https://www.atrss.dz/ajhs</w:t>
            </w:r>
          </w:hyperlink>
        </w:p>
        <w:p w:rsidR="004F5FB6" w:rsidRPr="0058707B" w:rsidRDefault="004F5FB6" w:rsidP="004F5FB6">
          <w:pPr>
            <w:pStyle w:val="En-tte"/>
            <w:tabs>
              <w:tab w:val="clear" w:pos="9360"/>
              <w:tab w:val="left" w:pos="5040"/>
            </w:tabs>
            <w:rPr>
              <w:rStyle w:val="Lienhypertexte"/>
              <w:rFonts w:ascii="Arial" w:hAnsi="Arial" w:cs="Arial"/>
              <w:i/>
              <w:iCs/>
              <w:color w:val="0000FF"/>
              <w:sz w:val="18"/>
            </w:rPr>
          </w:pPr>
          <w:r w:rsidRPr="0058707B">
            <w:rPr>
              <w:rStyle w:val="Lienhypertexte"/>
              <w:rFonts w:ascii="Arial" w:hAnsi="Arial" w:cs="Arial"/>
              <w:i/>
              <w:iCs/>
              <w:color w:val="0000FF"/>
              <w:sz w:val="18"/>
            </w:rPr>
            <w:tab/>
          </w:r>
          <w:r w:rsidRPr="0058707B">
            <w:rPr>
              <w:rStyle w:val="Lienhypertexte"/>
              <w:rFonts w:ascii="Arial" w:hAnsi="Arial" w:cs="Arial"/>
              <w:i/>
              <w:iCs/>
              <w:color w:val="0000FF"/>
              <w:sz w:val="18"/>
            </w:rPr>
            <w:tab/>
          </w:r>
          <w:r w:rsidRPr="0058707B">
            <w:rPr>
              <w:rStyle w:val="Lienhypertexte"/>
              <w:rFonts w:ascii="Arial" w:hAnsi="Arial" w:cs="Arial"/>
              <w:i/>
              <w:iCs/>
              <w:color w:val="0000FF"/>
              <w:sz w:val="18"/>
            </w:rPr>
            <w:tab/>
          </w:r>
        </w:p>
        <w:p w:rsidR="004F5FB6" w:rsidRPr="0058707B" w:rsidRDefault="004F5FB6" w:rsidP="004F5FB6">
          <w:pPr>
            <w:pStyle w:val="En-tte"/>
            <w:spacing w:line="220" w:lineRule="atLeast"/>
            <w:jc w:val="center"/>
            <w:rPr>
              <w:sz w:val="18"/>
              <w:szCs w:val="18"/>
            </w:rPr>
          </w:pPr>
        </w:p>
      </w:tc>
      <w:tc>
        <w:tcPr>
          <w:tcW w:w="1689" w:type="dxa"/>
          <w:vMerge/>
          <w:tcBorders>
            <w:bottom w:val="single" w:sz="36" w:space="0" w:color="auto"/>
          </w:tcBorders>
          <w:shd w:val="pct10" w:color="F2F2F2" w:themeColor="background1" w:themeShade="F2" w:fill="auto"/>
          <w:vAlign w:val="center"/>
        </w:tcPr>
        <w:p w:rsidR="004F5FB6" w:rsidRPr="0058707B" w:rsidRDefault="004F5FB6" w:rsidP="004F5FB6">
          <w:pPr>
            <w:pStyle w:val="En-tte"/>
            <w:tabs>
              <w:tab w:val="left" w:pos="6804"/>
            </w:tabs>
            <w:jc w:val="center"/>
          </w:pPr>
        </w:p>
      </w:tc>
    </w:tr>
    <w:tr w:rsidR="004F5FB6" w:rsidRPr="00A426BB" w:rsidTr="004F5FB6">
      <w:trPr>
        <w:trHeight w:val="20"/>
        <w:jc w:val="center"/>
      </w:trPr>
      <w:tc>
        <w:tcPr>
          <w:tcW w:w="1269" w:type="dxa"/>
          <w:vMerge/>
          <w:tcBorders>
            <w:bottom w:val="single" w:sz="36" w:space="0" w:color="auto"/>
          </w:tcBorders>
          <w:shd w:val="pct10" w:color="F2F2F2" w:themeColor="background1" w:themeShade="F2" w:fill="auto"/>
        </w:tcPr>
        <w:p w:rsidR="004F5FB6" w:rsidRPr="0058707B" w:rsidRDefault="004F5FB6" w:rsidP="004F5FB6">
          <w:pPr>
            <w:pStyle w:val="En-tte"/>
            <w:tabs>
              <w:tab w:val="left" w:pos="6804"/>
            </w:tabs>
          </w:pPr>
        </w:p>
      </w:tc>
      <w:tc>
        <w:tcPr>
          <w:tcW w:w="6621" w:type="dxa"/>
          <w:tcBorders>
            <w:bottom w:val="single" w:sz="36" w:space="0" w:color="auto"/>
          </w:tcBorders>
          <w:shd w:val="pct10" w:color="F2F2F2" w:themeColor="background1" w:themeShade="F2" w:fill="auto"/>
        </w:tcPr>
        <w:p w:rsidR="004F5FB6" w:rsidRPr="0058707B" w:rsidRDefault="004F5FB6" w:rsidP="004F5FB6"/>
      </w:tc>
      <w:tc>
        <w:tcPr>
          <w:tcW w:w="1689" w:type="dxa"/>
          <w:vMerge/>
          <w:tcBorders>
            <w:bottom w:val="single" w:sz="36" w:space="0" w:color="auto"/>
          </w:tcBorders>
          <w:shd w:val="pct10" w:color="F2F2F2" w:themeColor="background1" w:themeShade="F2" w:fill="auto"/>
          <w:vAlign w:val="center"/>
        </w:tcPr>
        <w:p w:rsidR="004F5FB6" w:rsidRPr="0058707B" w:rsidRDefault="004F5FB6" w:rsidP="004F5FB6">
          <w:pPr>
            <w:pStyle w:val="En-tte"/>
            <w:tabs>
              <w:tab w:val="left" w:pos="6804"/>
            </w:tabs>
            <w:jc w:val="center"/>
          </w:pPr>
        </w:p>
      </w:tc>
    </w:tr>
  </w:tbl>
  <w:p w:rsidR="004F5FB6" w:rsidRPr="0058707B" w:rsidRDefault="004F5FB6">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5FB6" w:rsidRDefault="004F5FB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F4DD9"/>
    <w:multiLevelType w:val="hybridMultilevel"/>
    <w:tmpl w:val="8BF25D02"/>
    <w:lvl w:ilvl="0" w:tplc="75E0B418">
      <w:start w:val="5"/>
      <w:numFmt w:val="bullet"/>
      <w:lvlText w:val="—"/>
      <w:lvlJc w:val="left"/>
      <w:pPr>
        <w:ind w:left="720" w:hanging="360"/>
      </w:pPr>
      <w:rPr>
        <w:rFonts w:ascii="Cambria" w:hAnsi="Cambria" w:cs="Times New Roman" w:hint="default"/>
        <w:b/>
        <w:strike w:val="0"/>
        <w:dstrike w:val="0"/>
        <w:color w:val="auto"/>
        <w:u w:val="none"/>
        <w:effect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954EFD"/>
    <w:multiLevelType w:val="hybridMultilevel"/>
    <w:tmpl w:val="F5FA42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684963"/>
    <w:multiLevelType w:val="hybridMultilevel"/>
    <w:tmpl w:val="474EE6C8"/>
    <w:lvl w:ilvl="0" w:tplc="040C000F">
      <w:start w:val="1"/>
      <w:numFmt w:val="decimal"/>
      <w:lvlText w:val="%1."/>
      <w:lvlJc w:val="left"/>
      <w:pPr>
        <w:ind w:left="673" w:hanging="435"/>
      </w:pPr>
      <w:rPr>
        <w:rFonts w:hint="default"/>
      </w:rPr>
    </w:lvl>
    <w:lvl w:ilvl="1" w:tplc="04090019" w:tentative="1">
      <w:start w:val="1"/>
      <w:numFmt w:val="lowerLetter"/>
      <w:lvlText w:val="%2."/>
      <w:lvlJc w:val="left"/>
      <w:pPr>
        <w:ind w:left="1318" w:hanging="360"/>
      </w:pPr>
    </w:lvl>
    <w:lvl w:ilvl="2" w:tplc="0409001B" w:tentative="1">
      <w:start w:val="1"/>
      <w:numFmt w:val="lowerRoman"/>
      <w:lvlText w:val="%3."/>
      <w:lvlJc w:val="right"/>
      <w:pPr>
        <w:ind w:left="2038" w:hanging="180"/>
      </w:pPr>
    </w:lvl>
    <w:lvl w:ilvl="3" w:tplc="0409000F" w:tentative="1">
      <w:start w:val="1"/>
      <w:numFmt w:val="decimal"/>
      <w:lvlText w:val="%4."/>
      <w:lvlJc w:val="left"/>
      <w:pPr>
        <w:ind w:left="2758" w:hanging="360"/>
      </w:pPr>
    </w:lvl>
    <w:lvl w:ilvl="4" w:tplc="04090019" w:tentative="1">
      <w:start w:val="1"/>
      <w:numFmt w:val="lowerLetter"/>
      <w:lvlText w:val="%5."/>
      <w:lvlJc w:val="left"/>
      <w:pPr>
        <w:ind w:left="3478" w:hanging="360"/>
      </w:pPr>
    </w:lvl>
    <w:lvl w:ilvl="5" w:tplc="0409001B" w:tentative="1">
      <w:start w:val="1"/>
      <w:numFmt w:val="lowerRoman"/>
      <w:lvlText w:val="%6."/>
      <w:lvlJc w:val="right"/>
      <w:pPr>
        <w:ind w:left="4198" w:hanging="180"/>
      </w:pPr>
    </w:lvl>
    <w:lvl w:ilvl="6" w:tplc="0409000F" w:tentative="1">
      <w:start w:val="1"/>
      <w:numFmt w:val="decimal"/>
      <w:lvlText w:val="%7."/>
      <w:lvlJc w:val="left"/>
      <w:pPr>
        <w:ind w:left="4918" w:hanging="360"/>
      </w:pPr>
    </w:lvl>
    <w:lvl w:ilvl="7" w:tplc="04090019" w:tentative="1">
      <w:start w:val="1"/>
      <w:numFmt w:val="lowerLetter"/>
      <w:lvlText w:val="%8."/>
      <w:lvlJc w:val="left"/>
      <w:pPr>
        <w:ind w:left="5638" w:hanging="360"/>
      </w:pPr>
    </w:lvl>
    <w:lvl w:ilvl="8" w:tplc="0409001B" w:tentative="1">
      <w:start w:val="1"/>
      <w:numFmt w:val="lowerRoman"/>
      <w:lvlText w:val="%9."/>
      <w:lvlJc w:val="right"/>
      <w:pPr>
        <w:ind w:left="6358" w:hanging="180"/>
      </w:pPr>
    </w:lvl>
  </w:abstractNum>
  <w:abstractNum w:abstractNumId="3" w15:restartNumberingAfterBreak="0">
    <w:nsid w:val="12160C77"/>
    <w:multiLevelType w:val="hybridMultilevel"/>
    <w:tmpl w:val="BC9E7AC0"/>
    <w:lvl w:ilvl="0" w:tplc="04090001">
      <w:start w:val="1"/>
      <w:numFmt w:val="bullet"/>
      <w:lvlText w:val=""/>
      <w:lvlJc w:val="left"/>
      <w:pPr>
        <w:ind w:left="1282" w:hanging="360"/>
      </w:pPr>
      <w:rPr>
        <w:rFonts w:ascii="Symbol" w:hAnsi="Symbol" w:hint="default"/>
      </w:rPr>
    </w:lvl>
    <w:lvl w:ilvl="1" w:tplc="04090003" w:tentative="1">
      <w:start w:val="1"/>
      <w:numFmt w:val="bullet"/>
      <w:lvlText w:val="o"/>
      <w:lvlJc w:val="left"/>
      <w:pPr>
        <w:ind w:left="2002" w:hanging="360"/>
      </w:pPr>
      <w:rPr>
        <w:rFonts w:ascii="Courier New" w:hAnsi="Courier New" w:hint="default"/>
      </w:rPr>
    </w:lvl>
    <w:lvl w:ilvl="2" w:tplc="04090005" w:tentative="1">
      <w:start w:val="1"/>
      <w:numFmt w:val="bullet"/>
      <w:lvlText w:val=""/>
      <w:lvlJc w:val="left"/>
      <w:pPr>
        <w:ind w:left="2722" w:hanging="360"/>
      </w:pPr>
      <w:rPr>
        <w:rFonts w:ascii="Wingdings" w:hAnsi="Wingdings" w:hint="default"/>
      </w:rPr>
    </w:lvl>
    <w:lvl w:ilvl="3" w:tplc="04090001" w:tentative="1">
      <w:start w:val="1"/>
      <w:numFmt w:val="bullet"/>
      <w:lvlText w:val=""/>
      <w:lvlJc w:val="left"/>
      <w:pPr>
        <w:ind w:left="3442" w:hanging="360"/>
      </w:pPr>
      <w:rPr>
        <w:rFonts w:ascii="Symbol" w:hAnsi="Symbol" w:hint="default"/>
      </w:rPr>
    </w:lvl>
    <w:lvl w:ilvl="4" w:tplc="04090003" w:tentative="1">
      <w:start w:val="1"/>
      <w:numFmt w:val="bullet"/>
      <w:lvlText w:val="o"/>
      <w:lvlJc w:val="left"/>
      <w:pPr>
        <w:ind w:left="4162" w:hanging="360"/>
      </w:pPr>
      <w:rPr>
        <w:rFonts w:ascii="Courier New" w:hAnsi="Courier New" w:hint="default"/>
      </w:rPr>
    </w:lvl>
    <w:lvl w:ilvl="5" w:tplc="04090005" w:tentative="1">
      <w:start w:val="1"/>
      <w:numFmt w:val="bullet"/>
      <w:lvlText w:val=""/>
      <w:lvlJc w:val="left"/>
      <w:pPr>
        <w:ind w:left="4882" w:hanging="360"/>
      </w:pPr>
      <w:rPr>
        <w:rFonts w:ascii="Wingdings" w:hAnsi="Wingdings" w:hint="default"/>
      </w:rPr>
    </w:lvl>
    <w:lvl w:ilvl="6" w:tplc="04090001" w:tentative="1">
      <w:start w:val="1"/>
      <w:numFmt w:val="bullet"/>
      <w:lvlText w:val=""/>
      <w:lvlJc w:val="left"/>
      <w:pPr>
        <w:ind w:left="5602" w:hanging="360"/>
      </w:pPr>
      <w:rPr>
        <w:rFonts w:ascii="Symbol" w:hAnsi="Symbol" w:hint="default"/>
      </w:rPr>
    </w:lvl>
    <w:lvl w:ilvl="7" w:tplc="04090003" w:tentative="1">
      <w:start w:val="1"/>
      <w:numFmt w:val="bullet"/>
      <w:lvlText w:val="o"/>
      <w:lvlJc w:val="left"/>
      <w:pPr>
        <w:ind w:left="6322" w:hanging="360"/>
      </w:pPr>
      <w:rPr>
        <w:rFonts w:ascii="Courier New" w:hAnsi="Courier New" w:hint="default"/>
      </w:rPr>
    </w:lvl>
    <w:lvl w:ilvl="8" w:tplc="04090005" w:tentative="1">
      <w:start w:val="1"/>
      <w:numFmt w:val="bullet"/>
      <w:lvlText w:val=""/>
      <w:lvlJc w:val="left"/>
      <w:pPr>
        <w:ind w:left="7042" w:hanging="360"/>
      </w:pPr>
      <w:rPr>
        <w:rFonts w:ascii="Wingdings" w:hAnsi="Wingdings" w:hint="default"/>
      </w:rPr>
    </w:lvl>
  </w:abstractNum>
  <w:abstractNum w:abstractNumId="4" w15:restartNumberingAfterBreak="0">
    <w:nsid w:val="151D289A"/>
    <w:multiLevelType w:val="hybridMultilevel"/>
    <w:tmpl w:val="21A63BBA"/>
    <w:lvl w:ilvl="0" w:tplc="366659FA">
      <w:start w:val="1"/>
      <w:numFmt w:val="decimal"/>
      <w:lvlText w:val="%1."/>
      <w:lvlJc w:val="left"/>
      <w:pPr>
        <w:ind w:left="673" w:hanging="435"/>
      </w:pPr>
      <w:rPr>
        <w:rFonts w:hint="default"/>
      </w:rPr>
    </w:lvl>
    <w:lvl w:ilvl="1" w:tplc="04090019" w:tentative="1">
      <w:start w:val="1"/>
      <w:numFmt w:val="lowerLetter"/>
      <w:lvlText w:val="%2."/>
      <w:lvlJc w:val="left"/>
      <w:pPr>
        <w:ind w:left="1318" w:hanging="360"/>
      </w:pPr>
    </w:lvl>
    <w:lvl w:ilvl="2" w:tplc="0409001B" w:tentative="1">
      <w:start w:val="1"/>
      <w:numFmt w:val="lowerRoman"/>
      <w:lvlText w:val="%3."/>
      <w:lvlJc w:val="right"/>
      <w:pPr>
        <w:ind w:left="2038" w:hanging="180"/>
      </w:pPr>
    </w:lvl>
    <w:lvl w:ilvl="3" w:tplc="0409000F" w:tentative="1">
      <w:start w:val="1"/>
      <w:numFmt w:val="decimal"/>
      <w:lvlText w:val="%4."/>
      <w:lvlJc w:val="left"/>
      <w:pPr>
        <w:ind w:left="2758" w:hanging="360"/>
      </w:pPr>
    </w:lvl>
    <w:lvl w:ilvl="4" w:tplc="04090019" w:tentative="1">
      <w:start w:val="1"/>
      <w:numFmt w:val="lowerLetter"/>
      <w:lvlText w:val="%5."/>
      <w:lvlJc w:val="left"/>
      <w:pPr>
        <w:ind w:left="3478" w:hanging="360"/>
      </w:pPr>
    </w:lvl>
    <w:lvl w:ilvl="5" w:tplc="0409001B" w:tentative="1">
      <w:start w:val="1"/>
      <w:numFmt w:val="lowerRoman"/>
      <w:lvlText w:val="%6."/>
      <w:lvlJc w:val="right"/>
      <w:pPr>
        <w:ind w:left="4198" w:hanging="180"/>
      </w:pPr>
    </w:lvl>
    <w:lvl w:ilvl="6" w:tplc="0409000F" w:tentative="1">
      <w:start w:val="1"/>
      <w:numFmt w:val="decimal"/>
      <w:lvlText w:val="%7."/>
      <w:lvlJc w:val="left"/>
      <w:pPr>
        <w:ind w:left="4918" w:hanging="360"/>
      </w:pPr>
    </w:lvl>
    <w:lvl w:ilvl="7" w:tplc="04090019" w:tentative="1">
      <w:start w:val="1"/>
      <w:numFmt w:val="lowerLetter"/>
      <w:lvlText w:val="%8."/>
      <w:lvlJc w:val="left"/>
      <w:pPr>
        <w:ind w:left="5638" w:hanging="360"/>
      </w:pPr>
    </w:lvl>
    <w:lvl w:ilvl="8" w:tplc="0409001B" w:tentative="1">
      <w:start w:val="1"/>
      <w:numFmt w:val="lowerRoman"/>
      <w:lvlText w:val="%9."/>
      <w:lvlJc w:val="right"/>
      <w:pPr>
        <w:ind w:left="6358" w:hanging="180"/>
      </w:pPr>
    </w:lvl>
  </w:abstractNum>
  <w:abstractNum w:abstractNumId="5" w15:restartNumberingAfterBreak="0">
    <w:nsid w:val="1CC863D3"/>
    <w:multiLevelType w:val="hybridMultilevel"/>
    <w:tmpl w:val="ACE45898"/>
    <w:lvl w:ilvl="0" w:tplc="4CB65ABC">
      <w:numFmt w:val="bullet"/>
      <w:lvlText w:val=""/>
      <w:lvlJc w:val="left"/>
      <w:pPr>
        <w:ind w:left="562" w:hanging="360"/>
      </w:pPr>
      <w:rPr>
        <w:rFonts w:ascii="Wingdings" w:eastAsia="Wingdings" w:hAnsi="Wingdings" w:cs="Wingdings" w:hint="default"/>
        <w:w w:val="99"/>
        <w:sz w:val="20"/>
        <w:szCs w:val="20"/>
        <w:lang w:val="fr-FR" w:eastAsia="en-US" w:bidi="ar-SA"/>
      </w:rPr>
    </w:lvl>
    <w:lvl w:ilvl="1" w:tplc="4E8A81A4">
      <w:numFmt w:val="bullet"/>
      <w:lvlText w:val="•"/>
      <w:lvlJc w:val="left"/>
      <w:pPr>
        <w:ind w:left="960" w:hanging="360"/>
      </w:pPr>
      <w:rPr>
        <w:rFonts w:hint="default"/>
        <w:lang w:val="fr-FR" w:eastAsia="en-US" w:bidi="ar-SA"/>
      </w:rPr>
    </w:lvl>
    <w:lvl w:ilvl="2" w:tplc="CEE6FF3A">
      <w:numFmt w:val="bullet"/>
      <w:lvlText w:val="•"/>
      <w:lvlJc w:val="left"/>
      <w:pPr>
        <w:ind w:left="1360" w:hanging="360"/>
      </w:pPr>
      <w:rPr>
        <w:rFonts w:hint="default"/>
        <w:lang w:val="fr-FR" w:eastAsia="en-US" w:bidi="ar-SA"/>
      </w:rPr>
    </w:lvl>
    <w:lvl w:ilvl="3" w:tplc="FFDC290C">
      <w:numFmt w:val="bullet"/>
      <w:lvlText w:val="•"/>
      <w:lvlJc w:val="left"/>
      <w:pPr>
        <w:ind w:left="1760" w:hanging="360"/>
      </w:pPr>
      <w:rPr>
        <w:rFonts w:hint="default"/>
        <w:lang w:val="fr-FR" w:eastAsia="en-US" w:bidi="ar-SA"/>
      </w:rPr>
    </w:lvl>
    <w:lvl w:ilvl="4" w:tplc="3CF03E6A">
      <w:numFmt w:val="bullet"/>
      <w:lvlText w:val="•"/>
      <w:lvlJc w:val="left"/>
      <w:pPr>
        <w:ind w:left="2160" w:hanging="360"/>
      </w:pPr>
      <w:rPr>
        <w:rFonts w:hint="default"/>
        <w:lang w:val="fr-FR" w:eastAsia="en-US" w:bidi="ar-SA"/>
      </w:rPr>
    </w:lvl>
    <w:lvl w:ilvl="5" w:tplc="C098262C">
      <w:numFmt w:val="bullet"/>
      <w:lvlText w:val="•"/>
      <w:lvlJc w:val="left"/>
      <w:pPr>
        <w:ind w:left="2560" w:hanging="360"/>
      </w:pPr>
      <w:rPr>
        <w:rFonts w:hint="default"/>
        <w:lang w:val="fr-FR" w:eastAsia="en-US" w:bidi="ar-SA"/>
      </w:rPr>
    </w:lvl>
    <w:lvl w:ilvl="6" w:tplc="BCA6BC52">
      <w:numFmt w:val="bullet"/>
      <w:lvlText w:val="•"/>
      <w:lvlJc w:val="left"/>
      <w:pPr>
        <w:ind w:left="2960" w:hanging="360"/>
      </w:pPr>
      <w:rPr>
        <w:rFonts w:hint="default"/>
        <w:lang w:val="fr-FR" w:eastAsia="en-US" w:bidi="ar-SA"/>
      </w:rPr>
    </w:lvl>
    <w:lvl w:ilvl="7" w:tplc="49D4C70C">
      <w:numFmt w:val="bullet"/>
      <w:lvlText w:val="•"/>
      <w:lvlJc w:val="left"/>
      <w:pPr>
        <w:ind w:left="3360" w:hanging="360"/>
      </w:pPr>
      <w:rPr>
        <w:rFonts w:hint="default"/>
        <w:lang w:val="fr-FR" w:eastAsia="en-US" w:bidi="ar-SA"/>
      </w:rPr>
    </w:lvl>
    <w:lvl w:ilvl="8" w:tplc="D19C0676">
      <w:numFmt w:val="bullet"/>
      <w:lvlText w:val="•"/>
      <w:lvlJc w:val="left"/>
      <w:pPr>
        <w:ind w:left="3761" w:hanging="360"/>
      </w:pPr>
      <w:rPr>
        <w:rFonts w:hint="default"/>
        <w:lang w:val="fr-FR" w:eastAsia="en-US" w:bidi="ar-SA"/>
      </w:rPr>
    </w:lvl>
  </w:abstractNum>
  <w:abstractNum w:abstractNumId="6" w15:restartNumberingAfterBreak="0">
    <w:nsid w:val="1E08483A"/>
    <w:multiLevelType w:val="hybridMultilevel"/>
    <w:tmpl w:val="CCF2E9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FD90153"/>
    <w:multiLevelType w:val="hybridMultilevel"/>
    <w:tmpl w:val="E4B44E44"/>
    <w:lvl w:ilvl="0" w:tplc="0409000F">
      <w:start w:val="1"/>
      <w:numFmt w:val="decimal"/>
      <w:lvlText w:val="%1."/>
      <w:lvlJc w:val="left"/>
      <w:pPr>
        <w:ind w:left="997" w:hanging="360"/>
      </w:pPr>
    </w:lvl>
    <w:lvl w:ilvl="1" w:tplc="04090019" w:tentative="1">
      <w:start w:val="1"/>
      <w:numFmt w:val="lowerLetter"/>
      <w:lvlText w:val="%2."/>
      <w:lvlJc w:val="left"/>
      <w:pPr>
        <w:ind w:left="1717" w:hanging="360"/>
      </w:pPr>
    </w:lvl>
    <w:lvl w:ilvl="2" w:tplc="0409001B" w:tentative="1">
      <w:start w:val="1"/>
      <w:numFmt w:val="lowerRoman"/>
      <w:lvlText w:val="%3."/>
      <w:lvlJc w:val="right"/>
      <w:pPr>
        <w:ind w:left="2437" w:hanging="180"/>
      </w:pPr>
    </w:lvl>
    <w:lvl w:ilvl="3" w:tplc="0409000F" w:tentative="1">
      <w:start w:val="1"/>
      <w:numFmt w:val="decimal"/>
      <w:lvlText w:val="%4."/>
      <w:lvlJc w:val="left"/>
      <w:pPr>
        <w:ind w:left="3157" w:hanging="360"/>
      </w:pPr>
    </w:lvl>
    <w:lvl w:ilvl="4" w:tplc="04090019" w:tentative="1">
      <w:start w:val="1"/>
      <w:numFmt w:val="lowerLetter"/>
      <w:lvlText w:val="%5."/>
      <w:lvlJc w:val="left"/>
      <w:pPr>
        <w:ind w:left="3877" w:hanging="360"/>
      </w:pPr>
    </w:lvl>
    <w:lvl w:ilvl="5" w:tplc="0409001B" w:tentative="1">
      <w:start w:val="1"/>
      <w:numFmt w:val="lowerRoman"/>
      <w:lvlText w:val="%6."/>
      <w:lvlJc w:val="right"/>
      <w:pPr>
        <w:ind w:left="4597" w:hanging="180"/>
      </w:pPr>
    </w:lvl>
    <w:lvl w:ilvl="6" w:tplc="0409000F" w:tentative="1">
      <w:start w:val="1"/>
      <w:numFmt w:val="decimal"/>
      <w:lvlText w:val="%7."/>
      <w:lvlJc w:val="left"/>
      <w:pPr>
        <w:ind w:left="5317" w:hanging="360"/>
      </w:pPr>
    </w:lvl>
    <w:lvl w:ilvl="7" w:tplc="04090019" w:tentative="1">
      <w:start w:val="1"/>
      <w:numFmt w:val="lowerLetter"/>
      <w:lvlText w:val="%8."/>
      <w:lvlJc w:val="left"/>
      <w:pPr>
        <w:ind w:left="6037" w:hanging="360"/>
      </w:pPr>
    </w:lvl>
    <w:lvl w:ilvl="8" w:tplc="0409001B" w:tentative="1">
      <w:start w:val="1"/>
      <w:numFmt w:val="lowerRoman"/>
      <w:lvlText w:val="%9."/>
      <w:lvlJc w:val="right"/>
      <w:pPr>
        <w:ind w:left="6757" w:hanging="180"/>
      </w:pPr>
    </w:lvl>
  </w:abstractNum>
  <w:abstractNum w:abstractNumId="8" w15:restartNumberingAfterBreak="0">
    <w:nsid w:val="242B5184"/>
    <w:multiLevelType w:val="hybridMultilevel"/>
    <w:tmpl w:val="D1AC41D2"/>
    <w:lvl w:ilvl="0" w:tplc="040C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C711BD"/>
    <w:multiLevelType w:val="hybridMultilevel"/>
    <w:tmpl w:val="5BE26F8E"/>
    <w:lvl w:ilvl="0" w:tplc="0608AB00">
      <w:start w:val="1"/>
      <w:numFmt w:val="upperLetter"/>
      <w:lvlText w:val="%1."/>
      <w:lvlJc w:val="left"/>
      <w:pPr>
        <w:ind w:left="758" w:hanging="197"/>
      </w:pPr>
      <w:rPr>
        <w:rFonts w:ascii="Times New Roman" w:eastAsia="Times New Roman" w:hAnsi="Times New Roman" w:cs="Times New Roman" w:hint="default"/>
        <w:b/>
        <w:bCs/>
        <w:color w:val="00AFEF"/>
        <w:spacing w:val="-1"/>
        <w:w w:val="100"/>
        <w:sz w:val="16"/>
        <w:szCs w:val="16"/>
        <w:lang w:val="fr-FR" w:eastAsia="en-US" w:bidi="ar-SA"/>
      </w:rPr>
    </w:lvl>
    <w:lvl w:ilvl="1" w:tplc="8A30F0D6">
      <w:numFmt w:val="bullet"/>
      <w:lvlText w:val="•"/>
      <w:lvlJc w:val="left"/>
      <w:pPr>
        <w:ind w:left="1179" w:hanging="197"/>
      </w:pPr>
      <w:rPr>
        <w:rFonts w:hint="default"/>
        <w:lang w:val="fr-FR" w:eastAsia="en-US" w:bidi="ar-SA"/>
      </w:rPr>
    </w:lvl>
    <w:lvl w:ilvl="2" w:tplc="F3CA4F9A">
      <w:numFmt w:val="bullet"/>
      <w:lvlText w:val="•"/>
      <w:lvlJc w:val="left"/>
      <w:pPr>
        <w:ind w:left="1599" w:hanging="197"/>
      </w:pPr>
      <w:rPr>
        <w:rFonts w:hint="default"/>
        <w:lang w:val="fr-FR" w:eastAsia="en-US" w:bidi="ar-SA"/>
      </w:rPr>
    </w:lvl>
    <w:lvl w:ilvl="3" w:tplc="3858DAE6">
      <w:numFmt w:val="bullet"/>
      <w:lvlText w:val="•"/>
      <w:lvlJc w:val="left"/>
      <w:pPr>
        <w:ind w:left="2019" w:hanging="197"/>
      </w:pPr>
      <w:rPr>
        <w:rFonts w:hint="default"/>
        <w:lang w:val="fr-FR" w:eastAsia="en-US" w:bidi="ar-SA"/>
      </w:rPr>
    </w:lvl>
    <w:lvl w:ilvl="4" w:tplc="25745592">
      <w:numFmt w:val="bullet"/>
      <w:lvlText w:val="•"/>
      <w:lvlJc w:val="left"/>
      <w:pPr>
        <w:ind w:left="2439" w:hanging="197"/>
      </w:pPr>
      <w:rPr>
        <w:rFonts w:hint="default"/>
        <w:lang w:val="fr-FR" w:eastAsia="en-US" w:bidi="ar-SA"/>
      </w:rPr>
    </w:lvl>
    <w:lvl w:ilvl="5" w:tplc="39A6FE6A">
      <w:numFmt w:val="bullet"/>
      <w:lvlText w:val="•"/>
      <w:lvlJc w:val="left"/>
      <w:pPr>
        <w:ind w:left="2859" w:hanging="197"/>
      </w:pPr>
      <w:rPr>
        <w:rFonts w:hint="default"/>
        <w:lang w:val="fr-FR" w:eastAsia="en-US" w:bidi="ar-SA"/>
      </w:rPr>
    </w:lvl>
    <w:lvl w:ilvl="6" w:tplc="B4800E34">
      <w:numFmt w:val="bullet"/>
      <w:lvlText w:val="•"/>
      <w:lvlJc w:val="left"/>
      <w:pPr>
        <w:ind w:left="3278" w:hanging="197"/>
      </w:pPr>
      <w:rPr>
        <w:rFonts w:hint="default"/>
        <w:lang w:val="fr-FR" w:eastAsia="en-US" w:bidi="ar-SA"/>
      </w:rPr>
    </w:lvl>
    <w:lvl w:ilvl="7" w:tplc="30467BE4">
      <w:numFmt w:val="bullet"/>
      <w:lvlText w:val="•"/>
      <w:lvlJc w:val="left"/>
      <w:pPr>
        <w:ind w:left="3698" w:hanging="197"/>
      </w:pPr>
      <w:rPr>
        <w:rFonts w:hint="default"/>
        <w:lang w:val="fr-FR" w:eastAsia="en-US" w:bidi="ar-SA"/>
      </w:rPr>
    </w:lvl>
    <w:lvl w:ilvl="8" w:tplc="57386F24">
      <w:numFmt w:val="bullet"/>
      <w:lvlText w:val="•"/>
      <w:lvlJc w:val="left"/>
      <w:pPr>
        <w:ind w:left="4118" w:hanging="197"/>
      </w:pPr>
      <w:rPr>
        <w:rFonts w:hint="default"/>
        <w:lang w:val="fr-FR" w:eastAsia="en-US" w:bidi="ar-SA"/>
      </w:rPr>
    </w:lvl>
  </w:abstractNum>
  <w:abstractNum w:abstractNumId="10" w15:restartNumberingAfterBreak="0">
    <w:nsid w:val="25F43AEB"/>
    <w:multiLevelType w:val="hybridMultilevel"/>
    <w:tmpl w:val="F580F404"/>
    <w:lvl w:ilvl="0" w:tplc="040C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631717"/>
    <w:multiLevelType w:val="hybridMultilevel"/>
    <w:tmpl w:val="EDB4B1C2"/>
    <w:lvl w:ilvl="0" w:tplc="993E6C52">
      <w:start w:val="3"/>
      <w:numFmt w:val="bullet"/>
      <w:lvlText w:val="-"/>
      <w:lvlJc w:val="left"/>
      <w:pPr>
        <w:ind w:left="922" w:hanging="360"/>
      </w:pPr>
      <w:rPr>
        <w:rFonts w:ascii="Times New Roman" w:eastAsia="Times New Roman" w:hAnsi="Times New Roman" w:cs="Times New Roman" w:hint="default"/>
        <w:color w:val="548DD4" w:themeColor="text2" w:themeTint="99"/>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2" w15:restartNumberingAfterBreak="0">
    <w:nsid w:val="2E646574"/>
    <w:multiLevelType w:val="hybridMultilevel"/>
    <w:tmpl w:val="D5468B5C"/>
    <w:lvl w:ilvl="0" w:tplc="F29A9C98">
      <w:start w:val="1"/>
      <w:numFmt w:val="lowerLetter"/>
      <w:lvlText w:val="%1)"/>
      <w:lvlJc w:val="left"/>
      <w:pPr>
        <w:ind w:left="562" w:hanging="284"/>
      </w:pPr>
      <w:rPr>
        <w:rFonts w:ascii="Times New Roman" w:eastAsia="Times New Roman" w:hAnsi="Times New Roman" w:cs="Times New Roman" w:hint="default"/>
        <w:w w:val="100"/>
        <w:sz w:val="16"/>
        <w:szCs w:val="16"/>
        <w:lang w:val="fr-FR" w:eastAsia="en-US" w:bidi="ar-SA"/>
      </w:rPr>
    </w:lvl>
    <w:lvl w:ilvl="1" w:tplc="E680632E">
      <w:numFmt w:val="bullet"/>
      <w:lvlText w:val="•"/>
      <w:lvlJc w:val="left"/>
      <w:pPr>
        <w:ind w:left="960" w:hanging="284"/>
      </w:pPr>
      <w:rPr>
        <w:rFonts w:hint="default"/>
        <w:lang w:val="fr-FR" w:eastAsia="en-US" w:bidi="ar-SA"/>
      </w:rPr>
    </w:lvl>
    <w:lvl w:ilvl="2" w:tplc="50068BE6">
      <w:numFmt w:val="bullet"/>
      <w:lvlText w:val="•"/>
      <w:lvlJc w:val="left"/>
      <w:pPr>
        <w:ind w:left="1360" w:hanging="284"/>
      </w:pPr>
      <w:rPr>
        <w:rFonts w:hint="default"/>
        <w:lang w:val="fr-FR" w:eastAsia="en-US" w:bidi="ar-SA"/>
      </w:rPr>
    </w:lvl>
    <w:lvl w:ilvl="3" w:tplc="6EB8FBEE">
      <w:numFmt w:val="bullet"/>
      <w:lvlText w:val="•"/>
      <w:lvlJc w:val="left"/>
      <w:pPr>
        <w:ind w:left="1760" w:hanging="284"/>
      </w:pPr>
      <w:rPr>
        <w:rFonts w:hint="default"/>
        <w:lang w:val="fr-FR" w:eastAsia="en-US" w:bidi="ar-SA"/>
      </w:rPr>
    </w:lvl>
    <w:lvl w:ilvl="4" w:tplc="80AE0882">
      <w:numFmt w:val="bullet"/>
      <w:lvlText w:val="•"/>
      <w:lvlJc w:val="left"/>
      <w:pPr>
        <w:ind w:left="2160" w:hanging="284"/>
      </w:pPr>
      <w:rPr>
        <w:rFonts w:hint="default"/>
        <w:lang w:val="fr-FR" w:eastAsia="en-US" w:bidi="ar-SA"/>
      </w:rPr>
    </w:lvl>
    <w:lvl w:ilvl="5" w:tplc="C016C1CE">
      <w:numFmt w:val="bullet"/>
      <w:lvlText w:val="•"/>
      <w:lvlJc w:val="left"/>
      <w:pPr>
        <w:ind w:left="2560" w:hanging="284"/>
      </w:pPr>
      <w:rPr>
        <w:rFonts w:hint="default"/>
        <w:lang w:val="fr-FR" w:eastAsia="en-US" w:bidi="ar-SA"/>
      </w:rPr>
    </w:lvl>
    <w:lvl w:ilvl="6" w:tplc="8E2812F8">
      <w:numFmt w:val="bullet"/>
      <w:lvlText w:val="•"/>
      <w:lvlJc w:val="left"/>
      <w:pPr>
        <w:ind w:left="2960" w:hanging="284"/>
      </w:pPr>
      <w:rPr>
        <w:rFonts w:hint="default"/>
        <w:lang w:val="fr-FR" w:eastAsia="en-US" w:bidi="ar-SA"/>
      </w:rPr>
    </w:lvl>
    <w:lvl w:ilvl="7" w:tplc="FA727DEA">
      <w:numFmt w:val="bullet"/>
      <w:lvlText w:val="•"/>
      <w:lvlJc w:val="left"/>
      <w:pPr>
        <w:ind w:left="3360" w:hanging="284"/>
      </w:pPr>
      <w:rPr>
        <w:rFonts w:hint="default"/>
        <w:lang w:val="fr-FR" w:eastAsia="en-US" w:bidi="ar-SA"/>
      </w:rPr>
    </w:lvl>
    <w:lvl w:ilvl="8" w:tplc="FCBEB490">
      <w:numFmt w:val="bullet"/>
      <w:lvlText w:val="•"/>
      <w:lvlJc w:val="left"/>
      <w:pPr>
        <w:ind w:left="3761" w:hanging="284"/>
      </w:pPr>
      <w:rPr>
        <w:rFonts w:hint="default"/>
        <w:lang w:val="fr-FR" w:eastAsia="en-US" w:bidi="ar-SA"/>
      </w:rPr>
    </w:lvl>
  </w:abstractNum>
  <w:abstractNum w:abstractNumId="13" w15:restartNumberingAfterBreak="0">
    <w:nsid w:val="2FC67606"/>
    <w:multiLevelType w:val="multilevel"/>
    <w:tmpl w:val="1C9289EC"/>
    <w:lvl w:ilvl="0">
      <w:start w:val="2"/>
      <w:numFmt w:val="decimal"/>
      <w:lvlText w:val="%1."/>
      <w:lvlJc w:val="left"/>
      <w:pPr>
        <w:ind w:left="561" w:hanging="360"/>
      </w:pPr>
      <w:rPr>
        <w:rFonts w:hint="default"/>
      </w:rPr>
    </w:lvl>
    <w:lvl w:ilvl="1">
      <w:start w:val="1"/>
      <w:numFmt w:val="decimal"/>
      <w:isLgl/>
      <w:lvlText w:val="%1.%2"/>
      <w:lvlJc w:val="left"/>
      <w:pPr>
        <w:ind w:left="621" w:hanging="360"/>
      </w:pPr>
      <w:rPr>
        <w:rFonts w:hint="default"/>
        <w:b/>
        <w:bCs/>
      </w:rPr>
    </w:lvl>
    <w:lvl w:ilvl="2">
      <w:start w:val="1"/>
      <w:numFmt w:val="decimal"/>
      <w:isLgl/>
      <w:lvlText w:val="%1.%2.%3"/>
      <w:lvlJc w:val="left"/>
      <w:pPr>
        <w:ind w:left="1041" w:hanging="720"/>
      </w:pPr>
      <w:rPr>
        <w:rFonts w:hint="default"/>
      </w:rPr>
    </w:lvl>
    <w:lvl w:ilvl="3">
      <w:start w:val="1"/>
      <w:numFmt w:val="decimal"/>
      <w:isLgl/>
      <w:lvlText w:val="%1.%2.%3.%4"/>
      <w:lvlJc w:val="left"/>
      <w:pPr>
        <w:ind w:left="1101" w:hanging="720"/>
      </w:pPr>
      <w:rPr>
        <w:rFonts w:hint="default"/>
      </w:rPr>
    </w:lvl>
    <w:lvl w:ilvl="4">
      <w:start w:val="1"/>
      <w:numFmt w:val="decimal"/>
      <w:isLgl/>
      <w:lvlText w:val="%1.%2.%3.%4.%5"/>
      <w:lvlJc w:val="left"/>
      <w:pPr>
        <w:ind w:left="1521" w:hanging="1080"/>
      </w:pPr>
      <w:rPr>
        <w:rFonts w:hint="default"/>
      </w:rPr>
    </w:lvl>
    <w:lvl w:ilvl="5">
      <w:start w:val="1"/>
      <w:numFmt w:val="decimal"/>
      <w:isLgl/>
      <w:lvlText w:val="%1.%2.%3.%4.%5.%6"/>
      <w:lvlJc w:val="left"/>
      <w:pPr>
        <w:ind w:left="1581" w:hanging="1080"/>
      </w:pPr>
      <w:rPr>
        <w:rFonts w:hint="default"/>
      </w:rPr>
    </w:lvl>
    <w:lvl w:ilvl="6">
      <w:start w:val="1"/>
      <w:numFmt w:val="decimal"/>
      <w:isLgl/>
      <w:lvlText w:val="%1.%2.%3.%4.%5.%6.%7"/>
      <w:lvlJc w:val="left"/>
      <w:pPr>
        <w:ind w:left="2001" w:hanging="1440"/>
      </w:pPr>
      <w:rPr>
        <w:rFonts w:hint="default"/>
      </w:rPr>
    </w:lvl>
    <w:lvl w:ilvl="7">
      <w:start w:val="1"/>
      <w:numFmt w:val="decimal"/>
      <w:isLgl/>
      <w:lvlText w:val="%1.%2.%3.%4.%5.%6.%7.%8"/>
      <w:lvlJc w:val="left"/>
      <w:pPr>
        <w:ind w:left="2061" w:hanging="1440"/>
      </w:pPr>
      <w:rPr>
        <w:rFonts w:hint="default"/>
      </w:rPr>
    </w:lvl>
    <w:lvl w:ilvl="8">
      <w:start w:val="1"/>
      <w:numFmt w:val="decimal"/>
      <w:isLgl/>
      <w:lvlText w:val="%1.%2.%3.%4.%5.%6.%7.%8.%9"/>
      <w:lvlJc w:val="left"/>
      <w:pPr>
        <w:ind w:left="2481" w:hanging="1800"/>
      </w:pPr>
      <w:rPr>
        <w:rFonts w:hint="default"/>
      </w:rPr>
    </w:lvl>
  </w:abstractNum>
  <w:abstractNum w:abstractNumId="14" w15:restartNumberingAfterBreak="0">
    <w:nsid w:val="378A70C0"/>
    <w:multiLevelType w:val="hybridMultilevel"/>
    <w:tmpl w:val="9816EF2A"/>
    <w:lvl w:ilvl="0" w:tplc="D8A25118">
      <w:start w:val="1"/>
      <w:numFmt w:val="decimal"/>
      <w:lvlText w:val="%1."/>
      <w:lvlJc w:val="left"/>
      <w:pPr>
        <w:ind w:left="562" w:hanging="284"/>
        <w:jc w:val="right"/>
      </w:pPr>
      <w:rPr>
        <w:rFonts w:ascii="Times New Roman" w:eastAsia="Times New Roman" w:hAnsi="Times New Roman" w:cs="Times New Roman" w:hint="default"/>
        <w:b/>
        <w:bCs/>
        <w:spacing w:val="0"/>
        <w:w w:val="100"/>
        <w:sz w:val="16"/>
        <w:szCs w:val="16"/>
        <w:lang w:val="fr-FR" w:eastAsia="en-US" w:bidi="ar-SA"/>
      </w:rPr>
    </w:lvl>
    <w:lvl w:ilvl="1" w:tplc="68F4EB7E">
      <w:numFmt w:val="bullet"/>
      <w:lvlText w:val=""/>
      <w:lvlJc w:val="left"/>
      <w:pPr>
        <w:ind w:left="562" w:hanging="142"/>
      </w:pPr>
      <w:rPr>
        <w:rFonts w:ascii="Symbol" w:eastAsia="Symbol" w:hAnsi="Symbol" w:cs="Symbol" w:hint="default"/>
        <w:w w:val="100"/>
        <w:sz w:val="16"/>
        <w:szCs w:val="16"/>
        <w:lang w:val="fr-FR" w:eastAsia="en-US" w:bidi="ar-SA"/>
      </w:rPr>
    </w:lvl>
    <w:lvl w:ilvl="2" w:tplc="BFDCE3D6">
      <w:numFmt w:val="bullet"/>
      <w:lvlText w:val="•"/>
      <w:lvlJc w:val="left"/>
      <w:pPr>
        <w:ind w:left="410" w:hanging="142"/>
      </w:pPr>
      <w:rPr>
        <w:rFonts w:hint="default"/>
        <w:lang w:val="fr-FR" w:eastAsia="en-US" w:bidi="ar-SA"/>
      </w:rPr>
    </w:lvl>
    <w:lvl w:ilvl="3" w:tplc="453ECE28">
      <w:numFmt w:val="bullet"/>
      <w:lvlText w:val="•"/>
      <w:lvlJc w:val="left"/>
      <w:pPr>
        <w:ind w:left="335" w:hanging="142"/>
      </w:pPr>
      <w:rPr>
        <w:rFonts w:hint="default"/>
        <w:lang w:val="fr-FR" w:eastAsia="en-US" w:bidi="ar-SA"/>
      </w:rPr>
    </w:lvl>
    <w:lvl w:ilvl="4" w:tplc="7090B868">
      <w:numFmt w:val="bullet"/>
      <w:lvlText w:val="•"/>
      <w:lvlJc w:val="left"/>
      <w:pPr>
        <w:ind w:left="261" w:hanging="142"/>
      </w:pPr>
      <w:rPr>
        <w:rFonts w:hint="default"/>
        <w:lang w:val="fr-FR" w:eastAsia="en-US" w:bidi="ar-SA"/>
      </w:rPr>
    </w:lvl>
    <w:lvl w:ilvl="5" w:tplc="06428B5A">
      <w:numFmt w:val="bullet"/>
      <w:lvlText w:val="•"/>
      <w:lvlJc w:val="left"/>
      <w:pPr>
        <w:ind w:left="186" w:hanging="142"/>
      </w:pPr>
      <w:rPr>
        <w:rFonts w:hint="default"/>
        <w:lang w:val="fr-FR" w:eastAsia="en-US" w:bidi="ar-SA"/>
      </w:rPr>
    </w:lvl>
    <w:lvl w:ilvl="6" w:tplc="91085CF4">
      <w:numFmt w:val="bullet"/>
      <w:lvlText w:val="•"/>
      <w:lvlJc w:val="left"/>
      <w:pPr>
        <w:ind w:left="111" w:hanging="142"/>
      </w:pPr>
      <w:rPr>
        <w:rFonts w:hint="default"/>
        <w:lang w:val="fr-FR" w:eastAsia="en-US" w:bidi="ar-SA"/>
      </w:rPr>
    </w:lvl>
    <w:lvl w:ilvl="7" w:tplc="73DC2F4A">
      <w:numFmt w:val="bullet"/>
      <w:lvlText w:val="•"/>
      <w:lvlJc w:val="left"/>
      <w:pPr>
        <w:ind w:left="37" w:hanging="142"/>
      </w:pPr>
      <w:rPr>
        <w:rFonts w:hint="default"/>
        <w:lang w:val="fr-FR" w:eastAsia="en-US" w:bidi="ar-SA"/>
      </w:rPr>
    </w:lvl>
    <w:lvl w:ilvl="8" w:tplc="90662958">
      <w:numFmt w:val="bullet"/>
      <w:lvlText w:val="•"/>
      <w:lvlJc w:val="left"/>
      <w:pPr>
        <w:ind w:left="-38" w:hanging="142"/>
      </w:pPr>
      <w:rPr>
        <w:rFonts w:hint="default"/>
        <w:lang w:val="fr-FR" w:eastAsia="en-US" w:bidi="ar-SA"/>
      </w:rPr>
    </w:lvl>
  </w:abstractNum>
  <w:abstractNum w:abstractNumId="15" w15:restartNumberingAfterBreak="0">
    <w:nsid w:val="395B1CD5"/>
    <w:multiLevelType w:val="hybridMultilevel"/>
    <w:tmpl w:val="CCF2E9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AB56F68"/>
    <w:multiLevelType w:val="hybridMultilevel"/>
    <w:tmpl w:val="135C3548"/>
    <w:lvl w:ilvl="0" w:tplc="667ABDA6">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BA30AC"/>
    <w:multiLevelType w:val="hybridMultilevel"/>
    <w:tmpl w:val="CCF2E9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4EF35AA"/>
    <w:multiLevelType w:val="hybridMultilevel"/>
    <w:tmpl w:val="EED27AA0"/>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9" w15:restartNumberingAfterBreak="0">
    <w:nsid w:val="4F442612"/>
    <w:multiLevelType w:val="hybridMultilevel"/>
    <w:tmpl w:val="CCF2E9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4C130EE"/>
    <w:multiLevelType w:val="hybridMultilevel"/>
    <w:tmpl w:val="CCF2E9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550314F"/>
    <w:multiLevelType w:val="hybridMultilevel"/>
    <w:tmpl w:val="CCF2E9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6205803"/>
    <w:multiLevelType w:val="multilevel"/>
    <w:tmpl w:val="1E2855A8"/>
    <w:lvl w:ilvl="0">
      <w:start w:val="1"/>
      <w:numFmt w:val="decimal"/>
      <w:pStyle w:val="Els-1storder-head"/>
      <w:suff w:val="space"/>
      <w:lvlText w:val="%1."/>
      <w:lvlJc w:val="left"/>
      <w:pPr>
        <w:ind w:left="0" w:firstLine="0"/>
      </w:pPr>
    </w:lvl>
    <w:lvl w:ilvl="1">
      <w:start w:val="1"/>
      <w:numFmt w:val="decimal"/>
      <w:pStyle w:val="Els-2ndorder-head"/>
      <w:suff w:val="space"/>
      <w:lvlText w:val="%1.%2."/>
      <w:lvlJc w:val="left"/>
      <w:pPr>
        <w:ind w:left="4111" w:firstLine="0"/>
      </w:pPr>
    </w:lvl>
    <w:lvl w:ilvl="2">
      <w:start w:val="1"/>
      <w:numFmt w:val="decimal"/>
      <w:pStyle w:val="Els-3rdorder-head"/>
      <w:suff w:val="space"/>
      <w:lvlText w:val="%1.%2.%3."/>
      <w:lvlJc w:val="left"/>
      <w:pPr>
        <w:ind w:left="0" w:firstLine="0"/>
      </w:pPr>
    </w:lvl>
    <w:lvl w:ilvl="3">
      <w:start w:val="1"/>
      <w:numFmt w:val="decimal"/>
      <w:pStyle w:val="Els-4thorder-head"/>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3.%4.%5.%6.%7.%8.%9."/>
      <w:lvlJc w:val="left"/>
      <w:pPr>
        <w:ind w:left="0" w:firstLine="0"/>
      </w:pPr>
    </w:lvl>
  </w:abstractNum>
  <w:abstractNum w:abstractNumId="23" w15:restartNumberingAfterBreak="0">
    <w:nsid w:val="57411D42"/>
    <w:multiLevelType w:val="hybridMultilevel"/>
    <w:tmpl w:val="CCF2E9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8AA4805"/>
    <w:multiLevelType w:val="multilevel"/>
    <w:tmpl w:val="6CFA2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FC72867"/>
    <w:multiLevelType w:val="hybridMultilevel"/>
    <w:tmpl w:val="73FE5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073547C"/>
    <w:multiLevelType w:val="hybridMultilevel"/>
    <w:tmpl w:val="CCF2E9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D1F0B8B"/>
    <w:multiLevelType w:val="hybridMultilevel"/>
    <w:tmpl w:val="CCF2E9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DB46B87"/>
    <w:multiLevelType w:val="hybridMultilevel"/>
    <w:tmpl w:val="CCF2E9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1243152"/>
    <w:multiLevelType w:val="hybridMultilevel"/>
    <w:tmpl w:val="B128E356"/>
    <w:lvl w:ilvl="0" w:tplc="040C000F">
      <w:start w:val="1"/>
      <w:numFmt w:val="decimal"/>
      <w:lvlText w:val="%1."/>
      <w:lvlJc w:val="left"/>
      <w:pPr>
        <w:ind w:left="673" w:hanging="435"/>
      </w:pPr>
      <w:rPr>
        <w:rFonts w:hint="default"/>
      </w:rPr>
    </w:lvl>
    <w:lvl w:ilvl="1" w:tplc="04090019" w:tentative="1">
      <w:start w:val="1"/>
      <w:numFmt w:val="lowerLetter"/>
      <w:lvlText w:val="%2."/>
      <w:lvlJc w:val="left"/>
      <w:pPr>
        <w:ind w:left="1318" w:hanging="360"/>
      </w:pPr>
    </w:lvl>
    <w:lvl w:ilvl="2" w:tplc="0409001B" w:tentative="1">
      <w:start w:val="1"/>
      <w:numFmt w:val="lowerRoman"/>
      <w:lvlText w:val="%3."/>
      <w:lvlJc w:val="right"/>
      <w:pPr>
        <w:ind w:left="2038" w:hanging="180"/>
      </w:pPr>
    </w:lvl>
    <w:lvl w:ilvl="3" w:tplc="0409000F" w:tentative="1">
      <w:start w:val="1"/>
      <w:numFmt w:val="decimal"/>
      <w:lvlText w:val="%4."/>
      <w:lvlJc w:val="left"/>
      <w:pPr>
        <w:ind w:left="2758" w:hanging="360"/>
      </w:pPr>
    </w:lvl>
    <w:lvl w:ilvl="4" w:tplc="04090019" w:tentative="1">
      <w:start w:val="1"/>
      <w:numFmt w:val="lowerLetter"/>
      <w:lvlText w:val="%5."/>
      <w:lvlJc w:val="left"/>
      <w:pPr>
        <w:ind w:left="3478" w:hanging="360"/>
      </w:pPr>
    </w:lvl>
    <w:lvl w:ilvl="5" w:tplc="0409001B" w:tentative="1">
      <w:start w:val="1"/>
      <w:numFmt w:val="lowerRoman"/>
      <w:lvlText w:val="%6."/>
      <w:lvlJc w:val="right"/>
      <w:pPr>
        <w:ind w:left="4198" w:hanging="180"/>
      </w:pPr>
    </w:lvl>
    <w:lvl w:ilvl="6" w:tplc="0409000F" w:tentative="1">
      <w:start w:val="1"/>
      <w:numFmt w:val="decimal"/>
      <w:lvlText w:val="%7."/>
      <w:lvlJc w:val="left"/>
      <w:pPr>
        <w:ind w:left="4918" w:hanging="360"/>
      </w:pPr>
    </w:lvl>
    <w:lvl w:ilvl="7" w:tplc="04090019" w:tentative="1">
      <w:start w:val="1"/>
      <w:numFmt w:val="lowerLetter"/>
      <w:lvlText w:val="%8."/>
      <w:lvlJc w:val="left"/>
      <w:pPr>
        <w:ind w:left="5638" w:hanging="360"/>
      </w:pPr>
    </w:lvl>
    <w:lvl w:ilvl="8" w:tplc="0409001B" w:tentative="1">
      <w:start w:val="1"/>
      <w:numFmt w:val="lowerRoman"/>
      <w:lvlText w:val="%9."/>
      <w:lvlJc w:val="right"/>
      <w:pPr>
        <w:ind w:left="6358" w:hanging="180"/>
      </w:pPr>
    </w:lvl>
  </w:abstractNum>
  <w:abstractNum w:abstractNumId="30" w15:restartNumberingAfterBreak="0">
    <w:nsid w:val="7206105C"/>
    <w:multiLevelType w:val="hybridMultilevel"/>
    <w:tmpl w:val="CCF2E9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5160F7E"/>
    <w:multiLevelType w:val="hybridMultilevel"/>
    <w:tmpl w:val="1996E2F2"/>
    <w:lvl w:ilvl="0" w:tplc="D8D60292">
      <w:start w:val="2"/>
      <w:numFmt w:val="decimal"/>
      <w:lvlText w:val="%1."/>
      <w:lvlJc w:val="left"/>
      <w:pPr>
        <w:ind w:left="561" w:hanging="360"/>
      </w:pPr>
      <w:rPr>
        <w:rFonts w:hint="default"/>
      </w:rPr>
    </w:lvl>
    <w:lvl w:ilvl="1" w:tplc="04090019" w:tentative="1">
      <w:start w:val="1"/>
      <w:numFmt w:val="lowerLetter"/>
      <w:lvlText w:val="%2."/>
      <w:lvlJc w:val="left"/>
      <w:pPr>
        <w:ind w:left="1281" w:hanging="360"/>
      </w:pPr>
    </w:lvl>
    <w:lvl w:ilvl="2" w:tplc="0409001B" w:tentative="1">
      <w:start w:val="1"/>
      <w:numFmt w:val="lowerRoman"/>
      <w:lvlText w:val="%3."/>
      <w:lvlJc w:val="right"/>
      <w:pPr>
        <w:ind w:left="2001" w:hanging="180"/>
      </w:pPr>
    </w:lvl>
    <w:lvl w:ilvl="3" w:tplc="0409000F" w:tentative="1">
      <w:start w:val="1"/>
      <w:numFmt w:val="decimal"/>
      <w:lvlText w:val="%4."/>
      <w:lvlJc w:val="left"/>
      <w:pPr>
        <w:ind w:left="2721" w:hanging="360"/>
      </w:pPr>
    </w:lvl>
    <w:lvl w:ilvl="4" w:tplc="04090019" w:tentative="1">
      <w:start w:val="1"/>
      <w:numFmt w:val="lowerLetter"/>
      <w:lvlText w:val="%5."/>
      <w:lvlJc w:val="left"/>
      <w:pPr>
        <w:ind w:left="3441" w:hanging="360"/>
      </w:pPr>
    </w:lvl>
    <w:lvl w:ilvl="5" w:tplc="0409001B" w:tentative="1">
      <w:start w:val="1"/>
      <w:numFmt w:val="lowerRoman"/>
      <w:lvlText w:val="%6."/>
      <w:lvlJc w:val="right"/>
      <w:pPr>
        <w:ind w:left="4161" w:hanging="180"/>
      </w:pPr>
    </w:lvl>
    <w:lvl w:ilvl="6" w:tplc="0409000F" w:tentative="1">
      <w:start w:val="1"/>
      <w:numFmt w:val="decimal"/>
      <w:lvlText w:val="%7."/>
      <w:lvlJc w:val="left"/>
      <w:pPr>
        <w:ind w:left="4881" w:hanging="360"/>
      </w:pPr>
    </w:lvl>
    <w:lvl w:ilvl="7" w:tplc="04090019" w:tentative="1">
      <w:start w:val="1"/>
      <w:numFmt w:val="lowerLetter"/>
      <w:lvlText w:val="%8."/>
      <w:lvlJc w:val="left"/>
      <w:pPr>
        <w:ind w:left="5601" w:hanging="360"/>
      </w:pPr>
    </w:lvl>
    <w:lvl w:ilvl="8" w:tplc="0409001B" w:tentative="1">
      <w:start w:val="1"/>
      <w:numFmt w:val="lowerRoman"/>
      <w:lvlText w:val="%9."/>
      <w:lvlJc w:val="right"/>
      <w:pPr>
        <w:ind w:left="6321" w:hanging="180"/>
      </w:pPr>
    </w:lvl>
  </w:abstractNum>
  <w:abstractNum w:abstractNumId="32" w15:restartNumberingAfterBreak="0">
    <w:nsid w:val="776B2351"/>
    <w:multiLevelType w:val="hybridMultilevel"/>
    <w:tmpl w:val="3034BCDC"/>
    <w:lvl w:ilvl="0" w:tplc="977A9A12">
      <w:start w:val="1"/>
      <w:numFmt w:val="decimal"/>
      <w:lvlText w:val="%1-"/>
      <w:lvlJc w:val="left"/>
      <w:pPr>
        <w:ind w:left="637" w:hanging="360"/>
      </w:pPr>
      <w:rPr>
        <w:rFonts w:hint="default"/>
      </w:rPr>
    </w:lvl>
    <w:lvl w:ilvl="1" w:tplc="04090019" w:tentative="1">
      <w:start w:val="1"/>
      <w:numFmt w:val="lowerLetter"/>
      <w:lvlText w:val="%2."/>
      <w:lvlJc w:val="left"/>
      <w:pPr>
        <w:ind w:left="1357" w:hanging="360"/>
      </w:pPr>
    </w:lvl>
    <w:lvl w:ilvl="2" w:tplc="0409001B" w:tentative="1">
      <w:start w:val="1"/>
      <w:numFmt w:val="lowerRoman"/>
      <w:lvlText w:val="%3."/>
      <w:lvlJc w:val="right"/>
      <w:pPr>
        <w:ind w:left="2077" w:hanging="180"/>
      </w:pPr>
    </w:lvl>
    <w:lvl w:ilvl="3" w:tplc="0409000F" w:tentative="1">
      <w:start w:val="1"/>
      <w:numFmt w:val="decimal"/>
      <w:lvlText w:val="%4."/>
      <w:lvlJc w:val="left"/>
      <w:pPr>
        <w:ind w:left="2797" w:hanging="360"/>
      </w:pPr>
    </w:lvl>
    <w:lvl w:ilvl="4" w:tplc="04090019" w:tentative="1">
      <w:start w:val="1"/>
      <w:numFmt w:val="lowerLetter"/>
      <w:lvlText w:val="%5."/>
      <w:lvlJc w:val="left"/>
      <w:pPr>
        <w:ind w:left="3517" w:hanging="360"/>
      </w:pPr>
    </w:lvl>
    <w:lvl w:ilvl="5" w:tplc="0409001B" w:tentative="1">
      <w:start w:val="1"/>
      <w:numFmt w:val="lowerRoman"/>
      <w:lvlText w:val="%6."/>
      <w:lvlJc w:val="right"/>
      <w:pPr>
        <w:ind w:left="4237" w:hanging="180"/>
      </w:pPr>
    </w:lvl>
    <w:lvl w:ilvl="6" w:tplc="0409000F" w:tentative="1">
      <w:start w:val="1"/>
      <w:numFmt w:val="decimal"/>
      <w:lvlText w:val="%7."/>
      <w:lvlJc w:val="left"/>
      <w:pPr>
        <w:ind w:left="4957" w:hanging="360"/>
      </w:pPr>
    </w:lvl>
    <w:lvl w:ilvl="7" w:tplc="04090019" w:tentative="1">
      <w:start w:val="1"/>
      <w:numFmt w:val="lowerLetter"/>
      <w:lvlText w:val="%8."/>
      <w:lvlJc w:val="left"/>
      <w:pPr>
        <w:ind w:left="5677" w:hanging="360"/>
      </w:pPr>
    </w:lvl>
    <w:lvl w:ilvl="8" w:tplc="0409001B" w:tentative="1">
      <w:start w:val="1"/>
      <w:numFmt w:val="lowerRoman"/>
      <w:lvlText w:val="%9."/>
      <w:lvlJc w:val="right"/>
      <w:pPr>
        <w:ind w:left="6397" w:hanging="180"/>
      </w:pPr>
    </w:lvl>
  </w:abstractNum>
  <w:abstractNum w:abstractNumId="33" w15:restartNumberingAfterBreak="0">
    <w:nsid w:val="78B92D6A"/>
    <w:multiLevelType w:val="multilevel"/>
    <w:tmpl w:val="836E9C7A"/>
    <w:lvl w:ilvl="0">
      <w:start w:val="1"/>
      <w:numFmt w:val="decimal"/>
      <w:lvlText w:val="%1."/>
      <w:lvlJc w:val="left"/>
      <w:pPr>
        <w:ind w:left="76" w:hanging="360"/>
      </w:pPr>
      <w:rPr>
        <w:rFonts w:hint="default"/>
      </w:rPr>
    </w:lvl>
    <w:lvl w:ilvl="1">
      <w:start w:val="1"/>
      <w:numFmt w:val="decimal"/>
      <w:isLgl/>
      <w:lvlText w:val="%1.%2."/>
      <w:lvlJc w:val="left"/>
      <w:pPr>
        <w:ind w:left="436" w:hanging="720"/>
      </w:pPr>
      <w:rPr>
        <w:rFonts w:hint="default"/>
      </w:rPr>
    </w:lvl>
    <w:lvl w:ilvl="2">
      <w:start w:val="1"/>
      <w:numFmt w:val="decimal"/>
      <w:isLgl/>
      <w:lvlText w:val="%1.%2.%3."/>
      <w:lvlJc w:val="left"/>
      <w:pPr>
        <w:ind w:left="436" w:hanging="720"/>
      </w:pPr>
      <w:rPr>
        <w:rFonts w:hint="default"/>
      </w:rPr>
    </w:lvl>
    <w:lvl w:ilvl="3">
      <w:start w:val="1"/>
      <w:numFmt w:val="decimal"/>
      <w:isLgl/>
      <w:lvlText w:val="%1.%2.%3.%4."/>
      <w:lvlJc w:val="left"/>
      <w:pPr>
        <w:ind w:left="796" w:hanging="1080"/>
      </w:pPr>
      <w:rPr>
        <w:rFonts w:hint="default"/>
      </w:rPr>
    </w:lvl>
    <w:lvl w:ilvl="4">
      <w:start w:val="1"/>
      <w:numFmt w:val="decimal"/>
      <w:isLgl/>
      <w:lvlText w:val="%1.%2.%3.%4.%5."/>
      <w:lvlJc w:val="left"/>
      <w:pPr>
        <w:ind w:left="796" w:hanging="1080"/>
      </w:pPr>
      <w:rPr>
        <w:rFonts w:hint="default"/>
      </w:rPr>
    </w:lvl>
    <w:lvl w:ilvl="5">
      <w:start w:val="1"/>
      <w:numFmt w:val="decimal"/>
      <w:isLgl/>
      <w:lvlText w:val="%1.%2.%3.%4.%5.%6."/>
      <w:lvlJc w:val="left"/>
      <w:pPr>
        <w:ind w:left="1156" w:hanging="1440"/>
      </w:pPr>
      <w:rPr>
        <w:rFonts w:hint="default"/>
      </w:rPr>
    </w:lvl>
    <w:lvl w:ilvl="6">
      <w:start w:val="1"/>
      <w:numFmt w:val="decimal"/>
      <w:isLgl/>
      <w:lvlText w:val="%1.%2.%3.%4.%5.%6.%7."/>
      <w:lvlJc w:val="left"/>
      <w:pPr>
        <w:ind w:left="1156" w:hanging="1440"/>
      </w:pPr>
      <w:rPr>
        <w:rFonts w:hint="default"/>
      </w:rPr>
    </w:lvl>
    <w:lvl w:ilvl="7">
      <w:start w:val="1"/>
      <w:numFmt w:val="decimal"/>
      <w:isLgl/>
      <w:lvlText w:val="%1.%2.%3.%4.%5.%6.%7.%8."/>
      <w:lvlJc w:val="left"/>
      <w:pPr>
        <w:ind w:left="1516" w:hanging="1800"/>
      </w:pPr>
      <w:rPr>
        <w:rFonts w:hint="default"/>
      </w:rPr>
    </w:lvl>
    <w:lvl w:ilvl="8">
      <w:start w:val="1"/>
      <w:numFmt w:val="decimal"/>
      <w:isLgl/>
      <w:lvlText w:val="%1.%2.%3.%4.%5.%6.%7.%8.%9."/>
      <w:lvlJc w:val="left"/>
      <w:pPr>
        <w:ind w:left="1876" w:hanging="2160"/>
      </w:pPr>
      <w:rPr>
        <w:rFonts w:hint="default"/>
      </w:rPr>
    </w:lvl>
  </w:abstractNum>
  <w:abstractNum w:abstractNumId="34" w15:restartNumberingAfterBreak="0">
    <w:nsid w:val="79184EA4"/>
    <w:multiLevelType w:val="hybridMultilevel"/>
    <w:tmpl w:val="E3E8F912"/>
    <w:lvl w:ilvl="0" w:tplc="04090001">
      <w:start w:val="1"/>
      <w:numFmt w:val="bullet"/>
      <w:lvlText w:val=""/>
      <w:lvlJc w:val="left"/>
      <w:pPr>
        <w:ind w:left="720" w:hanging="360"/>
      </w:pPr>
      <w:rPr>
        <w:rFonts w:ascii="Symbol" w:hAnsi="Symbol" w:hint="default"/>
      </w:rPr>
    </w:lvl>
    <w:lvl w:ilvl="1" w:tplc="B358DE16">
      <w:start w:val="3"/>
      <w:numFmt w:val="bullet"/>
      <w:lvlText w:val="-"/>
      <w:lvlJc w:val="left"/>
      <w:pPr>
        <w:ind w:left="1440" w:hanging="360"/>
      </w:pPr>
      <w:rPr>
        <w:rFonts w:ascii="Cambria" w:eastAsiaTheme="minorEastAsia" w:hAnsi="Cambria"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CA7954"/>
    <w:multiLevelType w:val="hybridMultilevel"/>
    <w:tmpl w:val="C2BAE900"/>
    <w:lvl w:ilvl="0" w:tplc="040C000F">
      <w:start w:val="1"/>
      <w:numFmt w:val="decimal"/>
      <w:lvlText w:val="%1."/>
      <w:lvlJc w:val="left"/>
      <w:pPr>
        <w:ind w:left="673" w:hanging="435"/>
      </w:pPr>
      <w:rPr>
        <w:rFonts w:hint="default"/>
      </w:rPr>
    </w:lvl>
    <w:lvl w:ilvl="1" w:tplc="04090019" w:tentative="1">
      <w:start w:val="1"/>
      <w:numFmt w:val="lowerLetter"/>
      <w:lvlText w:val="%2."/>
      <w:lvlJc w:val="left"/>
      <w:pPr>
        <w:ind w:left="1318" w:hanging="360"/>
      </w:pPr>
    </w:lvl>
    <w:lvl w:ilvl="2" w:tplc="0409001B" w:tentative="1">
      <w:start w:val="1"/>
      <w:numFmt w:val="lowerRoman"/>
      <w:lvlText w:val="%3."/>
      <w:lvlJc w:val="right"/>
      <w:pPr>
        <w:ind w:left="2038" w:hanging="180"/>
      </w:pPr>
    </w:lvl>
    <w:lvl w:ilvl="3" w:tplc="0409000F" w:tentative="1">
      <w:start w:val="1"/>
      <w:numFmt w:val="decimal"/>
      <w:lvlText w:val="%4."/>
      <w:lvlJc w:val="left"/>
      <w:pPr>
        <w:ind w:left="2758" w:hanging="360"/>
      </w:pPr>
    </w:lvl>
    <w:lvl w:ilvl="4" w:tplc="04090019" w:tentative="1">
      <w:start w:val="1"/>
      <w:numFmt w:val="lowerLetter"/>
      <w:lvlText w:val="%5."/>
      <w:lvlJc w:val="left"/>
      <w:pPr>
        <w:ind w:left="3478" w:hanging="360"/>
      </w:pPr>
    </w:lvl>
    <w:lvl w:ilvl="5" w:tplc="0409001B" w:tentative="1">
      <w:start w:val="1"/>
      <w:numFmt w:val="lowerRoman"/>
      <w:lvlText w:val="%6."/>
      <w:lvlJc w:val="right"/>
      <w:pPr>
        <w:ind w:left="4198" w:hanging="180"/>
      </w:pPr>
    </w:lvl>
    <w:lvl w:ilvl="6" w:tplc="0409000F" w:tentative="1">
      <w:start w:val="1"/>
      <w:numFmt w:val="decimal"/>
      <w:lvlText w:val="%7."/>
      <w:lvlJc w:val="left"/>
      <w:pPr>
        <w:ind w:left="4918" w:hanging="360"/>
      </w:pPr>
    </w:lvl>
    <w:lvl w:ilvl="7" w:tplc="04090019" w:tentative="1">
      <w:start w:val="1"/>
      <w:numFmt w:val="lowerLetter"/>
      <w:lvlText w:val="%8."/>
      <w:lvlJc w:val="left"/>
      <w:pPr>
        <w:ind w:left="5638" w:hanging="360"/>
      </w:pPr>
    </w:lvl>
    <w:lvl w:ilvl="8" w:tplc="0409001B" w:tentative="1">
      <w:start w:val="1"/>
      <w:numFmt w:val="lowerRoman"/>
      <w:lvlText w:val="%9."/>
      <w:lvlJc w:val="right"/>
      <w:pPr>
        <w:ind w:left="6358" w:hanging="180"/>
      </w:pPr>
    </w:lvl>
  </w:abstractNum>
  <w:abstractNum w:abstractNumId="36" w15:restartNumberingAfterBreak="0">
    <w:nsid w:val="7EF1321A"/>
    <w:multiLevelType w:val="hybridMultilevel"/>
    <w:tmpl w:val="9996793A"/>
    <w:lvl w:ilvl="0" w:tplc="04090001">
      <w:start w:val="1"/>
      <w:numFmt w:val="bullet"/>
      <w:lvlText w:val=""/>
      <w:lvlJc w:val="left"/>
      <w:pPr>
        <w:ind w:left="638" w:hanging="360"/>
      </w:pPr>
      <w:rPr>
        <w:rFonts w:ascii="Symbol" w:hAnsi="Symbol" w:hint="default"/>
        <w:w w:val="100"/>
        <w:sz w:val="16"/>
        <w:szCs w:val="16"/>
        <w:lang w:val="fr-FR" w:eastAsia="en-US" w:bidi="ar-SA"/>
      </w:rPr>
    </w:lvl>
    <w:lvl w:ilvl="1" w:tplc="E680632E">
      <w:numFmt w:val="bullet"/>
      <w:lvlText w:val="•"/>
      <w:lvlJc w:val="left"/>
      <w:pPr>
        <w:ind w:left="960" w:hanging="284"/>
      </w:pPr>
      <w:rPr>
        <w:rFonts w:hint="default"/>
        <w:lang w:val="fr-FR" w:eastAsia="en-US" w:bidi="ar-SA"/>
      </w:rPr>
    </w:lvl>
    <w:lvl w:ilvl="2" w:tplc="50068BE6">
      <w:numFmt w:val="bullet"/>
      <w:lvlText w:val="•"/>
      <w:lvlJc w:val="left"/>
      <w:pPr>
        <w:ind w:left="1360" w:hanging="284"/>
      </w:pPr>
      <w:rPr>
        <w:rFonts w:hint="default"/>
        <w:lang w:val="fr-FR" w:eastAsia="en-US" w:bidi="ar-SA"/>
      </w:rPr>
    </w:lvl>
    <w:lvl w:ilvl="3" w:tplc="6EB8FBEE">
      <w:numFmt w:val="bullet"/>
      <w:lvlText w:val="•"/>
      <w:lvlJc w:val="left"/>
      <w:pPr>
        <w:ind w:left="1760" w:hanging="284"/>
      </w:pPr>
      <w:rPr>
        <w:rFonts w:hint="default"/>
        <w:lang w:val="fr-FR" w:eastAsia="en-US" w:bidi="ar-SA"/>
      </w:rPr>
    </w:lvl>
    <w:lvl w:ilvl="4" w:tplc="80AE0882">
      <w:numFmt w:val="bullet"/>
      <w:lvlText w:val="•"/>
      <w:lvlJc w:val="left"/>
      <w:pPr>
        <w:ind w:left="2160" w:hanging="284"/>
      </w:pPr>
      <w:rPr>
        <w:rFonts w:hint="default"/>
        <w:lang w:val="fr-FR" w:eastAsia="en-US" w:bidi="ar-SA"/>
      </w:rPr>
    </w:lvl>
    <w:lvl w:ilvl="5" w:tplc="C016C1CE">
      <w:numFmt w:val="bullet"/>
      <w:lvlText w:val="•"/>
      <w:lvlJc w:val="left"/>
      <w:pPr>
        <w:ind w:left="2560" w:hanging="284"/>
      </w:pPr>
      <w:rPr>
        <w:rFonts w:hint="default"/>
        <w:lang w:val="fr-FR" w:eastAsia="en-US" w:bidi="ar-SA"/>
      </w:rPr>
    </w:lvl>
    <w:lvl w:ilvl="6" w:tplc="8E2812F8">
      <w:numFmt w:val="bullet"/>
      <w:lvlText w:val="•"/>
      <w:lvlJc w:val="left"/>
      <w:pPr>
        <w:ind w:left="2960" w:hanging="284"/>
      </w:pPr>
      <w:rPr>
        <w:rFonts w:hint="default"/>
        <w:lang w:val="fr-FR" w:eastAsia="en-US" w:bidi="ar-SA"/>
      </w:rPr>
    </w:lvl>
    <w:lvl w:ilvl="7" w:tplc="FA727DEA">
      <w:numFmt w:val="bullet"/>
      <w:lvlText w:val="•"/>
      <w:lvlJc w:val="left"/>
      <w:pPr>
        <w:ind w:left="3360" w:hanging="284"/>
      </w:pPr>
      <w:rPr>
        <w:rFonts w:hint="default"/>
        <w:lang w:val="fr-FR" w:eastAsia="en-US" w:bidi="ar-SA"/>
      </w:rPr>
    </w:lvl>
    <w:lvl w:ilvl="8" w:tplc="FCBEB490">
      <w:numFmt w:val="bullet"/>
      <w:lvlText w:val="•"/>
      <w:lvlJc w:val="left"/>
      <w:pPr>
        <w:ind w:left="3761" w:hanging="284"/>
      </w:pPr>
      <w:rPr>
        <w:rFonts w:hint="default"/>
        <w:lang w:val="fr-FR" w:eastAsia="en-US" w:bidi="ar-SA"/>
      </w:rPr>
    </w:lvl>
  </w:abstractNum>
  <w:num w:numId="1">
    <w:abstractNumId w:val="9"/>
  </w:num>
  <w:num w:numId="2">
    <w:abstractNumId w:val="5"/>
  </w:num>
  <w:num w:numId="3">
    <w:abstractNumId w:val="12"/>
  </w:num>
  <w:num w:numId="4">
    <w:abstractNumId w:val="14"/>
  </w:num>
  <w:num w:numId="5">
    <w:abstractNumId w:val="36"/>
  </w:num>
  <w:num w:numId="6">
    <w:abstractNumId w:val="3"/>
  </w:num>
  <w:num w:numId="7">
    <w:abstractNumId w:val="1"/>
  </w:num>
  <w:num w:numId="8">
    <w:abstractNumId w:val="4"/>
  </w:num>
  <w:num w:numId="9">
    <w:abstractNumId w:val="7"/>
  </w:num>
  <w:num w:numId="10">
    <w:abstractNumId w:val="32"/>
  </w:num>
  <w:num w:numId="11">
    <w:abstractNumId w:val="13"/>
  </w:num>
  <w:num w:numId="12">
    <w:abstractNumId w:val="31"/>
  </w:num>
  <w:num w:numId="13">
    <w:abstractNumId w:val="11"/>
  </w:num>
  <w:num w:numId="14">
    <w:abstractNumId w:val="24"/>
  </w:num>
  <w:num w:numId="15">
    <w:abstractNumId w:val="16"/>
  </w:num>
  <w:num w:numId="16">
    <w:abstractNumId w:val="22"/>
  </w:num>
  <w:num w:numId="17">
    <w:abstractNumId w:val="25"/>
  </w:num>
  <w:num w:numId="18">
    <w:abstractNumId w:val="35"/>
  </w:num>
  <w:num w:numId="19">
    <w:abstractNumId w:val="18"/>
  </w:num>
  <w:num w:numId="20">
    <w:abstractNumId w:val="29"/>
  </w:num>
  <w:num w:numId="21">
    <w:abstractNumId w:val="10"/>
  </w:num>
  <w:num w:numId="22">
    <w:abstractNumId w:val="17"/>
  </w:num>
  <w:num w:numId="23">
    <w:abstractNumId w:val="2"/>
  </w:num>
  <w:num w:numId="24">
    <w:abstractNumId w:val="34"/>
  </w:num>
  <w:num w:numId="25">
    <w:abstractNumId w:val="33"/>
  </w:num>
  <w:num w:numId="26">
    <w:abstractNumId w:val="8"/>
  </w:num>
  <w:num w:numId="27">
    <w:abstractNumId w:val="19"/>
  </w:num>
  <w:num w:numId="28">
    <w:abstractNumId w:val="20"/>
  </w:num>
  <w:num w:numId="29">
    <w:abstractNumId w:val="30"/>
  </w:num>
  <w:num w:numId="30">
    <w:abstractNumId w:val="27"/>
  </w:num>
  <w:num w:numId="31">
    <w:abstractNumId w:val="15"/>
  </w:num>
  <w:num w:numId="32">
    <w:abstractNumId w:val="28"/>
  </w:num>
  <w:num w:numId="33">
    <w:abstractNumId w:val="21"/>
  </w:num>
  <w:num w:numId="34">
    <w:abstractNumId w:val="23"/>
  </w:num>
  <w:num w:numId="35">
    <w:abstractNumId w:val="26"/>
  </w:num>
  <w:num w:numId="36">
    <w:abstractNumId w:val="6"/>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1"/>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CB43C6"/>
    <w:rsid w:val="00014BE3"/>
    <w:rsid w:val="0002391C"/>
    <w:rsid w:val="00031967"/>
    <w:rsid w:val="00034386"/>
    <w:rsid w:val="0006105B"/>
    <w:rsid w:val="00067CC4"/>
    <w:rsid w:val="000B6898"/>
    <w:rsid w:val="000C077B"/>
    <w:rsid w:val="000E6214"/>
    <w:rsid w:val="001007F8"/>
    <w:rsid w:val="001011B1"/>
    <w:rsid w:val="0010686C"/>
    <w:rsid w:val="0016547C"/>
    <w:rsid w:val="00175991"/>
    <w:rsid w:val="001924EF"/>
    <w:rsid w:val="001C543C"/>
    <w:rsid w:val="001C7A1D"/>
    <w:rsid w:val="001D0B3C"/>
    <w:rsid w:val="001E167B"/>
    <w:rsid w:val="00203AB6"/>
    <w:rsid w:val="00206778"/>
    <w:rsid w:val="0027790F"/>
    <w:rsid w:val="00292FE7"/>
    <w:rsid w:val="00296899"/>
    <w:rsid w:val="002C5FD9"/>
    <w:rsid w:val="002E3D36"/>
    <w:rsid w:val="00301927"/>
    <w:rsid w:val="00333707"/>
    <w:rsid w:val="00333E50"/>
    <w:rsid w:val="00342133"/>
    <w:rsid w:val="00357BDB"/>
    <w:rsid w:val="0036053B"/>
    <w:rsid w:val="00370253"/>
    <w:rsid w:val="00383AC7"/>
    <w:rsid w:val="00386F20"/>
    <w:rsid w:val="003872AC"/>
    <w:rsid w:val="003C4764"/>
    <w:rsid w:val="003C4BD7"/>
    <w:rsid w:val="003E3DF8"/>
    <w:rsid w:val="00400D99"/>
    <w:rsid w:val="0043366E"/>
    <w:rsid w:val="004507C8"/>
    <w:rsid w:val="00451DDE"/>
    <w:rsid w:val="00454F93"/>
    <w:rsid w:val="00457052"/>
    <w:rsid w:val="0048191E"/>
    <w:rsid w:val="004A7029"/>
    <w:rsid w:val="004B4710"/>
    <w:rsid w:val="004C6CA7"/>
    <w:rsid w:val="004F04D0"/>
    <w:rsid w:val="004F5FB6"/>
    <w:rsid w:val="00510348"/>
    <w:rsid w:val="0054269E"/>
    <w:rsid w:val="00543414"/>
    <w:rsid w:val="00561B49"/>
    <w:rsid w:val="00584862"/>
    <w:rsid w:val="005B3230"/>
    <w:rsid w:val="005D52FE"/>
    <w:rsid w:val="005F632A"/>
    <w:rsid w:val="005F6377"/>
    <w:rsid w:val="00616635"/>
    <w:rsid w:val="00687098"/>
    <w:rsid w:val="006923BC"/>
    <w:rsid w:val="006B44AD"/>
    <w:rsid w:val="006C46CF"/>
    <w:rsid w:val="006E1C57"/>
    <w:rsid w:val="00706124"/>
    <w:rsid w:val="00710DC4"/>
    <w:rsid w:val="00726C60"/>
    <w:rsid w:val="007677BB"/>
    <w:rsid w:val="0077589F"/>
    <w:rsid w:val="007C378E"/>
    <w:rsid w:val="007D6C13"/>
    <w:rsid w:val="007F7A24"/>
    <w:rsid w:val="00817F30"/>
    <w:rsid w:val="008243F5"/>
    <w:rsid w:val="0083374C"/>
    <w:rsid w:val="00841498"/>
    <w:rsid w:val="008515D4"/>
    <w:rsid w:val="00851FA3"/>
    <w:rsid w:val="00852492"/>
    <w:rsid w:val="0085339B"/>
    <w:rsid w:val="00864A3F"/>
    <w:rsid w:val="00890B71"/>
    <w:rsid w:val="0089169F"/>
    <w:rsid w:val="008C5CDA"/>
    <w:rsid w:val="008F1DFD"/>
    <w:rsid w:val="008F350F"/>
    <w:rsid w:val="0091777D"/>
    <w:rsid w:val="00917B89"/>
    <w:rsid w:val="009772A2"/>
    <w:rsid w:val="009C7BA3"/>
    <w:rsid w:val="009E17BD"/>
    <w:rsid w:val="009F3FB5"/>
    <w:rsid w:val="00A034A4"/>
    <w:rsid w:val="00A24F89"/>
    <w:rsid w:val="00A34674"/>
    <w:rsid w:val="00A34981"/>
    <w:rsid w:val="00A53718"/>
    <w:rsid w:val="00AA27BD"/>
    <w:rsid w:val="00AA2B60"/>
    <w:rsid w:val="00AB4989"/>
    <w:rsid w:val="00AB696B"/>
    <w:rsid w:val="00AC7F88"/>
    <w:rsid w:val="00AE503E"/>
    <w:rsid w:val="00AF28D6"/>
    <w:rsid w:val="00B00AB8"/>
    <w:rsid w:val="00B15846"/>
    <w:rsid w:val="00B16333"/>
    <w:rsid w:val="00B3664C"/>
    <w:rsid w:val="00B42B38"/>
    <w:rsid w:val="00B51E0C"/>
    <w:rsid w:val="00B53818"/>
    <w:rsid w:val="00B7190B"/>
    <w:rsid w:val="00BA1B24"/>
    <w:rsid w:val="00BA25B8"/>
    <w:rsid w:val="00BA368B"/>
    <w:rsid w:val="00BC2ACF"/>
    <w:rsid w:val="00BD5496"/>
    <w:rsid w:val="00BE1529"/>
    <w:rsid w:val="00BF3B4F"/>
    <w:rsid w:val="00C00C64"/>
    <w:rsid w:val="00C43467"/>
    <w:rsid w:val="00C84931"/>
    <w:rsid w:val="00CB43C6"/>
    <w:rsid w:val="00CD3515"/>
    <w:rsid w:val="00CF3523"/>
    <w:rsid w:val="00CF4905"/>
    <w:rsid w:val="00D05528"/>
    <w:rsid w:val="00D44DFF"/>
    <w:rsid w:val="00D543C2"/>
    <w:rsid w:val="00DA348D"/>
    <w:rsid w:val="00DE023C"/>
    <w:rsid w:val="00DF2D36"/>
    <w:rsid w:val="00E35B16"/>
    <w:rsid w:val="00E53397"/>
    <w:rsid w:val="00E575DA"/>
    <w:rsid w:val="00E66FF4"/>
    <w:rsid w:val="00E767B2"/>
    <w:rsid w:val="00E848F6"/>
    <w:rsid w:val="00EA36AB"/>
    <w:rsid w:val="00EB06BC"/>
    <w:rsid w:val="00EC2447"/>
    <w:rsid w:val="00EC7EB6"/>
    <w:rsid w:val="00ED5856"/>
    <w:rsid w:val="00EE73D6"/>
    <w:rsid w:val="00F22B6B"/>
    <w:rsid w:val="00F260F4"/>
    <w:rsid w:val="00F45BA4"/>
    <w:rsid w:val="00F557D5"/>
    <w:rsid w:val="00F6252D"/>
    <w:rsid w:val="00F811CC"/>
    <w:rsid w:val="00F82A82"/>
    <w:rsid w:val="00F871B6"/>
    <w:rsid w:val="00F96348"/>
    <w:rsid w:val="00FB3DFD"/>
    <w:rsid w:val="00FC4F42"/>
  </w:rsids>
  <m:mathPr>
    <m:mathFont m:val="Cambria Math"/>
    <m:brkBin m:val="before"/>
    <m:brkBinSub m:val="--"/>
    <m:smallFrac/>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93B4BAD1-0EBC-46BA-821E-EB2AA517B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890B71"/>
    <w:rPr>
      <w:rFonts w:ascii="Times New Roman" w:eastAsia="Times New Roman" w:hAnsi="Times New Roman" w:cs="Times New Roman"/>
      <w:lang w:val="fr-FR"/>
    </w:rPr>
  </w:style>
  <w:style w:type="paragraph" w:styleId="Titre1">
    <w:name w:val="heading 1"/>
    <w:basedOn w:val="Normal"/>
    <w:uiPriority w:val="1"/>
    <w:qFormat/>
    <w:rsid w:val="00890B71"/>
    <w:pPr>
      <w:ind w:left="562" w:hanging="361"/>
      <w:outlineLvl w:val="0"/>
    </w:pPr>
    <w:rPr>
      <w:b/>
      <w:b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uiPriority w:val="1"/>
    <w:qFormat/>
    <w:rsid w:val="00890B71"/>
    <w:pPr>
      <w:ind w:left="562"/>
      <w:jc w:val="both"/>
    </w:pPr>
    <w:rPr>
      <w:sz w:val="16"/>
      <w:szCs w:val="16"/>
    </w:rPr>
  </w:style>
  <w:style w:type="paragraph" w:styleId="Titre">
    <w:name w:val="Title"/>
    <w:basedOn w:val="Normal"/>
    <w:uiPriority w:val="1"/>
    <w:qFormat/>
    <w:rsid w:val="00890B71"/>
    <w:pPr>
      <w:spacing w:before="91"/>
      <w:ind w:left="278"/>
    </w:pPr>
    <w:rPr>
      <w:b/>
      <w:bCs/>
    </w:rPr>
  </w:style>
  <w:style w:type="paragraph" w:styleId="Paragraphedeliste">
    <w:name w:val="List Paragraph"/>
    <w:basedOn w:val="Normal"/>
    <w:uiPriority w:val="34"/>
    <w:qFormat/>
    <w:rsid w:val="00890B71"/>
    <w:pPr>
      <w:ind w:left="562" w:hanging="142"/>
      <w:jc w:val="both"/>
    </w:pPr>
  </w:style>
  <w:style w:type="paragraph" w:customStyle="1" w:styleId="TableParagraph">
    <w:name w:val="Table Paragraph"/>
    <w:basedOn w:val="Normal"/>
    <w:uiPriority w:val="1"/>
    <w:qFormat/>
    <w:rsid w:val="00890B71"/>
  </w:style>
  <w:style w:type="paragraph" w:styleId="Textedebulles">
    <w:name w:val="Balloon Text"/>
    <w:basedOn w:val="Normal"/>
    <w:link w:val="TextedebullesCar"/>
    <w:uiPriority w:val="99"/>
    <w:semiHidden/>
    <w:unhideWhenUsed/>
    <w:rsid w:val="00584862"/>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584862"/>
    <w:rPr>
      <w:rFonts w:ascii="Lucida Grande" w:eastAsia="Times New Roman" w:hAnsi="Lucida Grande" w:cs="Lucida Grande"/>
      <w:sz w:val="18"/>
      <w:szCs w:val="18"/>
      <w:lang w:val="fr-FR"/>
    </w:rPr>
  </w:style>
  <w:style w:type="character" w:styleId="Lienhypertexte">
    <w:name w:val="Hyperlink"/>
    <w:basedOn w:val="Policepardfaut"/>
    <w:uiPriority w:val="99"/>
    <w:unhideWhenUsed/>
    <w:rsid w:val="00034386"/>
    <w:rPr>
      <w:color w:val="0000FF" w:themeColor="hyperlink"/>
      <w:u w:val="single"/>
    </w:rPr>
  </w:style>
  <w:style w:type="paragraph" w:styleId="En-tte">
    <w:name w:val="header"/>
    <w:aliases w:val="page-number"/>
    <w:basedOn w:val="Normal"/>
    <w:link w:val="En-tteCar"/>
    <w:uiPriority w:val="99"/>
    <w:unhideWhenUsed/>
    <w:rsid w:val="00D05528"/>
    <w:pPr>
      <w:tabs>
        <w:tab w:val="center" w:pos="4680"/>
        <w:tab w:val="right" w:pos="9360"/>
      </w:tabs>
    </w:pPr>
  </w:style>
  <w:style w:type="character" w:customStyle="1" w:styleId="En-tteCar">
    <w:name w:val="En-tête Car"/>
    <w:aliases w:val="page-number Car"/>
    <w:basedOn w:val="Policepardfaut"/>
    <w:link w:val="En-tte"/>
    <w:uiPriority w:val="99"/>
    <w:rsid w:val="00D05528"/>
    <w:rPr>
      <w:rFonts w:ascii="Times New Roman" w:eastAsia="Times New Roman" w:hAnsi="Times New Roman" w:cs="Times New Roman"/>
      <w:lang w:val="fr-FR"/>
    </w:rPr>
  </w:style>
  <w:style w:type="paragraph" w:styleId="Pieddepage">
    <w:name w:val="footer"/>
    <w:basedOn w:val="Normal"/>
    <w:link w:val="PieddepageCar"/>
    <w:uiPriority w:val="99"/>
    <w:unhideWhenUsed/>
    <w:rsid w:val="00D05528"/>
    <w:pPr>
      <w:tabs>
        <w:tab w:val="center" w:pos="4680"/>
        <w:tab w:val="right" w:pos="9360"/>
      </w:tabs>
    </w:pPr>
  </w:style>
  <w:style w:type="character" w:customStyle="1" w:styleId="PieddepageCar">
    <w:name w:val="Pied de page Car"/>
    <w:basedOn w:val="Policepardfaut"/>
    <w:link w:val="Pieddepage"/>
    <w:uiPriority w:val="99"/>
    <w:rsid w:val="00D05528"/>
    <w:rPr>
      <w:rFonts w:ascii="Times New Roman" w:eastAsia="Times New Roman" w:hAnsi="Times New Roman" w:cs="Times New Roman"/>
      <w:lang w:val="fr-FR"/>
    </w:rPr>
  </w:style>
  <w:style w:type="character" w:customStyle="1" w:styleId="apple-converted-space">
    <w:name w:val="apple-converted-space"/>
    <w:basedOn w:val="Policepardfaut"/>
    <w:rsid w:val="00C84931"/>
  </w:style>
  <w:style w:type="paragraph" w:customStyle="1" w:styleId="Els-body-text">
    <w:name w:val="Els-body-text"/>
    <w:rsid w:val="00C84931"/>
    <w:pPr>
      <w:widowControl/>
      <w:autoSpaceDE/>
      <w:autoSpaceDN/>
      <w:spacing w:line="230" w:lineRule="exact"/>
      <w:ind w:firstLine="238"/>
      <w:jc w:val="both"/>
    </w:pPr>
    <w:rPr>
      <w:rFonts w:ascii="Times New Roman" w:eastAsia="SimSun" w:hAnsi="Times New Roman" w:cs="Times New Roman"/>
      <w:sz w:val="16"/>
      <w:szCs w:val="20"/>
    </w:rPr>
  </w:style>
  <w:style w:type="character" w:styleId="Lienhypertextesuivivisit">
    <w:name w:val="FollowedHyperlink"/>
    <w:basedOn w:val="Policepardfaut"/>
    <w:uiPriority w:val="99"/>
    <w:semiHidden/>
    <w:unhideWhenUsed/>
    <w:rsid w:val="003C4BD7"/>
    <w:rPr>
      <w:color w:val="800080" w:themeColor="followedHyperlink"/>
      <w:u w:val="single"/>
    </w:rPr>
  </w:style>
  <w:style w:type="table" w:styleId="Grilledutableau">
    <w:name w:val="Table Grid"/>
    <w:basedOn w:val="TableauNormal"/>
    <w:uiPriority w:val="59"/>
    <w:rsid w:val="00561B49"/>
    <w:pPr>
      <w:widowControl/>
      <w:autoSpaceDE/>
      <w:autoSpaceDN/>
    </w:pPr>
    <w:rPr>
      <w:rFonts w:ascii="Times New Roman" w:eastAsia="SimSun" w:hAnsi="Times New Roman" w:cs="Times New Roman"/>
      <w:sz w:val="20"/>
      <w:szCs w:val="20"/>
      <w:lang w:val="en-IN"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unning-head">
    <w:name w:val="Running-head"/>
    <w:basedOn w:val="En-tte"/>
    <w:qFormat/>
    <w:rsid w:val="00561B49"/>
    <w:pPr>
      <w:widowControl/>
      <w:tabs>
        <w:tab w:val="clear" w:pos="4680"/>
        <w:tab w:val="clear" w:pos="9360"/>
        <w:tab w:val="center" w:pos="4706"/>
        <w:tab w:val="center" w:pos="4920"/>
        <w:tab w:val="right" w:pos="9356"/>
      </w:tabs>
      <w:autoSpaceDE/>
      <w:autoSpaceDN/>
      <w:spacing w:after="80" w:line="200" w:lineRule="exact"/>
      <w:jc w:val="center"/>
    </w:pPr>
    <w:rPr>
      <w:rFonts w:eastAsia="SimSun"/>
      <w:smallCaps/>
      <w:noProof/>
      <w:sz w:val="14"/>
      <w:szCs w:val="20"/>
      <w:lang w:val="en-US"/>
    </w:rPr>
  </w:style>
  <w:style w:type="paragraph" w:customStyle="1" w:styleId="Els-Affiliation">
    <w:name w:val="Els-Affiliation"/>
    <w:next w:val="Normal"/>
    <w:autoRedefine/>
    <w:rsid w:val="00561B49"/>
    <w:pPr>
      <w:widowControl/>
      <w:pBdr>
        <w:bottom w:val="single" w:sz="2" w:space="1" w:color="auto"/>
      </w:pBdr>
      <w:suppressAutoHyphens/>
      <w:autoSpaceDE/>
      <w:autoSpaceDN/>
      <w:spacing w:line="230" w:lineRule="exact"/>
    </w:pPr>
    <w:rPr>
      <w:rFonts w:ascii="Times New Roman" w:eastAsia="SimSun" w:hAnsi="Times New Roman" w:cs="Times New Roman"/>
      <w:i/>
      <w:noProof/>
      <w:sz w:val="16"/>
      <w:szCs w:val="20"/>
    </w:rPr>
  </w:style>
  <w:style w:type="paragraph" w:customStyle="1" w:styleId="Els-Title">
    <w:name w:val="Els-Title"/>
    <w:next w:val="Normal"/>
    <w:autoRedefine/>
    <w:rsid w:val="002C5FD9"/>
    <w:pPr>
      <w:widowControl/>
      <w:suppressAutoHyphens/>
      <w:autoSpaceDE/>
      <w:autoSpaceDN/>
      <w:spacing w:after="340" w:line="440" w:lineRule="exact"/>
      <w:jc w:val="both"/>
    </w:pPr>
    <w:rPr>
      <w:rFonts w:ascii="Times New Roman" w:eastAsia="SimSun" w:hAnsi="Times New Roman" w:cs="Times New Roman"/>
      <w:b/>
      <w:sz w:val="32"/>
      <w:szCs w:val="32"/>
    </w:rPr>
  </w:style>
  <w:style w:type="paragraph" w:customStyle="1" w:styleId="DocHead">
    <w:name w:val="DocHead"/>
    <w:rsid w:val="00561B49"/>
    <w:pPr>
      <w:widowControl/>
      <w:autoSpaceDE/>
      <w:autoSpaceDN/>
      <w:spacing w:before="190" w:after="280" w:line="240" w:lineRule="exact"/>
    </w:pPr>
    <w:rPr>
      <w:rFonts w:ascii="Times New Roman" w:eastAsia="SimSun" w:hAnsi="Times New Roman" w:cs="Times New Roman"/>
      <w:b/>
      <w:sz w:val="24"/>
      <w:szCs w:val="20"/>
    </w:rPr>
  </w:style>
  <w:style w:type="paragraph" w:customStyle="1" w:styleId="Els-Abstract-text">
    <w:name w:val="Els-Abstract-text"/>
    <w:next w:val="Normal"/>
    <w:rsid w:val="00561B49"/>
    <w:pPr>
      <w:widowControl/>
      <w:pBdr>
        <w:top w:val="single" w:sz="4" w:space="1" w:color="auto"/>
      </w:pBdr>
      <w:autoSpaceDE/>
      <w:autoSpaceDN/>
      <w:spacing w:before="200" w:line="220" w:lineRule="exact"/>
      <w:jc w:val="both"/>
    </w:pPr>
    <w:rPr>
      <w:rFonts w:ascii="Times New Roman" w:eastAsia="SimSun" w:hAnsi="Times New Roman" w:cs="Times New Roman"/>
      <w:sz w:val="15"/>
      <w:szCs w:val="20"/>
    </w:rPr>
  </w:style>
  <w:style w:type="paragraph" w:customStyle="1" w:styleId="Els-1storder-head">
    <w:name w:val="Els-1storder-head"/>
    <w:next w:val="Els-body-text"/>
    <w:rsid w:val="00561B49"/>
    <w:pPr>
      <w:keepNext/>
      <w:widowControl/>
      <w:numPr>
        <w:numId w:val="16"/>
      </w:numPr>
      <w:pBdr>
        <w:top w:val="single" w:sz="18" w:space="1" w:color="auto"/>
      </w:pBdr>
      <w:suppressAutoHyphens/>
      <w:autoSpaceDE/>
      <w:autoSpaceDN/>
      <w:spacing w:before="230" w:after="230" w:line="230" w:lineRule="exact"/>
    </w:pPr>
    <w:rPr>
      <w:rFonts w:ascii="Times New Roman" w:eastAsia="SimSun" w:hAnsi="Times New Roman" w:cs="Times New Roman"/>
      <w:b/>
      <w:sz w:val="19"/>
      <w:szCs w:val="20"/>
    </w:rPr>
  </w:style>
  <w:style w:type="paragraph" w:customStyle="1" w:styleId="Els-2ndorder-head">
    <w:name w:val="Els-2ndorder-head"/>
    <w:next w:val="Els-body-text"/>
    <w:rsid w:val="00561B49"/>
    <w:pPr>
      <w:keepNext/>
      <w:widowControl/>
      <w:numPr>
        <w:ilvl w:val="1"/>
        <w:numId w:val="16"/>
      </w:numPr>
      <w:suppressAutoHyphens/>
      <w:autoSpaceDE/>
      <w:autoSpaceDN/>
      <w:spacing w:before="230" w:after="230" w:line="230" w:lineRule="exact"/>
    </w:pPr>
    <w:rPr>
      <w:rFonts w:ascii="Times New Roman" w:eastAsia="SimSun" w:hAnsi="Times New Roman" w:cs="Times New Roman"/>
      <w:b/>
      <w:i/>
      <w:sz w:val="17"/>
      <w:szCs w:val="20"/>
    </w:rPr>
  </w:style>
  <w:style w:type="paragraph" w:customStyle="1" w:styleId="Els-3rdorder-head">
    <w:name w:val="Els-3rdorder-head"/>
    <w:next w:val="Els-body-text"/>
    <w:rsid w:val="00561B49"/>
    <w:pPr>
      <w:keepNext/>
      <w:widowControl/>
      <w:numPr>
        <w:ilvl w:val="2"/>
        <w:numId w:val="16"/>
      </w:numPr>
      <w:suppressAutoHyphens/>
      <w:autoSpaceDE/>
      <w:autoSpaceDN/>
      <w:spacing w:before="240" w:line="240" w:lineRule="exact"/>
    </w:pPr>
    <w:rPr>
      <w:rFonts w:ascii="Times New Roman" w:eastAsia="SimSun" w:hAnsi="Times New Roman" w:cs="Times New Roman"/>
      <w:i/>
      <w:sz w:val="20"/>
      <w:szCs w:val="20"/>
    </w:rPr>
  </w:style>
  <w:style w:type="paragraph" w:customStyle="1" w:styleId="Els-4thorder-head">
    <w:name w:val="Els-4thorder-head"/>
    <w:next w:val="Els-body-text"/>
    <w:rsid w:val="00561B49"/>
    <w:pPr>
      <w:keepNext/>
      <w:widowControl/>
      <w:numPr>
        <w:ilvl w:val="3"/>
        <w:numId w:val="16"/>
      </w:numPr>
      <w:suppressAutoHyphens/>
      <w:autoSpaceDE/>
      <w:autoSpaceDN/>
      <w:spacing w:before="240" w:line="240" w:lineRule="exact"/>
    </w:pPr>
    <w:rPr>
      <w:rFonts w:ascii="Times New Roman" w:eastAsia="SimSun" w:hAnsi="Times New Roman" w:cs="Times New Roman"/>
      <w:i/>
      <w:sz w:val="20"/>
      <w:szCs w:val="20"/>
    </w:rPr>
  </w:style>
  <w:style w:type="paragraph" w:customStyle="1" w:styleId="p">
    <w:name w:val="p"/>
    <w:basedOn w:val="Normal"/>
    <w:rsid w:val="00561B49"/>
    <w:pPr>
      <w:widowControl/>
      <w:autoSpaceDE/>
      <w:autoSpaceDN/>
      <w:spacing w:before="100" w:beforeAutospacing="1" w:after="100" w:afterAutospacing="1"/>
    </w:pPr>
    <w:rPr>
      <w:sz w:val="24"/>
      <w:szCs w:val="24"/>
      <w:lang w:val="en-US"/>
    </w:rPr>
  </w:style>
  <w:style w:type="table" w:customStyle="1" w:styleId="Grilledutableau1">
    <w:name w:val="Grille du tableau1"/>
    <w:basedOn w:val="TableauNormal"/>
    <w:next w:val="Grilledutableau"/>
    <w:uiPriority w:val="59"/>
    <w:rsid w:val="00616635"/>
    <w:pPr>
      <w:widowControl/>
      <w:autoSpaceDE/>
      <w:autoSpaceDN/>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22566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hyperlink" Target="https://www.atrss.dz/ajhs" TargetMode="External"/><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hyperlink" Target="https://www.atrss.dz/ajhs" TargetMode="External"/><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130DA8-3003-0B4E-9656-23A4A12BB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6551</Words>
  <Characters>36034</Characters>
  <Application>Microsoft Office Word</Application>
  <DocSecurity>0</DocSecurity>
  <Lines>300</Lines>
  <Paragraphs>84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BelkaInfo</dc:creator>
  <cp:lastModifiedBy>Microsoft Office User</cp:lastModifiedBy>
  <cp:revision>2</cp:revision>
  <cp:lastPrinted>2020-09-26T20:00:00Z</cp:lastPrinted>
  <dcterms:created xsi:type="dcterms:W3CDTF">2022-12-15T12:14:00Z</dcterms:created>
  <dcterms:modified xsi:type="dcterms:W3CDTF">2022-12-15T12:14:00Z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2020-04-26T00:00:00Z</vt:filetime>
  </property>
  <property fmtid="{D5CDD505-2E9C-101B-9397-08002B2CF9AE}" pid="3" name="Creator">
    <vt:lpwstr>PDFium</vt:lpwstr>
  </property>
  <property fmtid="{D5CDD505-2E9C-101B-9397-08002B2CF9AE}" pid="4" name="LastSaved">
    <vt:filetime>2020-05-06T00:00:00Z</vt:filetime>
  </property>
</Properties>
</file>