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F8FEF" w14:textId="7DC100D3" w:rsidR="00E65791" w:rsidRPr="002A4FC0" w:rsidRDefault="00720CF7">
      <w:pPr>
        <w:rPr>
          <w:rFonts w:cstheme="minorHAnsi"/>
          <w:b/>
          <w:sz w:val="24"/>
          <w:szCs w:val="20"/>
        </w:rPr>
      </w:pPr>
      <w:r>
        <w:rPr>
          <w:rFonts w:cstheme="minorHAnsi"/>
          <w:b/>
          <w:sz w:val="24"/>
          <w:szCs w:val="20"/>
        </w:rPr>
        <w:t>Birth asphyxia</w:t>
      </w:r>
      <w:r w:rsidR="00B63274" w:rsidRPr="002A4FC0">
        <w:rPr>
          <w:rFonts w:cstheme="minorHAnsi"/>
          <w:b/>
          <w:sz w:val="24"/>
          <w:szCs w:val="20"/>
        </w:rPr>
        <w:t xml:space="preserve"> </w:t>
      </w:r>
      <w:r w:rsidR="00EA2CC9" w:rsidRPr="002A4FC0">
        <w:rPr>
          <w:rFonts w:cstheme="minorHAnsi"/>
          <w:b/>
          <w:sz w:val="24"/>
          <w:szCs w:val="20"/>
        </w:rPr>
        <w:t xml:space="preserve">is </w:t>
      </w:r>
      <w:r>
        <w:rPr>
          <w:rFonts w:cstheme="minorHAnsi"/>
          <w:b/>
          <w:sz w:val="24"/>
          <w:szCs w:val="20"/>
        </w:rPr>
        <w:t>under</w:t>
      </w:r>
      <w:r w:rsidR="00EA2CC9" w:rsidRPr="002A4FC0">
        <w:rPr>
          <w:rFonts w:cstheme="minorHAnsi"/>
          <w:b/>
          <w:sz w:val="24"/>
          <w:szCs w:val="20"/>
        </w:rPr>
        <w:t xml:space="preserve">-rated </w:t>
      </w:r>
      <w:r w:rsidR="00E1072D" w:rsidRPr="002A4FC0">
        <w:rPr>
          <w:rFonts w:cstheme="minorHAnsi"/>
          <w:b/>
          <w:sz w:val="24"/>
          <w:szCs w:val="20"/>
        </w:rPr>
        <w:t xml:space="preserve">as </w:t>
      </w:r>
      <w:r>
        <w:rPr>
          <w:rFonts w:cstheme="minorHAnsi"/>
          <w:b/>
          <w:sz w:val="24"/>
          <w:szCs w:val="20"/>
        </w:rPr>
        <w:t>a</w:t>
      </w:r>
      <w:r w:rsidR="00B63274" w:rsidRPr="002A4FC0">
        <w:rPr>
          <w:rFonts w:cstheme="minorHAnsi"/>
          <w:b/>
          <w:sz w:val="24"/>
          <w:szCs w:val="20"/>
        </w:rPr>
        <w:t xml:space="preserve"> cause of preterm neonatal mortality </w:t>
      </w:r>
      <w:r w:rsidR="00C60C20" w:rsidRPr="002A4FC0">
        <w:rPr>
          <w:rFonts w:cstheme="minorHAnsi"/>
          <w:b/>
          <w:sz w:val="24"/>
          <w:szCs w:val="20"/>
        </w:rPr>
        <w:t>in low</w:t>
      </w:r>
      <w:r w:rsidR="00673825" w:rsidRPr="002A4FC0">
        <w:rPr>
          <w:rFonts w:cstheme="minorHAnsi"/>
          <w:b/>
          <w:sz w:val="24"/>
          <w:szCs w:val="20"/>
        </w:rPr>
        <w:t>-</w:t>
      </w:r>
      <w:r w:rsidR="00C60C20" w:rsidRPr="002A4FC0">
        <w:rPr>
          <w:rFonts w:cstheme="minorHAnsi"/>
          <w:b/>
          <w:sz w:val="24"/>
          <w:szCs w:val="20"/>
        </w:rPr>
        <w:t xml:space="preserve"> and middle</w:t>
      </w:r>
      <w:r w:rsidR="00673825" w:rsidRPr="002A4FC0">
        <w:rPr>
          <w:rFonts w:cstheme="minorHAnsi"/>
          <w:b/>
          <w:sz w:val="24"/>
          <w:szCs w:val="20"/>
        </w:rPr>
        <w:t>-</w:t>
      </w:r>
      <w:r w:rsidR="00C60C20" w:rsidRPr="002A4FC0">
        <w:rPr>
          <w:rFonts w:cstheme="minorHAnsi"/>
          <w:b/>
          <w:sz w:val="24"/>
          <w:szCs w:val="20"/>
        </w:rPr>
        <w:t>income countries</w:t>
      </w:r>
      <w:r w:rsidR="004C54D4">
        <w:rPr>
          <w:rFonts w:cstheme="minorHAnsi"/>
          <w:b/>
          <w:sz w:val="24"/>
          <w:szCs w:val="20"/>
        </w:rPr>
        <w:t xml:space="preserve">: A prospective, observational study from </w:t>
      </w:r>
      <w:proofErr w:type="spellStart"/>
      <w:r w:rsidR="004C54D4">
        <w:rPr>
          <w:rFonts w:cstheme="minorHAnsi"/>
          <w:b/>
          <w:sz w:val="24"/>
          <w:szCs w:val="20"/>
        </w:rPr>
        <w:t>PURPOSe</w:t>
      </w:r>
      <w:proofErr w:type="spellEnd"/>
    </w:p>
    <w:p w14:paraId="676FF9FE" w14:textId="58D363CD" w:rsidR="008F2BB8" w:rsidRPr="002A4FC0" w:rsidRDefault="008F2BB8" w:rsidP="008F2BB8">
      <w:pPr>
        <w:rPr>
          <w:rFonts w:cstheme="minorHAnsi"/>
          <w:bCs/>
          <w:szCs w:val="18"/>
        </w:rPr>
      </w:pPr>
      <w:r w:rsidRPr="002A4FC0">
        <w:rPr>
          <w:rFonts w:cstheme="minorHAnsi"/>
          <w:bCs/>
          <w:szCs w:val="18"/>
        </w:rPr>
        <w:t>Robert L Goldenberg, MD</w:t>
      </w:r>
      <w:r w:rsidRPr="002A4FC0">
        <w:rPr>
          <w:rFonts w:cstheme="minorHAnsi"/>
          <w:bCs/>
          <w:szCs w:val="18"/>
          <w:vertAlign w:val="superscript"/>
        </w:rPr>
        <w:t>1</w:t>
      </w:r>
      <w:r w:rsidRPr="002A4FC0">
        <w:rPr>
          <w:rFonts w:cstheme="minorHAnsi"/>
          <w:bCs/>
          <w:szCs w:val="18"/>
        </w:rPr>
        <w:t xml:space="preserve">,  </w:t>
      </w:r>
      <w:r w:rsidR="00673825" w:rsidRPr="002A4FC0">
        <w:rPr>
          <w:rFonts w:cstheme="minorHAnsi"/>
          <w:bCs/>
          <w:szCs w:val="18"/>
        </w:rPr>
        <w:t>Sangappa Dhaded, MD, DM</w:t>
      </w:r>
      <w:r w:rsidR="00673825" w:rsidRPr="002A4FC0">
        <w:rPr>
          <w:rFonts w:cstheme="minorHAnsi"/>
          <w:bCs/>
          <w:szCs w:val="18"/>
          <w:vertAlign w:val="superscript"/>
        </w:rPr>
        <w:t>2</w:t>
      </w:r>
      <w:r w:rsidR="00673825" w:rsidRPr="002A4FC0">
        <w:rPr>
          <w:rFonts w:cstheme="minorHAnsi"/>
          <w:bCs/>
          <w:szCs w:val="18"/>
        </w:rPr>
        <w:t>, Sarah Saleem, MBBS, DCH, FCPS</w:t>
      </w:r>
      <w:r w:rsidR="00673825" w:rsidRPr="002A4FC0">
        <w:rPr>
          <w:rFonts w:cstheme="minorHAnsi"/>
          <w:bCs/>
          <w:szCs w:val="18"/>
          <w:vertAlign w:val="superscript"/>
        </w:rPr>
        <w:t>3</w:t>
      </w:r>
      <w:r w:rsidR="00673825" w:rsidRPr="002A4FC0">
        <w:rPr>
          <w:rFonts w:cstheme="minorHAnsi"/>
          <w:bCs/>
          <w:szCs w:val="18"/>
        </w:rPr>
        <w:t>, Shivaprasad S Goudar, MD, MHPE</w:t>
      </w:r>
      <w:r w:rsidR="00673825" w:rsidRPr="002A4FC0">
        <w:rPr>
          <w:rFonts w:cstheme="minorHAnsi"/>
          <w:bCs/>
          <w:szCs w:val="18"/>
          <w:vertAlign w:val="superscript"/>
        </w:rPr>
        <w:t>2</w:t>
      </w:r>
      <w:r w:rsidR="00673825" w:rsidRPr="002A4FC0">
        <w:rPr>
          <w:rFonts w:cstheme="minorHAnsi"/>
          <w:bCs/>
          <w:szCs w:val="18"/>
        </w:rPr>
        <w:t xml:space="preserve">, </w:t>
      </w:r>
      <w:proofErr w:type="spellStart"/>
      <w:r w:rsidRPr="002A4FC0">
        <w:rPr>
          <w:rFonts w:cstheme="minorHAnsi"/>
          <w:bCs/>
          <w:szCs w:val="18"/>
        </w:rPr>
        <w:t>Shiyam</w:t>
      </w:r>
      <w:proofErr w:type="spellEnd"/>
      <w:r w:rsidRPr="002A4FC0">
        <w:rPr>
          <w:rFonts w:cstheme="minorHAnsi"/>
          <w:bCs/>
          <w:szCs w:val="18"/>
        </w:rPr>
        <w:t xml:space="preserve"> Sunder </w:t>
      </w:r>
      <w:proofErr w:type="spellStart"/>
      <w:r w:rsidRPr="002A4FC0">
        <w:rPr>
          <w:rFonts w:cstheme="minorHAnsi"/>
          <w:bCs/>
          <w:szCs w:val="18"/>
        </w:rPr>
        <w:t>Tikmani</w:t>
      </w:r>
      <w:proofErr w:type="spellEnd"/>
      <w:r w:rsidRPr="002A4FC0">
        <w:rPr>
          <w:rFonts w:cstheme="minorHAnsi"/>
          <w:bCs/>
          <w:szCs w:val="18"/>
        </w:rPr>
        <w:t>, MBBS</w:t>
      </w:r>
      <w:r w:rsidR="00673825" w:rsidRPr="002A4FC0">
        <w:rPr>
          <w:rFonts w:cstheme="minorHAnsi"/>
          <w:bCs/>
          <w:szCs w:val="18"/>
          <w:vertAlign w:val="superscript"/>
        </w:rPr>
        <w:t>3</w:t>
      </w:r>
      <w:r w:rsidRPr="002A4FC0">
        <w:rPr>
          <w:rFonts w:cstheme="minorHAnsi"/>
          <w:bCs/>
          <w:szCs w:val="18"/>
        </w:rPr>
        <w:t xml:space="preserve">, </w:t>
      </w:r>
      <w:r w:rsidR="00673825" w:rsidRPr="002A4FC0">
        <w:rPr>
          <w:rFonts w:cstheme="minorHAnsi"/>
          <w:bCs/>
          <w:szCs w:val="18"/>
        </w:rPr>
        <w:t>Marissa Trotta, MS</w:t>
      </w:r>
      <w:r w:rsidR="00673825" w:rsidRPr="002A4FC0">
        <w:rPr>
          <w:rFonts w:cstheme="minorHAnsi"/>
          <w:bCs/>
          <w:szCs w:val="18"/>
          <w:vertAlign w:val="superscript"/>
        </w:rPr>
        <w:t>4</w:t>
      </w:r>
      <w:r w:rsidR="00673825" w:rsidRPr="002A4FC0">
        <w:rPr>
          <w:rFonts w:cstheme="minorHAnsi"/>
          <w:bCs/>
          <w:szCs w:val="18"/>
        </w:rPr>
        <w:t xml:space="preserve">, </w:t>
      </w:r>
      <w:r w:rsidRPr="002A4FC0">
        <w:rPr>
          <w:rFonts w:cstheme="minorHAnsi"/>
          <w:bCs/>
          <w:szCs w:val="18"/>
        </w:rPr>
        <w:t xml:space="preserve">Kay </w:t>
      </w:r>
      <w:r w:rsidR="00B31D88">
        <w:rPr>
          <w:rFonts w:cstheme="minorHAnsi"/>
          <w:bCs/>
          <w:szCs w:val="18"/>
        </w:rPr>
        <w:t>Hwang Jackson</w:t>
      </w:r>
      <w:r w:rsidRPr="002A4FC0">
        <w:rPr>
          <w:rFonts w:cstheme="minorHAnsi"/>
          <w:bCs/>
          <w:szCs w:val="18"/>
        </w:rPr>
        <w:t>, BS</w:t>
      </w:r>
      <w:r w:rsidRPr="002A4FC0">
        <w:rPr>
          <w:rFonts w:cstheme="minorHAnsi"/>
          <w:bCs/>
          <w:szCs w:val="18"/>
          <w:vertAlign w:val="superscript"/>
        </w:rPr>
        <w:t>4</w:t>
      </w:r>
      <w:r w:rsidRPr="002A4FC0">
        <w:rPr>
          <w:rFonts w:cstheme="minorHAnsi"/>
          <w:bCs/>
          <w:szCs w:val="18"/>
        </w:rPr>
        <w:t>, Gowder Guruprasad, MD, DM</w:t>
      </w:r>
      <w:r w:rsidRPr="002A4FC0">
        <w:rPr>
          <w:rFonts w:cstheme="minorHAnsi"/>
          <w:bCs/>
          <w:szCs w:val="18"/>
          <w:vertAlign w:val="superscript"/>
        </w:rPr>
        <w:t>5</w:t>
      </w:r>
      <w:r w:rsidRPr="002A4FC0">
        <w:rPr>
          <w:rFonts w:cstheme="minorHAnsi"/>
          <w:bCs/>
          <w:szCs w:val="18"/>
        </w:rPr>
        <w:t xml:space="preserve">, </w:t>
      </w:r>
      <w:r w:rsidR="00BE4B89" w:rsidRPr="002A4FC0">
        <w:rPr>
          <w:rFonts w:cstheme="minorHAnsi"/>
          <w:bCs/>
          <w:szCs w:val="18"/>
        </w:rPr>
        <w:t>Vardendra Kulkarni, MD</w:t>
      </w:r>
      <w:r w:rsidR="00BE4B89" w:rsidRPr="002A4FC0">
        <w:rPr>
          <w:rFonts w:cstheme="minorHAnsi"/>
          <w:bCs/>
          <w:szCs w:val="18"/>
          <w:vertAlign w:val="superscript"/>
        </w:rPr>
        <w:t>5</w:t>
      </w:r>
      <w:r w:rsidR="00BE4B89" w:rsidRPr="002A4FC0">
        <w:rPr>
          <w:rFonts w:cstheme="minorHAnsi"/>
          <w:bCs/>
          <w:szCs w:val="18"/>
        </w:rPr>
        <w:t>, Sunil Kumar MD</w:t>
      </w:r>
      <w:r w:rsidR="00BE4B89" w:rsidRPr="002A4FC0">
        <w:rPr>
          <w:rFonts w:cstheme="minorHAnsi"/>
          <w:bCs/>
          <w:szCs w:val="18"/>
          <w:vertAlign w:val="superscript"/>
        </w:rPr>
        <w:t>5</w:t>
      </w:r>
      <w:r w:rsidR="00BE4B89" w:rsidRPr="002A4FC0">
        <w:rPr>
          <w:rFonts w:cstheme="minorHAnsi"/>
          <w:bCs/>
          <w:szCs w:val="18"/>
        </w:rPr>
        <w:t xml:space="preserve">, </w:t>
      </w:r>
      <w:proofErr w:type="spellStart"/>
      <w:r w:rsidR="00BE4B89" w:rsidRPr="002A4FC0">
        <w:rPr>
          <w:rFonts w:cstheme="minorHAnsi"/>
          <w:bCs/>
          <w:szCs w:val="18"/>
        </w:rPr>
        <w:t>Zeesham</w:t>
      </w:r>
      <w:proofErr w:type="spellEnd"/>
      <w:r w:rsidR="00BE4B89" w:rsidRPr="002A4FC0">
        <w:rPr>
          <w:rFonts w:cstheme="minorHAnsi"/>
          <w:bCs/>
          <w:szCs w:val="18"/>
        </w:rPr>
        <w:t xml:space="preserve"> Uddin, MD</w:t>
      </w:r>
      <w:r w:rsidR="00BE4B89" w:rsidRPr="002A4FC0">
        <w:rPr>
          <w:rFonts w:cstheme="minorHAnsi"/>
          <w:bCs/>
          <w:szCs w:val="18"/>
          <w:vertAlign w:val="superscript"/>
        </w:rPr>
        <w:t>3</w:t>
      </w:r>
      <w:r w:rsidR="00BE4B89" w:rsidRPr="002A4FC0">
        <w:rPr>
          <w:rFonts w:cstheme="minorHAnsi"/>
          <w:bCs/>
          <w:szCs w:val="18"/>
        </w:rPr>
        <w:t xml:space="preserve">, </w:t>
      </w:r>
      <w:r w:rsidRPr="002A4FC0">
        <w:rPr>
          <w:rFonts w:cstheme="minorHAnsi"/>
          <w:bCs/>
          <w:szCs w:val="18"/>
        </w:rPr>
        <w:t>Sayyeda Reza, MBBS</w:t>
      </w:r>
      <w:r w:rsidR="00D40F16" w:rsidRPr="002A4FC0">
        <w:rPr>
          <w:rFonts w:cstheme="minorHAnsi"/>
          <w:bCs/>
          <w:szCs w:val="18"/>
          <w:vertAlign w:val="superscript"/>
        </w:rPr>
        <w:t>3</w:t>
      </w:r>
      <w:r w:rsidRPr="002A4FC0">
        <w:rPr>
          <w:rFonts w:cstheme="minorHAnsi"/>
          <w:bCs/>
          <w:szCs w:val="18"/>
        </w:rPr>
        <w:t>, Jamal Raza, MD</w:t>
      </w:r>
      <w:r w:rsidR="00D40F16" w:rsidRPr="002A4FC0">
        <w:rPr>
          <w:rFonts w:cstheme="minorHAnsi"/>
          <w:bCs/>
          <w:szCs w:val="18"/>
          <w:vertAlign w:val="superscript"/>
        </w:rPr>
        <w:t>6</w:t>
      </w:r>
      <w:r w:rsidRPr="002A4FC0">
        <w:rPr>
          <w:rFonts w:cstheme="minorHAnsi"/>
          <w:bCs/>
          <w:szCs w:val="18"/>
        </w:rPr>
        <w:t xml:space="preserve">, </w:t>
      </w:r>
      <w:proofErr w:type="spellStart"/>
      <w:r w:rsidRPr="002A4FC0">
        <w:rPr>
          <w:rFonts w:cstheme="minorHAnsi"/>
          <w:bCs/>
          <w:szCs w:val="18"/>
        </w:rPr>
        <w:t>Haleema</w:t>
      </w:r>
      <w:proofErr w:type="spellEnd"/>
      <w:r w:rsidRPr="002A4FC0">
        <w:rPr>
          <w:rFonts w:cstheme="minorHAnsi"/>
          <w:bCs/>
          <w:szCs w:val="18"/>
        </w:rPr>
        <w:t xml:space="preserve"> Yasmin, MD</w:t>
      </w:r>
      <w:r w:rsidR="00D40F16" w:rsidRPr="002A4FC0">
        <w:rPr>
          <w:rFonts w:cstheme="minorHAnsi"/>
          <w:bCs/>
          <w:szCs w:val="18"/>
          <w:vertAlign w:val="superscript"/>
        </w:rPr>
        <w:t>7</w:t>
      </w:r>
      <w:r w:rsidRPr="002A4FC0">
        <w:rPr>
          <w:rFonts w:cstheme="minorHAnsi"/>
          <w:bCs/>
          <w:szCs w:val="18"/>
        </w:rPr>
        <w:t xml:space="preserve">, S. </w:t>
      </w:r>
      <w:proofErr w:type="spellStart"/>
      <w:r w:rsidRPr="002A4FC0">
        <w:rPr>
          <w:rFonts w:cstheme="minorHAnsi"/>
          <w:bCs/>
          <w:szCs w:val="18"/>
        </w:rPr>
        <w:t>Yogeshkumar</w:t>
      </w:r>
      <w:proofErr w:type="spellEnd"/>
      <w:r w:rsidRPr="002A4FC0">
        <w:rPr>
          <w:rFonts w:cstheme="minorHAnsi"/>
          <w:bCs/>
          <w:szCs w:val="18"/>
        </w:rPr>
        <w:t>, MD</w:t>
      </w:r>
      <w:r w:rsidR="00D40F16" w:rsidRPr="002A4FC0">
        <w:rPr>
          <w:rFonts w:cstheme="minorHAnsi"/>
          <w:bCs/>
          <w:szCs w:val="18"/>
          <w:vertAlign w:val="superscript"/>
        </w:rPr>
        <w:t>2</w:t>
      </w:r>
      <w:r w:rsidRPr="002A4FC0">
        <w:rPr>
          <w:rFonts w:cstheme="minorHAnsi"/>
          <w:bCs/>
          <w:szCs w:val="18"/>
        </w:rPr>
        <w:t xml:space="preserve">, Manjunath S. </w:t>
      </w:r>
      <w:proofErr w:type="spellStart"/>
      <w:r w:rsidRPr="002A4FC0">
        <w:rPr>
          <w:rFonts w:cstheme="minorHAnsi"/>
          <w:bCs/>
          <w:szCs w:val="18"/>
        </w:rPr>
        <w:t>Somannavar</w:t>
      </w:r>
      <w:proofErr w:type="spellEnd"/>
      <w:r w:rsidRPr="002A4FC0">
        <w:rPr>
          <w:rFonts w:cstheme="minorHAnsi"/>
          <w:bCs/>
          <w:szCs w:val="18"/>
        </w:rPr>
        <w:t>, MD</w:t>
      </w:r>
      <w:r w:rsidR="00D40F16" w:rsidRPr="002A4FC0">
        <w:rPr>
          <w:rFonts w:cstheme="minorHAnsi"/>
          <w:bCs/>
          <w:szCs w:val="18"/>
          <w:vertAlign w:val="superscript"/>
        </w:rPr>
        <w:t>2</w:t>
      </w:r>
      <w:r w:rsidR="0013024F" w:rsidRPr="002A4FC0">
        <w:rPr>
          <w:rFonts w:cstheme="minorHAnsi"/>
          <w:bCs/>
          <w:szCs w:val="18"/>
        </w:rPr>
        <w:t xml:space="preserve"> </w:t>
      </w:r>
      <w:r w:rsidRPr="002A4FC0">
        <w:rPr>
          <w:rFonts w:cstheme="minorHAnsi"/>
          <w:bCs/>
          <w:szCs w:val="18"/>
        </w:rPr>
        <w:t>Anna Aceituno, MSPH</w:t>
      </w:r>
      <w:r w:rsidRPr="002A4FC0">
        <w:rPr>
          <w:rFonts w:cstheme="minorHAnsi"/>
          <w:bCs/>
          <w:szCs w:val="18"/>
          <w:vertAlign w:val="superscript"/>
        </w:rPr>
        <w:t>4</w:t>
      </w:r>
      <w:r w:rsidRPr="002A4FC0">
        <w:rPr>
          <w:rFonts w:cstheme="minorHAnsi"/>
          <w:bCs/>
          <w:szCs w:val="18"/>
        </w:rPr>
        <w:t>, Lindsay Parlberg, BS</w:t>
      </w:r>
      <w:r w:rsidRPr="002A4FC0">
        <w:rPr>
          <w:rFonts w:cstheme="minorHAnsi"/>
          <w:bCs/>
          <w:szCs w:val="18"/>
          <w:vertAlign w:val="superscript"/>
        </w:rPr>
        <w:t>4</w:t>
      </w:r>
      <w:r w:rsidRPr="002A4FC0">
        <w:rPr>
          <w:rFonts w:cstheme="minorHAnsi"/>
          <w:bCs/>
          <w:szCs w:val="18"/>
        </w:rPr>
        <w:t>, Robert M. Silver, MD</w:t>
      </w:r>
      <w:r w:rsidRPr="002A4FC0">
        <w:rPr>
          <w:rFonts w:cstheme="minorHAnsi"/>
          <w:bCs/>
          <w:szCs w:val="18"/>
          <w:vertAlign w:val="superscript"/>
        </w:rPr>
        <w:t>8</w:t>
      </w:r>
      <w:r w:rsidRPr="002A4FC0">
        <w:rPr>
          <w:rFonts w:cstheme="minorHAnsi"/>
          <w:bCs/>
          <w:szCs w:val="18"/>
        </w:rPr>
        <w:t xml:space="preserve"> and Elizabeth M McClure, PhD</w:t>
      </w:r>
      <w:r w:rsidRPr="002A4FC0">
        <w:rPr>
          <w:rFonts w:cstheme="minorHAnsi"/>
          <w:bCs/>
          <w:szCs w:val="18"/>
          <w:vertAlign w:val="superscript"/>
        </w:rPr>
        <w:t>4</w:t>
      </w:r>
      <w:r w:rsidRPr="002A4FC0">
        <w:rPr>
          <w:rFonts w:cstheme="minorHAnsi"/>
          <w:bCs/>
          <w:szCs w:val="18"/>
        </w:rPr>
        <w:t xml:space="preserve"> on behalf of the </w:t>
      </w:r>
      <w:proofErr w:type="spellStart"/>
      <w:r w:rsidRPr="002A4FC0">
        <w:rPr>
          <w:rFonts w:cstheme="minorHAnsi"/>
          <w:bCs/>
          <w:szCs w:val="18"/>
        </w:rPr>
        <w:t>PURPOSe</w:t>
      </w:r>
      <w:proofErr w:type="spellEnd"/>
      <w:r w:rsidRPr="002A4FC0">
        <w:rPr>
          <w:rFonts w:cstheme="minorHAnsi"/>
          <w:bCs/>
          <w:szCs w:val="18"/>
        </w:rPr>
        <w:t xml:space="preserve"> Study Group</w:t>
      </w:r>
    </w:p>
    <w:p w14:paraId="20CA2B37" w14:textId="77777777" w:rsidR="008F2BB8" w:rsidRPr="002A4FC0" w:rsidRDefault="008F2BB8" w:rsidP="008F2BB8">
      <w:pPr>
        <w:rPr>
          <w:rFonts w:cstheme="minorHAnsi"/>
          <w:bCs/>
          <w:szCs w:val="18"/>
        </w:rPr>
      </w:pPr>
    </w:p>
    <w:p w14:paraId="66275472" w14:textId="78454C7D" w:rsidR="00D40F16" w:rsidRPr="002A4FC0" w:rsidRDefault="008F2BB8" w:rsidP="00D40F16">
      <w:pPr>
        <w:rPr>
          <w:rFonts w:cstheme="minorHAnsi"/>
          <w:bCs/>
          <w:szCs w:val="18"/>
        </w:rPr>
      </w:pPr>
      <w:r w:rsidRPr="002A4FC0">
        <w:rPr>
          <w:rFonts w:cstheme="minorHAnsi"/>
          <w:bCs/>
          <w:szCs w:val="18"/>
          <w:vertAlign w:val="superscript"/>
        </w:rPr>
        <w:t>1</w:t>
      </w:r>
      <w:r w:rsidRPr="002A4FC0">
        <w:rPr>
          <w:rFonts w:cstheme="minorHAnsi"/>
          <w:bCs/>
          <w:szCs w:val="18"/>
        </w:rPr>
        <w:t>Columbia University, New York, NY</w:t>
      </w:r>
    </w:p>
    <w:p w14:paraId="0DDF8FCE" w14:textId="31AA0C71" w:rsidR="00D40F16" w:rsidRPr="002A4FC0" w:rsidRDefault="00D40F16" w:rsidP="00D40F16">
      <w:pPr>
        <w:rPr>
          <w:rFonts w:cstheme="minorHAnsi"/>
          <w:bCs/>
          <w:szCs w:val="18"/>
        </w:rPr>
      </w:pPr>
      <w:r w:rsidRPr="002A4FC0">
        <w:rPr>
          <w:rFonts w:cstheme="minorHAnsi"/>
          <w:bCs/>
          <w:szCs w:val="18"/>
          <w:vertAlign w:val="superscript"/>
        </w:rPr>
        <w:t>2</w:t>
      </w:r>
      <w:r w:rsidRPr="002A4FC0">
        <w:rPr>
          <w:rFonts w:cstheme="minorHAnsi"/>
          <w:bCs/>
          <w:szCs w:val="18"/>
        </w:rPr>
        <w:t>KLE Academy of Higher Education and Research’s, J N Medical College, Belagavi, Karnataka, India</w:t>
      </w:r>
    </w:p>
    <w:p w14:paraId="362DF052" w14:textId="152B0DD8" w:rsidR="008F2BB8" w:rsidRPr="002A4FC0" w:rsidRDefault="00D40F16" w:rsidP="00D40F16">
      <w:pPr>
        <w:rPr>
          <w:rFonts w:cstheme="minorHAnsi"/>
          <w:bCs/>
          <w:szCs w:val="18"/>
        </w:rPr>
      </w:pPr>
      <w:r w:rsidRPr="002A4FC0">
        <w:rPr>
          <w:rFonts w:cstheme="minorHAnsi"/>
          <w:bCs/>
          <w:szCs w:val="18"/>
          <w:vertAlign w:val="superscript"/>
        </w:rPr>
        <w:t>3</w:t>
      </w:r>
      <w:r w:rsidR="008F2BB8" w:rsidRPr="002A4FC0">
        <w:rPr>
          <w:rFonts w:cstheme="minorHAnsi"/>
          <w:bCs/>
          <w:szCs w:val="18"/>
        </w:rPr>
        <w:t>Aga Khan University, Karachi, Pakistan</w:t>
      </w:r>
    </w:p>
    <w:p w14:paraId="5128C910" w14:textId="79E76C1D" w:rsidR="008F2BB8" w:rsidRPr="002A4FC0" w:rsidRDefault="008F2BB8" w:rsidP="008F2BB8">
      <w:pPr>
        <w:rPr>
          <w:rFonts w:cstheme="minorHAnsi"/>
          <w:bCs/>
          <w:szCs w:val="18"/>
        </w:rPr>
      </w:pPr>
      <w:r w:rsidRPr="002A4FC0">
        <w:rPr>
          <w:rFonts w:cstheme="minorHAnsi"/>
          <w:bCs/>
          <w:szCs w:val="18"/>
          <w:vertAlign w:val="superscript"/>
        </w:rPr>
        <w:t>4</w:t>
      </w:r>
      <w:r w:rsidRPr="002A4FC0">
        <w:rPr>
          <w:rFonts w:cstheme="minorHAnsi"/>
          <w:bCs/>
          <w:szCs w:val="18"/>
        </w:rPr>
        <w:t>RTI International, Durham, NC</w:t>
      </w:r>
    </w:p>
    <w:p w14:paraId="1B6945C5" w14:textId="2840D07B" w:rsidR="008F2BB8" w:rsidRPr="002A4FC0" w:rsidRDefault="008F2BB8" w:rsidP="008F2BB8">
      <w:pPr>
        <w:rPr>
          <w:rFonts w:cstheme="minorHAnsi"/>
          <w:bCs/>
          <w:szCs w:val="18"/>
        </w:rPr>
      </w:pPr>
      <w:r w:rsidRPr="002A4FC0">
        <w:rPr>
          <w:rFonts w:cstheme="minorHAnsi"/>
          <w:bCs/>
          <w:szCs w:val="18"/>
          <w:vertAlign w:val="superscript"/>
        </w:rPr>
        <w:t>5</w:t>
      </w:r>
      <w:r w:rsidRPr="002A4FC0">
        <w:rPr>
          <w:rFonts w:cstheme="minorHAnsi"/>
          <w:bCs/>
          <w:szCs w:val="18"/>
        </w:rPr>
        <w:t xml:space="preserve">Bapuji Educational Association’s J.J.M. Medical College, </w:t>
      </w:r>
      <w:proofErr w:type="spellStart"/>
      <w:r w:rsidRPr="002A4FC0">
        <w:rPr>
          <w:rFonts w:cstheme="minorHAnsi"/>
          <w:bCs/>
          <w:szCs w:val="18"/>
        </w:rPr>
        <w:t>Davangere</w:t>
      </w:r>
      <w:proofErr w:type="spellEnd"/>
      <w:r w:rsidRPr="002A4FC0">
        <w:rPr>
          <w:rFonts w:cstheme="minorHAnsi"/>
          <w:bCs/>
          <w:szCs w:val="18"/>
        </w:rPr>
        <w:t>, Karnataka, India</w:t>
      </w:r>
    </w:p>
    <w:p w14:paraId="30A65116" w14:textId="3D3A0E85" w:rsidR="008F2BB8" w:rsidRPr="002A4FC0" w:rsidRDefault="008F2BB8" w:rsidP="008F2BB8">
      <w:pPr>
        <w:rPr>
          <w:rFonts w:cstheme="minorHAnsi"/>
          <w:bCs/>
          <w:szCs w:val="18"/>
        </w:rPr>
      </w:pPr>
      <w:r w:rsidRPr="002A4FC0">
        <w:rPr>
          <w:rFonts w:cstheme="minorHAnsi"/>
          <w:bCs/>
          <w:szCs w:val="18"/>
          <w:vertAlign w:val="superscript"/>
        </w:rPr>
        <w:t>6</w:t>
      </w:r>
      <w:r w:rsidRPr="002A4FC0">
        <w:rPr>
          <w:rFonts w:cstheme="minorHAnsi"/>
          <w:bCs/>
          <w:szCs w:val="18"/>
        </w:rPr>
        <w:t>National Institute of Child Health, Karachi, Pakistan</w:t>
      </w:r>
    </w:p>
    <w:p w14:paraId="77818D82" w14:textId="313AFCDF" w:rsidR="008F2BB8" w:rsidRPr="002A4FC0" w:rsidRDefault="008F2BB8" w:rsidP="008F2BB8">
      <w:pPr>
        <w:rPr>
          <w:rFonts w:cstheme="minorHAnsi"/>
          <w:bCs/>
          <w:szCs w:val="18"/>
        </w:rPr>
      </w:pPr>
      <w:r w:rsidRPr="002A4FC0">
        <w:rPr>
          <w:rFonts w:cstheme="minorHAnsi"/>
          <w:bCs/>
          <w:szCs w:val="18"/>
          <w:vertAlign w:val="superscript"/>
        </w:rPr>
        <w:t>7</w:t>
      </w:r>
      <w:r w:rsidRPr="002A4FC0">
        <w:rPr>
          <w:rFonts w:cstheme="minorHAnsi"/>
          <w:bCs/>
          <w:szCs w:val="18"/>
        </w:rPr>
        <w:t>Jinnah Postgraduate Medical Centre, Karachi, Pakistan</w:t>
      </w:r>
    </w:p>
    <w:p w14:paraId="401EB03C" w14:textId="111105A1" w:rsidR="008F2BB8" w:rsidRPr="002A4FC0" w:rsidRDefault="008F2BB8" w:rsidP="008F2BB8">
      <w:pPr>
        <w:rPr>
          <w:rFonts w:cstheme="minorHAnsi"/>
          <w:bCs/>
          <w:szCs w:val="18"/>
        </w:rPr>
      </w:pPr>
      <w:r w:rsidRPr="002A4FC0">
        <w:rPr>
          <w:rFonts w:cstheme="minorHAnsi"/>
          <w:bCs/>
          <w:szCs w:val="18"/>
          <w:vertAlign w:val="superscript"/>
        </w:rPr>
        <w:t>8</w:t>
      </w:r>
      <w:r w:rsidRPr="002A4FC0">
        <w:rPr>
          <w:rFonts w:cstheme="minorHAnsi"/>
          <w:bCs/>
          <w:szCs w:val="18"/>
        </w:rPr>
        <w:t>University of Utah School of Medicine, Salt Lake City, UT</w:t>
      </w:r>
    </w:p>
    <w:p w14:paraId="0D54FF6F" w14:textId="77777777" w:rsidR="00EA4F27" w:rsidRPr="002A4FC0" w:rsidRDefault="00EA4F27">
      <w:pPr>
        <w:rPr>
          <w:rFonts w:cstheme="minorHAnsi"/>
          <w:bCs/>
          <w:sz w:val="24"/>
          <w:szCs w:val="20"/>
        </w:rPr>
      </w:pPr>
    </w:p>
    <w:p w14:paraId="4B5920A6" w14:textId="77777777" w:rsidR="00EA4F27" w:rsidRPr="002A4FC0" w:rsidRDefault="00EA4F27">
      <w:pPr>
        <w:rPr>
          <w:rFonts w:cstheme="minorHAnsi"/>
          <w:bCs/>
          <w:sz w:val="24"/>
          <w:szCs w:val="20"/>
        </w:rPr>
      </w:pPr>
      <w:r w:rsidRPr="002A4FC0">
        <w:rPr>
          <w:rFonts w:cstheme="minorHAnsi"/>
          <w:bCs/>
          <w:sz w:val="24"/>
          <w:szCs w:val="20"/>
        </w:rPr>
        <w:t xml:space="preserve">Corresponding author: </w:t>
      </w:r>
    </w:p>
    <w:p w14:paraId="7791D78B" w14:textId="10D80C36" w:rsidR="00EF02CB" w:rsidRPr="002A4FC0" w:rsidRDefault="00EA4F27">
      <w:pPr>
        <w:rPr>
          <w:rFonts w:cstheme="minorHAnsi"/>
          <w:bCs/>
          <w:sz w:val="24"/>
          <w:szCs w:val="20"/>
        </w:rPr>
      </w:pPr>
      <w:r w:rsidRPr="002A4FC0">
        <w:rPr>
          <w:rFonts w:cstheme="minorHAnsi"/>
          <w:bCs/>
          <w:sz w:val="24"/>
          <w:szCs w:val="20"/>
        </w:rPr>
        <w:t>Elizabeth M McClure, PhD</w:t>
      </w:r>
    </w:p>
    <w:p w14:paraId="265BED3F" w14:textId="77777777" w:rsidR="0052644B" w:rsidRPr="002A4FC0" w:rsidRDefault="00EA4F27">
      <w:pPr>
        <w:rPr>
          <w:rFonts w:cstheme="minorHAnsi"/>
          <w:bCs/>
          <w:sz w:val="24"/>
          <w:szCs w:val="20"/>
        </w:rPr>
      </w:pPr>
      <w:r w:rsidRPr="002A4FC0">
        <w:rPr>
          <w:rFonts w:cstheme="minorHAnsi"/>
          <w:bCs/>
          <w:sz w:val="24"/>
          <w:szCs w:val="20"/>
        </w:rPr>
        <w:t>RTI International</w:t>
      </w:r>
    </w:p>
    <w:p w14:paraId="2D1D88E4" w14:textId="60012100" w:rsidR="00EA4F27" w:rsidRPr="002A4FC0" w:rsidRDefault="00EA4F27">
      <w:pPr>
        <w:rPr>
          <w:rFonts w:cstheme="minorHAnsi"/>
          <w:bCs/>
          <w:sz w:val="24"/>
          <w:szCs w:val="20"/>
        </w:rPr>
      </w:pPr>
      <w:r w:rsidRPr="002A4FC0">
        <w:rPr>
          <w:rFonts w:cstheme="minorHAnsi"/>
          <w:bCs/>
          <w:sz w:val="24"/>
          <w:szCs w:val="20"/>
        </w:rPr>
        <w:t>Durham, NC 27709</w:t>
      </w:r>
    </w:p>
    <w:p w14:paraId="67A0B78C" w14:textId="77777777" w:rsidR="008F2BB8" w:rsidRPr="002A4FC0" w:rsidRDefault="008F2BB8">
      <w:pPr>
        <w:rPr>
          <w:rFonts w:eastAsia="Times New Roman" w:cstheme="minorHAnsi"/>
          <w:b/>
          <w:bCs/>
          <w:kern w:val="36"/>
          <w:sz w:val="24"/>
          <w:szCs w:val="24"/>
          <w:lang w:val="en-GB"/>
        </w:rPr>
      </w:pPr>
      <w:r w:rsidRPr="002A4FC0">
        <w:rPr>
          <w:rFonts w:cstheme="minorHAnsi"/>
          <w:szCs w:val="24"/>
          <w:lang w:val="en-GB"/>
        </w:rPr>
        <w:br w:type="page"/>
      </w:r>
    </w:p>
    <w:p w14:paraId="09696918" w14:textId="4BED1859" w:rsidR="00F233D8" w:rsidRPr="002A4FC0" w:rsidRDefault="00F233D8" w:rsidP="00F233D8">
      <w:pPr>
        <w:pStyle w:val="Heading1"/>
        <w:spacing w:before="0" w:beforeAutospacing="0" w:after="0" w:afterAutospacing="0" w:line="360" w:lineRule="auto"/>
        <w:jc w:val="both"/>
        <w:rPr>
          <w:rFonts w:asciiTheme="minorHAnsi" w:hAnsiTheme="minorHAnsi" w:cstheme="minorHAnsi"/>
          <w:sz w:val="22"/>
          <w:szCs w:val="22"/>
          <w:lang w:val="en-GB"/>
        </w:rPr>
      </w:pPr>
      <w:r w:rsidRPr="002A4FC0">
        <w:rPr>
          <w:rFonts w:asciiTheme="minorHAnsi" w:hAnsiTheme="minorHAnsi" w:cstheme="minorHAnsi"/>
          <w:sz w:val="22"/>
          <w:szCs w:val="22"/>
          <w:lang w:val="en-GB"/>
        </w:rPr>
        <w:lastRenderedPageBreak/>
        <w:t xml:space="preserve">Abstract </w:t>
      </w:r>
    </w:p>
    <w:p w14:paraId="6AF4A14A" w14:textId="3CEF081E" w:rsidR="00F233D8" w:rsidRPr="002A4FC0" w:rsidRDefault="00E1072D" w:rsidP="00F233D8">
      <w:pPr>
        <w:spacing w:line="360" w:lineRule="auto"/>
        <w:rPr>
          <w:rFonts w:cstheme="minorHAnsi"/>
          <w:b/>
          <w:bCs/>
          <w:color w:val="000000" w:themeColor="text1"/>
        </w:rPr>
      </w:pPr>
      <w:r w:rsidRPr="002A4FC0">
        <w:rPr>
          <w:rFonts w:cstheme="minorHAnsi"/>
          <w:b/>
          <w:bCs/>
          <w:color w:val="000000" w:themeColor="text1"/>
        </w:rPr>
        <w:t>Objective</w:t>
      </w:r>
      <w:r w:rsidR="00F233D8" w:rsidRPr="002A4FC0">
        <w:rPr>
          <w:rFonts w:cstheme="minorHAnsi"/>
          <w:b/>
          <w:bCs/>
          <w:color w:val="000000" w:themeColor="text1"/>
        </w:rPr>
        <w:t>:</w:t>
      </w:r>
      <w:r w:rsidR="00F233D8" w:rsidRPr="00543D85">
        <w:rPr>
          <w:rFonts w:cstheme="minorHAnsi"/>
          <w:color w:val="000000" w:themeColor="text1"/>
        </w:rPr>
        <w:t xml:space="preserve"> </w:t>
      </w:r>
      <w:r w:rsidR="00543D85">
        <w:rPr>
          <w:rFonts w:cstheme="minorHAnsi"/>
          <w:color w:val="000000" w:themeColor="text1"/>
        </w:rPr>
        <w:t>Among preterm neonatal deaths, t</w:t>
      </w:r>
      <w:r w:rsidR="00D923B1" w:rsidRPr="002A4FC0">
        <w:t xml:space="preserve">o </w:t>
      </w:r>
      <w:r w:rsidR="00543D85">
        <w:t>assess</w:t>
      </w:r>
      <w:r w:rsidR="00D923B1" w:rsidRPr="002A4FC0">
        <w:t xml:space="preserve"> </w:t>
      </w:r>
      <w:r w:rsidR="00D923B1">
        <w:t>respiratory distress syndrome (</w:t>
      </w:r>
      <w:r w:rsidR="0013660B">
        <w:t>RDS)</w:t>
      </w:r>
      <w:r w:rsidR="00D923B1" w:rsidRPr="002A4FC0">
        <w:t xml:space="preserve"> </w:t>
      </w:r>
      <w:r w:rsidR="00543D85">
        <w:t>compared to</w:t>
      </w:r>
      <w:r w:rsidR="00D923B1" w:rsidRPr="002A4FC0">
        <w:t xml:space="preserve"> birth asphyxia </w:t>
      </w:r>
      <w:r w:rsidR="00D923B1">
        <w:t xml:space="preserve">as </w:t>
      </w:r>
      <w:r w:rsidR="00543D85">
        <w:t xml:space="preserve">the </w:t>
      </w:r>
      <w:r w:rsidR="00D923B1">
        <w:t xml:space="preserve">cause of death </w:t>
      </w:r>
      <w:r w:rsidR="00543D85">
        <w:t xml:space="preserve">assigned </w:t>
      </w:r>
      <w:r w:rsidR="00D923B1" w:rsidRPr="002A4FC0">
        <w:t xml:space="preserve">by the </w:t>
      </w:r>
      <w:r w:rsidR="00D923B1" w:rsidRPr="002A4FC0">
        <w:rPr>
          <w:rFonts w:cstheme="minorHAnsi"/>
          <w:bCs/>
          <w:color w:val="000000" w:themeColor="text1"/>
        </w:rPr>
        <w:t xml:space="preserve">neonatal intensive care unit </w:t>
      </w:r>
      <w:r w:rsidR="00D923B1">
        <w:rPr>
          <w:rFonts w:cstheme="minorHAnsi"/>
          <w:bCs/>
          <w:color w:val="000000" w:themeColor="text1"/>
        </w:rPr>
        <w:t>(</w:t>
      </w:r>
      <w:r w:rsidR="00D923B1" w:rsidRPr="002A4FC0">
        <w:t>NICU</w:t>
      </w:r>
      <w:r w:rsidR="00D923B1">
        <w:t>)</w:t>
      </w:r>
      <w:r w:rsidR="00D923B1" w:rsidRPr="002A4FC0">
        <w:t xml:space="preserve"> physician at the time of death </w:t>
      </w:r>
      <w:r w:rsidR="00543D85">
        <w:t>to the</w:t>
      </w:r>
      <w:r w:rsidR="00F424B6">
        <w:t xml:space="preserve"> cause of death</w:t>
      </w:r>
      <w:r w:rsidR="00D923B1" w:rsidRPr="002A4FC0">
        <w:t xml:space="preserve"> </w:t>
      </w:r>
      <w:r w:rsidR="00543D85">
        <w:t xml:space="preserve">assigned </w:t>
      </w:r>
      <w:r w:rsidR="00D923B1" w:rsidRPr="002A4FC0">
        <w:t xml:space="preserve">by a panel </w:t>
      </w:r>
      <w:r w:rsidR="00D923B1">
        <w:t>with</w:t>
      </w:r>
      <w:r w:rsidR="00D923B1" w:rsidRPr="002A4FC0">
        <w:t xml:space="preserve"> </w:t>
      </w:r>
      <w:r w:rsidR="00D923B1">
        <w:t>complete</w:t>
      </w:r>
      <w:r w:rsidR="00D923B1" w:rsidRPr="002A4FC0">
        <w:t xml:space="preserve"> </w:t>
      </w:r>
      <w:r w:rsidR="0013660B">
        <w:t>obstetric history,</w:t>
      </w:r>
      <w:r w:rsidR="00D923B1" w:rsidRPr="002A4FC0">
        <w:t xml:space="preserve"> placenta</w:t>
      </w:r>
      <w:r w:rsidR="00A206CA">
        <w:t>l</w:t>
      </w:r>
      <w:r w:rsidR="00D923B1">
        <w:t xml:space="preserve"> evaluation</w:t>
      </w:r>
      <w:r w:rsidR="00D923B1" w:rsidRPr="002A4FC0">
        <w:t xml:space="preserve">, tissue histology and microbiology. </w:t>
      </w:r>
      <w:r w:rsidR="00F233D8" w:rsidRPr="002A4FC0">
        <w:rPr>
          <w:rFonts w:cstheme="minorHAnsi"/>
          <w:bCs/>
          <w:color w:val="000000" w:themeColor="text1"/>
        </w:rPr>
        <w:t xml:space="preserve"> </w:t>
      </w:r>
    </w:p>
    <w:p w14:paraId="35083CEB" w14:textId="1C3537C7" w:rsidR="00F233D8" w:rsidRPr="002A4FC0" w:rsidRDefault="00F233D8" w:rsidP="00F233D8">
      <w:pPr>
        <w:spacing w:line="360" w:lineRule="auto"/>
        <w:rPr>
          <w:rFonts w:cstheme="minorHAnsi"/>
          <w:b/>
          <w:bCs/>
          <w:color w:val="000000" w:themeColor="text1"/>
        </w:rPr>
      </w:pPr>
      <w:r w:rsidRPr="002A4FC0">
        <w:rPr>
          <w:rFonts w:cstheme="minorHAnsi"/>
          <w:b/>
          <w:bCs/>
          <w:color w:val="000000" w:themeColor="text1"/>
        </w:rPr>
        <w:t xml:space="preserve">Design: </w:t>
      </w:r>
      <w:r w:rsidRPr="002A4FC0">
        <w:rPr>
          <w:rFonts w:cstheme="minorHAnsi"/>
          <w:color w:val="000000" w:themeColor="text1"/>
        </w:rPr>
        <w:t>Prospective, observational study</w:t>
      </w:r>
    </w:p>
    <w:p w14:paraId="16A0F726" w14:textId="227507A7" w:rsidR="00F233D8" w:rsidRPr="002A4FC0" w:rsidRDefault="00F233D8" w:rsidP="00F233D8">
      <w:pPr>
        <w:spacing w:line="360" w:lineRule="auto"/>
        <w:rPr>
          <w:rFonts w:cstheme="minorHAnsi"/>
          <w:b/>
          <w:bCs/>
          <w:color w:val="000000" w:themeColor="text1"/>
        </w:rPr>
      </w:pPr>
      <w:r w:rsidRPr="002A4FC0">
        <w:rPr>
          <w:rFonts w:cstheme="minorHAnsi"/>
          <w:b/>
          <w:bCs/>
          <w:color w:val="000000" w:themeColor="text1"/>
        </w:rPr>
        <w:t xml:space="preserve">Settings: </w:t>
      </w:r>
      <w:r w:rsidRPr="002A4FC0">
        <w:rPr>
          <w:rFonts w:cstheme="minorHAnsi"/>
          <w:color w:val="000000" w:themeColor="text1"/>
        </w:rPr>
        <w:t>Study NICUs in India and Pakistan</w:t>
      </w:r>
    </w:p>
    <w:p w14:paraId="12F973DF" w14:textId="6DF99E27" w:rsidR="00F233D8" w:rsidRPr="002A4FC0" w:rsidRDefault="00F233D8" w:rsidP="00F233D8">
      <w:pPr>
        <w:spacing w:line="360" w:lineRule="auto"/>
        <w:rPr>
          <w:rFonts w:cstheme="minorHAnsi"/>
          <w:b/>
          <w:bCs/>
          <w:color w:val="000000" w:themeColor="text1"/>
        </w:rPr>
      </w:pPr>
      <w:r w:rsidRPr="002A4FC0">
        <w:rPr>
          <w:rFonts w:cstheme="minorHAnsi"/>
          <w:b/>
          <w:bCs/>
          <w:color w:val="000000" w:themeColor="text1"/>
        </w:rPr>
        <w:t xml:space="preserve">Population: </w:t>
      </w:r>
      <w:r w:rsidRPr="002A4FC0">
        <w:rPr>
          <w:rFonts w:cstheme="minorHAnsi"/>
          <w:color w:val="000000" w:themeColor="text1"/>
        </w:rPr>
        <w:t xml:space="preserve">Preterm infants </w:t>
      </w:r>
      <w:r w:rsidR="00DF40B4" w:rsidRPr="002A4FC0">
        <w:rPr>
          <w:rFonts w:cstheme="minorHAnsi"/>
          <w:color w:val="000000" w:themeColor="text1"/>
        </w:rPr>
        <w:t>delivered in study facility</w:t>
      </w:r>
    </w:p>
    <w:p w14:paraId="2EE8EBAA" w14:textId="583E7942" w:rsidR="00F233D8" w:rsidRPr="002A4FC0" w:rsidRDefault="00F233D8" w:rsidP="00F233D8">
      <w:pPr>
        <w:autoSpaceDE w:val="0"/>
        <w:autoSpaceDN w:val="0"/>
        <w:adjustRightInd w:val="0"/>
        <w:spacing w:line="360" w:lineRule="auto"/>
        <w:rPr>
          <w:rFonts w:cstheme="minorHAnsi"/>
          <w:b/>
          <w:bCs/>
          <w:lang w:val="en-GB"/>
        </w:rPr>
      </w:pPr>
      <w:r w:rsidRPr="00AD52E7">
        <w:rPr>
          <w:rFonts w:cstheme="minorHAnsi"/>
          <w:b/>
          <w:bCs/>
          <w:lang w:val="en-GB"/>
        </w:rPr>
        <w:t xml:space="preserve">Methods: </w:t>
      </w:r>
      <w:r w:rsidR="00D00B7F" w:rsidRPr="00AD52E7">
        <w:rPr>
          <w:rFonts w:cstheme="minorHAnsi"/>
          <w:bCs/>
          <w:lang w:val="en-GB"/>
        </w:rPr>
        <w:t xml:space="preserve">410 </w:t>
      </w:r>
      <w:r w:rsidRPr="00AD52E7">
        <w:rPr>
          <w:rFonts w:cstheme="minorHAnsi"/>
          <w:bCs/>
          <w:lang w:val="en-GB"/>
        </w:rPr>
        <w:t>preterm</w:t>
      </w:r>
      <w:r w:rsidRPr="002A4FC0">
        <w:rPr>
          <w:rFonts w:cstheme="minorHAnsi"/>
          <w:bCs/>
          <w:lang w:val="en-GB"/>
        </w:rPr>
        <w:t xml:space="preserve"> infants </w:t>
      </w:r>
      <w:r w:rsidR="00DF40B4" w:rsidRPr="002A4FC0">
        <w:rPr>
          <w:rFonts w:cstheme="minorHAnsi"/>
          <w:bCs/>
          <w:lang w:val="en-GB"/>
        </w:rPr>
        <w:t>who died in the NICU with</w:t>
      </w:r>
      <w:r w:rsidRPr="002A4FC0">
        <w:rPr>
          <w:rFonts w:cstheme="minorHAnsi"/>
          <w:bCs/>
          <w:lang w:val="en-GB"/>
        </w:rPr>
        <w:t xml:space="preserve"> cause of death ascertained by the NICU physician</w:t>
      </w:r>
      <w:r w:rsidR="00360063" w:rsidRPr="002A4FC0">
        <w:rPr>
          <w:rFonts w:cstheme="minorHAnsi"/>
          <w:bCs/>
          <w:lang w:val="en-GB"/>
        </w:rPr>
        <w:t>s</w:t>
      </w:r>
      <w:r w:rsidRPr="002A4FC0">
        <w:rPr>
          <w:rFonts w:cstheme="minorHAnsi"/>
          <w:bCs/>
          <w:lang w:val="en-GB"/>
        </w:rPr>
        <w:t xml:space="preserve"> and </w:t>
      </w:r>
      <w:r w:rsidR="00EA2CC9" w:rsidRPr="002A4FC0">
        <w:rPr>
          <w:rFonts w:cstheme="minorHAnsi"/>
          <w:bCs/>
          <w:lang w:val="en-GB"/>
        </w:rPr>
        <w:t xml:space="preserve">independently </w:t>
      </w:r>
      <w:r w:rsidR="00360063" w:rsidRPr="002A4FC0">
        <w:rPr>
          <w:rFonts w:cstheme="minorHAnsi"/>
          <w:bCs/>
          <w:lang w:val="en-GB"/>
        </w:rPr>
        <w:t>by</w:t>
      </w:r>
      <w:r w:rsidRPr="002A4FC0">
        <w:rPr>
          <w:rFonts w:cstheme="minorHAnsi"/>
          <w:bCs/>
          <w:lang w:val="en-GB"/>
        </w:rPr>
        <w:t xml:space="preserve"> expert panel</w:t>
      </w:r>
      <w:r w:rsidR="00360063" w:rsidRPr="002A4FC0">
        <w:rPr>
          <w:rFonts w:cstheme="minorHAnsi"/>
          <w:bCs/>
          <w:lang w:val="en-GB"/>
        </w:rPr>
        <w:t>s</w:t>
      </w:r>
      <w:r w:rsidRPr="002A4FC0">
        <w:rPr>
          <w:rFonts w:cstheme="minorHAnsi"/>
          <w:bCs/>
          <w:lang w:val="en-GB"/>
        </w:rPr>
        <w:t>. We c</w:t>
      </w:r>
      <w:r w:rsidR="00074B0D" w:rsidRPr="002A4FC0">
        <w:rPr>
          <w:rFonts w:cstheme="minorHAnsi"/>
          <w:bCs/>
          <w:lang w:val="en-GB"/>
        </w:rPr>
        <w:t xml:space="preserve">ompared the percentage of cases </w:t>
      </w:r>
      <w:r w:rsidR="00543D85">
        <w:rPr>
          <w:rFonts w:cstheme="minorHAnsi"/>
          <w:bCs/>
          <w:lang w:val="en-GB"/>
        </w:rPr>
        <w:t>assigned</w:t>
      </w:r>
      <w:r w:rsidR="00074B0D" w:rsidRPr="002A4FC0">
        <w:rPr>
          <w:rFonts w:cstheme="minorHAnsi"/>
          <w:bCs/>
          <w:lang w:val="en-GB"/>
        </w:rPr>
        <w:t xml:space="preserve"> </w:t>
      </w:r>
      <w:r w:rsidR="00360063" w:rsidRPr="002A4FC0">
        <w:rPr>
          <w:rFonts w:cstheme="minorHAnsi"/>
          <w:bCs/>
          <w:lang w:val="en-GB"/>
        </w:rPr>
        <w:t xml:space="preserve">RDS </w:t>
      </w:r>
      <w:r w:rsidR="00543D85">
        <w:rPr>
          <w:rFonts w:cstheme="minorHAnsi"/>
          <w:bCs/>
          <w:lang w:val="en-GB"/>
        </w:rPr>
        <w:t>vs.</w:t>
      </w:r>
      <w:r w:rsidRPr="002A4FC0">
        <w:rPr>
          <w:rFonts w:cstheme="minorHAnsi"/>
          <w:bCs/>
          <w:lang w:val="en-GB"/>
        </w:rPr>
        <w:t xml:space="preserve"> birth asphyxia </w:t>
      </w:r>
      <w:r w:rsidR="00543D85">
        <w:rPr>
          <w:rFonts w:cstheme="minorHAnsi"/>
          <w:bCs/>
          <w:lang w:val="en-GB"/>
        </w:rPr>
        <w:t>as</w:t>
      </w:r>
      <w:r w:rsidR="0013660B">
        <w:rPr>
          <w:rFonts w:cstheme="minorHAnsi"/>
          <w:bCs/>
          <w:lang w:val="en-GB"/>
        </w:rPr>
        <w:t xml:space="preserve"> cause of death</w:t>
      </w:r>
      <w:r w:rsidR="00074B0D" w:rsidRPr="002A4FC0">
        <w:rPr>
          <w:rFonts w:cstheme="minorHAnsi"/>
          <w:bCs/>
          <w:lang w:val="en-GB"/>
        </w:rPr>
        <w:t xml:space="preserve"> </w:t>
      </w:r>
      <w:r w:rsidRPr="002A4FC0">
        <w:rPr>
          <w:rFonts w:cstheme="minorHAnsi"/>
          <w:bCs/>
          <w:lang w:val="en-GB"/>
        </w:rPr>
        <w:t>by the physician and the panel.</w:t>
      </w:r>
    </w:p>
    <w:p w14:paraId="438B79C0" w14:textId="03C2BE08" w:rsidR="00F233D8" w:rsidRPr="002A4FC0" w:rsidRDefault="00F233D8" w:rsidP="00F233D8">
      <w:pPr>
        <w:spacing w:line="360" w:lineRule="auto"/>
        <w:rPr>
          <w:rFonts w:cstheme="minorHAnsi"/>
          <w:b/>
          <w:bCs/>
          <w:color w:val="000000" w:themeColor="text1"/>
        </w:rPr>
      </w:pPr>
      <w:r w:rsidRPr="002A4FC0">
        <w:rPr>
          <w:rFonts w:cstheme="minorHAnsi"/>
          <w:b/>
          <w:bCs/>
          <w:color w:val="000000" w:themeColor="text1"/>
        </w:rPr>
        <w:t xml:space="preserve">Main outcome measures: </w:t>
      </w:r>
      <w:r w:rsidR="00E1072D" w:rsidRPr="002A4FC0">
        <w:rPr>
          <w:rFonts w:cstheme="minorHAnsi"/>
          <w:color w:val="000000" w:themeColor="text1"/>
        </w:rPr>
        <w:t xml:space="preserve">RDS and </w:t>
      </w:r>
      <w:r w:rsidR="00074B0D" w:rsidRPr="002A4FC0">
        <w:rPr>
          <w:rFonts w:cstheme="minorHAnsi"/>
          <w:color w:val="000000" w:themeColor="text1"/>
        </w:rPr>
        <w:t>birth asphyxia</w:t>
      </w:r>
      <w:r w:rsidRPr="002A4FC0">
        <w:rPr>
          <w:rFonts w:cstheme="minorHAnsi"/>
          <w:color w:val="000000" w:themeColor="text1"/>
        </w:rPr>
        <w:t>.</w:t>
      </w:r>
    </w:p>
    <w:p w14:paraId="7042C48C" w14:textId="54072E5B" w:rsidR="00F233D8" w:rsidRPr="00CF2481" w:rsidRDefault="00F233D8" w:rsidP="00F233D8">
      <w:pPr>
        <w:spacing w:line="360" w:lineRule="auto"/>
        <w:rPr>
          <w:rFonts w:cstheme="minorHAnsi"/>
          <w:b/>
          <w:bCs/>
          <w:color w:val="000000" w:themeColor="text1"/>
        </w:rPr>
      </w:pPr>
      <w:r w:rsidRPr="002A4FC0">
        <w:rPr>
          <w:rFonts w:cstheme="minorHAnsi"/>
          <w:b/>
          <w:bCs/>
          <w:color w:val="000000" w:themeColor="text1"/>
        </w:rPr>
        <w:t xml:space="preserve">Results: </w:t>
      </w:r>
      <w:r w:rsidR="00BD3FFB" w:rsidRPr="002A4FC0">
        <w:rPr>
          <w:rFonts w:cstheme="minorHAnsi"/>
          <w:bCs/>
          <w:color w:val="000000" w:themeColor="text1"/>
        </w:rPr>
        <w:t>Of 4</w:t>
      </w:r>
      <w:r w:rsidR="00AB6F3A">
        <w:rPr>
          <w:rFonts w:cstheme="minorHAnsi"/>
          <w:bCs/>
          <w:color w:val="000000" w:themeColor="text1"/>
        </w:rPr>
        <w:t>10</w:t>
      </w:r>
      <w:r w:rsidR="00BD3FFB" w:rsidRPr="002A4FC0">
        <w:rPr>
          <w:rFonts w:cstheme="minorHAnsi"/>
          <w:bCs/>
          <w:color w:val="000000" w:themeColor="text1"/>
        </w:rPr>
        <w:t xml:space="preserve"> </w:t>
      </w:r>
      <w:r w:rsidR="00543D85">
        <w:rPr>
          <w:rFonts w:cstheme="minorHAnsi"/>
          <w:bCs/>
          <w:color w:val="000000" w:themeColor="text1"/>
        </w:rPr>
        <w:t xml:space="preserve">preterm </w:t>
      </w:r>
      <w:r w:rsidR="00BD3FFB" w:rsidRPr="002A4FC0">
        <w:rPr>
          <w:rFonts w:cstheme="minorHAnsi"/>
          <w:bCs/>
          <w:color w:val="000000" w:themeColor="text1"/>
        </w:rPr>
        <w:t xml:space="preserve">neonatal deaths, the discharging NICU physicians </w:t>
      </w:r>
      <w:r w:rsidR="00DF40B4" w:rsidRPr="002A4FC0">
        <w:rPr>
          <w:rFonts w:cstheme="minorHAnsi"/>
          <w:bCs/>
          <w:color w:val="000000" w:themeColor="text1"/>
        </w:rPr>
        <w:t>found</w:t>
      </w:r>
      <w:r w:rsidR="00BD3FFB" w:rsidRPr="002A4FC0">
        <w:rPr>
          <w:rFonts w:cstheme="minorHAnsi"/>
          <w:bCs/>
          <w:color w:val="000000" w:themeColor="text1"/>
        </w:rPr>
        <w:t xml:space="preserve"> RDS </w:t>
      </w:r>
      <w:r w:rsidR="0013660B">
        <w:rPr>
          <w:rFonts w:cstheme="minorHAnsi"/>
          <w:bCs/>
          <w:color w:val="000000" w:themeColor="text1"/>
        </w:rPr>
        <w:t xml:space="preserve">as a cause of death </w:t>
      </w:r>
      <w:r w:rsidR="00DF40B4" w:rsidRPr="002A4FC0">
        <w:rPr>
          <w:rFonts w:cstheme="minorHAnsi"/>
          <w:bCs/>
          <w:color w:val="000000" w:themeColor="text1"/>
        </w:rPr>
        <w:t>among</w:t>
      </w:r>
      <w:r w:rsidR="00BD3FFB" w:rsidRPr="002A4FC0">
        <w:rPr>
          <w:rFonts w:cstheme="minorHAnsi"/>
          <w:bCs/>
          <w:color w:val="000000" w:themeColor="text1"/>
        </w:rPr>
        <w:t xml:space="preserve"> 83.</w:t>
      </w:r>
      <w:r w:rsidR="00AB6F3A">
        <w:rPr>
          <w:rFonts w:cstheme="minorHAnsi"/>
          <w:bCs/>
          <w:color w:val="000000" w:themeColor="text1"/>
        </w:rPr>
        <w:t>2</w:t>
      </w:r>
      <w:r w:rsidR="00BD3FFB" w:rsidRPr="002A4FC0">
        <w:rPr>
          <w:rFonts w:cstheme="minorHAnsi"/>
          <w:bCs/>
          <w:color w:val="000000" w:themeColor="text1"/>
        </w:rPr>
        <w:t xml:space="preserve">% of the cases, </w:t>
      </w:r>
      <w:r w:rsidR="00DF40B4" w:rsidRPr="002A4FC0">
        <w:rPr>
          <w:rFonts w:cstheme="minorHAnsi"/>
          <w:bCs/>
          <w:color w:val="000000" w:themeColor="text1"/>
        </w:rPr>
        <w:t>compared to</w:t>
      </w:r>
      <w:r w:rsidR="00BD3FFB" w:rsidRPr="002A4FC0">
        <w:rPr>
          <w:rFonts w:cstheme="minorHAnsi"/>
          <w:bCs/>
          <w:color w:val="000000" w:themeColor="text1"/>
        </w:rPr>
        <w:t xml:space="preserve"> panel</w:t>
      </w:r>
      <w:r w:rsidR="007511C8">
        <w:rPr>
          <w:rFonts w:cstheme="minorHAnsi"/>
          <w:bCs/>
          <w:color w:val="000000" w:themeColor="text1"/>
        </w:rPr>
        <w:t>’</w:t>
      </w:r>
      <w:r w:rsidR="00BD3FFB" w:rsidRPr="002A4FC0">
        <w:rPr>
          <w:rFonts w:cstheme="minorHAnsi"/>
          <w:bCs/>
          <w:color w:val="000000" w:themeColor="text1"/>
        </w:rPr>
        <w:t>s</w:t>
      </w:r>
      <w:r w:rsidR="007511C8">
        <w:rPr>
          <w:rFonts w:cstheme="minorHAnsi"/>
          <w:bCs/>
          <w:color w:val="000000" w:themeColor="text1"/>
        </w:rPr>
        <w:t xml:space="preserve"> finding RDS</w:t>
      </w:r>
      <w:r w:rsidR="00DF40B4" w:rsidRPr="002A4FC0">
        <w:rPr>
          <w:rFonts w:cstheme="minorHAnsi"/>
          <w:bCs/>
          <w:color w:val="000000" w:themeColor="text1"/>
        </w:rPr>
        <w:t xml:space="preserve"> in</w:t>
      </w:r>
      <w:r w:rsidR="00BD3FFB" w:rsidRPr="002A4FC0">
        <w:rPr>
          <w:rFonts w:cstheme="minorHAnsi"/>
          <w:bCs/>
          <w:color w:val="000000" w:themeColor="text1"/>
        </w:rPr>
        <w:t xml:space="preserve"> </w:t>
      </w:r>
      <w:r w:rsidR="007511C8">
        <w:rPr>
          <w:rFonts w:cstheme="minorHAnsi"/>
          <w:bCs/>
          <w:color w:val="000000" w:themeColor="text1"/>
        </w:rPr>
        <w:t xml:space="preserve">only </w:t>
      </w:r>
      <w:r w:rsidR="00AB6F3A">
        <w:rPr>
          <w:rFonts w:cstheme="minorHAnsi"/>
          <w:bCs/>
          <w:color w:val="000000" w:themeColor="text1"/>
        </w:rPr>
        <w:t>51</w:t>
      </w:r>
      <w:r w:rsidR="00BD3FFB" w:rsidRPr="002A4FC0">
        <w:rPr>
          <w:rFonts w:cstheme="minorHAnsi"/>
          <w:bCs/>
          <w:color w:val="000000" w:themeColor="text1"/>
        </w:rPr>
        <w:t>.</w:t>
      </w:r>
      <w:r w:rsidR="00AB6F3A">
        <w:rPr>
          <w:rFonts w:cstheme="minorHAnsi"/>
          <w:bCs/>
          <w:color w:val="000000" w:themeColor="text1"/>
        </w:rPr>
        <w:t>0</w:t>
      </w:r>
      <w:r w:rsidR="00BD3FFB" w:rsidRPr="002A4FC0">
        <w:rPr>
          <w:rFonts w:cstheme="minorHAnsi"/>
          <w:bCs/>
          <w:color w:val="000000" w:themeColor="text1"/>
        </w:rPr>
        <w:t xml:space="preserve">%. </w:t>
      </w:r>
      <w:r w:rsidR="007511C8">
        <w:rPr>
          <w:rFonts w:cstheme="minorHAnsi"/>
          <w:bCs/>
          <w:color w:val="000000" w:themeColor="text1"/>
        </w:rPr>
        <w:t>In the same neonatal deaths</w:t>
      </w:r>
      <w:r w:rsidR="00DF40B4" w:rsidRPr="002A4FC0">
        <w:rPr>
          <w:rFonts w:cstheme="minorHAnsi"/>
          <w:bCs/>
          <w:color w:val="000000" w:themeColor="text1"/>
        </w:rPr>
        <w:t>, the NICU physicians found</w:t>
      </w:r>
      <w:r w:rsidR="00BD3FFB" w:rsidRPr="002A4FC0">
        <w:rPr>
          <w:rFonts w:cstheme="minorHAnsi"/>
          <w:bCs/>
          <w:color w:val="000000" w:themeColor="text1"/>
        </w:rPr>
        <w:t xml:space="preserve"> </w:t>
      </w:r>
      <w:r w:rsidR="00DF40B4" w:rsidRPr="002A4FC0">
        <w:rPr>
          <w:rFonts w:cstheme="minorHAnsi"/>
          <w:bCs/>
          <w:color w:val="000000" w:themeColor="text1"/>
        </w:rPr>
        <w:t xml:space="preserve">birth asphyxia </w:t>
      </w:r>
      <w:r w:rsidR="0013660B">
        <w:rPr>
          <w:rFonts w:cstheme="minorHAnsi"/>
          <w:bCs/>
          <w:color w:val="000000" w:themeColor="text1"/>
        </w:rPr>
        <w:t xml:space="preserve">as a cause of death </w:t>
      </w:r>
      <w:r w:rsidR="00DF40B4" w:rsidRPr="002A4FC0">
        <w:rPr>
          <w:rFonts w:cstheme="minorHAnsi"/>
          <w:bCs/>
          <w:color w:val="000000" w:themeColor="text1"/>
        </w:rPr>
        <w:t xml:space="preserve">in </w:t>
      </w:r>
      <w:r w:rsidR="00BD3FFB" w:rsidRPr="002A4FC0">
        <w:rPr>
          <w:rFonts w:cstheme="minorHAnsi"/>
          <w:bCs/>
          <w:color w:val="000000" w:themeColor="text1"/>
        </w:rPr>
        <w:t>1</w:t>
      </w:r>
      <w:r w:rsidR="00AB6F3A">
        <w:rPr>
          <w:rFonts w:cstheme="minorHAnsi"/>
          <w:bCs/>
          <w:color w:val="000000" w:themeColor="text1"/>
        </w:rPr>
        <w:t>4</w:t>
      </w:r>
      <w:r w:rsidR="00BD3FFB" w:rsidRPr="002A4FC0">
        <w:rPr>
          <w:rFonts w:cstheme="minorHAnsi"/>
          <w:bCs/>
          <w:color w:val="000000" w:themeColor="text1"/>
        </w:rPr>
        <w:t>.</w:t>
      </w:r>
      <w:r w:rsidR="00AB6F3A">
        <w:rPr>
          <w:rFonts w:cstheme="minorHAnsi"/>
          <w:bCs/>
          <w:color w:val="000000" w:themeColor="text1"/>
        </w:rPr>
        <w:t>9</w:t>
      </w:r>
      <w:r w:rsidR="00BD3FFB" w:rsidRPr="002A4FC0">
        <w:rPr>
          <w:rFonts w:cstheme="minorHAnsi"/>
          <w:bCs/>
          <w:color w:val="000000" w:themeColor="text1"/>
        </w:rPr>
        <w:t>% of the deaths</w:t>
      </w:r>
      <w:r w:rsidR="00DF40B4" w:rsidRPr="002A4FC0">
        <w:rPr>
          <w:rFonts w:cstheme="minorHAnsi"/>
          <w:bCs/>
          <w:color w:val="000000" w:themeColor="text1"/>
        </w:rPr>
        <w:t>, while</w:t>
      </w:r>
      <w:r w:rsidR="003C3BBF" w:rsidRPr="002A4FC0">
        <w:rPr>
          <w:rFonts w:cstheme="minorHAnsi"/>
          <w:bCs/>
          <w:color w:val="000000" w:themeColor="text1"/>
        </w:rPr>
        <w:t xml:space="preserve"> the panel</w:t>
      </w:r>
      <w:r w:rsidR="00102151">
        <w:rPr>
          <w:rFonts w:cstheme="minorHAnsi"/>
          <w:bCs/>
          <w:color w:val="000000" w:themeColor="text1"/>
        </w:rPr>
        <w:t>s</w:t>
      </w:r>
      <w:r w:rsidR="003C3BBF" w:rsidRPr="002A4FC0">
        <w:rPr>
          <w:rFonts w:cstheme="minorHAnsi"/>
          <w:bCs/>
          <w:color w:val="000000" w:themeColor="text1"/>
        </w:rPr>
        <w:t xml:space="preserve"> </w:t>
      </w:r>
      <w:r w:rsidR="00DF40B4" w:rsidRPr="002A4FC0">
        <w:rPr>
          <w:rFonts w:cstheme="minorHAnsi"/>
          <w:bCs/>
          <w:color w:val="000000" w:themeColor="text1"/>
        </w:rPr>
        <w:t>found birth asphyxia</w:t>
      </w:r>
      <w:r w:rsidR="007511C8">
        <w:rPr>
          <w:rFonts w:cstheme="minorHAnsi"/>
          <w:bCs/>
          <w:color w:val="000000" w:themeColor="text1"/>
        </w:rPr>
        <w:t xml:space="preserve"> in 5</w:t>
      </w:r>
      <w:r w:rsidR="00AB6F3A">
        <w:rPr>
          <w:rFonts w:cstheme="minorHAnsi"/>
          <w:bCs/>
          <w:color w:val="000000" w:themeColor="text1"/>
        </w:rPr>
        <w:t>7</w:t>
      </w:r>
      <w:r w:rsidR="007511C8">
        <w:rPr>
          <w:rFonts w:cstheme="minorHAnsi"/>
          <w:bCs/>
          <w:color w:val="000000" w:themeColor="text1"/>
        </w:rPr>
        <w:t>.</w:t>
      </w:r>
      <w:r w:rsidR="00AB6F3A">
        <w:rPr>
          <w:rFonts w:cstheme="minorHAnsi"/>
          <w:bCs/>
          <w:color w:val="000000" w:themeColor="text1"/>
        </w:rPr>
        <w:t>6</w:t>
      </w:r>
      <w:r w:rsidR="007511C8">
        <w:rPr>
          <w:rFonts w:cstheme="minorHAnsi"/>
          <w:bCs/>
          <w:color w:val="000000" w:themeColor="text1"/>
        </w:rPr>
        <w:t>% of the deaths</w:t>
      </w:r>
      <w:r w:rsidR="00BD3FFB" w:rsidRPr="002A4FC0">
        <w:rPr>
          <w:rFonts w:cstheme="minorHAnsi"/>
          <w:bCs/>
          <w:color w:val="000000" w:themeColor="text1"/>
        </w:rPr>
        <w:t xml:space="preserve">. The </w:t>
      </w:r>
      <w:r w:rsidR="00543D85">
        <w:rPr>
          <w:rFonts w:cstheme="minorHAnsi"/>
          <w:bCs/>
          <w:color w:val="000000" w:themeColor="text1"/>
        </w:rPr>
        <w:t>difference</w:t>
      </w:r>
      <w:r w:rsidR="00BD3FFB" w:rsidRPr="002A4FC0">
        <w:rPr>
          <w:rFonts w:cstheme="minorHAnsi"/>
          <w:bCs/>
          <w:color w:val="000000" w:themeColor="text1"/>
        </w:rPr>
        <w:t xml:space="preserve"> was greater in Pakistan </w:t>
      </w:r>
      <w:r w:rsidR="003C3BBF" w:rsidRPr="002A4FC0">
        <w:rPr>
          <w:rFonts w:cstheme="minorHAnsi"/>
          <w:bCs/>
          <w:color w:val="000000" w:themeColor="text1"/>
        </w:rPr>
        <w:t>were the physician</w:t>
      </w:r>
      <w:r w:rsidR="00102151">
        <w:rPr>
          <w:rFonts w:cstheme="minorHAnsi"/>
          <w:bCs/>
          <w:color w:val="000000" w:themeColor="text1"/>
        </w:rPr>
        <w:t>s</w:t>
      </w:r>
      <w:r w:rsidR="003C3BBF" w:rsidRPr="002A4FC0">
        <w:rPr>
          <w:rFonts w:cstheme="minorHAnsi"/>
          <w:bCs/>
          <w:color w:val="000000" w:themeColor="text1"/>
        </w:rPr>
        <w:t xml:space="preserve"> attributed 89.7% of the deaths to RDS and </w:t>
      </w:r>
      <w:r w:rsidR="00DF40B4" w:rsidRPr="002A4FC0">
        <w:rPr>
          <w:rFonts w:cstheme="minorHAnsi"/>
          <w:bCs/>
          <w:color w:val="000000" w:themeColor="text1"/>
        </w:rPr>
        <w:t>&lt;</w:t>
      </w:r>
      <w:r w:rsidR="003C3BBF" w:rsidRPr="002A4FC0">
        <w:rPr>
          <w:rFonts w:cstheme="minorHAnsi"/>
          <w:bCs/>
          <w:color w:val="000000" w:themeColor="text1"/>
        </w:rPr>
        <w:t xml:space="preserve">1% to birth asphyxia while the panel </w:t>
      </w:r>
      <w:r w:rsidR="00543D85">
        <w:rPr>
          <w:rFonts w:cstheme="minorHAnsi"/>
          <w:bCs/>
          <w:color w:val="000000" w:themeColor="text1"/>
        </w:rPr>
        <w:t>attributed</w:t>
      </w:r>
      <w:r w:rsidR="003C3BBF" w:rsidRPr="002A4FC0">
        <w:rPr>
          <w:rFonts w:cstheme="minorHAnsi"/>
          <w:bCs/>
          <w:color w:val="000000" w:themeColor="text1"/>
        </w:rPr>
        <w:t xml:space="preserve"> 35.</w:t>
      </w:r>
      <w:r w:rsidR="00AB6F3A">
        <w:rPr>
          <w:rFonts w:cstheme="minorHAnsi"/>
          <w:bCs/>
          <w:color w:val="000000" w:themeColor="text1"/>
        </w:rPr>
        <w:t>6</w:t>
      </w:r>
      <w:r w:rsidR="003C3BBF" w:rsidRPr="002A4FC0">
        <w:rPr>
          <w:rFonts w:cstheme="minorHAnsi"/>
          <w:bCs/>
          <w:color w:val="000000" w:themeColor="text1"/>
        </w:rPr>
        <w:t xml:space="preserve">% of the deaths </w:t>
      </w:r>
      <w:r w:rsidR="00543D85">
        <w:rPr>
          <w:rFonts w:cstheme="minorHAnsi"/>
          <w:bCs/>
          <w:color w:val="000000" w:themeColor="text1"/>
        </w:rPr>
        <w:t xml:space="preserve">to RDS and </w:t>
      </w:r>
      <w:r w:rsidR="003C3BBF" w:rsidRPr="00CF2481">
        <w:rPr>
          <w:rFonts w:cstheme="minorHAnsi"/>
          <w:bCs/>
          <w:color w:val="000000" w:themeColor="text1"/>
        </w:rPr>
        <w:t>6</w:t>
      </w:r>
      <w:r w:rsidR="00AB6F3A">
        <w:rPr>
          <w:rFonts w:cstheme="minorHAnsi"/>
          <w:bCs/>
          <w:color w:val="000000" w:themeColor="text1"/>
        </w:rPr>
        <w:t>2</w:t>
      </w:r>
      <w:r w:rsidR="003C3BBF" w:rsidRPr="00CF2481">
        <w:rPr>
          <w:rFonts w:cstheme="minorHAnsi"/>
          <w:bCs/>
          <w:color w:val="000000" w:themeColor="text1"/>
        </w:rPr>
        <w:t>.</w:t>
      </w:r>
      <w:r w:rsidR="00AB6F3A">
        <w:rPr>
          <w:rFonts w:cstheme="minorHAnsi"/>
          <w:bCs/>
          <w:color w:val="000000" w:themeColor="text1"/>
        </w:rPr>
        <w:t>7</w:t>
      </w:r>
      <w:r w:rsidR="003C3BBF" w:rsidRPr="00CF2481">
        <w:rPr>
          <w:rFonts w:cstheme="minorHAnsi"/>
          <w:bCs/>
          <w:color w:val="000000" w:themeColor="text1"/>
        </w:rPr>
        <w:t xml:space="preserve">% </w:t>
      </w:r>
      <w:r w:rsidR="00543D85">
        <w:rPr>
          <w:rFonts w:cstheme="minorHAnsi"/>
          <w:bCs/>
          <w:color w:val="000000" w:themeColor="text1"/>
        </w:rPr>
        <w:t>to birth asphyxia</w:t>
      </w:r>
      <w:r w:rsidR="00BD3FFB" w:rsidRPr="00CF2481">
        <w:rPr>
          <w:rFonts w:cstheme="minorHAnsi"/>
          <w:bCs/>
          <w:color w:val="000000" w:themeColor="text1"/>
        </w:rPr>
        <w:t>.</w:t>
      </w:r>
    </w:p>
    <w:p w14:paraId="2D1CA6BC" w14:textId="104B59CC" w:rsidR="00F233D8" w:rsidRPr="00CF2481" w:rsidRDefault="00F233D8" w:rsidP="00F233D8">
      <w:pPr>
        <w:spacing w:line="360" w:lineRule="auto"/>
        <w:rPr>
          <w:rFonts w:cstheme="minorHAnsi"/>
          <w:b/>
          <w:bCs/>
          <w:color w:val="000000" w:themeColor="text1"/>
        </w:rPr>
      </w:pPr>
      <w:r w:rsidRPr="00CF2481">
        <w:rPr>
          <w:rFonts w:cstheme="minorHAnsi"/>
          <w:b/>
          <w:bCs/>
          <w:color w:val="000000" w:themeColor="text1"/>
        </w:rPr>
        <w:t xml:space="preserve">Conclusions: </w:t>
      </w:r>
      <w:r w:rsidRPr="00CF2481">
        <w:rPr>
          <w:rFonts w:cstheme="minorHAnsi"/>
          <w:bCs/>
          <w:color w:val="000000" w:themeColor="text1"/>
        </w:rPr>
        <w:t>NICU physicians who reported cause of death in</w:t>
      </w:r>
      <w:r w:rsidR="0012615A" w:rsidRPr="00CF2481">
        <w:rPr>
          <w:rFonts w:cstheme="minorHAnsi"/>
          <w:bCs/>
          <w:color w:val="000000" w:themeColor="text1"/>
        </w:rPr>
        <w:t xml:space="preserve"> deceased preterm infants less often</w:t>
      </w:r>
      <w:r w:rsidRPr="00CF2481">
        <w:rPr>
          <w:rFonts w:cstheme="minorHAnsi"/>
          <w:bCs/>
          <w:color w:val="000000" w:themeColor="text1"/>
        </w:rPr>
        <w:t xml:space="preserve"> attributed the death to b</w:t>
      </w:r>
      <w:r w:rsidR="005167B2" w:rsidRPr="00CF2481">
        <w:rPr>
          <w:rFonts w:cstheme="minorHAnsi"/>
          <w:bCs/>
          <w:color w:val="000000" w:themeColor="text1"/>
        </w:rPr>
        <w:t>irth asphyxia, and instead</w:t>
      </w:r>
      <w:r w:rsidR="003C3BBF" w:rsidRPr="00CF2481">
        <w:rPr>
          <w:rFonts w:cstheme="minorHAnsi"/>
          <w:bCs/>
          <w:color w:val="000000" w:themeColor="text1"/>
        </w:rPr>
        <w:t xml:space="preserve"> more often </w:t>
      </w:r>
      <w:r w:rsidR="00921267" w:rsidRPr="00CF2481">
        <w:rPr>
          <w:rFonts w:cstheme="minorHAnsi"/>
          <w:bCs/>
          <w:color w:val="000000" w:themeColor="text1"/>
        </w:rPr>
        <w:t>chose</w:t>
      </w:r>
      <w:r w:rsidR="00102151">
        <w:rPr>
          <w:rFonts w:cstheme="minorHAnsi"/>
          <w:bCs/>
          <w:color w:val="000000" w:themeColor="text1"/>
        </w:rPr>
        <w:t xml:space="preserve"> RDS, while</w:t>
      </w:r>
      <w:r w:rsidRPr="00CF2481">
        <w:rPr>
          <w:rFonts w:cstheme="minorHAnsi"/>
          <w:bCs/>
          <w:color w:val="000000" w:themeColor="text1"/>
        </w:rPr>
        <w:t xml:space="preserve"> expert panel</w:t>
      </w:r>
      <w:r w:rsidR="00102151">
        <w:rPr>
          <w:rFonts w:cstheme="minorHAnsi"/>
          <w:bCs/>
          <w:color w:val="000000" w:themeColor="text1"/>
        </w:rPr>
        <w:t>s</w:t>
      </w:r>
      <w:r w:rsidRPr="00CF2481">
        <w:rPr>
          <w:rFonts w:cstheme="minorHAnsi"/>
          <w:bCs/>
          <w:color w:val="000000" w:themeColor="text1"/>
        </w:rPr>
        <w:t xml:space="preserve"> wit</w:t>
      </w:r>
      <w:r w:rsidR="002F1234" w:rsidRPr="00CF2481">
        <w:rPr>
          <w:rFonts w:cstheme="minorHAnsi"/>
          <w:bCs/>
          <w:color w:val="000000" w:themeColor="text1"/>
        </w:rPr>
        <w:t xml:space="preserve">h more extensive data </w:t>
      </w:r>
      <w:r w:rsidRPr="00CF2481">
        <w:rPr>
          <w:rFonts w:cstheme="minorHAnsi"/>
          <w:bCs/>
          <w:color w:val="000000" w:themeColor="text1"/>
        </w:rPr>
        <w:t xml:space="preserve"> </w:t>
      </w:r>
      <w:r w:rsidR="0012615A" w:rsidRPr="00CF2481">
        <w:rPr>
          <w:rFonts w:cstheme="minorHAnsi"/>
          <w:lang w:val="en-GB"/>
        </w:rPr>
        <w:t>attributed a greater proportion of deaths to birth asphyxia than did the physician</w:t>
      </w:r>
      <w:r w:rsidR="00102151">
        <w:rPr>
          <w:rFonts w:cstheme="minorHAnsi"/>
          <w:lang w:val="en-GB"/>
        </w:rPr>
        <w:t>s</w:t>
      </w:r>
      <w:r w:rsidR="0012615A" w:rsidRPr="00CF2481">
        <w:rPr>
          <w:rFonts w:cstheme="minorHAnsi"/>
          <w:lang w:val="en-GB"/>
        </w:rPr>
        <w:t>.</w:t>
      </w:r>
    </w:p>
    <w:p w14:paraId="3F354F44" w14:textId="77777777" w:rsidR="00F233D8" w:rsidRPr="00CF2481" w:rsidRDefault="00F233D8" w:rsidP="00F233D8">
      <w:pPr>
        <w:autoSpaceDE w:val="0"/>
        <w:autoSpaceDN w:val="0"/>
        <w:adjustRightInd w:val="0"/>
        <w:spacing w:line="360" w:lineRule="auto"/>
        <w:rPr>
          <w:rFonts w:cstheme="minorHAnsi"/>
          <w:lang w:val="en-GB"/>
        </w:rPr>
      </w:pPr>
      <w:r w:rsidRPr="00CF2481">
        <w:rPr>
          <w:rFonts w:cstheme="minorHAnsi"/>
          <w:b/>
          <w:bCs/>
          <w:lang w:val="en-GB"/>
        </w:rPr>
        <w:t>Funding</w:t>
      </w:r>
      <w:r w:rsidRPr="00CF2481">
        <w:rPr>
          <w:rFonts w:cstheme="minorHAnsi"/>
          <w:lang w:val="en-GB"/>
        </w:rPr>
        <w:t xml:space="preserve"> </w:t>
      </w:r>
    </w:p>
    <w:p w14:paraId="7B2EBCCA" w14:textId="3A8C657C" w:rsidR="00F233D8" w:rsidRPr="00CF2481" w:rsidRDefault="00F233D8" w:rsidP="00F233D8">
      <w:pPr>
        <w:autoSpaceDE w:val="0"/>
        <w:autoSpaceDN w:val="0"/>
        <w:adjustRightInd w:val="0"/>
        <w:spacing w:line="360" w:lineRule="auto"/>
        <w:rPr>
          <w:rFonts w:cstheme="minorHAnsi"/>
          <w:lang w:val="en-GB"/>
        </w:rPr>
      </w:pPr>
      <w:r w:rsidRPr="00CF2481">
        <w:rPr>
          <w:rFonts w:cstheme="minorHAnsi"/>
          <w:lang w:val="en-GB"/>
        </w:rPr>
        <w:t xml:space="preserve">This study was funded by a grant from the </w:t>
      </w:r>
      <w:r w:rsidRPr="00CF2481">
        <w:rPr>
          <w:rFonts w:cstheme="minorHAnsi"/>
          <w:iCs/>
          <w:lang w:val="en-GB"/>
        </w:rPr>
        <w:t xml:space="preserve">Bill </w:t>
      </w:r>
      <w:r w:rsidR="004C54D4">
        <w:rPr>
          <w:rFonts w:cstheme="minorHAnsi"/>
          <w:iCs/>
          <w:lang w:val="en-GB"/>
        </w:rPr>
        <w:t>&amp;</w:t>
      </w:r>
      <w:r w:rsidRPr="00CF2481">
        <w:rPr>
          <w:rFonts w:cstheme="minorHAnsi"/>
          <w:iCs/>
          <w:lang w:val="en-GB"/>
        </w:rPr>
        <w:t xml:space="preserve"> Melinda Gates Foundation.</w:t>
      </w:r>
    </w:p>
    <w:p w14:paraId="4B0D9076" w14:textId="17B1869E" w:rsidR="00F233D8" w:rsidRPr="002A4FC0" w:rsidRDefault="00F233D8" w:rsidP="00F233D8">
      <w:pPr>
        <w:autoSpaceDE w:val="0"/>
        <w:autoSpaceDN w:val="0"/>
        <w:adjustRightInd w:val="0"/>
        <w:spacing w:line="480" w:lineRule="auto"/>
        <w:rPr>
          <w:rFonts w:cstheme="minorHAnsi"/>
          <w:lang w:val="en-GB"/>
        </w:rPr>
      </w:pPr>
      <w:r w:rsidRPr="00CF2481">
        <w:rPr>
          <w:rFonts w:cstheme="minorHAnsi"/>
          <w:b/>
          <w:bCs/>
          <w:lang w:val="en-GB"/>
        </w:rPr>
        <w:t xml:space="preserve">Summary/Tweetable abstract: </w:t>
      </w:r>
      <w:r w:rsidR="00EA2CC9" w:rsidRPr="00CF2481">
        <w:rPr>
          <w:rFonts w:cstheme="minorHAnsi"/>
          <w:lang w:val="en-GB"/>
        </w:rPr>
        <w:t xml:space="preserve">In preterm infant deaths, </w:t>
      </w:r>
      <w:r w:rsidRPr="00CF2481">
        <w:rPr>
          <w:rFonts w:cstheme="minorHAnsi"/>
          <w:lang w:val="en-GB"/>
        </w:rPr>
        <w:t>RDS was more often chosen as the cause of death by the NICU physician</w:t>
      </w:r>
      <w:r w:rsidR="0013158E" w:rsidRPr="00CF2481">
        <w:rPr>
          <w:rFonts w:cstheme="minorHAnsi"/>
          <w:lang w:val="en-GB"/>
        </w:rPr>
        <w:t>, while a</w:t>
      </w:r>
      <w:r w:rsidRPr="00CF2481">
        <w:rPr>
          <w:rFonts w:cstheme="minorHAnsi"/>
          <w:lang w:val="en-GB"/>
        </w:rPr>
        <w:t xml:space="preserve"> panel</w:t>
      </w:r>
      <w:r w:rsidR="003C3BBF" w:rsidRPr="00CF2481">
        <w:rPr>
          <w:rFonts w:cstheme="minorHAnsi"/>
          <w:lang w:val="en-GB"/>
        </w:rPr>
        <w:t xml:space="preserve"> evaluating the same cases</w:t>
      </w:r>
      <w:r w:rsidR="0013024F" w:rsidRPr="00CF2481">
        <w:rPr>
          <w:rFonts w:cstheme="minorHAnsi"/>
          <w:lang w:val="en-GB"/>
        </w:rPr>
        <w:t>,</w:t>
      </w:r>
      <w:r w:rsidRPr="00CF2481">
        <w:rPr>
          <w:rFonts w:cstheme="minorHAnsi"/>
          <w:lang w:val="en-GB"/>
        </w:rPr>
        <w:t xml:space="preserve"> with more extensive data</w:t>
      </w:r>
      <w:r w:rsidR="0013024F" w:rsidRPr="00CF2481">
        <w:rPr>
          <w:rFonts w:cstheme="minorHAnsi"/>
          <w:lang w:val="en-GB"/>
        </w:rPr>
        <w:t>,</w:t>
      </w:r>
      <w:r w:rsidR="002F1234" w:rsidRPr="00CF2481">
        <w:rPr>
          <w:rFonts w:cstheme="minorHAnsi"/>
          <w:lang w:val="en-GB"/>
        </w:rPr>
        <w:t xml:space="preserve"> attributed a greater proportion of deaths to</w:t>
      </w:r>
      <w:r w:rsidRPr="00CF2481">
        <w:rPr>
          <w:rFonts w:cstheme="minorHAnsi"/>
          <w:lang w:val="en-GB"/>
        </w:rPr>
        <w:t xml:space="preserve"> birth asphyxia </w:t>
      </w:r>
      <w:r w:rsidR="002F1234" w:rsidRPr="00CF2481">
        <w:rPr>
          <w:rFonts w:cstheme="minorHAnsi"/>
          <w:lang w:val="en-GB"/>
        </w:rPr>
        <w:t>than did the physician.</w:t>
      </w:r>
    </w:p>
    <w:p w14:paraId="08B88480" w14:textId="77777777" w:rsidR="008F2BB8" w:rsidRPr="002A4FC0" w:rsidRDefault="008F2BB8">
      <w:pPr>
        <w:rPr>
          <w:b/>
        </w:rPr>
      </w:pPr>
      <w:r w:rsidRPr="002A4FC0">
        <w:rPr>
          <w:b/>
        </w:rPr>
        <w:br w:type="page"/>
      </w:r>
    </w:p>
    <w:p w14:paraId="6DAFF00E" w14:textId="30AA9306" w:rsidR="00B63274" w:rsidRPr="002A4FC0" w:rsidRDefault="00EF02CB">
      <w:pPr>
        <w:rPr>
          <w:b/>
        </w:rPr>
      </w:pPr>
      <w:r w:rsidRPr="002A4FC0">
        <w:rPr>
          <w:b/>
        </w:rPr>
        <w:t>Introduction</w:t>
      </w:r>
    </w:p>
    <w:p w14:paraId="19D29F6E" w14:textId="178AF8D0" w:rsidR="00553B37" w:rsidRPr="002A4FC0" w:rsidRDefault="00B63274" w:rsidP="00EA2CC9">
      <w:pPr>
        <w:spacing w:line="360" w:lineRule="auto"/>
      </w:pPr>
      <w:r w:rsidRPr="002A4FC0">
        <w:t>In many, i</w:t>
      </w:r>
      <w:r w:rsidR="006A7552">
        <w:t>f not most, reports of</w:t>
      </w:r>
      <w:r w:rsidRPr="002A4FC0">
        <w:t xml:space="preserve"> neonatal death in preterm infants in low and middle-income countries (LMIC), complications of prematurity are </w:t>
      </w:r>
      <w:r w:rsidR="00FA737A">
        <w:t xml:space="preserve">listed as </w:t>
      </w:r>
      <w:r w:rsidRPr="002A4FC0">
        <w:t xml:space="preserve">the most common </w:t>
      </w:r>
      <w:r w:rsidR="003000F2" w:rsidRPr="002A4FC0">
        <w:t>cause of death</w:t>
      </w:r>
      <w:r w:rsidR="00CD31D6">
        <w:t xml:space="preserve"> (COD)</w:t>
      </w:r>
      <w:r w:rsidRPr="002A4FC0">
        <w:t>.</w:t>
      </w:r>
      <w:r w:rsidR="009E4306" w:rsidRPr="002A4FC0">
        <w:rPr>
          <w:vertAlign w:val="superscript"/>
        </w:rPr>
        <w:t>1</w:t>
      </w:r>
      <w:r w:rsidR="001A0F26" w:rsidRPr="002A4FC0">
        <w:rPr>
          <w:vertAlign w:val="superscript"/>
        </w:rPr>
        <w:t>-4</w:t>
      </w:r>
      <w:r w:rsidRPr="002A4FC0">
        <w:t xml:space="preserve">  </w:t>
      </w:r>
      <w:r w:rsidR="00AF3123">
        <w:t>Of these complications, r</w:t>
      </w:r>
      <w:r w:rsidRPr="002A4FC0">
        <w:t>espi</w:t>
      </w:r>
      <w:r w:rsidR="00E1072D" w:rsidRPr="002A4FC0">
        <w:t xml:space="preserve">ratory distress syndrome (RDS) </w:t>
      </w:r>
      <w:r w:rsidR="00711874">
        <w:t>i</w:t>
      </w:r>
      <w:r w:rsidRPr="002A4FC0">
        <w:t xml:space="preserve">s </w:t>
      </w:r>
      <w:r w:rsidR="0013660B">
        <w:t>often listed as</w:t>
      </w:r>
      <w:r w:rsidR="00AF3123">
        <w:t xml:space="preserve"> the</w:t>
      </w:r>
      <w:r w:rsidRPr="002A4FC0">
        <w:t xml:space="preserve"> leading cause of </w:t>
      </w:r>
      <w:r w:rsidR="00AF3123" w:rsidRPr="00AF3123">
        <w:rPr>
          <w:i/>
          <w:iCs/>
        </w:rPr>
        <w:t xml:space="preserve">preterm </w:t>
      </w:r>
      <w:r w:rsidRPr="002A4FC0">
        <w:t xml:space="preserve">neonatal death </w:t>
      </w:r>
      <w:r w:rsidR="00711874">
        <w:t>and</w:t>
      </w:r>
      <w:r w:rsidRPr="002A4FC0">
        <w:t xml:space="preserve"> </w:t>
      </w:r>
      <w:r w:rsidR="00D923B1">
        <w:t xml:space="preserve">a </w:t>
      </w:r>
      <w:r w:rsidRPr="002A4FC0">
        <w:t>major contribut</w:t>
      </w:r>
      <w:r w:rsidR="00AF3123">
        <w:t>or to</w:t>
      </w:r>
      <w:r w:rsidR="00C60C20" w:rsidRPr="002A4FC0">
        <w:t xml:space="preserve"> all neonatal death</w:t>
      </w:r>
      <w:r w:rsidR="00EA2CC9" w:rsidRPr="002A4FC0">
        <w:t>s</w:t>
      </w:r>
      <w:r w:rsidRPr="002A4FC0">
        <w:t>.</w:t>
      </w:r>
      <w:r w:rsidR="001A0F26" w:rsidRPr="002A4FC0">
        <w:rPr>
          <w:vertAlign w:val="superscript"/>
        </w:rPr>
        <w:t>5-7</w:t>
      </w:r>
      <w:r w:rsidRPr="002A4FC0">
        <w:t xml:space="preserve"> These reports are generally based on </w:t>
      </w:r>
      <w:r w:rsidR="0013660B">
        <w:t xml:space="preserve">the presence of breathing difficulty noted by the clinician </w:t>
      </w:r>
      <w:r w:rsidRPr="002A4FC0">
        <w:t>or on verbal autopsy.</w:t>
      </w:r>
      <w:r w:rsidR="0013660B">
        <w:t xml:space="preserve"> H</w:t>
      </w:r>
      <w:r w:rsidR="007511C8">
        <w:t>owever,</w:t>
      </w:r>
      <w:r w:rsidR="00D9610E" w:rsidRPr="002A4FC0">
        <w:t xml:space="preserve"> </w:t>
      </w:r>
      <w:r w:rsidR="00D00B7F">
        <w:t xml:space="preserve">breathing </w:t>
      </w:r>
      <w:r w:rsidR="00826C14">
        <w:t xml:space="preserve">difficulty </w:t>
      </w:r>
      <w:r w:rsidR="00AF3123">
        <w:t>may</w:t>
      </w:r>
      <w:r w:rsidRPr="002A4FC0">
        <w:t xml:space="preserve"> result from other conditions, </w:t>
      </w:r>
      <w:r w:rsidR="00B1418C" w:rsidRPr="002A4FC0">
        <w:t xml:space="preserve">most notably </w:t>
      </w:r>
      <w:r w:rsidRPr="002A4FC0">
        <w:t>birth asphyxia</w:t>
      </w:r>
      <w:r w:rsidR="00B1418C" w:rsidRPr="002A4FC0">
        <w:t>.</w:t>
      </w:r>
      <w:r w:rsidR="00D923B1" w:rsidRPr="002A4FC0">
        <w:rPr>
          <w:vertAlign w:val="superscript"/>
        </w:rPr>
        <w:t>8</w:t>
      </w:r>
      <w:r w:rsidR="0013660B">
        <w:rPr>
          <w:vertAlign w:val="superscript"/>
        </w:rPr>
        <w:t xml:space="preserve"> </w:t>
      </w:r>
      <w:r w:rsidRPr="002A4FC0">
        <w:t xml:space="preserve">Ideally, to attribute RDS as </w:t>
      </w:r>
      <w:r w:rsidR="00D00B7F">
        <w:t xml:space="preserve">a </w:t>
      </w:r>
      <w:r w:rsidR="00CD31D6">
        <w:t>COD</w:t>
      </w:r>
      <w:r w:rsidRPr="002A4FC0">
        <w:t xml:space="preserve">, evidence of </w:t>
      </w:r>
      <w:r w:rsidR="003000F2" w:rsidRPr="002A4FC0">
        <w:t>respiratory difficulty</w:t>
      </w:r>
      <w:r w:rsidRPr="002A4FC0">
        <w:t xml:space="preserve"> soon after birth</w:t>
      </w:r>
      <w:r w:rsidR="00711874">
        <w:t xml:space="preserve"> together with</w:t>
      </w:r>
      <w:r w:rsidR="006A7552">
        <w:t xml:space="preserve"> x-ray</w:t>
      </w:r>
      <w:r w:rsidR="00826C14">
        <w:t xml:space="preserve"> </w:t>
      </w:r>
      <w:r w:rsidRPr="002A4FC0">
        <w:t>findings pathognom</w:t>
      </w:r>
      <w:r w:rsidR="003E0E64">
        <w:t>onic for RDS, and/or</w:t>
      </w:r>
      <w:r w:rsidRPr="002A4FC0">
        <w:t xml:space="preserve"> hyaline membranes o</w:t>
      </w:r>
      <w:r w:rsidR="00CD31D6">
        <w:t>n pulmonary histology</w:t>
      </w:r>
      <w:r w:rsidR="00711874">
        <w:t xml:space="preserve"> are needed</w:t>
      </w:r>
      <w:r w:rsidRPr="002A4FC0">
        <w:t xml:space="preserve">.  </w:t>
      </w:r>
    </w:p>
    <w:p w14:paraId="5275C7A0" w14:textId="40D39539" w:rsidR="00B63274" w:rsidRPr="002A4FC0" w:rsidRDefault="00850BAC" w:rsidP="00160DE1">
      <w:pPr>
        <w:spacing w:line="360" w:lineRule="auto"/>
      </w:pPr>
      <w:r w:rsidRPr="002A4FC0">
        <w:t>In contrast</w:t>
      </w:r>
      <w:r w:rsidR="00B63274" w:rsidRPr="002A4FC0">
        <w:t xml:space="preserve">, few, if any, x-ray or pulmonary histological findings are pathognomonic for </w:t>
      </w:r>
      <w:r w:rsidR="005167B2" w:rsidRPr="002A4FC0">
        <w:t xml:space="preserve">birth </w:t>
      </w:r>
      <w:r w:rsidR="00B63274" w:rsidRPr="002A4FC0">
        <w:t>asphyxia.</w:t>
      </w:r>
      <w:r w:rsidR="00553B37" w:rsidRPr="002A4FC0">
        <w:rPr>
          <w:vertAlign w:val="superscript"/>
        </w:rPr>
        <w:t>9</w:t>
      </w:r>
      <w:r w:rsidR="00F927E6" w:rsidRPr="002A4FC0">
        <w:rPr>
          <w:vertAlign w:val="superscript"/>
        </w:rPr>
        <w:t>,</w:t>
      </w:r>
      <w:r w:rsidR="00D9610E" w:rsidRPr="002A4FC0">
        <w:rPr>
          <w:vertAlign w:val="superscript"/>
        </w:rPr>
        <w:t>1</w:t>
      </w:r>
      <w:r w:rsidR="00F927E6" w:rsidRPr="002A4FC0">
        <w:rPr>
          <w:vertAlign w:val="superscript"/>
        </w:rPr>
        <w:t>0</w:t>
      </w:r>
      <w:r w:rsidR="00B63274" w:rsidRPr="002A4FC0">
        <w:t xml:space="preserve"> </w:t>
      </w:r>
      <w:r w:rsidR="0013660B">
        <w:t>B</w:t>
      </w:r>
      <w:r w:rsidR="00BE4B89" w:rsidRPr="002A4FC0">
        <w:t xml:space="preserve">irth asphyxia </w:t>
      </w:r>
      <w:r w:rsidR="00B63274" w:rsidRPr="002A4FC0">
        <w:t xml:space="preserve">may </w:t>
      </w:r>
      <w:r w:rsidR="001A0F26" w:rsidRPr="002A4FC0">
        <w:t xml:space="preserve">be </w:t>
      </w:r>
      <w:r w:rsidR="00CD31D6">
        <w:t xml:space="preserve">considered </w:t>
      </w:r>
      <w:r w:rsidR="00D00B7F">
        <w:t xml:space="preserve">a </w:t>
      </w:r>
      <w:r w:rsidR="00CD31D6">
        <w:t>COD</w:t>
      </w:r>
      <w:r w:rsidR="00B63274" w:rsidRPr="002A4FC0">
        <w:t xml:space="preserve"> based on a constellation of findings includ</w:t>
      </w:r>
      <w:r w:rsidR="00711874">
        <w:t>ing</w:t>
      </w:r>
      <w:r w:rsidR="00B63274" w:rsidRPr="002A4FC0">
        <w:t xml:space="preserve"> prolonged labor, maternal preeclampsia, placental abruption or previa and low Apgar scores</w:t>
      </w:r>
      <w:r w:rsidR="00711874">
        <w:t>.</w:t>
      </w:r>
      <w:r w:rsidR="00711874" w:rsidRPr="002A4FC0">
        <w:rPr>
          <w:vertAlign w:val="superscript"/>
        </w:rPr>
        <w:t>11</w:t>
      </w:r>
      <w:r w:rsidR="00B63274" w:rsidRPr="002A4FC0">
        <w:t xml:space="preserve"> Other </w:t>
      </w:r>
      <w:r w:rsidRPr="002A4FC0">
        <w:t xml:space="preserve">suggestive </w:t>
      </w:r>
      <w:r w:rsidR="00B63274" w:rsidRPr="002A4FC0">
        <w:t>findings</w:t>
      </w:r>
      <w:r w:rsidR="00E1072D" w:rsidRPr="002A4FC0">
        <w:t>,</w:t>
      </w:r>
      <w:r w:rsidR="00B63274" w:rsidRPr="002A4FC0">
        <w:t xml:space="preserve"> based on placenta</w:t>
      </w:r>
      <w:r w:rsidR="00AF3123">
        <w:t xml:space="preserve"> examination</w:t>
      </w:r>
      <w:r w:rsidR="00B63274" w:rsidRPr="002A4FC0">
        <w:t>, include signs of abruption and lesions associated with fetal or maternal vascular malperfusion.</w:t>
      </w:r>
      <w:r w:rsidR="00D9610E" w:rsidRPr="002A4FC0">
        <w:rPr>
          <w:vertAlign w:val="superscript"/>
        </w:rPr>
        <w:t>1</w:t>
      </w:r>
      <w:r w:rsidR="00F927E6" w:rsidRPr="002A4FC0">
        <w:rPr>
          <w:vertAlign w:val="superscript"/>
        </w:rPr>
        <w:t>1</w:t>
      </w:r>
      <w:r w:rsidR="00B63274" w:rsidRPr="002A4FC0">
        <w:t xml:space="preserve"> Lower than expected newborn and placental weights </w:t>
      </w:r>
      <w:r w:rsidR="00EA4F27" w:rsidRPr="002A4FC0">
        <w:t xml:space="preserve">may also </w:t>
      </w:r>
      <w:r w:rsidR="003E0E64">
        <w:t>suggest</w:t>
      </w:r>
      <w:r w:rsidR="00B63274" w:rsidRPr="002A4FC0">
        <w:t xml:space="preserve"> birth asphyxia.</w:t>
      </w:r>
      <w:r w:rsidR="00EA4F27" w:rsidRPr="002A4FC0">
        <w:rPr>
          <w:vertAlign w:val="superscript"/>
        </w:rPr>
        <w:t>1</w:t>
      </w:r>
      <w:r w:rsidR="00F927E6" w:rsidRPr="002A4FC0">
        <w:rPr>
          <w:vertAlign w:val="superscript"/>
        </w:rPr>
        <w:t>2</w:t>
      </w:r>
      <w:r w:rsidR="00B63274" w:rsidRPr="002A4FC0">
        <w:t xml:space="preserve">  </w:t>
      </w:r>
      <w:r w:rsidR="0058098A" w:rsidRPr="002A4FC0">
        <w:t>S</w:t>
      </w:r>
      <w:r w:rsidR="00B63274" w:rsidRPr="002A4FC0">
        <w:t>igns of aspiration,</w:t>
      </w:r>
      <w:r w:rsidR="00EA4F27" w:rsidRPr="002A4FC0">
        <w:t xml:space="preserve"> especially with</w:t>
      </w:r>
      <w:r w:rsidR="00B63274" w:rsidRPr="002A4FC0">
        <w:t xml:space="preserve"> meconium present</w:t>
      </w:r>
      <w:r w:rsidR="0058098A" w:rsidRPr="002A4FC0">
        <w:t xml:space="preserve"> on histologic lung evaluation, also indicate asphyxia</w:t>
      </w:r>
      <w:r w:rsidR="00B63274" w:rsidRPr="002A4FC0">
        <w:t>.</w:t>
      </w:r>
      <w:r w:rsidR="00CD31D6">
        <w:t xml:space="preserve"> If available,</w:t>
      </w:r>
      <w:r w:rsidR="00186CCE" w:rsidRPr="002A4FC0">
        <w:t xml:space="preserve"> abnormal umbilical cord gases and e</w:t>
      </w:r>
      <w:r w:rsidR="00CD31D6">
        <w:t>vidence of brain injury may</w:t>
      </w:r>
      <w:r w:rsidR="00186CCE" w:rsidRPr="002A4FC0">
        <w:t xml:space="preserve"> </w:t>
      </w:r>
      <w:r w:rsidR="00711874">
        <w:t>suggest</w:t>
      </w:r>
      <w:r w:rsidR="00DB460D" w:rsidRPr="002A4FC0">
        <w:t xml:space="preserve"> birth asphyxia. </w:t>
      </w:r>
      <w:r w:rsidR="00B63274" w:rsidRPr="002A4FC0">
        <w:t>Thus, th</w:t>
      </w:r>
      <w:r w:rsidR="00AF3123">
        <w:t>is group of</w:t>
      </w:r>
      <w:r w:rsidR="00186CCE" w:rsidRPr="002A4FC0">
        <w:t xml:space="preserve"> findings is highly suggestive</w:t>
      </w:r>
      <w:r w:rsidR="00CD31D6">
        <w:t xml:space="preserve"> of asphyxia as a COD</w:t>
      </w:r>
      <w:r w:rsidR="00186CCE" w:rsidRPr="002A4FC0">
        <w:t>. This is</w:t>
      </w:r>
      <w:r w:rsidR="00B63274" w:rsidRPr="002A4FC0">
        <w:t xml:space="preserve"> especially</w:t>
      </w:r>
      <w:r w:rsidR="00186CCE" w:rsidRPr="002A4FC0">
        <w:t xml:space="preserve"> true</w:t>
      </w:r>
      <w:r w:rsidR="00B63274" w:rsidRPr="002A4FC0">
        <w:t xml:space="preserve"> </w:t>
      </w:r>
      <w:r w:rsidR="0058098A" w:rsidRPr="002A4FC0">
        <w:t>when</w:t>
      </w:r>
      <w:r w:rsidR="00B63274" w:rsidRPr="002A4FC0">
        <w:t xml:space="preserve"> microbiology and histology </w:t>
      </w:r>
      <w:r w:rsidR="007813E5" w:rsidRPr="002A4FC0">
        <w:t>evaluations</w:t>
      </w:r>
      <w:r w:rsidR="0058098A" w:rsidRPr="002A4FC0">
        <w:t xml:space="preserve"> rule out</w:t>
      </w:r>
      <w:r w:rsidR="00B63274" w:rsidRPr="002A4FC0">
        <w:t xml:space="preserve"> pneumonia or sepsis. </w:t>
      </w:r>
    </w:p>
    <w:p w14:paraId="18CD4C7A" w14:textId="1349A53F" w:rsidR="00B63274" w:rsidRPr="002A4FC0" w:rsidRDefault="00186CCE" w:rsidP="00160DE1">
      <w:pPr>
        <w:spacing w:line="360" w:lineRule="auto"/>
      </w:pPr>
      <w:r w:rsidRPr="002A4FC0">
        <w:t xml:space="preserve">While </w:t>
      </w:r>
      <w:r w:rsidR="00850BAC" w:rsidRPr="002A4FC0">
        <w:t xml:space="preserve">complete </w:t>
      </w:r>
      <w:r w:rsidR="00B63274" w:rsidRPr="002A4FC0">
        <w:t>clinical and diagnostic</w:t>
      </w:r>
      <w:r w:rsidRPr="002A4FC0">
        <w:t xml:space="preserve"> information </w:t>
      </w:r>
      <w:r w:rsidR="00CD31D6">
        <w:t>are</w:t>
      </w:r>
      <w:r w:rsidRPr="002A4FC0">
        <w:t xml:space="preserve"> rarely </w:t>
      </w:r>
      <w:r w:rsidR="00543D85">
        <w:t>available</w:t>
      </w:r>
      <w:r w:rsidR="00B63274" w:rsidRPr="002A4FC0">
        <w:t xml:space="preserve"> for most neonatal death</w:t>
      </w:r>
      <w:r w:rsidR="00850BAC" w:rsidRPr="002A4FC0">
        <w:t>s</w:t>
      </w:r>
      <w:r w:rsidR="00B63274" w:rsidRPr="002A4FC0">
        <w:t>, especially in LMIC</w:t>
      </w:r>
      <w:r w:rsidR="00BE4B89" w:rsidRPr="002A4FC0">
        <w:t>s</w:t>
      </w:r>
      <w:r w:rsidR="00B63274" w:rsidRPr="002A4FC0">
        <w:t>,</w:t>
      </w:r>
      <w:r w:rsidR="0058098A" w:rsidRPr="002A4FC0">
        <w:rPr>
          <w:vertAlign w:val="superscript"/>
        </w:rPr>
        <w:t>1</w:t>
      </w:r>
      <w:r w:rsidR="00354A73" w:rsidRPr="002A4FC0">
        <w:rPr>
          <w:vertAlign w:val="superscript"/>
        </w:rPr>
        <w:t>3</w:t>
      </w:r>
      <w:r w:rsidR="00B63274" w:rsidRPr="002A4FC0">
        <w:t xml:space="preserve"> the more information </w:t>
      </w:r>
      <w:r w:rsidR="00E22F00" w:rsidRPr="002A4FC0">
        <w:t xml:space="preserve">available, the more likely </w:t>
      </w:r>
      <w:r w:rsidR="00850BAC" w:rsidRPr="002A4FC0">
        <w:t xml:space="preserve">an </w:t>
      </w:r>
      <w:r w:rsidR="00CD31D6">
        <w:t>accurate COD</w:t>
      </w:r>
      <w:r w:rsidR="00B63274" w:rsidRPr="002A4FC0">
        <w:t xml:space="preserve"> will emerge. Unfortunately, </w:t>
      </w:r>
      <w:r w:rsidR="00850BAC" w:rsidRPr="002A4FC0">
        <w:t xml:space="preserve">in </w:t>
      </w:r>
      <w:r w:rsidR="00711874">
        <w:t>most</w:t>
      </w:r>
      <w:r w:rsidR="00B63274" w:rsidRPr="002A4FC0">
        <w:t xml:space="preserve"> </w:t>
      </w:r>
      <w:r w:rsidR="00543D85">
        <w:t xml:space="preserve">COD </w:t>
      </w:r>
      <w:r w:rsidR="00850BAC" w:rsidRPr="002A4FC0">
        <w:t>studies</w:t>
      </w:r>
      <w:r w:rsidR="00B63274" w:rsidRPr="002A4FC0">
        <w:t>,</w:t>
      </w:r>
      <w:r w:rsidR="00711874">
        <w:t xml:space="preserve"> </w:t>
      </w:r>
      <w:r w:rsidR="00B63274" w:rsidRPr="002A4FC0">
        <w:t xml:space="preserve">these data were </w:t>
      </w:r>
      <w:r w:rsidR="00711874">
        <w:t>un</w:t>
      </w:r>
      <w:r w:rsidR="00B63274" w:rsidRPr="002A4FC0">
        <w:t>availa</w:t>
      </w:r>
      <w:r w:rsidR="00CD31D6">
        <w:t>ble to inform the COD</w:t>
      </w:r>
      <w:r w:rsidR="00D00B7F">
        <w:t>; this is</w:t>
      </w:r>
      <w:r w:rsidR="0058098A" w:rsidRPr="002A4FC0">
        <w:t xml:space="preserve"> a well</w:t>
      </w:r>
      <w:r w:rsidR="00B43E05" w:rsidRPr="002A4FC0">
        <w:t>-documented</w:t>
      </w:r>
      <w:r w:rsidR="00CD31D6">
        <w:t xml:space="preserve"> limitation in COD studies involving</w:t>
      </w:r>
      <w:r w:rsidR="007511C8">
        <w:t xml:space="preserve"> </w:t>
      </w:r>
      <w:r w:rsidR="00B63274" w:rsidRPr="002A4FC0">
        <w:t>verbal autopsy</w:t>
      </w:r>
      <w:r w:rsidR="00B43E05" w:rsidRPr="002A4FC0">
        <w:t xml:space="preserve"> and clinical opinion</w:t>
      </w:r>
      <w:r w:rsidR="00B63274" w:rsidRPr="002A4FC0">
        <w:t>.</w:t>
      </w:r>
      <w:r w:rsidR="00B43E05" w:rsidRPr="002A4FC0">
        <w:rPr>
          <w:vertAlign w:val="superscript"/>
        </w:rPr>
        <w:t>1</w:t>
      </w:r>
      <w:r w:rsidR="00354A73" w:rsidRPr="002A4FC0">
        <w:rPr>
          <w:vertAlign w:val="superscript"/>
        </w:rPr>
        <w:t>4</w:t>
      </w:r>
      <w:r w:rsidR="00B43E05" w:rsidRPr="002A4FC0">
        <w:rPr>
          <w:vertAlign w:val="superscript"/>
        </w:rPr>
        <w:t>,1</w:t>
      </w:r>
      <w:r w:rsidR="00354A73" w:rsidRPr="002A4FC0">
        <w:rPr>
          <w:vertAlign w:val="superscript"/>
        </w:rPr>
        <w:t>5</w:t>
      </w:r>
      <w:r w:rsidR="00C60C20" w:rsidRPr="002A4FC0">
        <w:t xml:space="preserve"> </w:t>
      </w:r>
    </w:p>
    <w:p w14:paraId="71175CD5" w14:textId="2535FBC7" w:rsidR="00850BAC" w:rsidRPr="002A4FC0" w:rsidRDefault="00850BAC" w:rsidP="00160DE1">
      <w:pPr>
        <w:spacing w:line="360" w:lineRule="auto"/>
      </w:pPr>
      <w:r w:rsidRPr="002A4FC0">
        <w:t>A</w:t>
      </w:r>
      <w:r w:rsidR="00B43E05" w:rsidRPr="002A4FC0">
        <w:t xml:space="preserve"> related</w:t>
      </w:r>
      <w:r w:rsidRPr="002A4FC0">
        <w:t xml:space="preserve"> limit</w:t>
      </w:r>
      <w:r w:rsidR="00CD31D6">
        <w:t>ation in neonatal COD</w:t>
      </w:r>
      <w:r w:rsidRPr="002A4FC0">
        <w:t xml:space="preserve"> </w:t>
      </w:r>
      <w:r w:rsidR="00B43E05" w:rsidRPr="002A4FC0">
        <w:t xml:space="preserve">studies is </w:t>
      </w:r>
      <w:r w:rsidRPr="002A4FC0">
        <w:t>individual physician</w:t>
      </w:r>
      <w:r w:rsidR="004C09E5">
        <w:t xml:space="preserve"> bia</w:t>
      </w:r>
      <w:r w:rsidRPr="002A4FC0">
        <w:t>s</w:t>
      </w:r>
      <w:r w:rsidR="00B43E05" w:rsidRPr="002A4FC0">
        <w:t xml:space="preserve"> </w:t>
      </w:r>
      <w:r w:rsidR="004C09E5">
        <w:t xml:space="preserve">in </w:t>
      </w:r>
      <w:r w:rsidR="00B43E05" w:rsidRPr="002A4FC0">
        <w:t xml:space="preserve">reporting </w:t>
      </w:r>
      <w:r w:rsidR="00CD31D6">
        <w:t>COD</w:t>
      </w:r>
      <w:r w:rsidRPr="002A4FC0">
        <w:t>.</w:t>
      </w:r>
      <w:r w:rsidR="00B43E05" w:rsidRPr="002A4FC0">
        <w:rPr>
          <w:vertAlign w:val="superscript"/>
        </w:rPr>
        <w:t>1</w:t>
      </w:r>
      <w:r w:rsidR="00354A73" w:rsidRPr="002A4FC0">
        <w:rPr>
          <w:vertAlign w:val="superscript"/>
        </w:rPr>
        <w:t>5</w:t>
      </w:r>
      <w:r w:rsidRPr="002A4FC0">
        <w:t xml:space="preserve"> </w:t>
      </w:r>
      <w:r w:rsidR="00B43E05" w:rsidRPr="002A4FC0">
        <w:t>To overcome this</w:t>
      </w:r>
      <w:r w:rsidR="006A7552">
        <w:t xml:space="preserve"> bias</w:t>
      </w:r>
      <w:r w:rsidRPr="002A4FC0">
        <w:t xml:space="preserve">, many studies assessing </w:t>
      </w:r>
      <w:r w:rsidR="00CD31D6">
        <w:t>COD</w:t>
      </w:r>
      <w:r w:rsidRPr="002A4FC0">
        <w:t xml:space="preserve"> use </w:t>
      </w:r>
      <w:r w:rsidR="00B43E05" w:rsidRPr="002A4FC0">
        <w:t>computerized algorithm</w:t>
      </w:r>
      <w:r w:rsidR="00127B16" w:rsidRPr="002A4FC0">
        <w:t>s</w:t>
      </w:r>
      <w:r w:rsidR="00B43E05" w:rsidRPr="002A4FC0">
        <w:rPr>
          <w:vertAlign w:val="superscript"/>
        </w:rPr>
        <w:t>1</w:t>
      </w:r>
      <w:r w:rsidR="00354A73" w:rsidRPr="002A4FC0">
        <w:rPr>
          <w:vertAlign w:val="superscript"/>
        </w:rPr>
        <w:t>6,17</w:t>
      </w:r>
      <w:r w:rsidR="00B43E05" w:rsidRPr="002A4FC0">
        <w:t xml:space="preserve"> or </w:t>
      </w:r>
      <w:r w:rsidR="004C09E5">
        <w:t xml:space="preserve">expert </w:t>
      </w:r>
      <w:r w:rsidRPr="002A4FC0">
        <w:t>pa</w:t>
      </w:r>
      <w:r w:rsidR="00CD31D6">
        <w:t>nels to determine COD</w:t>
      </w:r>
      <w:r w:rsidR="00B43E05" w:rsidRPr="002A4FC0">
        <w:t>.</w:t>
      </w:r>
      <w:r w:rsidR="00B43E05" w:rsidRPr="002A4FC0">
        <w:rPr>
          <w:vertAlign w:val="superscript"/>
        </w:rPr>
        <w:t>1</w:t>
      </w:r>
      <w:r w:rsidR="00354A73" w:rsidRPr="002A4FC0">
        <w:rPr>
          <w:vertAlign w:val="superscript"/>
        </w:rPr>
        <w:t>8-</w:t>
      </w:r>
      <w:r w:rsidR="008E20BB" w:rsidRPr="002A4FC0">
        <w:rPr>
          <w:vertAlign w:val="superscript"/>
        </w:rPr>
        <w:t>20</w:t>
      </w:r>
      <w:r w:rsidR="00C65B11">
        <w:rPr>
          <w:vertAlign w:val="superscript"/>
        </w:rPr>
        <w:t xml:space="preserve"> </w:t>
      </w:r>
      <w:r w:rsidRPr="002A4FC0">
        <w:t xml:space="preserve"> However, for th</w:t>
      </w:r>
      <w:r w:rsidR="004C09E5">
        <w:t xml:space="preserve">e </w:t>
      </w:r>
      <w:r w:rsidR="0060593E">
        <w:t xml:space="preserve">algorithm or </w:t>
      </w:r>
      <w:r w:rsidRPr="002A4FC0">
        <w:t xml:space="preserve">panel’s </w:t>
      </w:r>
      <w:r w:rsidR="00CD31D6">
        <w:t>COD</w:t>
      </w:r>
      <w:r w:rsidRPr="002A4FC0">
        <w:t xml:space="preserve"> attribution to be accurate,</w:t>
      </w:r>
      <w:r w:rsidR="00160DE1">
        <w:t xml:space="preserve"> appropriate clinical and laboratory data</w:t>
      </w:r>
      <w:r w:rsidR="004C09E5">
        <w:t xml:space="preserve"> </w:t>
      </w:r>
      <w:r w:rsidRPr="002A4FC0">
        <w:t>should be available.</w:t>
      </w:r>
      <w:r w:rsidR="004C09E5">
        <w:t xml:space="preserve"> </w:t>
      </w:r>
    </w:p>
    <w:p w14:paraId="47485A4C" w14:textId="40ECB5E2" w:rsidR="006B2E47" w:rsidRPr="002A4FC0" w:rsidRDefault="00B63274" w:rsidP="00160DE1">
      <w:pPr>
        <w:spacing w:line="360" w:lineRule="auto"/>
      </w:pPr>
      <w:r w:rsidRPr="002A4FC0">
        <w:t xml:space="preserve">To </w:t>
      </w:r>
      <w:r w:rsidR="00850BAC" w:rsidRPr="002A4FC0">
        <w:t>improve</w:t>
      </w:r>
      <w:r w:rsidRPr="002A4FC0">
        <w:t xml:space="preserve"> cause of preterm neonatal death</w:t>
      </w:r>
      <w:r w:rsidR="00850BAC" w:rsidRPr="002A4FC0">
        <w:t xml:space="preserve"> ascertainment</w:t>
      </w:r>
      <w:r w:rsidRPr="002A4FC0">
        <w:t>, recent advances have occurred. First, more complete</w:t>
      </w:r>
      <w:r w:rsidR="004C09E5">
        <w:t>,</w:t>
      </w:r>
      <w:r w:rsidRPr="002A4FC0">
        <w:t xml:space="preserve"> accurate data</w:t>
      </w:r>
      <w:r w:rsidR="00850BAC" w:rsidRPr="002A4FC0">
        <w:t>, generally</w:t>
      </w:r>
      <w:r w:rsidRPr="002A4FC0">
        <w:t xml:space="preserve"> in a sta</w:t>
      </w:r>
      <w:r w:rsidR="00FD50F6" w:rsidRPr="002A4FC0">
        <w:t>ndardized format</w:t>
      </w:r>
      <w:r w:rsidR="00543D85">
        <w:t>,</w:t>
      </w:r>
      <w:r w:rsidR="004C09E5">
        <w:t xml:space="preserve"> has been encouraged for</w:t>
      </w:r>
      <w:r w:rsidR="00CD31D6">
        <w:t xml:space="preserve"> COD examinations</w:t>
      </w:r>
      <w:r w:rsidR="00FD50F6" w:rsidRPr="002A4FC0">
        <w:t>.</w:t>
      </w:r>
      <w:r w:rsidR="006B2E47" w:rsidRPr="002A4FC0">
        <w:rPr>
          <w:vertAlign w:val="superscript"/>
        </w:rPr>
        <w:t>20</w:t>
      </w:r>
      <w:r w:rsidR="0099486E">
        <w:rPr>
          <w:vertAlign w:val="superscript"/>
        </w:rPr>
        <w:t>,21</w:t>
      </w:r>
      <w:r w:rsidR="00FD50F6" w:rsidRPr="002A4FC0">
        <w:t xml:space="preserve"> Also, </w:t>
      </w:r>
      <w:r w:rsidRPr="002A4FC0">
        <w:t xml:space="preserve">minimally invasive tissue sampling (MITS) to </w:t>
      </w:r>
      <w:r w:rsidR="004C09E5">
        <w:t xml:space="preserve">evaluate </w:t>
      </w:r>
      <w:r w:rsidRPr="002A4FC0">
        <w:t>various organs</w:t>
      </w:r>
      <w:r w:rsidR="00673825" w:rsidRPr="002A4FC0">
        <w:t>,</w:t>
      </w:r>
      <w:r w:rsidRPr="002A4FC0">
        <w:t xml:space="preserve"> especially the lung</w:t>
      </w:r>
      <w:r w:rsidR="00673825" w:rsidRPr="002A4FC0">
        <w:t>,</w:t>
      </w:r>
      <w:r w:rsidR="006A7552">
        <w:t xml:space="preserve"> </w:t>
      </w:r>
      <w:r w:rsidRPr="002A4FC0">
        <w:t>for histolog</w:t>
      </w:r>
      <w:r w:rsidR="006A7552">
        <w:t>y</w:t>
      </w:r>
      <w:r w:rsidRPr="002A4FC0">
        <w:t xml:space="preserve"> a</w:t>
      </w:r>
      <w:r w:rsidR="005167B2" w:rsidRPr="002A4FC0">
        <w:t>nd organism identification</w:t>
      </w:r>
      <w:r w:rsidRPr="002A4FC0">
        <w:t xml:space="preserve"> has enable</w:t>
      </w:r>
      <w:r w:rsidR="004C09E5">
        <w:t xml:space="preserve">d </w:t>
      </w:r>
      <w:r w:rsidRPr="002A4FC0">
        <w:t xml:space="preserve">investigators to better assess </w:t>
      </w:r>
      <w:r w:rsidR="007813E5" w:rsidRPr="002A4FC0">
        <w:t xml:space="preserve">infectious </w:t>
      </w:r>
      <w:r w:rsidR="00CD31D6">
        <w:t>COD</w:t>
      </w:r>
      <w:r w:rsidRPr="002A4FC0">
        <w:t>.</w:t>
      </w:r>
      <w:r w:rsidR="006B2E47" w:rsidRPr="002A4FC0">
        <w:rPr>
          <w:vertAlign w:val="superscript"/>
        </w:rPr>
        <w:t>2</w:t>
      </w:r>
      <w:r w:rsidR="0099486E">
        <w:rPr>
          <w:vertAlign w:val="superscript"/>
        </w:rPr>
        <w:t>2-</w:t>
      </w:r>
      <w:r w:rsidR="006B2E47" w:rsidRPr="002A4FC0">
        <w:rPr>
          <w:vertAlign w:val="superscript"/>
        </w:rPr>
        <w:t>2</w:t>
      </w:r>
      <w:r w:rsidR="0099486E">
        <w:rPr>
          <w:vertAlign w:val="superscript"/>
        </w:rPr>
        <w:t>4</w:t>
      </w:r>
      <w:r w:rsidRPr="002A4FC0">
        <w:t xml:space="preserve"> Finally</w:t>
      </w:r>
      <w:r w:rsidR="00CA6EF1" w:rsidRPr="002A4FC0">
        <w:t>,</w:t>
      </w:r>
      <w:r w:rsidR="0051034E" w:rsidRPr="002A4FC0">
        <w:t xml:space="preserve"> </w:t>
      </w:r>
      <w:r w:rsidR="00FD50F6" w:rsidRPr="002A4FC0">
        <w:t>placental histology</w:t>
      </w:r>
      <w:r w:rsidR="00543D85">
        <w:t>,</w:t>
      </w:r>
      <w:r w:rsidR="00FD50F6" w:rsidRPr="002A4FC0">
        <w:t xml:space="preserve"> </w:t>
      </w:r>
      <w:r w:rsidR="004C09E5">
        <w:t>including assessment of</w:t>
      </w:r>
      <w:r w:rsidR="00FD50F6" w:rsidRPr="002A4FC0">
        <w:t xml:space="preserve"> placental</w:t>
      </w:r>
      <w:r w:rsidRPr="002A4FC0">
        <w:t xml:space="preserve"> </w:t>
      </w:r>
      <w:proofErr w:type="spellStart"/>
      <w:r w:rsidRPr="002A4FC0">
        <w:t>malperfusion</w:t>
      </w:r>
      <w:proofErr w:type="spellEnd"/>
      <w:r w:rsidRPr="002A4FC0">
        <w:t xml:space="preserve"> a</w:t>
      </w:r>
      <w:r w:rsidR="004C09E5">
        <w:t>nd</w:t>
      </w:r>
      <w:r w:rsidRPr="002A4FC0">
        <w:t xml:space="preserve"> inflammati</w:t>
      </w:r>
      <w:r w:rsidR="007511C8">
        <w:t>on</w:t>
      </w:r>
      <w:r w:rsidR="00543D85">
        <w:t>,</w:t>
      </w:r>
      <w:r w:rsidR="007511C8">
        <w:t xml:space="preserve"> </w:t>
      </w:r>
      <w:r w:rsidR="004C09E5">
        <w:t>are</w:t>
      </w:r>
      <w:r w:rsidR="007511C8">
        <w:t xml:space="preserve"> now </w:t>
      </w:r>
      <w:r w:rsidR="00543D85">
        <w:t xml:space="preserve">more widely </w:t>
      </w:r>
      <w:r w:rsidRPr="002A4FC0">
        <w:t>available.</w:t>
      </w:r>
      <w:r w:rsidR="00CF2791" w:rsidRPr="00CF2791">
        <w:rPr>
          <w:vertAlign w:val="superscript"/>
        </w:rPr>
        <w:t>11,</w:t>
      </w:r>
      <w:r w:rsidR="006B2E47" w:rsidRPr="002A4FC0">
        <w:rPr>
          <w:vertAlign w:val="superscript"/>
        </w:rPr>
        <w:t>23</w:t>
      </w:r>
      <w:r w:rsidR="00DB101B" w:rsidRPr="002A4FC0">
        <w:t xml:space="preserve"> </w:t>
      </w:r>
    </w:p>
    <w:p w14:paraId="694BEAA4" w14:textId="7866A74C" w:rsidR="00B63274" w:rsidRPr="002A4FC0" w:rsidRDefault="00300F8F" w:rsidP="00EA2CC9">
      <w:pPr>
        <w:spacing w:line="360" w:lineRule="auto"/>
      </w:pPr>
      <w:r w:rsidRPr="002A4FC0">
        <w:t xml:space="preserve">For this study, our objective was to compare the assignment of RDS and </w:t>
      </w:r>
      <w:r w:rsidR="003730A6" w:rsidRPr="002A4FC0">
        <w:t>birth asphyxia</w:t>
      </w:r>
      <w:r w:rsidR="00B63274" w:rsidRPr="002A4FC0">
        <w:t xml:space="preserve"> by the </w:t>
      </w:r>
      <w:r w:rsidR="00CA6EF1" w:rsidRPr="002A4FC0">
        <w:t xml:space="preserve">NICU </w:t>
      </w:r>
      <w:r w:rsidR="00B63274" w:rsidRPr="002A4FC0">
        <w:t xml:space="preserve">physician at the time of death </w:t>
      </w:r>
      <w:r w:rsidR="00850BAC" w:rsidRPr="002A4FC0">
        <w:t xml:space="preserve">with the proportion of </w:t>
      </w:r>
      <w:r w:rsidR="007511C8">
        <w:t xml:space="preserve">causes </w:t>
      </w:r>
      <w:r w:rsidR="00850BAC" w:rsidRPr="002A4FC0">
        <w:t>identified</w:t>
      </w:r>
      <w:r w:rsidR="00DB460D" w:rsidRPr="002A4FC0">
        <w:t xml:space="preserve"> by a panel </w:t>
      </w:r>
      <w:r w:rsidR="004C09E5">
        <w:t>with</w:t>
      </w:r>
      <w:r w:rsidR="00B63274" w:rsidRPr="002A4FC0">
        <w:t xml:space="preserve"> </w:t>
      </w:r>
      <w:r w:rsidR="004C09E5">
        <w:t>more complete</w:t>
      </w:r>
      <w:r w:rsidR="00B63274" w:rsidRPr="002A4FC0">
        <w:t xml:space="preserve"> </w:t>
      </w:r>
      <w:r w:rsidR="004C016D" w:rsidRPr="002A4FC0">
        <w:t xml:space="preserve">obstetric history, </w:t>
      </w:r>
      <w:r w:rsidR="00B63274" w:rsidRPr="002A4FC0">
        <w:t>the placenta</w:t>
      </w:r>
      <w:r w:rsidR="004C09E5">
        <w:t xml:space="preserve"> evaluation</w:t>
      </w:r>
      <w:r w:rsidR="00B63274" w:rsidRPr="002A4FC0">
        <w:t xml:space="preserve">, tissue histology and microbiology. Our hypothesis was that discharging physicians, </w:t>
      </w:r>
      <w:r w:rsidR="004C09E5">
        <w:t>relying on</w:t>
      </w:r>
      <w:r w:rsidR="00B63274" w:rsidRPr="002A4FC0">
        <w:t xml:space="preserve"> data </w:t>
      </w:r>
      <w:r w:rsidR="00D00B7F">
        <w:t xml:space="preserve">only </w:t>
      </w:r>
      <w:r w:rsidR="00B63274" w:rsidRPr="002A4FC0">
        <w:t>available at time of death, w</w:t>
      </w:r>
      <w:r w:rsidR="007813E5" w:rsidRPr="002A4FC0">
        <w:t>ould</w:t>
      </w:r>
      <w:r w:rsidR="00B63274" w:rsidRPr="002A4FC0">
        <w:t xml:space="preserve"> more often report RDS as the cause of preterm neonatal death, while the panel, with more comprehensive information available, </w:t>
      </w:r>
      <w:r w:rsidR="001E3EE0" w:rsidRPr="002A4FC0">
        <w:t xml:space="preserve">and perhaps being less biased because they were not involved in the </w:t>
      </w:r>
      <w:r w:rsidR="00D00B7F">
        <w:t xml:space="preserve">clinical </w:t>
      </w:r>
      <w:r w:rsidR="001E3EE0" w:rsidRPr="002A4FC0">
        <w:t xml:space="preserve">care, </w:t>
      </w:r>
      <w:r w:rsidR="00B63274" w:rsidRPr="002A4FC0">
        <w:t>w</w:t>
      </w:r>
      <w:r w:rsidR="00466101" w:rsidRPr="002A4FC0">
        <w:t>ould</w:t>
      </w:r>
      <w:r w:rsidR="00B63274" w:rsidRPr="002A4FC0">
        <w:t xml:space="preserve"> more </w:t>
      </w:r>
      <w:r w:rsidR="00466101" w:rsidRPr="002A4FC0">
        <w:t>frequently</w:t>
      </w:r>
      <w:r w:rsidR="00B63274" w:rsidRPr="002A4FC0">
        <w:t xml:space="preserve"> designate </w:t>
      </w:r>
      <w:r w:rsidR="00DB460D" w:rsidRPr="002A4FC0">
        <w:t xml:space="preserve">birth </w:t>
      </w:r>
      <w:r w:rsidR="00B63274" w:rsidRPr="002A4FC0">
        <w:t>asphyxia</w:t>
      </w:r>
      <w:r w:rsidR="00702CFA">
        <w:t xml:space="preserve"> as the </w:t>
      </w:r>
      <w:r w:rsidR="00602591">
        <w:t>COD</w:t>
      </w:r>
      <w:r w:rsidR="00B63274" w:rsidRPr="002A4FC0">
        <w:t>. We believe this distinction is not only of academic interest, but crucial for medical practice and research direction, since death from birth asphyxia is often preventable by better obstetric care and appropriate neonatal resuscitation, while death from RDS requires different strategies to reduce mortality.</w:t>
      </w:r>
    </w:p>
    <w:p w14:paraId="20758406" w14:textId="77777777" w:rsidR="00B63274" w:rsidRPr="002A4FC0" w:rsidRDefault="00B63274" w:rsidP="00EA2CC9">
      <w:pPr>
        <w:spacing w:line="360" w:lineRule="auto"/>
        <w:rPr>
          <w:b/>
        </w:rPr>
      </w:pPr>
      <w:r w:rsidRPr="002A4FC0">
        <w:rPr>
          <w:b/>
        </w:rPr>
        <w:t>Methods</w:t>
      </w:r>
    </w:p>
    <w:p w14:paraId="5D0BA172" w14:textId="516E06C0" w:rsidR="007C0B8D" w:rsidRDefault="00B63274" w:rsidP="00EA2CC9">
      <w:pPr>
        <w:spacing w:line="360" w:lineRule="auto"/>
      </w:pPr>
      <w:r w:rsidRPr="002A4FC0">
        <w:t xml:space="preserve">The </w:t>
      </w:r>
      <w:r w:rsidR="001E3EE0" w:rsidRPr="002A4FC0">
        <w:t>data in this report were derived</w:t>
      </w:r>
      <w:r w:rsidRPr="002A4FC0">
        <w:t xml:space="preserve"> from data collected for the </w:t>
      </w:r>
      <w:proofErr w:type="spellStart"/>
      <w:r w:rsidRPr="002A4FC0">
        <w:t>PURPOSe</w:t>
      </w:r>
      <w:proofErr w:type="spellEnd"/>
      <w:r w:rsidRPr="002A4FC0">
        <w:t xml:space="preserve"> study.</w:t>
      </w:r>
      <w:r w:rsidR="006B2E47" w:rsidRPr="002A4FC0">
        <w:rPr>
          <w:vertAlign w:val="superscript"/>
        </w:rPr>
        <w:t>24</w:t>
      </w:r>
      <w:r w:rsidRPr="002A4FC0">
        <w:t xml:space="preserve"> Briefly, the </w:t>
      </w:r>
      <w:proofErr w:type="spellStart"/>
      <w:r w:rsidRPr="002A4FC0">
        <w:t>PURPOSe</w:t>
      </w:r>
      <w:proofErr w:type="spellEnd"/>
      <w:r w:rsidRPr="002A4FC0">
        <w:t xml:space="preserve"> study was </w:t>
      </w:r>
      <w:r w:rsidR="004C54D4">
        <w:t xml:space="preserve">a prospective, observational cohort study </w:t>
      </w:r>
      <w:r w:rsidRPr="002A4FC0">
        <w:t>performed</w:t>
      </w:r>
      <w:r w:rsidR="00160DE1">
        <w:t xml:space="preserve"> in India and Pakistan from 2018 to</w:t>
      </w:r>
      <w:r w:rsidRPr="002A4FC0">
        <w:t xml:space="preserve"> 2020 to determine </w:t>
      </w:r>
      <w:r w:rsidR="00602591">
        <w:t>COD</w:t>
      </w:r>
      <w:r w:rsidRPr="002A4FC0">
        <w:t xml:space="preserve"> in preterm neonates and stillbirths. This </w:t>
      </w:r>
      <w:r w:rsidR="00A9429D">
        <w:t>study evaluated only</w:t>
      </w:r>
      <w:r w:rsidRPr="002A4FC0">
        <w:t xml:space="preserve"> the preterm neonatal deaths among </w:t>
      </w:r>
      <w:r w:rsidR="0017126C">
        <w:t xml:space="preserve">liveborn </w:t>
      </w:r>
      <w:r w:rsidRPr="002A4FC0">
        <w:t>infants who were admitted to a study neonatal intensive care unit (NICU) and died prior to discharge</w:t>
      </w:r>
      <w:r w:rsidR="004C54D4">
        <w:t>, up to 28 days post-delivery</w:t>
      </w:r>
      <w:r w:rsidRPr="002A4FC0">
        <w:t xml:space="preserve">. </w:t>
      </w:r>
      <w:r w:rsidR="00602591">
        <w:t xml:space="preserve">The </w:t>
      </w:r>
      <w:r w:rsidR="00543D85">
        <w:t xml:space="preserve">study </w:t>
      </w:r>
      <w:r w:rsidR="00602591">
        <w:t>NICU</w:t>
      </w:r>
      <w:r w:rsidR="007C0B8D">
        <w:t>s</w:t>
      </w:r>
      <w:r w:rsidR="00602591">
        <w:t xml:space="preserve"> </w:t>
      </w:r>
      <w:r w:rsidR="007C0B8D">
        <w:t>included</w:t>
      </w:r>
      <w:r w:rsidRPr="002A4FC0">
        <w:t xml:space="preserve"> </w:t>
      </w:r>
      <w:r w:rsidR="007C0B8D">
        <w:t>a</w:t>
      </w:r>
      <w:r w:rsidRPr="002A4FC0">
        <w:t xml:space="preserve"> large </w:t>
      </w:r>
      <w:r w:rsidR="0035414A" w:rsidRPr="002A4FC0">
        <w:t>c</w:t>
      </w:r>
      <w:r w:rsidR="00160DE1">
        <w:t>hildren’s</w:t>
      </w:r>
      <w:r w:rsidR="0035414A" w:rsidRPr="002A4FC0">
        <w:t xml:space="preserve"> </w:t>
      </w:r>
      <w:r w:rsidRPr="002A4FC0">
        <w:t>hospital in Karachi</w:t>
      </w:r>
      <w:r w:rsidR="007C0B8D">
        <w:t xml:space="preserve">, Pakistan and </w:t>
      </w:r>
      <w:r w:rsidR="003730A6" w:rsidRPr="002A4FC0">
        <w:t>3</w:t>
      </w:r>
      <w:r w:rsidRPr="002A4FC0">
        <w:t xml:space="preserve"> NICUs within one health system </w:t>
      </w:r>
      <w:r w:rsidR="004C54D4">
        <w:t xml:space="preserve">located </w:t>
      </w:r>
      <w:r w:rsidRPr="002A4FC0">
        <w:t xml:space="preserve">in </w:t>
      </w:r>
      <w:proofErr w:type="spellStart"/>
      <w:r w:rsidRPr="002A4FC0">
        <w:t>D</w:t>
      </w:r>
      <w:r w:rsidR="0035414A" w:rsidRPr="002A4FC0">
        <w:t>a</w:t>
      </w:r>
      <w:r w:rsidRPr="002A4FC0">
        <w:t>v</w:t>
      </w:r>
      <w:r w:rsidR="0035414A" w:rsidRPr="002A4FC0">
        <w:t>a</w:t>
      </w:r>
      <w:r w:rsidRPr="002A4FC0">
        <w:t>ngere</w:t>
      </w:r>
      <w:proofErr w:type="spellEnd"/>
      <w:r w:rsidRPr="002A4FC0">
        <w:t xml:space="preserve">, </w:t>
      </w:r>
      <w:r w:rsidR="007C0B8D">
        <w:t>India</w:t>
      </w:r>
      <w:r w:rsidRPr="002A4FC0">
        <w:t xml:space="preserve">. </w:t>
      </w:r>
      <w:r w:rsidR="007C0B8D">
        <w:t xml:space="preserve"> </w:t>
      </w:r>
    </w:p>
    <w:p w14:paraId="4A764DFC" w14:textId="44C47392" w:rsidR="00A9429D" w:rsidRDefault="00B63274" w:rsidP="00EA2CC9">
      <w:pPr>
        <w:spacing w:line="360" w:lineRule="auto"/>
      </w:pPr>
      <w:r w:rsidRPr="002A4FC0">
        <w:t>The planned study sample size was 350 preterm neonatal deaths in both India and Pakistan</w:t>
      </w:r>
      <w:r w:rsidR="00466101" w:rsidRPr="002A4FC0">
        <w:t xml:space="preserve"> to provide sufficient precision</w:t>
      </w:r>
      <w:r w:rsidR="00CA6EF1" w:rsidRPr="002A4FC0">
        <w:t xml:space="preserve"> to detect </w:t>
      </w:r>
      <w:r w:rsidR="00602591">
        <w:t>COD</w:t>
      </w:r>
      <w:r w:rsidR="00CA6EF1" w:rsidRPr="002A4FC0">
        <w:t xml:space="preserve"> that</w:t>
      </w:r>
      <w:r w:rsidR="00466101" w:rsidRPr="002A4FC0">
        <w:t xml:space="preserve"> contributed to 20</w:t>
      </w:r>
      <w:r w:rsidR="00160DE1">
        <w:t xml:space="preserve">% or more of the </w:t>
      </w:r>
      <w:r w:rsidR="0017126C">
        <w:t>deaths</w:t>
      </w:r>
      <w:r w:rsidRPr="002A4FC0">
        <w:t xml:space="preserve">. To reach that target, assuming </w:t>
      </w:r>
      <w:r w:rsidR="000D6CDF" w:rsidRPr="002A4FC0">
        <w:t>the reported</w:t>
      </w:r>
      <w:r w:rsidRPr="002A4FC0">
        <w:t xml:space="preserve"> mortality rates, we attempted to screen and enroll all </w:t>
      </w:r>
      <w:r w:rsidR="00183B8B">
        <w:t xml:space="preserve">eligible </w:t>
      </w:r>
      <w:r w:rsidRPr="002A4FC0">
        <w:t xml:space="preserve">women admitted </w:t>
      </w:r>
      <w:r w:rsidR="0051034E" w:rsidRPr="002A4FC0">
        <w:t>to study hospitals</w:t>
      </w:r>
      <w:r w:rsidR="00183B8B">
        <w:t xml:space="preserve">. </w:t>
      </w:r>
      <w:r w:rsidR="00A9429D">
        <w:t>Pregnant w</w:t>
      </w:r>
      <w:r w:rsidR="00183B8B">
        <w:t>omen</w:t>
      </w:r>
      <w:r w:rsidR="00A9429D">
        <w:t xml:space="preserve"> of the local age of consent </w:t>
      </w:r>
      <w:r w:rsidR="00183B8B">
        <w:t>were eligible if they presented</w:t>
      </w:r>
      <w:r w:rsidR="0051034E" w:rsidRPr="002A4FC0">
        <w:t xml:space="preserve"> </w:t>
      </w:r>
      <w:r w:rsidRPr="002A4FC0">
        <w:t xml:space="preserve">in preterm labor or for preterm delivery over </w:t>
      </w:r>
      <w:r w:rsidR="00183B8B">
        <w:t xml:space="preserve">the </w:t>
      </w:r>
      <w:r w:rsidRPr="002A4FC0">
        <w:t>18</w:t>
      </w:r>
      <w:r w:rsidR="00183B8B">
        <w:t>-</w:t>
      </w:r>
      <w:r w:rsidRPr="002A4FC0">
        <w:t>month</w:t>
      </w:r>
      <w:r w:rsidR="00183B8B">
        <w:t xml:space="preserve"> study period</w:t>
      </w:r>
      <w:r w:rsidRPr="002A4FC0">
        <w:t xml:space="preserve">.  </w:t>
      </w:r>
    </w:p>
    <w:p w14:paraId="0D939371" w14:textId="5BC186D3" w:rsidR="005B287C" w:rsidRPr="002A4FC0" w:rsidRDefault="00B63274" w:rsidP="00EA2CC9">
      <w:pPr>
        <w:spacing w:line="360" w:lineRule="auto"/>
      </w:pPr>
      <w:r w:rsidRPr="002A4FC0">
        <w:t>For each woman enrolled</w:t>
      </w:r>
      <w:r w:rsidR="00183B8B">
        <w:t xml:space="preserve"> and consented</w:t>
      </w:r>
      <w:r w:rsidRPr="002A4FC0">
        <w:t xml:space="preserve">, we prospectively obtained clinical information, including medical history, delivery information and collected a maternal </w:t>
      </w:r>
      <w:r w:rsidR="00160DE1">
        <w:t>recto</w:t>
      </w:r>
      <w:r w:rsidRPr="002A4FC0">
        <w:t>vaginal cult</w:t>
      </w:r>
      <w:r w:rsidR="004C016D" w:rsidRPr="002A4FC0">
        <w:t xml:space="preserve">ure for </w:t>
      </w:r>
      <w:r w:rsidR="001C6C80" w:rsidRPr="002A4FC0">
        <w:t>group B streptococcus (</w:t>
      </w:r>
      <w:r w:rsidR="004C016D" w:rsidRPr="002A4FC0">
        <w:t>GBS</w:t>
      </w:r>
      <w:r w:rsidR="001C6C80" w:rsidRPr="002A4FC0">
        <w:t>)</w:t>
      </w:r>
      <w:r w:rsidR="004C016D" w:rsidRPr="002A4FC0">
        <w:t xml:space="preserve"> and the</w:t>
      </w:r>
      <w:r w:rsidRPr="002A4FC0">
        <w:t xml:space="preserve"> placenta.  </w:t>
      </w:r>
      <w:r w:rsidR="006F5BE2">
        <w:t>S</w:t>
      </w:r>
      <w:r w:rsidR="00183B8B">
        <w:t xml:space="preserve">taff then followed their </w:t>
      </w:r>
      <w:r w:rsidRPr="002A4FC0">
        <w:t>infants admitted to the study NICU</w:t>
      </w:r>
      <w:r w:rsidR="006F5BE2">
        <w:t xml:space="preserve"> until day 28, or death if prior to day 28</w:t>
      </w:r>
      <w:r w:rsidR="00183B8B">
        <w:t>. Trained</w:t>
      </w:r>
      <w:r w:rsidRPr="002A4FC0">
        <w:t xml:space="preserve"> r</w:t>
      </w:r>
      <w:r w:rsidR="00160DE1">
        <w:t>esearch staff collected</w:t>
      </w:r>
      <w:r w:rsidRPr="002A4FC0">
        <w:t xml:space="preserve"> information on the neonatal conditions daily. </w:t>
      </w:r>
      <w:r w:rsidR="0035414A" w:rsidRPr="002A4FC0">
        <w:t>Following a</w:t>
      </w:r>
      <w:r w:rsidRPr="002A4FC0">
        <w:t xml:space="preserve"> neonatal death in the NICU, the attending physician </w:t>
      </w:r>
      <w:r w:rsidR="006F5BE2">
        <w:t>determined</w:t>
      </w:r>
      <w:r w:rsidRPr="002A4FC0">
        <w:t xml:space="preserve"> major cause(s) of t</w:t>
      </w:r>
      <w:r w:rsidR="00212CB9" w:rsidRPr="002A4FC0">
        <w:t>he neonatal death based on the</w:t>
      </w:r>
      <w:r w:rsidRPr="002A4FC0">
        <w:t xml:space="preserve"> </w:t>
      </w:r>
      <w:r w:rsidR="00212CB9" w:rsidRPr="002A4FC0">
        <w:t xml:space="preserve">clinical </w:t>
      </w:r>
      <w:r w:rsidR="00160DE1">
        <w:t>course</w:t>
      </w:r>
      <w:r w:rsidR="0035414A" w:rsidRPr="002A4FC0">
        <w:t xml:space="preserve"> </w:t>
      </w:r>
      <w:r w:rsidRPr="002A4FC0">
        <w:t>and any other information available at the time of death.  Because infants</w:t>
      </w:r>
      <w:r w:rsidR="001E2259" w:rsidRPr="002A4FC0">
        <w:t xml:space="preserve"> &lt;1000g </w:t>
      </w:r>
      <w:r w:rsidRPr="002A4FC0">
        <w:t>, even if born alive</w:t>
      </w:r>
      <w:r w:rsidR="00082FC3" w:rsidRPr="002A4FC0">
        <w:t>,</w:t>
      </w:r>
      <w:r w:rsidRPr="002A4FC0">
        <w:t xml:space="preserve"> are frequently labeled as </w:t>
      </w:r>
      <w:r w:rsidR="001E2259" w:rsidRPr="002A4FC0">
        <w:t>miscarriages or abortions in these</w:t>
      </w:r>
      <w:r w:rsidRPr="002A4FC0">
        <w:t xml:space="preserve"> sites</w:t>
      </w:r>
      <w:r w:rsidR="004C016D" w:rsidRPr="002A4FC0">
        <w:t>,</w:t>
      </w:r>
      <w:r w:rsidRPr="002A4FC0">
        <w:t xml:space="preserve"> with less </w:t>
      </w:r>
      <w:r w:rsidR="004C016D" w:rsidRPr="002A4FC0">
        <w:t xml:space="preserve">stringent </w:t>
      </w:r>
      <w:r w:rsidRPr="002A4FC0">
        <w:t xml:space="preserve">attempts at salvage, the panels </w:t>
      </w:r>
      <w:r w:rsidR="00712551" w:rsidRPr="002A4FC0">
        <w:t>only determine</w:t>
      </w:r>
      <w:r w:rsidR="00850BAC" w:rsidRPr="002A4FC0">
        <w:t>d</w:t>
      </w:r>
      <w:r w:rsidR="00712551" w:rsidRPr="002A4FC0">
        <w:t xml:space="preserve"> </w:t>
      </w:r>
      <w:r w:rsidR="00602591">
        <w:t>COD</w:t>
      </w:r>
      <w:r w:rsidR="001C0112" w:rsidRPr="002A4FC0">
        <w:t xml:space="preserve"> </w:t>
      </w:r>
      <w:r w:rsidRPr="002A4FC0">
        <w:t xml:space="preserve">in infants </w:t>
      </w:r>
      <w:r w:rsidR="001E2259" w:rsidRPr="002A4FC0">
        <w:t>born weighing</w:t>
      </w:r>
      <w:r w:rsidRPr="002A4FC0">
        <w:t xml:space="preserve"> </w:t>
      </w:r>
      <w:r w:rsidRPr="002A4FC0">
        <w:rPr>
          <w:u w:val="single"/>
        </w:rPr>
        <w:t>&gt;</w:t>
      </w:r>
      <w:r w:rsidR="001C6C80" w:rsidRPr="002A4FC0">
        <w:t>1000g</w:t>
      </w:r>
      <w:r w:rsidRPr="002A4FC0">
        <w:t xml:space="preserve">. </w:t>
      </w:r>
    </w:p>
    <w:p w14:paraId="537A8E55" w14:textId="05570B88" w:rsidR="00B63274" w:rsidRPr="002A4FC0" w:rsidRDefault="00850BAC" w:rsidP="006B2E47">
      <w:pPr>
        <w:spacing w:line="360" w:lineRule="auto"/>
      </w:pPr>
      <w:r w:rsidRPr="002A4FC0">
        <w:t>The panel</w:t>
      </w:r>
      <w:r w:rsidR="00DB101B" w:rsidRPr="002A4FC0">
        <w:t>s</w:t>
      </w:r>
      <w:r w:rsidR="00B63274" w:rsidRPr="002A4FC0">
        <w:t xml:space="preserve"> assigned primary and contributing </w:t>
      </w:r>
      <w:r w:rsidR="00602591">
        <w:t>COD</w:t>
      </w:r>
      <w:r w:rsidR="00B63274" w:rsidRPr="002A4FC0">
        <w:t xml:space="preserve"> using the </w:t>
      </w:r>
      <w:r w:rsidR="0035414A" w:rsidRPr="002A4FC0">
        <w:t>International Classification of Disease (</w:t>
      </w:r>
      <w:r w:rsidR="00B63274" w:rsidRPr="002A4FC0">
        <w:t>ICD-</w:t>
      </w:r>
      <w:r w:rsidR="0035414A" w:rsidRPr="002A4FC0">
        <w:t xml:space="preserve">10 </w:t>
      </w:r>
      <w:r w:rsidR="00B63274" w:rsidRPr="002A4FC0">
        <w:t>PM</w:t>
      </w:r>
      <w:r w:rsidR="0035414A" w:rsidRPr="002A4FC0">
        <w:t>)</w:t>
      </w:r>
      <w:r w:rsidR="00B63274" w:rsidRPr="002A4FC0">
        <w:t xml:space="preserve"> classification. </w:t>
      </w:r>
      <w:r w:rsidR="00F67EBE" w:rsidRPr="002A4FC0">
        <w:t>The panel</w:t>
      </w:r>
      <w:r w:rsidR="007C0B8D">
        <w:t>ist</w:t>
      </w:r>
      <w:r w:rsidR="00DB101B" w:rsidRPr="002A4FC0">
        <w:t>s</w:t>
      </w:r>
      <w:r w:rsidR="00F67EBE" w:rsidRPr="002A4FC0">
        <w:t xml:space="preserve"> received training in </w:t>
      </w:r>
      <w:r w:rsidR="00602591">
        <w:t>COD</w:t>
      </w:r>
      <w:r w:rsidR="00F67EBE" w:rsidRPr="002A4FC0">
        <w:t xml:space="preserve"> ascertainment and were given and referred to the </w:t>
      </w:r>
      <w:proofErr w:type="spellStart"/>
      <w:r w:rsidR="00F67EBE" w:rsidRPr="002A4FC0">
        <w:t>PURPOSe</w:t>
      </w:r>
      <w:proofErr w:type="spellEnd"/>
      <w:r w:rsidR="00F67EBE" w:rsidRPr="002A4FC0">
        <w:t xml:space="preserve"> </w:t>
      </w:r>
      <w:r w:rsidR="005B287C" w:rsidRPr="002A4FC0">
        <w:t>Determining Cause of Death (</w:t>
      </w:r>
      <w:proofErr w:type="spellStart"/>
      <w:r w:rsidR="00F67EBE" w:rsidRPr="002A4FC0">
        <w:t>D</w:t>
      </w:r>
      <w:r w:rsidR="007C0B8D">
        <w:t>e</w:t>
      </w:r>
      <w:r w:rsidR="00F67EBE" w:rsidRPr="002A4FC0">
        <w:t>CODE</w:t>
      </w:r>
      <w:proofErr w:type="spellEnd"/>
      <w:r w:rsidR="005B287C" w:rsidRPr="002A4FC0">
        <w:t>)</w:t>
      </w:r>
      <w:r w:rsidR="00F67EBE" w:rsidRPr="002A4FC0">
        <w:t xml:space="preserve"> manual developed for </w:t>
      </w:r>
      <w:r w:rsidR="005B287C" w:rsidRPr="002A4FC0">
        <w:t>PURPOSE</w:t>
      </w:r>
      <w:r w:rsidR="006B2E47" w:rsidRPr="002A4FC0">
        <w:rPr>
          <w:vertAlign w:val="superscript"/>
        </w:rPr>
        <w:t>26</w:t>
      </w:r>
      <w:r w:rsidR="005B287C" w:rsidRPr="002A4FC0">
        <w:t xml:space="preserve">, as adapted from </w:t>
      </w:r>
      <w:r w:rsidR="00F67EBE" w:rsidRPr="002A4FC0">
        <w:t xml:space="preserve">the </w:t>
      </w:r>
      <w:r w:rsidR="005B287C" w:rsidRPr="002A4FC0">
        <w:t>Child Health and Mortality Prevention (</w:t>
      </w:r>
      <w:r w:rsidR="00F67EBE" w:rsidRPr="002A4FC0">
        <w:t>CHAMPS</w:t>
      </w:r>
      <w:r w:rsidR="005B287C" w:rsidRPr="002A4FC0">
        <w:t>)</w:t>
      </w:r>
      <w:r w:rsidR="00F67EBE" w:rsidRPr="002A4FC0">
        <w:t xml:space="preserve"> project.</w:t>
      </w:r>
      <w:r w:rsidR="006B2E47" w:rsidRPr="002A4FC0">
        <w:rPr>
          <w:vertAlign w:val="superscript"/>
        </w:rPr>
        <w:t>20</w:t>
      </w:r>
      <w:r w:rsidR="00F67EBE" w:rsidRPr="002A4FC0">
        <w:t xml:space="preserve"> </w:t>
      </w:r>
      <w:r w:rsidR="005B287C" w:rsidRPr="002A4FC0">
        <w:t>T</w:t>
      </w:r>
      <w:r w:rsidR="00CA6EF1" w:rsidRPr="002A4FC0">
        <w:t xml:space="preserve">he </w:t>
      </w:r>
      <w:proofErr w:type="spellStart"/>
      <w:r w:rsidR="00CA6EF1" w:rsidRPr="002A4FC0">
        <w:t>D</w:t>
      </w:r>
      <w:r w:rsidR="007C0B8D">
        <w:t>e</w:t>
      </w:r>
      <w:r w:rsidR="00CA6EF1" w:rsidRPr="002A4FC0">
        <w:t>CODE</w:t>
      </w:r>
      <w:proofErr w:type="spellEnd"/>
      <w:r w:rsidR="00F67EBE" w:rsidRPr="002A4FC0">
        <w:t xml:space="preserve"> manual</w:t>
      </w:r>
      <w:r w:rsidR="005B287C" w:rsidRPr="002A4FC0">
        <w:t xml:space="preserve"> defines all potential</w:t>
      </w:r>
      <w:r w:rsidR="00F67EBE" w:rsidRPr="002A4FC0">
        <w:t xml:space="preserve"> </w:t>
      </w:r>
      <w:r w:rsidR="00602591">
        <w:t>COD</w:t>
      </w:r>
      <w:r w:rsidR="00F67EBE" w:rsidRPr="002A4FC0">
        <w:t xml:space="preserve"> in neonates including </w:t>
      </w:r>
      <w:r w:rsidR="005B287C" w:rsidRPr="002A4FC0">
        <w:t>RDS</w:t>
      </w:r>
      <w:r w:rsidR="00F67EBE" w:rsidRPr="002A4FC0">
        <w:t xml:space="preserve"> and birth asphyxia</w:t>
      </w:r>
      <w:r w:rsidR="005B287C" w:rsidRPr="002A4FC0">
        <w:t xml:space="preserve"> based on ICD10-PM criteria</w:t>
      </w:r>
      <w:r w:rsidR="00F67EBE" w:rsidRPr="002A4FC0">
        <w:t>. As an example</w:t>
      </w:r>
      <w:r w:rsidR="003730A6" w:rsidRPr="002A4FC0">
        <w:t>,</w:t>
      </w:r>
      <w:r w:rsidR="00F67EBE" w:rsidRPr="002A4FC0">
        <w:t xml:space="preserve"> </w:t>
      </w:r>
      <w:r w:rsidR="003730A6" w:rsidRPr="002A4FC0">
        <w:t>the manual state</w:t>
      </w:r>
      <w:r w:rsidR="006B2E47" w:rsidRPr="002A4FC0">
        <w:t>s</w:t>
      </w:r>
      <w:r w:rsidR="003730A6" w:rsidRPr="002A4FC0">
        <w:t>:</w:t>
      </w:r>
      <w:r w:rsidR="00F67EBE" w:rsidRPr="002A4FC0">
        <w:t xml:space="preserve"> “The ICD-10 code is specific to RDS/HMD and should not be used for respiratory distress in general.” To determine RDS as a </w:t>
      </w:r>
      <w:r w:rsidR="00602591">
        <w:t>COD</w:t>
      </w:r>
      <w:r w:rsidR="00F67EBE" w:rsidRPr="002A4FC0">
        <w:t xml:space="preserve">, the guidance focuses on the infant being preterm, </w:t>
      </w:r>
      <w:r w:rsidR="007452D8" w:rsidRPr="002A4FC0">
        <w:t xml:space="preserve">having </w:t>
      </w:r>
      <w:r w:rsidR="00F67EBE" w:rsidRPr="002A4FC0">
        <w:t xml:space="preserve">respiratory distress, an x-ray with typical </w:t>
      </w:r>
      <w:r w:rsidR="007452D8" w:rsidRPr="002A4FC0">
        <w:t xml:space="preserve">RDS </w:t>
      </w:r>
      <w:r w:rsidR="00F67EBE" w:rsidRPr="002A4FC0">
        <w:t>characteristics and specific findings at autopsy.</w:t>
      </w:r>
      <w:r w:rsidR="007452D8" w:rsidRPr="002A4FC0">
        <w:t xml:space="preserve"> </w:t>
      </w:r>
      <w:r w:rsidR="00F67EBE" w:rsidRPr="002A4FC0">
        <w:t xml:space="preserve"> </w:t>
      </w:r>
      <w:r w:rsidR="007452D8" w:rsidRPr="002A4FC0">
        <w:t>For birth asphyxia</w:t>
      </w:r>
      <w:r w:rsidR="00602591">
        <w:t xml:space="preserve"> to be considered the COD</w:t>
      </w:r>
      <w:r w:rsidR="007452D8" w:rsidRPr="002A4FC0">
        <w:t xml:space="preserve">, </w:t>
      </w:r>
      <w:r w:rsidR="003730A6" w:rsidRPr="002A4FC0">
        <w:t xml:space="preserve">the presence of various </w:t>
      </w:r>
      <w:r w:rsidR="00F977CF" w:rsidRPr="002A4FC0">
        <w:t xml:space="preserve">maternal conditions, abnormal placental pathology, </w:t>
      </w:r>
      <w:r w:rsidR="00F977CF" w:rsidRPr="00AB6F3A">
        <w:t>respiratory distress at birth and evidence of altered neonatal neurologic status</w:t>
      </w:r>
      <w:r w:rsidR="00DB101B" w:rsidRPr="00AB6F3A">
        <w:t>,</w:t>
      </w:r>
      <w:r w:rsidR="00F977CF" w:rsidRPr="00AB6F3A">
        <w:t xml:space="preserve"> with many of the prior findings summarized by low Apgar scores</w:t>
      </w:r>
      <w:r w:rsidR="00602591" w:rsidRPr="00AB6F3A">
        <w:t xml:space="preserve"> should be present</w:t>
      </w:r>
      <w:r w:rsidR="00F977CF" w:rsidRPr="00AB6F3A">
        <w:t>.</w:t>
      </w:r>
      <w:r w:rsidR="00DB101B" w:rsidRPr="00AB6F3A">
        <w:t xml:space="preserve">  These definitions</w:t>
      </w:r>
      <w:r w:rsidR="005B287C" w:rsidRPr="00AB6F3A">
        <w:t xml:space="preserve"> are based on </w:t>
      </w:r>
      <w:r w:rsidR="006B2E47" w:rsidRPr="00AB6F3A">
        <w:t xml:space="preserve">the </w:t>
      </w:r>
      <w:r w:rsidR="007452D8" w:rsidRPr="00AB6F3A">
        <w:t xml:space="preserve">WHO and </w:t>
      </w:r>
      <w:r w:rsidR="00F977CF" w:rsidRPr="00AB6F3A">
        <w:t>the US Centers for Disease Control (</w:t>
      </w:r>
      <w:r w:rsidR="007452D8" w:rsidRPr="00AB6F3A">
        <w:t>CDC</w:t>
      </w:r>
      <w:r w:rsidR="00F977CF" w:rsidRPr="00AB6F3A">
        <w:t>)</w:t>
      </w:r>
      <w:r w:rsidR="005B287C" w:rsidRPr="00AB6F3A">
        <w:t xml:space="preserve"> guidance</w:t>
      </w:r>
      <w:r w:rsidR="007452D8" w:rsidRPr="00AB6F3A">
        <w:t>.</w:t>
      </w:r>
      <w:r w:rsidR="006B2E47" w:rsidRPr="00AB6F3A">
        <w:rPr>
          <w:vertAlign w:val="superscript"/>
        </w:rPr>
        <w:t>20</w:t>
      </w:r>
      <w:r w:rsidR="007452D8" w:rsidRPr="00AB6F3A">
        <w:t xml:space="preserve"> </w:t>
      </w:r>
      <w:r w:rsidR="006B2E47" w:rsidRPr="00AB6F3A">
        <w:t>P</w:t>
      </w:r>
      <w:r w:rsidR="00B63274" w:rsidRPr="00AB6F3A">
        <w:t xml:space="preserve">anelists had all </w:t>
      </w:r>
      <w:r w:rsidR="00082FC3" w:rsidRPr="00AB6F3A">
        <w:t xml:space="preserve">available </w:t>
      </w:r>
      <w:r w:rsidR="00B63274" w:rsidRPr="00AB6F3A">
        <w:t>information on the obstetric history, delivery,</w:t>
      </w:r>
      <w:r w:rsidR="000804E0" w:rsidRPr="00AB6F3A">
        <w:t xml:space="preserve"> NICU</w:t>
      </w:r>
      <w:r w:rsidR="00B63274" w:rsidRPr="00AB6F3A">
        <w:t xml:space="preserve"> </w:t>
      </w:r>
      <w:r w:rsidR="000804E0" w:rsidRPr="00AB6F3A">
        <w:t xml:space="preserve">clinical course which included </w:t>
      </w:r>
      <w:r w:rsidR="00AC4D82" w:rsidRPr="00AB6F3A">
        <w:t>the physician</w:t>
      </w:r>
      <w:r w:rsidR="008E2E45" w:rsidRPr="00AB6F3A">
        <w:t>’</w:t>
      </w:r>
      <w:r w:rsidR="00AC4D82" w:rsidRPr="00AB6F3A">
        <w:t>s cause of death</w:t>
      </w:r>
      <w:r w:rsidR="00AB6F3A" w:rsidRPr="00AB6F3A">
        <w:t xml:space="preserve"> classification</w:t>
      </w:r>
      <w:r w:rsidR="00AC4D82" w:rsidRPr="00AB6F3A">
        <w:t xml:space="preserve">, </w:t>
      </w:r>
      <w:r w:rsidR="00AB6F3A" w:rsidRPr="00AB6F3A">
        <w:t xml:space="preserve">and </w:t>
      </w:r>
      <w:r w:rsidR="00B63274" w:rsidRPr="00AB6F3A">
        <w:t>the histologic and PCR investigatio</w:t>
      </w:r>
      <w:r w:rsidR="00300F8F" w:rsidRPr="00AB6F3A">
        <w:t xml:space="preserve">ns derived from the placenta </w:t>
      </w:r>
      <w:r w:rsidR="00AB6F3A" w:rsidRPr="00AB6F3A">
        <w:t>and</w:t>
      </w:r>
      <w:r w:rsidR="00300F8F" w:rsidRPr="00AB6F3A">
        <w:t xml:space="preserve"> for</w:t>
      </w:r>
      <w:r w:rsidR="00B63274" w:rsidRPr="00AB6F3A">
        <w:t xml:space="preserve"> fetal samples obtained by MITS.</w:t>
      </w:r>
    </w:p>
    <w:p w14:paraId="3095D01E" w14:textId="4F29BE8C" w:rsidR="0039289B" w:rsidRPr="002A4FC0" w:rsidRDefault="00B63274" w:rsidP="0039289B">
      <w:pPr>
        <w:spacing w:line="360" w:lineRule="auto"/>
        <w:rPr>
          <w:b/>
        </w:rPr>
      </w:pPr>
      <w:r w:rsidRPr="002A4FC0">
        <w:rPr>
          <w:b/>
        </w:rPr>
        <w:t>Statistical analyses</w:t>
      </w:r>
    </w:p>
    <w:p w14:paraId="7392EAA8" w14:textId="129058E7" w:rsidR="00B63274" w:rsidRPr="002A4FC0" w:rsidRDefault="00B63274" w:rsidP="00EA2CC9">
      <w:pPr>
        <w:spacing w:line="360" w:lineRule="auto"/>
      </w:pPr>
      <w:r w:rsidRPr="002A4FC0">
        <w:t>The</w:t>
      </w:r>
      <w:r w:rsidR="001C6C80" w:rsidRPr="002A4FC0">
        <w:t xml:space="preserve"> primary outcome</w:t>
      </w:r>
      <w:r w:rsidRPr="002A4FC0">
        <w:t xml:space="preserve"> </w:t>
      </w:r>
      <w:r w:rsidR="0039289B" w:rsidRPr="002A4FC0">
        <w:t xml:space="preserve">was </w:t>
      </w:r>
      <w:r w:rsidR="00877819">
        <w:t>comparison of</w:t>
      </w:r>
      <w:r w:rsidR="0039289B" w:rsidRPr="002A4FC0">
        <w:t xml:space="preserve"> RDS and birth asphyxia</w:t>
      </w:r>
      <w:r w:rsidRPr="002A4FC0">
        <w:t xml:space="preserve"> </w:t>
      </w:r>
      <w:r w:rsidR="00877819">
        <w:t xml:space="preserve">as </w:t>
      </w:r>
      <w:r w:rsidR="00D00B7F">
        <w:t xml:space="preserve">a </w:t>
      </w:r>
      <w:r w:rsidR="00602591">
        <w:t xml:space="preserve">COD </w:t>
      </w:r>
      <w:r w:rsidRPr="002A4FC0">
        <w:t>determined by the dis</w:t>
      </w:r>
      <w:r w:rsidR="0039289B" w:rsidRPr="002A4FC0">
        <w:t>charging physician</w:t>
      </w:r>
      <w:r w:rsidR="00DB101B" w:rsidRPr="002A4FC0">
        <w:t>s</w:t>
      </w:r>
      <w:r w:rsidR="0039289B" w:rsidRPr="002A4FC0">
        <w:t xml:space="preserve"> </w:t>
      </w:r>
      <w:r w:rsidR="005B287C" w:rsidRPr="002A4FC0">
        <w:t xml:space="preserve">vs. </w:t>
      </w:r>
      <w:r w:rsidRPr="002A4FC0">
        <w:t>the panel</w:t>
      </w:r>
      <w:r w:rsidR="00602591">
        <w:t>s</w:t>
      </w:r>
      <w:r w:rsidR="00CA7D60">
        <w:t>.</w:t>
      </w:r>
      <w:r w:rsidRPr="002A4FC0">
        <w:t xml:space="preserve"> For these analyses, we c</w:t>
      </w:r>
      <w:r w:rsidR="0039289B" w:rsidRPr="002A4FC0">
        <w:t xml:space="preserve">lassified </w:t>
      </w:r>
      <w:r w:rsidRPr="002A4FC0">
        <w:t>RDS</w:t>
      </w:r>
      <w:r w:rsidR="00702CFA">
        <w:t xml:space="preserve"> as a </w:t>
      </w:r>
      <w:r w:rsidR="00602591">
        <w:t>COD</w:t>
      </w:r>
      <w:r w:rsidR="0039289B" w:rsidRPr="002A4FC0">
        <w:t xml:space="preserve"> </w:t>
      </w:r>
      <w:r w:rsidRPr="002A4FC0">
        <w:t xml:space="preserve">if RDS was listed as a either a “primary” or “contributing” </w:t>
      </w:r>
      <w:r w:rsidR="00602591">
        <w:t>COD</w:t>
      </w:r>
      <w:r w:rsidR="001E2259" w:rsidRPr="002A4FC0">
        <w:t xml:space="preserve"> </w:t>
      </w:r>
      <w:r w:rsidR="006B2E47" w:rsidRPr="002A4FC0">
        <w:t>with</w:t>
      </w:r>
      <w:r w:rsidR="001E2259" w:rsidRPr="002A4FC0">
        <w:t xml:space="preserve"> the same </w:t>
      </w:r>
      <w:r w:rsidR="006B2E47" w:rsidRPr="002A4FC0">
        <w:t>criteria</w:t>
      </w:r>
      <w:r w:rsidRPr="002A4FC0">
        <w:t xml:space="preserve"> </w:t>
      </w:r>
      <w:r w:rsidR="00B60656">
        <w:t xml:space="preserve">used </w:t>
      </w:r>
      <w:r w:rsidRPr="002A4FC0">
        <w:t xml:space="preserve">to classify birth asphyxia. We grouped the primary and contributing causes because we were primarily interested in whether the </w:t>
      </w:r>
      <w:r w:rsidR="001C6C80" w:rsidRPr="002A4FC0">
        <w:t xml:space="preserve">NICU </w:t>
      </w:r>
      <w:r w:rsidRPr="002A4FC0">
        <w:t xml:space="preserve">physician </w:t>
      </w:r>
      <w:r w:rsidR="001E2259" w:rsidRPr="002A4FC0">
        <w:t xml:space="preserve">or panel </w:t>
      </w:r>
      <w:r w:rsidRPr="002A4FC0">
        <w:t>noted</w:t>
      </w:r>
      <w:r w:rsidR="003C1425" w:rsidRPr="002A4FC0">
        <w:t xml:space="preserve"> that RDS or birth asphyxia was</w:t>
      </w:r>
      <w:r w:rsidRPr="002A4FC0">
        <w:t xml:space="preserve"> present</w:t>
      </w:r>
      <w:r w:rsidR="00D00B7F">
        <w:t xml:space="preserve"> and contributed to the death</w:t>
      </w:r>
      <w:r w:rsidRPr="002A4FC0">
        <w:t xml:space="preserve">. </w:t>
      </w:r>
      <w:r w:rsidR="0035414A" w:rsidRPr="002A4FC0">
        <w:t>Related</w:t>
      </w:r>
      <w:r w:rsidRPr="002A4FC0">
        <w:t xml:space="preserve"> conditions such as hypoxic ischemic encephalopathy for birth asphyxia or hyaline membrane disease</w:t>
      </w:r>
      <w:r w:rsidR="003C1425" w:rsidRPr="002A4FC0">
        <w:t xml:space="preserve"> </w:t>
      </w:r>
      <w:r w:rsidRPr="002A4FC0">
        <w:t xml:space="preserve">for RDS were </w:t>
      </w:r>
      <w:r w:rsidR="00535FF3" w:rsidRPr="002A4FC0">
        <w:t xml:space="preserve">grouped with </w:t>
      </w:r>
      <w:r w:rsidRPr="002A4FC0">
        <w:t>either birth asphyxia or RDS</w:t>
      </w:r>
      <w:r w:rsidR="00535FF3" w:rsidRPr="002A4FC0">
        <w:t>, as appropriate</w:t>
      </w:r>
      <w:r w:rsidRPr="002A4FC0">
        <w:t xml:space="preserve">. </w:t>
      </w:r>
      <w:r w:rsidR="00160DE1">
        <w:t>We also determined</w:t>
      </w:r>
      <w:r w:rsidR="00535FF3" w:rsidRPr="002A4FC0">
        <w:t xml:space="preserve"> when </w:t>
      </w:r>
      <w:r w:rsidRPr="002A4FC0">
        <w:t>RDS and birth asphyxia were both listed as a primar</w:t>
      </w:r>
      <w:r w:rsidR="00602591">
        <w:t>y or contributing COD</w:t>
      </w:r>
      <w:r w:rsidRPr="002A4FC0">
        <w:t xml:space="preserve">. Other causes of neonatal death were </w:t>
      </w:r>
      <w:r w:rsidR="00702CFA">
        <w:t xml:space="preserve">present in about 10% of the cases, but were </w:t>
      </w:r>
      <w:r w:rsidRPr="002A4FC0">
        <w:t>not further analy</w:t>
      </w:r>
      <w:r w:rsidR="00CA6EF1" w:rsidRPr="002A4FC0">
        <w:t>zed for this report</w:t>
      </w:r>
      <w:r w:rsidR="001C6C80" w:rsidRPr="002A4FC0">
        <w:t>. Differences between the proportions of birth asphyxia and RDS</w:t>
      </w:r>
      <w:r w:rsidRPr="002A4FC0">
        <w:t xml:space="preserve"> </w:t>
      </w:r>
      <w:r w:rsidR="001631FD" w:rsidRPr="002A4FC0">
        <w:t>attributed by the NICU physician</w:t>
      </w:r>
      <w:r w:rsidR="0017126C">
        <w:t>s</w:t>
      </w:r>
      <w:r w:rsidR="001631FD" w:rsidRPr="002A4FC0">
        <w:t xml:space="preserve"> and </w:t>
      </w:r>
      <w:r w:rsidR="00A9429D">
        <w:t xml:space="preserve">by </w:t>
      </w:r>
      <w:r w:rsidR="001631FD" w:rsidRPr="002A4FC0">
        <w:t>the panel</w:t>
      </w:r>
      <w:r w:rsidR="007C0B8D">
        <w:t>ist</w:t>
      </w:r>
      <w:r w:rsidR="0017126C">
        <w:t>s</w:t>
      </w:r>
      <w:r w:rsidR="001631FD" w:rsidRPr="002A4FC0">
        <w:t xml:space="preserve"> </w:t>
      </w:r>
      <w:r w:rsidRPr="002A4FC0">
        <w:t>were evaluated using</w:t>
      </w:r>
      <w:r w:rsidR="00273C4F" w:rsidRPr="002A4FC0">
        <w:t xml:space="preserve"> chi-square tests</w:t>
      </w:r>
      <w:r w:rsidR="005A660C" w:rsidRPr="002A4FC0">
        <w:t xml:space="preserve">. We </w:t>
      </w:r>
      <w:r w:rsidR="00A9429D">
        <w:t>assessed</w:t>
      </w:r>
      <w:r w:rsidRPr="002A4FC0">
        <w:t xml:space="preserve"> the </w:t>
      </w:r>
      <w:r w:rsidR="00A9429D">
        <w:t>results</w:t>
      </w:r>
      <w:r w:rsidRPr="002A4FC0">
        <w:t xml:space="preserve"> overall and </w:t>
      </w:r>
      <w:r w:rsidR="00A9429D">
        <w:t xml:space="preserve">separately </w:t>
      </w:r>
      <w:r w:rsidRPr="002A4FC0">
        <w:t>by study site.</w:t>
      </w:r>
    </w:p>
    <w:p w14:paraId="4B2478E5" w14:textId="3DAE4589" w:rsidR="0035414A" w:rsidRPr="002A4FC0" w:rsidRDefault="0035414A" w:rsidP="00EA2CC9">
      <w:pPr>
        <w:spacing w:line="360" w:lineRule="auto"/>
        <w:rPr>
          <w:b/>
        </w:rPr>
      </w:pPr>
      <w:r w:rsidRPr="002A4FC0">
        <w:rPr>
          <w:b/>
        </w:rPr>
        <w:t>Ethical considerations</w:t>
      </w:r>
    </w:p>
    <w:p w14:paraId="61AE5B87" w14:textId="560ECD61" w:rsidR="0035414A" w:rsidRPr="002A4FC0" w:rsidRDefault="0035414A" w:rsidP="00EA2CC9">
      <w:pPr>
        <w:spacing w:line="360" w:lineRule="auto"/>
      </w:pPr>
      <w:r w:rsidRPr="002A4FC0">
        <w:t>This study was reviewed and approved by the ethics review committees a</w:t>
      </w:r>
      <w:r w:rsidR="002E66A0">
        <w:t xml:space="preserve">t </w:t>
      </w:r>
      <w:r w:rsidRPr="002A4FC0">
        <w:t xml:space="preserve">Aga Khan University, Karachi, Pakistan; KLE Academy of Higher Education and Research, Belagavi, India; J.J.M. Medical College, </w:t>
      </w:r>
      <w:proofErr w:type="spellStart"/>
      <w:r w:rsidRPr="002A4FC0">
        <w:t>Davangere</w:t>
      </w:r>
      <w:proofErr w:type="spellEnd"/>
      <w:r w:rsidRPr="002A4FC0">
        <w:t>, India; and R</w:t>
      </w:r>
      <w:r w:rsidR="002E66A0">
        <w:t>TI International, Durham, NC US</w:t>
      </w:r>
      <w:r w:rsidRPr="002A4FC0">
        <w:t xml:space="preserve">.  All women provided informed written consent prior to participation in the study. </w:t>
      </w:r>
    </w:p>
    <w:p w14:paraId="66412B69" w14:textId="77777777" w:rsidR="00B63274" w:rsidRPr="002A4FC0" w:rsidRDefault="00B63274" w:rsidP="00EA2CC9">
      <w:pPr>
        <w:spacing w:line="360" w:lineRule="auto"/>
        <w:rPr>
          <w:b/>
        </w:rPr>
      </w:pPr>
      <w:r w:rsidRPr="002A4FC0">
        <w:rPr>
          <w:b/>
        </w:rPr>
        <w:t>Results</w:t>
      </w:r>
    </w:p>
    <w:p w14:paraId="6D2B4910" w14:textId="13FF1969" w:rsidR="00B63274" w:rsidRPr="002A4FC0" w:rsidRDefault="001E2259" w:rsidP="00535FF3">
      <w:pPr>
        <w:spacing w:line="360" w:lineRule="auto"/>
      </w:pPr>
      <w:r w:rsidRPr="002A4FC0">
        <w:t>Table 1 describes</w:t>
      </w:r>
      <w:r w:rsidR="00B63274" w:rsidRPr="002A4FC0">
        <w:t xml:space="preserve"> the s</w:t>
      </w:r>
      <w:r w:rsidR="0017126C">
        <w:t xml:space="preserve">tudy population. </w:t>
      </w:r>
      <w:r w:rsidR="00B63274" w:rsidRPr="002A4FC0">
        <w:t xml:space="preserve">Of deaths in infants </w:t>
      </w:r>
      <w:r w:rsidR="00B63274" w:rsidRPr="002A4FC0">
        <w:rPr>
          <w:u w:val="single"/>
        </w:rPr>
        <w:t>&gt;</w:t>
      </w:r>
      <w:r w:rsidR="00B63274" w:rsidRPr="002A4FC0">
        <w:t>1000</w:t>
      </w:r>
      <w:r w:rsidR="00273C4F" w:rsidRPr="002A4FC0">
        <w:t xml:space="preserve"> </w:t>
      </w:r>
      <w:r w:rsidR="0017126C">
        <w:t xml:space="preserve">g, </w:t>
      </w:r>
      <w:r w:rsidR="00B63274" w:rsidRPr="002A4FC0">
        <w:t xml:space="preserve">602 </w:t>
      </w:r>
      <w:r w:rsidR="00535FF3" w:rsidRPr="002A4FC0">
        <w:t>were</w:t>
      </w:r>
      <w:r w:rsidR="00273C4F" w:rsidRPr="002A4FC0">
        <w:t xml:space="preserve"> admitted to a</w:t>
      </w:r>
      <w:r w:rsidR="00B63274" w:rsidRPr="002A4FC0">
        <w:t xml:space="preserve"> NICU, 262 in India and 340 in Pakistan. Of these, we had both a physician and panel cause of death determination available for 17</w:t>
      </w:r>
      <w:r w:rsidR="00AB6F3A">
        <w:t>7</w:t>
      </w:r>
      <w:r w:rsidR="00B63274" w:rsidRPr="002A4FC0">
        <w:t xml:space="preserve"> of the deaths in India and 233 in Pakistan for a total of 4</w:t>
      </w:r>
      <w:r w:rsidR="00AB6F3A">
        <w:t>10</w:t>
      </w:r>
      <w:r w:rsidR="00B63274" w:rsidRPr="002A4FC0">
        <w:t xml:space="preserve"> cases</w:t>
      </w:r>
      <w:r w:rsidR="00A413AA">
        <w:t>,</w:t>
      </w:r>
      <w:r w:rsidR="00535FF3" w:rsidRPr="002A4FC0">
        <w:t xml:space="preserve"> comprising</w:t>
      </w:r>
      <w:r w:rsidR="00B63274" w:rsidRPr="002A4FC0">
        <w:t xml:space="preserve"> the analytic sample for this study. </w:t>
      </w:r>
      <w:r w:rsidR="006B43C6" w:rsidRPr="002A4FC0">
        <w:t>O</w:t>
      </w:r>
      <w:r w:rsidR="00535FF3" w:rsidRPr="002A4FC0">
        <w:t>f these,</w:t>
      </w:r>
      <w:r w:rsidR="006B43C6" w:rsidRPr="002A4FC0">
        <w:t xml:space="preserve"> about half the cases did not have a MITS </w:t>
      </w:r>
      <w:r w:rsidR="005A660C" w:rsidRPr="002A4FC0">
        <w:t xml:space="preserve">procedure </w:t>
      </w:r>
      <w:r w:rsidR="00E65791" w:rsidRPr="002A4FC0">
        <w:t xml:space="preserve">(51.2%) </w:t>
      </w:r>
      <w:r w:rsidR="006B43C6" w:rsidRPr="002A4FC0">
        <w:t>or PCR evaluation</w:t>
      </w:r>
      <w:r w:rsidR="009D22B4" w:rsidRPr="002A4FC0">
        <w:t xml:space="preserve"> </w:t>
      </w:r>
      <w:r w:rsidR="00E65791" w:rsidRPr="002A4FC0">
        <w:t>(52.</w:t>
      </w:r>
      <w:r w:rsidR="00AB6F3A">
        <w:t>6</w:t>
      </w:r>
      <w:r w:rsidR="00E65791" w:rsidRPr="002A4FC0">
        <w:t xml:space="preserve">%) </w:t>
      </w:r>
      <w:r w:rsidR="009D22B4" w:rsidRPr="002A4FC0">
        <w:t xml:space="preserve">and </w:t>
      </w:r>
      <w:r w:rsidR="00E65791" w:rsidRPr="002A4FC0">
        <w:t>4.</w:t>
      </w:r>
      <w:r w:rsidR="00AB6F3A">
        <w:t>8</w:t>
      </w:r>
      <w:r w:rsidR="009D22B4" w:rsidRPr="002A4FC0">
        <w:t xml:space="preserve">% </w:t>
      </w:r>
      <w:r w:rsidR="00E65791" w:rsidRPr="002A4FC0">
        <w:t>did not have</w:t>
      </w:r>
      <w:r w:rsidR="009D22B4" w:rsidRPr="002A4FC0">
        <w:t xml:space="preserve"> </w:t>
      </w:r>
      <w:r w:rsidR="00E65791" w:rsidRPr="002A4FC0">
        <w:t>a</w:t>
      </w:r>
      <w:r w:rsidR="009D22B4" w:rsidRPr="002A4FC0">
        <w:t xml:space="preserve"> placental evaluation. </w:t>
      </w:r>
    </w:p>
    <w:p w14:paraId="309ED690" w14:textId="1796C5BA" w:rsidR="00B63274" w:rsidRPr="002A4FC0" w:rsidRDefault="00B63274" w:rsidP="00EA2CC9">
      <w:pPr>
        <w:spacing w:line="360" w:lineRule="auto"/>
      </w:pPr>
      <w:r w:rsidRPr="002A4FC0">
        <w:t>Table 2 summarizes the m</w:t>
      </w:r>
      <w:r w:rsidR="001C6C80" w:rsidRPr="002A4FC0">
        <w:t>aternal and newborn</w:t>
      </w:r>
      <w:r w:rsidR="00D71722" w:rsidRPr="002A4FC0">
        <w:t xml:space="preserve"> characteristics</w:t>
      </w:r>
      <w:r w:rsidRPr="002A4FC0">
        <w:t xml:space="preserve"> of the 4</w:t>
      </w:r>
      <w:r w:rsidR="00AB6F3A">
        <w:t>10</w:t>
      </w:r>
      <w:r w:rsidRPr="002A4FC0">
        <w:t xml:space="preserve"> cases. The mothers in India were most often age 20 to 25 while the Pakistani mothers</w:t>
      </w:r>
      <w:r w:rsidR="006B2E47" w:rsidRPr="002A4FC0">
        <w:t>’ ages</w:t>
      </w:r>
      <w:r w:rsidRPr="002A4FC0">
        <w:t xml:space="preserve"> were more widely distributed. The mothers in Pakistan had far less schooling than the mothers in India. </w:t>
      </w:r>
      <w:r w:rsidR="001F1802" w:rsidRPr="002A4FC0">
        <w:t>F</w:t>
      </w:r>
      <w:r w:rsidR="00D71722" w:rsidRPr="002A4FC0">
        <w:t>ew mothers</w:t>
      </w:r>
      <w:r w:rsidR="00A828B0" w:rsidRPr="002A4FC0">
        <w:t xml:space="preserve"> </w:t>
      </w:r>
      <w:r w:rsidR="001F1802" w:rsidRPr="002A4FC0">
        <w:t xml:space="preserve">had </w:t>
      </w:r>
      <w:r w:rsidR="00D71722" w:rsidRPr="002A4FC0">
        <w:t>parity</w:t>
      </w:r>
      <w:r w:rsidRPr="002A4FC0">
        <w:t xml:space="preserve"> </w:t>
      </w:r>
      <w:r w:rsidR="00A828B0" w:rsidRPr="002A4FC0">
        <w:t xml:space="preserve">greater than </w:t>
      </w:r>
      <w:r w:rsidRPr="002A4FC0">
        <w:t xml:space="preserve">3 in India but nearly a quarter of the mothers in Pakistan were of higher parity. </w:t>
      </w:r>
      <w:r w:rsidR="001F1802" w:rsidRPr="002A4FC0">
        <w:t>T</w:t>
      </w:r>
      <w:r w:rsidRPr="002A4FC0">
        <w:t xml:space="preserve">he gestational age at birth in </w:t>
      </w:r>
      <w:r w:rsidR="00A828B0" w:rsidRPr="002A4FC0">
        <w:t xml:space="preserve">the </w:t>
      </w:r>
      <w:r w:rsidRPr="002A4FC0">
        <w:t xml:space="preserve">India </w:t>
      </w:r>
      <w:r w:rsidR="00A828B0" w:rsidRPr="002A4FC0">
        <w:t xml:space="preserve">site </w:t>
      </w:r>
      <w:r w:rsidRPr="002A4FC0">
        <w:t>was most commonly 32-36 weeks</w:t>
      </w:r>
      <w:r w:rsidR="00585080" w:rsidRPr="002A4FC0">
        <w:t>,</w:t>
      </w:r>
      <w:r w:rsidRPr="002A4FC0">
        <w:t xml:space="preserve"> while in Pakistan</w:t>
      </w:r>
      <w:r w:rsidR="001C6C80" w:rsidRPr="002A4FC0">
        <w:t>,</w:t>
      </w:r>
      <w:r w:rsidRPr="002A4FC0">
        <w:t xml:space="preserve"> the most common gestational age at birth was 28</w:t>
      </w:r>
      <w:r w:rsidR="001F1802" w:rsidRPr="002A4FC0">
        <w:t>-</w:t>
      </w:r>
      <w:r w:rsidRPr="002A4FC0">
        <w:t>32 weeks. Most babies in the Indian sample were 1000 to 1499</w:t>
      </w:r>
      <w:r w:rsidR="0069679E" w:rsidRPr="002A4FC0">
        <w:t xml:space="preserve"> </w:t>
      </w:r>
      <w:r w:rsidRPr="002A4FC0">
        <w:t>g while a greater percentage in Pakistan were 1500-2499</w:t>
      </w:r>
      <w:r w:rsidR="0069679E" w:rsidRPr="002A4FC0">
        <w:t xml:space="preserve"> </w:t>
      </w:r>
      <w:r w:rsidRPr="002A4FC0">
        <w:t xml:space="preserve">g. </w:t>
      </w:r>
      <w:r w:rsidR="00120CD4" w:rsidRPr="002A4FC0">
        <w:t>Of the 4</w:t>
      </w:r>
      <w:r w:rsidR="00AB6F3A">
        <w:t>10</w:t>
      </w:r>
      <w:r w:rsidR="00120CD4" w:rsidRPr="002A4FC0">
        <w:t xml:space="preserve"> infants in the study sample, </w:t>
      </w:r>
      <w:r w:rsidR="002A4FC0" w:rsidRPr="002A4FC0">
        <w:t>8</w:t>
      </w:r>
      <w:r w:rsidR="0078429C">
        <w:t>6</w:t>
      </w:r>
      <w:r w:rsidR="002A4FC0" w:rsidRPr="002A4FC0">
        <w:t>.</w:t>
      </w:r>
      <w:r w:rsidR="0078429C">
        <w:t>8</w:t>
      </w:r>
      <w:r w:rsidR="002A4FC0" w:rsidRPr="002A4FC0">
        <w:t xml:space="preserve">% </w:t>
      </w:r>
      <w:r w:rsidR="00120CD4" w:rsidRPr="002A4FC0">
        <w:t xml:space="preserve">were noted to have </w:t>
      </w:r>
      <w:r w:rsidR="00877819">
        <w:t xml:space="preserve">signs of </w:t>
      </w:r>
      <w:r w:rsidR="00120CD4" w:rsidRPr="002A4FC0">
        <w:t xml:space="preserve">respiratory distress in the </w:t>
      </w:r>
      <w:r w:rsidR="002A4FC0" w:rsidRPr="002A4FC0">
        <w:t>NICU</w:t>
      </w:r>
      <w:r w:rsidR="00120CD4" w:rsidRPr="002A4FC0">
        <w:t>.</w:t>
      </w:r>
      <w:r w:rsidR="00A6395E">
        <w:t xml:space="preserve"> Overall, 58.3% of the infants included in the study were male.</w:t>
      </w:r>
    </w:p>
    <w:p w14:paraId="6C76348B" w14:textId="74BA5119" w:rsidR="00BC761A" w:rsidRPr="002A4FC0" w:rsidRDefault="009D22B4" w:rsidP="00EA2CC9">
      <w:pPr>
        <w:spacing w:line="360" w:lineRule="auto"/>
      </w:pPr>
      <w:r w:rsidRPr="002A4FC0">
        <w:t>Table 3</w:t>
      </w:r>
      <w:r w:rsidR="00B63274" w:rsidRPr="002A4FC0">
        <w:t xml:space="preserve"> shows the </w:t>
      </w:r>
      <w:r w:rsidR="00602591">
        <w:t>COD</w:t>
      </w:r>
      <w:r w:rsidR="00B63274" w:rsidRPr="002A4FC0">
        <w:t xml:space="preserve"> as determined by the physician</w:t>
      </w:r>
      <w:r w:rsidR="00627D5A" w:rsidRPr="002A4FC0">
        <w:t>s</w:t>
      </w:r>
      <w:r w:rsidR="00B63274" w:rsidRPr="002A4FC0">
        <w:t xml:space="preserve"> and by the panel</w:t>
      </w:r>
      <w:r w:rsidR="00627D5A" w:rsidRPr="002A4FC0">
        <w:t>s</w:t>
      </w:r>
      <w:r w:rsidR="0094282B">
        <w:t>,</w:t>
      </w:r>
      <w:r w:rsidR="00B63274" w:rsidRPr="002A4FC0">
        <w:t xml:space="preserve"> </w:t>
      </w:r>
      <w:r w:rsidRPr="002A4FC0">
        <w:t xml:space="preserve">overall and </w:t>
      </w:r>
      <w:r w:rsidR="006A18CC" w:rsidRPr="002A4FC0">
        <w:t>stratified by site</w:t>
      </w:r>
      <w:r w:rsidR="00B63274" w:rsidRPr="002A4FC0">
        <w:t xml:space="preserve">. </w:t>
      </w:r>
      <w:r w:rsidR="0094282B">
        <w:t>Results</w:t>
      </w:r>
      <w:r w:rsidR="00B63274" w:rsidRPr="002A4FC0">
        <w:t xml:space="preserve"> are </w:t>
      </w:r>
      <w:r w:rsidR="001F1802" w:rsidRPr="002A4FC0">
        <w:t xml:space="preserve">categorized </w:t>
      </w:r>
      <w:r w:rsidR="00B63274" w:rsidRPr="002A4FC0">
        <w:t xml:space="preserve">as RDS only, </w:t>
      </w:r>
      <w:r w:rsidR="00BC761A" w:rsidRPr="002A4FC0">
        <w:t xml:space="preserve">birth </w:t>
      </w:r>
      <w:r w:rsidR="00B63274" w:rsidRPr="002A4FC0">
        <w:t xml:space="preserve">asphyxia only, </w:t>
      </w:r>
      <w:r w:rsidR="001F1802" w:rsidRPr="002A4FC0">
        <w:t xml:space="preserve">cases with </w:t>
      </w:r>
      <w:r w:rsidR="00A413AA">
        <w:t>both</w:t>
      </w:r>
      <w:r w:rsidR="001F1802" w:rsidRPr="002A4FC0">
        <w:t xml:space="preserve"> RDS </w:t>
      </w:r>
      <w:r w:rsidR="00A413AA">
        <w:t>and birth</w:t>
      </w:r>
      <w:r w:rsidR="001F1802" w:rsidRPr="002A4FC0">
        <w:t xml:space="preserve"> asphyxia</w:t>
      </w:r>
      <w:r w:rsidR="00A413AA">
        <w:t xml:space="preserve"> or </w:t>
      </w:r>
      <w:r w:rsidR="00CA7D60">
        <w:t xml:space="preserve">cases </w:t>
      </w:r>
      <w:r w:rsidR="00A413AA">
        <w:t>with neither condition</w:t>
      </w:r>
      <w:r w:rsidR="00B63274" w:rsidRPr="002A4FC0">
        <w:t xml:space="preserve">. We also </w:t>
      </w:r>
      <w:r w:rsidR="00535FF3" w:rsidRPr="002A4FC0">
        <w:t xml:space="preserve">calculated </w:t>
      </w:r>
      <w:r w:rsidR="00A413AA">
        <w:t xml:space="preserve">whether </w:t>
      </w:r>
      <w:r w:rsidR="00B63274" w:rsidRPr="002A4FC0">
        <w:t xml:space="preserve">any RDS, or any birth asphyxia </w:t>
      </w:r>
      <w:r w:rsidR="00A413AA">
        <w:t xml:space="preserve">was </w:t>
      </w:r>
      <w:r w:rsidR="00B63274" w:rsidRPr="002A4FC0">
        <w:t xml:space="preserve">determined as a </w:t>
      </w:r>
      <w:r w:rsidR="00602591">
        <w:t>COD</w:t>
      </w:r>
      <w:r w:rsidR="00B63274" w:rsidRPr="002A4FC0">
        <w:t xml:space="preserve"> by the </w:t>
      </w:r>
      <w:r w:rsidR="001C6C80" w:rsidRPr="002A4FC0">
        <w:t xml:space="preserve">NICU </w:t>
      </w:r>
      <w:r w:rsidR="00B63274" w:rsidRPr="002A4FC0">
        <w:t>physician</w:t>
      </w:r>
      <w:r w:rsidR="00627D5A" w:rsidRPr="002A4FC0">
        <w:t>s</w:t>
      </w:r>
      <w:r w:rsidR="00B63274" w:rsidRPr="002A4FC0">
        <w:t xml:space="preserve"> or the panel</w:t>
      </w:r>
      <w:r w:rsidR="00627D5A" w:rsidRPr="002A4FC0">
        <w:t>s</w:t>
      </w:r>
      <w:r w:rsidR="00B63274" w:rsidRPr="002A4FC0">
        <w:t xml:space="preserve">. </w:t>
      </w:r>
    </w:p>
    <w:p w14:paraId="2907DA9B" w14:textId="69E459F6" w:rsidR="00B63274" w:rsidRPr="002A4FC0" w:rsidRDefault="0017126C" w:rsidP="00EA2CC9">
      <w:pPr>
        <w:spacing w:line="360" w:lineRule="auto"/>
      </w:pPr>
      <w:r>
        <w:t>Focusing</w:t>
      </w:r>
      <w:r w:rsidR="00B63274" w:rsidRPr="002A4FC0">
        <w:t xml:space="preserve"> on the overall </w:t>
      </w:r>
      <w:r w:rsidR="0094282B">
        <w:t>findings</w:t>
      </w:r>
      <w:r w:rsidR="00B63274" w:rsidRPr="002A4FC0">
        <w:t xml:space="preserve">, </w:t>
      </w:r>
      <w:r w:rsidR="00E65791" w:rsidRPr="002A4FC0">
        <w:t xml:space="preserve">the NICU physicians determined that </w:t>
      </w:r>
      <w:r w:rsidR="00B63274" w:rsidRPr="002A4FC0">
        <w:t>RD</w:t>
      </w:r>
      <w:r w:rsidR="00E65791" w:rsidRPr="002A4FC0">
        <w:t>S</w:t>
      </w:r>
      <w:r w:rsidR="00B63274" w:rsidRPr="002A4FC0">
        <w:t xml:space="preserve"> alone </w:t>
      </w:r>
      <w:r w:rsidR="00E65791" w:rsidRPr="002A4FC0">
        <w:t>was present in</w:t>
      </w:r>
      <w:r w:rsidR="00B63274" w:rsidRPr="002A4FC0">
        <w:t xml:space="preserve"> 71.</w:t>
      </w:r>
      <w:r w:rsidR="00AB6F3A">
        <w:t>7</w:t>
      </w:r>
      <w:r w:rsidR="00B63274" w:rsidRPr="002A4FC0">
        <w:t>% of the cases</w:t>
      </w:r>
      <w:r w:rsidR="005A660C" w:rsidRPr="002A4FC0">
        <w:t>, while the panel judged that only</w:t>
      </w:r>
      <w:r w:rsidR="00B63274" w:rsidRPr="002A4FC0">
        <w:t xml:space="preserve"> 2</w:t>
      </w:r>
      <w:r w:rsidR="00AB6F3A">
        <w:t>7</w:t>
      </w:r>
      <w:r w:rsidR="00B63274" w:rsidRPr="002A4FC0">
        <w:t>.</w:t>
      </w:r>
      <w:r w:rsidR="00AB6F3A">
        <w:t>3</w:t>
      </w:r>
      <w:r w:rsidR="00B63274" w:rsidRPr="002A4FC0">
        <w:t xml:space="preserve">% </w:t>
      </w:r>
      <w:r w:rsidR="00E65791" w:rsidRPr="002A4FC0">
        <w:t xml:space="preserve">of the cases </w:t>
      </w:r>
      <w:r w:rsidR="00303EA7" w:rsidRPr="002A4FC0">
        <w:t>had RDS alone.</w:t>
      </w:r>
      <w:r w:rsidR="00B63274" w:rsidRPr="002A4FC0">
        <w:t xml:space="preserve"> Birth asphyxia </w:t>
      </w:r>
      <w:r w:rsidR="00196EBD" w:rsidRPr="002A4FC0">
        <w:t xml:space="preserve">alone </w:t>
      </w:r>
      <w:r w:rsidR="00B63274" w:rsidRPr="002A4FC0">
        <w:t xml:space="preserve">was </w:t>
      </w:r>
      <w:r w:rsidR="00BE4B89" w:rsidRPr="002A4FC0">
        <w:t>found</w:t>
      </w:r>
      <w:r w:rsidR="00B63274" w:rsidRPr="002A4FC0">
        <w:t xml:space="preserve"> in 3.4 % </w:t>
      </w:r>
      <w:r w:rsidR="00303EA7" w:rsidRPr="002A4FC0">
        <w:t xml:space="preserve">of the cases </w:t>
      </w:r>
      <w:r w:rsidR="00B63274" w:rsidRPr="002A4FC0">
        <w:t>by physician determination</w:t>
      </w:r>
      <w:r w:rsidR="006B2E47" w:rsidRPr="002A4FC0">
        <w:t xml:space="preserve"> and</w:t>
      </w:r>
      <w:r w:rsidR="00627D5A" w:rsidRPr="002A4FC0">
        <w:t xml:space="preserve"> </w:t>
      </w:r>
      <w:r w:rsidR="006B2E47" w:rsidRPr="002A4FC0">
        <w:t xml:space="preserve">alone </w:t>
      </w:r>
      <w:r w:rsidR="00E65791" w:rsidRPr="002A4FC0">
        <w:t>for</w:t>
      </w:r>
      <w:r w:rsidR="00B63274" w:rsidRPr="002A4FC0">
        <w:t xml:space="preserve"> 3</w:t>
      </w:r>
      <w:r w:rsidR="00E65791" w:rsidRPr="002A4FC0">
        <w:t>3</w:t>
      </w:r>
      <w:r w:rsidR="00B63274" w:rsidRPr="002A4FC0">
        <w:t>.</w:t>
      </w:r>
      <w:r w:rsidR="00AB6F3A">
        <w:t>9</w:t>
      </w:r>
      <w:r w:rsidR="00B63274" w:rsidRPr="002A4FC0">
        <w:t xml:space="preserve">% </w:t>
      </w:r>
      <w:r w:rsidR="00E65791" w:rsidRPr="002A4FC0">
        <w:t xml:space="preserve">of the cases </w:t>
      </w:r>
      <w:r w:rsidR="00B63274" w:rsidRPr="002A4FC0">
        <w:t xml:space="preserve">by the panel’s judgement. The physicians also </w:t>
      </w:r>
      <w:r w:rsidR="00E65791" w:rsidRPr="002A4FC0">
        <w:t>determined</w:t>
      </w:r>
      <w:r w:rsidR="00B63274" w:rsidRPr="002A4FC0">
        <w:t xml:space="preserve"> that 11.</w:t>
      </w:r>
      <w:r w:rsidR="00E65791" w:rsidRPr="002A4FC0">
        <w:t>5</w:t>
      </w:r>
      <w:r w:rsidR="00B63274" w:rsidRPr="002A4FC0">
        <w:t xml:space="preserve">% of the deaths had both RDS and birth asphyxia, while the panel </w:t>
      </w:r>
      <w:r w:rsidR="00E65791" w:rsidRPr="002A4FC0">
        <w:t>concluded</w:t>
      </w:r>
      <w:r w:rsidR="00B63274" w:rsidRPr="002A4FC0">
        <w:t xml:space="preserve"> that 2</w:t>
      </w:r>
      <w:r w:rsidR="00AB6F3A">
        <w:t>3</w:t>
      </w:r>
      <w:r w:rsidR="00B63274" w:rsidRPr="002A4FC0">
        <w:t>.</w:t>
      </w:r>
      <w:r w:rsidR="00AB6F3A">
        <w:t>7</w:t>
      </w:r>
      <w:r w:rsidR="00B63274" w:rsidRPr="002A4FC0">
        <w:t>% of the cases had both</w:t>
      </w:r>
      <w:r w:rsidR="00303EA7" w:rsidRPr="002A4FC0">
        <w:t xml:space="preserve"> RDS and birth asphyxia</w:t>
      </w:r>
      <w:r>
        <w:t>. When the physician</w:t>
      </w:r>
      <w:r w:rsidR="00B63274" w:rsidRPr="002A4FC0">
        <w:t xml:space="preserve"> and panel opinions were c</w:t>
      </w:r>
      <w:r w:rsidR="009109E5" w:rsidRPr="002A4FC0">
        <w:t>ompared</w:t>
      </w:r>
      <w:r w:rsidR="00EC2C0A">
        <w:t xml:space="preserve"> for </w:t>
      </w:r>
      <w:r w:rsidR="00BC761A" w:rsidRPr="002A4FC0">
        <w:t>any RDS or any birth asphyxia</w:t>
      </w:r>
      <w:r w:rsidR="00B63274" w:rsidRPr="002A4FC0">
        <w:t xml:space="preserve">, the physicians </w:t>
      </w:r>
      <w:r w:rsidR="00BE4B89" w:rsidRPr="002A4FC0">
        <w:t>foun</w:t>
      </w:r>
      <w:r w:rsidR="00B63274" w:rsidRPr="002A4FC0">
        <w:t xml:space="preserve">d </w:t>
      </w:r>
      <w:r w:rsidR="009D22B4" w:rsidRPr="002A4FC0">
        <w:t>that 83.</w:t>
      </w:r>
      <w:r w:rsidR="00AB6F3A">
        <w:t>2</w:t>
      </w:r>
      <w:r w:rsidR="009D22B4" w:rsidRPr="002A4FC0">
        <w:t>% of the deaths had</w:t>
      </w:r>
      <w:r w:rsidR="00B63274" w:rsidRPr="002A4FC0">
        <w:t xml:space="preserve"> </w:t>
      </w:r>
      <w:r w:rsidR="00303EA7" w:rsidRPr="002A4FC0">
        <w:t xml:space="preserve">evidence of </w:t>
      </w:r>
      <w:r w:rsidR="00B63274" w:rsidRPr="002A4FC0">
        <w:t>RDS</w:t>
      </w:r>
      <w:r w:rsidR="00602591">
        <w:t xml:space="preserve"> as a COD</w:t>
      </w:r>
      <w:r w:rsidR="00303EA7" w:rsidRPr="002A4FC0">
        <w:t>,</w:t>
      </w:r>
      <w:r w:rsidR="00A413AA">
        <w:t xml:space="preserve"> while the panel concluded</w:t>
      </w:r>
      <w:r w:rsidR="00B63274" w:rsidRPr="002A4FC0">
        <w:t xml:space="preserve"> </w:t>
      </w:r>
      <w:r w:rsidR="009D22B4" w:rsidRPr="002A4FC0">
        <w:t xml:space="preserve">that only </w:t>
      </w:r>
      <w:r w:rsidR="00AB6F3A">
        <w:t>51</w:t>
      </w:r>
      <w:r w:rsidR="009D22B4" w:rsidRPr="002A4FC0">
        <w:t>.</w:t>
      </w:r>
      <w:r w:rsidR="00AB6F3A">
        <w:t>0</w:t>
      </w:r>
      <w:r w:rsidR="009D22B4" w:rsidRPr="002A4FC0">
        <w:t xml:space="preserve">% </w:t>
      </w:r>
      <w:r w:rsidR="00303EA7" w:rsidRPr="002A4FC0">
        <w:t xml:space="preserve">of the cases </w:t>
      </w:r>
      <w:r w:rsidR="009D22B4" w:rsidRPr="002A4FC0">
        <w:t>had</w:t>
      </w:r>
      <w:r w:rsidR="00B63274" w:rsidRPr="002A4FC0">
        <w:t xml:space="preserve"> </w:t>
      </w:r>
      <w:r w:rsidR="00303EA7" w:rsidRPr="002A4FC0">
        <w:t xml:space="preserve">evidence of </w:t>
      </w:r>
      <w:r w:rsidR="00B63274" w:rsidRPr="002A4FC0">
        <w:t xml:space="preserve">RDS. On the other hand, the physicians </w:t>
      </w:r>
      <w:r w:rsidR="00A828B0" w:rsidRPr="002A4FC0">
        <w:t>observed that</w:t>
      </w:r>
      <w:r w:rsidR="00B63274" w:rsidRPr="002A4FC0">
        <w:t xml:space="preserve"> 1</w:t>
      </w:r>
      <w:r w:rsidR="00AB6F3A">
        <w:t>4</w:t>
      </w:r>
      <w:r w:rsidR="00B63274" w:rsidRPr="002A4FC0">
        <w:t>.</w:t>
      </w:r>
      <w:r w:rsidR="00AB6F3A">
        <w:t>9</w:t>
      </w:r>
      <w:r w:rsidR="00B63274" w:rsidRPr="002A4FC0">
        <w:t xml:space="preserve">% </w:t>
      </w:r>
      <w:r w:rsidR="00E856AC" w:rsidRPr="002A4FC0">
        <w:t xml:space="preserve">of the deaths </w:t>
      </w:r>
      <w:r w:rsidR="00B63274" w:rsidRPr="002A4FC0">
        <w:t xml:space="preserve">had </w:t>
      </w:r>
      <w:r w:rsidR="00303EA7" w:rsidRPr="002A4FC0">
        <w:t xml:space="preserve">evidence of </w:t>
      </w:r>
      <w:r w:rsidR="00B63274" w:rsidRPr="002A4FC0">
        <w:t>birth asphyxia</w:t>
      </w:r>
      <w:r w:rsidR="00A413AA">
        <w:t>,</w:t>
      </w:r>
      <w:r w:rsidR="00B63274" w:rsidRPr="002A4FC0">
        <w:t xml:space="preserve"> while the panel noted that 5</w:t>
      </w:r>
      <w:r w:rsidR="00AB6F3A">
        <w:t>7</w:t>
      </w:r>
      <w:r w:rsidR="00B63274" w:rsidRPr="002A4FC0">
        <w:t>.</w:t>
      </w:r>
      <w:r w:rsidR="00AB6F3A">
        <w:t>6</w:t>
      </w:r>
      <w:r w:rsidR="00B63274" w:rsidRPr="002A4FC0">
        <w:t xml:space="preserve">% of the deaths had </w:t>
      </w:r>
      <w:r w:rsidR="00303EA7" w:rsidRPr="002A4FC0">
        <w:t xml:space="preserve">evidence of </w:t>
      </w:r>
      <w:r w:rsidR="00B63274" w:rsidRPr="002A4FC0">
        <w:t>birth asphyxia.</w:t>
      </w:r>
    </w:p>
    <w:p w14:paraId="2D5A3F1B" w14:textId="260237A3" w:rsidR="00B63274" w:rsidRPr="002A4FC0" w:rsidRDefault="00B63274" w:rsidP="00EA2CC9">
      <w:pPr>
        <w:spacing w:line="360" w:lineRule="auto"/>
      </w:pPr>
      <w:r w:rsidRPr="002A4FC0">
        <w:t xml:space="preserve">We next performed the same analyses </w:t>
      </w:r>
      <w:r w:rsidR="00273C4F" w:rsidRPr="002A4FC0">
        <w:t>stratified by site</w:t>
      </w:r>
      <w:r w:rsidR="009D22B4" w:rsidRPr="002A4FC0">
        <w:t xml:space="preserve">. In </w:t>
      </w:r>
      <w:r w:rsidR="006A18CC" w:rsidRPr="002A4FC0">
        <w:t xml:space="preserve">the </w:t>
      </w:r>
      <w:r w:rsidR="009D22B4" w:rsidRPr="002A4FC0">
        <w:t>India</w:t>
      </w:r>
      <w:r w:rsidR="006A18CC" w:rsidRPr="002A4FC0">
        <w:t xml:space="preserve"> site</w:t>
      </w:r>
      <w:r w:rsidR="009D22B4" w:rsidRPr="002A4FC0">
        <w:t xml:space="preserve">, </w:t>
      </w:r>
      <w:r w:rsidRPr="002A4FC0">
        <w:t xml:space="preserve">by physician determination, RDS was present alone in 48.0% </w:t>
      </w:r>
      <w:r w:rsidR="004A35C9" w:rsidRPr="002A4FC0">
        <w:t>vs.</w:t>
      </w:r>
      <w:r w:rsidRPr="002A4FC0">
        <w:t xml:space="preserve"> 3</w:t>
      </w:r>
      <w:r w:rsidR="00A1649F">
        <w:t>6</w:t>
      </w:r>
      <w:r w:rsidRPr="002A4FC0">
        <w:t>.</w:t>
      </w:r>
      <w:r w:rsidR="00A1649F">
        <w:t>2</w:t>
      </w:r>
      <w:r w:rsidRPr="002A4FC0">
        <w:t>% by the panel’s assessment. Birth asphyxia, on the other hand, was present alone in 7.</w:t>
      </w:r>
      <w:r w:rsidR="00A1649F">
        <w:t>3</w:t>
      </w:r>
      <w:r w:rsidRPr="002A4FC0">
        <w:t xml:space="preserve">% </w:t>
      </w:r>
      <w:r w:rsidR="00303EA7" w:rsidRPr="002A4FC0">
        <w:t xml:space="preserve">of the cases </w:t>
      </w:r>
      <w:r w:rsidRPr="002A4FC0">
        <w:t>by physician determination, but in 1</w:t>
      </w:r>
      <w:r w:rsidR="0094282B">
        <w:t>5</w:t>
      </w:r>
      <w:r w:rsidRPr="002A4FC0">
        <w:t>.</w:t>
      </w:r>
      <w:r w:rsidR="0094282B">
        <w:t>8</w:t>
      </w:r>
      <w:r w:rsidRPr="002A4FC0">
        <w:t xml:space="preserve">% by the panel’s judgement. </w:t>
      </w:r>
      <w:r w:rsidR="004A35C9" w:rsidRPr="002A4FC0">
        <w:t>By physician assessment,</w:t>
      </w:r>
      <w:r w:rsidRPr="002A4FC0">
        <w:t xml:space="preserve"> 2</w:t>
      </w:r>
      <w:r w:rsidR="006A18CC" w:rsidRPr="002A4FC0">
        <w:t>6</w:t>
      </w:r>
      <w:r w:rsidRPr="002A4FC0">
        <w:t>.</w:t>
      </w:r>
      <w:r w:rsidR="0094282B">
        <w:t>6</w:t>
      </w:r>
      <w:r w:rsidRPr="002A4FC0">
        <w:t xml:space="preserve">% of the deaths had both RDS and birth asphyxia, while the panel </w:t>
      </w:r>
      <w:r w:rsidR="004A35C9" w:rsidRPr="002A4FC0">
        <w:t xml:space="preserve">identified </w:t>
      </w:r>
      <w:r w:rsidRPr="002A4FC0">
        <w:t xml:space="preserve">that </w:t>
      </w:r>
      <w:r w:rsidR="0094282B">
        <w:t>35</w:t>
      </w:r>
      <w:r w:rsidRPr="002A4FC0">
        <w:t>.</w:t>
      </w:r>
      <w:r w:rsidR="006A18CC" w:rsidRPr="002A4FC0">
        <w:t>0</w:t>
      </w:r>
      <w:r w:rsidRPr="002A4FC0">
        <w:t>% of the cases had both</w:t>
      </w:r>
      <w:r w:rsidR="0017126C">
        <w:t xml:space="preserve"> COD</w:t>
      </w:r>
      <w:r w:rsidRPr="002A4FC0">
        <w:t xml:space="preserve">. When the physicians and panel were compared about </w:t>
      </w:r>
      <w:r w:rsidR="00303EA7" w:rsidRPr="002A4FC0">
        <w:t xml:space="preserve">the presence of </w:t>
      </w:r>
      <w:r w:rsidRPr="002A4FC0">
        <w:t>any RDS, the physicians believed that 7</w:t>
      </w:r>
      <w:r w:rsidR="006A18CC" w:rsidRPr="002A4FC0">
        <w:t>4</w:t>
      </w:r>
      <w:r w:rsidRPr="002A4FC0">
        <w:t>.</w:t>
      </w:r>
      <w:r w:rsidR="0094282B">
        <w:t>6</w:t>
      </w:r>
      <w:r w:rsidR="009109E5" w:rsidRPr="002A4FC0">
        <w:t>% of the deaths had RD</w:t>
      </w:r>
      <w:r w:rsidR="008E0A64" w:rsidRPr="002A4FC0">
        <w:t>S</w:t>
      </w:r>
      <w:r w:rsidRPr="002A4FC0">
        <w:t xml:space="preserve"> while the panel </w:t>
      </w:r>
      <w:r w:rsidR="001345D6" w:rsidRPr="002A4FC0">
        <w:t xml:space="preserve">believed that </w:t>
      </w:r>
      <w:r w:rsidR="0094282B">
        <w:t>71</w:t>
      </w:r>
      <w:r w:rsidR="006A18CC" w:rsidRPr="002A4FC0">
        <w:t>.</w:t>
      </w:r>
      <w:r w:rsidR="0094282B">
        <w:t>2</w:t>
      </w:r>
      <w:r w:rsidR="001345D6" w:rsidRPr="002A4FC0">
        <w:t>% had</w:t>
      </w:r>
      <w:r w:rsidRPr="002A4FC0">
        <w:t xml:space="preserve"> RDS. On the other hand, the physicians believed that only 3</w:t>
      </w:r>
      <w:r w:rsidR="00CD0FA6">
        <w:t>3</w:t>
      </w:r>
      <w:r w:rsidRPr="002A4FC0">
        <w:t>.</w:t>
      </w:r>
      <w:r w:rsidR="00CD0FA6">
        <w:t>9</w:t>
      </w:r>
      <w:r w:rsidRPr="002A4FC0">
        <w:t xml:space="preserve">% had any birth asphyxia while the panel noted </w:t>
      </w:r>
      <w:r w:rsidR="001345D6" w:rsidRPr="002A4FC0">
        <w:t xml:space="preserve">that </w:t>
      </w:r>
      <w:r w:rsidR="00CD0FA6">
        <w:t>50</w:t>
      </w:r>
      <w:r w:rsidR="001345D6" w:rsidRPr="002A4FC0">
        <w:t>.</w:t>
      </w:r>
      <w:r w:rsidR="00CD0FA6">
        <w:t>8</w:t>
      </w:r>
      <w:r w:rsidR="001345D6" w:rsidRPr="002A4FC0">
        <w:t>% of the deaths had</w:t>
      </w:r>
      <w:r w:rsidRPr="002A4FC0">
        <w:t xml:space="preserve"> birth asphyxia. </w:t>
      </w:r>
    </w:p>
    <w:p w14:paraId="69AF77D2" w14:textId="0AC0AE5F" w:rsidR="00FE7147" w:rsidRPr="000831BB" w:rsidRDefault="00B63274" w:rsidP="0052644B">
      <w:pPr>
        <w:spacing w:line="360" w:lineRule="auto"/>
      </w:pPr>
      <w:r w:rsidRPr="002A4FC0">
        <w:t>For the same an</w:t>
      </w:r>
      <w:r w:rsidR="001345D6" w:rsidRPr="002A4FC0">
        <w:t xml:space="preserve">alysis restricted to </w:t>
      </w:r>
      <w:r w:rsidR="00A828B0" w:rsidRPr="002A4FC0">
        <w:t xml:space="preserve">the </w:t>
      </w:r>
      <w:r w:rsidR="001345D6" w:rsidRPr="002A4FC0">
        <w:t>Pakistan</w:t>
      </w:r>
      <w:r w:rsidR="00A84895">
        <w:t>i</w:t>
      </w:r>
      <w:r w:rsidR="00A828B0" w:rsidRPr="002A4FC0">
        <w:t xml:space="preserve"> site</w:t>
      </w:r>
      <w:r w:rsidR="001345D6" w:rsidRPr="002A4FC0">
        <w:t xml:space="preserve">, RDS was </w:t>
      </w:r>
      <w:r w:rsidR="00B77247" w:rsidRPr="002A4FC0">
        <w:t>determined</w:t>
      </w:r>
      <w:r w:rsidR="001345D6" w:rsidRPr="002A4FC0">
        <w:t xml:space="preserve"> as</w:t>
      </w:r>
      <w:r w:rsidRPr="002A4FC0">
        <w:t xml:space="preserve"> present alone in 89.7%</w:t>
      </w:r>
      <w:r w:rsidR="00B77247" w:rsidRPr="002A4FC0">
        <w:t xml:space="preserve"> by the physician</w:t>
      </w:r>
      <w:r w:rsidRPr="002A4FC0">
        <w:t xml:space="preserve"> but only in 2</w:t>
      </w:r>
      <w:r w:rsidR="00CD0FA6">
        <w:t>0</w:t>
      </w:r>
      <w:r w:rsidRPr="002A4FC0">
        <w:t>.</w:t>
      </w:r>
      <w:r w:rsidR="00CD0FA6">
        <w:t>6</w:t>
      </w:r>
      <w:r w:rsidRPr="002A4FC0">
        <w:t xml:space="preserve">% of the </w:t>
      </w:r>
      <w:r w:rsidR="00A84895">
        <w:t xml:space="preserve">same </w:t>
      </w:r>
      <w:r w:rsidRPr="002A4FC0">
        <w:t>cases evaluated by the panel. Birth asphyxia,</w:t>
      </w:r>
      <w:r w:rsidR="001345D6" w:rsidRPr="002A4FC0">
        <w:t xml:space="preserve"> </w:t>
      </w:r>
      <w:r w:rsidR="00B77247" w:rsidRPr="002A4FC0">
        <w:t>on the other hand, was determined</w:t>
      </w:r>
      <w:r w:rsidR="001345D6" w:rsidRPr="002A4FC0">
        <w:t xml:space="preserve"> as</w:t>
      </w:r>
      <w:r w:rsidRPr="002A4FC0">
        <w:t xml:space="preserve"> present alone in </w:t>
      </w:r>
      <w:r w:rsidR="00F83FAA" w:rsidRPr="002A4FC0">
        <w:t xml:space="preserve">only </w:t>
      </w:r>
      <w:r w:rsidRPr="002A4FC0">
        <w:t xml:space="preserve">0.4 % of the cases by </w:t>
      </w:r>
      <w:r w:rsidR="00B77247" w:rsidRPr="002A4FC0">
        <w:t>the physician</w:t>
      </w:r>
      <w:r w:rsidRPr="002A4FC0">
        <w:t>, but in 47.</w:t>
      </w:r>
      <w:r w:rsidR="00CD0FA6">
        <w:t>6</w:t>
      </w:r>
      <w:r w:rsidRPr="002A4FC0">
        <w:t>%</w:t>
      </w:r>
      <w:r w:rsidR="00B77247" w:rsidRPr="002A4FC0">
        <w:t xml:space="preserve"> </w:t>
      </w:r>
      <w:r w:rsidRPr="002A4FC0">
        <w:t xml:space="preserve">by the panel’s judgement. The physicians in Pakistan </w:t>
      </w:r>
      <w:r w:rsidR="00BE4B89" w:rsidRPr="002A4FC0">
        <w:t xml:space="preserve">did not </w:t>
      </w:r>
      <w:r w:rsidR="00627D5A" w:rsidRPr="002A4FC0">
        <w:t xml:space="preserve">find </w:t>
      </w:r>
      <w:r w:rsidRPr="002A4FC0">
        <w:t>both RDS and birth asphyxia</w:t>
      </w:r>
      <w:r w:rsidR="00535FF3" w:rsidRPr="002A4FC0">
        <w:t xml:space="preserve"> </w:t>
      </w:r>
      <w:r w:rsidR="00602591">
        <w:t xml:space="preserve">as a COD </w:t>
      </w:r>
      <w:r w:rsidR="00535FF3" w:rsidRPr="002A4FC0">
        <w:t>in any cases</w:t>
      </w:r>
      <w:r w:rsidRPr="002A4FC0">
        <w:t xml:space="preserve">, while the panel </w:t>
      </w:r>
      <w:r w:rsidR="00BE4B89" w:rsidRPr="002A4FC0">
        <w:t>determin</w:t>
      </w:r>
      <w:r w:rsidRPr="002A4FC0">
        <w:t>ed that 1</w:t>
      </w:r>
      <w:r w:rsidR="00CD0FA6">
        <w:t>5</w:t>
      </w:r>
      <w:r w:rsidRPr="002A4FC0">
        <w:t>.</w:t>
      </w:r>
      <w:r w:rsidR="00CD0FA6">
        <w:t>0</w:t>
      </w:r>
      <w:r w:rsidRPr="002A4FC0">
        <w:t xml:space="preserve">% of the cases had both. </w:t>
      </w:r>
      <w:r w:rsidR="00535FF3" w:rsidRPr="002A4FC0">
        <w:t>Comparing assessments of</w:t>
      </w:r>
      <w:r w:rsidRPr="002A4FC0">
        <w:t xml:space="preserve"> any RDS, the physicians believed </w:t>
      </w:r>
      <w:r w:rsidR="008C5A29" w:rsidRPr="002A4FC0">
        <w:t>that 89.7%</w:t>
      </w:r>
      <w:r w:rsidR="001345D6" w:rsidRPr="002A4FC0">
        <w:t xml:space="preserve"> had</w:t>
      </w:r>
      <w:r w:rsidRPr="002A4FC0">
        <w:t xml:space="preserve"> RDS</w:t>
      </w:r>
      <w:r w:rsidR="00303EA7" w:rsidRPr="002A4FC0">
        <w:t>,</w:t>
      </w:r>
      <w:r w:rsidRPr="002A4FC0">
        <w:t xml:space="preserve"> while the panel believed that </w:t>
      </w:r>
      <w:r w:rsidR="008C5A29" w:rsidRPr="002A4FC0">
        <w:t>only 35.</w:t>
      </w:r>
      <w:r w:rsidR="00CD0FA6">
        <w:t>6</w:t>
      </w:r>
      <w:r w:rsidR="008C5A29" w:rsidRPr="002A4FC0">
        <w:t>%</w:t>
      </w:r>
      <w:r w:rsidR="00C024E7" w:rsidRPr="002A4FC0">
        <w:t xml:space="preserve"> </w:t>
      </w:r>
      <w:r w:rsidR="001345D6" w:rsidRPr="002A4FC0">
        <w:t>had</w:t>
      </w:r>
      <w:r w:rsidRPr="002A4FC0">
        <w:t xml:space="preserve"> </w:t>
      </w:r>
      <w:r w:rsidR="00D16D7B" w:rsidRPr="002A4FC0">
        <w:t xml:space="preserve">any </w:t>
      </w:r>
      <w:r w:rsidRPr="002A4FC0">
        <w:t>RDS</w:t>
      </w:r>
      <w:r w:rsidR="0017126C">
        <w:t xml:space="preserve"> as a COD</w:t>
      </w:r>
      <w:r w:rsidRPr="002A4FC0">
        <w:t xml:space="preserve">. </w:t>
      </w:r>
      <w:r w:rsidR="00B502C5" w:rsidRPr="002A4FC0">
        <w:t xml:space="preserve">However, the physicians noted </w:t>
      </w:r>
      <w:r w:rsidRPr="002A4FC0">
        <w:t xml:space="preserve">that 0.4% </w:t>
      </w:r>
      <w:r w:rsidR="00B502C5" w:rsidRPr="002A4FC0">
        <w:t xml:space="preserve">of the deaths </w:t>
      </w:r>
      <w:r w:rsidRPr="002A4FC0">
        <w:t xml:space="preserve">had any birth asphyxia while the panel noted </w:t>
      </w:r>
      <w:r w:rsidR="001345D6" w:rsidRPr="002A4FC0">
        <w:t>that 6</w:t>
      </w:r>
      <w:r w:rsidR="00CD0FA6">
        <w:t>2</w:t>
      </w:r>
      <w:r w:rsidR="001345D6" w:rsidRPr="002A4FC0">
        <w:t>.</w:t>
      </w:r>
      <w:r w:rsidR="00CD0FA6">
        <w:t>7</w:t>
      </w:r>
      <w:r w:rsidR="001345D6" w:rsidRPr="000831BB">
        <w:t>% of the deaths had</w:t>
      </w:r>
      <w:r w:rsidRPr="000831BB">
        <w:t xml:space="preserve"> birth asphyxia as a primary</w:t>
      </w:r>
      <w:r w:rsidR="00FE7147" w:rsidRPr="000831BB">
        <w:t xml:space="preserve"> or contributing </w:t>
      </w:r>
      <w:r w:rsidR="00602591">
        <w:t>COD</w:t>
      </w:r>
      <w:r w:rsidR="00FE7147" w:rsidRPr="000831BB">
        <w:t>.</w:t>
      </w:r>
    </w:p>
    <w:p w14:paraId="7A33BDA1" w14:textId="4837128F" w:rsidR="00B63274" w:rsidRPr="002A4FC0" w:rsidRDefault="0012615A" w:rsidP="00EA2CC9">
      <w:pPr>
        <w:spacing w:line="360" w:lineRule="auto"/>
      </w:pPr>
      <w:r w:rsidRPr="000831BB">
        <w:t>Finally, we present</w:t>
      </w:r>
      <w:r w:rsidR="00FE7147" w:rsidRPr="000831BB">
        <w:t xml:space="preserve"> the percent of deaths in India and Pakistan attri</w:t>
      </w:r>
      <w:r w:rsidR="00304A08" w:rsidRPr="000831BB">
        <w:t>buted by the panels to RDS and b</w:t>
      </w:r>
      <w:r w:rsidR="00FE7147" w:rsidRPr="000831BB">
        <w:t>irth asphyxia. T</w:t>
      </w:r>
      <w:r w:rsidR="0052644B" w:rsidRPr="000831BB">
        <w:t>he panels in Pakistan noted that asphyxia was present in a greater proportion of the deaths (6</w:t>
      </w:r>
      <w:r w:rsidR="00A1649F">
        <w:t>2</w:t>
      </w:r>
      <w:r w:rsidR="0052644B" w:rsidRPr="000831BB">
        <w:t>.</w:t>
      </w:r>
      <w:r w:rsidR="00A1649F">
        <w:t>7</w:t>
      </w:r>
      <w:r w:rsidR="0052644B" w:rsidRPr="000831BB">
        <w:t>%) than the panels in India (</w:t>
      </w:r>
      <w:r w:rsidR="00A1649F">
        <w:t>50</w:t>
      </w:r>
      <w:r w:rsidR="0052644B" w:rsidRPr="000831BB">
        <w:t>.8%)</w:t>
      </w:r>
      <w:r w:rsidR="007D4E8F" w:rsidRPr="000831BB">
        <w:t>. Conversely, the panels in India more often att</w:t>
      </w:r>
      <w:r w:rsidR="00304A08" w:rsidRPr="000831BB">
        <w:t xml:space="preserve">ributed the </w:t>
      </w:r>
      <w:r w:rsidR="00602591">
        <w:t xml:space="preserve">COD </w:t>
      </w:r>
      <w:r w:rsidR="00304A08" w:rsidRPr="000831BB">
        <w:t>to</w:t>
      </w:r>
      <w:r w:rsidR="007D4E8F" w:rsidRPr="000831BB">
        <w:t xml:space="preserve"> </w:t>
      </w:r>
      <w:r w:rsidR="00A413AA" w:rsidRPr="000831BB">
        <w:t xml:space="preserve">be </w:t>
      </w:r>
      <w:r w:rsidR="007D4E8F" w:rsidRPr="000831BB">
        <w:t>RDS (</w:t>
      </w:r>
      <w:r w:rsidR="00A1649F">
        <w:t>71</w:t>
      </w:r>
      <w:r w:rsidR="007D4E8F" w:rsidRPr="000831BB">
        <w:t>.</w:t>
      </w:r>
      <w:r w:rsidR="00A1649F">
        <w:t>2</w:t>
      </w:r>
      <w:r w:rsidR="007D4E8F" w:rsidRPr="000831BB">
        <w:t xml:space="preserve">%) than the panels in Pakistan (35.2%). </w:t>
      </w:r>
      <w:r w:rsidRPr="000831BB">
        <w:t>In both sites</w:t>
      </w:r>
      <w:r w:rsidR="00CA7D60">
        <w:t>,</w:t>
      </w:r>
      <w:r w:rsidRPr="000831BB">
        <w:t xml:space="preserve"> the panels attributed a greater percentage of deaths to birth asphyxia than did the physicians.</w:t>
      </w:r>
    </w:p>
    <w:p w14:paraId="7E0E83B6" w14:textId="27CF9075" w:rsidR="00B63274" w:rsidRPr="002A4FC0" w:rsidRDefault="00B63274" w:rsidP="00EA2CC9">
      <w:pPr>
        <w:spacing w:line="360" w:lineRule="auto"/>
        <w:rPr>
          <w:b/>
        </w:rPr>
      </w:pPr>
      <w:r w:rsidRPr="002A4FC0">
        <w:rPr>
          <w:b/>
        </w:rPr>
        <w:t>Discussion</w:t>
      </w:r>
      <w:r w:rsidR="00EC2C0A">
        <w:rPr>
          <w:b/>
        </w:rPr>
        <w:t xml:space="preserve"> </w:t>
      </w:r>
    </w:p>
    <w:p w14:paraId="108D4723" w14:textId="1911A39C" w:rsidR="00787AE6" w:rsidRPr="002A4FC0" w:rsidRDefault="00787AE6" w:rsidP="00EA2CC9">
      <w:pPr>
        <w:spacing w:line="360" w:lineRule="auto"/>
        <w:rPr>
          <w:bCs/>
        </w:rPr>
      </w:pPr>
      <w:r w:rsidRPr="002A4FC0">
        <w:rPr>
          <w:bCs/>
        </w:rPr>
        <w:t>Main Findings</w:t>
      </w:r>
    </w:p>
    <w:p w14:paraId="40CD3940" w14:textId="7F26B734" w:rsidR="00627D5A" w:rsidRPr="002A4FC0" w:rsidRDefault="00B63274" w:rsidP="00627D5A">
      <w:pPr>
        <w:spacing w:line="360" w:lineRule="auto"/>
      </w:pPr>
      <w:r w:rsidRPr="002A4FC0">
        <w:t xml:space="preserve">Regardless of whether we compared deaths attributed to RDS </w:t>
      </w:r>
      <w:r w:rsidR="00A828B0" w:rsidRPr="002A4FC0">
        <w:t>to</w:t>
      </w:r>
      <w:r w:rsidR="00F53C6D" w:rsidRPr="002A4FC0">
        <w:t xml:space="preserve"> birth asphyxia </w:t>
      </w:r>
      <w:r w:rsidRPr="002A4FC0">
        <w:t xml:space="preserve">overall, or </w:t>
      </w:r>
      <w:r w:rsidR="00535FF3" w:rsidRPr="002A4FC0">
        <w:t>by site</w:t>
      </w:r>
      <w:r w:rsidRPr="002A4FC0">
        <w:t xml:space="preserve">, there were </w:t>
      </w:r>
      <w:r w:rsidR="00787AE6" w:rsidRPr="002A4FC0">
        <w:t>substantial,</w:t>
      </w:r>
      <w:r w:rsidRPr="002A4FC0">
        <w:t xml:space="preserve"> statistically significant differenc</w:t>
      </w:r>
      <w:r w:rsidR="00F53C6D" w:rsidRPr="002A4FC0">
        <w:t>es</w:t>
      </w:r>
      <w:r w:rsidR="00EC2C0A">
        <w:t>.</w:t>
      </w:r>
      <w:r w:rsidRPr="002A4FC0">
        <w:t xml:space="preserve"> </w:t>
      </w:r>
      <w:r w:rsidR="000F00B7" w:rsidRPr="002A4FC0">
        <w:t xml:space="preserve">Although most preterm infants </w:t>
      </w:r>
      <w:r w:rsidR="007D4E8F" w:rsidRPr="002A4FC0">
        <w:t xml:space="preserve">who died </w:t>
      </w:r>
      <w:r w:rsidR="000F00B7" w:rsidRPr="002A4FC0">
        <w:t xml:space="preserve">had some component of </w:t>
      </w:r>
      <w:r w:rsidR="002F1234">
        <w:t>respiratory difficulty</w:t>
      </w:r>
      <w:r w:rsidR="007D4E8F" w:rsidRPr="002A4FC0">
        <w:t xml:space="preserve"> </w:t>
      </w:r>
      <w:r w:rsidR="000F00B7" w:rsidRPr="002A4FC0">
        <w:t>in their clinical course, t</w:t>
      </w:r>
      <w:r w:rsidRPr="002A4FC0">
        <w:t xml:space="preserve">he </w:t>
      </w:r>
      <w:r w:rsidR="009109E5" w:rsidRPr="002A4FC0">
        <w:t xml:space="preserve">NICU </w:t>
      </w:r>
      <w:r w:rsidRPr="002A4FC0">
        <w:t xml:space="preserve">physicians, </w:t>
      </w:r>
      <w:r w:rsidR="003730A6" w:rsidRPr="002A4FC0">
        <w:t xml:space="preserve">only </w:t>
      </w:r>
      <w:r w:rsidRPr="002A4FC0">
        <w:t>using information available at the time of death</w:t>
      </w:r>
      <w:r w:rsidR="00E856AC" w:rsidRPr="002A4FC0">
        <w:t>,</w:t>
      </w:r>
      <w:r w:rsidRPr="002A4FC0">
        <w:t xml:space="preserve"> far more often</w:t>
      </w:r>
      <w:r w:rsidR="00685B12">
        <w:t xml:space="preserve"> chose RDS as the COD</w:t>
      </w:r>
      <w:r w:rsidRPr="002A4FC0">
        <w:t xml:space="preserve">, while the panels, using additional information, including obstetric history, evaluation of the placenta, histologic examination of fetal tissues, and PCR evaluation of the placenta and tissues, </w:t>
      </w:r>
      <w:r w:rsidR="00685B12">
        <w:t xml:space="preserve">often </w:t>
      </w:r>
      <w:r w:rsidRPr="002A4FC0">
        <w:t xml:space="preserve">came to </w:t>
      </w:r>
      <w:r w:rsidR="00B502C5" w:rsidRPr="002A4FC0">
        <w:t>a substantially different conclusion</w:t>
      </w:r>
      <w:r w:rsidR="000831BB">
        <w:t>.</w:t>
      </w:r>
      <w:r w:rsidR="00B76A82">
        <w:t xml:space="preserve"> Thus, </w:t>
      </w:r>
      <w:r w:rsidR="00627D5A" w:rsidRPr="002A4FC0">
        <w:t>with more information available to determine the cause of a preterm neonatal death,</w:t>
      </w:r>
      <w:r w:rsidR="00EC2C0A">
        <w:t xml:space="preserve"> more often</w:t>
      </w:r>
      <w:r w:rsidR="00627D5A" w:rsidRPr="002A4FC0">
        <w:t xml:space="preserve"> birth asphyxia </w:t>
      </w:r>
      <w:r w:rsidR="002C32DE">
        <w:t>was chosen,</w:t>
      </w:r>
      <w:r w:rsidR="006B2E47" w:rsidRPr="002A4FC0">
        <w:t xml:space="preserve"> </w:t>
      </w:r>
      <w:r w:rsidR="00627D5A" w:rsidRPr="002A4FC0">
        <w:t xml:space="preserve">while with minimal clinical data, the </w:t>
      </w:r>
      <w:r w:rsidR="00685B12">
        <w:t>COD</w:t>
      </w:r>
      <w:r w:rsidR="00627D5A" w:rsidRPr="002A4FC0">
        <w:t xml:space="preserve"> was more likely attributed to RDS.</w:t>
      </w:r>
    </w:p>
    <w:p w14:paraId="3AE67C7B" w14:textId="42D21BB7" w:rsidR="007D4E8F" w:rsidRPr="002A4FC0" w:rsidRDefault="003A4B75" w:rsidP="00627D5A">
      <w:pPr>
        <w:spacing w:line="360" w:lineRule="auto"/>
      </w:pPr>
      <w:r w:rsidRPr="002A4FC0">
        <w:t xml:space="preserve">There were differences between India and Pakistan in the percent of deaths attributed to RDS and birth asphyxia with RDS more commonly chosen as a </w:t>
      </w:r>
      <w:r w:rsidR="00685B12">
        <w:t>COD</w:t>
      </w:r>
      <w:r w:rsidRPr="002A4FC0">
        <w:t xml:space="preserve"> in India while birth asphyxia was more commonly chosen in Pakistan. These differences seem plausible given the difference in medical care availability between the sites.  For example, a higher level or availability of care (as in India) might have a greater impact on reducing death from asphyxia than death from RDS. In any case, in both sites</w:t>
      </w:r>
      <w:r w:rsidR="00685B12">
        <w:t>,</w:t>
      </w:r>
      <w:r w:rsidRPr="002A4FC0">
        <w:t xml:space="preserve"> the panel attributed a greater proportion of the deaths to birth asphyxia than </w:t>
      </w:r>
      <w:r w:rsidR="0012615A">
        <w:t xml:space="preserve">did </w:t>
      </w:r>
      <w:r w:rsidRPr="002A4FC0">
        <w:t>the discharging NICU physician.</w:t>
      </w:r>
    </w:p>
    <w:p w14:paraId="12DB00BE" w14:textId="1A9924A1" w:rsidR="00787AE6" w:rsidRPr="002A4FC0" w:rsidRDefault="00787AE6" w:rsidP="00787AE6">
      <w:pPr>
        <w:spacing w:line="360" w:lineRule="auto"/>
      </w:pPr>
      <w:r w:rsidRPr="002A4FC0">
        <w:t>Study in Context</w:t>
      </w:r>
    </w:p>
    <w:p w14:paraId="6929AAA2" w14:textId="7B03A09C" w:rsidR="00787AE6" w:rsidRPr="002A4FC0" w:rsidRDefault="00787AE6" w:rsidP="00787AE6">
      <w:pPr>
        <w:spacing w:line="360" w:lineRule="auto"/>
      </w:pPr>
      <w:r w:rsidRPr="002A4FC0">
        <w:t xml:space="preserve">Similar </w:t>
      </w:r>
      <w:r w:rsidR="000F00B7" w:rsidRPr="002A4FC0">
        <w:t xml:space="preserve">findings </w:t>
      </w:r>
      <w:r w:rsidRPr="002A4FC0">
        <w:t xml:space="preserve">to </w:t>
      </w:r>
      <w:r w:rsidR="000F00B7" w:rsidRPr="002A4FC0">
        <w:t>the present study</w:t>
      </w:r>
      <w:r w:rsidR="00813C01" w:rsidRPr="002A4FC0">
        <w:t xml:space="preserve"> are </w:t>
      </w:r>
      <w:r w:rsidRPr="002A4FC0">
        <w:t xml:space="preserve">found in other studies, although usually not emphasized. For example, the Study of </w:t>
      </w:r>
      <w:r w:rsidR="00B502C5" w:rsidRPr="002A4FC0">
        <w:t xml:space="preserve">Illness in </w:t>
      </w:r>
      <w:proofErr w:type="spellStart"/>
      <w:r w:rsidR="00B502C5" w:rsidRPr="002A4FC0">
        <w:t>Preterms</w:t>
      </w:r>
      <w:proofErr w:type="spellEnd"/>
      <w:r w:rsidR="006B2E47" w:rsidRPr="002A4FC0">
        <w:t>,</w:t>
      </w:r>
      <w:r w:rsidRPr="002A4FC0">
        <w:t xml:space="preserve"> </w:t>
      </w:r>
      <w:r w:rsidR="006B2E47" w:rsidRPr="002A4FC0">
        <w:t>which included MITS but not placental evaluations to assess</w:t>
      </w:r>
      <w:r w:rsidRPr="002A4FC0">
        <w:t xml:space="preserve"> </w:t>
      </w:r>
      <w:r w:rsidR="007C0B8D">
        <w:t>COD among preterm neonates</w:t>
      </w:r>
      <w:r w:rsidRPr="002A4FC0">
        <w:t xml:space="preserve"> in Ethiopia from 2016 to</w:t>
      </w:r>
      <w:r w:rsidR="000F00B7" w:rsidRPr="002A4FC0">
        <w:t xml:space="preserve"> </w:t>
      </w:r>
      <w:r w:rsidRPr="002A4FC0">
        <w:t>2018</w:t>
      </w:r>
      <w:r w:rsidR="00813C01" w:rsidRPr="002A4FC0">
        <w:t>,</w:t>
      </w:r>
      <w:r w:rsidR="000F00B7" w:rsidRPr="002A4FC0">
        <w:t xml:space="preserve"> found that</w:t>
      </w:r>
      <w:r w:rsidRPr="002A4FC0">
        <w:t xml:space="preserve"> no preterm neonatal deaths were </w:t>
      </w:r>
      <w:r w:rsidR="00B510B2">
        <w:t>attributed to birth asphyxia by</w:t>
      </w:r>
      <w:r w:rsidR="000F00B7" w:rsidRPr="002A4FC0">
        <w:t xml:space="preserve"> </w:t>
      </w:r>
      <w:r w:rsidRPr="002A4FC0">
        <w:t>physicians, while the panel, wi</w:t>
      </w:r>
      <w:r w:rsidR="007C0B8D">
        <w:t xml:space="preserve">th </w:t>
      </w:r>
      <w:r w:rsidRPr="002A4FC0">
        <w:t>m</w:t>
      </w:r>
      <w:r w:rsidR="00D16D7B" w:rsidRPr="002A4FC0">
        <w:t>ore data</w:t>
      </w:r>
      <w:r w:rsidRPr="002A4FC0">
        <w:t xml:space="preserve">, assigned birth asphyxia </w:t>
      </w:r>
      <w:r w:rsidR="0065624F">
        <w:t xml:space="preserve">as a COD </w:t>
      </w:r>
      <w:r w:rsidR="000F00B7" w:rsidRPr="002A4FC0">
        <w:t xml:space="preserve">for </w:t>
      </w:r>
      <w:r w:rsidRPr="002A4FC0">
        <w:t>14%.</w:t>
      </w:r>
      <w:r w:rsidR="006D204A" w:rsidRPr="002A4FC0">
        <w:rPr>
          <w:vertAlign w:val="superscript"/>
        </w:rPr>
        <w:t>7</w:t>
      </w:r>
      <w:r w:rsidRPr="002A4FC0">
        <w:t xml:space="preserve"> The CHAMPS multi-country study, which evaluated all neonatal deaths </w:t>
      </w:r>
      <w:r w:rsidR="000F00B7" w:rsidRPr="002A4FC0">
        <w:t xml:space="preserve">using MITS </w:t>
      </w:r>
      <w:r w:rsidRPr="002A4FC0">
        <w:t>(in contrast to PURPOSE which only evaluated preterm neonatal deaths) and generally did not include placenta</w:t>
      </w:r>
      <w:r w:rsidR="00813C01" w:rsidRPr="002A4FC0">
        <w:t>l</w:t>
      </w:r>
      <w:r w:rsidRPr="002A4FC0">
        <w:t xml:space="preserve"> </w:t>
      </w:r>
      <w:r w:rsidR="000F00B7" w:rsidRPr="002A4FC0">
        <w:t>evaluations</w:t>
      </w:r>
      <w:r w:rsidRPr="002A4FC0">
        <w:t xml:space="preserve">, </w:t>
      </w:r>
      <w:r w:rsidR="000F00B7" w:rsidRPr="002A4FC0">
        <w:t>found that</w:t>
      </w:r>
      <w:r w:rsidRPr="002A4FC0">
        <w:t xml:space="preserve"> complications of preterm birth accounted for</w:t>
      </w:r>
      <w:r w:rsidR="003730A6" w:rsidRPr="002A4FC0">
        <w:t xml:space="preserve"> 38% of all</w:t>
      </w:r>
      <w:r w:rsidRPr="002A4FC0">
        <w:t xml:space="preserve"> neonatal deaths</w:t>
      </w:r>
      <w:r w:rsidR="006D204A" w:rsidRPr="002A4FC0">
        <w:t>.</w:t>
      </w:r>
      <w:r w:rsidR="006D204A" w:rsidRPr="002A4FC0">
        <w:rPr>
          <w:vertAlign w:val="superscript"/>
        </w:rPr>
        <w:t xml:space="preserve">19  </w:t>
      </w:r>
      <w:r w:rsidR="006D204A" w:rsidRPr="002A4FC0">
        <w:t>T</w:t>
      </w:r>
      <w:r w:rsidRPr="002A4FC0">
        <w:t xml:space="preserve">hey also found that 26% </w:t>
      </w:r>
      <w:r w:rsidR="00813C01" w:rsidRPr="002A4FC0">
        <w:t xml:space="preserve">of the deaths </w:t>
      </w:r>
      <w:r w:rsidRPr="002A4FC0">
        <w:t>were at</w:t>
      </w:r>
      <w:r w:rsidR="00D16D7B" w:rsidRPr="002A4FC0">
        <w:t>tributed to birth asphyxia. A</w:t>
      </w:r>
      <w:r w:rsidRPr="002A4FC0">
        <w:t xml:space="preserve"> study from </w:t>
      </w:r>
      <w:proofErr w:type="spellStart"/>
      <w:r w:rsidRPr="002A4FC0">
        <w:t>Matlab</w:t>
      </w:r>
      <w:proofErr w:type="spellEnd"/>
      <w:r w:rsidR="000F00B7" w:rsidRPr="002A4FC0">
        <w:t>,</w:t>
      </w:r>
      <w:r w:rsidR="00813C01" w:rsidRPr="002A4FC0">
        <w:t xml:space="preserve"> Bangladesh that also evaluated</w:t>
      </w:r>
      <w:r w:rsidRPr="002A4FC0">
        <w:t xml:space="preserve"> the causes of all neonatal deaths, found that birth asphyxia was the cause of 44.9%</w:t>
      </w:r>
      <w:r w:rsidR="00D16D7B" w:rsidRPr="002A4FC0">
        <w:t xml:space="preserve"> of the deaths</w:t>
      </w:r>
      <w:r w:rsidRPr="002A4FC0">
        <w:t>, while the combination of low birthweight, prematurity and RDS accounted for only 22.0% of the deaths.</w:t>
      </w:r>
      <w:r w:rsidR="006D204A" w:rsidRPr="002A4FC0">
        <w:rPr>
          <w:vertAlign w:val="superscript"/>
        </w:rPr>
        <w:t>2</w:t>
      </w:r>
      <w:r w:rsidR="00847FAE">
        <w:rPr>
          <w:vertAlign w:val="superscript"/>
        </w:rPr>
        <w:t>9</w:t>
      </w:r>
      <w:r w:rsidRPr="002A4FC0">
        <w:t xml:space="preserve"> </w:t>
      </w:r>
      <w:r w:rsidR="00B502C5" w:rsidRPr="002A4FC0">
        <w:t xml:space="preserve">These two studies were typical </w:t>
      </w:r>
      <w:r w:rsidR="00B510B2">
        <w:t>of many</w:t>
      </w:r>
      <w:r w:rsidR="0065624F">
        <w:t>,</w:t>
      </w:r>
      <w:r w:rsidR="00613040" w:rsidRPr="002A4FC0">
        <w:t xml:space="preserve"> </w:t>
      </w:r>
      <w:r w:rsidR="00B502C5" w:rsidRPr="002A4FC0">
        <w:t xml:space="preserve">in that a number of conditions </w:t>
      </w:r>
      <w:r w:rsidR="000F00B7" w:rsidRPr="002A4FC0">
        <w:t xml:space="preserve">were grouped </w:t>
      </w:r>
      <w:r w:rsidR="00B502C5" w:rsidRPr="002A4FC0">
        <w:t xml:space="preserve">into a category </w:t>
      </w:r>
      <w:r w:rsidR="000F00B7" w:rsidRPr="002A4FC0">
        <w:t>of</w:t>
      </w:r>
      <w:r w:rsidR="00B502C5" w:rsidRPr="002A4FC0">
        <w:t xml:space="preserve"> complications of prematurity</w:t>
      </w:r>
      <w:r w:rsidR="000F00B7" w:rsidRPr="002A4FC0">
        <w:t>,</w:t>
      </w:r>
      <w:r w:rsidR="00B502C5" w:rsidRPr="002A4FC0">
        <w:t xml:space="preserve"> </w:t>
      </w:r>
      <w:r w:rsidR="000F00B7" w:rsidRPr="002A4FC0">
        <w:t>rather than defining</w:t>
      </w:r>
      <w:r w:rsidR="00B502C5" w:rsidRPr="002A4FC0">
        <w:t xml:space="preserve"> RDS specifically.  </w:t>
      </w:r>
      <w:r w:rsidRPr="002A4FC0">
        <w:t xml:space="preserve">In a different approach </w:t>
      </w:r>
      <w:r w:rsidR="00A81D29">
        <w:t>that</w:t>
      </w:r>
      <w:r w:rsidR="006D204A" w:rsidRPr="002A4FC0">
        <w:t xml:space="preserve"> </w:t>
      </w:r>
      <w:r w:rsidR="000F00B7" w:rsidRPr="002A4FC0">
        <w:t>model</w:t>
      </w:r>
      <w:r w:rsidR="006D204A" w:rsidRPr="002A4FC0">
        <w:t>ed</w:t>
      </w:r>
      <w:r w:rsidRPr="002A4FC0">
        <w:t xml:space="preserve"> interventions to prevent neonatal death, the most effective interventions were shown to be related to better obstetric care and neonatal resuscitation, interventions thought to impact most strongly on deaths from birth asphyxia.</w:t>
      </w:r>
      <w:r w:rsidR="00847FAE">
        <w:rPr>
          <w:vertAlign w:val="superscript"/>
        </w:rPr>
        <w:t>30</w:t>
      </w:r>
      <w:r w:rsidR="00613040" w:rsidRPr="002A4FC0">
        <w:t xml:space="preserve"> We could find no published study comparing the attribution of cause of preterm neonatal death by different assessors with access to varying types and amounts of data, although a study by </w:t>
      </w:r>
      <w:proofErr w:type="spellStart"/>
      <w:r w:rsidR="00613040" w:rsidRPr="002A4FC0">
        <w:t>Bhutta</w:t>
      </w:r>
      <w:proofErr w:type="spellEnd"/>
      <w:r w:rsidR="00613040" w:rsidRPr="002A4FC0">
        <w:t xml:space="preserve"> et al from Pakistan noted that compar</w:t>
      </w:r>
      <w:r w:rsidR="00A81D29">
        <w:t xml:space="preserve">ed to </w:t>
      </w:r>
      <w:r w:rsidR="00613040" w:rsidRPr="002A4FC0">
        <w:t xml:space="preserve">the discharge </w:t>
      </w:r>
      <w:r w:rsidR="00685B12">
        <w:t>COD</w:t>
      </w:r>
      <w:r w:rsidR="00613040" w:rsidRPr="002A4FC0">
        <w:t xml:space="preserve"> listed by the NICU physician, they believed the </w:t>
      </w:r>
      <w:r w:rsidR="00685B12">
        <w:t>COD</w:t>
      </w:r>
      <w:r w:rsidR="00613040" w:rsidRPr="002A4FC0">
        <w:t xml:space="preserve"> determined by verbal autopsy was more accurate.</w:t>
      </w:r>
    </w:p>
    <w:p w14:paraId="64A5F823" w14:textId="7C6639ED" w:rsidR="00B63274" w:rsidRPr="002A4FC0" w:rsidRDefault="00B63274" w:rsidP="00EA2CC9">
      <w:pPr>
        <w:spacing w:line="360" w:lineRule="auto"/>
      </w:pPr>
      <w:r w:rsidRPr="002A4FC0">
        <w:t xml:space="preserve">We have </w:t>
      </w:r>
      <w:r w:rsidR="007C0B8D">
        <w:t>considered</w:t>
      </w:r>
      <w:r w:rsidRPr="002A4FC0">
        <w:t xml:space="preserve"> why there was </w:t>
      </w:r>
      <w:r w:rsidR="00DC7CE6">
        <w:t>less</w:t>
      </w:r>
      <w:r w:rsidRPr="002A4FC0">
        <w:t xml:space="preserve"> attribution </w:t>
      </w:r>
      <w:r w:rsidR="00007F8F">
        <w:t xml:space="preserve">of birth asphyxia </w:t>
      </w:r>
      <w:r w:rsidR="00A206CA">
        <w:t xml:space="preserve">as a </w:t>
      </w:r>
      <w:r w:rsidR="00685B12">
        <w:t>COD</w:t>
      </w:r>
      <w:r w:rsidR="00A206CA">
        <w:t xml:space="preserve"> </w:t>
      </w:r>
      <w:r w:rsidR="00007F8F" w:rsidRPr="002A4FC0">
        <w:t>by the physician</w:t>
      </w:r>
      <w:r w:rsidR="00253C78">
        <w:t>s</w:t>
      </w:r>
      <w:r w:rsidR="00007F8F" w:rsidRPr="002A4FC0">
        <w:t xml:space="preserve"> </w:t>
      </w:r>
      <w:r w:rsidR="00A206CA">
        <w:t>as compared to the panel</w:t>
      </w:r>
      <w:r w:rsidR="00253C78">
        <w:t>s</w:t>
      </w:r>
      <w:r w:rsidR="00A206CA">
        <w:t xml:space="preserve"> and conversely why the panels found less RDS</w:t>
      </w:r>
      <w:r w:rsidR="00685B12">
        <w:t>.</w:t>
      </w:r>
      <w:r w:rsidR="00253C78">
        <w:t xml:space="preserve">  </w:t>
      </w:r>
      <w:r w:rsidR="00253C78" w:rsidRPr="002A4FC0">
        <w:t xml:space="preserve">While we have limited data to support our </w:t>
      </w:r>
      <w:r w:rsidR="00253C78">
        <w:t>hypothesis</w:t>
      </w:r>
      <w:r w:rsidR="00253C78" w:rsidRPr="002A4FC0">
        <w:t xml:space="preserve">, </w:t>
      </w:r>
      <w:r w:rsidR="00685B12">
        <w:t>it appears that</w:t>
      </w:r>
      <w:r w:rsidR="00253C78">
        <w:t xml:space="preserve"> some physicians associate </w:t>
      </w:r>
      <w:r w:rsidR="00B510B2">
        <w:t xml:space="preserve">breathing </w:t>
      </w:r>
      <w:r w:rsidR="00253C78">
        <w:t>difficulty in a preterm neonate with RDS. In the absence of much other data to contradict this belief</w:t>
      </w:r>
      <w:r w:rsidR="00685B12">
        <w:t>,</w:t>
      </w:r>
      <w:r w:rsidR="00B510B2">
        <w:t xml:space="preserve"> the fallback position was </w:t>
      </w:r>
      <w:r w:rsidR="00253C78">
        <w:t xml:space="preserve">RDS. </w:t>
      </w:r>
      <w:r w:rsidR="00685B12">
        <w:t xml:space="preserve"> </w:t>
      </w:r>
      <w:r w:rsidR="00253C78">
        <w:t xml:space="preserve">Attributing birth asphyxia to be the </w:t>
      </w:r>
      <w:r w:rsidR="00685B12">
        <w:t>COD</w:t>
      </w:r>
      <w:r w:rsidR="00253C78">
        <w:t xml:space="preserve"> often requires more detailed information abstracted from multiple sources</w:t>
      </w:r>
      <w:r w:rsidR="00685B12">
        <w:t>.</w:t>
      </w:r>
      <w:r w:rsidR="00B510B2">
        <w:t xml:space="preserve"> Not assessed immediately after death</w:t>
      </w:r>
      <w:r w:rsidR="0057195F">
        <w:t>, but</w:t>
      </w:r>
      <w:r w:rsidR="00B510B2">
        <w:t xml:space="preserve"> </w:t>
      </w:r>
      <w:r w:rsidR="0057195F">
        <w:t xml:space="preserve">only </w:t>
      </w:r>
      <w:r w:rsidR="00B510B2">
        <w:t>when placental</w:t>
      </w:r>
      <w:r w:rsidR="00685B12">
        <w:t xml:space="preserve">, </w:t>
      </w:r>
      <w:r w:rsidR="00B510B2">
        <w:t>histologic and PCR data become available, the panel</w:t>
      </w:r>
      <w:r w:rsidR="0057195F">
        <w:t>’s COD determination is generally more extensive. Another reason</w:t>
      </w:r>
      <w:r w:rsidR="00685B12">
        <w:t xml:space="preserve"> why birth </w:t>
      </w:r>
      <w:r w:rsidR="0057195F">
        <w:t>asphyxia may be</w:t>
      </w:r>
      <w:r w:rsidR="00685B12">
        <w:t xml:space="preserve"> chosen </w:t>
      </w:r>
      <w:r w:rsidR="0057195F">
        <w:t xml:space="preserve">less often </w:t>
      </w:r>
      <w:r w:rsidR="00685B12">
        <w:t>as the COD by the physician</w:t>
      </w:r>
      <w:r w:rsidRPr="002A4FC0">
        <w:t xml:space="preserve"> </w:t>
      </w:r>
      <w:r w:rsidR="00685B12">
        <w:t xml:space="preserve">may be because </w:t>
      </w:r>
      <w:r w:rsidRPr="002A4FC0">
        <w:t>birth asphyxia may imply mismanagement by the obstetric provider, the neonatal pr</w:t>
      </w:r>
      <w:r w:rsidR="0057195F">
        <w:t>ovider, or both</w:t>
      </w:r>
      <w:r w:rsidRPr="002A4FC0">
        <w:t>.</w:t>
      </w:r>
      <w:r w:rsidR="00847FAE">
        <w:rPr>
          <w:vertAlign w:val="superscript"/>
        </w:rPr>
        <w:t>31</w:t>
      </w:r>
      <w:r w:rsidR="006D204A" w:rsidRPr="002A4FC0">
        <w:rPr>
          <w:vertAlign w:val="superscript"/>
        </w:rPr>
        <w:t>,3</w:t>
      </w:r>
      <w:r w:rsidR="00847FAE">
        <w:rPr>
          <w:vertAlign w:val="superscript"/>
        </w:rPr>
        <w:t>2</w:t>
      </w:r>
      <w:r w:rsidRPr="002A4FC0">
        <w:t xml:space="preserve"> On the other hand, </w:t>
      </w:r>
      <w:r w:rsidR="00F83AA3">
        <w:t>because</w:t>
      </w:r>
      <w:r w:rsidRPr="002A4FC0">
        <w:t xml:space="preserve"> RDS</w:t>
      </w:r>
      <w:r w:rsidR="00F83AA3">
        <w:t xml:space="preserve"> may be perceived as</w:t>
      </w:r>
      <w:r w:rsidRPr="002A4FC0">
        <w:t xml:space="preserve"> a common</w:t>
      </w:r>
      <w:r w:rsidR="00F83AA3">
        <w:t>,</w:t>
      </w:r>
      <w:r w:rsidR="00585080" w:rsidRPr="002A4FC0">
        <w:t xml:space="preserve"> </w:t>
      </w:r>
      <w:r w:rsidRPr="002A4FC0">
        <w:t xml:space="preserve">naturally occurring condition among preterm infants, when </w:t>
      </w:r>
      <w:r w:rsidR="00F83AA3">
        <w:t>deaths attributed to RDS</w:t>
      </w:r>
      <w:r w:rsidRPr="002A4FC0">
        <w:t xml:space="preserve"> occur, there may be little or no implication of physician mismanagement. Also, </w:t>
      </w:r>
      <w:r w:rsidR="000831BB">
        <w:t>since the</w:t>
      </w:r>
      <w:r w:rsidR="00F83AA3">
        <w:t xml:space="preserve"> </w:t>
      </w:r>
      <w:r w:rsidR="000831BB">
        <w:t xml:space="preserve">person assigning cause of </w:t>
      </w:r>
      <w:r w:rsidR="007308A3">
        <w:t xml:space="preserve">a </w:t>
      </w:r>
      <w:r w:rsidR="00F83AA3">
        <w:t xml:space="preserve">neonatal </w:t>
      </w:r>
      <w:r w:rsidRPr="002A4FC0">
        <w:t xml:space="preserve">death </w:t>
      </w:r>
      <w:r w:rsidR="00F83AA3">
        <w:t xml:space="preserve">occurring </w:t>
      </w:r>
      <w:r w:rsidRPr="002A4FC0">
        <w:t xml:space="preserve">in an NICU is likely to be a pediatrician, the obstetrical history suggesting birth asphyxia might not have been available or </w:t>
      </w:r>
      <w:r w:rsidR="002D36CE" w:rsidRPr="002A4FC0">
        <w:t>incorporated</w:t>
      </w:r>
      <w:r w:rsidRPr="002A4FC0">
        <w:t xml:space="preserve"> when considering the cause of death.</w:t>
      </w:r>
      <w:r w:rsidR="00B65744">
        <w:t xml:space="preserve"> We have also considered why RDS was more often </w:t>
      </w:r>
      <w:r w:rsidR="001D1BED">
        <w:t xml:space="preserve">chosen as </w:t>
      </w:r>
      <w:r w:rsidR="00B65744">
        <w:t xml:space="preserve">the </w:t>
      </w:r>
      <w:r w:rsidR="001D1BED">
        <w:t>COD</w:t>
      </w:r>
      <w:r w:rsidR="00B65744">
        <w:t xml:space="preserve"> in Pakistan. Because of the limited data available in that site prior to delivery and the heavy clinical</w:t>
      </w:r>
      <w:r w:rsidR="00F424B6">
        <w:t xml:space="preserve"> load</w:t>
      </w:r>
      <w:r w:rsidR="00B65744">
        <w:t>, we believe that only when the panel</w:t>
      </w:r>
      <w:r w:rsidR="00F424B6">
        <w:t xml:space="preserve"> focused on all the data </w:t>
      </w:r>
      <w:r w:rsidR="001D1BED">
        <w:t xml:space="preserve">– much of it only available after death, </w:t>
      </w:r>
      <w:r w:rsidR="00F424B6">
        <w:t>did the importance of birth asphyxia at that site become apparent.</w:t>
      </w:r>
    </w:p>
    <w:p w14:paraId="05DBF524" w14:textId="77777777" w:rsidR="00787AE6" w:rsidRPr="002A4FC0" w:rsidRDefault="00787AE6" w:rsidP="00EA2CC9">
      <w:pPr>
        <w:spacing w:line="360" w:lineRule="auto"/>
      </w:pPr>
      <w:r w:rsidRPr="002A4FC0">
        <w:t xml:space="preserve">Strengths and Limitations </w:t>
      </w:r>
    </w:p>
    <w:p w14:paraId="4F11A8E3" w14:textId="672C598B" w:rsidR="00483023" w:rsidRPr="00483023" w:rsidRDefault="00000EAF" w:rsidP="005025A1">
      <w:pPr>
        <w:spacing w:after="0" w:line="360" w:lineRule="auto"/>
        <w:rPr>
          <w:rFonts w:ascii="Times New Roman" w:eastAsia="Times New Roman" w:hAnsi="Times New Roman" w:cs="Times New Roman"/>
          <w:sz w:val="24"/>
          <w:szCs w:val="24"/>
        </w:rPr>
      </w:pPr>
      <w:r w:rsidRPr="002A4FC0">
        <w:t xml:space="preserve">This study had strengths and weaknesses. First, the study was performed in two sites with different levels of care and neonatal mortality rates. They had similar oversight and data forms but separate investigators.  </w:t>
      </w:r>
      <w:r w:rsidR="00B63274" w:rsidRPr="002A4FC0">
        <w:t>The pathologists in both sites had similar training</w:t>
      </w:r>
      <w:r w:rsidR="00C024E7" w:rsidRPr="002A4FC0">
        <w:t>,</w:t>
      </w:r>
      <w:r w:rsidR="00B63274" w:rsidRPr="002A4FC0">
        <w:t xml:space="preserve"> but again were completely independent of one another. The panels</w:t>
      </w:r>
      <w:r w:rsidR="009C5090" w:rsidRPr="002A4FC0">
        <w:t xml:space="preserve"> received the same training</w:t>
      </w:r>
      <w:r w:rsidR="00C024E7" w:rsidRPr="002A4FC0">
        <w:t xml:space="preserve"> on </w:t>
      </w:r>
      <w:r w:rsidR="001D1BED">
        <w:t>COD</w:t>
      </w:r>
      <w:r w:rsidR="00C024E7" w:rsidRPr="002A4FC0">
        <w:t xml:space="preserve"> determination</w:t>
      </w:r>
      <w:r w:rsidR="009C5090" w:rsidRPr="002A4FC0">
        <w:t>, but</w:t>
      </w:r>
      <w:r w:rsidR="00B63274" w:rsidRPr="002A4FC0">
        <w:t xml:space="preserve"> </w:t>
      </w:r>
      <w:r w:rsidR="00787AE6" w:rsidRPr="002A4FC0">
        <w:t xml:space="preserve">reviews </w:t>
      </w:r>
      <w:r w:rsidR="00B63274" w:rsidRPr="002A4FC0">
        <w:t>wer</w:t>
      </w:r>
      <w:r w:rsidR="00787AE6" w:rsidRPr="002A4FC0">
        <w:t>e conducted</w:t>
      </w:r>
      <w:r w:rsidR="00B63274" w:rsidRPr="002A4FC0">
        <w:t xml:space="preserve"> independent</w:t>
      </w:r>
      <w:r w:rsidR="00787AE6" w:rsidRPr="002A4FC0">
        <w:t>ly</w:t>
      </w:r>
      <w:r w:rsidR="00FF1D38" w:rsidRPr="002A4FC0">
        <w:t xml:space="preserve"> of</w:t>
      </w:r>
      <w:r w:rsidR="00787AE6" w:rsidRPr="002A4FC0">
        <w:t xml:space="preserve"> each </w:t>
      </w:r>
      <w:r w:rsidR="00B63274" w:rsidRPr="002A4FC0">
        <w:t>other. The fact that findings were in the same direction in both si</w:t>
      </w:r>
      <w:r w:rsidR="00BC26DB" w:rsidRPr="002A4FC0">
        <w:t xml:space="preserve">tes supports </w:t>
      </w:r>
      <w:r w:rsidR="00B63274" w:rsidRPr="002A4FC0">
        <w:t>our conclusions</w:t>
      </w:r>
      <w:r w:rsidR="00ED4A9F" w:rsidRPr="002A4FC0">
        <w:t>,</w:t>
      </w:r>
      <w:r w:rsidR="00B63274" w:rsidRPr="002A4FC0">
        <w:t xml:space="preserve"> as does the findings from the SIPS study and others. Weaknesses include the fact that </w:t>
      </w:r>
      <w:r w:rsidR="00AF76B9" w:rsidRPr="002A4FC0">
        <w:t xml:space="preserve">because the preterm infants in this study were </w:t>
      </w:r>
      <w:r w:rsidR="00AF76B9" w:rsidRPr="002A4FC0">
        <w:rPr>
          <w:u w:val="single"/>
        </w:rPr>
        <w:t>&gt;</w:t>
      </w:r>
      <w:r w:rsidR="00AF76B9" w:rsidRPr="002A4FC0">
        <w:t xml:space="preserve">1000 grams at birth, admitted to, cared for, and died in an NICU, we cannot generalize to </w:t>
      </w:r>
      <w:r w:rsidR="00B63274" w:rsidRPr="002A4FC0">
        <w:t xml:space="preserve">smaller babies </w:t>
      </w:r>
      <w:r w:rsidR="00AF76B9" w:rsidRPr="002A4FC0">
        <w:t>or those</w:t>
      </w:r>
      <w:r w:rsidR="00813C01" w:rsidRPr="002A4FC0">
        <w:t xml:space="preserve"> cared for</w:t>
      </w:r>
      <w:r w:rsidR="00AF76B9" w:rsidRPr="002A4FC0">
        <w:t xml:space="preserve"> outside NICUs</w:t>
      </w:r>
      <w:r w:rsidR="00B63274" w:rsidRPr="002A4FC0">
        <w:t>. The study subjects were recruited at presentation for delivery and therefore some prenatal information may have been lost. However, the infants were all followed during their stay in the NICUs. In addition, the study was performed in</w:t>
      </w:r>
      <w:r w:rsidR="00F83FAA" w:rsidRPr="002A4FC0">
        <w:t xml:space="preserve"> a single NICU in Pakistan and three</w:t>
      </w:r>
      <w:r w:rsidR="00B63274" w:rsidRPr="002A4FC0">
        <w:t xml:space="preserve"> smaller NICUs in a single health system in India. The results</w:t>
      </w:r>
      <w:r w:rsidR="009C5090" w:rsidRPr="002A4FC0">
        <w:t>,</w:t>
      </w:r>
      <w:r w:rsidR="00B63274" w:rsidRPr="002A4FC0">
        <w:t xml:space="preserve"> therefore</w:t>
      </w:r>
      <w:r w:rsidR="009C5090" w:rsidRPr="002A4FC0">
        <w:t>,</w:t>
      </w:r>
      <w:r w:rsidR="00B63274" w:rsidRPr="002A4FC0">
        <w:t xml:space="preserve"> may not be representative of all </w:t>
      </w:r>
      <w:r w:rsidR="00BC26DB" w:rsidRPr="002A4FC0">
        <w:t xml:space="preserve">neonatal deaths in </w:t>
      </w:r>
      <w:r w:rsidR="00B63274" w:rsidRPr="002A4FC0">
        <w:t>NICUs in those countries.</w:t>
      </w:r>
      <w:r w:rsidR="00A81D29">
        <w:t xml:space="preserve"> Another issue is the relative accuracy of </w:t>
      </w:r>
      <w:r w:rsidR="001D1BED">
        <w:t>COD</w:t>
      </w:r>
      <w:r w:rsidR="00A81D29">
        <w:t xml:space="preserve"> determination by physicians and the panels.</w:t>
      </w:r>
      <w:r w:rsidR="001D6385">
        <w:t xml:space="preserve"> </w:t>
      </w:r>
      <w:r w:rsidR="00483023">
        <w:t xml:space="preserve">In virtually all determinations of </w:t>
      </w:r>
      <w:r w:rsidR="001D1BED">
        <w:t>COD</w:t>
      </w:r>
      <w:r w:rsidR="00483023">
        <w:t>, the outcome is an opinion based on the review of available information.</w:t>
      </w:r>
      <w:r w:rsidR="005B715C" w:rsidRPr="005B715C">
        <w:rPr>
          <w:vertAlign w:val="superscript"/>
        </w:rPr>
        <w:t>34</w:t>
      </w:r>
      <w:r w:rsidR="00483023">
        <w:t xml:space="preserve"> </w:t>
      </w:r>
      <w:r w:rsidR="00A81D29">
        <w:t xml:space="preserve">We could find no </w:t>
      </w:r>
      <w:r w:rsidR="00483023">
        <w:t xml:space="preserve">definitive study saying that the </w:t>
      </w:r>
      <w:r w:rsidR="001D1BED">
        <w:t>COD</w:t>
      </w:r>
      <w:r w:rsidR="00483023">
        <w:t xml:space="preserve"> determined by a panel with more extensive information is more accurate than the </w:t>
      </w:r>
      <w:r w:rsidR="001D1BED">
        <w:t>COD determined</w:t>
      </w:r>
      <w:r w:rsidR="00483023">
        <w:t xml:space="preserve"> by a single physician with less information. However, in an increasing number of studies, using a panel with more extensive information is the methodology used</w:t>
      </w:r>
      <w:r w:rsidR="007308A3">
        <w:t xml:space="preserve"> to determine </w:t>
      </w:r>
      <w:r w:rsidR="001D1BED">
        <w:t>COD</w:t>
      </w:r>
      <w:r w:rsidR="00483023">
        <w:t>.</w:t>
      </w:r>
      <w:r w:rsidR="005B715C" w:rsidRPr="005B715C">
        <w:rPr>
          <w:vertAlign w:val="superscript"/>
        </w:rPr>
        <w:t>18,20,34-</w:t>
      </w:r>
      <w:r w:rsidR="005B715C">
        <w:rPr>
          <w:vertAlign w:val="superscript"/>
        </w:rPr>
        <w:t>3</w:t>
      </w:r>
      <w:r w:rsidR="005B715C" w:rsidRPr="005B715C">
        <w:rPr>
          <w:vertAlign w:val="superscript"/>
        </w:rPr>
        <w:t>6</w:t>
      </w:r>
      <w:r w:rsidR="00483023" w:rsidRPr="00483023">
        <w:t xml:space="preserve"> </w:t>
      </w:r>
      <w:r w:rsidR="00483023">
        <w:t xml:space="preserve">We adopted that strategy  for the </w:t>
      </w:r>
      <w:proofErr w:type="spellStart"/>
      <w:r w:rsidR="00483023">
        <w:t>PURPOSe</w:t>
      </w:r>
      <w:proofErr w:type="spellEnd"/>
      <w:r w:rsidR="00483023">
        <w:t xml:space="preserve"> study.</w:t>
      </w:r>
    </w:p>
    <w:p w14:paraId="0DF6EAE3" w14:textId="77777777" w:rsidR="00483023" w:rsidRPr="00483023" w:rsidRDefault="00483023" w:rsidP="00483023">
      <w:pPr>
        <w:spacing w:after="0" w:line="240" w:lineRule="auto"/>
        <w:rPr>
          <w:rFonts w:ascii="Times New Roman" w:eastAsia="Times New Roman" w:hAnsi="Times New Roman" w:cs="Times New Roman"/>
          <w:sz w:val="24"/>
          <w:szCs w:val="24"/>
        </w:rPr>
      </w:pPr>
      <w:r w:rsidRPr="00483023">
        <w:rPr>
          <w:rFonts w:ascii="Times New Roman" w:eastAsia="Times New Roman" w:hAnsi="Times New Roman" w:cs="Times New Roman"/>
          <w:sz w:val="24"/>
          <w:szCs w:val="24"/>
        </w:rPr>
        <w:t>–</w:t>
      </w:r>
    </w:p>
    <w:p w14:paraId="5EE0DBF5" w14:textId="32B6051D" w:rsidR="00787AE6" w:rsidRPr="002A4FC0" w:rsidRDefault="00787AE6" w:rsidP="00EA2CC9">
      <w:pPr>
        <w:spacing w:line="360" w:lineRule="auto"/>
        <w:rPr>
          <w:b/>
        </w:rPr>
      </w:pPr>
      <w:r w:rsidRPr="002A4FC0">
        <w:rPr>
          <w:b/>
        </w:rPr>
        <w:t>Conclusions</w:t>
      </w:r>
    </w:p>
    <w:p w14:paraId="1446F540" w14:textId="513AF411" w:rsidR="002D36CE" w:rsidRPr="007308A3" w:rsidRDefault="002D36CE" w:rsidP="002D36CE">
      <w:pPr>
        <w:spacing w:line="360" w:lineRule="auto"/>
      </w:pPr>
      <w:r w:rsidRPr="002A4FC0">
        <w:t>Respiratory conditions are</w:t>
      </w:r>
      <w:r w:rsidR="007308A3">
        <w:t xml:space="preserve"> very common in</w:t>
      </w:r>
      <w:r w:rsidRPr="002A4FC0">
        <w:t xml:space="preserve"> death</w:t>
      </w:r>
      <w:r w:rsidR="007308A3">
        <w:t>s</w:t>
      </w:r>
      <w:r w:rsidRPr="002A4FC0">
        <w:t xml:space="preserve"> among preterm neonates. Knowing the distribution of respiratory causes of preterm neonatal death is crucial if interventions to reduce those deaths are to be implemented successfully. If RDS is the most frequent cause of preterm neonatal death, a program focused on maternal corticosteroids and the use of CPAP and oxygen in the neonate might be </w:t>
      </w:r>
      <w:r w:rsidR="00304A08" w:rsidRPr="002A4FC0">
        <w:t>i</w:t>
      </w:r>
      <w:r w:rsidRPr="002A4FC0">
        <w:t>mplemented. On the other hand, if birth asphyxia was found to be the most common cause of preterm neonatal death, this would suggest implementing interventions focused on improving obstetric care and neonatal resuscitatio</w:t>
      </w:r>
      <w:r w:rsidR="00B76A82">
        <w:t>n. Of course, improving care in</w:t>
      </w:r>
      <w:r w:rsidRPr="002A4FC0">
        <w:t xml:space="preserve"> both areas, and doing both well, would be ideal, but in many LMIC, because of very limited resources, choices among interventions often must be made. </w:t>
      </w:r>
      <w:r w:rsidR="00AF76B9" w:rsidRPr="002A4FC0">
        <w:t xml:space="preserve"> </w:t>
      </w:r>
      <w:r w:rsidRPr="002A4FC0">
        <w:t xml:space="preserve">It is especially concerning if among preterm neonatal deaths, because of limited information, infants dying with respiratory distress are automatically assigned RDS as the </w:t>
      </w:r>
      <w:r w:rsidR="001D1BED">
        <w:t>COD</w:t>
      </w:r>
      <w:r w:rsidRPr="002A4FC0">
        <w:t>. With the availability of more extensive data</w:t>
      </w:r>
      <w:r w:rsidR="00AF76B9" w:rsidRPr="002A4FC0">
        <w:t>,</w:t>
      </w:r>
      <w:r w:rsidRPr="002A4FC0">
        <w:t xml:space="preserve"> we now can better understand the causes of neonatal death, especially in preterm infants, and to choose interventions likely to have the greatest chance of improving outcomes. In prior years, in </w:t>
      </w:r>
      <w:r w:rsidR="001D1BED">
        <w:t>COD</w:t>
      </w:r>
      <w:r w:rsidRPr="002A4FC0">
        <w:t xml:space="preserve"> studies for neonates, if the infant was premature, prematurity was often listed as the cause of death. More recently it has become apparent that preterm infants die from a variety of causes and distinguishing among them is not only possible but crucial. Thus, it is important to use all ava</w:t>
      </w:r>
      <w:r w:rsidR="0057195F">
        <w:t>ilable information to delve</w:t>
      </w:r>
      <w:r w:rsidRPr="002A4FC0">
        <w:t xml:space="preserve"> deeply into the causes of preterm neonatal deaths and especially</w:t>
      </w:r>
      <w:r w:rsidR="00AF76B9" w:rsidRPr="002A4FC0">
        <w:t>,</w:t>
      </w:r>
      <w:r w:rsidRPr="002A4FC0">
        <w:t xml:space="preserve"> to </w:t>
      </w:r>
      <w:r w:rsidRPr="007308A3">
        <w:t xml:space="preserve">distinguish between the </w:t>
      </w:r>
      <w:r w:rsidR="001D1BED">
        <w:t>COD</w:t>
      </w:r>
      <w:r w:rsidRPr="007308A3">
        <w:t xml:space="preserve"> in preterm infants with respiratory distress.</w:t>
      </w:r>
    </w:p>
    <w:p w14:paraId="3B99BC5D" w14:textId="1B0AAC2E" w:rsidR="00B63274" w:rsidRPr="002A4FC0" w:rsidRDefault="00787AE6" w:rsidP="00EA2CC9">
      <w:pPr>
        <w:spacing w:line="360" w:lineRule="auto"/>
      </w:pPr>
      <w:r w:rsidRPr="007308A3">
        <w:t>A</w:t>
      </w:r>
      <w:r w:rsidR="0057195F">
        <w:t>ssuming</w:t>
      </w:r>
      <w:r w:rsidR="00B63274" w:rsidRPr="007308A3">
        <w:t xml:space="preserve"> the</w:t>
      </w:r>
      <w:r w:rsidR="00443AF5" w:rsidRPr="007308A3">
        <w:t>se</w:t>
      </w:r>
      <w:r w:rsidR="00B63274" w:rsidRPr="007308A3">
        <w:t xml:space="preserve"> results </w:t>
      </w:r>
      <w:r w:rsidR="00443AF5" w:rsidRPr="007308A3">
        <w:t>are replicated among</w:t>
      </w:r>
      <w:r w:rsidR="00B63274" w:rsidRPr="007308A3">
        <w:t xml:space="preserve"> other </w:t>
      </w:r>
      <w:r w:rsidR="00443AF5" w:rsidRPr="007308A3">
        <w:t xml:space="preserve">studies assessing </w:t>
      </w:r>
      <w:r w:rsidR="001D1BED">
        <w:t>COD</w:t>
      </w:r>
      <w:r w:rsidR="00443AF5" w:rsidRPr="007308A3">
        <w:t xml:space="preserve"> among preterm newborns</w:t>
      </w:r>
      <w:r w:rsidR="00B63274" w:rsidRPr="007308A3">
        <w:t xml:space="preserve">, </w:t>
      </w:r>
      <w:r w:rsidR="00ED4A9F" w:rsidRPr="007308A3">
        <w:t>birth asph</w:t>
      </w:r>
      <w:r w:rsidR="00FF1D38" w:rsidRPr="007308A3">
        <w:t>yx</w:t>
      </w:r>
      <w:r w:rsidR="0012615A" w:rsidRPr="007308A3">
        <w:t>ia should be acknowledged as a</w:t>
      </w:r>
      <w:r w:rsidR="00ED4A9F" w:rsidRPr="007308A3">
        <w:t xml:space="preserve"> major </w:t>
      </w:r>
      <w:r w:rsidR="001D1BED">
        <w:t>COD</w:t>
      </w:r>
      <w:r w:rsidR="00ED4A9F" w:rsidRPr="002A4FC0">
        <w:t xml:space="preserve"> in preterm neonates. Therefore, </w:t>
      </w:r>
      <w:r w:rsidR="00B63274" w:rsidRPr="002A4FC0">
        <w:t xml:space="preserve">we believe </w:t>
      </w:r>
      <w:r w:rsidR="00ED4A9F" w:rsidRPr="002A4FC0">
        <w:t xml:space="preserve">that </w:t>
      </w:r>
      <w:r w:rsidR="00B63274" w:rsidRPr="002A4FC0">
        <w:t xml:space="preserve">far more attention should be directed at reducing birth asphyxia </w:t>
      </w:r>
      <w:r w:rsidR="00ED4A9F" w:rsidRPr="002A4FC0">
        <w:t xml:space="preserve">in preterm neonates </w:t>
      </w:r>
      <w:r w:rsidR="0047555A" w:rsidRPr="002A4FC0">
        <w:t xml:space="preserve">in LMIC </w:t>
      </w:r>
      <w:r w:rsidR="00B63274" w:rsidRPr="002A4FC0">
        <w:t>by improving obstetric care an</w:t>
      </w:r>
      <w:r w:rsidR="00C024E7" w:rsidRPr="002A4FC0">
        <w:t>d neonatal resuscitation</w:t>
      </w:r>
      <w:r w:rsidR="00B63274" w:rsidRPr="002A4FC0">
        <w:t>.</w:t>
      </w:r>
    </w:p>
    <w:p w14:paraId="6D436E29" w14:textId="580A41D8" w:rsidR="0052644B" w:rsidRPr="002A4FC0" w:rsidRDefault="0052644B" w:rsidP="00EA2CC9">
      <w:pPr>
        <w:spacing w:line="360" w:lineRule="auto"/>
      </w:pPr>
      <w:r w:rsidRPr="002A4FC0">
        <w:t>Declarations of Interest: The authors declare no conflicts of interest.</w:t>
      </w:r>
    </w:p>
    <w:p w14:paraId="1C8CE01A" w14:textId="5D91B81D" w:rsidR="0052644B" w:rsidRPr="002A4FC0" w:rsidRDefault="0052644B" w:rsidP="00EA2CC9">
      <w:pPr>
        <w:spacing w:line="360" w:lineRule="auto"/>
      </w:pPr>
      <w:r w:rsidRPr="002A4FC0">
        <w:t>Authors’ contributions:</w:t>
      </w:r>
      <w:r w:rsidR="002A4FC0" w:rsidRPr="002A4FC0">
        <w:t xml:space="preserve"> </w:t>
      </w:r>
      <w:r w:rsidR="002A4FC0" w:rsidRPr="002A4FC0">
        <w:rPr>
          <w:rFonts w:cstheme="minorHAnsi"/>
          <w:bCs/>
          <w:szCs w:val="18"/>
        </w:rPr>
        <w:t>RLG conceived the study and with EMM wrote the initial draft with additional input from SSG, YG and RMS. SD, SS, SSG, SST, MT, GG, VK, SK, ZU, SR, JR, HY, SY, and MSS implemented the study. SD, SS, SSG, SST, MT, GG, VK, SK, ZU, SR, JR, HY, SY, AA, LP, KH EMM and MSS monitored the study. RLG, SSG, SS, RMS developed the initial study protocol. KH performed the statistical analyses. All authors reviewed and approved the final manuscript.</w:t>
      </w:r>
    </w:p>
    <w:p w14:paraId="6C6BE12B" w14:textId="77777777" w:rsidR="002A4FC0" w:rsidRPr="002A4FC0" w:rsidRDefault="0052644B" w:rsidP="002A4FC0">
      <w:pPr>
        <w:spacing w:line="360" w:lineRule="auto"/>
      </w:pPr>
      <w:r w:rsidRPr="002A4FC0">
        <w:t>Details of Ethics Approvals:</w:t>
      </w:r>
      <w:r w:rsidR="002A4FC0" w:rsidRPr="002A4FC0">
        <w:t xml:space="preserve"> This study was reviewed and approved by the ethics review committees at all participating institutions (Aga Khan University, Karachi, Pakistan; KLE Academy of Higher Education and Research, Belagavi, India; J.J.M. Medical College, </w:t>
      </w:r>
      <w:proofErr w:type="spellStart"/>
      <w:r w:rsidR="002A4FC0" w:rsidRPr="002A4FC0">
        <w:t>Davangere</w:t>
      </w:r>
      <w:proofErr w:type="spellEnd"/>
      <w:r w:rsidR="002A4FC0" w:rsidRPr="002A4FC0">
        <w:t xml:space="preserve">, India; and RTI International, Durham, NC US).  All women provided informed written consent prior to participation in the study. </w:t>
      </w:r>
    </w:p>
    <w:p w14:paraId="3110A175" w14:textId="406F020D" w:rsidR="0052644B" w:rsidRPr="002A4FC0" w:rsidRDefault="0052644B" w:rsidP="00EA2CC9">
      <w:pPr>
        <w:spacing w:line="360" w:lineRule="auto"/>
      </w:pPr>
      <w:r w:rsidRPr="002A4FC0">
        <w:t>Funding: This study was funded by a grant from the Bill &amp; Melinda Gates Foundation</w:t>
      </w:r>
    </w:p>
    <w:p w14:paraId="13DC2117" w14:textId="77777777" w:rsidR="00B63274" w:rsidRPr="002A4FC0" w:rsidRDefault="00B63274" w:rsidP="00EA2CC9">
      <w:pPr>
        <w:spacing w:line="360" w:lineRule="auto"/>
      </w:pPr>
    </w:p>
    <w:p w14:paraId="5DDBCD85" w14:textId="77777777" w:rsidR="00B63274" w:rsidRPr="002A4FC0" w:rsidRDefault="00B63274" w:rsidP="00B63274">
      <w:pPr>
        <w:sectPr w:rsidR="00B63274" w:rsidRPr="002A4FC0">
          <w:footerReference w:type="default" r:id="rId8"/>
          <w:pgSz w:w="12240" w:h="15840"/>
          <w:pgMar w:top="1440" w:right="1440" w:bottom="1440" w:left="1440" w:header="720" w:footer="720" w:gutter="0"/>
          <w:cols w:space="720"/>
          <w:docGrid w:linePitch="360"/>
        </w:sectPr>
      </w:pPr>
    </w:p>
    <w:p w14:paraId="7EEE3902" w14:textId="4C8E7DB5" w:rsidR="00B63274" w:rsidRPr="002A4FC0" w:rsidRDefault="00BC26DB" w:rsidP="00B63274">
      <w:pPr>
        <w:rPr>
          <w:rFonts w:ascii="Arial" w:hAnsi="Arial" w:cs="Arial"/>
          <w:b/>
        </w:rPr>
      </w:pPr>
      <w:r w:rsidRPr="002A4FC0">
        <w:rPr>
          <w:rFonts w:ascii="Arial" w:hAnsi="Arial" w:cs="Arial"/>
          <w:b/>
        </w:rPr>
        <w:t>Table</w:t>
      </w:r>
      <w:r w:rsidR="00B63274" w:rsidRPr="002A4FC0">
        <w:rPr>
          <w:rFonts w:ascii="Arial" w:hAnsi="Arial" w:cs="Arial"/>
          <w:b/>
        </w:rPr>
        <w:t xml:space="preserve"> 1.</w:t>
      </w:r>
      <w:r w:rsidRPr="002A4FC0">
        <w:rPr>
          <w:rFonts w:ascii="Arial" w:hAnsi="Arial" w:cs="Arial"/>
          <w:b/>
        </w:rPr>
        <w:t xml:space="preserve"> Study e</w:t>
      </w:r>
      <w:r w:rsidR="00B63274" w:rsidRPr="002A4FC0">
        <w:rPr>
          <w:rFonts w:ascii="Arial" w:hAnsi="Arial" w:cs="Arial"/>
          <w:b/>
        </w:rPr>
        <w:t>nrollment</w:t>
      </w:r>
      <w:r w:rsidRPr="002A4FC0">
        <w:rPr>
          <w:rFonts w:ascii="Arial" w:hAnsi="Arial" w:cs="Arial"/>
          <w:b/>
        </w:rPr>
        <w:t xml:space="preserve"> and among those enrolled, those with missing data</w:t>
      </w:r>
    </w:p>
    <w:p w14:paraId="4DFC1BCF" w14:textId="5BC3B887" w:rsidR="00B63274" w:rsidRPr="002A4FC0" w:rsidRDefault="00B63274" w:rsidP="00B63274"/>
    <w:tbl>
      <w:tblPr>
        <w:tblW w:w="8300" w:type="dxa"/>
        <w:tblInd w:w="60" w:type="dxa"/>
        <w:tblLayout w:type="fixed"/>
        <w:tblCellMar>
          <w:left w:w="0" w:type="dxa"/>
          <w:right w:w="0" w:type="dxa"/>
        </w:tblCellMar>
        <w:tblLook w:val="04A0" w:firstRow="1" w:lastRow="0" w:firstColumn="1" w:lastColumn="0" w:noHBand="0" w:noVBand="1"/>
      </w:tblPr>
      <w:tblGrid>
        <w:gridCol w:w="4229"/>
        <w:gridCol w:w="1371"/>
        <w:gridCol w:w="1440"/>
        <w:gridCol w:w="1260"/>
      </w:tblGrid>
      <w:tr w:rsidR="00B63274" w:rsidRPr="002A4FC0" w14:paraId="552E8D0C" w14:textId="77777777" w:rsidTr="005E7A69">
        <w:trPr>
          <w:cantSplit/>
          <w:trHeight w:val="441"/>
          <w:tblHeader/>
        </w:trPr>
        <w:tc>
          <w:tcPr>
            <w:tcW w:w="4229" w:type="dxa"/>
            <w:tcBorders>
              <w:top w:val="single" w:sz="8" w:space="0" w:color="000000"/>
              <w:left w:val="single" w:sz="8" w:space="0" w:color="000000"/>
              <w:bottom w:val="single" w:sz="8" w:space="0" w:color="000000"/>
            </w:tcBorders>
            <w:shd w:val="clear" w:color="auto" w:fill="auto"/>
            <w:tcMar>
              <w:top w:w="0" w:type="dxa"/>
              <w:left w:w="50" w:type="dxa"/>
              <w:bottom w:w="0" w:type="dxa"/>
              <w:right w:w="50" w:type="dxa"/>
            </w:tcMar>
            <w:vAlign w:val="center"/>
            <w:hideMark/>
          </w:tcPr>
          <w:p w14:paraId="33ED7D6B" w14:textId="77777777" w:rsidR="00B63274" w:rsidRPr="002A4FC0" w:rsidRDefault="00B63274" w:rsidP="00E65791">
            <w:pPr>
              <w:keepNext/>
              <w:spacing w:before="50" w:after="50" w:line="252" w:lineRule="auto"/>
              <w:rPr>
                <w:rFonts w:ascii="Arial" w:hAnsi="Arial" w:cs="Arial"/>
                <w:color w:val="000000"/>
              </w:rPr>
            </w:pPr>
            <w:r w:rsidRPr="002A4FC0">
              <w:rPr>
                <w:rFonts w:ascii="Arial" w:hAnsi="Arial" w:cs="Arial"/>
                <w:color w:val="000000"/>
              </w:rPr>
              <w:br w:type="page"/>
            </w:r>
          </w:p>
        </w:tc>
        <w:tc>
          <w:tcPr>
            <w:tcW w:w="1371" w:type="dxa"/>
            <w:tcBorders>
              <w:top w:val="single" w:sz="8" w:space="0" w:color="000000"/>
              <w:left w:val="single" w:sz="8" w:space="0" w:color="000000"/>
              <w:bottom w:val="single" w:sz="8" w:space="0" w:color="000000"/>
            </w:tcBorders>
            <w:shd w:val="clear" w:color="auto" w:fill="auto"/>
            <w:tcMar>
              <w:top w:w="0" w:type="dxa"/>
              <w:left w:w="50" w:type="dxa"/>
              <w:bottom w:w="0" w:type="dxa"/>
              <w:right w:w="50" w:type="dxa"/>
            </w:tcMar>
            <w:vAlign w:val="center"/>
            <w:hideMark/>
          </w:tcPr>
          <w:p w14:paraId="38F14E42" w14:textId="77777777" w:rsidR="00B63274" w:rsidRPr="002A4FC0" w:rsidRDefault="00B63274" w:rsidP="00E65791">
            <w:pPr>
              <w:keepNext/>
              <w:spacing w:before="50" w:after="50" w:line="252" w:lineRule="auto"/>
              <w:jc w:val="center"/>
              <w:rPr>
                <w:rFonts w:ascii="Arial" w:hAnsi="Arial" w:cs="Arial"/>
                <w:b/>
                <w:bCs/>
                <w:color w:val="000000"/>
              </w:rPr>
            </w:pPr>
            <w:r w:rsidRPr="002A4FC0">
              <w:rPr>
                <w:rFonts w:ascii="Arial" w:hAnsi="Arial" w:cs="Arial"/>
                <w:b/>
                <w:bCs/>
                <w:color w:val="000000"/>
              </w:rPr>
              <w:t>Overall</w:t>
            </w:r>
          </w:p>
        </w:tc>
        <w:tc>
          <w:tcPr>
            <w:tcW w:w="1440" w:type="dxa"/>
            <w:tcBorders>
              <w:top w:val="single" w:sz="8" w:space="0" w:color="000000"/>
              <w:left w:val="single" w:sz="8" w:space="0" w:color="000000"/>
              <w:bottom w:val="single" w:sz="8" w:space="0" w:color="000000"/>
            </w:tcBorders>
            <w:shd w:val="clear" w:color="auto" w:fill="auto"/>
            <w:tcMar>
              <w:top w:w="0" w:type="dxa"/>
              <w:left w:w="50" w:type="dxa"/>
              <w:bottom w:w="0" w:type="dxa"/>
              <w:right w:w="50" w:type="dxa"/>
            </w:tcMar>
            <w:vAlign w:val="center"/>
            <w:hideMark/>
          </w:tcPr>
          <w:p w14:paraId="1C541265" w14:textId="77777777" w:rsidR="00B63274" w:rsidRPr="002A4FC0" w:rsidRDefault="00B63274" w:rsidP="00E65791">
            <w:pPr>
              <w:keepNext/>
              <w:spacing w:before="50" w:after="50" w:line="252" w:lineRule="auto"/>
              <w:jc w:val="center"/>
              <w:rPr>
                <w:rFonts w:ascii="Arial" w:hAnsi="Arial" w:cs="Arial"/>
                <w:b/>
                <w:bCs/>
                <w:color w:val="000000"/>
              </w:rPr>
            </w:pPr>
            <w:r w:rsidRPr="002A4FC0">
              <w:rPr>
                <w:rFonts w:ascii="Arial" w:hAnsi="Arial" w:cs="Arial"/>
                <w:b/>
                <w:bCs/>
                <w:color w:val="000000"/>
              </w:rPr>
              <w:t>India</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0" w:type="dxa"/>
              <w:left w:w="50" w:type="dxa"/>
              <w:bottom w:w="0" w:type="dxa"/>
              <w:right w:w="50" w:type="dxa"/>
            </w:tcMar>
            <w:vAlign w:val="center"/>
            <w:hideMark/>
          </w:tcPr>
          <w:p w14:paraId="60526D0E" w14:textId="77777777" w:rsidR="00B63274" w:rsidRPr="002A4FC0" w:rsidRDefault="00B63274" w:rsidP="00E65791">
            <w:pPr>
              <w:keepNext/>
              <w:spacing w:before="50" w:after="50" w:line="252" w:lineRule="auto"/>
              <w:jc w:val="center"/>
              <w:rPr>
                <w:rFonts w:ascii="Arial" w:hAnsi="Arial" w:cs="Arial"/>
                <w:b/>
                <w:bCs/>
                <w:color w:val="000000"/>
              </w:rPr>
            </w:pPr>
            <w:r w:rsidRPr="002A4FC0">
              <w:rPr>
                <w:rFonts w:ascii="Arial" w:hAnsi="Arial" w:cs="Arial"/>
                <w:b/>
                <w:bCs/>
                <w:color w:val="000000"/>
              </w:rPr>
              <w:t>Pakistan</w:t>
            </w:r>
          </w:p>
        </w:tc>
      </w:tr>
      <w:tr w:rsidR="00B63274" w:rsidRPr="002A4FC0" w14:paraId="6E497729" w14:textId="77777777" w:rsidTr="005E7A69">
        <w:trPr>
          <w:cantSplit/>
          <w:trHeight w:val="361"/>
        </w:trPr>
        <w:tc>
          <w:tcPr>
            <w:tcW w:w="4229"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75E5F2D4" w14:textId="77777777" w:rsidR="00B63274" w:rsidRPr="002A4FC0" w:rsidRDefault="00B6327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Preterm women enrolled (N)</w:t>
            </w:r>
          </w:p>
        </w:tc>
        <w:tc>
          <w:tcPr>
            <w:tcW w:w="1371"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11A19752"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4,161</w:t>
            </w:r>
          </w:p>
        </w:tc>
        <w:tc>
          <w:tcPr>
            <w:tcW w:w="1440"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7F36D244"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2,262</w:t>
            </w:r>
          </w:p>
        </w:tc>
        <w:tc>
          <w:tcPr>
            <w:tcW w:w="1260" w:type="dxa"/>
            <w:tcBorders>
              <w:left w:val="single" w:sz="8" w:space="0" w:color="000000"/>
              <w:bottom w:val="single" w:sz="8" w:space="0" w:color="000000"/>
              <w:right w:val="single" w:sz="8" w:space="0" w:color="000000"/>
            </w:tcBorders>
            <w:shd w:val="clear" w:color="auto" w:fill="FFFFFF"/>
            <w:tcMar>
              <w:top w:w="0" w:type="dxa"/>
              <w:left w:w="50" w:type="dxa"/>
              <w:bottom w:w="0" w:type="dxa"/>
              <w:right w:w="50" w:type="dxa"/>
            </w:tcMar>
            <w:hideMark/>
          </w:tcPr>
          <w:p w14:paraId="752D84B8"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1,899</w:t>
            </w:r>
          </w:p>
        </w:tc>
      </w:tr>
      <w:tr w:rsidR="00B63274" w:rsidRPr="002A4FC0" w14:paraId="62008A85" w14:textId="77777777" w:rsidTr="005E7A69">
        <w:trPr>
          <w:cantSplit/>
          <w:trHeight w:val="351"/>
        </w:trPr>
        <w:tc>
          <w:tcPr>
            <w:tcW w:w="4229"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136D4487" w14:textId="77777777" w:rsidR="00B63274" w:rsidRPr="002A4FC0" w:rsidRDefault="00B6327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Preterm infants born (N)</w:t>
            </w:r>
          </w:p>
        </w:tc>
        <w:tc>
          <w:tcPr>
            <w:tcW w:w="1371"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61EAA06B"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3,471</w:t>
            </w:r>
          </w:p>
        </w:tc>
        <w:tc>
          <w:tcPr>
            <w:tcW w:w="1440"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01191D9D"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2,032</w:t>
            </w:r>
          </w:p>
        </w:tc>
        <w:tc>
          <w:tcPr>
            <w:tcW w:w="1260" w:type="dxa"/>
            <w:tcBorders>
              <w:left w:val="single" w:sz="8" w:space="0" w:color="000000"/>
              <w:bottom w:val="single" w:sz="8" w:space="0" w:color="000000"/>
              <w:right w:val="single" w:sz="8" w:space="0" w:color="000000"/>
            </w:tcBorders>
            <w:shd w:val="clear" w:color="auto" w:fill="FFFFFF"/>
            <w:tcMar>
              <w:top w:w="0" w:type="dxa"/>
              <w:left w:w="50" w:type="dxa"/>
              <w:bottom w:w="0" w:type="dxa"/>
              <w:right w:w="50" w:type="dxa"/>
            </w:tcMar>
            <w:hideMark/>
          </w:tcPr>
          <w:p w14:paraId="3B91C35D"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1,439</w:t>
            </w:r>
          </w:p>
        </w:tc>
      </w:tr>
      <w:tr w:rsidR="00B63274" w:rsidRPr="002A4FC0" w14:paraId="62EFC72F" w14:textId="77777777" w:rsidTr="005E7A69">
        <w:trPr>
          <w:cantSplit/>
          <w:trHeight w:val="361"/>
        </w:trPr>
        <w:tc>
          <w:tcPr>
            <w:tcW w:w="4229"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49CEFD69" w14:textId="77777777" w:rsidR="00B63274" w:rsidRPr="002A4FC0" w:rsidRDefault="00B6327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Preterm infants admitted to NICU (N)</w:t>
            </w:r>
          </w:p>
        </w:tc>
        <w:tc>
          <w:tcPr>
            <w:tcW w:w="1371"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24DC90F8"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1,673</w:t>
            </w:r>
          </w:p>
        </w:tc>
        <w:tc>
          <w:tcPr>
            <w:tcW w:w="1440"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3CB23C2E"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1,084</w:t>
            </w:r>
          </w:p>
        </w:tc>
        <w:tc>
          <w:tcPr>
            <w:tcW w:w="1260" w:type="dxa"/>
            <w:tcBorders>
              <w:left w:val="single" w:sz="8" w:space="0" w:color="000000"/>
              <w:bottom w:val="single" w:sz="8" w:space="0" w:color="000000"/>
              <w:right w:val="single" w:sz="8" w:space="0" w:color="000000"/>
            </w:tcBorders>
            <w:shd w:val="clear" w:color="auto" w:fill="FFFFFF"/>
            <w:tcMar>
              <w:top w:w="0" w:type="dxa"/>
              <w:left w:w="50" w:type="dxa"/>
              <w:bottom w:w="0" w:type="dxa"/>
              <w:right w:w="50" w:type="dxa"/>
            </w:tcMar>
            <w:hideMark/>
          </w:tcPr>
          <w:p w14:paraId="1CBB927F"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589</w:t>
            </w:r>
          </w:p>
        </w:tc>
      </w:tr>
      <w:tr w:rsidR="00B63274" w:rsidRPr="002A4FC0" w14:paraId="288EB064" w14:textId="77777777" w:rsidTr="005E7A69">
        <w:trPr>
          <w:cantSplit/>
          <w:trHeight w:val="351"/>
        </w:trPr>
        <w:tc>
          <w:tcPr>
            <w:tcW w:w="4229"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23B946FE" w14:textId="77777777" w:rsidR="00B63274" w:rsidRPr="002A4FC0" w:rsidRDefault="00B6327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Of admitted, preterm infant died &lt;28 d (N)</w:t>
            </w:r>
          </w:p>
        </w:tc>
        <w:tc>
          <w:tcPr>
            <w:tcW w:w="1371"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15E54DDA"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602</w:t>
            </w:r>
          </w:p>
        </w:tc>
        <w:tc>
          <w:tcPr>
            <w:tcW w:w="1440" w:type="dxa"/>
            <w:tcBorders>
              <w:left w:val="single" w:sz="8" w:space="0" w:color="000000"/>
              <w:bottom w:val="single" w:sz="8" w:space="0" w:color="000000"/>
            </w:tcBorders>
            <w:shd w:val="clear" w:color="auto" w:fill="FFFFFF"/>
            <w:tcMar>
              <w:top w:w="0" w:type="dxa"/>
              <w:left w:w="50" w:type="dxa"/>
              <w:bottom w:w="0" w:type="dxa"/>
              <w:right w:w="50" w:type="dxa"/>
            </w:tcMar>
            <w:hideMark/>
          </w:tcPr>
          <w:p w14:paraId="18E853ED"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262</w:t>
            </w:r>
          </w:p>
        </w:tc>
        <w:tc>
          <w:tcPr>
            <w:tcW w:w="1260" w:type="dxa"/>
            <w:tcBorders>
              <w:left w:val="single" w:sz="8" w:space="0" w:color="000000"/>
              <w:bottom w:val="single" w:sz="8" w:space="0" w:color="000000"/>
              <w:right w:val="single" w:sz="8" w:space="0" w:color="000000"/>
            </w:tcBorders>
            <w:shd w:val="clear" w:color="auto" w:fill="FFFFFF"/>
            <w:tcMar>
              <w:top w:w="0" w:type="dxa"/>
              <w:left w:w="50" w:type="dxa"/>
              <w:bottom w:w="0" w:type="dxa"/>
              <w:right w:w="50" w:type="dxa"/>
            </w:tcMar>
            <w:hideMark/>
          </w:tcPr>
          <w:p w14:paraId="23E879A0"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340</w:t>
            </w:r>
          </w:p>
        </w:tc>
      </w:tr>
      <w:tr w:rsidR="00B63274" w:rsidRPr="002A4FC0" w14:paraId="50FDAC5C" w14:textId="77777777" w:rsidTr="005E7A69">
        <w:trPr>
          <w:cantSplit/>
          <w:trHeight w:val="625"/>
        </w:trPr>
        <w:tc>
          <w:tcPr>
            <w:tcW w:w="4229" w:type="dxa"/>
            <w:tcBorders>
              <w:left w:val="single" w:sz="8" w:space="0" w:color="000000"/>
              <w:bottom w:val="single" w:sz="4" w:space="0" w:color="auto"/>
            </w:tcBorders>
            <w:shd w:val="clear" w:color="auto" w:fill="FFFFFF"/>
            <w:tcMar>
              <w:top w:w="0" w:type="dxa"/>
              <w:left w:w="50" w:type="dxa"/>
              <w:bottom w:w="0" w:type="dxa"/>
              <w:right w:w="50" w:type="dxa"/>
            </w:tcMar>
            <w:hideMark/>
          </w:tcPr>
          <w:p w14:paraId="0511A7D3" w14:textId="26CBC293" w:rsidR="00B63274" w:rsidRPr="002A4FC0" w:rsidRDefault="00B6327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 xml:space="preserve">Of infants who died, both panel and physician </w:t>
            </w:r>
            <w:r w:rsidR="00106579" w:rsidRPr="002A4FC0">
              <w:rPr>
                <w:rFonts w:ascii="Arial" w:hAnsi="Arial" w:cs="Arial"/>
                <w:color w:val="000000"/>
                <w:sz w:val="20"/>
                <w:szCs w:val="20"/>
              </w:rPr>
              <w:t>COD</w:t>
            </w:r>
            <w:r w:rsidRPr="002A4FC0">
              <w:rPr>
                <w:rFonts w:ascii="Arial" w:hAnsi="Arial" w:cs="Arial"/>
                <w:color w:val="000000"/>
                <w:sz w:val="20"/>
                <w:szCs w:val="20"/>
              </w:rPr>
              <w:t xml:space="preserve"> available (N)</w:t>
            </w:r>
          </w:p>
        </w:tc>
        <w:tc>
          <w:tcPr>
            <w:tcW w:w="1371" w:type="dxa"/>
            <w:tcBorders>
              <w:left w:val="single" w:sz="8" w:space="0" w:color="000000"/>
              <w:bottom w:val="single" w:sz="4" w:space="0" w:color="auto"/>
            </w:tcBorders>
            <w:shd w:val="clear" w:color="auto" w:fill="FFFFFF"/>
            <w:tcMar>
              <w:top w:w="0" w:type="dxa"/>
              <w:left w:w="50" w:type="dxa"/>
              <w:bottom w:w="0" w:type="dxa"/>
              <w:right w:w="50" w:type="dxa"/>
            </w:tcMar>
            <w:hideMark/>
          </w:tcPr>
          <w:p w14:paraId="116005AC" w14:textId="300C7A75"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4</w:t>
            </w:r>
            <w:r w:rsidR="005F7CCB">
              <w:rPr>
                <w:rFonts w:ascii="Arial" w:hAnsi="Arial" w:cs="Arial"/>
                <w:color w:val="000000"/>
                <w:sz w:val="20"/>
                <w:szCs w:val="20"/>
              </w:rPr>
              <w:t>10</w:t>
            </w:r>
          </w:p>
        </w:tc>
        <w:tc>
          <w:tcPr>
            <w:tcW w:w="1440" w:type="dxa"/>
            <w:tcBorders>
              <w:left w:val="single" w:sz="8" w:space="0" w:color="000000"/>
              <w:bottom w:val="single" w:sz="4" w:space="0" w:color="auto"/>
            </w:tcBorders>
            <w:shd w:val="clear" w:color="auto" w:fill="FFFFFF"/>
            <w:tcMar>
              <w:top w:w="0" w:type="dxa"/>
              <w:left w:w="50" w:type="dxa"/>
              <w:bottom w:w="0" w:type="dxa"/>
              <w:right w:w="50" w:type="dxa"/>
            </w:tcMar>
            <w:hideMark/>
          </w:tcPr>
          <w:p w14:paraId="2BC65DEB" w14:textId="6E6ABBAE"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17</w:t>
            </w:r>
            <w:r w:rsidR="005F7CCB">
              <w:rPr>
                <w:rFonts w:ascii="Arial" w:hAnsi="Arial" w:cs="Arial"/>
                <w:color w:val="000000"/>
                <w:sz w:val="20"/>
                <w:szCs w:val="20"/>
              </w:rPr>
              <w:t>7</w:t>
            </w:r>
          </w:p>
        </w:tc>
        <w:tc>
          <w:tcPr>
            <w:tcW w:w="1260" w:type="dxa"/>
            <w:tcBorders>
              <w:left w:val="single" w:sz="8" w:space="0" w:color="000000"/>
              <w:bottom w:val="single" w:sz="4" w:space="0" w:color="auto"/>
              <w:right w:val="single" w:sz="8" w:space="0" w:color="000000"/>
            </w:tcBorders>
            <w:shd w:val="clear" w:color="auto" w:fill="FFFFFF"/>
            <w:tcMar>
              <w:top w:w="0" w:type="dxa"/>
              <w:left w:w="50" w:type="dxa"/>
              <w:bottom w:w="0" w:type="dxa"/>
              <w:right w:w="50" w:type="dxa"/>
            </w:tcMar>
            <w:hideMark/>
          </w:tcPr>
          <w:p w14:paraId="740DD051" w14:textId="77777777" w:rsidR="00B63274" w:rsidRPr="002A4FC0" w:rsidRDefault="00B63274" w:rsidP="00E65791">
            <w:pPr>
              <w:spacing w:before="50" w:after="50" w:line="252" w:lineRule="auto"/>
              <w:jc w:val="right"/>
              <w:rPr>
                <w:rFonts w:ascii="Arial" w:hAnsi="Arial" w:cs="Arial"/>
                <w:color w:val="000000"/>
                <w:sz w:val="20"/>
                <w:szCs w:val="20"/>
              </w:rPr>
            </w:pPr>
            <w:r w:rsidRPr="002A4FC0">
              <w:rPr>
                <w:rFonts w:ascii="Arial" w:hAnsi="Arial" w:cs="Arial"/>
                <w:color w:val="000000"/>
                <w:sz w:val="20"/>
                <w:szCs w:val="20"/>
              </w:rPr>
              <w:t>233</w:t>
            </w:r>
          </w:p>
        </w:tc>
      </w:tr>
      <w:tr w:rsidR="00106579" w:rsidRPr="002A4FC0" w14:paraId="38D696DB" w14:textId="77777777" w:rsidTr="005E7A69">
        <w:trPr>
          <w:cantSplit/>
          <w:trHeight w:val="625"/>
        </w:trPr>
        <w:tc>
          <w:tcPr>
            <w:tcW w:w="4229" w:type="dxa"/>
            <w:tcBorders>
              <w:left w:val="single" w:sz="8" w:space="0" w:color="000000"/>
              <w:bottom w:val="single" w:sz="4" w:space="0" w:color="auto"/>
            </w:tcBorders>
            <w:shd w:val="clear" w:color="auto" w:fill="FFFFFF"/>
            <w:tcMar>
              <w:top w:w="0" w:type="dxa"/>
              <w:left w:w="50" w:type="dxa"/>
              <w:bottom w:w="0" w:type="dxa"/>
              <w:right w:w="50" w:type="dxa"/>
            </w:tcMar>
          </w:tcPr>
          <w:p w14:paraId="0DCC2B13" w14:textId="56C97363" w:rsidR="00106579" w:rsidRPr="002A4FC0" w:rsidRDefault="009E77E4" w:rsidP="00E65791">
            <w:pPr>
              <w:spacing w:before="50" w:after="50" w:line="252" w:lineRule="auto"/>
              <w:rPr>
                <w:rFonts w:ascii="Arial" w:hAnsi="Arial" w:cs="Arial"/>
                <w:color w:val="000000"/>
                <w:sz w:val="20"/>
                <w:szCs w:val="20"/>
              </w:rPr>
            </w:pPr>
            <w:r w:rsidRPr="002A4FC0">
              <w:rPr>
                <w:rFonts w:ascii="Arial" w:hAnsi="Arial" w:cs="Arial"/>
                <w:color w:val="000000"/>
                <w:sz w:val="20"/>
                <w:szCs w:val="20"/>
              </w:rPr>
              <w:t>Among infants</w:t>
            </w:r>
            <w:r w:rsidR="00BC26DB" w:rsidRPr="002A4FC0">
              <w:rPr>
                <w:rFonts w:ascii="Arial" w:hAnsi="Arial" w:cs="Arial"/>
                <w:color w:val="000000"/>
                <w:sz w:val="20"/>
                <w:szCs w:val="20"/>
              </w:rPr>
              <w:t xml:space="preserve"> evaluated for</w:t>
            </w:r>
            <w:r w:rsidR="00106579" w:rsidRPr="002A4FC0">
              <w:rPr>
                <w:rFonts w:ascii="Arial" w:hAnsi="Arial" w:cs="Arial"/>
                <w:color w:val="000000"/>
                <w:sz w:val="20"/>
                <w:szCs w:val="20"/>
              </w:rPr>
              <w:t xml:space="preserve"> COD, missing </w:t>
            </w:r>
            <w:r w:rsidR="00BC26DB" w:rsidRPr="002A4FC0">
              <w:rPr>
                <w:rFonts w:ascii="Arial" w:hAnsi="Arial" w:cs="Arial"/>
                <w:color w:val="000000"/>
                <w:sz w:val="20"/>
                <w:szCs w:val="20"/>
              </w:rPr>
              <w:t xml:space="preserve">post-partum </w:t>
            </w:r>
            <w:r w:rsidR="00106579" w:rsidRPr="002A4FC0">
              <w:rPr>
                <w:rFonts w:ascii="Arial" w:hAnsi="Arial" w:cs="Arial"/>
                <w:color w:val="000000"/>
                <w:sz w:val="20"/>
                <w:szCs w:val="20"/>
              </w:rPr>
              <w:t>investigations:</w:t>
            </w:r>
          </w:p>
        </w:tc>
        <w:tc>
          <w:tcPr>
            <w:tcW w:w="1371" w:type="dxa"/>
            <w:tcBorders>
              <w:left w:val="single" w:sz="8" w:space="0" w:color="000000"/>
              <w:bottom w:val="single" w:sz="4" w:space="0" w:color="auto"/>
            </w:tcBorders>
            <w:shd w:val="clear" w:color="auto" w:fill="FFFFFF"/>
            <w:tcMar>
              <w:top w:w="0" w:type="dxa"/>
              <w:left w:w="50" w:type="dxa"/>
              <w:bottom w:w="0" w:type="dxa"/>
              <w:right w:w="50" w:type="dxa"/>
            </w:tcMar>
          </w:tcPr>
          <w:p w14:paraId="6C9D351E" w14:textId="77777777" w:rsidR="00106579" w:rsidRPr="002A4FC0" w:rsidRDefault="00106579" w:rsidP="00E65791">
            <w:pPr>
              <w:spacing w:before="50" w:after="50" w:line="252" w:lineRule="auto"/>
              <w:jc w:val="right"/>
              <w:rPr>
                <w:rFonts w:ascii="Arial" w:hAnsi="Arial" w:cs="Arial"/>
                <w:b/>
                <w:bCs/>
                <w:color w:val="000000"/>
                <w:sz w:val="20"/>
                <w:szCs w:val="20"/>
              </w:rPr>
            </w:pPr>
          </w:p>
        </w:tc>
        <w:tc>
          <w:tcPr>
            <w:tcW w:w="1440" w:type="dxa"/>
            <w:tcBorders>
              <w:left w:val="single" w:sz="8" w:space="0" w:color="000000"/>
              <w:bottom w:val="single" w:sz="4" w:space="0" w:color="auto"/>
            </w:tcBorders>
            <w:shd w:val="clear" w:color="auto" w:fill="FFFFFF"/>
            <w:tcMar>
              <w:top w:w="0" w:type="dxa"/>
              <w:left w:w="50" w:type="dxa"/>
              <w:bottom w:w="0" w:type="dxa"/>
              <w:right w:w="50" w:type="dxa"/>
            </w:tcMar>
          </w:tcPr>
          <w:p w14:paraId="660BA919" w14:textId="77777777" w:rsidR="00106579" w:rsidRPr="002A4FC0" w:rsidRDefault="00106579" w:rsidP="00E65791">
            <w:pPr>
              <w:spacing w:before="50" w:after="50" w:line="252" w:lineRule="auto"/>
              <w:jc w:val="right"/>
              <w:rPr>
                <w:rFonts w:ascii="Arial" w:hAnsi="Arial" w:cs="Arial"/>
                <w:b/>
                <w:bCs/>
                <w:color w:val="000000"/>
                <w:sz w:val="20"/>
                <w:szCs w:val="20"/>
              </w:rPr>
            </w:pPr>
          </w:p>
        </w:tc>
        <w:tc>
          <w:tcPr>
            <w:tcW w:w="1260" w:type="dxa"/>
            <w:tcBorders>
              <w:left w:val="single" w:sz="8" w:space="0" w:color="000000"/>
              <w:bottom w:val="single" w:sz="4" w:space="0" w:color="auto"/>
              <w:right w:val="single" w:sz="8" w:space="0" w:color="000000"/>
            </w:tcBorders>
            <w:shd w:val="clear" w:color="auto" w:fill="FFFFFF"/>
            <w:tcMar>
              <w:top w:w="0" w:type="dxa"/>
              <w:left w:w="50" w:type="dxa"/>
              <w:bottom w:w="0" w:type="dxa"/>
              <w:right w:w="50" w:type="dxa"/>
            </w:tcMar>
          </w:tcPr>
          <w:p w14:paraId="6862FED1" w14:textId="77777777" w:rsidR="00106579" w:rsidRPr="002A4FC0" w:rsidRDefault="00106579" w:rsidP="00E65791">
            <w:pPr>
              <w:spacing w:before="50" w:after="50" w:line="252" w:lineRule="auto"/>
              <w:jc w:val="right"/>
              <w:rPr>
                <w:rFonts w:ascii="Arial" w:hAnsi="Arial" w:cs="Arial"/>
                <w:b/>
                <w:bCs/>
                <w:color w:val="000000"/>
                <w:sz w:val="20"/>
                <w:szCs w:val="20"/>
              </w:rPr>
            </w:pPr>
          </w:p>
        </w:tc>
      </w:tr>
      <w:tr w:rsidR="00D50CE2" w:rsidRPr="002A4FC0" w14:paraId="7B291289" w14:textId="77777777" w:rsidTr="005E7A69">
        <w:trPr>
          <w:cantSplit/>
          <w:trHeight w:val="314"/>
        </w:trPr>
        <w:tc>
          <w:tcPr>
            <w:tcW w:w="4229"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6A4DF662" w14:textId="5A37AA2C" w:rsidR="00D50CE2" w:rsidRPr="002A4FC0" w:rsidRDefault="00106579" w:rsidP="00D50CE2">
            <w:pPr>
              <w:spacing w:before="50" w:after="50" w:line="252" w:lineRule="auto"/>
              <w:rPr>
                <w:rFonts w:ascii="Arial" w:hAnsi="Arial" w:cs="Arial"/>
                <w:color w:val="000000"/>
                <w:sz w:val="20"/>
                <w:szCs w:val="20"/>
              </w:rPr>
            </w:pPr>
            <w:r w:rsidRPr="002A4FC0">
              <w:rPr>
                <w:rFonts w:ascii="Arial" w:hAnsi="Arial" w:cs="Arial"/>
                <w:color w:val="000000"/>
                <w:sz w:val="20"/>
                <w:szCs w:val="20"/>
              </w:rPr>
              <w:t xml:space="preserve">   </w:t>
            </w:r>
            <w:r w:rsidR="00D50CE2" w:rsidRPr="002A4FC0">
              <w:rPr>
                <w:rFonts w:ascii="Arial" w:hAnsi="Arial" w:cs="Arial"/>
                <w:color w:val="000000"/>
                <w:sz w:val="20"/>
                <w:szCs w:val="20"/>
              </w:rPr>
              <w:t>Missing MITS evaluation</w:t>
            </w:r>
            <w:r w:rsidR="005E7A69" w:rsidRPr="002A4FC0">
              <w:rPr>
                <w:rFonts w:ascii="Arial" w:hAnsi="Arial" w:cs="Arial"/>
                <w:color w:val="000000"/>
                <w:sz w:val="20"/>
                <w:szCs w:val="20"/>
              </w:rPr>
              <w:t>, n (%)</w:t>
            </w:r>
          </w:p>
        </w:tc>
        <w:tc>
          <w:tcPr>
            <w:tcW w:w="1371"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4BF1EB09" w14:textId="443F79B2" w:rsidR="00D50CE2" w:rsidRPr="002A4FC0" w:rsidRDefault="00D50CE2" w:rsidP="00D50CE2">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2</w:t>
            </w:r>
            <w:r w:rsidR="005F7CCB">
              <w:rPr>
                <w:rFonts w:ascii="Arial" w:hAnsi="Arial" w:cs="Arial"/>
                <w:color w:val="000000"/>
                <w:sz w:val="20"/>
                <w:szCs w:val="20"/>
              </w:rPr>
              <w:t>10</w:t>
            </w:r>
            <w:r w:rsidR="005E7A69" w:rsidRPr="002A4FC0">
              <w:rPr>
                <w:rFonts w:ascii="Arial" w:hAnsi="Arial" w:cs="Arial"/>
                <w:color w:val="000000"/>
                <w:sz w:val="20"/>
                <w:szCs w:val="20"/>
              </w:rPr>
              <w:t xml:space="preserve"> (51.2)</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1AD2A584" w14:textId="2707F90D" w:rsidR="00D50CE2" w:rsidRPr="002A4FC0" w:rsidRDefault="00D50CE2" w:rsidP="00D50CE2">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5</w:t>
            </w:r>
            <w:r w:rsidR="005F7CCB">
              <w:rPr>
                <w:rFonts w:ascii="Arial" w:hAnsi="Arial" w:cs="Arial"/>
                <w:color w:val="000000"/>
                <w:sz w:val="20"/>
                <w:szCs w:val="20"/>
              </w:rPr>
              <w:t>5</w:t>
            </w:r>
            <w:r w:rsidR="005E7A69" w:rsidRPr="002A4FC0">
              <w:rPr>
                <w:rFonts w:ascii="Arial" w:hAnsi="Arial" w:cs="Arial"/>
                <w:color w:val="000000"/>
                <w:sz w:val="20"/>
                <w:szCs w:val="20"/>
              </w:rPr>
              <w:t xml:space="preserve"> (30.9)</w:t>
            </w: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1E248C5A" w14:textId="65B0A6DF" w:rsidR="00D50CE2" w:rsidRPr="002A4FC0" w:rsidRDefault="00D50CE2" w:rsidP="00D50CE2">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155</w:t>
            </w:r>
            <w:r w:rsidR="005E7A69" w:rsidRPr="002A4FC0">
              <w:rPr>
                <w:rFonts w:ascii="Arial" w:hAnsi="Arial" w:cs="Arial"/>
                <w:color w:val="000000"/>
                <w:sz w:val="20"/>
                <w:szCs w:val="20"/>
              </w:rPr>
              <w:t xml:space="preserve"> (66.5)</w:t>
            </w:r>
          </w:p>
        </w:tc>
      </w:tr>
      <w:tr w:rsidR="00106579" w:rsidRPr="002A4FC0" w14:paraId="33A7CEE4" w14:textId="77777777" w:rsidTr="005E7A69">
        <w:trPr>
          <w:cantSplit/>
          <w:trHeight w:val="377"/>
        </w:trPr>
        <w:tc>
          <w:tcPr>
            <w:tcW w:w="4229"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74BB7AE1" w14:textId="085487A5" w:rsidR="00106579" w:rsidRPr="002A4FC0" w:rsidRDefault="00106579" w:rsidP="00106579">
            <w:pPr>
              <w:spacing w:before="50" w:after="50" w:line="252" w:lineRule="auto"/>
              <w:rPr>
                <w:rFonts w:ascii="Arial" w:hAnsi="Arial" w:cs="Arial"/>
                <w:color w:val="000000"/>
                <w:sz w:val="20"/>
                <w:szCs w:val="20"/>
              </w:rPr>
            </w:pPr>
            <w:r w:rsidRPr="002A4FC0">
              <w:rPr>
                <w:rFonts w:ascii="Arial" w:hAnsi="Arial" w:cs="Arial"/>
                <w:color w:val="000000"/>
                <w:sz w:val="20"/>
                <w:szCs w:val="20"/>
              </w:rPr>
              <w:t xml:space="preserve">   Missing PCR evaluation</w:t>
            </w:r>
            <w:r w:rsidR="005E7A69" w:rsidRPr="002A4FC0">
              <w:rPr>
                <w:rFonts w:ascii="Arial" w:hAnsi="Arial" w:cs="Arial"/>
                <w:color w:val="000000"/>
                <w:sz w:val="20"/>
                <w:szCs w:val="20"/>
              </w:rPr>
              <w:t>, n (%)</w:t>
            </w:r>
          </w:p>
        </w:tc>
        <w:tc>
          <w:tcPr>
            <w:tcW w:w="1371"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5765FB9C" w14:textId="0FEC9124" w:rsidR="00106579" w:rsidRPr="002A4FC0" w:rsidRDefault="00106579" w:rsidP="00106579">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21</w:t>
            </w:r>
            <w:r w:rsidR="005F7CCB">
              <w:rPr>
                <w:rFonts w:ascii="Arial" w:hAnsi="Arial" w:cs="Arial"/>
                <w:color w:val="000000"/>
                <w:sz w:val="20"/>
                <w:szCs w:val="20"/>
              </w:rPr>
              <w:t>6</w:t>
            </w:r>
            <w:r w:rsidR="005E7A69" w:rsidRPr="002A4FC0">
              <w:rPr>
                <w:rFonts w:ascii="Arial" w:hAnsi="Arial" w:cs="Arial"/>
                <w:color w:val="000000"/>
                <w:sz w:val="20"/>
                <w:szCs w:val="20"/>
              </w:rPr>
              <w:t xml:space="preserve"> (52.7)</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7E72750C" w14:textId="6EA31CD9" w:rsidR="00106579" w:rsidRPr="002A4FC0" w:rsidRDefault="00106579" w:rsidP="00106579">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5</w:t>
            </w:r>
            <w:r w:rsidR="005F7CCB">
              <w:rPr>
                <w:rFonts w:ascii="Arial" w:hAnsi="Arial" w:cs="Arial"/>
                <w:color w:val="000000"/>
                <w:sz w:val="20"/>
                <w:szCs w:val="20"/>
              </w:rPr>
              <w:t>8</w:t>
            </w:r>
            <w:r w:rsidR="005E7A69" w:rsidRPr="002A4FC0">
              <w:rPr>
                <w:rFonts w:ascii="Arial" w:hAnsi="Arial" w:cs="Arial"/>
                <w:color w:val="000000"/>
                <w:sz w:val="20"/>
                <w:szCs w:val="20"/>
              </w:rPr>
              <w:t xml:space="preserve"> (32.6)</w:t>
            </w: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08014459" w14:textId="02969CF5" w:rsidR="00106579" w:rsidRPr="002A4FC0" w:rsidRDefault="00106579" w:rsidP="00106579">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158</w:t>
            </w:r>
            <w:r w:rsidR="005F7CCB">
              <w:rPr>
                <w:rFonts w:ascii="Arial" w:hAnsi="Arial" w:cs="Arial"/>
                <w:color w:val="000000"/>
                <w:sz w:val="20"/>
                <w:szCs w:val="20"/>
              </w:rPr>
              <w:t xml:space="preserve"> </w:t>
            </w:r>
            <w:r w:rsidR="005E7A69" w:rsidRPr="002A4FC0">
              <w:rPr>
                <w:rFonts w:ascii="Arial" w:hAnsi="Arial" w:cs="Arial"/>
                <w:color w:val="000000"/>
                <w:sz w:val="20"/>
                <w:szCs w:val="20"/>
              </w:rPr>
              <w:t>(67.8)</w:t>
            </w:r>
          </w:p>
        </w:tc>
      </w:tr>
      <w:tr w:rsidR="00106579" w:rsidRPr="002A4FC0" w14:paraId="6CCDB24B" w14:textId="77777777" w:rsidTr="005E7A69">
        <w:trPr>
          <w:cantSplit/>
          <w:trHeight w:val="440"/>
        </w:trPr>
        <w:tc>
          <w:tcPr>
            <w:tcW w:w="4229"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6BD04862" w14:textId="270F325B" w:rsidR="00106579" w:rsidRPr="002A4FC0" w:rsidRDefault="00106579" w:rsidP="00106579">
            <w:pPr>
              <w:spacing w:before="50" w:after="50" w:line="252" w:lineRule="auto"/>
              <w:rPr>
                <w:rFonts w:ascii="Arial" w:hAnsi="Arial" w:cs="Arial"/>
                <w:color w:val="000000"/>
                <w:sz w:val="20"/>
                <w:szCs w:val="20"/>
              </w:rPr>
            </w:pPr>
            <w:r w:rsidRPr="002A4FC0">
              <w:rPr>
                <w:rFonts w:ascii="Arial" w:hAnsi="Arial" w:cs="Arial"/>
                <w:color w:val="000000"/>
                <w:sz w:val="20"/>
                <w:szCs w:val="20"/>
              </w:rPr>
              <w:t xml:space="preserve">   Missing placental evaluation</w:t>
            </w:r>
            <w:r w:rsidR="005E7A69" w:rsidRPr="002A4FC0">
              <w:rPr>
                <w:rFonts w:ascii="Arial" w:hAnsi="Arial" w:cs="Arial"/>
                <w:color w:val="000000"/>
                <w:sz w:val="20"/>
                <w:szCs w:val="20"/>
              </w:rPr>
              <w:t>, n (%)</w:t>
            </w:r>
          </w:p>
        </w:tc>
        <w:tc>
          <w:tcPr>
            <w:tcW w:w="1371"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3075C48C" w14:textId="4652A490" w:rsidR="00106579" w:rsidRPr="002A4FC0" w:rsidRDefault="005F7CCB" w:rsidP="00106579">
            <w:pPr>
              <w:spacing w:before="50" w:after="50" w:line="252" w:lineRule="auto"/>
              <w:jc w:val="right"/>
              <w:rPr>
                <w:rFonts w:ascii="Arial" w:hAnsi="Arial" w:cs="Arial"/>
                <w:b/>
                <w:bCs/>
                <w:color w:val="000000"/>
                <w:sz w:val="20"/>
                <w:szCs w:val="20"/>
              </w:rPr>
            </w:pPr>
            <w:r>
              <w:rPr>
                <w:rFonts w:ascii="Arial" w:hAnsi="Arial" w:cs="Arial"/>
                <w:color w:val="000000"/>
                <w:sz w:val="20"/>
                <w:szCs w:val="20"/>
              </w:rPr>
              <w:t>20</w:t>
            </w:r>
            <w:r w:rsidR="005E7A69" w:rsidRPr="002A4FC0">
              <w:rPr>
                <w:rFonts w:ascii="Arial" w:hAnsi="Arial" w:cs="Arial"/>
                <w:color w:val="000000"/>
                <w:sz w:val="20"/>
                <w:szCs w:val="20"/>
              </w:rPr>
              <w:t xml:space="preserve"> (4.7)</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31020CE5" w14:textId="6FDC371D" w:rsidR="00106579" w:rsidRPr="002A4FC0" w:rsidRDefault="005F7CCB" w:rsidP="00106579">
            <w:pPr>
              <w:spacing w:before="50" w:after="50" w:line="252" w:lineRule="auto"/>
              <w:jc w:val="right"/>
              <w:rPr>
                <w:rFonts w:ascii="Arial" w:hAnsi="Arial" w:cs="Arial"/>
                <w:b/>
                <w:bCs/>
                <w:color w:val="000000"/>
                <w:sz w:val="20"/>
                <w:szCs w:val="20"/>
              </w:rPr>
            </w:pPr>
            <w:r>
              <w:rPr>
                <w:rFonts w:ascii="Arial" w:hAnsi="Arial" w:cs="Arial"/>
                <w:color w:val="000000"/>
                <w:sz w:val="20"/>
                <w:szCs w:val="20"/>
              </w:rPr>
              <w:t>3</w:t>
            </w:r>
            <w:r w:rsidR="005E7A69" w:rsidRPr="002A4FC0">
              <w:rPr>
                <w:rFonts w:ascii="Arial" w:hAnsi="Arial" w:cs="Arial"/>
                <w:color w:val="000000"/>
                <w:sz w:val="20"/>
                <w:szCs w:val="20"/>
              </w:rPr>
              <w:t xml:space="preserve"> (1.1)</w:t>
            </w: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0" w:type="dxa"/>
              <w:left w:w="50" w:type="dxa"/>
              <w:bottom w:w="0" w:type="dxa"/>
              <w:right w:w="50" w:type="dxa"/>
            </w:tcMar>
          </w:tcPr>
          <w:p w14:paraId="36B58575" w14:textId="28CDB88C" w:rsidR="00106579" w:rsidRPr="002A4FC0" w:rsidRDefault="00106579" w:rsidP="00106579">
            <w:pPr>
              <w:spacing w:before="50" w:after="50" w:line="252" w:lineRule="auto"/>
              <w:jc w:val="right"/>
              <w:rPr>
                <w:rFonts w:ascii="Arial" w:hAnsi="Arial" w:cs="Arial"/>
                <w:b/>
                <w:bCs/>
                <w:color w:val="000000"/>
                <w:sz w:val="20"/>
                <w:szCs w:val="20"/>
              </w:rPr>
            </w:pPr>
            <w:r w:rsidRPr="002A4FC0">
              <w:rPr>
                <w:rFonts w:ascii="Arial" w:hAnsi="Arial" w:cs="Arial"/>
                <w:color w:val="000000"/>
                <w:sz w:val="20"/>
                <w:szCs w:val="20"/>
              </w:rPr>
              <w:t>17</w:t>
            </w:r>
            <w:r w:rsidR="005E7A69" w:rsidRPr="002A4FC0">
              <w:rPr>
                <w:rFonts w:ascii="Arial" w:hAnsi="Arial" w:cs="Arial"/>
                <w:color w:val="000000"/>
                <w:sz w:val="20"/>
                <w:szCs w:val="20"/>
              </w:rPr>
              <w:t xml:space="preserve"> (7.3)</w:t>
            </w:r>
          </w:p>
        </w:tc>
      </w:tr>
    </w:tbl>
    <w:p w14:paraId="7E8AF532" w14:textId="77777777" w:rsidR="00B63274" w:rsidRPr="002A4FC0" w:rsidRDefault="00B63274" w:rsidP="00B63274"/>
    <w:p w14:paraId="140DF0C6" w14:textId="77777777" w:rsidR="00B63274" w:rsidRPr="002A4FC0" w:rsidRDefault="00B63274" w:rsidP="00B63274"/>
    <w:p w14:paraId="3C89FC80" w14:textId="71965234" w:rsidR="00B63274" w:rsidRPr="002A4FC0" w:rsidRDefault="00B63274">
      <w:r w:rsidRPr="002A4FC0">
        <w:br w:type="page"/>
      </w:r>
    </w:p>
    <w:tbl>
      <w:tblPr>
        <w:tblW w:w="0" w:type="auto"/>
        <w:tblInd w:w="50" w:type="dxa"/>
        <w:tblLayout w:type="fixed"/>
        <w:tblCellMar>
          <w:left w:w="0" w:type="dxa"/>
          <w:right w:w="0" w:type="dxa"/>
        </w:tblCellMar>
        <w:tblLook w:val="0000" w:firstRow="0" w:lastRow="0" w:firstColumn="0" w:lastColumn="0" w:noHBand="0" w:noVBand="0"/>
      </w:tblPr>
      <w:tblGrid>
        <w:gridCol w:w="3550"/>
        <w:gridCol w:w="1440"/>
        <w:gridCol w:w="1260"/>
        <w:gridCol w:w="1260"/>
      </w:tblGrid>
      <w:tr w:rsidR="00B63274" w:rsidRPr="002A4FC0" w14:paraId="1B14DF55" w14:textId="77777777" w:rsidTr="007D214E">
        <w:trPr>
          <w:cantSplit/>
        </w:trPr>
        <w:tc>
          <w:tcPr>
            <w:tcW w:w="7510" w:type="dxa"/>
            <w:gridSpan w:val="4"/>
            <w:tcBorders>
              <w:top w:val="nil"/>
              <w:bottom w:val="single" w:sz="4" w:space="0" w:color="000000"/>
            </w:tcBorders>
            <w:shd w:val="clear" w:color="auto" w:fill="FFFFFF"/>
            <w:tcMar>
              <w:left w:w="50" w:type="dxa"/>
              <w:right w:w="50" w:type="dxa"/>
            </w:tcMar>
          </w:tcPr>
          <w:p w14:paraId="2B05DDA5" w14:textId="5A5B7BEA" w:rsidR="00B63274" w:rsidRPr="002A4FC0" w:rsidRDefault="00B63274" w:rsidP="00BC26DB">
            <w:pPr>
              <w:adjustRightInd w:val="0"/>
              <w:spacing w:before="50" w:after="50"/>
              <w:rPr>
                <w:rFonts w:ascii="Arial" w:hAnsi="Arial" w:cs="Arial"/>
                <w:b/>
                <w:bCs/>
                <w:color w:val="000000"/>
                <w:sz w:val="18"/>
              </w:rPr>
            </w:pPr>
            <w:r w:rsidRPr="002A4FC0">
              <w:rPr>
                <w:rFonts w:ascii="Arial" w:hAnsi="Arial" w:cs="Arial"/>
                <w:b/>
                <w:bCs/>
                <w:color w:val="000000"/>
                <w:sz w:val="20"/>
                <w:szCs w:val="24"/>
              </w:rPr>
              <w:t xml:space="preserve">Table </w:t>
            </w:r>
            <w:r w:rsidR="007D214E" w:rsidRPr="002A4FC0">
              <w:rPr>
                <w:rFonts w:ascii="Arial" w:hAnsi="Arial" w:cs="Arial"/>
                <w:b/>
                <w:bCs/>
                <w:color w:val="000000"/>
                <w:sz w:val="20"/>
                <w:szCs w:val="24"/>
              </w:rPr>
              <w:t>2</w:t>
            </w:r>
            <w:r w:rsidRPr="002A4FC0">
              <w:rPr>
                <w:rFonts w:ascii="Arial" w:hAnsi="Arial" w:cs="Arial"/>
                <w:b/>
                <w:bCs/>
                <w:color w:val="000000"/>
                <w:sz w:val="20"/>
                <w:szCs w:val="24"/>
              </w:rPr>
              <w:t xml:space="preserve">. </w:t>
            </w:r>
            <w:r w:rsidR="00BC26DB" w:rsidRPr="002A4FC0">
              <w:rPr>
                <w:rFonts w:ascii="Arial" w:hAnsi="Arial" w:cs="Arial"/>
                <w:b/>
                <w:bCs/>
                <w:color w:val="000000"/>
                <w:sz w:val="20"/>
                <w:szCs w:val="24"/>
              </w:rPr>
              <w:t xml:space="preserve">Maternal and Neonatal </w:t>
            </w:r>
            <w:r w:rsidRPr="002A4FC0">
              <w:rPr>
                <w:rFonts w:ascii="Arial" w:hAnsi="Arial" w:cs="Arial"/>
                <w:b/>
                <w:bCs/>
                <w:color w:val="000000"/>
                <w:sz w:val="20"/>
                <w:szCs w:val="24"/>
              </w:rPr>
              <w:t xml:space="preserve">Characteristics </w:t>
            </w:r>
            <w:r w:rsidR="00BC26DB" w:rsidRPr="002A4FC0">
              <w:rPr>
                <w:rFonts w:ascii="Arial" w:hAnsi="Arial" w:cs="Arial"/>
                <w:b/>
                <w:bCs/>
                <w:color w:val="000000"/>
                <w:sz w:val="20"/>
                <w:szCs w:val="24"/>
              </w:rPr>
              <w:t xml:space="preserve">Overall and by Site </w:t>
            </w:r>
          </w:p>
        </w:tc>
      </w:tr>
      <w:tr w:rsidR="00B63274" w:rsidRPr="003E0F4E" w14:paraId="2C2EE394"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7C4C5B9D" w14:textId="67D057D8" w:rsidR="00B63274" w:rsidRPr="003E0F4E" w:rsidRDefault="00B63274" w:rsidP="00E65791">
            <w:pPr>
              <w:adjustRightInd w:val="0"/>
              <w:spacing w:before="50" w:after="50"/>
              <w:rPr>
                <w:rFonts w:ascii="Arial" w:hAnsi="Arial" w:cs="Arial"/>
                <w:b/>
                <w:bCs/>
                <w:color w:val="000000"/>
                <w:sz w:val="18"/>
              </w:rPr>
            </w:pPr>
            <w:r w:rsidRPr="003E0F4E">
              <w:rPr>
                <w:rFonts w:ascii="Arial" w:hAnsi="Arial" w:cs="Arial"/>
                <w:b/>
                <w:bCs/>
                <w:color w:val="000000"/>
                <w:sz w:val="18"/>
              </w:rPr>
              <w:t>Characteristic</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186398CA" w14:textId="4EE25C23" w:rsidR="00B63274" w:rsidRPr="003E0F4E" w:rsidRDefault="00B63274" w:rsidP="00E65791">
            <w:pPr>
              <w:adjustRightInd w:val="0"/>
              <w:spacing w:before="50" w:after="50"/>
              <w:jc w:val="right"/>
              <w:rPr>
                <w:rFonts w:ascii="Arial" w:hAnsi="Arial" w:cs="Arial"/>
                <w:b/>
                <w:bCs/>
                <w:color w:val="000000"/>
                <w:sz w:val="18"/>
              </w:rPr>
            </w:pPr>
            <w:r w:rsidRPr="003E0F4E">
              <w:rPr>
                <w:rFonts w:ascii="Arial" w:hAnsi="Arial" w:cs="Arial"/>
                <w:b/>
                <w:bCs/>
                <w:color w:val="000000"/>
                <w:sz w:val="18"/>
              </w:rPr>
              <w:t>Total</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FE92F83" w14:textId="1B42DA79" w:rsidR="00B63274" w:rsidRPr="003E0F4E" w:rsidRDefault="00B63274" w:rsidP="00E65791">
            <w:pPr>
              <w:adjustRightInd w:val="0"/>
              <w:spacing w:before="50" w:after="50"/>
              <w:jc w:val="right"/>
              <w:rPr>
                <w:rFonts w:ascii="Arial" w:hAnsi="Arial" w:cs="Arial"/>
                <w:b/>
                <w:bCs/>
                <w:color w:val="000000"/>
                <w:sz w:val="18"/>
              </w:rPr>
            </w:pPr>
            <w:r w:rsidRPr="003E0F4E">
              <w:rPr>
                <w:rFonts w:ascii="Arial" w:hAnsi="Arial" w:cs="Arial"/>
                <w:b/>
                <w:bCs/>
                <w:color w:val="000000"/>
                <w:sz w:val="18"/>
              </w:rPr>
              <w:t>India</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FD07BEB" w14:textId="54BB3401" w:rsidR="00B63274" w:rsidRPr="003E0F4E" w:rsidRDefault="00B63274" w:rsidP="00E65791">
            <w:pPr>
              <w:adjustRightInd w:val="0"/>
              <w:spacing w:before="50" w:after="50"/>
              <w:jc w:val="right"/>
              <w:rPr>
                <w:rFonts w:ascii="Arial" w:hAnsi="Arial" w:cs="Arial"/>
                <w:b/>
                <w:bCs/>
                <w:color w:val="000000"/>
                <w:sz w:val="18"/>
              </w:rPr>
            </w:pPr>
            <w:r w:rsidRPr="003E0F4E">
              <w:rPr>
                <w:rFonts w:ascii="Arial" w:hAnsi="Arial" w:cs="Arial"/>
                <w:b/>
                <w:bCs/>
                <w:color w:val="000000"/>
                <w:sz w:val="18"/>
              </w:rPr>
              <w:t>Pakistan</w:t>
            </w:r>
          </w:p>
        </w:tc>
      </w:tr>
      <w:tr w:rsidR="003E0F4E" w:rsidRPr="003E0F4E" w14:paraId="2C849114"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5CE96724" w14:textId="77777777" w:rsidR="003E0F4E" w:rsidRPr="003E0F4E" w:rsidRDefault="003E0F4E" w:rsidP="003E0F4E">
            <w:pPr>
              <w:adjustRightInd w:val="0"/>
              <w:spacing w:before="50" w:after="50"/>
              <w:rPr>
                <w:rFonts w:ascii="Arial" w:hAnsi="Arial" w:cs="Arial"/>
                <w:color w:val="000000"/>
                <w:sz w:val="18"/>
                <w:szCs w:val="18"/>
              </w:rPr>
            </w:pPr>
            <w:r w:rsidRPr="003E0F4E">
              <w:rPr>
                <w:rFonts w:ascii="Arial" w:hAnsi="Arial" w:cs="Arial"/>
                <w:color w:val="000000"/>
                <w:sz w:val="18"/>
                <w:szCs w:val="18"/>
              </w:rPr>
              <w:t>Maternal age,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126AFFE" w14:textId="590EEC76"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410</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443A4391" w14:textId="016E506C"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177</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A3EF689" w14:textId="7F8E59E6"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233</w:t>
            </w:r>
          </w:p>
        </w:tc>
      </w:tr>
      <w:tr w:rsidR="003E0F4E" w:rsidRPr="003E0F4E" w14:paraId="48EF9B87"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74BE85A7"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&lt; 20</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4C1A4C42" w14:textId="2B056CE2"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31 (7.6)</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27EC4BBB" w14:textId="415D8F41"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17 (9.6)</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F2210EA" w14:textId="64D91DE3"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14 (6.0)</w:t>
            </w:r>
          </w:p>
        </w:tc>
      </w:tr>
      <w:tr w:rsidR="003E0F4E" w:rsidRPr="003E0F4E" w14:paraId="52080D02"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2B2E5E90" w14:textId="18A935EF"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20 – 25</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CEE8FF5" w14:textId="0C9D8562"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182 (44.4)</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57157515" w14:textId="70938BF4"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94 (53.1)</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D39809E" w14:textId="5EA69BF9"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88 (37.8)</w:t>
            </w:r>
          </w:p>
        </w:tc>
      </w:tr>
      <w:tr w:rsidR="003E0F4E" w:rsidRPr="003E0F4E" w14:paraId="63567424"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19E7D6E0" w14:textId="07A45A99"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26 – 30</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6E2B1E59" w14:textId="65AF4010"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142 (34.6)</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7382769" w14:textId="2EC5BA1B"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51 (28.8)</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104C89FD" w14:textId="6848B5F8"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91 (39.1)</w:t>
            </w:r>
          </w:p>
        </w:tc>
      </w:tr>
      <w:tr w:rsidR="003E0F4E" w:rsidRPr="003E0F4E" w14:paraId="4D8BAF7C"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6B282FE"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&gt; 30</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957EBB2" w14:textId="0883D171"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55 (13.4)</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CF9BF98" w14:textId="4895188C"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15 (8.5)</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437D8F9" w14:textId="71785A4E"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40 (17.2)</w:t>
            </w:r>
          </w:p>
        </w:tc>
      </w:tr>
      <w:tr w:rsidR="00B63274" w:rsidRPr="003E0F4E" w14:paraId="18397D33"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2D7F886" w14:textId="77777777"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Maternal education,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3265E34E"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9CDEAC7"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3BB48AB1" w14:textId="77777777" w:rsidR="00B63274" w:rsidRPr="003E0F4E" w:rsidRDefault="00B63274" w:rsidP="00E65791">
            <w:pPr>
              <w:adjustRightInd w:val="0"/>
              <w:spacing w:before="50" w:after="50"/>
              <w:jc w:val="right"/>
              <w:rPr>
                <w:rFonts w:ascii="Arial" w:hAnsi="Arial" w:cs="Arial"/>
                <w:color w:val="000000"/>
                <w:sz w:val="18"/>
                <w:szCs w:val="18"/>
              </w:rPr>
            </w:pPr>
          </w:p>
        </w:tc>
      </w:tr>
      <w:tr w:rsidR="00B63274" w:rsidRPr="003E0F4E" w14:paraId="628D0A66"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7084B948"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No formal schooling, illiterate</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EC5025B"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72 (17.7)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56F838FF"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15 (8.7)</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BAF639C"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57 (24.5)</w:t>
            </w:r>
          </w:p>
        </w:tc>
      </w:tr>
      <w:tr w:rsidR="00B63274" w:rsidRPr="003E0F4E" w14:paraId="13F4921F"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57D4C3C5"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No formal schooling, literate</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186738CE"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59 (14.5)</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4AFB0150"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 (1.2)</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1A6E4909"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57 (24.5)</w:t>
            </w:r>
          </w:p>
        </w:tc>
      </w:tr>
      <w:tr w:rsidR="00B63274" w:rsidRPr="003E0F4E" w14:paraId="6AA0755C"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28967D6A"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1-4 years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3056104B"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15 (3.7)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70BBDD57"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7 (4.0)</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2275979"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8 (3.4)</w:t>
            </w:r>
          </w:p>
        </w:tc>
      </w:tr>
      <w:tr w:rsidR="00B63274" w:rsidRPr="003E0F4E" w14:paraId="0F54F394"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28C334BF"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5-8 years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63CB538F"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99 (24.4)</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A517C6E"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52 (30.1)</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31F3584"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47 (20.2)</w:t>
            </w:r>
          </w:p>
        </w:tc>
      </w:tr>
      <w:tr w:rsidR="00B63274" w:rsidRPr="003E0F4E" w14:paraId="76946159"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49113A86"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9-12 years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34FF04A4"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139 (34.2)</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661D8E0"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81 (46.8)</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2C9E649"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58 (24.9)</w:t>
            </w:r>
          </w:p>
        </w:tc>
      </w:tr>
      <w:tr w:rsidR="00B63274" w:rsidRPr="003E0F4E" w14:paraId="76A54F5A"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35678393"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&gt; 12 years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5F2F7C23"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22 (5.4)</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BBA2D79"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16 (9.2)</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06F3DDE"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6 (2.6)</w:t>
            </w:r>
          </w:p>
        </w:tc>
      </w:tr>
      <w:tr w:rsidR="00B63274" w:rsidRPr="003E0F4E" w14:paraId="1E12B11C"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3EE22A81" w14:textId="77777777"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Gravida,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585659E"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9980E33"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965B663" w14:textId="77777777" w:rsidR="00B63274" w:rsidRPr="003E0F4E" w:rsidRDefault="00B63274" w:rsidP="00E65791">
            <w:pPr>
              <w:adjustRightInd w:val="0"/>
              <w:spacing w:before="50" w:after="50"/>
              <w:jc w:val="right"/>
              <w:rPr>
                <w:rFonts w:ascii="Arial" w:hAnsi="Arial" w:cs="Arial"/>
                <w:color w:val="000000"/>
                <w:sz w:val="18"/>
                <w:szCs w:val="18"/>
              </w:rPr>
            </w:pPr>
          </w:p>
        </w:tc>
      </w:tr>
      <w:tr w:rsidR="003E0F4E" w:rsidRPr="003E0F4E" w14:paraId="62F08B7E"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4E213B0A"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0</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6BE2CD7D" w14:textId="73EF3E31"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143 (34.9)</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76F232F6" w14:textId="600D5EE2"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72 (40.7)</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499FFA1" w14:textId="59E6E24B"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71 (30.5)</w:t>
            </w:r>
          </w:p>
        </w:tc>
      </w:tr>
      <w:tr w:rsidR="003E0F4E" w:rsidRPr="003E0F4E" w14:paraId="1DAD180A"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41244FF8"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1-3</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91CA5DA" w14:textId="307B5DBC"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207 (50.5)</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4B135DFB" w14:textId="130CB54F"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98 (55.4)</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1095275" w14:textId="7BAFB103"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109 (46.8)</w:t>
            </w:r>
          </w:p>
        </w:tc>
      </w:tr>
      <w:tr w:rsidR="003E0F4E" w:rsidRPr="003E0F4E" w14:paraId="5ACDCED4"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148000B1" w14:textId="035ED65D"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&gt;3</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DA73D9A" w14:textId="500D8A98"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60 (14.6)</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3F2F25E" w14:textId="1363A5DA"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7 (4.0)</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A48ED8A" w14:textId="1EA2C8A1"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53 (22.7)</w:t>
            </w:r>
          </w:p>
        </w:tc>
      </w:tr>
      <w:tr w:rsidR="00B63274" w:rsidRPr="003E0F4E" w14:paraId="2D47A1A3"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2484730F" w14:textId="77777777"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Maternal conditions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83ECA57"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BE50E72"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D681703" w14:textId="77777777" w:rsidR="00B63274" w:rsidRPr="003E0F4E" w:rsidRDefault="00B63274" w:rsidP="00E65791">
            <w:pPr>
              <w:adjustRightInd w:val="0"/>
              <w:spacing w:before="50" w:after="50"/>
              <w:jc w:val="right"/>
              <w:rPr>
                <w:rFonts w:ascii="Arial" w:hAnsi="Arial" w:cs="Arial"/>
                <w:color w:val="000000"/>
                <w:sz w:val="18"/>
                <w:szCs w:val="18"/>
              </w:rPr>
            </w:pPr>
          </w:p>
        </w:tc>
      </w:tr>
      <w:tr w:rsidR="00B63274" w:rsidRPr="003E0F4E" w14:paraId="383B4033"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3010B1FF"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Hypertensive disorders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B895DEE"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123 (30.1)</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2FE52238"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58 (33.1)</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45E7F03"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65 (27.9)</w:t>
            </w:r>
          </w:p>
        </w:tc>
      </w:tr>
      <w:tr w:rsidR="00B63274" w:rsidRPr="003E0F4E" w14:paraId="6DE4E0EF"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541AC183"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Hemorrhage</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17EA864"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51 (12.5)</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130ECA17"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15 (8.6)</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396B8BF4"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36 (15.5)</w:t>
            </w:r>
          </w:p>
        </w:tc>
      </w:tr>
      <w:tr w:rsidR="00B63274" w:rsidRPr="003E0F4E" w14:paraId="6687E0B0"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096341A"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Diabetes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1D5985EA"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19 (4.7)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E732BE4"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7 (4.0)</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3678C8D"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12 (5.2)</w:t>
            </w:r>
          </w:p>
        </w:tc>
      </w:tr>
      <w:tr w:rsidR="00B63274" w:rsidRPr="003E0F4E" w14:paraId="2292CFFB"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5C3B1E8" w14:textId="77777777" w:rsidR="00B63274" w:rsidRPr="003E0F4E" w:rsidRDefault="00B63274" w:rsidP="00E65791">
            <w:pPr>
              <w:adjustRightInd w:val="0"/>
              <w:spacing w:before="50" w:after="50"/>
              <w:rPr>
                <w:rFonts w:ascii="Arial" w:hAnsi="Arial" w:cs="Arial"/>
                <w:b/>
                <w:bCs/>
                <w:color w:val="000000"/>
                <w:sz w:val="18"/>
                <w:szCs w:val="18"/>
              </w:rPr>
            </w:pPr>
            <w:r w:rsidRPr="003E0F4E">
              <w:rPr>
                <w:rFonts w:ascii="Arial" w:hAnsi="Arial" w:cs="Arial"/>
                <w:b/>
                <w:bCs/>
                <w:color w:val="000000"/>
                <w:sz w:val="18"/>
                <w:szCs w:val="18"/>
              </w:rPr>
              <w:t>Neonatal characteristics</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3F8CCF52"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17FA65EB"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C2495C6" w14:textId="77777777" w:rsidR="00B63274" w:rsidRPr="003E0F4E" w:rsidRDefault="00B63274" w:rsidP="00E65791">
            <w:pPr>
              <w:adjustRightInd w:val="0"/>
              <w:spacing w:before="50" w:after="50"/>
              <w:jc w:val="right"/>
              <w:rPr>
                <w:rFonts w:ascii="Arial" w:hAnsi="Arial" w:cs="Arial"/>
                <w:color w:val="000000"/>
                <w:sz w:val="18"/>
                <w:szCs w:val="18"/>
              </w:rPr>
            </w:pPr>
          </w:p>
        </w:tc>
      </w:tr>
      <w:tr w:rsidR="00B63274" w:rsidRPr="003E0F4E" w14:paraId="02D67B2B"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75419E2E" w14:textId="01692B6D"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Gestational age at birth (</w:t>
            </w:r>
            <w:proofErr w:type="spellStart"/>
            <w:r w:rsidRPr="003E0F4E">
              <w:rPr>
                <w:rFonts w:ascii="Arial" w:hAnsi="Arial" w:cs="Arial"/>
                <w:color w:val="000000"/>
                <w:sz w:val="18"/>
                <w:szCs w:val="18"/>
              </w:rPr>
              <w:t>wks</w:t>
            </w:r>
            <w:proofErr w:type="spellEnd"/>
            <w:r w:rsidRPr="003E0F4E">
              <w:rPr>
                <w:rFonts w:ascii="Arial" w:hAnsi="Arial" w:cs="Arial"/>
                <w:color w:val="000000"/>
                <w:sz w:val="18"/>
                <w:szCs w:val="18"/>
              </w:rPr>
              <w:t>, days),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715E4E48"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49EE1EDC"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F22BDC1" w14:textId="77777777" w:rsidR="00B63274" w:rsidRPr="003E0F4E" w:rsidRDefault="00B63274" w:rsidP="00E65791">
            <w:pPr>
              <w:adjustRightInd w:val="0"/>
              <w:spacing w:before="50" w:after="50"/>
              <w:jc w:val="right"/>
              <w:rPr>
                <w:rFonts w:ascii="Arial" w:hAnsi="Arial" w:cs="Arial"/>
                <w:color w:val="000000"/>
                <w:sz w:val="18"/>
                <w:szCs w:val="18"/>
              </w:rPr>
            </w:pPr>
          </w:p>
        </w:tc>
      </w:tr>
      <w:tr w:rsidR="003E0F4E" w:rsidRPr="003E0F4E" w14:paraId="1B07DCF9"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793FE33B"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20,0 - 27,6</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2FD3AA2" w14:textId="3734FFDB"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48 (11.7)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7BF2E7E" w14:textId="7ADD9D45"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14 (7.9)</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C678937" w14:textId="1DFE0FED"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34 (14.6)</w:t>
            </w:r>
          </w:p>
        </w:tc>
      </w:tr>
      <w:tr w:rsidR="003E0F4E" w:rsidRPr="003E0F4E" w14:paraId="2356213C"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17B4F5B4"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28,0 - 31,6</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1442CB8A" w14:textId="75741782"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183 (44.6)</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1873C1B" w14:textId="5B1F903B"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67 (37.9)</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1C19C2E2" w14:textId="7592C95E"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116 (49.8)</w:t>
            </w:r>
          </w:p>
        </w:tc>
      </w:tr>
      <w:tr w:rsidR="003E0F4E" w:rsidRPr="003E0F4E" w14:paraId="728EE4FB" w14:textId="77777777" w:rsidTr="003E0F4E">
        <w:trPr>
          <w:cantSplit/>
          <w:trHeight w:val="377"/>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3A45B910"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32,0 - 36,6</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1FD9727B" w14:textId="1B4246D4"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179 (43.7)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7409A016" w14:textId="25F03D5E"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96 (54.2)</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304F702B" w14:textId="177894A3"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sz w:val="18"/>
                <w:szCs w:val="18"/>
              </w:rPr>
              <w:t>83 (35.6)</w:t>
            </w:r>
          </w:p>
        </w:tc>
      </w:tr>
      <w:tr w:rsidR="00B63274" w:rsidRPr="003E0F4E" w14:paraId="69A20B9C"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6EF35656" w14:textId="77777777"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Birth weight (g),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844037A"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44617E4"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00F64FE" w14:textId="77777777" w:rsidR="00B63274" w:rsidRPr="003E0F4E" w:rsidRDefault="00B63274" w:rsidP="00E65791">
            <w:pPr>
              <w:adjustRightInd w:val="0"/>
              <w:spacing w:before="50" w:after="50"/>
              <w:jc w:val="right"/>
              <w:rPr>
                <w:rFonts w:ascii="Arial" w:hAnsi="Arial" w:cs="Arial"/>
                <w:color w:val="000000"/>
                <w:sz w:val="18"/>
                <w:szCs w:val="18"/>
              </w:rPr>
            </w:pPr>
          </w:p>
        </w:tc>
      </w:tr>
      <w:tr w:rsidR="003E0F4E" w:rsidRPr="003E0F4E" w14:paraId="1DE79FD1"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8A44761"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1000-1499g</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152FDFA" w14:textId="15035430"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215 (52.4)</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07E619F8" w14:textId="078657CD"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111 (62.7)</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17EF0C6" w14:textId="6D4ED5C6"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104 (44.6)</w:t>
            </w:r>
          </w:p>
        </w:tc>
      </w:tr>
      <w:tr w:rsidR="003E0F4E" w:rsidRPr="003E0F4E" w14:paraId="6A3754CB"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59EADE21"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1500-2499g</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2588396" w14:textId="3BD4160E"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175 (42.7)</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8BCE50A" w14:textId="1C650744"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59 (33.3)</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1AB786A" w14:textId="7762F3B6"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116 (49.8)</w:t>
            </w:r>
          </w:p>
        </w:tc>
      </w:tr>
      <w:tr w:rsidR="003E0F4E" w:rsidRPr="003E0F4E" w14:paraId="7469F8D6"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67BCEB3A" w14:textId="77777777" w:rsidR="003E0F4E" w:rsidRPr="003E0F4E" w:rsidRDefault="003E0F4E" w:rsidP="003E0F4E">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 2500g</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5598F719" w14:textId="06D23B99"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20 (4.9)</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684C4A8E" w14:textId="5449DADB"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7 (4.0)</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51D50692" w14:textId="1E1CEB8C" w:rsidR="003E0F4E" w:rsidRPr="003E0F4E" w:rsidRDefault="003E0F4E" w:rsidP="003E0F4E">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13 (5.6)</w:t>
            </w:r>
          </w:p>
        </w:tc>
      </w:tr>
      <w:tr w:rsidR="00B63274" w:rsidRPr="003E0F4E" w14:paraId="14BDC495"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207C15DE" w14:textId="7C300EA7" w:rsidR="00B63274" w:rsidRPr="003E0F4E" w:rsidRDefault="00B63274" w:rsidP="004B6DA8">
            <w:pPr>
              <w:adjustRightInd w:val="0"/>
              <w:spacing w:before="50" w:after="50"/>
              <w:rPr>
                <w:rFonts w:ascii="Arial" w:hAnsi="Arial" w:cs="Arial"/>
                <w:color w:val="000000"/>
                <w:sz w:val="18"/>
                <w:szCs w:val="18"/>
              </w:rPr>
            </w:pPr>
            <w:r w:rsidRPr="003E0F4E">
              <w:rPr>
                <w:rFonts w:ascii="Arial" w:hAnsi="Arial" w:cs="Arial"/>
                <w:color w:val="000000"/>
                <w:sz w:val="18"/>
                <w:szCs w:val="18"/>
              </w:rPr>
              <w:t>Fetal</w:t>
            </w:r>
            <w:r w:rsidR="004B6DA8" w:rsidRPr="003E0F4E">
              <w:rPr>
                <w:rFonts w:ascii="Arial" w:hAnsi="Arial" w:cs="Arial"/>
                <w:color w:val="000000"/>
                <w:sz w:val="18"/>
                <w:szCs w:val="18"/>
              </w:rPr>
              <w:t xml:space="preserve"> growth restriction</w:t>
            </w:r>
            <w:r w:rsidR="0099486E" w:rsidRPr="003E0F4E">
              <w:rPr>
                <w:rFonts w:ascii="Arial" w:hAnsi="Arial" w:cs="Arial"/>
                <w:color w:val="000000"/>
                <w:sz w:val="18"/>
                <w:szCs w:val="18"/>
              </w:rPr>
              <w:t>*</w:t>
            </w:r>
            <w:r w:rsidR="004B6DA8" w:rsidRPr="003E0F4E">
              <w:rPr>
                <w:rFonts w:ascii="Arial" w:hAnsi="Arial" w:cs="Arial"/>
                <w:color w:val="000000"/>
                <w:sz w:val="18"/>
                <w:szCs w:val="18"/>
              </w:rPr>
              <w:t>,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535F9D52" w14:textId="56DFB3F0"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9</w:t>
            </w:r>
            <w:r w:rsidR="003E0F4E" w:rsidRPr="003E0F4E">
              <w:rPr>
                <w:rFonts w:ascii="Arial" w:hAnsi="Arial" w:cs="Arial"/>
                <w:color w:val="000000"/>
                <w:sz w:val="18"/>
                <w:szCs w:val="18"/>
              </w:rPr>
              <w:t>2</w:t>
            </w:r>
            <w:r w:rsidRPr="003E0F4E">
              <w:rPr>
                <w:rFonts w:ascii="Arial" w:hAnsi="Arial" w:cs="Arial"/>
                <w:color w:val="000000"/>
                <w:sz w:val="18"/>
                <w:szCs w:val="18"/>
              </w:rPr>
              <w:t xml:space="preserve"> (22.</w:t>
            </w:r>
            <w:r w:rsidR="003E0F4E" w:rsidRPr="003E0F4E">
              <w:rPr>
                <w:rFonts w:ascii="Arial" w:hAnsi="Arial" w:cs="Arial"/>
                <w:color w:val="000000"/>
                <w:sz w:val="18"/>
                <w:szCs w:val="18"/>
              </w:rPr>
              <w:t>5</w:t>
            </w:r>
            <w:r w:rsidRPr="003E0F4E">
              <w:rPr>
                <w:rFonts w:ascii="Arial" w:hAnsi="Arial" w:cs="Arial"/>
                <w:color w:val="000000"/>
                <w:sz w:val="18"/>
                <w:szCs w:val="18"/>
              </w:rPr>
              <w:t>)</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16232B0F" w14:textId="7ED85C61"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6</w:t>
            </w:r>
            <w:r w:rsidR="003E0F4E" w:rsidRPr="003E0F4E">
              <w:rPr>
                <w:rFonts w:ascii="Arial" w:hAnsi="Arial" w:cs="Arial"/>
                <w:color w:val="000000"/>
                <w:sz w:val="18"/>
                <w:szCs w:val="18"/>
              </w:rPr>
              <w:t>3</w:t>
            </w:r>
            <w:r w:rsidRPr="003E0F4E">
              <w:rPr>
                <w:rFonts w:ascii="Arial" w:hAnsi="Arial" w:cs="Arial"/>
                <w:color w:val="000000"/>
                <w:sz w:val="18"/>
                <w:szCs w:val="18"/>
              </w:rPr>
              <w:t xml:space="preserve"> (35.</w:t>
            </w:r>
            <w:r w:rsidR="003E0F4E" w:rsidRPr="003E0F4E">
              <w:rPr>
                <w:rFonts w:ascii="Arial" w:hAnsi="Arial" w:cs="Arial"/>
                <w:color w:val="000000"/>
                <w:sz w:val="18"/>
                <w:szCs w:val="18"/>
              </w:rPr>
              <w:t>6</w:t>
            </w:r>
            <w:r w:rsidRPr="003E0F4E">
              <w:rPr>
                <w:rFonts w:ascii="Arial" w:hAnsi="Arial" w:cs="Arial"/>
                <w:color w:val="000000"/>
                <w:sz w:val="18"/>
                <w:szCs w:val="18"/>
              </w:rPr>
              <w:t>)</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5E3790E0"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29 (12.5)</w:t>
            </w:r>
          </w:p>
        </w:tc>
      </w:tr>
      <w:tr w:rsidR="004B6DA8" w:rsidRPr="003E0F4E" w14:paraId="0F3DA25A"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4CAC5D5C" w14:textId="6409E98B" w:rsidR="004B6DA8" w:rsidRPr="003E0F4E" w:rsidRDefault="004B6DA8"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Respiratory distress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0B8672B5" w14:textId="4A290972" w:rsidR="004B6DA8" w:rsidRPr="003E0F4E" w:rsidRDefault="0099486E"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3</w:t>
            </w:r>
            <w:r w:rsidR="0078429C" w:rsidRPr="003E0F4E">
              <w:rPr>
                <w:rFonts w:ascii="Arial" w:hAnsi="Arial" w:cs="Arial"/>
                <w:color w:val="000000"/>
                <w:sz w:val="18"/>
                <w:szCs w:val="18"/>
              </w:rPr>
              <w:t>54</w:t>
            </w:r>
            <w:r w:rsidRPr="003E0F4E">
              <w:rPr>
                <w:rFonts w:ascii="Arial" w:hAnsi="Arial" w:cs="Arial"/>
                <w:color w:val="000000"/>
                <w:sz w:val="18"/>
                <w:szCs w:val="18"/>
              </w:rPr>
              <w:t xml:space="preserve"> (8</w:t>
            </w:r>
            <w:r w:rsidR="0078429C" w:rsidRPr="003E0F4E">
              <w:rPr>
                <w:rFonts w:ascii="Arial" w:hAnsi="Arial" w:cs="Arial"/>
                <w:color w:val="000000"/>
                <w:sz w:val="18"/>
                <w:szCs w:val="18"/>
              </w:rPr>
              <w:t>6</w:t>
            </w:r>
            <w:r w:rsidRPr="003E0F4E">
              <w:rPr>
                <w:rFonts w:ascii="Arial" w:hAnsi="Arial" w:cs="Arial"/>
                <w:color w:val="000000"/>
                <w:sz w:val="18"/>
                <w:szCs w:val="18"/>
              </w:rPr>
              <w:t>.</w:t>
            </w:r>
            <w:r w:rsidR="0078429C" w:rsidRPr="003E0F4E">
              <w:rPr>
                <w:rFonts w:ascii="Arial" w:hAnsi="Arial" w:cs="Arial"/>
                <w:color w:val="000000"/>
                <w:sz w:val="18"/>
                <w:szCs w:val="18"/>
              </w:rPr>
              <w:t>8</w:t>
            </w:r>
            <w:r w:rsidRPr="003E0F4E">
              <w:rPr>
                <w:rFonts w:ascii="Arial" w:hAnsi="Arial" w:cs="Arial"/>
                <w:color w:val="000000"/>
                <w:sz w:val="18"/>
                <w:szCs w:val="18"/>
              </w:rPr>
              <w:t>)</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FEB4CE4" w14:textId="212341B4" w:rsidR="004B6DA8" w:rsidRPr="003E0F4E" w:rsidRDefault="0099486E"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w:t>
            </w:r>
            <w:r w:rsidR="0078429C" w:rsidRPr="003E0F4E">
              <w:rPr>
                <w:rFonts w:ascii="Arial" w:hAnsi="Arial" w:cs="Arial"/>
                <w:color w:val="000000"/>
                <w:sz w:val="18"/>
                <w:szCs w:val="18"/>
              </w:rPr>
              <w:t>35</w:t>
            </w:r>
            <w:r w:rsidRPr="003E0F4E">
              <w:rPr>
                <w:rFonts w:ascii="Arial" w:hAnsi="Arial" w:cs="Arial"/>
                <w:color w:val="000000"/>
                <w:sz w:val="18"/>
                <w:szCs w:val="18"/>
              </w:rPr>
              <w:t xml:space="preserve"> (</w:t>
            </w:r>
            <w:r w:rsidR="0078429C" w:rsidRPr="003E0F4E">
              <w:rPr>
                <w:rFonts w:ascii="Arial" w:hAnsi="Arial" w:cs="Arial"/>
                <w:color w:val="000000"/>
                <w:sz w:val="18"/>
                <w:szCs w:val="18"/>
              </w:rPr>
              <w:t>77</w:t>
            </w:r>
            <w:r w:rsidRPr="003E0F4E">
              <w:rPr>
                <w:rFonts w:ascii="Arial" w:hAnsi="Arial" w:cs="Arial"/>
                <w:color w:val="000000"/>
                <w:sz w:val="18"/>
                <w:szCs w:val="18"/>
              </w:rPr>
              <w:t>.</w:t>
            </w:r>
            <w:r w:rsidR="0078429C" w:rsidRPr="003E0F4E">
              <w:rPr>
                <w:rFonts w:ascii="Arial" w:hAnsi="Arial" w:cs="Arial"/>
                <w:color w:val="000000"/>
                <w:sz w:val="18"/>
                <w:szCs w:val="18"/>
              </w:rPr>
              <w:t>1</w:t>
            </w:r>
            <w:r w:rsidRPr="003E0F4E">
              <w:rPr>
                <w:rFonts w:ascii="Arial" w:hAnsi="Arial" w:cs="Arial"/>
                <w:color w:val="000000"/>
                <w:sz w:val="18"/>
                <w:szCs w:val="18"/>
              </w:rPr>
              <w:t>)</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0F19714" w14:textId="43EDC6AA" w:rsidR="004B6DA8" w:rsidRPr="003E0F4E" w:rsidRDefault="0099486E"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21</w:t>
            </w:r>
            <w:r w:rsidR="0078429C" w:rsidRPr="003E0F4E">
              <w:rPr>
                <w:rFonts w:ascii="Arial" w:hAnsi="Arial" w:cs="Arial"/>
                <w:color w:val="000000"/>
                <w:sz w:val="18"/>
                <w:szCs w:val="18"/>
              </w:rPr>
              <w:t>9</w:t>
            </w:r>
            <w:r w:rsidRPr="003E0F4E">
              <w:rPr>
                <w:rFonts w:ascii="Arial" w:hAnsi="Arial" w:cs="Arial"/>
                <w:color w:val="000000"/>
                <w:sz w:val="18"/>
                <w:szCs w:val="18"/>
              </w:rPr>
              <w:t xml:space="preserve"> (9</w:t>
            </w:r>
            <w:r w:rsidR="0078429C" w:rsidRPr="003E0F4E">
              <w:rPr>
                <w:rFonts w:ascii="Arial" w:hAnsi="Arial" w:cs="Arial"/>
                <w:color w:val="000000"/>
                <w:sz w:val="18"/>
                <w:szCs w:val="18"/>
              </w:rPr>
              <w:t>4</w:t>
            </w:r>
            <w:r w:rsidRPr="003E0F4E">
              <w:rPr>
                <w:rFonts w:ascii="Arial" w:hAnsi="Arial" w:cs="Arial"/>
                <w:color w:val="000000"/>
                <w:sz w:val="18"/>
                <w:szCs w:val="18"/>
              </w:rPr>
              <w:t>.</w:t>
            </w:r>
            <w:r w:rsidR="0078429C" w:rsidRPr="003E0F4E">
              <w:rPr>
                <w:rFonts w:ascii="Arial" w:hAnsi="Arial" w:cs="Arial"/>
                <w:color w:val="000000"/>
                <w:sz w:val="18"/>
                <w:szCs w:val="18"/>
              </w:rPr>
              <w:t>0</w:t>
            </w:r>
            <w:r w:rsidRPr="003E0F4E">
              <w:rPr>
                <w:rFonts w:ascii="Arial" w:hAnsi="Arial" w:cs="Arial"/>
                <w:color w:val="000000"/>
                <w:sz w:val="18"/>
                <w:szCs w:val="18"/>
              </w:rPr>
              <w:t>)</w:t>
            </w:r>
          </w:p>
        </w:tc>
      </w:tr>
      <w:tr w:rsidR="00B63274" w:rsidRPr="003E0F4E" w14:paraId="76CF563A"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4F2B4E7C" w14:textId="77777777" w:rsidR="00B63274" w:rsidRPr="003E0F4E" w:rsidRDefault="00B63274" w:rsidP="00E65791">
            <w:pPr>
              <w:adjustRightInd w:val="0"/>
              <w:spacing w:before="50" w:after="50"/>
              <w:rPr>
                <w:rFonts w:ascii="Arial" w:hAnsi="Arial" w:cs="Arial"/>
                <w:color w:val="000000"/>
                <w:sz w:val="18"/>
                <w:szCs w:val="18"/>
              </w:rPr>
            </w:pPr>
            <w:r w:rsidRPr="003E0F4E">
              <w:rPr>
                <w:rFonts w:ascii="Arial" w:hAnsi="Arial" w:cs="Arial"/>
                <w:color w:val="000000"/>
                <w:sz w:val="18"/>
                <w:szCs w:val="18"/>
              </w:rPr>
              <w:t>Age at death (days), n (%)</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4B6EDA64"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76BD0504" w14:textId="77777777" w:rsidR="00B63274" w:rsidRPr="003E0F4E" w:rsidRDefault="00B63274" w:rsidP="00E65791">
            <w:pPr>
              <w:adjustRightInd w:val="0"/>
              <w:spacing w:before="50" w:after="50"/>
              <w:jc w:val="right"/>
              <w:rPr>
                <w:rFonts w:ascii="Arial" w:hAnsi="Arial" w:cs="Arial"/>
                <w:color w:val="000000"/>
                <w:sz w:val="18"/>
                <w:szCs w:val="18"/>
              </w:rPr>
            </w:pP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C7670B9" w14:textId="77777777" w:rsidR="00B63274" w:rsidRPr="003E0F4E" w:rsidRDefault="00B63274" w:rsidP="00E65791">
            <w:pPr>
              <w:adjustRightInd w:val="0"/>
              <w:spacing w:before="50" w:after="50"/>
              <w:jc w:val="right"/>
              <w:rPr>
                <w:rFonts w:ascii="Arial" w:hAnsi="Arial" w:cs="Arial"/>
                <w:color w:val="000000"/>
                <w:sz w:val="18"/>
                <w:szCs w:val="18"/>
              </w:rPr>
            </w:pPr>
          </w:p>
        </w:tc>
      </w:tr>
      <w:tr w:rsidR="00B63274" w:rsidRPr="003E0F4E" w14:paraId="1B7D5F92"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0B2BD3ED"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&lt; 1</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B6DF175"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58 (14.2)</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33D4DE7C"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24 (13.7)</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86811BE"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34 (14.6)</w:t>
            </w:r>
          </w:p>
        </w:tc>
      </w:tr>
      <w:tr w:rsidR="00B63274" w:rsidRPr="003E0F4E" w14:paraId="1B7CFBEE" w14:textId="77777777" w:rsidTr="003E0F4E">
        <w:trPr>
          <w:cantSplit/>
        </w:trPr>
        <w:tc>
          <w:tcPr>
            <w:tcW w:w="3550" w:type="dxa"/>
            <w:tcBorders>
              <w:top w:val="nil"/>
              <w:left w:val="single" w:sz="4" w:space="0" w:color="000000"/>
              <w:bottom w:val="single" w:sz="4" w:space="0" w:color="000000"/>
              <w:right w:val="nil"/>
            </w:tcBorders>
            <w:shd w:val="clear" w:color="auto" w:fill="FFFFFF"/>
            <w:tcMar>
              <w:left w:w="50" w:type="dxa"/>
              <w:right w:w="50" w:type="dxa"/>
            </w:tcMar>
          </w:tcPr>
          <w:p w14:paraId="33C82AB3" w14:textId="77777777" w:rsidR="00B63274" w:rsidRPr="003E0F4E" w:rsidRDefault="00B63274" w:rsidP="00E65791">
            <w:pPr>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1-3</w:t>
            </w:r>
          </w:p>
        </w:tc>
        <w:tc>
          <w:tcPr>
            <w:tcW w:w="1440" w:type="dxa"/>
            <w:tcBorders>
              <w:top w:val="nil"/>
              <w:left w:val="single" w:sz="4" w:space="0" w:color="000000"/>
              <w:bottom w:val="single" w:sz="4" w:space="0" w:color="000000"/>
              <w:right w:val="nil"/>
            </w:tcBorders>
            <w:shd w:val="clear" w:color="auto" w:fill="FFFFFF"/>
            <w:tcMar>
              <w:left w:w="50" w:type="dxa"/>
              <w:right w:w="50" w:type="dxa"/>
            </w:tcMar>
          </w:tcPr>
          <w:p w14:paraId="211AD385"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206 (50.5)</w:t>
            </w:r>
          </w:p>
        </w:tc>
        <w:tc>
          <w:tcPr>
            <w:tcW w:w="1260" w:type="dxa"/>
            <w:tcBorders>
              <w:top w:val="nil"/>
              <w:left w:val="single" w:sz="4" w:space="0" w:color="000000"/>
              <w:bottom w:val="single" w:sz="4" w:space="0" w:color="000000"/>
              <w:right w:val="nil"/>
            </w:tcBorders>
            <w:shd w:val="clear" w:color="auto" w:fill="FFFFFF"/>
            <w:tcMar>
              <w:left w:w="50" w:type="dxa"/>
              <w:right w:w="50" w:type="dxa"/>
            </w:tcMar>
          </w:tcPr>
          <w:p w14:paraId="1D315B87"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72 (41.1)</w:t>
            </w:r>
          </w:p>
        </w:tc>
        <w:tc>
          <w:tcPr>
            <w:tcW w:w="126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9910517" w14:textId="77777777" w:rsidR="00B63274" w:rsidRPr="003E0F4E" w:rsidRDefault="00B63274" w:rsidP="00E65791">
            <w:pPr>
              <w:adjustRightInd w:val="0"/>
              <w:spacing w:before="50" w:after="50"/>
              <w:jc w:val="right"/>
              <w:rPr>
                <w:rFonts w:ascii="Arial" w:hAnsi="Arial" w:cs="Arial"/>
                <w:color w:val="000000"/>
                <w:sz w:val="18"/>
                <w:szCs w:val="18"/>
              </w:rPr>
            </w:pPr>
            <w:r w:rsidRPr="003E0F4E">
              <w:rPr>
                <w:rFonts w:ascii="Arial" w:hAnsi="Arial" w:cs="Arial"/>
                <w:color w:val="000000"/>
                <w:sz w:val="18"/>
                <w:szCs w:val="18"/>
              </w:rPr>
              <w:t>134 (57.5)</w:t>
            </w:r>
          </w:p>
        </w:tc>
      </w:tr>
      <w:tr w:rsidR="00B63274" w:rsidRPr="003E0F4E" w14:paraId="2A40A9D6" w14:textId="77777777" w:rsidTr="003E0F4E">
        <w:trPr>
          <w:cantSplit/>
        </w:trPr>
        <w:tc>
          <w:tcPr>
            <w:tcW w:w="3550" w:type="dxa"/>
            <w:tcBorders>
              <w:top w:val="single" w:sz="4" w:space="0" w:color="000000"/>
              <w:left w:val="single" w:sz="4" w:space="0" w:color="000000"/>
              <w:bottom w:val="single" w:sz="4" w:space="0" w:color="auto"/>
              <w:right w:val="nil"/>
            </w:tcBorders>
            <w:shd w:val="clear" w:color="auto" w:fill="FFFFFF"/>
            <w:tcMar>
              <w:left w:w="50" w:type="dxa"/>
              <w:right w:w="50" w:type="dxa"/>
            </w:tcMar>
          </w:tcPr>
          <w:p w14:paraId="24D99242" w14:textId="77777777" w:rsidR="00B63274" w:rsidRPr="003E0F4E" w:rsidRDefault="00B63274" w:rsidP="00E65791">
            <w:pPr>
              <w:keepNext/>
              <w:adjustRightInd w:val="0"/>
              <w:spacing w:before="50" w:after="50"/>
              <w:ind w:firstLine="144"/>
              <w:rPr>
                <w:rFonts w:ascii="Arial" w:hAnsi="Arial" w:cs="Arial"/>
                <w:color w:val="000000"/>
                <w:sz w:val="18"/>
                <w:szCs w:val="18"/>
              </w:rPr>
            </w:pPr>
            <w:r w:rsidRPr="003E0F4E">
              <w:rPr>
                <w:rFonts w:ascii="Arial" w:hAnsi="Arial" w:cs="Arial"/>
                <w:color w:val="000000"/>
                <w:sz w:val="18"/>
                <w:szCs w:val="18"/>
              </w:rPr>
              <w:t>≥ 3</w:t>
            </w:r>
          </w:p>
        </w:tc>
        <w:tc>
          <w:tcPr>
            <w:tcW w:w="1440" w:type="dxa"/>
            <w:tcBorders>
              <w:top w:val="single" w:sz="4" w:space="0" w:color="000000"/>
              <w:left w:val="single" w:sz="4" w:space="0" w:color="000000"/>
              <w:bottom w:val="single" w:sz="4" w:space="0" w:color="auto"/>
              <w:right w:val="nil"/>
            </w:tcBorders>
            <w:shd w:val="clear" w:color="auto" w:fill="FFFFFF"/>
            <w:tcMar>
              <w:left w:w="50" w:type="dxa"/>
              <w:right w:w="50" w:type="dxa"/>
            </w:tcMar>
          </w:tcPr>
          <w:p w14:paraId="49CCBBAD" w14:textId="77777777" w:rsidR="00B63274" w:rsidRPr="003E0F4E" w:rsidRDefault="00B63274" w:rsidP="00E65791">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144 (35.3)</w:t>
            </w:r>
          </w:p>
        </w:tc>
        <w:tc>
          <w:tcPr>
            <w:tcW w:w="1260" w:type="dxa"/>
            <w:tcBorders>
              <w:top w:val="single" w:sz="4" w:space="0" w:color="000000"/>
              <w:left w:val="single" w:sz="4" w:space="0" w:color="000000"/>
              <w:bottom w:val="single" w:sz="4" w:space="0" w:color="auto"/>
              <w:right w:val="nil"/>
            </w:tcBorders>
            <w:shd w:val="clear" w:color="auto" w:fill="FFFFFF"/>
            <w:tcMar>
              <w:left w:w="50" w:type="dxa"/>
              <w:right w:w="50" w:type="dxa"/>
            </w:tcMar>
          </w:tcPr>
          <w:p w14:paraId="4E48C38C" w14:textId="77777777" w:rsidR="00B63274" w:rsidRPr="003E0F4E" w:rsidRDefault="00B63274" w:rsidP="00E65791">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79 (45.1)</w:t>
            </w:r>
          </w:p>
        </w:tc>
        <w:tc>
          <w:tcPr>
            <w:tcW w:w="1260" w:type="dxa"/>
            <w:tcBorders>
              <w:top w:val="single" w:sz="4" w:space="0" w:color="000000"/>
              <w:left w:val="single" w:sz="4" w:space="0" w:color="000000"/>
              <w:bottom w:val="single" w:sz="4" w:space="0" w:color="auto"/>
              <w:right w:val="single" w:sz="4" w:space="0" w:color="000000"/>
            </w:tcBorders>
            <w:shd w:val="clear" w:color="auto" w:fill="FFFFFF"/>
            <w:tcMar>
              <w:left w:w="50" w:type="dxa"/>
              <w:right w:w="50" w:type="dxa"/>
            </w:tcMar>
          </w:tcPr>
          <w:p w14:paraId="5882BAAF" w14:textId="77777777" w:rsidR="00B63274" w:rsidRPr="003E0F4E" w:rsidRDefault="00B63274" w:rsidP="00E65791">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65 (27.9)</w:t>
            </w:r>
          </w:p>
        </w:tc>
      </w:tr>
      <w:tr w:rsidR="003E0F4E" w:rsidRPr="003E0F4E" w14:paraId="30737E81" w14:textId="77777777" w:rsidTr="003E0F4E">
        <w:trPr>
          <w:cantSplit/>
          <w:trHeight w:val="60"/>
        </w:trPr>
        <w:tc>
          <w:tcPr>
            <w:tcW w:w="3550" w:type="dxa"/>
            <w:tcBorders>
              <w:top w:val="single" w:sz="4" w:space="0" w:color="auto"/>
              <w:left w:val="single" w:sz="4" w:space="0" w:color="000000"/>
              <w:bottom w:val="single" w:sz="4" w:space="0" w:color="000000"/>
              <w:right w:val="nil"/>
            </w:tcBorders>
            <w:shd w:val="clear" w:color="auto" w:fill="FFFFFF"/>
            <w:tcMar>
              <w:left w:w="50" w:type="dxa"/>
              <w:right w:w="50" w:type="dxa"/>
            </w:tcMar>
          </w:tcPr>
          <w:p w14:paraId="6874F38B" w14:textId="76D91856" w:rsidR="003E0F4E" w:rsidRPr="003E0F4E" w:rsidRDefault="003E0F4E" w:rsidP="003E0F4E">
            <w:pPr>
              <w:keepNext/>
              <w:adjustRightInd w:val="0"/>
              <w:spacing w:before="50" w:after="50"/>
              <w:rPr>
                <w:rFonts w:ascii="Arial" w:hAnsi="Arial" w:cs="Arial"/>
                <w:color w:val="000000"/>
                <w:sz w:val="18"/>
                <w:szCs w:val="18"/>
              </w:rPr>
            </w:pPr>
            <w:r w:rsidRPr="003E0F4E">
              <w:rPr>
                <w:rFonts w:ascii="Arial" w:hAnsi="Arial" w:cs="Arial"/>
                <w:color w:val="000000"/>
                <w:sz w:val="18"/>
                <w:szCs w:val="18"/>
              </w:rPr>
              <w:t>Male gender, n (%)</w:t>
            </w:r>
          </w:p>
        </w:tc>
        <w:tc>
          <w:tcPr>
            <w:tcW w:w="1440" w:type="dxa"/>
            <w:tcBorders>
              <w:top w:val="single" w:sz="4" w:space="0" w:color="auto"/>
              <w:left w:val="single" w:sz="4" w:space="0" w:color="000000"/>
              <w:bottom w:val="single" w:sz="4" w:space="0" w:color="000000"/>
              <w:right w:val="nil"/>
            </w:tcBorders>
            <w:shd w:val="clear" w:color="auto" w:fill="FFFFFF"/>
            <w:tcMar>
              <w:left w:w="50" w:type="dxa"/>
              <w:right w:w="50" w:type="dxa"/>
            </w:tcMar>
          </w:tcPr>
          <w:p w14:paraId="69B0060B" w14:textId="7410B470" w:rsidR="003E0F4E" w:rsidRPr="003E0F4E" w:rsidRDefault="003E0F4E" w:rsidP="003E0F4E">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239 (58.3)</w:t>
            </w:r>
          </w:p>
        </w:tc>
        <w:tc>
          <w:tcPr>
            <w:tcW w:w="1260" w:type="dxa"/>
            <w:tcBorders>
              <w:top w:val="single" w:sz="4" w:space="0" w:color="auto"/>
              <w:left w:val="single" w:sz="4" w:space="0" w:color="000000"/>
              <w:bottom w:val="single" w:sz="4" w:space="0" w:color="000000"/>
              <w:right w:val="nil"/>
            </w:tcBorders>
            <w:shd w:val="clear" w:color="auto" w:fill="FFFFFF"/>
            <w:tcMar>
              <w:left w:w="50" w:type="dxa"/>
              <w:right w:w="50" w:type="dxa"/>
            </w:tcMar>
          </w:tcPr>
          <w:p w14:paraId="20E4C776" w14:textId="3FE720FA" w:rsidR="003E0F4E" w:rsidRPr="003E0F4E" w:rsidRDefault="003E0F4E" w:rsidP="003E0F4E">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111 (62.7)</w:t>
            </w:r>
          </w:p>
        </w:tc>
        <w:tc>
          <w:tcPr>
            <w:tcW w:w="1260" w:type="dxa"/>
            <w:tcBorders>
              <w:top w:val="single" w:sz="4" w:space="0" w:color="auto"/>
              <w:left w:val="single" w:sz="4" w:space="0" w:color="000000"/>
              <w:bottom w:val="single" w:sz="4" w:space="0" w:color="000000"/>
              <w:right w:val="single" w:sz="4" w:space="0" w:color="000000"/>
            </w:tcBorders>
            <w:shd w:val="clear" w:color="auto" w:fill="FFFFFF"/>
            <w:tcMar>
              <w:left w:w="50" w:type="dxa"/>
              <w:right w:w="50" w:type="dxa"/>
            </w:tcMar>
          </w:tcPr>
          <w:p w14:paraId="03C4D030" w14:textId="20E8ED11" w:rsidR="003E0F4E" w:rsidRPr="003E0F4E" w:rsidRDefault="003E0F4E" w:rsidP="003E0F4E">
            <w:pPr>
              <w:keepNext/>
              <w:adjustRightInd w:val="0"/>
              <w:spacing w:before="50" w:after="50"/>
              <w:jc w:val="right"/>
              <w:rPr>
                <w:rFonts w:ascii="Arial" w:hAnsi="Arial" w:cs="Arial"/>
                <w:color w:val="000000"/>
                <w:sz w:val="18"/>
                <w:szCs w:val="18"/>
              </w:rPr>
            </w:pPr>
            <w:r w:rsidRPr="003E0F4E">
              <w:rPr>
                <w:rFonts w:ascii="Arial" w:hAnsi="Arial" w:cs="Arial"/>
                <w:color w:val="000000"/>
                <w:sz w:val="18"/>
                <w:szCs w:val="18"/>
              </w:rPr>
              <w:t>128 (54.9)</w:t>
            </w:r>
          </w:p>
        </w:tc>
      </w:tr>
    </w:tbl>
    <w:p w14:paraId="2EDC850F" w14:textId="2118B006" w:rsidR="00B63274" w:rsidRPr="003E0F4E" w:rsidRDefault="0099486E">
      <w:pPr>
        <w:rPr>
          <w:rFonts w:ascii="Arial" w:hAnsi="Arial" w:cs="Arial"/>
          <w:sz w:val="18"/>
          <w:szCs w:val="18"/>
        </w:rPr>
      </w:pPr>
      <w:r w:rsidRPr="003E0F4E">
        <w:rPr>
          <w:rFonts w:ascii="Arial" w:hAnsi="Arial" w:cs="Arial"/>
          <w:sz w:val="18"/>
          <w:szCs w:val="18"/>
        </w:rPr>
        <w:t>*Fetal growth restriction defined as &lt;10%ile by Intergrowth standards</w:t>
      </w:r>
      <w:r w:rsidRPr="003E0F4E">
        <w:rPr>
          <w:rFonts w:ascii="Arial" w:hAnsi="Arial" w:cs="Arial"/>
          <w:sz w:val="18"/>
          <w:szCs w:val="18"/>
          <w:vertAlign w:val="superscript"/>
        </w:rPr>
        <w:t>33</w:t>
      </w:r>
    </w:p>
    <w:tbl>
      <w:tblPr>
        <w:tblW w:w="8280" w:type="dxa"/>
        <w:tblInd w:w="-5" w:type="dxa"/>
        <w:tblLayout w:type="fixed"/>
        <w:tblCellMar>
          <w:left w:w="0" w:type="dxa"/>
          <w:right w:w="0" w:type="dxa"/>
        </w:tblCellMar>
        <w:tblLook w:val="0000" w:firstRow="0" w:lastRow="0" w:firstColumn="0" w:lastColumn="0" w:noHBand="0" w:noVBand="0"/>
      </w:tblPr>
      <w:tblGrid>
        <w:gridCol w:w="3240"/>
        <w:gridCol w:w="1800"/>
        <w:gridCol w:w="1620"/>
        <w:gridCol w:w="1620"/>
      </w:tblGrid>
      <w:tr w:rsidR="0099486E" w:rsidRPr="002A4FC0" w14:paraId="5C2F8F34" w14:textId="041AAC0E" w:rsidTr="0099486E">
        <w:trPr>
          <w:cantSplit/>
          <w:trHeight w:hRule="exact" w:val="601"/>
          <w:tblHeader/>
        </w:trPr>
        <w:tc>
          <w:tcPr>
            <w:tcW w:w="8280" w:type="dxa"/>
            <w:gridSpan w:val="4"/>
            <w:tcBorders>
              <w:bottom w:val="single" w:sz="4" w:space="0" w:color="000000"/>
            </w:tcBorders>
            <w:shd w:val="clear" w:color="auto" w:fill="auto"/>
            <w:tcMar>
              <w:left w:w="50" w:type="dxa"/>
              <w:right w:w="50" w:type="dxa"/>
            </w:tcMar>
            <w:vAlign w:val="center"/>
          </w:tcPr>
          <w:p w14:paraId="0E473CA7" w14:textId="721D1DAD" w:rsidR="0099486E" w:rsidRPr="002A4FC0" w:rsidRDefault="0099486E" w:rsidP="00E65791">
            <w:pPr>
              <w:keepNext/>
              <w:adjustRightInd w:val="0"/>
              <w:spacing w:before="50" w:after="50"/>
              <w:rPr>
                <w:sz w:val="20"/>
                <w:szCs w:val="20"/>
              </w:rPr>
            </w:pPr>
            <w:r w:rsidRPr="002A4FC0">
              <w:rPr>
                <w:sz w:val="20"/>
                <w:szCs w:val="20"/>
              </w:rPr>
              <w:br w:type="page"/>
            </w:r>
            <w:r w:rsidRPr="002A4FC0">
              <w:rPr>
                <w:rFonts w:ascii="Arial" w:hAnsi="Arial" w:cs="Arial"/>
                <w:b/>
                <w:bCs/>
                <w:color w:val="000000"/>
                <w:sz w:val="20"/>
                <w:szCs w:val="20"/>
              </w:rPr>
              <w:t>Table 3. Panel and Physician Cause of Death Determination for Preterm Infants, Overall and by Site</w:t>
            </w:r>
          </w:p>
        </w:tc>
      </w:tr>
      <w:tr w:rsidR="00E65791" w:rsidRPr="002A4FC0" w14:paraId="770D7BBE" w14:textId="5DEE828C" w:rsidTr="00E65791">
        <w:trPr>
          <w:cantSplit/>
          <w:trHeight w:hRule="exact" w:val="443"/>
          <w:tblHeader/>
        </w:trPr>
        <w:tc>
          <w:tcPr>
            <w:tcW w:w="324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2795AFEF" w14:textId="40CD3088" w:rsidR="00E65791" w:rsidRPr="002A4FC0" w:rsidRDefault="00E65791" w:rsidP="00E65791">
            <w:pPr>
              <w:keepNext/>
              <w:adjustRightInd w:val="0"/>
              <w:spacing w:before="50" w:after="50"/>
              <w:rPr>
                <w:rFonts w:ascii="Arial" w:hAnsi="Arial" w:cs="Arial"/>
                <w:b/>
                <w:bCs/>
                <w:color w:val="000000"/>
                <w:sz w:val="20"/>
                <w:szCs w:val="20"/>
              </w:rPr>
            </w:pPr>
            <w:r w:rsidRPr="002A4FC0">
              <w:rPr>
                <w:rFonts w:ascii="Arial" w:hAnsi="Arial" w:cs="Arial"/>
                <w:b/>
                <w:bCs/>
                <w:color w:val="000000"/>
                <w:sz w:val="20"/>
                <w:szCs w:val="20"/>
              </w:rPr>
              <w:t xml:space="preserve">Overall </w:t>
            </w:r>
          </w:p>
        </w:tc>
        <w:tc>
          <w:tcPr>
            <w:tcW w:w="180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348B28D6" w14:textId="77777777" w:rsidR="00E65791" w:rsidRPr="002A4FC0" w:rsidRDefault="00E65791" w:rsidP="00E65791">
            <w:pPr>
              <w:keepNext/>
              <w:adjustRightInd w:val="0"/>
              <w:spacing w:before="50" w:after="50"/>
              <w:jc w:val="center"/>
              <w:rPr>
                <w:rFonts w:ascii="Arial" w:hAnsi="Arial" w:cs="Arial"/>
                <w:b/>
                <w:bCs/>
                <w:color w:val="000000"/>
                <w:sz w:val="20"/>
                <w:szCs w:val="20"/>
              </w:rPr>
            </w:pPr>
            <w:r w:rsidRPr="002A4FC0">
              <w:rPr>
                <w:rFonts w:ascii="Arial" w:hAnsi="Arial" w:cs="Arial"/>
                <w:b/>
                <w:bCs/>
                <w:color w:val="000000"/>
                <w:sz w:val="20"/>
                <w:szCs w:val="20"/>
              </w:rPr>
              <w:t>Panel</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Mar>
              <w:left w:w="50" w:type="dxa"/>
              <w:right w:w="50" w:type="dxa"/>
            </w:tcMar>
            <w:vAlign w:val="center"/>
          </w:tcPr>
          <w:p w14:paraId="59AA5862" w14:textId="77777777" w:rsidR="00E65791" w:rsidRPr="002A4FC0" w:rsidRDefault="00E65791" w:rsidP="00E65791">
            <w:pPr>
              <w:keepNext/>
              <w:adjustRightInd w:val="0"/>
              <w:spacing w:before="50" w:after="50"/>
              <w:jc w:val="center"/>
              <w:rPr>
                <w:rFonts w:ascii="Arial" w:hAnsi="Arial" w:cs="Arial"/>
                <w:b/>
                <w:bCs/>
                <w:color w:val="000000"/>
                <w:sz w:val="20"/>
                <w:szCs w:val="20"/>
              </w:rPr>
            </w:pPr>
            <w:r w:rsidRPr="002A4FC0">
              <w:rPr>
                <w:rFonts w:ascii="Arial" w:hAnsi="Arial" w:cs="Arial"/>
                <w:b/>
                <w:bCs/>
                <w:color w:val="000000"/>
                <w:sz w:val="20"/>
                <w:szCs w:val="20"/>
              </w:rPr>
              <w:t>Physician</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Pr>
          <w:p w14:paraId="22131153" w14:textId="462CD981" w:rsidR="00E65791" w:rsidRPr="002A4FC0" w:rsidRDefault="00E65791" w:rsidP="00E65791">
            <w:pPr>
              <w:keepNext/>
              <w:adjustRightInd w:val="0"/>
              <w:spacing w:before="50" w:after="50"/>
              <w:jc w:val="center"/>
              <w:rPr>
                <w:rFonts w:ascii="Arial" w:hAnsi="Arial" w:cs="Arial"/>
                <w:b/>
                <w:bCs/>
                <w:color w:val="000000"/>
                <w:sz w:val="20"/>
                <w:szCs w:val="20"/>
              </w:rPr>
            </w:pPr>
            <w:r w:rsidRPr="002A4FC0">
              <w:rPr>
                <w:rFonts w:ascii="Arial" w:hAnsi="Arial" w:cs="Arial"/>
                <w:b/>
                <w:bCs/>
                <w:color w:val="000000"/>
                <w:sz w:val="20"/>
                <w:szCs w:val="20"/>
              </w:rPr>
              <w:t>p-value</w:t>
            </w:r>
          </w:p>
        </w:tc>
      </w:tr>
      <w:tr w:rsidR="00C13581" w:rsidRPr="002A4FC0" w14:paraId="5D3E15E0" w14:textId="77777777" w:rsidTr="00E65791">
        <w:trPr>
          <w:cantSplit/>
          <w:trHeight w:hRule="exact" w:val="443"/>
          <w:tblHeader/>
        </w:trPr>
        <w:tc>
          <w:tcPr>
            <w:tcW w:w="324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1C876791" w14:textId="60B2B855" w:rsidR="00C13581" w:rsidRPr="002A4FC0" w:rsidRDefault="00C13581" w:rsidP="00E65791">
            <w:pPr>
              <w:keepNext/>
              <w:adjustRightInd w:val="0"/>
              <w:spacing w:before="50" w:after="50"/>
              <w:rPr>
                <w:rFonts w:ascii="Arial" w:hAnsi="Arial" w:cs="Arial"/>
                <w:b/>
                <w:bCs/>
                <w:color w:val="000000"/>
                <w:sz w:val="20"/>
                <w:szCs w:val="20"/>
              </w:rPr>
            </w:pPr>
            <w:r>
              <w:rPr>
                <w:rFonts w:ascii="Arial" w:hAnsi="Arial" w:cs="Arial"/>
                <w:b/>
                <w:bCs/>
                <w:color w:val="000000"/>
                <w:sz w:val="20"/>
                <w:szCs w:val="20"/>
              </w:rPr>
              <w:t>Overall, N</w:t>
            </w:r>
          </w:p>
        </w:tc>
        <w:tc>
          <w:tcPr>
            <w:tcW w:w="180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119CEC90" w14:textId="07A1BC00" w:rsidR="00C13581" w:rsidRPr="002A4FC0" w:rsidRDefault="00C13581" w:rsidP="00E65791">
            <w:pPr>
              <w:keepNext/>
              <w:adjustRightInd w:val="0"/>
              <w:spacing w:before="50" w:after="50"/>
              <w:jc w:val="center"/>
              <w:rPr>
                <w:rFonts w:ascii="Arial" w:hAnsi="Arial" w:cs="Arial"/>
                <w:b/>
                <w:bCs/>
                <w:color w:val="000000"/>
                <w:sz w:val="20"/>
                <w:szCs w:val="20"/>
              </w:rPr>
            </w:pPr>
            <w:r>
              <w:rPr>
                <w:rFonts w:ascii="Arial" w:hAnsi="Arial" w:cs="Arial"/>
                <w:b/>
                <w:bCs/>
                <w:color w:val="000000"/>
                <w:sz w:val="20"/>
                <w:szCs w:val="20"/>
              </w:rPr>
              <w:t>410</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Mar>
              <w:left w:w="50" w:type="dxa"/>
              <w:right w:w="50" w:type="dxa"/>
            </w:tcMar>
            <w:vAlign w:val="center"/>
          </w:tcPr>
          <w:p w14:paraId="4C2BFD58" w14:textId="7EC92963" w:rsidR="00C13581" w:rsidRPr="002A4FC0" w:rsidRDefault="00C13581" w:rsidP="00E65791">
            <w:pPr>
              <w:keepNext/>
              <w:adjustRightInd w:val="0"/>
              <w:spacing w:before="50" w:after="50"/>
              <w:jc w:val="center"/>
              <w:rPr>
                <w:rFonts w:ascii="Arial" w:hAnsi="Arial" w:cs="Arial"/>
                <w:b/>
                <w:bCs/>
                <w:color w:val="000000"/>
                <w:sz w:val="20"/>
                <w:szCs w:val="20"/>
              </w:rPr>
            </w:pPr>
            <w:r>
              <w:rPr>
                <w:rFonts w:ascii="Arial" w:hAnsi="Arial" w:cs="Arial"/>
                <w:b/>
                <w:bCs/>
                <w:color w:val="000000"/>
                <w:sz w:val="20"/>
                <w:szCs w:val="20"/>
              </w:rPr>
              <w:t>410</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Pr>
          <w:p w14:paraId="4EA2F92D" w14:textId="77777777" w:rsidR="00C13581" w:rsidRPr="002A4FC0" w:rsidRDefault="00C13581" w:rsidP="00E65791">
            <w:pPr>
              <w:keepNext/>
              <w:adjustRightInd w:val="0"/>
              <w:spacing w:before="50" w:after="50"/>
              <w:jc w:val="center"/>
              <w:rPr>
                <w:rFonts w:ascii="Arial" w:hAnsi="Arial" w:cs="Arial"/>
                <w:b/>
                <w:bCs/>
                <w:color w:val="000000"/>
                <w:sz w:val="20"/>
                <w:szCs w:val="20"/>
              </w:rPr>
            </w:pPr>
          </w:p>
        </w:tc>
      </w:tr>
      <w:tr w:rsidR="003E0F4E" w:rsidRPr="002A4FC0" w14:paraId="24DC56B1" w14:textId="508C562C"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5B51278D" w14:textId="05E1C1BE"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 xml:space="preserve">RDS </w:t>
            </w:r>
            <w:r w:rsidR="00720CF7">
              <w:rPr>
                <w:rFonts w:ascii="Arial" w:hAnsi="Arial" w:cs="Arial"/>
                <w:color w:val="000000"/>
                <w:sz w:val="20"/>
                <w:szCs w:val="20"/>
              </w:rPr>
              <w:t>o</w:t>
            </w:r>
            <w:r w:rsidRPr="002A4FC0">
              <w:rPr>
                <w:rFonts w:ascii="Arial" w:hAnsi="Arial" w:cs="Arial"/>
                <w:color w:val="000000"/>
                <w:sz w:val="20"/>
                <w:szCs w:val="20"/>
              </w:rPr>
              <w:t>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53672C0E" w14:textId="458E14A6"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112 (27.3)</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3811FB24" w14:textId="7CA3BAE8"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294 (71.7)</w:t>
            </w:r>
          </w:p>
        </w:tc>
        <w:tc>
          <w:tcPr>
            <w:tcW w:w="1620" w:type="dxa"/>
            <w:tcBorders>
              <w:top w:val="nil"/>
              <w:left w:val="single" w:sz="4" w:space="0" w:color="000000"/>
              <w:bottom w:val="single" w:sz="4" w:space="0" w:color="000000"/>
              <w:right w:val="single" w:sz="4" w:space="0" w:color="000000"/>
            </w:tcBorders>
            <w:shd w:val="clear" w:color="auto" w:fill="FFFFFF"/>
          </w:tcPr>
          <w:p w14:paraId="32D2B897"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1C9ECC2B" w14:textId="59005431"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33F68A23" w14:textId="5F5A59A9"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 xml:space="preserve">Asphyxia </w:t>
            </w:r>
            <w:r w:rsidR="00720CF7">
              <w:rPr>
                <w:rFonts w:ascii="Arial" w:hAnsi="Arial" w:cs="Arial"/>
                <w:color w:val="000000"/>
                <w:sz w:val="20"/>
                <w:szCs w:val="20"/>
              </w:rPr>
              <w:t>o</w:t>
            </w:r>
            <w:r w:rsidRPr="002A4FC0">
              <w:rPr>
                <w:rFonts w:ascii="Arial" w:hAnsi="Arial" w:cs="Arial"/>
                <w:color w:val="000000"/>
                <w:sz w:val="20"/>
                <w:szCs w:val="20"/>
              </w:rPr>
              <w:t>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141E1F48" w14:textId="140C34D5"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139 (33.9)</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2A2DA55" w14:textId="28A15CC5"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14 (3.4)</w:t>
            </w:r>
          </w:p>
        </w:tc>
        <w:tc>
          <w:tcPr>
            <w:tcW w:w="1620" w:type="dxa"/>
            <w:tcBorders>
              <w:top w:val="nil"/>
              <w:left w:val="single" w:sz="4" w:space="0" w:color="000000"/>
              <w:bottom w:val="single" w:sz="4" w:space="0" w:color="000000"/>
              <w:right w:val="single" w:sz="4" w:space="0" w:color="000000"/>
            </w:tcBorders>
            <w:shd w:val="clear" w:color="auto" w:fill="FFFFFF"/>
          </w:tcPr>
          <w:p w14:paraId="7CAAC5BF"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449EE7E4" w14:textId="3E712A72"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130B4692" w14:textId="4499A2AF"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Both RDS and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329F0450" w14:textId="6F5D84C5"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97 (23.7)</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19755086" w14:textId="3DE2876B"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47 (11.5)</w:t>
            </w:r>
          </w:p>
        </w:tc>
        <w:tc>
          <w:tcPr>
            <w:tcW w:w="1620" w:type="dxa"/>
            <w:tcBorders>
              <w:top w:val="nil"/>
              <w:left w:val="single" w:sz="4" w:space="0" w:color="000000"/>
              <w:bottom w:val="single" w:sz="4" w:space="0" w:color="000000"/>
              <w:right w:val="single" w:sz="4" w:space="0" w:color="000000"/>
            </w:tcBorders>
            <w:shd w:val="clear" w:color="auto" w:fill="FFFFFF"/>
          </w:tcPr>
          <w:p w14:paraId="16762D36"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57EB8AFE" w14:textId="4EB12345" w:rsidTr="00E65791">
        <w:trPr>
          <w:cantSplit/>
          <w:trHeight w:val="37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1F32ED0C" w14:textId="5B83A33C"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Neither RDS Nor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7FBCA951" w14:textId="4A99BDB9"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62 (15.1)</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3B87EF7" w14:textId="134FBBE2"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55 (13.4)</w:t>
            </w:r>
          </w:p>
        </w:tc>
        <w:tc>
          <w:tcPr>
            <w:tcW w:w="1620" w:type="dxa"/>
            <w:tcBorders>
              <w:top w:val="nil"/>
              <w:left w:val="single" w:sz="4" w:space="0" w:color="000000"/>
              <w:bottom w:val="single" w:sz="4" w:space="0" w:color="000000"/>
              <w:right w:val="single" w:sz="4" w:space="0" w:color="000000"/>
            </w:tcBorders>
            <w:shd w:val="clear" w:color="auto" w:fill="FFFFFF"/>
          </w:tcPr>
          <w:p w14:paraId="7CA2DFCF" w14:textId="352439CE"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6F51185E" w14:textId="0F710EEC"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02401422" w14:textId="77777777" w:rsidR="003E0F4E" w:rsidRPr="003E0F4E" w:rsidRDefault="003E0F4E" w:rsidP="003E0F4E">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7F563DFC" w14:textId="77777777" w:rsidR="003E0F4E" w:rsidRPr="003E0F4E" w:rsidRDefault="003E0F4E" w:rsidP="003E0F4E">
            <w:pPr>
              <w:adjustRightInd w:val="0"/>
              <w:spacing w:before="50" w:after="50"/>
              <w:jc w:val="center"/>
              <w:rPr>
                <w:rFonts w:ascii="Arial" w:hAnsi="Arial" w:cs="Arial"/>
                <w:color w:val="000000"/>
                <w:sz w:val="20"/>
                <w:szCs w:val="20"/>
              </w:rPr>
            </w:pPr>
          </w:p>
        </w:tc>
      </w:tr>
      <w:tr w:rsidR="003E0F4E" w:rsidRPr="002A4FC0" w14:paraId="03B7D52B" w14:textId="2A94ECFA"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1520BAF3" w14:textId="39494F29"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RDS</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23B0BCF1" w14:textId="6F288BDA"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209 (51.0)</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E4D3A06" w14:textId="288A0AD8"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341 (83.2)</w:t>
            </w:r>
          </w:p>
        </w:tc>
        <w:tc>
          <w:tcPr>
            <w:tcW w:w="1620" w:type="dxa"/>
            <w:tcBorders>
              <w:top w:val="nil"/>
              <w:left w:val="single" w:sz="4" w:space="0" w:color="000000"/>
              <w:bottom w:val="single" w:sz="4" w:space="0" w:color="000000"/>
              <w:right w:val="single" w:sz="4" w:space="0" w:color="000000"/>
            </w:tcBorders>
            <w:shd w:val="clear" w:color="auto" w:fill="FFFFFF"/>
          </w:tcPr>
          <w:p w14:paraId="2E53F32F" w14:textId="422E3811"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706A1D46" w14:textId="65A52D09"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3E79960F" w14:textId="4AFA9F0D"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597E8335" w14:textId="6138ACCC"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236 (57.6)</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657C6636" w14:textId="7061D843"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sz w:val="20"/>
                <w:szCs w:val="20"/>
              </w:rPr>
              <w:t>61 (14.9)</w:t>
            </w:r>
          </w:p>
        </w:tc>
        <w:tc>
          <w:tcPr>
            <w:tcW w:w="1620" w:type="dxa"/>
            <w:tcBorders>
              <w:top w:val="nil"/>
              <w:left w:val="single" w:sz="4" w:space="0" w:color="000000"/>
              <w:bottom w:val="single" w:sz="4" w:space="0" w:color="000000"/>
              <w:right w:val="single" w:sz="4" w:space="0" w:color="000000"/>
            </w:tcBorders>
            <w:shd w:val="clear" w:color="auto" w:fill="FFFFFF"/>
          </w:tcPr>
          <w:p w14:paraId="0CBD9FBE" w14:textId="51406043"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2D6B2139" w14:textId="61A5FDF5"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31F209B5" w14:textId="77777777" w:rsidR="003E0F4E" w:rsidRPr="003E0F4E" w:rsidRDefault="003E0F4E" w:rsidP="003E0F4E">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380C9A36" w14:textId="77777777" w:rsidR="003E0F4E" w:rsidRPr="003E0F4E" w:rsidRDefault="003E0F4E" w:rsidP="003E0F4E">
            <w:pPr>
              <w:adjustRightInd w:val="0"/>
              <w:spacing w:before="50" w:after="50"/>
              <w:jc w:val="center"/>
              <w:rPr>
                <w:rFonts w:ascii="Arial" w:hAnsi="Arial" w:cs="Arial"/>
                <w:color w:val="000000"/>
                <w:sz w:val="20"/>
                <w:szCs w:val="20"/>
              </w:rPr>
            </w:pPr>
          </w:p>
        </w:tc>
      </w:tr>
      <w:tr w:rsidR="00E65791" w:rsidRPr="002A4FC0" w14:paraId="1810CEDF" w14:textId="4B6BB46A"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75CB6C90" w14:textId="77777777" w:rsidR="00E65791" w:rsidRPr="003E0F4E" w:rsidRDefault="00E65791" w:rsidP="00E65791">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7DF51F72" w14:textId="77777777" w:rsidR="00E65791" w:rsidRPr="003E0F4E" w:rsidRDefault="00E65791" w:rsidP="00E65791">
            <w:pPr>
              <w:adjustRightInd w:val="0"/>
              <w:spacing w:before="50" w:after="50"/>
              <w:jc w:val="center"/>
              <w:rPr>
                <w:rFonts w:ascii="Arial" w:hAnsi="Arial" w:cs="Arial"/>
                <w:color w:val="000000"/>
                <w:sz w:val="20"/>
                <w:szCs w:val="20"/>
              </w:rPr>
            </w:pPr>
          </w:p>
        </w:tc>
      </w:tr>
      <w:tr w:rsidR="00E65791" w:rsidRPr="002A4FC0" w14:paraId="2DED748D" w14:textId="3FC4498E" w:rsidTr="00E65791">
        <w:trPr>
          <w:cantSplit/>
          <w:trHeight w:hRule="exact" w:val="443"/>
          <w:tblHeader/>
        </w:trPr>
        <w:tc>
          <w:tcPr>
            <w:tcW w:w="324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57DCEC8B" w14:textId="64422D68" w:rsidR="00E65791" w:rsidRPr="002A4FC0" w:rsidRDefault="00E65791" w:rsidP="00E65791">
            <w:pPr>
              <w:keepNext/>
              <w:adjustRightInd w:val="0"/>
              <w:spacing w:before="50" w:after="50"/>
              <w:rPr>
                <w:rFonts w:ascii="Arial" w:hAnsi="Arial" w:cs="Arial"/>
                <w:b/>
                <w:bCs/>
                <w:color w:val="000000"/>
                <w:sz w:val="20"/>
                <w:szCs w:val="20"/>
              </w:rPr>
            </w:pPr>
            <w:r w:rsidRPr="002A4FC0">
              <w:rPr>
                <w:rFonts w:ascii="Arial" w:hAnsi="Arial" w:cs="Arial"/>
                <w:b/>
                <w:bCs/>
                <w:color w:val="000000"/>
                <w:sz w:val="20"/>
                <w:szCs w:val="20"/>
              </w:rPr>
              <w:t>India Site, N</w:t>
            </w:r>
          </w:p>
        </w:tc>
        <w:tc>
          <w:tcPr>
            <w:tcW w:w="1800" w:type="dxa"/>
            <w:tcBorders>
              <w:top w:val="single" w:sz="4" w:space="0" w:color="000000"/>
              <w:left w:val="single" w:sz="4" w:space="0" w:color="000000"/>
              <w:bottom w:val="single" w:sz="4" w:space="0" w:color="000000"/>
              <w:right w:val="nil"/>
            </w:tcBorders>
            <w:shd w:val="clear" w:color="auto" w:fill="C2CDD6"/>
            <w:tcMar>
              <w:left w:w="50" w:type="dxa"/>
              <w:right w:w="50" w:type="dxa"/>
            </w:tcMar>
          </w:tcPr>
          <w:p w14:paraId="516B7ECA" w14:textId="5822D35F" w:rsidR="00E65791" w:rsidRPr="00720CF7" w:rsidRDefault="00E65791" w:rsidP="0094282B">
            <w:pPr>
              <w:keepNext/>
              <w:adjustRightInd w:val="0"/>
              <w:spacing w:before="50" w:after="50"/>
              <w:jc w:val="right"/>
              <w:rPr>
                <w:rFonts w:ascii="Arial" w:hAnsi="Arial" w:cs="Arial"/>
                <w:b/>
                <w:bCs/>
                <w:color w:val="000000"/>
                <w:sz w:val="20"/>
                <w:szCs w:val="20"/>
              </w:rPr>
            </w:pPr>
            <w:r w:rsidRPr="00720CF7">
              <w:rPr>
                <w:rFonts w:ascii="Arial" w:hAnsi="Arial" w:cs="Arial"/>
                <w:b/>
                <w:bCs/>
                <w:color w:val="000000"/>
                <w:sz w:val="20"/>
                <w:szCs w:val="20"/>
              </w:rPr>
              <w:t>17</w:t>
            </w:r>
            <w:r w:rsidR="00A1649F" w:rsidRPr="00720CF7">
              <w:rPr>
                <w:rFonts w:ascii="Arial" w:hAnsi="Arial" w:cs="Arial"/>
                <w:b/>
                <w:bCs/>
                <w:color w:val="000000"/>
                <w:sz w:val="20"/>
                <w:szCs w:val="20"/>
              </w:rPr>
              <w:t>7</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Mar>
              <w:left w:w="50" w:type="dxa"/>
              <w:right w:w="50" w:type="dxa"/>
            </w:tcMar>
          </w:tcPr>
          <w:p w14:paraId="23EBF39C" w14:textId="50148EB4" w:rsidR="00E65791" w:rsidRPr="00720CF7" w:rsidRDefault="00E65791" w:rsidP="0094282B">
            <w:pPr>
              <w:keepNext/>
              <w:adjustRightInd w:val="0"/>
              <w:spacing w:before="50" w:after="50"/>
              <w:jc w:val="right"/>
              <w:rPr>
                <w:rFonts w:ascii="Arial" w:hAnsi="Arial" w:cs="Arial"/>
                <w:b/>
                <w:bCs/>
                <w:color w:val="000000"/>
                <w:sz w:val="20"/>
                <w:szCs w:val="20"/>
              </w:rPr>
            </w:pPr>
            <w:r w:rsidRPr="00720CF7">
              <w:rPr>
                <w:rFonts w:ascii="Arial" w:hAnsi="Arial" w:cs="Arial"/>
                <w:b/>
                <w:bCs/>
                <w:color w:val="000000"/>
                <w:sz w:val="20"/>
                <w:szCs w:val="20"/>
              </w:rPr>
              <w:t>17</w:t>
            </w:r>
            <w:r w:rsidR="00A1649F" w:rsidRPr="00720CF7">
              <w:rPr>
                <w:rFonts w:ascii="Arial" w:hAnsi="Arial" w:cs="Arial"/>
                <w:b/>
                <w:bCs/>
                <w:color w:val="000000"/>
                <w:sz w:val="20"/>
                <w:szCs w:val="20"/>
              </w:rPr>
              <w:t>7</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Pr>
          <w:p w14:paraId="6846B136" w14:textId="77777777" w:rsidR="00E65791" w:rsidRPr="003E0F4E" w:rsidRDefault="00E65791" w:rsidP="00E65791">
            <w:pPr>
              <w:keepNext/>
              <w:adjustRightInd w:val="0"/>
              <w:spacing w:before="50" w:after="50"/>
              <w:jc w:val="center"/>
              <w:rPr>
                <w:rFonts w:ascii="Arial" w:hAnsi="Arial" w:cs="Arial"/>
                <w:color w:val="000000"/>
                <w:sz w:val="20"/>
                <w:szCs w:val="20"/>
              </w:rPr>
            </w:pPr>
          </w:p>
        </w:tc>
      </w:tr>
      <w:tr w:rsidR="003E0F4E" w:rsidRPr="002A4FC0" w14:paraId="6D8534CF" w14:textId="7B0962A5"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099D06A4" w14:textId="1DBC8D26"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 xml:space="preserve">RDS </w:t>
            </w:r>
            <w:r w:rsidR="00720CF7">
              <w:rPr>
                <w:rFonts w:ascii="Arial" w:hAnsi="Arial" w:cs="Arial"/>
                <w:color w:val="000000"/>
                <w:sz w:val="20"/>
                <w:szCs w:val="20"/>
              </w:rPr>
              <w:t>o</w:t>
            </w:r>
            <w:r w:rsidRPr="002A4FC0">
              <w:rPr>
                <w:rFonts w:ascii="Arial" w:hAnsi="Arial" w:cs="Arial"/>
                <w:color w:val="000000"/>
                <w:sz w:val="20"/>
                <w:szCs w:val="20"/>
              </w:rPr>
              <w:t>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681464A4" w14:textId="0F62614B"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64 (36.2)</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7165E814" w14:textId="1752ACFE"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85 (48.0)</w:t>
            </w:r>
          </w:p>
        </w:tc>
        <w:tc>
          <w:tcPr>
            <w:tcW w:w="1620" w:type="dxa"/>
            <w:tcBorders>
              <w:top w:val="nil"/>
              <w:left w:val="single" w:sz="4" w:space="0" w:color="000000"/>
              <w:bottom w:val="single" w:sz="4" w:space="0" w:color="000000"/>
              <w:right w:val="single" w:sz="4" w:space="0" w:color="000000"/>
            </w:tcBorders>
            <w:shd w:val="clear" w:color="auto" w:fill="FFFFFF"/>
          </w:tcPr>
          <w:p w14:paraId="321A41B6"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17527F16" w14:textId="3457C101" w:rsidTr="00E65791">
        <w:trPr>
          <w:cantSplit/>
          <w:trHeight w:val="37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2A47D89F" w14:textId="6E91432D"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 xml:space="preserve">Asphyxia </w:t>
            </w:r>
            <w:r w:rsidR="00720CF7">
              <w:rPr>
                <w:rFonts w:ascii="Arial" w:hAnsi="Arial" w:cs="Arial"/>
                <w:color w:val="000000"/>
                <w:sz w:val="20"/>
                <w:szCs w:val="20"/>
              </w:rPr>
              <w:t>o</w:t>
            </w:r>
            <w:r w:rsidRPr="002A4FC0">
              <w:rPr>
                <w:rFonts w:ascii="Arial" w:hAnsi="Arial" w:cs="Arial"/>
                <w:color w:val="000000"/>
                <w:sz w:val="20"/>
                <w:szCs w:val="20"/>
              </w:rPr>
              <w:t>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214E0323" w14:textId="324C1C1B"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28 (15.8)</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48DB121B" w14:textId="012B67B8"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13 (7.3)</w:t>
            </w:r>
          </w:p>
        </w:tc>
        <w:tc>
          <w:tcPr>
            <w:tcW w:w="1620" w:type="dxa"/>
            <w:tcBorders>
              <w:top w:val="nil"/>
              <w:left w:val="single" w:sz="4" w:space="0" w:color="000000"/>
              <w:bottom w:val="single" w:sz="4" w:space="0" w:color="000000"/>
              <w:right w:val="single" w:sz="4" w:space="0" w:color="000000"/>
            </w:tcBorders>
            <w:shd w:val="clear" w:color="auto" w:fill="FFFFFF"/>
          </w:tcPr>
          <w:p w14:paraId="25940DB2"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02BA8D3D" w14:textId="3BDE2055"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52E22A56" w14:textId="512EC01C"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Both RDS and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497EF9B0" w14:textId="413D93F9"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62 (35.0)</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73DA39D" w14:textId="49926C1C"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47 (26.6)</w:t>
            </w:r>
          </w:p>
        </w:tc>
        <w:tc>
          <w:tcPr>
            <w:tcW w:w="1620" w:type="dxa"/>
            <w:tcBorders>
              <w:top w:val="nil"/>
              <w:left w:val="single" w:sz="4" w:space="0" w:color="000000"/>
              <w:bottom w:val="single" w:sz="4" w:space="0" w:color="000000"/>
              <w:right w:val="single" w:sz="4" w:space="0" w:color="000000"/>
            </w:tcBorders>
            <w:shd w:val="clear" w:color="auto" w:fill="FFFFFF"/>
          </w:tcPr>
          <w:p w14:paraId="538B3F55"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30006E79" w14:textId="200993A5"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49C91069" w14:textId="757FE084"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Neither RDS Nor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41876F47" w14:textId="6A9F626A"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23 (13.0)</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3C4CD30" w14:textId="3B350BE1"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32 (18.1)</w:t>
            </w:r>
          </w:p>
        </w:tc>
        <w:tc>
          <w:tcPr>
            <w:tcW w:w="1620" w:type="dxa"/>
            <w:tcBorders>
              <w:top w:val="nil"/>
              <w:left w:val="single" w:sz="4" w:space="0" w:color="000000"/>
              <w:bottom w:val="single" w:sz="4" w:space="0" w:color="000000"/>
              <w:right w:val="single" w:sz="4" w:space="0" w:color="000000"/>
            </w:tcBorders>
            <w:shd w:val="clear" w:color="auto" w:fill="FFFFFF"/>
          </w:tcPr>
          <w:p w14:paraId="2A71ECC5" w14:textId="6322D120"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21D37570" w14:textId="6F951482"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1B9AEF1A" w14:textId="77777777" w:rsidR="003E0F4E" w:rsidRPr="003E0F4E" w:rsidRDefault="003E0F4E" w:rsidP="003E0F4E">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4540C25A" w14:textId="77777777" w:rsidR="003E0F4E" w:rsidRPr="003E0F4E" w:rsidRDefault="003E0F4E" w:rsidP="003E0F4E">
            <w:pPr>
              <w:adjustRightInd w:val="0"/>
              <w:spacing w:before="50" w:after="50"/>
              <w:jc w:val="center"/>
              <w:rPr>
                <w:rFonts w:ascii="Arial" w:hAnsi="Arial" w:cs="Arial"/>
                <w:color w:val="000000"/>
                <w:sz w:val="20"/>
                <w:szCs w:val="20"/>
              </w:rPr>
            </w:pPr>
          </w:p>
        </w:tc>
      </w:tr>
      <w:tr w:rsidR="003E0F4E" w:rsidRPr="002A4FC0" w14:paraId="2BA6363C" w14:textId="606CCBBD" w:rsidTr="00E65791">
        <w:trPr>
          <w:cantSplit/>
          <w:trHeight w:val="37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484D1DFB" w14:textId="60369127"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RDS</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51840D49" w14:textId="4101BC4C"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126 (71.2)</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51FE80F6" w14:textId="22ACCC3E"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132 (74.6)</w:t>
            </w:r>
          </w:p>
        </w:tc>
        <w:tc>
          <w:tcPr>
            <w:tcW w:w="1620" w:type="dxa"/>
            <w:tcBorders>
              <w:top w:val="nil"/>
              <w:left w:val="single" w:sz="4" w:space="0" w:color="000000"/>
              <w:bottom w:val="single" w:sz="4" w:space="0" w:color="000000"/>
              <w:right w:val="single" w:sz="4" w:space="0" w:color="000000"/>
            </w:tcBorders>
            <w:shd w:val="clear" w:color="auto" w:fill="FFFFFF"/>
          </w:tcPr>
          <w:p w14:paraId="48D0F1B8" w14:textId="1A7597B7"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4632C43F" w14:textId="12D5F471"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227B5F9C" w14:textId="7081E1F2"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720FA5E8" w14:textId="3AD48C52"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90 (50.8)</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5D5CA4FF" w14:textId="3EC7D462"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60 (33.9)</w:t>
            </w:r>
          </w:p>
        </w:tc>
        <w:tc>
          <w:tcPr>
            <w:tcW w:w="1620" w:type="dxa"/>
            <w:tcBorders>
              <w:top w:val="nil"/>
              <w:left w:val="single" w:sz="4" w:space="0" w:color="000000"/>
              <w:bottom w:val="single" w:sz="4" w:space="0" w:color="000000"/>
              <w:right w:val="single" w:sz="4" w:space="0" w:color="000000"/>
            </w:tcBorders>
            <w:shd w:val="clear" w:color="auto" w:fill="FFFFFF"/>
          </w:tcPr>
          <w:p w14:paraId="350F494D" w14:textId="21BA65FF"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E65791" w:rsidRPr="002A4FC0" w14:paraId="14AB244F" w14:textId="267BD5EE"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249F7729" w14:textId="77777777" w:rsidR="00E65791" w:rsidRPr="003E0F4E" w:rsidRDefault="00E65791" w:rsidP="00E65791">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77CAE5D2" w14:textId="77777777" w:rsidR="00E65791" w:rsidRPr="003E0F4E" w:rsidRDefault="00E65791" w:rsidP="00E65791">
            <w:pPr>
              <w:adjustRightInd w:val="0"/>
              <w:spacing w:before="50" w:after="50"/>
              <w:jc w:val="center"/>
              <w:rPr>
                <w:rFonts w:ascii="Arial" w:hAnsi="Arial" w:cs="Arial"/>
                <w:color w:val="000000"/>
                <w:sz w:val="20"/>
                <w:szCs w:val="20"/>
              </w:rPr>
            </w:pPr>
          </w:p>
        </w:tc>
      </w:tr>
      <w:tr w:rsidR="00E65791" w:rsidRPr="002A4FC0" w14:paraId="067E60C2" w14:textId="3DDFABBD"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049C97F6" w14:textId="77777777" w:rsidR="00E65791" w:rsidRPr="003E0F4E" w:rsidRDefault="00E65791" w:rsidP="00E65791">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48CC54A4" w14:textId="77777777" w:rsidR="00E65791" w:rsidRPr="003E0F4E" w:rsidRDefault="00E65791" w:rsidP="00E65791">
            <w:pPr>
              <w:adjustRightInd w:val="0"/>
              <w:spacing w:before="50" w:after="50"/>
              <w:jc w:val="center"/>
              <w:rPr>
                <w:rFonts w:ascii="Arial" w:hAnsi="Arial" w:cs="Arial"/>
                <w:color w:val="000000"/>
                <w:sz w:val="20"/>
                <w:szCs w:val="20"/>
              </w:rPr>
            </w:pPr>
          </w:p>
        </w:tc>
      </w:tr>
      <w:tr w:rsidR="00E65791" w:rsidRPr="002A4FC0" w14:paraId="1CF1BF6F" w14:textId="61D7EF64" w:rsidTr="00E65791">
        <w:trPr>
          <w:cantSplit/>
          <w:trHeight w:hRule="exact" w:val="443"/>
          <w:tblHeader/>
        </w:trPr>
        <w:tc>
          <w:tcPr>
            <w:tcW w:w="3240" w:type="dxa"/>
            <w:tcBorders>
              <w:top w:val="single" w:sz="4" w:space="0" w:color="000000"/>
              <w:left w:val="single" w:sz="4" w:space="0" w:color="000000"/>
              <w:bottom w:val="single" w:sz="4" w:space="0" w:color="000000"/>
              <w:right w:val="nil"/>
            </w:tcBorders>
            <w:shd w:val="clear" w:color="auto" w:fill="C2CDD6"/>
            <w:tcMar>
              <w:left w:w="50" w:type="dxa"/>
              <w:right w:w="50" w:type="dxa"/>
            </w:tcMar>
            <w:vAlign w:val="center"/>
          </w:tcPr>
          <w:p w14:paraId="3952A248" w14:textId="040B1E0D" w:rsidR="00E65791" w:rsidRPr="002A4FC0" w:rsidRDefault="00E65791" w:rsidP="00E65791">
            <w:pPr>
              <w:keepNext/>
              <w:adjustRightInd w:val="0"/>
              <w:spacing w:before="50" w:after="50"/>
              <w:rPr>
                <w:rFonts w:ascii="Arial" w:hAnsi="Arial" w:cs="Arial"/>
                <w:b/>
                <w:bCs/>
                <w:color w:val="000000"/>
                <w:sz w:val="20"/>
                <w:szCs w:val="20"/>
              </w:rPr>
            </w:pPr>
            <w:r w:rsidRPr="002A4FC0">
              <w:rPr>
                <w:rFonts w:ascii="Arial" w:hAnsi="Arial" w:cs="Arial"/>
                <w:b/>
                <w:bCs/>
                <w:color w:val="000000"/>
                <w:sz w:val="20"/>
                <w:szCs w:val="20"/>
              </w:rPr>
              <w:t>Pakistan Site, N</w:t>
            </w:r>
          </w:p>
        </w:tc>
        <w:tc>
          <w:tcPr>
            <w:tcW w:w="1800" w:type="dxa"/>
            <w:tcBorders>
              <w:top w:val="single" w:sz="4" w:space="0" w:color="000000"/>
              <w:left w:val="single" w:sz="4" w:space="0" w:color="000000"/>
              <w:bottom w:val="single" w:sz="4" w:space="0" w:color="000000"/>
              <w:right w:val="nil"/>
            </w:tcBorders>
            <w:shd w:val="clear" w:color="auto" w:fill="C2CDD6"/>
            <w:tcMar>
              <w:left w:w="50" w:type="dxa"/>
              <w:right w:w="50" w:type="dxa"/>
            </w:tcMar>
          </w:tcPr>
          <w:p w14:paraId="322879A7" w14:textId="60F978E5" w:rsidR="00E65791" w:rsidRPr="00720CF7" w:rsidRDefault="00A1649F" w:rsidP="0094282B">
            <w:pPr>
              <w:keepNext/>
              <w:adjustRightInd w:val="0"/>
              <w:spacing w:before="50" w:after="50"/>
              <w:jc w:val="right"/>
              <w:rPr>
                <w:rFonts w:ascii="Arial" w:hAnsi="Arial" w:cs="Arial"/>
                <w:b/>
                <w:bCs/>
                <w:color w:val="000000"/>
                <w:sz w:val="20"/>
                <w:szCs w:val="20"/>
              </w:rPr>
            </w:pPr>
            <w:r w:rsidRPr="00720CF7">
              <w:rPr>
                <w:rFonts w:ascii="Arial" w:hAnsi="Arial" w:cs="Arial"/>
                <w:b/>
                <w:bCs/>
                <w:color w:val="000000"/>
                <w:sz w:val="20"/>
                <w:szCs w:val="20"/>
              </w:rPr>
              <w:t>233</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Mar>
              <w:left w:w="50" w:type="dxa"/>
              <w:right w:w="50" w:type="dxa"/>
            </w:tcMar>
          </w:tcPr>
          <w:p w14:paraId="55CFB8CF" w14:textId="5617BDA3" w:rsidR="00E65791" w:rsidRPr="00720CF7" w:rsidRDefault="00A1649F" w:rsidP="0094282B">
            <w:pPr>
              <w:keepNext/>
              <w:adjustRightInd w:val="0"/>
              <w:spacing w:before="50" w:after="50"/>
              <w:jc w:val="right"/>
              <w:rPr>
                <w:rFonts w:ascii="Arial" w:hAnsi="Arial" w:cs="Arial"/>
                <w:b/>
                <w:bCs/>
                <w:color w:val="000000"/>
                <w:sz w:val="20"/>
                <w:szCs w:val="20"/>
              </w:rPr>
            </w:pPr>
            <w:r w:rsidRPr="00720CF7">
              <w:rPr>
                <w:rFonts w:ascii="Arial" w:hAnsi="Arial" w:cs="Arial"/>
                <w:b/>
                <w:bCs/>
                <w:color w:val="000000"/>
                <w:sz w:val="20"/>
                <w:szCs w:val="20"/>
              </w:rPr>
              <w:t>233</w:t>
            </w:r>
          </w:p>
        </w:tc>
        <w:tc>
          <w:tcPr>
            <w:tcW w:w="1620" w:type="dxa"/>
            <w:tcBorders>
              <w:top w:val="single" w:sz="4" w:space="0" w:color="000000"/>
              <w:left w:val="single" w:sz="4" w:space="0" w:color="000000"/>
              <w:bottom w:val="single" w:sz="4" w:space="0" w:color="000000"/>
              <w:right w:val="single" w:sz="4" w:space="0" w:color="000000"/>
            </w:tcBorders>
            <w:shd w:val="clear" w:color="auto" w:fill="C2CDD6"/>
          </w:tcPr>
          <w:p w14:paraId="3407CB09" w14:textId="77777777" w:rsidR="00E65791" w:rsidRPr="003E0F4E" w:rsidRDefault="00E65791" w:rsidP="0094282B">
            <w:pPr>
              <w:keepNext/>
              <w:adjustRightInd w:val="0"/>
              <w:spacing w:before="50" w:after="50"/>
              <w:jc w:val="right"/>
              <w:rPr>
                <w:rFonts w:ascii="Arial" w:hAnsi="Arial" w:cs="Arial"/>
                <w:color w:val="000000"/>
                <w:sz w:val="20"/>
                <w:szCs w:val="20"/>
              </w:rPr>
            </w:pPr>
          </w:p>
        </w:tc>
      </w:tr>
      <w:tr w:rsidR="003E0F4E" w:rsidRPr="002A4FC0" w14:paraId="3EEE08B0" w14:textId="2A04EDD7" w:rsidTr="00E65791">
        <w:trPr>
          <w:cantSplit/>
          <w:trHeight w:val="37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0149BDD3" w14:textId="5F639AA3"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RDS Only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0503F97C" w14:textId="42DB46C7"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48 (20.6)</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0486B583" w14:textId="689F2B48"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209 (89.7)</w:t>
            </w:r>
          </w:p>
        </w:tc>
        <w:tc>
          <w:tcPr>
            <w:tcW w:w="1620" w:type="dxa"/>
            <w:tcBorders>
              <w:top w:val="nil"/>
              <w:left w:val="single" w:sz="4" w:space="0" w:color="000000"/>
              <w:bottom w:val="single" w:sz="4" w:space="0" w:color="000000"/>
              <w:right w:val="single" w:sz="4" w:space="0" w:color="000000"/>
            </w:tcBorders>
            <w:shd w:val="clear" w:color="auto" w:fill="FFFFFF"/>
          </w:tcPr>
          <w:p w14:paraId="1A251538"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6589575E" w14:textId="1BABBD18"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4CD014F1" w14:textId="4793EA01"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Asphyxia Only</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65C0311F" w14:textId="35845657"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111 (47.6)</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19296EB8" w14:textId="2A894786"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 (0.4)</w:t>
            </w:r>
          </w:p>
        </w:tc>
        <w:tc>
          <w:tcPr>
            <w:tcW w:w="1620" w:type="dxa"/>
            <w:tcBorders>
              <w:top w:val="nil"/>
              <w:left w:val="single" w:sz="4" w:space="0" w:color="000000"/>
              <w:bottom w:val="single" w:sz="4" w:space="0" w:color="000000"/>
              <w:right w:val="single" w:sz="4" w:space="0" w:color="000000"/>
            </w:tcBorders>
            <w:shd w:val="clear" w:color="auto" w:fill="FFFFFF"/>
          </w:tcPr>
          <w:p w14:paraId="2681FA97"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78B33FEC" w14:textId="63774786"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60E998C6" w14:textId="7938AA38"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Both RDS and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7C96C5C8" w14:textId="0E4C1B46"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35 (15.0)</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3F2E9267" w14:textId="7135C6EB"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0 (0.0)</w:t>
            </w:r>
          </w:p>
        </w:tc>
        <w:tc>
          <w:tcPr>
            <w:tcW w:w="1620" w:type="dxa"/>
            <w:tcBorders>
              <w:top w:val="nil"/>
              <w:left w:val="single" w:sz="4" w:space="0" w:color="000000"/>
              <w:bottom w:val="single" w:sz="4" w:space="0" w:color="000000"/>
              <w:right w:val="single" w:sz="4" w:space="0" w:color="000000"/>
            </w:tcBorders>
            <w:shd w:val="clear" w:color="auto" w:fill="FFFFFF"/>
          </w:tcPr>
          <w:p w14:paraId="71FFC342" w14:textId="77777777" w:rsidR="003E0F4E" w:rsidRPr="003E0F4E" w:rsidRDefault="003E0F4E" w:rsidP="003E0F4E">
            <w:pPr>
              <w:adjustRightInd w:val="0"/>
              <w:spacing w:before="50" w:after="50"/>
              <w:jc w:val="right"/>
              <w:rPr>
                <w:rFonts w:ascii="Arial" w:hAnsi="Arial" w:cs="Arial"/>
                <w:color w:val="000000"/>
                <w:sz w:val="20"/>
                <w:szCs w:val="20"/>
              </w:rPr>
            </w:pPr>
          </w:p>
        </w:tc>
      </w:tr>
      <w:tr w:rsidR="003E0F4E" w:rsidRPr="002A4FC0" w14:paraId="5C61C861" w14:textId="7BF2A42C" w:rsidTr="00E65791">
        <w:trPr>
          <w:cantSplit/>
          <w:trHeight w:val="37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0FA83E05" w14:textId="41F3BD65"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Neither RDS Nor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445FEDE7" w14:textId="71DBA54E"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39 (16.7)</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F369794" w14:textId="44EF6EC8"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23 (9.9)</w:t>
            </w:r>
          </w:p>
        </w:tc>
        <w:tc>
          <w:tcPr>
            <w:tcW w:w="1620" w:type="dxa"/>
            <w:tcBorders>
              <w:top w:val="nil"/>
              <w:left w:val="single" w:sz="4" w:space="0" w:color="000000"/>
              <w:bottom w:val="single" w:sz="4" w:space="0" w:color="000000"/>
              <w:right w:val="single" w:sz="4" w:space="0" w:color="000000"/>
            </w:tcBorders>
            <w:shd w:val="clear" w:color="auto" w:fill="FFFFFF"/>
          </w:tcPr>
          <w:p w14:paraId="26912D16" w14:textId="65FFE974"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775C21D7" w14:textId="2A7B7DA2" w:rsidTr="00E65791">
        <w:trPr>
          <w:cantSplit/>
          <w:trHeight w:hRule="exact" w:val="109"/>
        </w:trPr>
        <w:tc>
          <w:tcPr>
            <w:tcW w:w="6660" w:type="dxa"/>
            <w:gridSpan w:val="3"/>
            <w:tcBorders>
              <w:top w:val="nil"/>
              <w:left w:val="single" w:sz="4" w:space="0" w:color="000000"/>
              <w:bottom w:val="single" w:sz="4" w:space="0" w:color="000000"/>
              <w:right w:val="single" w:sz="4" w:space="0" w:color="000000"/>
            </w:tcBorders>
            <w:shd w:val="clear" w:color="auto" w:fill="999999"/>
            <w:tcMar>
              <w:left w:w="50" w:type="dxa"/>
              <w:right w:w="50" w:type="dxa"/>
            </w:tcMar>
          </w:tcPr>
          <w:p w14:paraId="2E51133F" w14:textId="77777777" w:rsidR="003E0F4E" w:rsidRPr="003E0F4E" w:rsidRDefault="003E0F4E" w:rsidP="003E0F4E">
            <w:pPr>
              <w:adjustRightInd w:val="0"/>
              <w:spacing w:before="50" w:after="50"/>
              <w:jc w:val="center"/>
              <w:rPr>
                <w:rFonts w:ascii="Arial" w:hAnsi="Arial" w:cs="Arial"/>
                <w:color w:val="000000"/>
                <w:sz w:val="20"/>
                <w:szCs w:val="20"/>
              </w:rPr>
            </w:pPr>
          </w:p>
        </w:tc>
        <w:tc>
          <w:tcPr>
            <w:tcW w:w="1620" w:type="dxa"/>
            <w:tcBorders>
              <w:top w:val="nil"/>
              <w:left w:val="single" w:sz="4" w:space="0" w:color="000000"/>
              <w:bottom w:val="single" w:sz="4" w:space="0" w:color="000000"/>
              <w:right w:val="single" w:sz="4" w:space="0" w:color="000000"/>
            </w:tcBorders>
            <w:shd w:val="clear" w:color="auto" w:fill="999999"/>
          </w:tcPr>
          <w:p w14:paraId="5E8F851E" w14:textId="77777777" w:rsidR="003E0F4E" w:rsidRPr="003E0F4E" w:rsidRDefault="003E0F4E" w:rsidP="003E0F4E">
            <w:pPr>
              <w:adjustRightInd w:val="0"/>
              <w:spacing w:before="50" w:after="50"/>
              <w:jc w:val="center"/>
              <w:rPr>
                <w:rFonts w:ascii="Arial" w:hAnsi="Arial" w:cs="Arial"/>
                <w:color w:val="000000"/>
                <w:sz w:val="20"/>
                <w:szCs w:val="20"/>
              </w:rPr>
            </w:pPr>
          </w:p>
        </w:tc>
      </w:tr>
      <w:tr w:rsidR="003E0F4E" w:rsidRPr="002A4FC0" w14:paraId="0E35371B" w14:textId="42F2C4DD"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248B19A9" w14:textId="2D4FD75D"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RDS</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0764393F" w14:textId="4A97A71C"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83 (35.6)</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AF4D8FD" w14:textId="1AA585C5"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209 (89.7)</w:t>
            </w:r>
          </w:p>
        </w:tc>
        <w:tc>
          <w:tcPr>
            <w:tcW w:w="1620" w:type="dxa"/>
            <w:tcBorders>
              <w:top w:val="nil"/>
              <w:left w:val="single" w:sz="4" w:space="0" w:color="000000"/>
              <w:bottom w:val="single" w:sz="4" w:space="0" w:color="000000"/>
              <w:right w:val="single" w:sz="4" w:space="0" w:color="000000"/>
            </w:tcBorders>
            <w:shd w:val="clear" w:color="auto" w:fill="FFFFFF"/>
          </w:tcPr>
          <w:p w14:paraId="76771A83" w14:textId="2BAF1E3F"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r w:rsidR="003E0F4E" w:rsidRPr="002A4FC0" w14:paraId="61E02D91" w14:textId="524117B0" w:rsidTr="00E65791">
        <w:trPr>
          <w:cantSplit/>
          <w:trHeight w:val="363"/>
        </w:trPr>
        <w:tc>
          <w:tcPr>
            <w:tcW w:w="3240" w:type="dxa"/>
            <w:tcBorders>
              <w:top w:val="nil"/>
              <w:left w:val="single" w:sz="4" w:space="0" w:color="000000"/>
              <w:bottom w:val="single" w:sz="4" w:space="0" w:color="000000"/>
              <w:right w:val="nil"/>
            </w:tcBorders>
            <w:shd w:val="clear" w:color="auto" w:fill="FFFFFF"/>
            <w:tcMar>
              <w:left w:w="50" w:type="dxa"/>
              <w:right w:w="50" w:type="dxa"/>
            </w:tcMar>
          </w:tcPr>
          <w:p w14:paraId="2A8FCE71" w14:textId="7C86B6F3" w:rsidR="003E0F4E" w:rsidRPr="002A4FC0" w:rsidRDefault="003E0F4E" w:rsidP="003E0F4E">
            <w:pPr>
              <w:adjustRightInd w:val="0"/>
              <w:spacing w:before="50" w:after="50"/>
              <w:rPr>
                <w:rFonts w:ascii="Arial" w:hAnsi="Arial" w:cs="Arial"/>
                <w:color w:val="000000"/>
                <w:sz w:val="20"/>
                <w:szCs w:val="20"/>
              </w:rPr>
            </w:pPr>
            <w:r w:rsidRPr="002A4FC0">
              <w:rPr>
                <w:rFonts w:ascii="Arial" w:hAnsi="Arial" w:cs="Arial"/>
                <w:color w:val="000000"/>
                <w:sz w:val="20"/>
                <w:szCs w:val="20"/>
              </w:rPr>
              <w:t>ANY Asphyxia</w:t>
            </w:r>
            <w:r w:rsidR="00C13581">
              <w:rPr>
                <w:rFonts w:ascii="Arial" w:hAnsi="Arial" w:cs="Arial"/>
                <w:color w:val="000000"/>
                <w:sz w:val="20"/>
                <w:szCs w:val="20"/>
              </w:rPr>
              <w:t xml:space="preserve">, </w:t>
            </w:r>
            <w:r w:rsidR="00C13581" w:rsidRPr="002A4FC0">
              <w:rPr>
                <w:rFonts w:ascii="Arial" w:hAnsi="Arial" w:cs="Arial"/>
                <w:color w:val="000000"/>
                <w:sz w:val="20"/>
                <w:szCs w:val="20"/>
              </w:rPr>
              <w:t>n (%)</w:t>
            </w:r>
          </w:p>
        </w:tc>
        <w:tc>
          <w:tcPr>
            <w:tcW w:w="1800" w:type="dxa"/>
            <w:tcBorders>
              <w:top w:val="nil"/>
              <w:left w:val="single" w:sz="4" w:space="0" w:color="000000"/>
              <w:bottom w:val="single" w:sz="4" w:space="0" w:color="000000"/>
              <w:right w:val="nil"/>
            </w:tcBorders>
            <w:shd w:val="clear" w:color="auto" w:fill="FFFFFF"/>
            <w:tcMar>
              <w:left w:w="50" w:type="dxa"/>
              <w:right w:w="50" w:type="dxa"/>
            </w:tcMar>
          </w:tcPr>
          <w:p w14:paraId="69EF9167" w14:textId="1A491F6B"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146 (62.7)</w:t>
            </w:r>
          </w:p>
        </w:tc>
        <w:tc>
          <w:tcPr>
            <w:tcW w:w="1620" w:type="dxa"/>
            <w:tcBorders>
              <w:top w:val="nil"/>
              <w:left w:val="single" w:sz="4" w:space="0" w:color="000000"/>
              <w:bottom w:val="single" w:sz="4" w:space="0" w:color="000000"/>
              <w:right w:val="single" w:sz="4" w:space="0" w:color="000000"/>
            </w:tcBorders>
            <w:shd w:val="clear" w:color="auto" w:fill="FFFFFF"/>
            <w:tcMar>
              <w:left w:w="50" w:type="dxa"/>
              <w:right w:w="50" w:type="dxa"/>
            </w:tcMar>
          </w:tcPr>
          <w:p w14:paraId="26A9F9C8" w14:textId="79CA1EF9"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1 (0.4)</w:t>
            </w:r>
          </w:p>
        </w:tc>
        <w:tc>
          <w:tcPr>
            <w:tcW w:w="1620" w:type="dxa"/>
            <w:tcBorders>
              <w:top w:val="nil"/>
              <w:left w:val="single" w:sz="4" w:space="0" w:color="000000"/>
              <w:bottom w:val="single" w:sz="4" w:space="0" w:color="000000"/>
              <w:right w:val="single" w:sz="4" w:space="0" w:color="000000"/>
            </w:tcBorders>
            <w:shd w:val="clear" w:color="auto" w:fill="FFFFFF"/>
          </w:tcPr>
          <w:p w14:paraId="26369DC5" w14:textId="2AC1497D" w:rsidR="003E0F4E" w:rsidRPr="003E0F4E" w:rsidRDefault="003E0F4E" w:rsidP="003E0F4E">
            <w:pPr>
              <w:adjustRightInd w:val="0"/>
              <w:spacing w:before="50" w:after="50"/>
              <w:jc w:val="right"/>
              <w:rPr>
                <w:rFonts w:ascii="Arial" w:hAnsi="Arial" w:cs="Arial"/>
                <w:color w:val="000000"/>
                <w:sz w:val="20"/>
                <w:szCs w:val="20"/>
              </w:rPr>
            </w:pPr>
            <w:r w:rsidRPr="003E0F4E">
              <w:rPr>
                <w:rFonts w:ascii="Arial" w:hAnsi="Arial" w:cs="Arial"/>
                <w:color w:val="000000"/>
                <w:sz w:val="20"/>
                <w:szCs w:val="20"/>
              </w:rPr>
              <w:t>&lt;0.05</w:t>
            </w:r>
          </w:p>
        </w:tc>
      </w:tr>
    </w:tbl>
    <w:p w14:paraId="7993AC78" w14:textId="58CF3142" w:rsidR="00B63274" w:rsidRPr="002A4FC0" w:rsidRDefault="00B63274"/>
    <w:p w14:paraId="3004A599" w14:textId="77777777" w:rsidR="006D204A" w:rsidRPr="002A4FC0" w:rsidRDefault="007D214E" w:rsidP="006D204A">
      <w:pPr>
        <w:rPr>
          <w:b/>
        </w:rPr>
      </w:pPr>
      <w:r w:rsidRPr="002A4FC0">
        <w:br w:type="page"/>
      </w:r>
      <w:r w:rsidR="006D204A" w:rsidRPr="002A4FC0">
        <w:rPr>
          <w:b/>
        </w:rPr>
        <w:t>References</w:t>
      </w:r>
    </w:p>
    <w:p w14:paraId="3D51BAAB" w14:textId="6A12F0DC" w:rsidR="006D204A" w:rsidRPr="002A4FC0" w:rsidRDefault="006D204A" w:rsidP="006D204A">
      <w:pPr>
        <w:pStyle w:val="ListParagraph"/>
        <w:numPr>
          <w:ilvl w:val="0"/>
          <w:numId w:val="2"/>
        </w:numPr>
      </w:pPr>
      <w:r w:rsidRPr="002A4FC0">
        <w:t xml:space="preserve">Liu L, </w:t>
      </w:r>
      <w:proofErr w:type="spellStart"/>
      <w:r w:rsidRPr="002A4FC0">
        <w:t>Oza</w:t>
      </w:r>
      <w:proofErr w:type="spellEnd"/>
      <w:r w:rsidRPr="002A4FC0">
        <w:t xml:space="preserve"> S, Hogan D, Chu Y, </w:t>
      </w:r>
      <w:proofErr w:type="spellStart"/>
      <w:r w:rsidRPr="002A4FC0">
        <w:t>Perin</w:t>
      </w:r>
      <w:proofErr w:type="spellEnd"/>
      <w:r w:rsidRPr="002A4FC0">
        <w:t xml:space="preserve"> J, Zhu J, et al. Global, regional, and national causes of under-5 mortality in 2000-15: an updated systematic analysis with implications for the Sustainable Development Goals. Lancet. 2016 Dec 17;388(10063):3027-3035.</w:t>
      </w:r>
    </w:p>
    <w:p w14:paraId="03731508" w14:textId="037AA8CD" w:rsidR="006D204A" w:rsidRPr="002A4FC0" w:rsidRDefault="006D204A" w:rsidP="006D204A">
      <w:pPr>
        <w:pStyle w:val="ListParagraph"/>
        <w:numPr>
          <w:ilvl w:val="0"/>
          <w:numId w:val="2"/>
        </w:numPr>
      </w:pPr>
      <w:proofErr w:type="spellStart"/>
      <w:r w:rsidRPr="002A4FC0">
        <w:t>Chawanpaiboon</w:t>
      </w:r>
      <w:proofErr w:type="spellEnd"/>
      <w:r w:rsidRPr="002A4FC0">
        <w:t xml:space="preserve"> S, Vogel JP, Moller AB, </w:t>
      </w:r>
      <w:proofErr w:type="spellStart"/>
      <w:r w:rsidRPr="002A4FC0">
        <w:t>Lumbiganon</w:t>
      </w:r>
      <w:proofErr w:type="spellEnd"/>
      <w:r w:rsidRPr="002A4FC0">
        <w:t xml:space="preserve"> P, </w:t>
      </w:r>
      <w:proofErr w:type="spellStart"/>
      <w:r w:rsidRPr="002A4FC0">
        <w:t>Petzold</w:t>
      </w:r>
      <w:proofErr w:type="spellEnd"/>
      <w:r w:rsidRPr="002A4FC0">
        <w:t xml:space="preserve"> M, Hogan D, et al. Global, regional, and national estimates of levels of preterm birth in 2014: a systematic review and modelling analysis. Lancet Glob Health. 2019;7(1):e37-e46.</w:t>
      </w:r>
    </w:p>
    <w:p w14:paraId="70FA7E63" w14:textId="65682549" w:rsidR="006D204A" w:rsidRPr="002A4FC0" w:rsidRDefault="006D204A" w:rsidP="006D204A">
      <w:pPr>
        <w:pStyle w:val="ListParagraph"/>
        <w:numPr>
          <w:ilvl w:val="0"/>
          <w:numId w:val="2"/>
        </w:numPr>
      </w:pPr>
      <w:proofErr w:type="spellStart"/>
      <w:r w:rsidRPr="002A4FC0">
        <w:t>Oza</w:t>
      </w:r>
      <w:proofErr w:type="spellEnd"/>
      <w:r w:rsidRPr="002A4FC0">
        <w:t xml:space="preserve"> S, Lawn JE, Hogan DR, Mathers C, Cousens SN. Neonatal cause-of-death estimates for the early and late neonatal periods for 194 countries: 2000-2013.Bull World Health Organ. 2015 Jan 1;93(1):19-28.</w:t>
      </w:r>
    </w:p>
    <w:p w14:paraId="54CF9BCB" w14:textId="2A89441C" w:rsidR="006D204A" w:rsidRPr="002A4FC0" w:rsidRDefault="006D204A" w:rsidP="006D204A">
      <w:pPr>
        <w:pStyle w:val="ListParagraph"/>
        <w:numPr>
          <w:ilvl w:val="0"/>
          <w:numId w:val="2"/>
        </w:numPr>
      </w:pPr>
      <w:r w:rsidRPr="002A4FC0">
        <w:t xml:space="preserve">Allanson ER, Vogel JP, </w:t>
      </w:r>
      <w:proofErr w:type="spellStart"/>
      <w:r w:rsidRPr="002A4FC0">
        <w:t>Tunçalp</w:t>
      </w:r>
      <w:proofErr w:type="spellEnd"/>
      <w:r w:rsidRPr="002A4FC0">
        <w:t xml:space="preserve"> Ӧ, </w:t>
      </w:r>
      <w:proofErr w:type="spellStart"/>
      <w:r w:rsidRPr="002A4FC0">
        <w:t>Gardosi</w:t>
      </w:r>
      <w:proofErr w:type="spellEnd"/>
      <w:r w:rsidRPr="002A4FC0">
        <w:t xml:space="preserve"> J, Pattinson RC, Francis A, et al</w:t>
      </w:r>
      <w:r w:rsidR="004B6DA8">
        <w:t>.</w:t>
      </w:r>
      <w:r w:rsidRPr="002A4FC0">
        <w:t xml:space="preserve"> Application of ICD-PM to preterm-related neonatal deaths in South Africa and United Kingdom. BJOG. 2016; 123(12):2029-2036.</w:t>
      </w:r>
    </w:p>
    <w:p w14:paraId="3B989017" w14:textId="1F7DF374" w:rsidR="006D204A" w:rsidRPr="002A4FC0" w:rsidRDefault="006D204A" w:rsidP="006D204A">
      <w:pPr>
        <w:pStyle w:val="ListParagraph"/>
        <w:numPr>
          <w:ilvl w:val="0"/>
          <w:numId w:val="2"/>
        </w:numPr>
      </w:pPr>
      <w:r w:rsidRPr="002A4FC0">
        <w:t xml:space="preserve">Dhaded SM, </w:t>
      </w:r>
      <w:proofErr w:type="spellStart"/>
      <w:r w:rsidRPr="002A4FC0">
        <w:t>Somannavar</w:t>
      </w:r>
      <w:proofErr w:type="spellEnd"/>
      <w:r w:rsidRPr="002A4FC0">
        <w:t xml:space="preserve"> MS, Moore JL, McClure EM, </w:t>
      </w:r>
      <w:proofErr w:type="spellStart"/>
      <w:r w:rsidRPr="002A4FC0">
        <w:t>Vernekar</w:t>
      </w:r>
      <w:proofErr w:type="spellEnd"/>
      <w:r w:rsidRPr="002A4FC0">
        <w:t xml:space="preserve"> SS, </w:t>
      </w:r>
      <w:proofErr w:type="spellStart"/>
      <w:r w:rsidRPr="002A4FC0">
        <w:t>Yogeshkumar</w:t>
      </w:r>
      <w:proofErr w:type="spellEnd"/>
      <w:r w:rsidRPr="002A4FC0">
        <w:t xml:space="preserve"> S, et al. Neonatal deaths in rural Karnataka, India 2014-2018: a prospective population-based observational study in a low-resource setting. </w:t>
      </w:r>
      <w:proofErr w:type="spellStart"/>
      <w:r w:rsidRPr="002A4FC0">
        <w:t>Reprod</w:t>
      </w:r>
      <w:proofErr w:type="spellEnd"/>
      <w:r w:rsidRPr="002A4FC0">
        <w:t xml:space="preserve"> Health. 2020;17(Suppl 2):161.</w:t>
      </w:r>
    </w:p>
    <w:p w14:paraId="7B17FA9F" w14:textId="77777777" w:rsidR="006D204A" w:rsidRPr="002A4FC0" w:rsidRDefault="006D204A" w:rsidP="0013660B">
      <w:pPr>
        <w:pStyle w:val="ListParagraph"/>
        <w:numPr>
          <w:ilvl w:val="0"/>
          <w:numId w:val="2"/>
        </w:numPr>
      </w:pPr>
      <w:r w:rsidRPr="002A4FC0">
        <w:t xml:space="preserve">Patel RM, </w:t>
      </w:r>
      <w:proofErr w:type="spellStart"/>
      <w:r w:rsidRPr="002A4FC0">
        <w:t>Kandefer</w:t>
      </w:r>
      <w:proofErr w:type="spellEnd"/>
      <w:r w:rsidRPr="002A4FC0">
        <w:t xml:space="preserve"> S, Walsh MC, Bell EF, Carlo WA, </w:t>
      </w:r>
      <w:proofErr w:type="spellStart"/>
      <w:r w:rsidRPr="002A4FC0">
        <w:t>Laptook</w:t>
      </w:r>
      <w:proofErr w:type="spellEnd"/>
      <w:r w:rsidRPr="002A4FC0">
        <w:t xml:space="preserve"> AR, et al; Eunice Kennedy Shriver National Institute of Child Health and Human Development Neonatal Research Network. Causes and timing of death in extremely premature infants from 2000 through 2011. N </w:t>
      </w:r>
      <w:proofErr w:type="spellStart"/>
      <w:r w:rsidRPr="002A4FC0">
        <w:t>Engl</w:t>
      </w:r>
      <w:proofErr w:type="spellEnd"/>
      <w:r w:rsidRPr="002A4FC0">
        <w:t xml:space="preserve"> J Med. 2015;372(4):331-40. </w:t>
      </w:r>
    </w:p>
    <w:p w14:paraId="61A418BE" w14:textId="77777777" w:rsidR="006D204A" w:rsidRPr="002A4FC0" w:rsidRDefault="006D204A" w:rsidP="006D204A">
      <w:pPr>
        <w:pStyle w:val="ListParagraph"/>
        <w:numPr>
          <w:ilvl w:val="0"/>
          <w:numId w:val="2"/>
        </w:numPr>
      </w:pPr>
      <w:r w:rsidRPr="002A4FC0">
        <w:t xml:space="preserve">Muhe LM, McClure EM, Nigussie AK, Mekasha A, </w:t>
      </w:r>
      <w:proofErr w:type="spellStart"/>
      <w:r w:rsidRPr="002A4FC0">
        <w:t>Worku</w:t>
      </w:r>
      <w:proofErr w:type="spellEnd"/>
      <w:r w:rsidRPr="002A4FC0">
        <w:t xml:space="preserve"> B, </w:t>
      </w:r>
      <w:proofErr w:type="spellStart"/>
      <w:r w:rsidRPr="002A4FC0">
        <w:t>Worku</w:t>
      </w:r>
      <w:proofErr w:type="spellEnd"/>
      <w:r w:rsidRPr="002A4FC0">
        <w:t xml:space="preserve"> A, et al. Major causes of death in preterm infants in selected hospitals in Ethiopia (SIP): a prospective, cross-sectional, observational study. Lancet Glob Health. 2019;7(8):e1130-e1138.</w:t>
      </w:r>
    </w:p>
    <w:p w14:paraId="11651F44" w14:textId="77777777" w:rsidR="006D204A" w:rsidRPr="002A4FC0" w:rsidRDefault="006D204A" w:rsidP="006D204A">
      <w:pPr>
        <w:pStyle w:val="ListParagraph"/>
        <w:numPr>
          <w:ilvl w:val="0"/>
          <w:numId w:val="2"/>
        </w:numPr>
      </w:pPr>
      <w:proofErr w:type="spellStart"/>
      <w:r w:rsidRPr="002A4FC0">
        <w:t>Rubarth</w:t>
      </w:r>
      <w:proofErr w:type="spellEnd"/>
      <w:r w:rsidRPr="002A4FC0">
        <w:t xml:space="preserve"> LB, Quinn J. Respiratory Development and Respiratory Distress Syndrome. Neonatal </w:t>
      </w:r>
      <w:proofErr w:type="spellStart"/>
      <w:r w:rsidRPr="002A4FC0">
        <w:t>Netw</w:t>
      </w:r>
      <w:proofErr w:type="spellEnd"/>
      <w:r w:rsidRPr="002A4FC0">
        <w:t xml:space="preserve">. 2015;34(4):231-8. </w:t>
      </w:r>
    </w:p>
    <w:p w14:paraId="7CE80D3A" w14:textId="77777777" w:rsidR="006D204A" w:rsidRPr="002A4FC0" w:rsidRDefault="006D204A" w:rsidP="006D204A">
      <w:pPr>
        <w:pStyle w:val="ListParagraph"/>
        <w:numPr>
          <w:ilvl w:val="0"/>
          <w:numId w:val="2"/>
        </w:numPr>
      </w:pPr>
      <w:r w:rsidRPr="002A4FC0">
        <w:t xml:space="preserve">Azra Haider B, </w:t>
      </w:r>
      <w:proofErr w:type="spellStart"/>
      <w:r w:rsidRPr="002A4FC0">
        <w:t>Bhutta</w:t>
      </w:r>
      <w:proofErr w:type="spellEnd"/>
      <w:r w:rsidRPr="002A4FC0">
        <w:t xml:space="preserve"> ZA. Birth asphyxia in developing countries: current status and public health implications. </w:t>
      </w:r>
      <w:proofErr w:type="spellStart"/>
      <w:r w:rsidRPr="002A4FC0">
        <w:t>Curr</w:t>
      </w:r>
      <w:proofErr w:type="spellEnd"/>
      <w:r w:rsidRPr="002A4FC0">
        <w:t xml:space="preserve"> </w:t>
      </w:r>
      <w:proofErr w:type="spellStart"/>
      <w:r w:rsidRPr="002A4FC0">
        <w:t>Probl</w:t>
      </w:r>
      <w:proofErr w:type="spellEnd"/>
      <w:r w:rsidRPr="002A4FC0">
        <w:t xml:space="preserve"> </w:t>
      </w:r>
      <w:proofErr w:type="spellStart"/>
      <w:r w:rsidRPr="002A4FC0">
        <w:t>Pediatr</w:t>
      </w:r>
      <w:proofErr w:type="spellEnd"/>
      <w:r w:rsidRPr="002A4FC0">
        <w:t xml:space="preserve"> </w:t>
      </w:r>
      <w:proofErr w:type="spellStart"/>
      <w:r w:rsidRPr="002A4FC0">
        <w:t>Adolesc</w:t>
      </w:r>
      <w:proofErr w:type="spellEnd"/>
      <w:r w:rsidRPr="002A4FC0">
        <w:t xml:space="preserve"> Health Care. 2006;36(5):178-88</w:t>
      </w:r>
    </w:p>
    <w:p w14:paraId="36E47998" w14:textId="485D3627" w:rsidR="006D204A" w:rsidRPr="002A4FC0" w:rsidRDefault="006D204A" w:rsidP="006D204A">
      <w:pPr>
        <w:pStyle w:val="ListParagraph"/>
        <w:numPr>
          <w:ilvl w:val="0"/>
          <w:numId w:val="2"/>
        </w:numPr>
      </w:pPr>
      <w:r w:rsidRPr="002A4FC0">
        <w:t xml:space="preserve">Wall SN, Lee AC, Carlo W, Goldenberg R, </w:t>
      </w:r>
      <w:proofErr w:type="spellStart"/>
      <w:r w:rsidRPr="002A4FC0">
        <w:t>Niermeyer</w:t>
      </w:r>
      <w:proofErr w:type="spellEnd"/>
      <w:r w:rsidRPr="002A4FC0">
        <w:t xml:space="preserve"> S, Darmstadt </w:t>
      </w:r>
      <w:proofErr w:type="spellStart"/>
      <w:r w:rsidRPr="002A4FC0">
        <w:t>GL</w:t>
      </w:r>
      <w:r w:rsidRPr="0099486E">
        <w:t>,</w:t>
      </w:r>
      <w:r w:rsidR="0099486E" w:rsidRPr="0099486E">
        <w:t>et</w:t>
      </w:r>
      <w:proofErr w:type="spellEnd"/>
      <w:r w:rsidR="0099486E" w:rsidRPr="0099486E">
        <w:t xml:space="preserve"> al</w:t>
      </w:r>
      <w:r w:rsidRPr="0099486E">
        <w:t>.</w:t>
      </w:r>
      <w:r w:rsidRPr="002A4FC0">
        <w:t xml:space="preserve"> Reducing intrapartum-related neonatal deaths in low- and middle-income countries-what works? Semin </w:t>
      </w:r>
      <w:proofErr w:type="spellStart"/>
      <w:r w:rsidRPr="002A4FC0">
        <w:t>Perinatol</w:t>
      </w:r>
      <w:proofErr w:type="spellEnd"/>
      <w:r w:rsidRPr="002A4FC0">
        <w:t>. 2010;34(6):395-407.</w:t>
      </w:r>
    </w:p>
    <w:p w14:paraId="3C0814AF" w14:textId="6932C2C7" w:rsidR="006D204A" w:rsidRPr="002A4FC0" w:rsidRDefault="006D204A" w:rsidP="006D204A">
      <w:pPr>
        <w:pStyle w:val="ListParagraph"/>
        <w:numPr>
          <w:ilvl w:val="0"/>
          <w:numId w:val="2"/>
        </w:numPr>
      </w:pPr>
      <w:r w:rsidRPr="002A4FC0">
        <w:t xml:space="preserve">Kulkarni VG, Sunilkumar KB, Nagaraj TS, Uddin Z, Ahmed I, Hwang K, et al. Maternal and fetal vascular lesions of </w:t>
      </w:r>
      <w:proofErr w:type="spellStart"/>
      <w:r w:rsidRPr="002A4FC0">
        <w:t>malperfusion</w:t>
      </w:r>
      <w:proofErr w:type="spellEnd"/>
      <w:r w:rsidRPr="002A4FC0">
        <w:t xml:space="preserve"> in the placentas associated with fetal and neonatal death: results of a prospective observational study. Am J </w:t>
      </w:r>
      <w:proofErr w:type="spellStart"/>
      <w:r w:rsidRPr="002A4FC0">
        <w:t>Obstet</w:t>
      </w:r>
      <w:proofErr w:type="spellEnd"/>
      <w:r w:rsidRPr="002A4FC0">
        <w:t xml:space="preserve"> Gynecol. 2021;225(6):660.e1-660.e12.</w:t>
      </w:r>
    </w:p>
    <w:p w14:paraId="536F867B" w14:textId="4C021340" w:rsidR="006D204A" w:rsidRPr="002A4FC0" w:rsidRDefault="006D204A" w:rsidP="006D204A">
      <w:pPr>
        <w:pStyle w:val="ListParagraph"/>
        <w:numPr>
          <w:ilvl w:val="0"/>
          <w:numId w:val="2"/>
        </w:numPr>
      </w:pPr>
      <w:r w:rsidRPr="002A4FC0">
        <w:t xml:space="preserve">Downes KL, </w:t>
      </w:r>
      <w:proofErr w:type="spellStart"/>
      <w:r w:rsidRPr="002A4FC0">
        <w:t>Grantz</w:t>
      </w:r>
      <w:proofErr w:type="spellEnd"/>
      <w:r w:rsidRPr="002A4FC0">
        <w:t xml:space="preserve"> KL, </w:t>
      </w:r>
      <w:proofErr w:type="spellStart"/>
      <w:r w:rsidRPr="002A4FC0">
        <w:t>Shenassa</w:t>
      </w:r>
      <w:proofErr w:type="spellEnd"/>
      <w:r w:rsidRPr="002A4FC0">
        <w:t xml:space="preserve"> ED. Maternal, Labor, Delivery, and Perinatal Outcomes Associated with Placental Abruption: A Systematic </w:t>
      </w:r>
      <w:proofErr w:type="spellStart"/>
      <w:r w:rsidRPr="002A4FC0">
        <w:t>Review.Am</w:t>
      </w:r>
      <w:proofErr w:type="spellEnd"/>
      <w:r w:rsidRPr="002A4FC0">
        <w:t xml:space="preserve"> J </w:t>
      </w:r>
      <w:proofErr w:type="spellStart"/>
      <w:r w:rsidRPr="002A4FC0">
        <w:t>Perinatol</w:t>
      </w:r>
      <w:proofErr w:type="spellEnd"/>
      <w:r w:rsidRPr="002A4FC0">
        <w:t>. 2017;34(10):935-957</w:t>
      </w:r>
    </w:p>
    <w:p w14:paraId="7A9DAF72" w14:textId="77777777" w:rsidR="006D204A" w:rsidRPr="002A4FC0" w:rsidRDefault="006D204A" w:rsidP="0013660B">
      <w:pPr>
        <w:pStyle w:val="ListParagraph"/>
        <w:numPr>
          <w:ilvl w:val="0"/>
          <w:numId w:val="2"/>
        </w:numPr>
      </w:pPr>
      <w:proofErr w:type="spellStart"/>
      <w:r w:rsidRPr="002A4FC0">
        <w:t>Uneke</w:t>
      </w:r>
      <w:proofErr w:type="spellEnd"/>
      <w:r w:rsidRPr="002A4FC0">
        <w:t xml:space="preserve"> CJ, </w:t>
      </w:r>
      <w:proofErr w:type="spellStart"/>
      <w:r w:rsidRPr="002A4FC0">
        <w:t>Uro</w:t>
      </w:r>
      <w:proofErr w:type="spellEnd"/>
      <w:r w:rsidRPr="002A4FC0">
        <w:t xml:space="preserve">-Chukwu HC, Chukwu OE. Validation of verbal autopsy methods for assessment of child mortality in sub-Saharan Africa and the policy implication: a rapid review. Pan </w:t>
      </w:r>
      <w:proofErr w:type="spellStart"/>
      <w:r w:rsidRPr="002A4FC0">
        <w:t>Afr</w:t>
      </w:r>
      <w:proofErr w:type="spellEnd"/>
      <w:r w:rsidRPr="002A4FC0">
        <w:t xml:space="preserve"> Med J. 2019;33:318.</w:t>
      </w:r>
    </w:p>
    <w:p w14:paraId="16A21374" w14:textId="0862CAC7" w:rsidR="006D204A" w:rsidRPr="0099486E" w:rsidRDefault="006D204A" w:rsidP="0013660B">
      <w:pPr>
        <w:pStyle w:val="ListParagraph"/>
        <w:numPr>
          <w:ilvl w:val="0"/>
          <w:numId w:val="2"/>
        </w:numPr>
      </w:pPr>
      <w:proofErr w:type="spellStart"/>
      <w:r w:rsidRPr="002A4FC0">
        <w:t>Kalter</w:t>
      </w:r>
      <w:proofErr w:type="spellEnd"/>
      <w:r w:rsidRPr="002A4FC0">
        <w:t xml:space="preserve"> HD, </w:t>
      </w:r>
      <w:proofErr w:type="spellStart"/>
      <w:r w:rsidRPr="002A4FC0">
        <w:t>Perin</w:t>
      </w:r>
      <w:proofErr w:type="spellEnd"/>
      <w:r w:rsidRPr="002A4FC0">
        <w:t xml:space="preserve"> J, </w:t>
      </w:r>
      <w:proofErr w:type="spellStart"/>
      <w:r w:rsidRPr="002A4FC0">
        <w:t>Amouzou</w:t>
      </w:r>
      <w:proofErr w:type="spellEnd"/>
      <w:r w:rsidRPr="002A4FC0">
        <w:t xml:space="preserve"> A, </w:t>
      </w:r>
      <w:proofErr w:type="spellStart"/>
      <w:r w:rsidRPr="002A4FC0">
        <w:t>Kwamdera</w:t>
      </w:r>
      <w:proofErr w:type="spellEnd"/>
      <w:r w:rsidRPr="002A4FC0">
        <w:t xml:space="preserve"> G, </w:t>
      </w:r>
      <w:proofErr w:type="spellStart"/>
      <w:r w:rsidRPr="002A4FC0">
        <w:t>Adewemimo</w:t>
      </w:r>
      <w:proofErr w:type="spellEnd"/>
      <w:r w:rsidRPr="002A4FC0">
        <w:t xml:space="preserve"> WA, </w:t>
      </w:r>
      <w:proofErr w:type="spellStart"/>
      <w:r w:rsidRPr="002A4FC0">
        <w:t>Nguefack</w:t>
      </w:r>
      <w:proofErr w:type="spellEnd"/>
      <w:r w:rsidRPr="002A4FC0">
        <w:t xml:space="preserve"> F, </w:t>
      </w:r>
      <w:r w:rsidR="0099486E" w:rsidRPr="0099486E">
        <w:t>et al</w:t>
      </w:r>
      <w:r w:rsidRPr="0099486E">
        <w:t>. Using health facility deaths to estimate population causes of neonatal and child mortality in four African countries. BMC Med. 2020 ;18(1):183.</w:t>
      </w:r>
    </w:p>
    <w:p w14:paraId="75AD0131" w14:textId="77777777" w:rsidR="006D204A" w:rsidRPr="002A4FC0" w:rsidRDefault="006D204A" w:rsidP="0013660B">
      <w:pPr>
        <w:pStyle w:val="ListParagraph"/>
        <w:numPr>
          <w:ilvl w:val="0"/>
          <w:numId w:val="2"/>
        </w:numPr>
      </w:pPr>
      <w:proofErr w:type="spellStart"/>
      <w:r w:rsidRPr="002A4FC0">
        <w:t>Soofi</w:t>
      </w:r>
      <w:proofErr w:type="spellEnd"/>
      <w:r w:rsidRPr="002A4FC0">
        <w:t xml:space="preserve"> SB, </w:t>
      </w:r>
      <w:proofErr w:type="spellStart"/>
      <w:r w:rsidRPr="002A4FC0">
        <w:t>Ariff</w:t>
      </w:r>
      <w:proofErr w:type="spellEnd"/>
      <w:r w:rsidRPr="002A4FC0">
        <w:t xml:space="preserve"> S, Khan U, </w:t>
      </w:r>
      <w:proofErr w:type="spellStart"/>
      <w:r w:rsidRPr="002A4FC0">
        <w:t>Turab</w:t>
      </w:r>
      <w:proofErr w:type="spellEnd"/>
      <w:r w:rsidRPr="002A4FC0">
        <w:t xml:space="preserve"> A, Khan GN, Habib A, et al. Diagnostic accuracy of WHO verbal autopsy tool for ascertaining causes of neonatal deaths in the urban setting of Pakistan: a hospital-based prospective study. BMC </w:t>
      </w:r>
      <w:proofErr w:type="spellStart"/>
      <w:r w:rsidRPr="002A4FC0">
        <w:t>Pediatr</w:t>
      </w:r>
      <w:proofErr w:type="spellEnd"/>
      <w:r w:rsidRPr="002A4FC0">
        <w:t>. 2015;15:144.</w:t>
      </w:r>
    </w:p>
    <w:p w14:paraId="48CC6711" w14:textId="0B85679F" w:rsidR="006D204A" w:rsidRPr="002A4FC0" w:rsidRDefault="006D204A" w:rsidP="006D204A">
      <w:pPr>
        <w:pStyle w:val="ListParagraph"/>
        <w:numPr>
          <w:ilvl w:val="0"/>
          <w:numId w:val="2"/>
        </w:numPr>
      </w:pPr>
      <w:r w:rsidRPr="002A4FC0">
        <w:t xml:space="preserve">Nichols EK, </w:t>
      </w:r>
      <w:proofErr w:type="spellStart"/>
      <w:r w:rsidRPr="002A4FC0">
        <w:t>Byass</w:t>
      </w:r>
      <w:proofErr w:type="spellEnd"/>
      <w:r w:rsidRPr="002A4FC0">
        <w:t xml:space="preserve"> P, </w:t>
      </w:r>
      <w:proofErr w:type="spellStart"/>
      <w:r w:rsidRPr="002A4FC0">
        <w:t>Chandramohan</w:t>
      </w:r>
      <w:proofErr w:type="spellEnd"/>
      <w:r w:rsidRPr="002A4FC0">
        <w:t xml:space="preserve"> D, Clark SJ, Flaxman AD, Jakob R, et al</w:t>
      </w:r>
      <w:r w:rsidR="004B6DA8">
        <w:t>.</w:t>
      </w:r>
      <w:r w:rsidRPr="002A4FC0">
        <w:t xml:space="preserve">; WHO Verbal Autopsy Working Group. The WHO 2016 verbal autopsy instrument: An international standard suitable for automated analysis by </w:t>
      </w:r>
      <w:proofErr w:type="spellStart"/>
      <w:r w:rsidRPr="002A4FC0">
        <w:t>InterVA</w:t>
      </w:r>
      <w:proofErr w:type="spellEnd"/>
      <w:r w:rsidRPr="002A4FC0">
        <w:t xml:space="preserve">, </w:t>
      </w:r>
      <w:proofErr w:type="spellStart"/>
      <w:r w:rsidRPr="002A4FC0">
        <w:t>InSilicoVA</w:t>
      </w:r>
      <w:proofErr w:type="spellEnd"/>
      <w:r w:rsidRPr="002A4FC0">
        <w:t xml:space="preserve">, and Tariff 2.0. </w:t>
      </w:r>
      <w:proofErr w:type="spellStart"/>
      <w:r w:rsidRPr="002A4FC0">
        <w:t>PLoS</w:t>
      </w:r>
      <w:proofErr w:type="spellEnd"/>
      <w:r w:rsidRPr="002A4FC0">
        <w:t xml:space="preserve"> Med. 2018;15(1):e1002486.</w:t>
      </w:r>
    </w:p>
    <w:p w14:paraId="52E53FF8" w14:textId="77777777" w:rsidR="006D204A" w:rsidRPr="002A4FC0" w:rsidRDefault="006D204A" w:rsidP="006D204A">
      <w:pPr>
        <w:pStyle w:val="ListParagraph"/>
        <w:numPr>
          <w:ilvl w:val="0"/>
          <w:numId w:val="2"/>
        </w:numPr>
      </w:pPr>
      <w:r w:rsidRPr="002A4FC0">
        <w:t xml:space="preserve">Flaxman AD, Joseph JC, Murray CJL, Riley ID, Lopez AD. Performance of </w:t>
      </w:r>
      <w:proofErr w:type="spellStart"/>
      <w:r w:rsidRPr="002A4FC0">
        <w:t>InSilicoVA</w:t>
      </w:r>
      <w:proofErr w:type="spellEnd"/>
      <w:r w:rsidRPr="002A4FC0">
        <w:t xml:space="preserve"> for assigning causes of death to verbal autopsies: multisite validation study using clinical diagnostic gold standards. BMC Med. 2018 Apr 19;16(1):56.</w:t>
      </w:r>
    </w:p>
    <w:p w14:paraId="07B02773" w14:textId="77777777" w:rsidR="006D204A" w:rsidRPr="002A4FC0" w:rsidRDefault="006D204A" w:rsidP="006D204A">
      <w:pPr>
        <w:pStyle w:val="ListParagraph"/>
        <w:numPr>
          <w:ilvl w:val="0"/>
          <w:numId w:val="2"/>
        </w:numPr>
      </w:pPr>
      <w:r w:rsidRPr="002A4FC0">
        <w:t xml:space="preserve">Muhe LM, McClure EM, Mekasha A, </w:t>
      </w:r>
      <w:proofErr w:type="spellStart"/>
      <w:r w:rsidRPr="002A4FC0">
        <w:t>Worku</w:t>
      </w:r>
      <w:proofErr w:type="spellEnd"/>
      <w:r w:rsidRPr="002A4FC0">
        <w:t xml:space="preserve"> B, </w:t>
      </w:r>
      <w:proofErr w:type="spellStart"/>
      <w:r w:rsidRPr="002A4FC0">
        <w:t>Worku</w:t>
      </w:r>
      <w:proofErr w:type="spellEnd"/>
      <w:r w:rsidRPr="002A4FC0">
        <w:t xml:space="preserve"> A, </w:t>
      </w:r>
      <w:proofErr w:type="spellStart"/>
      <w:r w:rsidRPr="002A4FC0">
        <w:t>Dimtse</w:t>
      </w:r>
      <w:proofErr w:type="spellEnd"/>
      <w:r w:rsidRPr="002A4FC0">
        <w:t xml:space="preserve"> A, et al. A Prospective Study of Causes of Illness and Death in Preterm Infants in Ethiopia: The SIP Study Protocol. </w:t>
      </w:r>
      <w:proofErr w:type="spellStart"/>
      <w:r w:rsidRPr="002A4FC0">
        <w:t>Reprod</w:t>
      </w:r>
      <w:proofErr w:type="spellEnd"/>
      <w:r w:rsidRPr="002A4FC0">
        <w:t xml:space="preserve"> Health. 2018 Jun 27;15(1):116.</w:t>
      </w:r>
    </w:p>
    <w:p w14:paraId="3BF4C1C2" w14:textId="76C471AC" w:rsidR="006D204A" w:rsidRPr="002A4FC0" w:rsidRDefault="006D204A" w:rsidP="006D204A">
      <w:pPr>
        <w:pStyle w:val="ListParagraph"/>
        <w:numPr>
          <w:ilvl w:val="0"/>
          <w:numId w:val="2"/>
        </w:numPr>
      </w:pPr>
      <w:r w:rsidRPr="002A4FC0">
        <w:t xml:space="preserve">Taylor AW, Blau DM, Bassat Q, Onyango D, Kotloff KL, </w:t>
      </w:r>
      <w:proofErr w:type="spellStart"/>
      <w:r w:rsidRPr="002A4FC0">
        <w:t>Arifeen</w:t>
      </w:r>
      <w:proofErr w:type="spellEnd"/>
      <w:r w:rsidRPr="002A4FC0">
        <w:t xml:space="preserve"> SE, et al; CHAMPS Consortium. Initial findings from a novel population-based child mortality surveillance approach: a descriptive study. Lancet Glob Health. 2020;8(7):e909-e919.</w:t>
      </w:r>
    </w:p>
    <w:p w14:paraId="3F91D4F5" w14:textId="77777777" w:rsidR="006D204A" w:rsidRPr="002A4FC0" w:rsidRDefault="006D204A" w:rsidP="006D204A">
      <w:pPr>
        <w:pStyle w:val="ListParagraph"/>
        <w:numPr>
          <w:ilvl w:val="0"/>
          <w:numId w:val="2"/>
        </w:numPr>
      </w:pPr>
      <w:r w:rsidRPr="002A4FC0">
        <w:t xml:space="preserve">Blau DM, </w:t>
      </w:r>
      <w:proofErr w:type="spellStart"/>
      <w:r w:rsidRPr="002A4FC0">
        <w:t>Caneer</w:t>
      </w:r>
      <w:proofErr w:type="spellEnd"/>
      <w:r w:rsidRPr="002A4FC0">
        <w:t xml:space="preserve"> JP, </w:t>
      </w:r>
      <w:proofErr w:type="spellStart"/>
      <w:r w:rsidRPr="002A4FC0">
        <w:t>Philipsborn</w:t>
      </w:r>
      <w:proofErr w:type="spellEnd"/>
      <w:r w:rsidRPr="002A4FC0">
        <w:t xml:space="preserve"> RP, </w:t>
      </w:r>
      <w:proofErr w:type="spellStart"/>
      <w:r w:rsidRPr="002A4FC0">
        <w:t>Madhi</w:t>
      </w:r>
      <w:proofErr w:type="spellEnd"/>
      <w:r w:rsidRPr="002A4FC0">
        <w:t xml:space="preserve"> SA, Bassat Q, Varo R, et al. Overview and Development of the Child Health and Mortality Prevention Surveillance Determination of Cause of Death (</w:t>
      </w:r>
      <w:proofErr w:type="spellStart"/>
      <w:r w:rsidRPr="002A4FC0">
        <w:t>DeCoDe</w:t>
      </w:r>
      <w:proofErr w:type="spellEnd"/>
      <w:r w:rsidRPr="002A4FC0">
        <w:t xml:space="preserve">) Process and </w:t>
      </w:r>
      <w:proofErr w:type="spellStart"/>
      <w:r w:rsidRPr="002A4FC0">
        <w:t>DeCoDe</w:t>
      </w:r>
      <w:proofErr w:type="spellEnd"/>
      <w:r w:rsidRPr="002A4FC0">
        <w:t xml:space="preserve"> Diagnosis Standards. Clin Infect Dis. 2019;69(Suppl 4):S333-S341.</w:t>
      </w:r>
    </w:p>
    <w:p w14:paraId="382CD98B" w14:textId="3A5C9302" w:rsidR="0033379C" w:rsidRDefault="0033379C" w:rsidP="0013660B">
      <w:pPr>
        <w:pStyle w:val="ListParagraph"/>
        <w:numPr>
          <w:ilvl w:val="0"/>
          <w:numId w:val="2"/>
        </w:numPr>
      </w:pPr>
      <w:r>
        <w:t xml:space="preserve">Hwang KS, Parlberg L, Aceituno A, Moore JL, Goudar SS, </w:t>
      </w:r>
      <w:proofErr w:type="spellStart"/>
      <w:r>
        <w:t>Tikmani</w:t>
      </w:r>
      <w:proofErr w:type="spellEnd"/>
      <w:r>
        <w:t xml:space="preserve"> SS, et al. Methodology to Determine Cause of Death for Stillbirths and Neonatal Deaths Using Automated Case Reports and a Cause-of-Death Panel. </w:t>
      </w:r>
      <w:r w:rsidRPr="0033379C">
        <w:t>Clin Inf Dis</w:t>
      </w:r>
      <w:r>
        <w:t xml:space="preserve"> 2021.</w:t>
      </w:r>
      <w:r w:rsidRPr="0033379C">
        <w:t xml:space="preserve"> 73</w:t>
      </w:r>
      <w:r>
        <w:t>(</w:t>
      </w:r>
      <w:r w:rsidRPr="0033379C">
        <w:t>Supp_5</w:t>
      </w:r>
      <w:r>
        <w:t>):</w:t>
      </w:r>
      <w:r w:rsidRPr="0033379C">
        <w:t xml:space="preserve"> S368–S373</w:t>
      </w:r>
      <w:r>
        <w:t xml:space="preserve"> </w:t>
      </w:r>
    </w:p>
    <w:p w14:paraId="321E70DF" w14:textId="37CB3650" w:rsidR="006D204A" w:rsidRPr="002A4FC0" w:rsidRDefault="006D204A" w:rsidP="0033379C">
      <w:pPr>
        <w:pStyle w:val="ListParagraph"/>
        <w:numPr>
          <w:ilvl w:val="0"/>
          <w:numId w:val="2"/>
        </w:numPr>
      </w:pPr>
      <w:r w:rsidRPr="002A4FC0">
        <w:t xml:space="preserve">Paganelli CR, Goco NJ, McClure EM, Banke KK, Blau DM, </w:t>
      </w:r>
      <w:proofErr w:type="spellStart"/>
      <w:r w:rsidRPr="002A4FC0">
        <w:t>Breiman</w:t>
      </w:r>
      <w:proofErr w:type="spellEnd"/>
      <w:r w:rsidRPr="002A4FC0">
        <w:t xml:space="preserve"> RF, et al. The evolution of minimally invasive tissue sampling in postmortem examination: a narrative review. Glob Health Action. 2020;13(1):1792682.</w:t>
      </w:r>
    </w:p>
    <w:p w14:paraId="6B4F1F2F" w14:textId="20254950" w:rsidR="0033379C" w:rsidRDefault="0033379C" w:rsidP="0013660B">
      <w:pPr>
        <w:pStyle w:val="ListParagraph"/>
        <w:numPr>
          <w:ilvl w:val="0"/>
          <w:numId w:val="2"/>
        </w:numPr>
      </w:pPr>
      <w:proofErr w:type="spellStart"/>
      <w:r>
        <w:t>Gowdar</w:t>
      </w:r>
      <w:proofErr w:type="spellEnd"/>
      <w:r>
        <w:t xml:space="preserve"> Guruprasad, Sangappa Dhaded, S Yogesh Kumar, Manjunath S </w:t>
      </w:r>
      <w:proofErr w:type="spellStart"/>
      <w:r>
        <w:t>Somannavar</w:t>
      </w:r>
      <w:proofErr w:type="spellEnd"/>
      <w:r>
        <w:t>, Shivaprasad S Goudar, Vardendra Kulkarni,</w:t>
      </w:r>
      <w:r w:rsidRPr="002A4FC0">
        <w:t xml:space="preserve"> </w:t>
      </w:r>
      <w:r>
        <w:t xml:space="preserve">et al. Lung Findings in Minimally Invasive Tissue Sampling (MITS) Examinations of Fetal and Preterm Neonatal Deaths: A Report </w:t>
      </w:r>
      <w:proofErr w:type="gramStart"/>
      <w:r>
        <w:t>From</w:t>
      </w:r>
      <w:proofErr w:type="gramEnd"/>
      <w:r>
        <w:t xml:space="preserve"> the </w:t>
      </w:r>
      <w:proofErr w:type="spellStart"/>
      <w:r>
        <w:t>PURPOSe</w:t>
      </w:r>
      <w:proofErr w:type="spellEnd"/>
      <w:r>
        <w:t xml:space="preserve"> Study.  </w:t>
      </w:r>
      <w:r w:rsidRPr="0033379C">
        <w:t>Clin Inf Dis</w:t>
      </w:r>
      <w:r>
        <w:t xml:space="preserve"> 2021; </w:t>
      </w:r>
      <w:r w:rsidRPr="0033379C">
        <w:t>73</w:t>
      </w:r>
      <w:r>
        <w:t xml:space="preserve"> (</w:t>
      </w:r>
      <w:r w:rsidRPr="0033379C">
        <w:t>Supp_5</w:t>
      </w:r>
      <w:r>
        <w:t>):</w:t>
      </w:r>
      <w:r w:rsidRPr="0033379C">
        <w:t xml:space="preserve"> S430–S434</w:t>
      </w:r>
      <w:r>
        <w:t>.</w:t>
      </w:r>
    </w:p>
    <w:p w14:paraId="3DE8A3E8" w14:textId="10332B52" w:rsidR="006D204A" w:rsidRPr="002A4FC0" w:rsidRDefault="006D204A" w:rsidP="0033379C">
      <w:pPr>
        <w:pStyle w:val="ListParagraph"/>
        <w:numPr>
          <w:ilvl w:val="0"/>
          <w:numId w:val="2"/>
        </w:numPr>
      </w:pPr>
      <w:proofErr w:type="spellStart"/>
      <w:r w:rsidRPr="002A4FC0">
        <w:t>Madhi</w:t>
      </w:r>
      <w:proofErr w:type="spellEnd"/>
      <w:r w:rsidRPr="002A4FC0">
        <w:t xml:space="preserve"> SA, Pathirana J, Baillie V, </w:t>
      </w:r>
      <w:proofErr w:type="spellStart"/>
      <w:r w:rsidRPr="002A4FC0">
        <w:t>Izu</w:t>
      </w:r>
      <w:proofErr w:type="spellEnd"/>
      <w:r w:rsidRPr="002A4FC0">
        <w:t xml:space="preserve"> A, Bassat Q, Blau DM, et al. Unraveling Specific Causes of Neonatal Mortality Using Minimally Invasive Tissue Sampling: An Observational Study. Clin Infect Dis. 2019;69(Suppl 4):S351-S360. </w:t>
      </w:r>
    </w:p>
    <w:p w14:paraId="29EA5A90" w14:textId="77777777" w:rsidR="006D204A" w:rsidRPr="002A4FC0" w:rsidRDefault="006D204A" w:rsidP="006D204A">
      <w:pPr>
        <w:pStyle w:val="ListParagraph"/>
        <w:numPr>
          <w:ilvl w:val="0"/>
          <w:numId w:val="2"/>
        </w:numPr>
      </w:pPr>
      <w:r w:rsidRPr="002A4FC0">
        <w:t xml:space="preserve">Nijkamp JW, </w:t>
      </w:r>
      <w:proofErr w:type="spellStart"/>
      <w:r w:rsidRPr="002A4FC0">
        <w:t>Sebire</w:t>
      </w:r>
      <w:proofErr w:type="spellEnd"/>
      <w:r w:rsidRPr="002A4FC0">
        <w:t xml:space="preserve"> NJ, </w:t>
      </w:r>
      <w:proofErr w:type="spellStart"/>
      <w:r w:rsidRPr="002A4FC0">
        <w:t>Bouman</w:t>
      </w:r>
      <w:proofErr w:type="spellEnd"/>
      <w:r w:rsidRPr="002A4FC0">
        <w:t xml:space="preserve"> K, </w:t>
      </w:r>
      <w:proofErr w:type="spellStart"/>
      <w:r w:rsidRPr="002A4FC0">
        <w:t>Korteweg</w:t>
      </w:r>
      <w:proofErr w:type="spellEnd"/>
      <w:r w:rsidRPr="002A4FC0">
        <w:t xml:space="preserve"> FJ, </w:t>
      </w:r>
      <w:proofErr w:type="spellStart"/>
      <w:r w:rsidRPr="002A4FC0">
        <w:t>Erwich</w:t>
      </w:r>
      <w:proofErr w:type="spellEnd"/>
      <w:r w:rsidRPr="002A4FC0">
        <w:t xml:space="preserve"> JJHM, </w:t>
      </w:r>
      <w:proofErr w:type="spellStart"/>
      <w:r w:rsidRPr="002A4FC0">
        <w:t>Gordijn</w:t>
      </w:r>
      <w:proofErr w:type="spellEnd"/>
      <w:r w:rsidRPr="002A4FC0">
        <w:t xml:space="preserve"> SJ. Perinatal death investigations: What is current practice? Semin Fetal Neonatal Med. 2017;22(3):167-175.</w:t>
      </w:r>
    </w:p>
    <w:p w14:paraId="580BC410" w14:textId="4210B897" w:rsidR="006D204A" w:rsidRPr="002A4FC0" w:rsidRDefault="006D204A" w:rsidP="006D204A">
      <w:pPr>
        <w:pStyle w:val="ListParagraph"/>
        <w:numPr>
          <w:ilvl w:val="0"/>
          <w:numId w:val="2"/>
        </w:numPr>
      </w:pPr>
      <w:r w:rsidRPr="002A4FC0">
        <w:t>McClure EM, Saleem S, Goudar SS, Dhaded S, Guruprasad G, Kumar Y, et al. The project to understand and research preterm pregnancy outcomes and stillbirths in South Asia (</w:t>
      </w:r>
      <w:proofErr w:type="spellStart"/>
      <w:r w:rsidRPr="002A4FC0">
        <w:t>PURPOSe</w:t>
      </w:r>
      <w:proofErr w:type="spellEnd"/>
      <w:r w:rsidRPr="002A4FC0">
        <w:t xml:space="preserve">): a protocol of a prospective, cohort study of causes of mortality among preterm births and stillbirths. </w:t>
      </w:r>
      <w:proofErr w:type="spellStart"/>
      <w:r w:rsidRPr="002A4FC0">
        <w:t>Reprod</w:t>
      </w:r>
      <w:proofErr w:type="spellEnd"/>
      <w:r w:rsidRPr="002A4FC0">
        <w:t xml:space="preserve"> Health. 2018;15(Suppl 1):89.</w:t>
      </w:r>
    </w:p>
    <w:p w14:paraId="5F04A1BF" w14:textId="77777777" w:rsidR="006D204A" w:rsidRPr="002A4FC0" w:rsidRDefault="006D204A" w:rsidP="006D204A">
      <w:pPr>
        <w:pStyle w:val="ListParagraph"/>
        <w:numPr>
          <w:ilvl w:val="0"/>
          <w:numId w:val="2"/>
        </w:numPr>
      </w:pPr>
      <w:r w:rsidRPr="002A4FC0">
        <w:t xml:space="preserve">World Health Organization. ICD-10 Perinatal Mortality (available at www.who.int) </w:t>
      </w:r>
    </w:p>
    <w:p w14:paraId="6EE709E6" w14:textId="57D89B4A" w:rsidR="006D204A" w:rsidRPr="002A4FC0" w:rsidRDefault="006D204A" w:rsidP="006D204A">
      <w:pPr>
        <w:pStyle w:val="ListParagraph"/>
        <w:numPr>
          <w:ilvl w:val="0"/>
          <w:numId w:val="2"/>
        </w:numPr>
      </w:pPr>
      <w:r w:rsidRPr="002A4FC0">
        <w:t xml:space="preserve">Goldenberg RL, Muhe L, Saleem S, Dhaded S, Goudar SS, Patterson J, </w:t>
      </w:r>
      <w:r w:rsidR="0099486E">
        <w:t xml:space="preserve">et al. </w:t>
      </w:r>
      <w:r w:rsidRPr="002A4FC0">
        <w:t xml:space="preserve">Criteria for assigning cause of death for stillbirths and neonatal deaths in research studies in low-middle income countries. J </w:t>
      </w:r>
      <w:proofErr w:type="spellStart"/>
      <w:r w:rsidRPr="002A4FC0">
        <w:t>Matern</w:t>
      </w:r>
      <w:proofErr w:type="spellEnd"/>
      <w:r w:rsidRPr="002A4FC0">
        <w:t xml:space="preserve"> Fetal Neonatal Med. 2019;32(11):1915-1923.</w:t>
      </w:r>
    </w:p>
    <w:p w14:paraId="4A163D29" w14:textId="114FF53D" w:rsidR="006D204A" w:rsidRPr="002A4FC0" w:rsidRDefault="006D204A" w:rsidP="006D204A">
      <w:pPr>
        <w:pStyle w:val="ListParagraph"/>
        <w:numPr>
          <w:ilvl w:val="0"/>
          <w:numId w:val="2"/>
        </w:numPr>
      </w:pPr>
      <w:r w:rsidRPr="002A4FC0">
        <w:t xml:space="preserve">Chowdhury HR, Thompson S, Ali M, Alam NY, Streatfield PK. Causes of Neonatal Deaths in a Rural Subdistrict of Bangladesh: Implications for Intervention. J Health </w:t>
      </w:r>
      <w:proofErr w:type="spellStart"/>
      <w:r w:rsidRPr="002A4FC0">
        <w:t>Popul</w:t>
      </w:r>
      <w:proofErr w:type="spellEnd"/>
      <w:r w:rsidRPr="002A4FC0">
        <w:t xml:space="preserve"> </w:t>
      </w:r>
      <w:proofErr w:type="spellStart"/>
      <w:r w:rsidRPr="002A4FC0">
        <w:t>Nutr</w:t>
      </w:r>
      <w:proofErr w:type="spellEnd"/>
      <w:r w:rsidRPr="002A4FC0">
        <w:t>. 2010; 28(4): 375–382.</w:t>
      </w:r>
    </w:p>
    <w:p w14:paraId="6A7FF95E" w14:textId="77777777" w:rsidR="006D204A" w:rsidRPr="002A4FC0" w:rsidRDefault="006D204A" w:rsidP="006D204A">
      <w:pPr>
        <w:pStyle w:val="ListParagraph"/>
        <w:numPr>
          <w:ilvl w:val="0"/>
          <w:numId w:val="2"/>
        </w:numPr>
      </w:pPr>
      <w:r w:rsidRPr="002A4FC0">
        <w:t xml:space="preserve">Griffin JB, Jobe AH, Rouse D, McClure EM, Goldenberg RL, Kamath-Rayne BD. Evaluating WHO-Recommended Interventions for Preterm Birth: A Mathematical Model of the Potential Reduction of Preterm Mortality in Sub-Saharan Africa. Glob Health Sci </w:t>
      </w:r>
      <w:proofErr w:type="spellStart"/>
      <w:r w:rsidRPr="002A4FC0">
        <w:t>Pract</w:t>
      </w:r>
      <w:proofErr w:type="spellEnd"/>
      <w:r w:rsidRPr="002A4FC0">
        <w:t xml:space="preserve">. 2019;7(2):215-27. </w:t>
      </w:r>
    </w:p>
    <w:p w14:paraId="26A6FBB4" w14:textId="77777777" w:rsidR="006D204A" w:rsidRPr="002A4FC0" w:rsidRDefault="006D204A" w:rsidP="006D204A">
      <w:pPr>
        <w:pStyle w:val="ListParagraph"/>
        <w:numPr>
          <w:ilvl w:val="0"/>
          <w:numId w:val="2"/>
        </w:numPr>
      </w:pPr>
      <w:r w:rsidRPr="002A4FC0">
        <w:t xml:space="preserve">Dhaded SM, </w:t>
      </w:r>
      <w:proofErr w:type="spellStart"/>
      <w:r w:rsidRPr="002A4FC0">
        <w:t>Somannavar</w:t>
      </w:r>
      <w:proofErr w:type="spellEnd"/>
      <w:r w:rsidRPr="002A4FC0">
        <w:t xml:space="preserve"> MS, Moore JL, McClure EM, </w:t>
      </w:r>
      <w:proofErr w:type="spellStart"/>
      <w:r w:rsidRPr="002A4FC0">
        <w:t>Vernekar</w:t>
      </w:r>
      <w:proofErr w:type="spellEnd"/>
      <w:r w:rsidRPr="002A4FC0">
        <w:t xml:space="preserve"> SS, </w:t>
      </w:r>
      <w:proofErr w:type="spellStart"/>
      <w:r w:rsidRPr="002A4FC0">
        <w:t>Yogeshkumar</w:t>
      </w:r>
      <w:proofErr w:type="spellEnd"/>
      <w:r w:rsidRPr="002A4FC0">
        <w:t xml:space="preserve"> S, et al. Neonatal deaths in rural Karnataka, India 2014-2018: a prospective population-based observational study in a low-resource setting. </w:t>
      </w:r>
      <w:proofErr w:type="spellStart"/>
      <w:r w:rsidRPr="002A4FC0">
        <w:t>Reprod</w:t>
      </w:r>
      <w:proofErr w:type="spellEnd"/>
      <w:r w:rsidRPr="002A4FC0">
        <w:t xml:space="preserve"> Health. 2020;17(Suppl 2):161.</w:t>
      </w:r>
    </w:p>
    <w:p w14:paraId="73098817" w14:textId="56C5088C" w:rsidR="006D204A" w:rsidRDefault="006D204A" w:rsidP="006D204A">
      <w:pPr>
        <w:pStyle w:val="ListParagraph"/>
        <w:numPr>
          <w:ilvl w:val="0"/>
          <w:numId w:val="2"/>
        </w:numPr>
      </w:pPr>
      <w:proofErr w:type="spellStart"/>
      <w:r w:rsidRPr="002A4FC0">
        <w:t>Jehan</w:t>
      </w:r>
      <w:proofErr w:type="spellEnd"/>
      <w:r w:rsidRPr="002A4FC0">
        <w:t xml:space="preserve"> I, Harris H, Salat S, Zeb A, </w:t>
      </w:r>
      <w:proofErr w:type="spellStart"/>
      <w:r w:rsidRPr="002A4FC0">
        <w:t>Mobeen</w:t>
      </w:r>
      <w:proofErr w:type="spellEnd"/>
      <w:r w:rsidRPr="002A4FC0">
        <w:t xml:space="preserve"> N, Pasha O, McClure EM, </w:t>
      </w:r>
      <w:r w:rsidR="0099486E">
        <w:t>et al.</w:t>
      </w:r>
      <w:r w:rsidR="004B6DA8">
        <w:t xml:space="preserve"> </w:t>
      </w:r>
      <w:r w:rsidRPr="002A4FC0">
        <w:t>Neonatal mortality, risk factors and causes: a prospective population-based cohort study in urban Pakistan.</w:t>
      </w:r>
      <w:r w:rsidR="004B6DA8">
        <w:t xml:space="preserve"> </w:t>
      </w:r>
      <w:r w:rsidRPr="002A4FC0">
        <w:t>Bull World Health Organ. 2009;87(2):130-8.</w:t>
      </w:r>
    </w:p>
    <w:p w14:paraId="6FF340C8" w14:textId="35CCE19A" w:rsidR="00910453" w:rsidRDefault="0033379C" w:rsidP="0013660B">
      <w:pPr>
        <w:pStyle w:val="ListParagraph"/>
        <w:numPr>
          <w:ilvl w:val="0"/>
          <w:numId w:val="2"/>
        </w:numPr>
      </w:pPr>
      <w:proofErr w:type="spellStart"/>
      <w:r>
        <w:t>Nwabuobi</w:t>
      </w:r>
      <w:proofErr w:type="spellEnd"/>
      <w:r>
        <w:t xml:space="preserve"> C, </w:t>
      </w:r>
      <w:proofErr w:type="spellStart"/>
      <w:r>
        <w:t>Odibo</w:t>
      </w:r>
      <w:proofErr w:type="spellEnd"/>
      <w:r>
        <w:t xml:space="preserve"> L, </w:t>
      </w:r>
      <w:proofErr w:type="spellStart"/>
      <w:r>
        <w:t>Camisasca-Lopina</w:t>
      </w:r>
      <w:proofErr w:type="spellEnd"/>
      <w:r>
        <w:t xml:space="preserve"> H, Leavitt K, </w:t>
      </w:r>
      <w:proofErr w:type="spellStart"/>
      <w:r>
        <w:t>Tuuli</w:t>
      </w:r>
      <w:proofErr w:type="spellEnd"/>
      <w:r>
        <w:t xml:space="preserve"> M, </w:t>
      </w:r>
      <w:proofErr w:type="spellStart"/>
      <w:r>
        <w:t>Odibo</w:t>
      </w:r>
      <w:proofErr w:type="spellEnd"/>
      <w:r>
        <w:t xml:space="preserve"> AO. Comparing INTERGROWTH-21st Century and Hadlock growth standards to predict small for gestational age and short-term neonatal outcomes. J </w:t>
      </w:r>
      <w:proofErr w:type="spellStart"/>
      <w:r>
        <w:t>Matern</w:t>
      </w:r>
      <w:proofErr w:type="spellEnd"/>
      <w:r>
        <w:t xml:space="preserve"> Fetal Neonatal Med. 2020;33(11):1906-1912</w:t>
      </w:r>
    </w:p>
    <w:p w14:paraId="0DCED488" w14:textId="3837F403" w:rsidR="00910453" w:rsidRDefault="005B715C" w:rsidP="0013660B">
      <w:pPr>
        <w:pStyle w:val="ListParagraph"/>
        <w:numPr>
          <w:ilvl w:val="0"/>
          <w:numId w:val="2"/>
        </w:numPr>
      </w:pPr>
      <w:r>
        <w:t xml:space="preserve">Dudley DJ, Goldenberg R, Conway D, Silver RM, Saade GR, Varner MW, et al; Stillbirth Research Collaborative Network. A new system for determining the causes of stillbirth. </w:t>
      </w:r>
      <w:proofErr w:type="spellStart"/>
      <w:r>
        <w:t>Obstet</w:t>
      </w:r>
      <w:proofErr w:type="spellEnd"/>
      <w:r>
        <w:t xml:space="preserve"> Gynecol. 2010;116(2 Pt 1):254-260.</w:t>
      </w:r>
    </w:p>
    <w:p w14:paraId="6AFC7509" w14:textId="35C09CDA" w:rsidR="001C2635" w:rsidRDefault="001C2635" w:rsidP="0013660B">
      <w:pPr>
        <w:pStyle w:val="ListParagraph"/>
        <w:numPr>
          <w:ilvl w:val="0"/>
          <w:numId w:val="2"/>
        </w:numPr>
      </w:pPr>
      <w:proofErr w:type="spellStart"/>
      <w:r>
        <w:t>Soofi</w:t>
      </w:r>
      <w:proofErr w:type="spellEnd"/>
      <w:r>
        <w:t xml:space="preserve"> SB, </w:t>
      </w:r>
      <w:proofErr w:type="spellStart"/>
      <w:r>
        <w:t>Ariff</w:t>
      </w:r>
      <w:proofErr w:type="spellEnd"/>
      <w:r>
        <w:t xml:space="preserve"> S, Khan U, </w:t>
      </w:r>
      <w:proofErr w:type="spellStart"/>
      <w:r>
        <w:t>Turab</w:t>
      </w:r>
      <w:proofErr w:type="spellEnd"/>
      <w:r>
        <w:t xml:space="preserve"> A, Khan GN, Habib A, </w:t>
      </w:r>
      <w:r w:rsidR="007308A3">
        <w:t>et al.</w:t>
      </w:r>
      <w:r>
        <w:t xml:space="preserve"> Diagnostic accuracy of WHO verbal autopsy tool for ascertaining causes of neonatal deaths in the urban setting of Pakistan: a hospital-based prospective study. BMC </w:t>
      </w:r>
      <w:proofErr w:type="spellStart"/>
      <w:r>
        <w:t>Pediatr</w:t>
      </w:r>
      <w:proofErr w:type="spellEnd"/>
      <w:r>
        <w:t xml:space="preserve">. 2015;15:144. </w:t>
      </w:r>
    </w:p>
    <w:p w14:paraId="7CDF128F" w14:textId="0741D5C5" w:rsidR="005B715C" w:rsidRDefault="001C2635" w:rsidP="0013660B">
      <w:pPr>
        <w:pStyle w:val="ListParagraph"/>
        <w:numPr>
          <w:ilvl w:val="0"/>
          <w:numId w:val="2"/>
        </w:numPr>
      </w:pPr>
      <w:proofErr w:type="spellStart"/>
      <w:r>
        <w:t>Breiman</w:t>
      </w:r>
      <w:proofErr w:type="spellEnd"/>
      <w:r>
        <w:t xml:space="preserve"> RF, Blau DM, </w:t>
      </w:r>
      <w:proofErr w:type="spellStart"/>
      <w:r>
        <w:t>Mutevedzi</w:t>
      </w:r>
      <w:proofErr w:type="spellEnd"/>
      <w:r>
        <w:t xml:space="preserve"> P, </w:t>
      </w:r>
      <w:proofErr w:type="spellStart"/>
      <w:r>
        <w:t>Akelo</w:t>
      </w:r>
      <w:proofErr w:type="spellEnd"/>
      <w:r>
        <w:t xml:space="preserve"> V, </w:t>
      </w:r>
      <w:proofErr w:type="spellStart"/>
      <w:r>
        <w:t>Mandomando</w:t>
      </w:r>
      <w:proofErr w:type="spellEnd"/>
      <w:r>
        <w:t xml:space="preserve"> I, </w:t>
      </w:r>
      <w:proofErr w:type="spellStart"/>
      <w:r>
        <w:t>Ogbuanu</w:t>
      </w:r>
      <w:proofErr w:type="spellEnd"/>
      <w:r>
        <w:t xml:space="preserve"> IU, et al; CHAMPS Consortium. Postmortem investigations and identification of multiple causes of child deaths: An analysis of findings from the Child Health and Mortality Prevention Surveillance (CHAMPS) network. </w:t>
      </w:r>
      <w:proofErr w:type="spellStart"/>
      <w:r>
        <w:t>PLoS</w:t>
      </w:r>
      <w:proofErr w:type="spellEnd"/>
      <w:r>
        <w:t xml:space="preserve"> Med. 2021;18(9):e1003814.</w:t>
      </w:r>
    </w:p>
    <w:sectPr w:rsidR="005B715C" w:rsidSect="003E0F4E">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FC2F" w14:textId="77777777" w:rsidR="00522117" w:rsidRDefault="00522117" w:rsidP="008F2BB8">
      <w:pPr>
        <w:spacing w:after="0" w:line="240" w:lineRule="auto"/>
      </w:pPr>
      <w:r>
        <w:separator/>
      </w:r>
    </w:p>
  </w:endnote>
  <w:endnote w:type="continuationSeparator" w:id="0">
    <w:p w14:paraId="5D2DCFC7" w14:textId="77777777" w:rsidR="00522117" w:rsidRDefault="00522117" w:rsidP="008F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asis MT Pro Black">
    <w:altName w:val="Amasis MT Pro Black"/>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031393"/>
      <w:docPartObj>
        <w:docPartGallery w:val="Page Numbers (Bottom of Page)"/>
        <w:docPartUnique/>
      </w:docPartObj>
    </w:sdtPr>
    <w:sdtEndPr>
      <w:rPr>
        <w:noProof/>
      </w:rPr>
    </w:sdtEndPr>
    <w:sdtContent>
      <w:p w14:paraId="20D487B7" w14:textId="5CADA979" w:rsidR="00B65744" w:rsidRDefault="00B65744">
        <w:pPr>
          <w:pStyle w:val="Footer"/>
          <w:jc w:val="center"/>
        </w:pPr>
        <w:r>
          <w:fldChar w:fldCharType="begin"/>
        </w:r>
        <w:r>
          <w:instrText xml:space="preserve"> PAGE   \* MERGEFORMAT </w:instrText>
        </w:r>
        <w:r>
          <w:fldChar w:fldCharType="separate"/>
        </w:r>
        <w:r w:rsidR="00C13581">
          <w:rPr>
            <w:noProof/>
          </w:rPr>
          <w:t>13</w:t>
        </w:r>
        <w:r>
          <w:rPr>
            <w:noProof/>
          </w:rPr>
          <w:fldChar w:fldCharType="end"/>
        </w:r>
      </w:p>
    </w:sdtContent>
  </w:sdt>
  <w:p w14:paraId="36EBEADD" w14:textId="77777777" w:rsidR="00B65744" w:rsidRDefault="00B65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A2E65" w14:textId="77777777" w:rsidR="00522117" w:rsidRDefault="00522117" w:rsidP="008F2BB8">
      <w:pPr>
        <w:spacing w:after="0" w:line="240" w:lineRule="auto"/>
      </w:pPr>
      <w:r>
        <w:separator/>
      </w:r>
    </w:p>
  </w:footnote>
  <w:footnote w:type="continuationSeparator" w:id="0">
    <w:p w14:paraId="4C3BC202" w14:textId="77777777" w:rsidR="00522117" w:rsidRDefault="00522117" w:rsidP="008F2B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30179"/>
    <w:multiLevelType w:val="hybridMultilevel"/>
    <w:tmpl w:val="58808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AE2069"/>
    <w:multiLevelType w:val="hybridMultilevel"/>
    <w:tmpl w:val="76865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74"/>
    <w:rsid w:val="00000EAF"/>
    <w:rsid w:val="00007F8F"/>
    <w:rsid w:val="000234DC"/>
    <w:rsid w:val="0002571D"/>
    <w:rsid w:val="000675F7"/>
    <w:rsid w:val="00074B0D"/>
    <w:rsid w:val="000804E0"/>
    <w:rsid w:val="00082FC3"/>
    <w:rsid w:val="000831BB"/>
    <w:rsid w:val="00094957"/>
    <w:rsid w:val="00095149"/>
    <w:rsid w:val="000A128E"/>
    <w:rsid w:val="000A3CF0"/>
    <w:rsid w:val="000C45F1"/>
    <w:rsid w:val="000D1BF6"/>
    <w:rsid w:val="000D6CDF"/>
    <w:rsid w:val="000E729E"/>
    <w:rsid w:val="000F00B7"/>
    <w:rsid w:val="00102151"/>
    <w:rsid w:val="00106579"/>
    <w:rsid w:val="00120CD4"/>
    <w:rsid w:val="0012615A"/>
    <w:rsid w:val="00127B16"/>
    <w:rsid w:val="0013024F"/>
    <w:rsid w:val="0013158E"/>
    <w:rsid w:val="001345D6"/>
    <w:rsid w:val="0013660B"/>
    <w:rsid w:val="00143D47"/>
    <w:rsid w:val="00160DE1"/>
    <w:rsid w:val="001631FD"/>
    <w:rsid w:val="001672E2"/>
    <w:rsid w:val="0017126C"/>
    <w:rsid w:val="00173040"/>
    <w:rsid w:val="00183B8B"/>
    <w:rsid w:val="00184D8A"/>
    <w:rsid w:val="00186CCE"/>
    <w:rsid w:val="00196EBD"/>
    <w:rsid w:val="001A0F26"/>
    <w:rsid w:val="001C0112"/>
    <w:rsid w:val="001C2635"/>
    <w:rsid w:val="001C40D5"/>
    <w:rsid w:val="001C6C80"/>
    <w:rsid w:val="001D1BED"/>
    <w:rsid w:val="001D6385"/>
    <w:rsid w:val="001E2259"/>
    <w:rsid w:val="001E272E"/>
    <w:rsid w:val="001E3EE0"/>
    <w:rsid w:val="001F0638"/>
    <w:rsid w:val="001F063F"/>
    <w:rsid w:val="001F1802"/>
    <w:rsid w:val="00212CB9"/>
    <w:rsid w:val="002442C4"/>
    <w:rsid w:val="00253C78"/>
    <w:rsid w:val="00273C4F"/>
    <w:rsid w:val="002A451D"/>
    <w:rsid w:val="002A4FC0"/>
    <w:rsid w:val="002C1ACA"/>
    <w:rsid w:val="002C32DE"/>
    <w:rsid w:val="002D08BA"/>
    <w:rsid w:val="002D36CE"/>
    <w:rsid w:val="002E66A0"/>
    <w:rsid w:val="002F1234"/>
    <w:rsid w:val="003000F2"/>
    <w:rsid w:val="00300F8F"/>
    <w:rsid w:val="00303EA7"/>
    <w:rsid w:val="00304A08"/>
    <w:rsid w:val="003066E8"/>
    <w:rsid w:val="003078FE"/>
    <w:rsid w:val="0033379C"/>
    <w:rsid w:val="0033754A"/>
    <w:rsid w:val="0034498A"/>
    <w:rsid w:val="0035414A"/>
    <w:rsid w:val="00354A73"/>
    <w:rsid w:val="00360063"/>
    <w:rsid w:val="00366030"/>
    <w:rsid w:val="003730A6"/>
    <w:rsid w:val="00376708"/>
    <w:rsid w:val="0039289B"/>
    <w:rsid w:val="003A4B75"/>
    <w:rsid w:val="003B5CBB"/>
    <w:rsid w:val="003C1425"/>
    <w:rsid w:val="003C3BBF"/>
    <w:rsid w:val="003D6892"/>
    <w:rsid w:val="003E0E64"/>
    <w:rsid w:val="003E0F4E"/>
    <w:rsid w:val="003F03C4"/>
    <w:rsid w:val="00435B37"/>
    <w:rsid w:val="00443AF5"/>
    <w:rsid w:val="00451CF0"/>
    <w:rsid w:val="004572D8"/>
    <w:rsid w:val="00466101"/>
    <w:rsid w:val="0047555A"/>
    <w:rsid w:val="00483023"/>
    <w:rsid w:val="004A35C9"/>
    <w:rsid w:val="004A66C2"/>
    <w:rsid w:val="004B59A1"/>
    <w:rsid w:val="004B6DA8"/>
    <w:rsid w:val="004C016D"/>
    <w:rsid w:val="004C09E5"/>
    <w:rsid w:val="004C54D4"/>
    <w:rsid w:val="004F06CC"/>
    <w:rsid w:val="004F38E6"/>
    <w:rsid w:val="004F5B2C"/>
    <w:rsid w:val="005025A1"/>
    <w:rsid w:val="0051034E"/>
    <w:rsid w:val="005167B2"/>
    <w:rsid w:val="00522117"/>
    <w:rsid w:val="0052644B"/>
    <w:rsid w:val="00526F4E"/>
    <w:rsid w:val="00535FF3"/>
    <w:rsid w:val="00543D85"/>
    <w:rsid w:val="00553B37"/>
    <w:rsid w:val="00566DBA"/>
    <w:rsid w:val="0057195F"/>
    <w:rsid w:val="0058098A"/>
    <w:rsid w:val="00585080"/>
    <w:rsid w:val="0059412C"/>
    <w:rsid w:val="005A660C"/>
    <w:rsid w:val="005B287C"/>
    <w:rsid w:val="005B3AA8"/>
    <w:rsid w:val="005B715C"/>
    <w:rsid w:val="005E2F1B"/>
    <w:rsid w:val="005E7A69"/>
    <w:rsid w:val="005F7CCB"/>
    <w:rsid w:val="00602591"/>
    <w:rsid w:val="0060593E"/>
    <w:rsid w:val="00613040"/>
    <w:rsid w:val="00627D5A"/>
    <w:rsid w:val="0063339E"/>
    <w:rsid w:val="00635F3B"/>
    <w:rsid w:val="006423A2"/>
    <w:rsid w:val="006440BB"/>
    <w:rsid w:val="0065624F"/>
    <w:rsid w:val="006624FF"/>
    <w:rsid w:val="006714F6"/>
    <w:rsid w:val="00673825"/>
    <w:rsid w:val="00685B12"/>
    <w:rsid w:val="0069679E"/>
    <w:rsid w:val="006A18CC"/>
    <w:rsid w:val="006A5BE2"/>
    <w:rsid w:val="006A7552"/>
    <w:rsid w:val="006B2E47"/>
    <w:rsid w:val="006B43C6"/>
    <w:rsid w:val="006D204A"/>
    <w:rsid w:val="006F30E7"/>
    <w:rsid w:val="006F5BE2"/>
    <w:rsid w:val="00702CFA"/>
    <w:rsid w:val="00711874"/>
    <w:rsid w:val="00712551"/>
    <w:rsid w:val="00720CF7"/>
    <w:rsid w:val="00724F24"/>
    <w:rsid w:val="007308A3"/>
    <w:rsid w:val="007452D8"/>
    <w:rsid w:val="007511C8"/>
    <w:rsid w:val="007625BD"/>
    <w:rsid w:val="00762A38"/>
    <w:rsid w:val="00776AB5"/>
    <w:rsid w:val="007813E5"/>
    <w:rsid w:val="0078429C"/>
    <w:rsid w:val="00787AE6"/>
    <w:rsid w:val="007917E8"/>
    <w:rsid w:val="007A484F"/>
    <w:rsid w:val="007A4C6F"/>
    <w:rsid w:val="007B20CB"/>
    <w:rsid w:val="007C0B8D"/>
    <w:rsid w:val="007C6D5B"/>
    <w:rsid w:val="007D214E"/>
    <w:rsid w:val="007D4E8F"/>
    <w:rsid w:val="007D6BD8"/>
    <w:rsid w:val="007E3C52"/>
    <w:rsid w:val="00813C01"/>
    <w:rsid w:val="00826C14"/>
    <w:rsid w:val="00842B2B"/>
    <w:rsid w:val="00847FAE"/>
    <w:rsid w:val="00850BAC"/>
    <w:rsid w:val="00877819"/>
    <w:rsid w:val="00890C9A"/>
    <w:rsid w:val="008A442B"/>
    <w:rsid w:val="008C1620"/>
    <w:rsid w:val="008C2D44"/>
    <w:rsid w:val="008C3A18"/>
    <w:rsid w:val="008C5A29"/>
    <w:rsid w:val="008D4C23"/>
    <w:rsid w:val="008E0A64"/>
    <w:rsid w:val="008E20BB"/>
    <w:rsid w:val="008E2E45"/>
    <w:rsid w:val="008F2BB8"/>
    <w:rsid w:val="00910453"/>
    <w:rsid w:val="009109E5"/>
    <w:rsid w:val="00921267"/>
    <w:rsid w:val="00940E81"/>
    <w:rsid w:val="0094282B"/>
    <w:rsid w:val="00950DB3"/>
    <w:rsid w:val="0097376A"/>
    <w:rsid w:val="009773A7"/>
    <w:rsid w:val="00977809"/>
    <w:rsid w:val="00983B22"/>
    <w:rsid w:val="0099486E"/>
    <w:rsid w:val="00996F64"/>
    <w:rsid w:val="009A35D5"/>
    <w:rsid w:val="009B7EF9"/>
    <w:rsid w:val="009C5090"/>
    <w:rsid w:val="009D22B4"/>
    <w:rsid w:val="009E4306"/>
    <w:rsid w:val="009E77E4"/>
    <w:rsid w:val="00A1649F"/>
    <w:rsid w:val="00A206CA"/>
    <w:rsid w:val="00A40249"/>
    <w:rsid w:val="00A413AA"/>
    <w:rsid w:val="00A41EAA"/>
    <w:rsid w:val="00A5344F"/>
    <w:rsid w:val="00A55AF1"/>
    <w:rsid w:val="00A636FB"/>
    <w:rsid w:val="00A6395E"/>
    <w:rsid w:val="00A675AA"/>
    <w:rsid w:val="00A76BF2"/>
    <w:rsid w:val="00A81D29"/>
    <w:rsid w:val="00A828B0"/>
    <w:rsid w:val="00A84895"/>
    <w:rsid w:val="00A85A84"/>
    <w:rsid w:val="00A9429D"/>
    <w:rsid w:val="00AB6F3A"/>
    <w:rsid w:val="00AC4D82"/>
    <w:rsid w:val="00AD52E7"/>
    <w:rsid w:val="00AF3123"/>
    <w:rsid w:val="00AF76B9"/>
    <w:rsid w:val="00B1418C"/>
    <w:rsid w:val="00B20FE4"/>
    <w:rsid w:val="00B31D88"/>
    <w:rsid w:val="00B3395A"/>
    <w:rsid w:val="00B43E05"/>
    <w:rsid w:val="00B502C5"/>
    <w:rsid w:val="00B510B2"/>
    <w:rsid w:val="00B60656"/>
    <w:rsid w:val="00B63274"/>
    <w:rsid w:val="00B65744"/>
    <w:rsid w:val="00B76A82"/>
    <w:rsid w:val="00B77247"/>
    <w:rsid w:val="00B773BA"/>
    <w:rsid w:val="00B8347C"/>
    <w:rsid w:val="00BC26DB"/>
    <w:rsid w:val="00BC761A"/>
    <w:rsid w:val="00BD3FFB"/>
    <w:rsid w:val="00BE4B89"/>
    <w:rsid w:val="00BE4C42"/>
    <w:rsid w:val="00BF683C"/>
    <w:rsid w:val="00C024E7"/>
    <w:rsid w:val="00C13581"/>
    <w:rsid w:val="00C22494"/>
    <w:rsid w:val="00C444AE"/>
    <w:rsid w:val="00C60C20"/>
    <w:rsid w:val="00C63809"/>
    <w:rsid w:val="00C65B11"/>
    <w:rsid w:val="00C66B3C"/>
    <w:rsid w:val="00C744E0"/>
    <w:rsid w:val="00C81DFF"/>
    <w:rsid w:val="00C92BA3"/>
    <w:rsid w:val="00C97E2F"/>
    <w:rsid w:val="00CA6EF1"/>
    <w:rsid w:val="00CA7D60"/>
    <w:rsid w:val="00CD0FA6"/>
    <w:rsid w:val="00CD15D7"/>
    <w:rsid w:val="00CD31D6"/>
    <w:rsid w:val="00CF19A8"/>
    <w:rsid w:val="00CF2481"/>
    <w:rsid w:val="00CF2791"/>
    <w:rsid w:val="00D00B7F"/>
    <w:rsid w:val="00D16D7B"/>
    <w:rsid w:val="00D33F7A"/>
    <w:rsid w:val="00D40F16"/>
    <w:rsid w:val="00D42EAA"/>
    <w:rsid w:val="00D50CE2"/>
    <w:rsid w:val="00D71722"/>
    <w:rsid w:val="00D87376"/>
    <w:rsid w:val="00D923B1"/>
    <w:rsid w:val="00D9610E"/>
    <w:rsid w:val="00DA5186"/>
    <w:rsid w:val="00DB101B"/>
    <w:rsid w:val="00DB460D"/>
    <w:rsid w:val="00DC7CE6"/>
    <w:rsid w:val="00DF40B4"/>
    <w:rsid w:val="00E1072D"/>
    <w:rsid w:val="00E1351E"/>
    <w:rsid w:val="00E2290E"/>
    <w:rsid w:val="00E22F00"/>
    <w:rsid w:val="00E45B57"/>
    <w:rsid w:val="00E65791"/>
    <w:rsid w:val="00E723E8"/>
    <w:rsid w:val="00E856AC"/>
    <w:rsid w:val="00EA2CC9"/>
    <w:rsid w:val="00EA34F3"/>
    <w:rsid w:val="00EA4F27"/>
    <w:rsid w:val="00EB004D"/>
    <w:rsid w:val="00EB5B0F"/>
    <w:rsid w:val="00EB6A63"/>
    <w:rsid w:val="00EC2C0A"/>
    <w:rsid w:val="00EC4168"/>
    <w:rsid w:val="00ED415F"/>
    <w:rsid w:val="00ED4A9F"/>
    <w:rsid w:val="00EE142A"/>
    <w:rsid w:val="00EF02CB"/>
    <w:rsid w:val="00EF4622"/>
    <w:rsid w:val="00F233D8"/>
    <w:rsid w:val="00F424B6"/>
    <w:rsid w:val="00F43D4B"/>
    <w:rsid w:val="00F44C70"/>
    <w:rsid w:val="00F53C6D"/>
    <w:rsid w:val="00F67EBE"/>
    <w:rsid w:val="00F80052"/>
    <w:rsid w:val="00F83AA3"/>
    <w:rsid w:val="00F83FAA"/>
    <w:rsid w:val="00F927E6"/>
    <w:rsid w:val="00F977CF"/>
    <w:rsid w:val="00FA737A"/>
    <w:rsid w:val="00FA79E3"/>
    <w:rsid w:val="00FC3BD4"/>
    <w:rsid w:val="00FD50F6"/>
    <w:rsid w:val="00FE22D9"/>
    <w:rsid w:val="00FE469E"/>
    <w:rsid w:val="00FE7147"/>
    <w:rsid w:val="00FF0B34"/>
    <w:rsid w:val="00FF1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EFCB"/>
  <w15:chartTrackingRefBased/>
  <w15:docId w15:val="{EFEB6409-C8D6-4937-9C9F-809BDD6B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233D8"/>
    <w:pPr>
      <w:spacing w:before="100" w:beforeAutospacing="1" w:after="100" w:afterAutospacing="1" w:line="240" w:lineRule="auto"/>
      <w:outlineLvl w:val="0"/>
    </w:pPr>
    <w:rPr>
      <w:rFonts w:ascii="Amasis MT Pro Black" w:eastAsia="Times New Roman" w:hAnsi="Amasis MT Pro Black" w:cs="Times New Roman"/>
      <w:b/>
      <w:bCs/>
      <w:kern w:val="36"/>
      <w:sz w:val="24"/>
      <w:szCs w:val="48"/>
    </w:rPr>
  </w:style>
  <w:style w:type="paragraph" w:styleId="Heading2">
    <w:name w:val="heading 2"/>
    <w:basedOn w:val="Normal"/>
    <w:next w:val="Normal"/>
    <w:link w:val="Heading2Char"/>
    <w:uiPriority w:val="9"/>
    <w:semiHidden/>
    <w:unhideWhenUsed/>
    <w:qFormat/>
    <w:rsid w:val="009104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3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3C6"/>
    <w:rPr>
      <w:rFonts w:ascii="Segoe UI" w:hAnsi="Segoe UI" w:cs="Segoe UI"/>
      <w:sz w:val="18"/>
      <w:szCs w:val="18"/>
    </w:rPr>
  </w:style>
  <w:style w:type="character" w:customStyle="1" w:styleId="Heading1Char">
    <w:name w:val="Heading 1 Char"/>
    <w:basedOn w:val="DefaultParagraphFont"/>
    <w:link w:val="Heading1"/>
    <w:uiPriority w:val="9"/>
    <w:rsid w:val="00F233D8"/>
    <w:rPr>
      <w:rFonts w:ascii="Amasis MT Pro Black" w:eastAsia="Times New Roman" w:hAnsi="Amasis MT Pro Black" w:cs="Times New Roman"/>
      <w:b/>
      <w:bCs/>
      <w:kern w:val="36"/>
      <w:sz w:val="24"/>
      <w:szCs w:val="48"/>
    </w:rPr>
  </w:style>
  <w:style w:type="paragraph" w:styleId="Header">
    <w:name w:val="header"/>
    <w:basedOn w:val="Normal"/>
    <w:link w:val="HeaderChar"/>
    <w:uiPriority w:val="99"/>
    <w:unhideWhenUsed/>
    <w:rsid w:val="008F2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BB8"/>
  </w:style>
  <w:style w:type="paragraph" w:styleId="Footer">
    <w:name w:val="footer"/>
    <w:basedOn w:val="Normal"/>
    <w:link w:val="FooterChar"/>
    <w:uiPriority w:val="99"/>
    <w:unhideWhenUsed/>
    <w:rsid w:val="008F2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BB8"/>
  </w:style>
  <w:style w:type="character" w:styleId="CommentReference">
    <w:name w:val="annotation reference"/>
    <w:basedOn w:val="DefaultParagraphFont"/>
    <w:uiPriority w:val="99"/>
    <w:semiHidden/>
    <w:unhideWhenUsed/>
    <w:rsid w:val="004572D8"/>
    <w:rPr>
      <w:sz w:val="16"/>
      <w:szCs w:val="16"/>
    </w:rPr>
  </w:style>
  <w:style w:type="paragraph" w:styleId="CommentText">
    <w:name w:val="annotation text"/>
    <w:basedOn w:val="Normal"/>
    <w:link w:val="CommentTextChar"/>
    <w:uiPriority w:val="99"/>
    <w:semiHidden/>
    <w:unhideWhenUsed/>
    <w:rsid w:val="004572D8"/>
    <w:pPr>
      <w:spacing w:line="240" w:lineRule="auto"/>
    </w:pPr>
    <w:rPr>
      <w:sz w:val="20"/>
      <w:szCs w:val="20"/>
    </w:rPr>
  </w:style>
  <w:style w:type="character" w:customStyle="1" w:styleId="CommentTextChar">
    <w:name w:val="Comment Text Char"/>
    <w:basedOn w:val="DefaultParagraphFont"/>
    <w:link w:val="CommentText"/>
    <w:uiPriority w:val="99"/>
    <w:semiHidden/>
    <w:rsid w:val="004572D8"/>
    <w:rPr>
      <w:sz w:val="20"/>
      <w:szCs w:val="20"/>
    </w:rPr>
  </w:style>
  <w:style w:type="paragraph" w:styleId="CommentSubject">
    <w:name w:val="annotation subject"/>
    <w:basedOn w:val="CommentText"/>
    <w:next w:val="CommentText"/>
    <w:link w:val="CommentSubjectChar"/>
    <w:uiPriority w:val="99"/>
    <w:semiHidden/>
    <w:unhideWhenUsed/>
    <w:rsid w:val="004572D8"/>
    <w:rPr>
      <w:b/>
      <w:bCs/>
    </w:rPr>
  </w:style>
  <w:style w:type="character" w:customStyle="1" w:styleId="CommentSubjectChar">
    <w:name w:val="Comment Subject Char"/>
    <w:basedOn w:val="CommentTextChar"/>
    <w:link w:val="CommentSubject"/>
    <w:uiPriority w:val="99"/>
    <w:semiHidden/>
    <w:rsid w:val="004572D8"/>
    <w:rPr>
      <w:b/>
      <w:bCs/>
      <w:sz w:val="20"/>
      <w:szCs w:val="20"/>
    </w:rPr>
  </w:style>
  <w:style w:type="character" w:customStyle="1" w:styleId="Heading2Char">
    <w:name w:val="Heading 2 Char"/>
    <w:basedOn w:val="DefaultParagraphFont"/>
    <w:link w:val="Heading2"/>
    <w:uiPriority w:val="9"/>
    <w:semiHidden/>
    <w:rsid w:val="0091045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10453"/>
    <w:rPr>
      <w:color w:val="0000FF"/>
      <w:u w:val="single"/>
    </w:rPr>
  </w:style>
  <w:style w:type="character" w:customStyle="1" w:styleId="doi">
    <w:name w:val="doi"/>
    <w:basedOn w:val="DefaultParagraphFont"/>
    <w:rsid w:val="00910453"/>
  </w:style>
  <w:style w:type="character" w:customStyle="1" w:styleId="fm-citation-ids-label">
    <w:name w:val="fm-citation-ids-label"/>
    <w:basedOn w:val="DefaultParagraphFont"/>
    <w:rsid w:val="00910453"/>
  </w:style>
  <w:style w:type="paragraph" w:customStyle="1" w:styleId="p">
    <w:name w:val="p"/>
    <w:basedOn w:val="Normal"/>
    <w:rsid w:val="0091045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E4306"/>
    <w:pPr>
      <w:ind w:left="720"/>
      <w:contextualSpacing/>
    </w:pPr>
  </w:style>
  <w:style w:type="character" w:customStyle="1" w:styleId="person-group">
    <w:name w:val="person-group"/>
    <w:basedOn w:val="DefaultParagraphFont"/>
    <w:rsid w:val="00483023"/>
  </w:style>
  <w:style w:type="character" w:customStyle="1" w:styleId="name">
    <w:name w:val="name"/>
    <w:basedOn w:val="DefaultParagraphFont"/>
    <w:rsid w:val="00483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2601">
      <w:bodyDiv w:val="1"/>
      <w:marLeft w:val="0"/>
      <w:marRight w:val="0"/>
      <w:marTop w:val="0"/>
      <w:marBottom w:val="0"/>
      <w:divBdr>
        <w:top w:val="none" w:sz="0" w:space="0" w:color="auto"/>
        <w:left w:val="none" w:sz="0" w:space="0" w:color="auto"/>
        <w:bottom w:val="none" w:sz="0" w:space="0" w:color="auto"/>
        <w:right w:val="none" w:sz="0" w:space="0" w:color="auto"/>
      </w:divBdr>
      <w:divsChild>
        <w:div w:id="554509385">
          <w:marLeft w:val="0"/>
          <w:marRight w:val="0"/>
          <w:marTop w:val="0"/>
          <w:marBottom w:val="0"/>
          <w:divBdr>
            <w:top w:val="none" w:sz="0" w:space="0" w:color="auto"/>
            <w:left w:val="none" w:sz="0" w:space="0" w:color="auto"/>
            <w:bottom w:val="none" w:sz="0" w:space="0" w:color="auto"/>
            <w:right w:val="none" w:sz="0" w:space="0" w:color="auto"/>
          </w:divBdr>
          <w:divsChild>
            <w:div w:id="150874148">
              <w:marLeft w:val="0"/>
              <w:marRight w:val="0"/>
              <w:marTop w:val="0"/>
              <w:marBottom w:val="0"/>
              <w:divBdr>
                <w:top w:val="none" w:sz="0" w:space="0" w:color="auto"/>
                <w:left w:val="none" w:sz="0" w:space="0" w:color="auto"/>
                <w:bottom w:val="none" w:sz="0" w:space="0" w:color="auto"/>
                <w:right w:val="none" w:sz="0" w:space="0" w:color="auto"/>
              </w:divBdr>
            </w:div>
            <w:div w:id="78795090">
              <w:marLeft w:val="0"/>
              <w:marRight w:val="0"/>
              <w:marTop w:val="0"/>
              <w:marBottom w:val="0"/>
              <w:divBdr>
                <w:top w:val="none" w:sz="0" w:space="0" w:color="auto"/>
                <w:left w:val="none" w:sz="0" w:space="0" w:color="auto"/>
                <w:bottom w:val="none" w:sz="0" w:space="0" w:color="auto"/>
                <w:right w:val="none" w:sz="0" w:space="0" w:color="auto"/>
              </w:divBdr>
            </w:div>
            <w:div w:id="1720937692">
              <w:marLeft w:val="0"/>
              <w:marRight w:val="0"/>
              <w:marTop w:val="0"/>
              <w:marBottom w:val="0"/>
              <w:divBdr>
                <w:top w:val="none" w:sz="0" w:space="0" w:color="auto"/>
                <w:left w:val="none" w:sz="0" w:space="0" w:color="auto"/>
                <w:bottom w:val="none" w:sz="0" w:space="0" w:color="auto"/>
                <w:right w:val="none" w:sz="0" w:space="0" w:color="auto"/>
              </w:divBdr>
            </w:div>
            <w:div w:id="1847403740">
              <w:marLeft w:val="0"/>
              <w:marRight w:val="0"/>
              <w:marTop w:val="0"/>
              <w:marBottom w:val="0"/>
              <w:divBdr>
                <w:top w:val="none" w:sz="0" w:space="0" w:color="auto"/>
                <w:left w:val="none" w:sz="0" w:space="0" w:color="auto"/>
                <w:bottom w:val="none" w:sz="0" w:space="0" w:color="auto"/>
                <w:right w:val="none" w:sz="0" w:space="0" w:color="auto"/>
              </w:divBdr>
            </w:div>
            <w:div w:id="371810096">
              <w:marLeft w:val="0"/>
              <w:marRight w:val="0"/>
              <w:marTop w:val="0"/>
              <w:marBottom w:val="0"/>
              <w:divBdr>
                <w:top w:val="none" w:sz="0" w:space="0" w:color="auto"/>
                <w:left w:val="none" w:sz="0" w:space="0" w:color="auto"/>
                <w:bottom w:val="none" w:sz="0" w:space="0" w:color="auto"/>
                <w:right w:val="none" w:sz="0" w:space="0" w:color="auto"/>
              </w:divBdr>
            </w:div>
            <w:div w:id="1366444727">
              <w:marLeft w:val="0"/>
              <w:marRight w:val="0"/>
              <w:marTop w:val="0"/>
              <w:marBottom w:val="0"/>
              <w:divBdr>
                <w:top w:val="none" w:sz="0" w:space="0" w:color="auto"/>
                <w:left w:val="none" w:sz="0" w:space="0" w:color="auto"/>
                <w:bottom w:val="none" w:sz="0" w:space="0" w:color="auto"/>
                <w:right w:val="none" w:sz="0" w:space="0" w:color="auto"/>
              </w:divBdr>
            </w:div>
            <w:div w:id="1676110811">
              <w:marLeft w:val="0"/>
              <w:marRight w:val="0"/>
              <w:marTop w:val="0"/>
              <w:marBottom w:val="0"/>
              <w:divBdr>
                <w:top w:val="none" w:sz="0" w:space="0" w:color="auto"/>
                <w:left w:val="none" w:sz="0" w:space="0" w:color="auto"/>
                <w:bottom w:val="none" w:sz="0" w:space="0" w:color="auto"/>
                <w:right w:val="none" w:sz="0" w:space="0" w:color="auto"/>
              </w:divBdr>
            </w:div>
            <w:div w:id="1801146355">
              <w:marLeft w:val="0"/>
              <w:marRight w:val="0"/>
              <w:marTop w:val="0"/>
              <w:marBottom w:val="0"/>
              <w:divBdr>
                <w:top w:val="none" w:sz="0" w:space="0" w:color="auto"/>
                <w:left w:val="none" w:sz="0" w:space="0" w:color="auto"/>
                <w:bottom w:val="none" w:sz="0" w:space="0" w:color="auto"/>
                <w:right w:val="none" w:sz="0" w:space="0" w:color="auto"/>
              </w:divBdr>
            </w:div>
            <w:div w:id="727454099">
              <w:marLeft w:val="0"/>
              <w:marRight w:val="0"/>
              <w:marTop w:val="0"/>
              <w:marBottom w:val="0"/>
              <w:divBdr>
                <w:top w:val="none" w:sz="0" w:space="0" w:color="auto"/>
                <w:left w:val="none" w:sz="0" w:space="0" w:color="auto"/>
                <w:bottom w:val="none" w:sz="0" w:space="0" w:color="auto"/>
                <w:right w:val="none" w:sz="0" w:space="0" w:color="auto"/>
              </w:divBdr>
            </w:div>
            <w:div w:id="1193229315">
              <w:marLeft w:val="0"/>
              <w:marRight w:val="0"/>
              <w:marTop w:val="0"/>
              <w:marBottom w:val="0"/>
              <w:divBdr>
                <w:top w:val="none" w:sz="0" w:space="0" w:color="auto"/>
                <w:left w:val="none" w:sz="0" w:space="0" w:color="auto"/>
                <w:bottom w:val="none" w:sz="0" w:space="0" w:color="auto"/>
                <w:right w:val="none" w:sz="0" w:space="0" w:color="auto"/>
              </w:divBdr>
            </w:div>
            <w:div w:id="1653752126">
              <w:marLeft w:val="0"/>
              <w:marRight w:val="0"/>
              <w:marTop w:val="0"/>
              <w:marBottom w:val="0"/>
              <w:divBdr>
                <w:top w:val="none" w:sz="0" w:space="0" w:color="auto"/>
                <w:left w:val="none" w:sz="0" w:space="0" w:color="auto"/>
                <w:bottom w:val="none" w:sz="0" w:space="0" w:color="auto"/>
                <w:right w:val="none" w:sz="0" w:space="0" w:color="auto"/>
              </w:divBdr>
            </w:div>
            <w:div w:id="26177070">
              <w:marLeft w:val="0"/>
              <w:marRight w:val="0"/>
              <w:marTop w:val="0"/>
              <w:marBottom w:val="0"/>
              <w:divBdr>
                <w:top w:val="none" w:sz="0" w:space="0" w:color="auto"/>
                <w:left w:val="none" w:sz="0" w:space="0" w:color="auto"/>
                <w:bottom w:val="none" w:sz="0" w:space="0" w:color="auto"/>
                <w:right w:val="none" w:sz="0" w:space="0" w:color="auto"/>
              </w:divBdr>
            </w:div>
            <w:div w:id="31321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73982">
      <w:bodyDiv w:val="1"/>
      <w:marLeft w:val="0"/>
      <w:marRight w:val="0"/>
      <w:marTop w:val="0"/>
      <w:marBottom w:val="0"/>
      <w:divBdr>
        <w:top w:val="none" w:sz="0" w:space="0" w:color="auto"/>
        <w:left w:val="none" w:sz="0" w:space="0" w:color="auto"/>
        <w:bottom w:val="none" w:sz="0" w:space="0" w:color="auto"/>
        <w:right w:val="none" w:sz="0" w:space="0" w:color="auto"/>
      </w:divBdr>
      <w:divsChild>
        <w:div w:id="821578551">
          <w:marLeft w:val="0"/>
          <w:marRight w:val="0"/>
          <w:marTop w:val="0"/>
          <w:marBottom w:val="0"/>
          <w:divBdr>
            <w:top w:val="none" w:sz="0" w:space="0" w:color="auto"/>
            <w:left w:val="none" w:sz="0" w:space="0" w:color="auto"/>
            <w:bottom w:val="none" w:sz="0" w:space="0" w:color="auto"/>
            <w:right w:val="none" w:sz="0" w:space="0" w:color="auto"/>
          </w:divBdr>
          <w:divsChild>
            <w:div w:id="445930946">
              <w:marLeft w:val="0"/>
              <w:marRight w:val="0"/>
              <w:marTop w:val="0"/>
              <w:marBottom w:val="0"/>
              <w:divBdr>
                <w:top w:val="none" w:sz="0" w:space="0" w:color="auto"/>
                <w:left w:val="none" w:sz="0" w:space="0" w:color="auto"/>
                <w:bottom w:val="none" w:sz="0" w:space="0" w:color="auto"/>
                <w:right w:val="none" w:sz="0" w:space="0" w:color="auto"/>
              </w:divBdr>
              <w:divsChild>
                <w:div w:id="253049893">
                  <w:marLeft w:val="0"/>
                  <w:marRight w:val="0"/>
                  <w:marTop w:val="0"/>
                  <w:marBottom w:val="0"/>
                  <w:divBdr>
                    <w:top w:val="none" w:sz="0" w:space="0" w:color="auto"/>
                    <w:left w:val="none" w:sz="0" w:space="0" w:color="auto"/>
                    <w:bottom w:val="none" w:sz="0" w:space="0" w:color="auto"/>
                    <w:right w:val="none" w:sz="0" w:space="0" w:color="auto"/>
                  </w:divBdr>
                  <w:divsChild>
                    <w:div w:id="1938556228">
                      <w:marLeft w:val="0"/>
                      <w:marRight w:val="0"/>
                      <w:marTop w:val="0"/>
                      <w:marBottom w:val="0"/>
                      <w:divBdr>
                        <w:top w:val="none" w:sz="0" w:space="0" w:color="auto"/>
                        <w:left w:val="none" w:sz="0" w:space="0" w:color="auto"/>
                        <w:bottom w:val="none" w:sz="0" w:space="0" w:color="auto"/>
                        <w:right w:val="none" w:sz="0" w:space="0" w:color="auto"/>
                      </w:divBdr>
                      <w:divsChild>
                        <w:div w:id="615211889">
                          <w:marLeft w:val="0"/>
                          <w:marRight w:val="0"/>
                          <w:marTop w:val="0"/>
                          <w:marBottom w:val="0"/>
                          <w:divBdr>
                            <w:top w:val="none" w:sz="0" w:space="0" w:color="auto"/>
                            <w:left w:val="none" w:sz="0" w:space="0" w:color="auto"/>
                            <w:bottom w:val="none" w:sz="0" w:space="0" w:color="auto"/>
                            <w:right w:val="none" w:sz="0" w:space="0" w:color="auto"/>
                          </w:divBdr>
                        </w:div>
                        <w:div w:id="23424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23155">
                  <w:marLeft w:val="0"/>
                  <w:marRight w:val="0"/>
                  <w:marTop w:val="0"/>
                  <w:marBottom w:val="0"/>
                  <w:divBdr>
                    <w:top w:val="none" w:sz="0" w:space="0" w:color="auto"/>
                    <w:left w:val="none" w:sz="0" w:space="0" w:color="auto"/>
                    <w:bottom w:val="none" w:sz="0" w:space="0" w:color="auto"/>
                    <w:right w:val="none" w:sz="0" w:space="0" w:color="auto"/>
                  </w:divBdr>
                  <w:divsChild>
                    <w:div w:id="1898667856">
                      <w:marLeft w:val="0"/>
                      <w:marRight w:val="0"/>
                      <w:marTop w:val="0"/>
                      <w:marBottom w:val="0"/>
                      <w:divBdr>
                        <w:top w:val="none" w:sz="0" w:space="0" w:color="auto"/>
                        <w:left w:val="none" w:sz="0" w:space="0" w:color="auto"/>
                        <w:bottom w:val="none" w:sz="0" w:space="0" w:color="auto"/>
                        <w:right w:val="none" w:sz="0" w:space="0" w:color="auto"/>
                      </w:divBdr>
                    </w:div>
                    <w:div w:id="5141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6317">
              <w:marLeft w:val="0"/>
              <w:marRight w:val="0"/>
              <w:marTop w:val="0"/>
              <w:marBottom w:val="0"/>
              <w:divBdr>
                <w:top w:val="none" w:sz="0" w:space="0" w:color="auto"/>
                <w:left w:val="none" w:sz="0" w:space="0" w:color="auto"/>
                <w:bottom w:val="none" w:sz="0" w:space="0" w:color="auto"/>
                <w:right w:val="none" w:sz="0" w:space="0" w:color="auto"/>
              </w:divBdr>
              <w:divsChild>
                <w:div w:id="1914578633">
                  <w:marLeft w:val="0"/>
                  <w:marRight w:val="0"/>
                  <w:marTop w:val="0"/>
                  <w:marBottom w:val="0"/>
                  <w:divBdr>
                    <w:top w:val="none" w:sz="0" w:space="0" w:color="auto"/>
                    <w:left w:val="none" w:sz="0" w:space="0" w:color="auto"/>
                    <w:bottom w:val="none" w:sz="0" w:space="0" w:color="auto"/>
                    <w:right w:val="none" w:sz="0" w:space="0" w:color="auto"/>
                  </w:divBdr>
                </w:div>
              </w:divsChild>
            </w:div>
            <w:div w:id="1186484170">
              <w:marLeft w:val="0"/>
              <w:marRight w:val="0"/>
              <w:marTop w:val="0"/>
              <w:marBottom w:val="0"/>
              <w:divBdr>
                <w:top w:val="none" w:sz="0" w:space="0" w:color="auto"/>
                <w:left w:val="none" w:sz="0" w:space="0" w:color="auto"/>
                <w:bottom w:val="none" w:sz="0" w:space="0" w:color="auto"/>
                <w:right w:val="none" w:sz="0" w:space="0" w:color="auto"/>
              </w:divBdr>
              <w:divsChild>
                <w:div w:id="717974130">
                  <w:marLeft w:val="0"/>
                  <w:marRight w:val="0"/>
                  <w:marTop w:val="0"/>
                  <w:marBottom w:val="0"/>
                  <w:divBdr>
                    <w:top w:val="none" w:sz="0" w:space="0" w:color="auto"/>
                    <w:left w:val="none" w:sz="0" w:space="0" w:color="auto"/>
                    <w:bottom w:val="none" w:sz="0" w:space="0" w:color="auto"/>
                    <w:right w:val="none" w:sz="0" w:space="0" w:color="auto"/>
                  </w:divBdr>
                </w:div>
              </w:divsChild>
            </w:div>
            <w:div w:id="712770334">
              <w:marLeft w:val="0"/>
              <w:marRight w:val="0"/>
              <w:marTop w:val="0"/>
              <w:marBottom w:val="0"/>
              <w:divBdr>
                <w:top w:val="none" w:sz="0" w:space="0" w:color="auto"/>
                <w:left w:val="none" w:sz="0" w:space="0" w:color="auto"/>
                <w:bottom w:val="none" w:sz="0" w:space="0" w:color="auto"/>
                <w:right w:val="none" w:sz="0" w:space="0" w:color="auto"/>
              </w:divBdr>
              <w:divsChild>
                <w:div w:id="1816213769">
                  <w:marLeft w:val="0"/>
                  <w:marRight w:val="0"/>
                  <w:marTop w:val="0"/>
                  <w:marBottom w:val="0"/>
                  <w:divBdr>
                    <w:top w:val="none" w:sz="0" w:space="0" w:color="auto"/>
                    <w:left w:val="none" w:sz="0" w:space="0" w:color="auto"/>
                    <w:bottom w:val="none" w:sz="0" w:space="0" w:color="auto"/>
                    <w:right w:val="none" w:sz="0" w:space="0" w:color="auto"/>
                  </w:divBdr>
                  <w:divsChild>
                    <w:div w:id="64285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308557">
          <w:marLeft w:val="0"/>
          <w:marRight w:val="0"/>
          <w:marTop w:val="0"/>
          <w:marBottom w:val="0"/>
          <w:divBdr>
            <w:top w:val="none" w:sz="0" w:space="0" w:color="auto"/>
            <w:left w:val="none" w:sz="0" w:space="0" w:color="auto"/>
            <w:bottom w:val="none" w:sz="0" w:space="0" w:color="auto"/>
            <w:right w:val="none" w:sz="0" w:space="0" w:color="auto"/>
          </w:divBdr>
          <w:divsChild>
            <w:div w:id="557588731">
              <w:marLeft w:val="0"/>
              <w:marRight w:val="0"/>
              <w:marTop w:val="0"/>
              <w:marBottom w:val="0"/>
              <w:divBdr>
                <w:top w:val="none" w:sz="0" w:space="0" w:color="auto"/>
                <w:left w:val="none" w:sz="0" w:space="0" w:color="auto"/>
                <w:bottom w:val="none" w:sz="0" w:space="0" w:color="auto"/>
                <w:right w:val="none" w:sz="0" w:space="0" w:color="auto"/>
              </w:divBdr>
            </w:div>
            <w:div w:id="10247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89331">
      <w:bodyDiv w:val="1"/>
      <w:marLeft w:val="0"/>
      <w:marRight w:val="0"/>
      <w:marTop w:val="0"/>
      <w:marBottom w:val="0"/>
      <w:divBdr>
        <w:top w:val="none" w:sz="0" w:space="0" w:color="auto"/>
        <w:left w:val="none" w:sz="0" w:space="0" w:color="auto"/>
        <w:bottom w:val="none" w:sz="0" w:space="0" w:color="auto"/>
        <w:right w:val="none" w:sz="0" w:space="0" w:color="auto"/>
      </w:divBdr>
      <w:divsChild>
        <w:div w:id="621493927">
          <w:marLeft w:val="0"/>
          <w:marRight w:val="0"/>
          <w:marTop w:val="0"/>
          <w:marBottom w:val="0"/>
          <w:divBdr>
            <w:top w:val="none" w:sz="0" w:space="0" w:color="auto"/>
            <w:left w:val="none" w:sz="0" w:space="0" w:color="auto"/>
            <w:bottom w:val="none" w:sz="0" w:space="0" w:color="auto"/>
            <w:right w:val="none" w:sz="0" w:space="0" w:color="auto"/>
          </w:divBdr>
          <w:divsChild>
            <w:div w:id="1479225953">
              <w:marLeft w:val="0"/>
              <w:marRight w:val="0"/>
              <w:marTop w:val="0"/>
              <w:marBottom w:val="0"/>
              <w:divBdr>
                <w:top w:val="none" w:sz="0" w:space="0" w:color="auto"/>
                <w:left w:val="none" w:sz="0" w:space="0" w:color="auto"/>
                <w:bottom w:val="none" w:sz="0" w:space="0" w:color="auto"/>
                <w:right w:val="none" w:sz="0" w:space="0" w:color="auto"/>
              </w:divBdr>
              <w:divsChild>
                <w:div w:id="790365200">
                  <w:marLeft w:val="0"/>
                  <w:marRight w:val="0"/>
                  <w:marTop w:val="0"/>
                  <w:marBottom w:val="0"/>
                  <w:divBdr>
                    <w:top w:val="none" w:sz="0" w:space="0" w:color="auto"/>
                    <w:left w:val="none" w:sz="0" w:space="0" w:color="auto"/>
                    <w:bottom w:val="none" w:sz="0" w:space="0" w:color="auto"/>
                    <w:right w:val="none" w:sz="0" w:space="0" w:color="auto"/>
                  </w:divBdr>
                  <w:divsChild>
                    <w:div w:id="1637251322">
                      <w:marLeft w:val="0"/>
                      <w:marRight w:val="0"/>
                      <w:marTop w:val="0"/>
                      <w:marBottom w:val="0"/>
                      <w:divBdr>
                        <w:top w:val="none" w:sz="0" w:space="0" w:color="auto"/>
                        <w:left w:val="none" w:sz="0" w:space="0" w:color="auto"/>
                        <w:bottom w:val="none" w:sz="0" w:space="0" w:color="auto"/>
                        <w:right w:val="none" w:sz="0" w:space="0" w:color="auto"/>
                      </w:divBdr>
                      <w:divsChild>
                        <w:div w:id="147744518">
                          <w:marLeft w:val="0"/>
                          <w:marRight w:val="0"/>
                          <w:marTop w:val="0"/>
                          <w:marBottom w:val="0"/>
                          <w:divBdr>
                            <w:top w:val="none" w:sz="0" w:space="0" w:color="auto"/>
                            <w:left w:val="none" w:sz="0" w:space="0" w:color="auto"/>
                            <w:bottom w:val="none" w:sz="0" w:space="0" w:color="auto"/>
                            <w:right w:val="none" w:sz="0" w:space="0" w:color="auto"/>
                          </w:divBdr>
                        </w:div>
                        <w:div w:id="192106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31629">
                  <w:marLeft w:val="0"/>
                  <w:marRight w:val="0"/>
                  <w:marTop w:val="0"/>
                  <w:marBottom w:val="0"/>
                  <w:divBdr>
                    <w:top w:val="none" w:sz="0" w:space="0" w:color="auto"/>
                    <w:left w:val="none" w:sz="0" w:space="0" w:color="auto"/>
                    <w:bottom w:val="none" w:sz="0" w:space="0" w:color="auto"/>
                    <w:right w:val="none" w:sz="0" w:space="0" w:color="auto"/>
                  </w:divBdr>
                  <w:divsChild>
                    <w:div w:id="1439985944">
                      <w:marLeft w:val="0"/>
                      <w:marRight w:val="0"/>
                      <w:marTop w:val="0"/>
                      <w:marBottom w:val="0"/>
                      <w:divBdr>
                        <w:top w:val="none" w:sz="0" w:space="0" w:color="auto"/>
                        <w:left w:val="none" w:sz="0" w:space="0" w:color="auto"/>
                        <w:bottom w:val="none" w:sz="0" w:space="0" w:color="auto"/>
                        <w:right w:val="none" w:sz="0" w:space="0" w:color="auto"/>
                      </w:divBdr>
                    </w:div>
                    <w:div w:id="131822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8979">
              <w:marLeft w:val="0"/>
              <w:marRight w:val="0"/>
              <w:marTop w:val="0"/>
              <w:marBottom w:val="0"/>
              <w:divBdr>
                <w:top w:val="none" w:sz="0" w:space="0" w:color="auto"/>
                <w:left w:val="none" w:sz="0" w:space="0" w:color="auto"/>
                <w:bottom w:val="none" w:sz="0" w:space="0" w:color="auto"/>
                <w:right w:val="none" w:sz="0" w:space="0" w:color="auto"/>
              </w:divBdr>
              <w:divsChild>
                <w:div w:id="961502673">
                  <w:marLeft w:val="0"/>
                  <w:marRight w:val="0"/>
                  <w:marTop w:val="0"/>
                  <w:marBottom w:val="0"/>
                  <w:divBdr>
                    <w:top w:val="none" w:sz="0" w:space="0" w:color="auto"/>
                    <w:left w:val="none" w:sz="0" w:space="0" w:color="auto"/>
                    <w:bottom w:val="none" w:sz="0" w:space="0" w:color="auto"/>
                    <w:right w:val="none" w:sz="0" w:space="0" w:color="auto"/>
                  </w:divBdr>
                </w:div>
              </w:divsChild>
            </w:div>
            <w:div w:id="1582640464">
              <w:marLeft w:val="0"/>
              <w:marRight w:val="0"/>
              <w:marTop w:val="0"/>
              <w:marBottom w:val="0"/>
              <w:divBdr>
                <w:top w:val="none" w:sz="0" w:space="0" w:color="auto"/>
                <w:left w:val="none" w:sz="0" w:space="0" w:color="auto"/>
                <w:bottom w:val="none" w:sz="0" w:space="0" w:color="auto"/>
                <w:right w:val="none" w:sz="0" w:space="0" w:color="auto"/>
              </w:divBdr>
              <w:divsChild>
                <w:div w:id="967321488">
                  <w:marLeft w:val="0"/>
                  <w:marRight w:val="0"/>
                  <w:marTop w:val="0"/>
                  <w:marBottom w:val="0"/>
                  <w:divBdr>
                    <w:top w:val="none" w:sz="0" w:space="0" w:color="auto"/>
                    <w:left w:val="none" w:sz="0" w:space="0" w:color="auto"/>
                    <w:bottom w:val="none" w:sz="0" w:space="0" w:color="auto"/>
                    <w:right w:val="none" w:sz="0" w:space="0" w:color="auto"/>
                  </w:divBdr>
                </w:div>
              </w:divsChild>
            </w:div>
            <w:div w:id="58136989">
              <w:marLeft w:val="0"/>
              <w:marRight w:val="0"/>
              <w:marTop w:val="0"/>
              <w:marBottom w:val="0"/>
              <w:divBdr>
                <w:top w:val="none" w:sz="0" w:space="0" w:color="auto"/>
                <w:left w:val="none" w:sz="0" w:space="0" w:color="auto"/>
                <w:bottom w:val="none" w:sz="0" w:space="0" w:color="auto"/>
                <w:right w:val="none" w:sz="0" w:space="0" w:color="auto"/>
              </w:divBdr>
              <w:divsChild>
                <w:div w:id="571889630">
                  <w:marLeft w:val="0"/>
                  <w:marRight w:val="0"/>
                  <w:marTop w:val="0"/>
                  <w:marBottom w:val="0"/>
                  <w:divBdr>
                    <w:top w:val="none" w:sz="0" w:space="0" w:color="auto"/>
                    <w:left w:val="none" w:sz="0" w:space="0" w:color="auto"/>
                    <w:bottom w:val="none" w:sz="0" w:space="0" w:color="auto"/>
                    <w:right w:val="none" w:sz="0" w:space="0" w:color="auto"/>
                  </w:divBdr>
                  <w:divsChild>
                    <w:div w:id="15726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90049">
          <w:marLeft w:val="0"/>
          <w:marRight w:val="0"/>
          <w:marTop w:val="0"/>
          <w:marBottom w:val="0"/>
          <w:divBdr>
            <w:top w:val="none" w:sz="0" w:space="0" w:color="auto"/>
            <w:left w:val="none" w:sz="0" w:space="0" w:color="auto"/>
            <w:bottom w:val="none" w:sz="0" w:space="0" w:color="auto"/>
            <w:right w:val="none" w:sz="0" w:space="0" w:color="auto"/>
          </w:divBdr>
          <w:divsChild>
            <w:div w:id="694112206">
              <w:marLeft w:val="0"/>
              <w:marRight w:val="0"/>
              <w:marTop w:val="0"/>
              <w:marBottom w:val="0"/>
              <w:divBdr>
                <w:top w:val="none" w:sz="0" w:space="0" w:color="auto"/>
                <w:left w:val="none" w:sz="0" w:space="0" w:color="auto"/>
                <w:bottom w:val="none" w:sz="0" w:space="0" w:color="auto"/>
                <w:right w:val="none" w:sz="0" w:space="0" w:color="auto"/>
              </w:divBdr>
            </w:div>
            <w:div w:id="76985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B5392-DA2E-4926-85AB-EE549CE4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5722</Words>
  <Characters>32618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McClure, Elizabeth</dc:creator>
  <cp:keywords/>
  <dc:description/>
  <cp:lastModifiedBy>McClure, Elizabeth</cp:lastModifiedBy>
  <cp:revision>2</cp:revision>
  <cp:lastPrinted>2022-03-12T17:30:00Z</cp:lastPrinted>
  <dcterms:created xsi:type="dcterms:W3CDTF">2022-03-19T21:55:00Z</dcterms:created>
  <dcterms:modified xsi:type="dcterms:W3CDTF">2022-03-19T21:55:00Z</dcterms:modified>
</cp:coreProperties>
</file>